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E6CC8" w:rsidRPr="00ED0FFC" w:rsidTr="0088395E">
        <w:tc>
          <w:tcPr>
            <w:tcW w:w="4513" w:type="dxa"/>
            <w:tcBorders>
              <w:bottom w:val="single" w:sz="4" w:space="0" w:color="auto"/>
            </w:tcBorders>
            <w:tcMar>
              <w:bottom w:w="170" w:type="dxa"/>
            </w:tcMar>
          </w:tcPr>
          <w:p w:rsidR="00E504E5" w:rsidRPr="00ED0FFC" w:rsidRDefault="00E504E5" w:rsidP="007F60FD"/>
        </w:tc>
        <w:tc>
          <w:tcPr>
            <w:tcW w:w="4337" w:type="dxa"/>
            <w:tcBorders>
              <w:bottom w:val="single" w:sz="4" w:space="0" w:color="auto"/>
            </w:tcBorders>
            <w:tcMar>
              <w:left w:w="0" w:type="dxa"/>
              <w:bottom w:w="170" w:type="dxa"/>
              <w:right w:w="0" w:type="dxa"/>
            </w:tcMar>
          </w:tcPr>
          <w:p w:rsidR="00E504E5" w:rsidRPr="00ED0FFC" w:rsidRDefault="00EC586B" w:rsidP="007F60FD">
            <w:r w:rsidRPr="00ED0FFC">
              <w:rPr>
                <w:noProof/>
                <w:lang w:val="en-US" w:eastAsia="en-US"/>
              </w:rPr>
              <w:drawing>
                <wp:inline distT="0" distB="0" distL="0" distR="0" wp14:anchorId="41DDCDBD" wp14:editId="752AB408">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504E5" w:rsidRPr="00ED0FFC" w:rsidRDefault="00E504E5" w:rsidP="007F60FD">
            <w:pPr>
              <w:jc w:val="right"/>
            </w:pPr>
            <w:r w:rsidRPr="00ED0FFC">
              <w:rPr>
                <w:b/>
                <w:sz w:val="40"/>
                <w:szCs w:val="40"/>
              </w:rPr>
              <w:t>S</w:t>
            </w:r>
          </w:p>
        </w:tc>
      </w:tr>
      <w:tr w:rsidR="00CE6CC8" w:rsidRPr="00ED0FFC"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ED0FFC" w:rsidRDefault="00186282" w:rsidP="00C72F01">
            <w:pPr>
              <w:jc w:val="right"/>
              <w:rPr>
                <w:rFonts w:ascii="Arial Black" w:hAnsi="Arial Black"/>
                <w:caps/>
                <w:sz w:val="15"/>
              </w:rPr>
            </w:pPr>
            <w:r w:rsidRPr="00ED0FFC">
              <w:rPr>
                <w:rFonts w:ascii="Arial Black" w:hAnsi="Arial Black"/>
                <w:caps/>
                <w:sz w:val="15"/>
              </w:rPr>
              <w:t>CDIP/17/</w:t>
            </w:r>
            <w:bookmarkStart w:id="0" w:name="Code"/>
            <w:bookmarkEnd w:id="0"/>
            <w:r w:rsidR="00C72F01">
              <w:rPr>
                <w:rFonts w:ascii="Arial Black" w:hAnsi="Arial Black"/>
                <w:caps/>
                <w:sz w:val="15"/>
              </w:rPr>
              <w:t>9</w:t>
            </w:r>
            <w:bookmarkStart w:id="1" w:name="_GoBack"/>
            <w:bookmarkEnd w:id="1"/>
          </w:p>
        </w:tc>
      </w:tr>
      <w:tr w:rsidR="00CE6CC8" w:rsidRPr="00ED0FFC" w:rsidTr="00AB613D">
        <w:trPr>
          <w:trHeight w:hRule="exact" w:val="170"/>
        </w:trPr>
        <w:tc>
          <w:tcPr>
            <w:tcW w:w="9356" w:type="dxa"/>
            <w:gridSpan w:val="3"/>
            <w:noWrap/>
            <w:tcMar>
              <w:left w:w="0" w:type="dxa"/>
              <w:right w:w="0" w:type="dxa"/>
            </w:tcMar>
            <w:vAlign w:val="bottom"/>
          </w:tcPr>
          <w:p w:rsidR="008B2CC1" w:rsidRPr="00ED0FFC" w:rsidRDefault="008B2CC1" w:rsidP="007F60FD">
            <w:pPr>
              <w:jc w:val="right"/>
              <w:rPr>
                <w:rFonts w:ascii="Arial Black" w:hAnsi="Arial Black"/>
                <w:caps/>
                <w:sz w:val="15"/>
              </w:rPr>
            </w:pPr>
            <w:r w:rsidRPr="00ED0FFC">
              <w:rPr>
                <w:rFonts w:ascii="Arial Black" w:hAnsi="Arial Black"/>
                <w:caps/>
                <w:sz w:val="15"/>
              </w:rPr>
              <w:t>ORIGINAL:</w:t>
            </w:r>
            <w:bookmarkStart w:id="2" w:name="Original"/>
            <w:bookmarkEnd w:id="2"/>
            <w:r w:rsidR="00F663C7" w:rsidRPr="00ED0FFC">
              <w:rPr>
                <w:rFonts w:ascii="Arial Black" w:hAnsi="Arial Black"/>
                <w:caps/>
                <w:sz w:val="15"/>
              </w:rPr>
              <w:t xml:space="preserve">  </w:t>
            </w:r>
            <w:r w:rsidR="005B56F5" w:rsidRPr="00ED0FFC">
              <w:rPr>
                <w:rFonts w:ascii="Arial Black" w:hAnsi="Arial Black"/>
                <w:caps/>
                <w:sz w:val="15"/>
              </w:rPr>
              <w:t>INGLÉS</w:t>
            </w:r>
          </w:p>
        </w:tc>
      </w:tr>
      <w:tr w:rsidR="008B2CC1" w:rsidRPr="00ED0FFC" w:rsidTr="00AB613D">
        <w:trPr>
          <w:trHeight w:hRule="exact" w:val="198"/>
        </w:trPr>
        <w:tc>
          <w:tcPr>
            <w:tcW w:w="9356" w:type="dxa"/>
            <w:gridSpan w:val="3"/>
            <w:tcMar>
              <w:left w:w="0" w:type="dxa"/>
              <w:right w:w="0" w:type="dxa"/>
            </w:tcMar>
            <w:vAlign w:val="bottom"/>
          </w:tcPr>
          <w:p w:rsidR="008B2CC1" w:rsidRPr="00ED0FFC" w:rsidRDefault="00675021" w:rsidP="007F60FD">
            <w:pPr>
              <w:jc w:val="right"/>
              <w:rPr>
                <w:rFonts w:ascii="Arial Black" w:hAnsi="Arial Black"/>
                <w:caps/>
                <w:sz w:val="15"/>
              </w:rPr>
            </w:pPr>
            <w:r w:rsidRPr="00ED0FFC">
              <w:rPr>
                <w:rFonts w:ascii="Arial Black" w:hAnsi="Arial Black"/>
                <w:caps/>
                <w:sz w:val="15"/>
              </w:rPr>
              <w:t>fecha</w:t>
            </w:r>
            <w:r w:rsidR="008B2CC1" w:rsidRPr="00ED0FFC">
              <w:rPr>
                <w:rFonts w:ascii="Arial Black" w:hAnsi="Arial Black"/>
                <w:caps/>
                <w:sz w:val="15"/>
              </w:rPr>
              <w:t>:</w:t>
            </w:r>
            <w:bookmarkStart w:id="3" w:name="Date"/>
            <w:bookmarkEnd w:id="3"/>
            <w:r w:rsidR="00F663C7" w:rsidRPr="00ED0FFC">
              <w:rPr>
                <w:rFonts w:ascii="Arial Black" w:hAnsi="Arial Black"/>
                <w:caps/>
                <w:sz w:val="15"/>
              </w:rPr>
              <w:t xml:space="preserve"> </w:t>
            </w:r>
            <w:r w:rsidR="00901265">
              <w:rPr>
                <w:rFonts w:ascii="Arial Black" w:hAnsi="Arial Black"/>
                <w:caps/>
                <w:sz w:val="15"/>
              </w:rPr>
              <w:t xml:space="preserve"> </w:t>
            </w:r>
            <w:r w:rsidR="00040CE8" w:rsidRPr="00ED0FFC">
              <w:rPr>
                <w:rFonts w:ascii="Arial Black" w:hAnsi="Arial Black"/>
                <w:caps/>
                <w:sz w:val="15"/>
              </w:rPr>
              <w:t>14 de marzo</w:t>
            </w:r>
            <w:r w:rsidR="005B56F5" w:rsidRPr="00ED0FFC">
              <w:rPr>
                <w:rFonts w:ascii="Arial Black" w:hAnsi="Arial Black"/>
                <w:caps/>
                <w:sz w:val="15"/>
              </w:rPr>
              <w:t xml:space="preserve"> DE 2016</w:t>
            </w:r>
          </w:p>
        </w:tc>
      </w:tr>
    </w:tbl>
    <w:p w:rsidR="008B2CC1" w:rsidRPr="00ED0FFC" w:rsidRDefault="008B2CC1" w:rsidP="007F60FD">
      <w:pPr>
        <w:tabs>
          <w:tab w:val="left" w:pos="1134"/>
        </w:tabs>
      </w:pPr>
    </w:p>
    <w:p w:rsidR="008B2CC1" w:rsidRPr="00ED0FFC" w:rsidRDefault="008B2CC1" w:rsidP="007F60FD"/>
    <w:p w:rsidR="008B2CC1" w:rsidRPr="00ED0FFC" w:rsidRDefault="008B2CC1" w:rsidP="007F60FD"/>
    <w:p w:rsidR="008B2CC1" w:rsidRPr="00ED0FFC" w:rsidRDefault="008B2CC1" w:rsidP="007F60FD"/>
    <w:p w:rsidR="008B2CC1" w:rsidRPr="00ED0FFC" w:rsidRDefault="008B2CC1" w:rsidP="007F60FD"/>
    <w:p w:rsidR="00B67CDC" w:rsidRPr="00ED0FFC" w:rsidRDefault="00186282" w:rsidP="007F60FD">
      <w:pPr>
        <w:rPr>
          <w:b/>
          <w:sz w:val="28"/>
          <w:szCs w:val="28"/>
        </w:rPr>
      </w:pPr>
      <w:r w:rsidRPr="00ED0FFC">
        <w:rPr>
          <w:b/>
          <w:sz w:val="28"/>
          <w:szCs w:val="28"/>
        </w:rPr>
        <w:t>Comité de Desarrollo y Propiedad Intelectual (CDIP)</w:t>
      </w:r>
    </w:p>
    <w:p w:rsidR="003845C1" w:rsidRPr="00ED0FFC" w:rsidRDefault="003845C1" w:rsidP="007F60FD"/>
    <w:p w:rsidR="003845C1" w:rsidRPr="00ED0FFC" w:rsidRDefault="003845C1" w:rsidP="007F60FD"/>
    <w:p w:rsidR="00B67CDC" w:rsidRPr="00ED0FFC" w:rsidRDefault="00186282" w:rsidP="007F60FD">
      <w:pPr>
        <w:rPr>
          <w:b/>
          <w:sz w:val="24"/>
          <w:szCs w:val="24"/>
        </w:rPr>
      </w:pPr>
      <w:r w:rsidRPr="00ED0FFC">
        <w:rPr>
          <w:b/>
          <w:sz w:val="24"/>
          <w:szCs w:val="24"/>
        </w:rPr>
        <w:t>Decimoséptima sesión</w:t>
      </w:r>
    </w:p>
    <w:p w:rsidR="00B67CDC" w:rsidRPr="00ED0FFC" w:rsidRDefault="00186282" w:rsidP="007F60FD">
      <w:pPr>
        <w:rPr>
          <w:b/>
          <w:sz w:val="24"/>
          <w:szCs w:val="24"/>
        </w:rPr>
      </w:pPr>
      <w:r w:rsidRPr="00ED0FFC">
        <w:rPr>
          <w:b/>
          <w:sz w:val="24"/>
          <w:szCs w:val="24"/>
        </w:rPr>
        <w:t>Ginebra, 11 a 15 de abril de 2016</w:t>
      </w:r>
    </w:p>
    <w:p w:rsidR="008B2CC1" w:rsidRPr="00ED0FFC" w:rsidRDefault="008B2CC1" w:rsidP="007F60FD"/>
    <w:p w:rsidR="008B2CC1" w:rsidRPr="00ED0FFC" w:rsidRDefault="008B2CC1" w:rsidP="007F60FD"/>
    <w:p w:rsidR="008B2CC1" w:rsidRPr="00ED0FFC" w:rsidRDefault="008B2CC1" w:rsidP="007F60FD"/>
    <w:p w:rsidR="002B1093" w:rsidRPr="00ED0FFC" w:rsidRDefault="00553061" w:rsidP="007F60FD">
      <w:pPr>
        <w:rPr>
          <w:caps/>
          <w:szCs w:val="22"/>
        </w:rPr>
      </w:pPr>
      <w:bookmarkStart w:id="4" w:name="TitleOfDoc"/>
      <w:bookmarkEnd w:id="4"/>
      <w:r w:rsidRPr="00ED0FFC">
        <w:rPr>
          <w:szCs w:val="22"/>
        </w:rPr>
        <w:t xml:space="preserve">ESQUEMA </w:t>
      </w:r>
      <w:r w:rsidR="00984300" w:rsidRPr="00ED0FFC">
        <w:rPr>
          <w:szCs w:val="22"/>
        </w:rPr>
        <w:t xml:space="preserve">DE LAS ACTIVIDADES RELATIVAS A LA TRANSFERENCIA DE TECNOLOGÍA </w:t>
      </w:r>
    </w:p>
    <w:p w:rsidR="002B1093" w:rsidRPr="00ED0FFC" w:rsidRDefault="002B1093" w:rsidP="007F60FD">
      <w:pPr>
        <w:rPr>
          <w:szCs w:val="22"/>
        </w:rPr>
      </w:pPr>
    </w:p>
    <w:p w:rsidR="002B1093" w:rsidRPr="00ED0FFC" w:rsidRDefault="002B1093" w:rsidP="007F60FD">
      <w:pPr>
        <w:rPr>
          <w:szCs w:val="22"/>
        </w:rPr>
      </w:pPr>
    </w:p>
    <w:p w:rsidR="002B1093" w:rsidRPr="00ED0FFC" w:rsidRDefault="00F76425" w:rsidP="007F60FD">
      <w:pPr>
        <w:rPr>
          <w:i/>
        </w:rPr>
      </w:pPr>
      <w:r w:rsidRPr="00ED0FFC">
        <w:rPr>
          <w:i/>
        </w:rPr>
        <w:t>Documento</w:t>
      </w:r>
      <w:r w:rsidR="00763BB6" w:rsidRPr="00ED0FFC">
        <w:rPr>
          <w:i/>
        </w:rPr>
        <w:t xml:space="preserve"> </w:t>
      </w:r>
      <w:r w:rsidR="00C06E1B" w:rsidRPr="00ED0FFC">
        <w:rPr>
          <w:i/>
        </w:rPr>
        <w:t>preparado</w:t>
      </w:r>
      <w:r w:rsidR="00763BB6" w:rsidRPr="00ED0FFC">
        <w:rPr>
          <w:i/>
        </w:rPr>
        <w:t xml:space="preserve"> </w:t>
      </w:r>
      <w:r w:rsidR="002B1093" w:rsidRPr="00ED0FFC">
        <w:rPr>
          <w:i/>
        </w:rPr>
        <w:t>por la Secretaría</w:t>
      </w:r>
    </w:p>
    <w:p w:rsidR="002B1093" w:rsidRPr="00ED0FFC" w:rsidRDefault="002B1093" w:rsidP="007F60FD"/>
    <w:p w:rsidR="002B1093" w:rsidRPr="00ED0FFC" w:rsidRDefault="002B1093" w:rsidP="007F60FD"/>
    <w:p w:rsidR="002B1093" w:rsidRPr="00ED0FFC" w:rsidRDefault="005737B0" w:rsidP="007F60FD">
      <w:pPr>
        <w:pStyle w:val="Default"/>
        <w:rPr>
          <w:color w:val="auto"/>
          <w:sz w:val="22"/>
          <w:szCs w:val="22"/>
          <w:lang w:val="es-ES"/>
        </w:rPr>
      </w:pPr>
      <w:r w:rsidRPr="00ED0FFC">
        <w:rPr>
          <w:color w:val="auto"/>
          <w:sz w:val="22"/>
          <w:szCs w:val="22"/>
          <w:lang w:val="es-ES"/>
        </w:rPr>
        <w:fldChar w:fldCharType="begin"/>
      </w:r>
      <w:r w:rsidR="002B1093" w:rsidRPr="00ED0FFC">
        <w:rPr>
          <w:color w:val="auto"/>
          <w:sz w:val="22"/>
          <w:szCs w:val="22"/>
          <w:lang w:val="es-ES"/>
        </w:rPr>
        <w:instrText xml:space="preserve"> AUTONUM  </w:instrText>
      </w:r>
      <w:r w:rsidRPr="00ED0FFC">
        <w:rPr>
          <w:color w:val="auto"/>
          <w:sz w:val="22"/>
          <w:szCs w:val="22"/>
          <w:lang w:val="es-ES"/>
        </w:rPr>
        <w:fldChar w:fldCharType="end"/>
      </w:r>
      <w:r w:rsidR="002B1093" w:rsidRPr="00ED0FFC">
        <w:rPr>
          <w:color w:val="auto"/>
          <w:sz w:val="22"/>
          <w:szCs w:val="22"/>
          <w:lang w:val="es-ES"/>
        </w:rPr>
        <w:tab/>
      </w:r>
      <w:r w:rsidR="002B1093" w:rsidRPr="00ED0FFC">
        <w:rPr>
          <w:iCs/>
          <w:color w:val="auto"/>
          <w:sz w:val="22"/>
          <w:szCs w:val="22"/>
          <w:lang w:val="es-ES"/>
        </w:rPr>
        <w:t>Dur</w:t>
      </w:r>
      <w:r w:rsidR="00763BB6" w:rsidRPr="00ED0FFC">
        <w:rPr>
          <w:iCs/>
          <w:color w:val="auto"/>
          <w:sz w:val="22"/>
          <w:szCs w:val="22"/>
          <w:lang w:val="es-ES"/>
        </w:rPr>
        <w:t xml:space="preserve">ante su decimosexta sesión, </w:t>
      </w:r>
      <w:r w:rsidR="00FB212B" w:rsidRPr="00ED0FFC">
        <w:rPr>
          <w:iCs/>
          <w:color w:val="auto"/>
          <w:sz w:val="22"/>
          <w:szCs w:val="22"/>
          <w:lang w:val="es-ES"/>
        </w:rPr>
        <w:t>celebrada de</w:t>
      </w:r>
      <w:r w:rsidR="00222344" w:rsidRPr="00ED0FFC">
        <w:rPr>
          <w:iCs/>
          <w:color w:val="auto"/>
          <w:sz w:val="22"/>
          <w:szCs w:val="22"/>
          <w:lang w:val="es-ES"/>
        </w:rPr>
        <w:t>l 9</w:t>
      </w:r>
      <w:r w:rsidR="00FB212B" w:rsidRPr="00ED0FFC">
        <w:rPr>
          <w:iCs/>
          <w:color w:val="auto"/>
          <w:sz w:val="22"/>
          <w:szCs w:val="22"/>
          <w:lang w:val="es-ES"/>
        </w:rPr>
        <w:t xml:space="preserve"> a</w:t>
      </w:r>
      <w:r w:rsidR="00222344" w:rsidRPr="00ED0FFC">
        <w:rPr>
          <w:iCs/>
          <w:color w:val="auto"/>
          <w:sz w:val="22"/>
          <w:szCs w:val="22"/>
          <w:lang w:val="es-ES"/>
        </w:rPr>
        <w:t>l 1</w:t>
      </w:r>
      <w:r w:rsidR="00FB212B" w:rsidRPr="00ED0FFC">
        <w:rPr>
          <w:iCs/>
          <w:color w:val="auto"/>
          <w:sz w:val="22"/>
          <w:szCs w:val="22"/>
          <w:lang w:val="es-ES"/>
        </w:rPr>
        <w:t>3 de noviembre d</w:t>
      </w:r>
      <w:r w:rsidR="00222344" w:rsidRPr="00ED0FFC">
        <w:rPr>
          <w:iCs/>
          <w:color w:val="auto"/>
          <w:sz w:val="22"/>
          <w:szCs w:val="22"/>
          <w:lang w:val="es-ES"/>
        </w:rPr>
        <w:t>e 2</w:t>
      </w:r>
      <w:r w:rsidR="002B1093" w:rsidRPr="00ED0FFC">
        <w:rPr>
          <w:iCs/>
          <w:color w:val="auto"/>
          <w:sz w:val="22"/>
          <w:szCs w:val="22"/>
          <w:lang w:val="es-ES"/>
        </w:rPr>
        <w:t xml:space="preserve">015, </w:t>
      </w:r>
      <w:r w:rsidR="00FB212B" w:rsidRPr="00ED0FFC">
        <w:rPr>
          <w:iCs/>
          <w:color w:val="auto"/>
          <w:sz w:val="22"/>
          <w:szCs w:val="22"/>
          <w:lang w:val="es-ES"/>
        </w:rPr>
        <w:t>e</w:t>
      </w:r>
      <w:r w:rsidR="00742E3D" w:rsidRPr="00ED0FFC">
        <w:rPr>
          <w:iCs/>
          <w:color w:val="auto"/>
          <w:sz w:val="22"/>
          <w:szCs w:val="22"/>
          <w:lang w:val="es-ES"/>
        </w:rPr>
        <w:t xml:space="preserve">l </w:t>
      </w:r>
      <w:r w:rsidR="00742E3D" w:rsidRPr="00ED0FFC">
        <w:rPr>
          <w:i/>
          <w:iCs/>
          <w:color w:val="auto"/>
          <w:sz w:val="22"/>
          <w:szCs w:val="22"/>
          <w:lang w:val="es-ES"/>
        </w:rPr>
        <w:t>C</w:t>
      </w:r>
      <w:r w:rsidR="002B1093" w:rsidRPr="00ED0FFC">
        <w:rPr>
          <w:i/>
          <w:iCs/>
          <w:color w:val="auto"/>
          <w:sz w:val="22"/>
          <w:szCs w:val="22"/>
          <w:lang w:val="es-ES"/>
        </w:rPr>
        <w:t>om</w:t>
      </w:r>
      <w:r w:rsidR="00FB212B" w:rsidRPr="00ED0FFC">
        <w:rPr>
          <w:i/>
          <w:iCs/>
          <w:color w:val="auto"/>
          <w:sz w:val="22"/>
          <w:szCs w:val="22"/>
          <w:lang w:val="es-ES"/>
        </w:rPr>
        <w:t xml:space="preserve">ité de Desarrollo y Propiedad Intelectual </w:t>
      </w:r>
      <w:r w:rsidR="002B1093" w:rsidRPr="00ED0FFC">
        <w:rPr>
          <w:i/>
          <w:iCs/>
          <w:color w:val="auto"/>
          <w:sz w:val="22"/>
          <w:szCs w:val="22"/>
          <w:lang w:val="es-ES"/>
        </w:rPr>
        <w:t>(CDIP),</w:t>
      </w:r>
      <w:r w:rsidR="002B1093" w:rsidRPr="00ED0FFC">
        <w:rPr>
          <w:color w:val="auto"/>
          <w:sz w:val="22"/>
          <w:szCs w:val="22"/>
          <w:lang w:val="es-ES"/>
        </w:rPr>
        <w:t xml:space="preserve"> </w:t>
      </w:r>
      <w:r w:rsidR="00FB212B" w:rsidRPr="00ED0FFC">
        <w:rPr>
          <w:color w:val="auto"/>
          <w:sz w:val="22"/>
          <w:szCs w:val="22"/>
          <w:lang w:val="es-ES"/>
        </w:rPr>
        <w:t xml:space="preserve">al examinar el Informe de evaluación del proyecto relativo a la </w:t>
      </w:r>
      <w:r w:rsidR="00FB212B" w:rsidRPr="00ED0FFC">
        <w:rPr>
          <w:i/>
          <w:iCs/>
          <w:color w:val="auto"/>
          <w:sz w:val="22"/>
          <w:szCs w:val="22"/>
          <w:lang w:val="es-ES"/>
        </w:rPr>
        <w:t>propiedad intelectual y transferencia de tecnología</w:t>
      </w:r>
      <w:r w:rsidR="00222344" w:rsidRPr="00ED0FFC">
        <w:rPr>
          <w:i/>
          <w:iCs/>
          <w:color w:val="auto"/>
          <w:sz w:val="22"/>
          <w:szCs w:val="22"/>
          <w:lang w:val="es-ES"/>
        </w:rPr>
        <w:t>:  d</w:t>
      </w:r>
      <w:r w:rsidR="00FB212B" w:rsidRPr="00ED0FFC">
        <w:rPr>
          <w:i/>
          <w:iCs/>
          <w:color w:val="auto"/>
          <w:sz w:val="22"/>
          <w:szCs w:val="22"/>
          <w:lang w:val="es-ES"/>
        </w:rPr>
        <w:t>esafíos comunes y búsqueda de soluciones</w:t>
      </w:r>
      <w:r w:rsidR="002B1093" w:rsidRPr="00ED0FFC">
        <w:rPr>
          <w:i/>
          <w:iCs/>
          <w:color w:val="auto"/>
          <w:sz w:val="22"/>
          <w:szCs w:val="22"/>
          <w:lang w:val="es-ES"/>
        </w:rPr>
        <w:t>,</w:t>
      </w:r>
      <w:r w:rsidR="002B1093" w:rsidRPr="00ED0FFC">
        <w:rPr>
          <w:color w:val="auto"/>
          <w:sz w:val="22"/>
          <w:szCs w:val="22"/>
          <w:lang w:val="es-ES"/>
        </w:rPr>
        <w:t xml:space="preserve"> </w:t>
      </w:r>
      <w:r w:rsidR="00FB212B" w:rsidRPr="00ED0FFC">
        <w:rPr>
          <w:color w:val="auto"/>
          <w:sz w:val="22"/>
          <w:szCs w:val="22"/>
          <w:lang w:val="es-ES"/>
        </w:rPr>
        <w:t xml:space="preserve">pidió a la Secretaría de la OMPI </w:t>
      </w:r>
      <w:r w:rsidR="00984300" w:rsidRPr="00ED0FFC">
        <w:rPr>
          <w:color w:val="auto"/>
          <w:sz w:val="22"/>
          <w:szCs w:val="22"/>
          <w:lang w:val="es-ES"/>
        </w:rPr>
        <w:t>"</w:t>
      </w:r>
      <w:r w:rsidR="00553061" w:rsidRPr="00ED0FFC">
        <w:rPr>
          <w:color w:val="auto"/>
          <w:sz w:val="22"/>
          <w:szCs w:val="22"/>
          <w:lang w:val="es-ES"/>
        </w:rPr>
        <w:t xml:space="preserve">elaborar un esquema </w:t>
      </w:r>
      <w:r w:rsidR="00984300" w:rsidRPr="00ED0FFC">
        <w:rPr>
          <w:color w:val="auto"/>
          <w:sz w:val="22"/>
          <w:szCs w:val="22"/>
          <w:lang w:val="es-ES"/>
        </w:rPr>
        <w:t xml:space="preserve">de las actividades </w:t>
      </w:r>
      <w:r w:rsidR="00553061" w:rsidRPr="00ED0FFC">
        <w:rPr>
          <w:color w:val="auto"/>
          <w:sz w:val="22"/>
          <w:szCs w:val="22"/>
          <w:lang w:val="es-ES"/>
        </w:rPr>
        <w:t xml:space="preserve">actuales </w:t>
      </w:r>
      <w:r w:rsidR="00984300" w:rsidRPr="00ED0FFC">
        <w:rPr>
          <w:color w:val="auto"/>
          <w:sz w:val="22"/>
          <w:szCs w:val="22"/>
          <w:lang w:val="es-ES"/>
        </w:rPr>
        <w:t>de la OMPI relativas a la transferencia de tecnología</w:t>
      </w:r>
      <w:r w:rsidR="002B1093" w:rsidRPr="00ED0FFC">
        <w:rPr>
          <w:color w:val="auto"/>
          <w:sz w:val="22"/>
          <w:szCs w:val="22"/>
          <w:lang w:val="es-ES"/>
        </w:rPr>
        <w:t>”.</w:t>
      </w:r>
    </w:p>
    <w:p w:rsidR="002B1093" w:rsidRPr="00ED0FFC" w:rsidRDefault="002B1093" w:rsidP="007F60FD">
      <w:pPr>
        <w:rPr>
          <w:szCs w:val="22"/>
          <w:u w:val="single"/>
        </w:rPr>
      </w:pPr>
    </w:p>
    <w:p w:rsidR="002B1093" w:rsidRPr="00ED0FFC" w:rsidRDefault="005737B0" w:rsidP="007F60FD">
      <w:pPr>
        <w:rPr>
          <w:szCs w:val="22"/>
        </w:rPr>
      </w:pPr>
      <w:r w:rsidRPr="00ED0FFC">
        <w:rPr>
          <w:szCs w:val="22"/>
        </w:rPr>
        <w:fldChar w:fldCharType="begin"/>
      </w:r>
      <w:r w:rsidR="002B1093" w:rsidRPr="00ED0FFC">
        <w:rPr>
          <w:szCs w:val="22"/>
        </w:rPr>
        <w:instrText xml:space="preserve"> AUTONUM  </w:instrText>
      </w:r>
      <w:r w:rsidRPr="00ED0FFC">
        <w:rPr>
          <w:szCs w:val="22"/>
        </w:rPr>
        <w:fldChar w:fldCharType="end"/>
      </w:r>
      <w:r w:rsidR="002B1093" w:rsidRPr="00ED0FFC">
        <w:rPr>
          <w:szCs w:val="22"/>
        </w:rPr>
        <w:tab/>
      </w:r>
      <w:r w:rsidR="00984300" w:rsidRPr="00ED0FFC">
        <w:rPr>
          <w:szCs w:val="22"/>
        </w:rPr>
        <w:t>Por consiguiente</w:t>
      </w:r>
      <w:r w:rsidR="002B1093" w:rsidRPr="00ED0FFC">
        <w:rPr>
          <w:szCs w:val="22"/>
        </w:rPr>
        <w:t xml:space="preserve">, </w:t>
      </w:r>
      <w:r w:rsidR="00984300" w:rsidRPr="00ED0FFC">
        <w:rPr>
          <w:szCs w:val="22"/>
        </w:rPr>
        <w:t xml:space="preserve">el </w:t>
      </w:r>
      <w:r w:rsidR="00ED4358" w:rsidRPr="00ED0FFC">
        <w:rPr>
          <w:szCs w:val="22"/>
        </w:rPr>
        <w:t>A</w:t>
      </w:r>
      <w:r w:rsidR="00984300" w:rsidRPr="00ED0FFC">
        <w:rPr>
          <w:szCs w:val="22"/>
        </w:rPr>
        <w:t xml:space="preserve">nexo del presente documento contiene el citado </w:t>
      </w:r>
      <w:r w:rsidR="00553061" w:rsidRPr="00ED0FFC">
        <w:rPr>
          <w:szCs w:val="22"/>
        </w:rPr>
        <w:t xml:space="preserve">esquema </w:t>
      </w:r>
      <w:r w:rsidR="00984300" w:rsidRPr="00ED0FFC">
        <w:rPr>
          <w:szCs w:val="22"/>
        </w:rPr>
        <w:t>de las actividades desarrolladas por la OMPI durante el bieni</w:t>
      </w:r>
      <w:r w:rsidR="00222344" w:rsidRPr="00ED0FFC">
        <w:rPr>
          <w:szCs w:val="22"/>
        </w:rPr>
        <w:t>o 2</w:t>
      </w:r>
      <w:r w:rsidR="002B1093" w:rsidRPr="00ED0FFC">
        <w:rPr>
          <w:szCs w:val="22"/>
        </w:rPr>
        <w:t>014/15</w:t>
      </w:r>
      <w:r w:rsidR="00984300" w:rsidRPr="00ED0FFC">
        <w:rPr>
          <w:szCs w:val="22"/>
        </w:rPr>
        <w:t>.</w:t>
      </w:r>
    </w:p>
    <w:p w:rsidR="002B1093" w:rsidRPr="00ED0FFC" w:rsidRDefault="002B1093" w:rsidP="007F60FD">
      <w:pPr>
        <w:rPr>
          <w:szCs w:val="22"/>
        </w:rPr>
      </w:pPr>
    </w:p>
    <w:p w:rsidR="002B1093" w:rsidRPr="00ED0FFC" w:rsidRDefault="005737B0" w:rsidP="007F60FD">
      <w:pPr>
        <w:ind w:left="4536"/>
        <w:rPr>
          <w:i/>
          <w:iCs/>
          <w:szCs w:val="22"/>
        </w:rPr>
      </w:pPr>
      <w:r w:rsidRPr="00ED0FFC">
        <w:rPr>
          <w:szCs w:val="22"/>
        </w:rPr>
        <w:fldChar w:fldCharType="begin"/>
      </w:r>
      <w:r w:rsidR="002B1093" w:rsidRPr="00ED0FFC">
        <w:rPr>
          <w:szCs w:val="22"/>
        </w:rPr>
        <w:instrText xml:space="preserve"> AUTONUM  </w:instrText>
      </w:r>
      <w:r w:rsidRPr="00ED0FFC">
        <w:rPr>
          <w:szCs w:val="22"/>
        </w:rPr>
        <w:fldChar w:fldCharType="end"/>
      </w:r>
      <w:r w:rsidR="002B1093" w:rsidRPr="00ED0FFC">
        <w:rPr>
          <w:szCs w:val="22"/>
        </w:rPr>
        <w:tab/>
      </w:r>
      <w:r w:rsidR="00C06E1B" w:rsidRPr="00ED0FFC">
        <w:rPr>
          <w:i/>
          <w:szCs w:val="22"/>
        </w:rPr>
        <w:t>Se invita al CDIP a tomar nota de la información contenida en el Anexo del presente documento</w:t>
      </w:r>
      <w:r w:rsidR="002B1093" w:rsidRPr="00ED0FFC">
        <w:rPr>
          <w:i/>
          <w:iCs/>
          <w:szCs w:val="22"/>
        </w:rPr>
        <w:t>.</w:t>
      </w:r>
    </w:p>
    <w:p w:rsidR="002B1093" w:rsidRPr="00ED0FFC" w:rsidRDefault="002B1093" w:rsidP="007F60FD">
      <w:pPr>
        <w:rPr>
          <w:szCs w:val="22"/>
        </w:rPr>
      </w:pPr>
    </w:p>
    <w:p w:rsidR="002B1093" w:rsidRPr="00ED0FFC" w:rsidRDefault="002B1093" w:rsidP="007F60FD">
      <w:pPr>
        <w:rPr>
          <w:szCs w:val="22"/>
        </w:rPr>
      </w:pPr>
    </w:p>
    <w:p w:rsidR="002B1093" w:rsidRPr="00ED0FFC" w:rsidRDefault="002B1093" w:rsidP="007F60FD">
      <w:pPr>
        <w:rPr>
          <w:szCs w:val="22"/>
        </w:rPr>
      </w:pPr>
    </w:p>
    <w:p w:rsidR="002B1093" w:rsidRPr="00ED0FFC" w:rsidRDefault="002B1093" w:rsidP="007F60FD">
      <w:pPr>
        <w:ind w:left="4536"/>
        <w:rPr>
          <w:szCs w:val="22"/>
        </w:rPr>
      </w:pPr>
      <w:r w:rsidRPr="00ED0FFC">
        <w:rPr>
          <w:szCs w:val="22"/>
        </w:rPr>
        <w:t>[</w:t>
      </w:r>
      <w:r w:rsidR="00C06E1B" w:rsidRPr="00ED0FFC">
        <w:rPr>
          <w:szCs w:val="22"/>
        </w:rPr>
        <w:t>Sigue el Anexo</w:t>
      </w:r>
      <w:r w:rsidRPr="00ED0FFC">
        <w:rPr>
          <w:szCs w:val="22"/>
        </w:rPr>
        <w:t>]</w:t>
      </w:r>
    </w:p>
    <w:p w:rsidR="002B1093" w:rsidRPr="00ED0FFC" w:rsidRDefault="002B1093" w:rsidP="007F60FD">
      <w:pPr>
        <w:ind w:left="4536"/>
        <w:rPr>
          <w:szCs w:val="22"/>
        </w:rPr>
      </w:pPr>
    </w:p>
    <w:p w:rsidR="002B1093" w:rsidRPr="00ED0FFC" w:rsidRDefault="002B1093" w:rsidP="007F60FD">
      <w:pPr>
        <w:rPr>
          <w:szCs w:val="22"/>
        </w:rPr>
        <w:sectPr w:rsidR="002B1093" w:rsidRPr="00ED0FFC" w:rsidSect="008D15E4">
          <w:headerReference w:type="default" r:id="rId10"/>
          <w:pgSz w:w="11907" w:h="16840" w:code="9"/>
          <w:pgMar w:top="567" w:right="1418" w:bottom="1418" w:left="1418" w:header="709" w:footer="709" w:gutter="0"/>
          <w:cols w:space="720"/>
          <w:titlePg/>
          <w:docGrid w:linePitch="299"/>
        </w:sectPr>
      </w:pPr>
    </w:p>
    <w:p w:rsidR="002B1093" w:rsidRPr="00ED0FFC" w:rsidRDefault="002B1093" w:rsidP="007F60FD">
      <w:pPr>
        <w:pStyle w:val="Heading2"/>
        <w:ind w:left="567" w:hanging="567"/>
      </w:pPr>
      <w:r w:rsidRPr="00ED0FFC">
        <w:lastRenderedPageBreak/>
        <w:t>I.</w:t>
      </w:r>
      <w:r w:rsidRPr="00ED0FFC">
        <w:tab/>
      </w:r>
      <w:r w:rsidR="00D132E0" w:rsidRPr="00ED0FFC">
        <w:t xml:space="preserve">SERVICIOS </w:t>
      </w:r>
      <w:r w:rsidR="007E45FD" w:rsidRPr="00ED0FFC">
        <w:t xml:space="preserve">Y ACTIVIDADES </w:t>
      </w:r>
      <w:r w:rsidR="00D132E0" w:rsidRPr="00ED0FFC">
        <w:t xml:space="preserve">DE APOYO DE LA ompi </w:t>
      </w:r>
      <w:r w:rsidR="007E45FD" w:rsidRPr="00ED0FFC">
        <w:t xml:space="preserve">A </w:t>
      </w:r>
      <w:r w:rsidR="00D132E0" w:rsidRPr="00ED0FFC">
        <w:t xml:space="preserve">LA </w:t>
      </w:r>
      <w:r w:rsidR="007E45FD" w:rsidRPr="00ED0FFC">
        <w:t>TRANSFERENCIA</w:t>
      </w:r>
      <w:r w:rsidR="00D132E0" w:rsidRPr="00ED0FFC">
        <w:t xml:space="preserve"> DE TECNOLOGÍA PARA UNIVERSIDADES E INSTITUCIONES DE INVESTIGACIÓN</w:t>
      </w:r>
      <w:r w:rsidRPr="00ED0FFC">
        <w:t xml:space="preserve"> </w:t>
      </w:r>
    </w:p>
    <w:p w:rsidR="002B1093" w:rsidRPr="00ED0FFC" w:rsidRDefault="002B1093" w:rsidP="007F60FD">
      <w:pPr>
        <w:autoSpaceDE w:val="0"/>
        <w:autoSpaceDN w:val="0"/>
        <w:adjustRightInd w:val="0"/>
        <w:rPr>
          <w:szCs w:val="22"/>
        </w:rPr>
      </w:pPr>
    </w:p>
    <w:p w:rsidR="002B1093" w:rsidRPr="00ED0FFC" w:rsidRDefault="002B1093" w:rsidP="007F60FD">
      <w:pPr>
        <w:rPr>
          <w:szCs w:val="22"/>
        </w:rPr>
      </w:pPr>
      <w:r w:rsidRPr="00ED0FFC">
        <w:rPr>
          <w:szCs w:val="22"/>
        </w:rPr>
        <w:t>1.</w:t>
      </w:r>
      <w:r w:rsidRPr="00ED0FFC">
        <w:rPr>
          <w:szCs w:val="22"/>
        </w:rPr>
        <w:tab/>
      </w:r>
      <w:r w:rsidR="00D132E0" w:rsidRPr="00ED0FFC">
        <w:rPr>
          <w:szCs w:val="22"/>
        </w:rPr>
        <w:t xml:space="preserve">La Secretaría proporcionó información </w:t>
      </w:r>
      <w:r w:rsidR="00B500B0" w:rsidRPr="00ED0FFC">
        <w:rPr>
          <w:szCs w:val="22"/>
        </w:rPr>
        <w:t xml:space="preserve">de los grupos </w:t>
      </w:r>
      <w:r w:rsidR="00D132E0" w:rsidRPr="00ED0FFC">
        <w:rPr>
          <w:szCs w:val="22"/>
        </w:rPr>
        <w:t xml:space="preserve">acerca </w:t>
      </w:r>
      <w:r w:rsidR="00930EB8" w:rsidRPr="00ED0FFC">
        <w:rPr>
          <w:szCs w:val="22"/>
        </w:rPr>
        <w:t xml:space="preserve">del efecto previsto </w:t>
      </w:r>
      <w:r w:rsidR="00D132E0" w:rsidRPr="00ED0FFC">
        <w:rPr>
          <w:szCs w:val="22"/>
        </w:rPr>
        <w:t xml:space="preserve">de los actuales servicios relacionados con la transferencia </w:t>
      </w:r>
      <w:r w:rsidR="00B71628" w:rsidRPr="00ED0FFC">
        <w:rPr>
          <w:szCs w:val="22"/>
        </w:rPr>
        <w:t xml:space="preserve">de tecnología </w:t>
      </w:r>
      <w:r w:rsidR="00B500B0" w:rsidRPr="00ED0FFC">
        <w:rPr>
          <w:szCs w:val="22"/>
        </w:rPr>
        <w:t>sobre las bases de</w:t>
      </w:r>
      <w:r w:rsidRPr="00ED0FFC">
        <w:rPr>
          <w:szCs w:val="22"/>
        </w:rPr>
        <w:t xml:space="preserve"> </w:t>
      </w:r>
      <w:r w:rsidR="00B500B0" w:rsidRPr="00ED0FFC">
        <w:rPr>
          <w:szCs w:val="22"/>
        </w:rPr>
        <w:t>ecosistemas propicios para los principales generadores de conocimiento y P.I. en los países en desarrollo</w:t>
      </w:r>
      <w:r w:rsidR="00930EB8" w:rsidRPr="00ED0FFC">
        <w:rPr>
          <w:szCs w:val="22"/>
        </w:rPr>
        <w:t xml:space="preserve"> </w:t>
      </w:r>
      <w:r w:rsidRPr="00ED0FFC">
        <w:rPr>
          <w:szCs w:val="22"/>
        </w:rPr>
        <w:t>(</w:t>
      </w:r>
      <w:r w:rsidR="00B71628" w:rsidRPr="00ED0FFC">
        <w:rPr>
          <w:szCs w:val="22"/>
        </w:rPr>
        <w:t>u</w:t>
      </w:r>
      <w:r w:rsidRPr="00ED0FFC">
        <w:rPr>
          <w:szCs w:val="22"/>
        </w:rPr>
        <w:t>niversi</w:t>
      </w:r>
      <w:r w:rsidR="00B500B0" w:rsidRPr="00ED0FFC">
        <w:rPr>
          <w:szCs w:val="22"/>
        </w:rPr>
        <w:t xml:space="preserve">dades e </w:t>
      </w:r>
      <w:r w:rsidR="00B71628" w:rsidRPr="00ED0FFC">
        <w:rPr>
          <w:szCs w:val="22"/>
        </w:rPr>
        <w:t>i</w:t>
      </w:r>
      <w:r w:rsidR="00B500B0" w:rsidRPr="00ED0FFC">
        <w:rPr>
          <w:szCs w:val="22"/>
        </w:rPr>
        <w:t xml:space="preserve">nstituciones de </w:t>
      </w:r>
      <w:r w:rsidR="00B71628" w:rsidRPr="00ED0FFC">
        <w:rPr>
          <w:szCs w:val="22"/>
        </w:rPr>
        <w:t>i</w:t>
      </w:r>
      <w:r w:rsidR="00B500B0" w:rsidRPr="00ED0FFC">
        <w:rPr>
          <w:szCs w:val="22"/>
        </w:rPr>
        <w:t xml:space="preserve">nvestigación y </w:t>
      </w:r>
      <w:r w:rsidR="00B71628" w:rsidRPr="00ED0FFC">
        <w:rPr>
          <w:szCs w:val="22"/>
        </w:rPr>
        <w:t>d</w:t>
      </w:r>
      <w:r w:rsidR="00B500B0" w:rsidRPr="00ED0FFC">
        <w:rPr>
          <w:szCs w:val="22"/>
        </w:rPr>
        <w:t xml:space="preserve">esarrollo </w:t>
      </w:r>
      <w:r w:rsidRPr="00ED0FFC">
        <w:rPr>
          <w:szCs w:val="22"/>
        </w:rPr>
        <w:t>(</w:t>
      </w:r>
      <w:r w:rsidR="00B500B0" w:rsidRPr="00ED0FFC">
        <w:rPr>
          <w:szCs w:val="22"/>
        </w:rPr>
        <w:t>I+</w:t>
      </w:r>
      <w:r w:rsidRPr="00ED0FFC">
        <w:rPr>
          <w:szCs w:val="22"/>
        </w:rPr>
        <w:t xml:space="preserve">D)). </w:t>
      </w:r>
      <w:r w:rsidR="00B500B0" w:rsidRPr="00ED0FFC">
        <w:rPr>
          <w:szCs w:val="22"/>
        </w:rPr>
        <w:t xml:space="preserve"> Además, </w:t>
      </w:r>
      <w:r w:rsidR="00A26C53" w:rsidRPr="00ED0FFC">
        <w:rPr>
          <w:szCs w:val="22"/>
        </w:rPr>
        <w:t>se presentan más adelante</w:t>
      </w:r>
      <w:r w:rsidR="00B71628" w:rsidRPr="00ED0FFC">
        <w:rPr>
          <w:szCs w:val="22"/>
        </w:rPr>
        <w:t xml:space="preserve"> </w:t>
      </w:r>
      <w:r w:rsidR="000A2188" w:rsidRPr="00ED0FFC">
        <w:rPr>
          <w:szCs w:val="22"/>
        </w:rPr>
        <w:t xml:space="preserve">las actividades relativas a la colaboración y el intercambio de información con otras organizaciones internacionales y regionales relevantes que pueden proporcionar servicios de </w:t>
      </w:r>
      <w:r w:rsidR="004C1CA4" w:rsidRPr="00ED0FFC">
        <w:rPr>
          <w:szCs w:val="22"/>
        </w:rPr>
        <w:t>transferencia de conocimiento</w:t>
      </w:r>
      <w:r w:rsidR="00B71628" w:rsidRPr="00ED0FFC">
        <w:rPr>
          <w:szCs w:val="22"/>
        </w:rPr>
        <w:t>s</w:t>
      </w:r>
      <w:r w:rsidR="000A2188" w:rsidRPr="00ED0FFC">
        <w:rPr>
          <w:szCs w:val="22"/>
        </w:rPr>
        <w:t xml:space="preserve"> más allá del mandato de la OMPI, con información específica acerca de </w:t>
      </w:r>
      <w:r w:rsidR="00DB5B8B" w:rsidRPr="00ED0FFC">
        <w:rPr>
          <w:szCs w:val="22"/>
        </w:rPr>
        <w:t>actividades</w:t>
      </w:r>
      <w:r w:rsidR="000A2188" w:rsidRPr="00ED0FFC">
        <w:rPr>
          <w:szCs w:val="22"/>
        </w:rPr>
        <w:t xml:space="preserve"> y</w:t>
      </w:r>
      <w:r w:rsidR="00930EB8" w:rsidRPr="00ED0FFC">
        <w:rPr>
          <w:szCs w:val="22"/>
        </w:rPr>
        <w:t>/</w:t>
      </w:r>
      <w:r w:rsidR="000A2188" w:rsidRPr="00ED0FFC">
        <w:rPr>
          <w:szCs w:val="22"/>
        </w:rPr>
        <w:t xml:space="preserve">o países donde esos servicios se prestaron </w:t>
      </w:r>
      <w:r w:rsidR="00930EB8" w:rsidRPr="00ED0FFC">
        <w:rPr>
          <w:szCs w:val="22"/>
        </w:rPr>
        <w:t>en el reciente bienio</w:t>
      </w:r>
      <w:r w:rsidR="00C06E1B" w:rsidRPr="00ED0FFC">
        <w:rPr>
          <w:szCs w:val="22"/>
        </w:rPr>
        <w:t> </w:t>
      </w:r>
      <w:r w:rsidRPr="00ED0FFC">
        <w:rPr>
          <w:szCs w:val="22"/>
        </w:rPr>
        <w:t xml:space="preserve">2014/15.  </w:t>
      </w:r>
      <w:r w:rsidR="00930EB8" w:rsidRPr="00ED0FFC">
        <w:rPr>
          <w:szCs w:val="22"/>
        </w:rPr>
        <w:t>Los servicios identificados se presentan en los capítulos temáticos siguientes</w:t>
      </w:r>
      <w:r w:rsidRPr="00ED0FFC">
        <w:rPr>
          <w:szCs w:val="22"/>
        </w:rPr>
        <w:t>:</w:t>
      </w:r>
    </w:p>
    <w:p w:rsidR="002B1093" w:rsidRPr="00ED0FFC" w:rsidRDefault="002B1093" w:rsidP="007F60FD">
      <w:pPr>
        <w:rPr>
          <w:szCs w:val="22"/>
        </w:rPr>
      </w:pPr>
    </w:p>
    <w:p w:rsidR="002B1093" w:rsidRPr="00ED0FFC" w:rsidRDefault="002D47DA" w:rsidP="007F60FD">
      <w:pPr>
        <w:numPr>
          <w:ilvl w:val="0"/>
          <w:numId w:val="13"/>
        </w:numPr>
        <w:ind w:left="574" w:hanging="7"/>
        <w:rPr>
          <w:szCs w:val="22"/>
        </w:rPr>
      </w:pPr>
      <w:r w:rsidRPr="00ED0FFC">
        <w:rPr>
          <w:szCs w:val="22"/>
        </w:rPr>
        <w:t xml:space="preserve">Servicios de asesoramiento y programas relativos a la creación de un marco </w:t>
      </w:r>
      <w:r w:rsidR="00393081" w:rsidRPr="00ED0FFC">
        <w:rPr>
          <w:szCs w:val="22"/>
        </w:rPr>
        <w:t>jurídico</w:t>
      </w:r>
      <w:r w:rsidRPr="00ED0FFC">
        <w:rPr>
          <w:szCs w:val="22"/>
        </w:rPr>
        <w:t xml:space="preserve"> propicio para el conocimiento </w:t>
      </w:r>
      <w:r w:rsidR="002B1093" w:rsidRPr="00ED0FFC">
        <w:rPr>
          <w:szCs w:val="22"/>
        </w:rPr>
        <w:t xml:space="preserve">/ </w:t>
      </w:r>
      <w:r w:rsidR="00DB5B8B" w:rsidRPr="00ED0FFC">
        <w:rPr>
          <w:szCs w:val="22"/>
        </w:rPr>
        <w:t xml:space="preserve">la </w:t>
      </w:r>
      <w:r w:rsidRPr="00ED0FFC">
        <w:rPr>
          <w:szCs w:val="22"/>
        </w:rPr>
        <w:t>transferencia de tecnología</w:t>
      </w:r>
      <w:r w:rsidR="002B1093" w:rsidRPr="00ED0FFC">
        <w:rPr>
          <w:szCs w:val="22"/>
        </w:rPr>
        <w:t>;</w:t>
      </w:r>
    </w:p>
    <w:p w:rsidR="002B1093" w:rsidRPr="00ED0FFC" w:rsidRDefault="002B1093" w:rsidP="007F60FD">
      <w:pPr>
        <w:ind w:left="574"/>
        <w:rPr>
          <w:szCs w:val="22"/>
        </w:rPr>
      </w:pPr>
    </w:p>
    <w:p w:rsidR="002B1093" w:rsidRPr="00ED0FFC" w:rsidRDefault="002D47DA" w:rsidP="007F60FD">
      <w:pPr>
        <w:numPr>
          <w:ilvl w:val="0"/>
          <w:numId w:val="13"/>
        </w:numPr>
        <w:ind w:left="574" w:hanging="7"/>
        <w:rPr>
          <w:szCs w:val="22"/>
        </w:rPr>
      </w:pPr>
      <w:r w:rsidRPr="00ED0FFC">
        <w:rPr>
          <w:szCs w:val="22"/>
        </w:rPr>
        <w:t xml:space="preserve">Establecimiento de estructuras </w:t>
      </w:r>
      <w:r w:rsidR="00E0784D" w:rsidRPr="00ED0FFC">
        <w:rPr>
          <w:szCs w:val="22"/>
        </w:rPr>
        <w:t>institucionales</w:t>
      </w:r>
      <w:r w:rsidRPr="00ED0FFC">
        <w:rPr>
          <w:szCs w:val="22"/>
        </w:rPr>
        <w:t xml:space="preserve"> de conocimiento </w:t>
      </w:r>
      <w:r w:rsidR="002B1093" w:rsidRPr="00ED0FFC">
        <w:rPr>
          <w:szCs w:val="22"/>
        </w:rPr>
        <w:t xml:space="preserve">/ </w:t>
      </w:r>
      <w:r w:rsidR="00DB5B8B" w:rsidRPr="00ED0FFC">
        <w:rPr>
          <w:szCs w:val="22"/>
        </w:rPr>
        <w:t xml:space="preserve">de </w:t>
      </w:r>
      <w:r w:rsidRPr="00ED0FFC">
        <w:rPr>
          <w:szCs w:val="22"/>
        </w:rPr>
        <w:t>transferencia de tecnología</w:t>
      </w:r>
      <w:r w:rsidR="002B1093" w:rsidRPr="00ED0FFC">
        <w:rPr>
          <w:szCs w:val="22"/>
        </w:rPr>
        <w:t>;</w:t>
      </w:r>
    </w:p>
    <w:p w:rsidR="002B1093" w:rsidRPr="00ED0FFC" w:rsidRDefault="002B1093" w:rsidP="007F60FD">
      <w:pPr>
        <w:ind w:left="574"/>
        <w:rPr>
          <w:szCs w:val="22"/>
        </w:rPr>
      </w:pPr>
    </w:p>
    <w:p w:rsidR="002B1093" w:rsidRPr="00ED0FFC" w:rsidRDefault="002B1093" w:rsidP="007F60FD">
      <w:pPr>
        <w:numPr>
          <w:ilvl w:val="0"/>
          <w:numId w:val="13"/>
        </w:numPr>
        <w:ind w:left="574" w:hanging="7"/>
        <w:rPr>
          <w:szCs w:val="22"/>
        </w:rPr>
      </w:pPr>
      <w:r w:rsidRPr="00ED0FFC">
        <w:rPr>
          <w:szCs w:val="22"/>
        </w:rPr>
        <w:t>De</w:t>
      </w:r>
      <w:r w:rsidR="002D47DA" w:rsidRPr="00ED0FFC">
        <w:rPr>
          <w:szCs w:val="22"/>
        </w:rPr>
        <w:t>sarrollo de</w:t>
      </w:r>
      <w:r w:rsidR="006C247E" w:rsidRPr="00ED0FFC">
        <w:rPr>
          <w:szCs w:val="22"/>
        </w:rPr>
        <w:t>l</w:t>
      </w:r>
      <w:r w:rsidR="002D47DA" w:rsidRPr="00ED0FFC">
        <w:rPr>
          <w:szCs w:val="22"/>
        </w:rPr>
        <w:t xml:space="preserve"> capital humano </w:t>
      </w:r>
      <w:r w:rsidRPr="00ED0FFC">
        <w:rPr>
          <w:szCs w:val="22"/>
        </w:rPr>
        <w:t xml:space="preserve">– </w:t>
      </w:r>
      <w:r w:rsidR="002D47DA" w:rsidRPr="00ED0FFC">
        <w:rPr>
          <w:szCs w:val="22"/>
        </w:rPr>
        <w:t>Programas de fortalecimiento de capacidades</w:t>
      </w:r>
      <w:r w:rsidRPr="00ED0FFC">
        <w:rPr>
          <w:szCs w:val="22"/>
        </w:rPr>
        <w:t>;</w:t>
      </w:r>
    </w:p>
    <w:p w:rsidR="002B1093" w:rsidRPr="00ED0FFC" w:rsidRDefault="002B1093" w:rsidP="007F60FD">
      <w:pPr>
        <w:ind w:left="574"/>
        <w:rPr>
          <w:szCs w:val="22"/>
        </w:rPr>
      </w:pPr>
    </w:p>
    <w:p w:rsidR="002B1093" w:rsidRPr="00ED0FFC" w:rsidRDefault="002B1093" w:rsidP="007F60FD">
      <w:pPr>
        <w:numPr>
          <w:ilvl w:val="0"/>
          <w:numId w:val="13"/>
        </w:numPr>
        <w:ind w:left="574" w:hanging="7"/>
        <w:rPr>
          <w:szCs w:val="22"/>
        </w:rPr>
      </w:pPr>
      <w:r w:rsidRPr="00ED0FFC">
        <w:rPr>
          <w:szCs w:val="22"/>
        </w:rPr>
        <w:t>Crea</w:t>
      </w:r>
      <w:r w:rsidR="002D47DA" w:rsidRPr="00ED0FFC">
        <w:rPr>
          <w:szCs w:val="22"/>
        </w:rPr>
        <w:t>ción de herramientas, manuales y materiales de formación</w:t>
      </w:r>
      <w:r w:rsidRPr="00ED0FFC">
        <w:rPr>
          <w:szCs w:val="22"/>
        </w:rPr>
        <w:t>;</w:t>
      </w:r>
    </w:p>
    <w:p w:rsidR="002B1093" w:rsidRPr="00ED0FFC" w:rsidRDefault="002B1093" w:rsidP="007F60FD">
      <w:pPr>
        <w:ind w:left="574"/>
        <w:rPr>
          <w:szCs w:val="22"/>
        </w:rPr>
      </w:pPr>
    </w:p>
    <w:p w:rsidR="002B1093" w:rsidRPr="00ED0FFC" w:rsidRDefault="0069584F" w:rsidP="007F60FD">
      <w:pPr>
        <w:numPr>
          <w:ilvl w:val="0"/>
          <w:numId w:val="13"/>
        </w:numPr>
        <w:ind w:left="574" w:hanging="7"/>
        <w:rPr>
          <w:szCs w:val="22"/>
        </w:rPr>
      </w:pPr>
      <w:r w:rsidRPr="00ED0FFC">
        <w:rPr>
          <w:szCs w:val="22"/>
        </w:rPr>
        <w:t>Comités permanentes de la OMPI que abordan cuestiones relacionadas con la transferencia de tecnología</w:t>
      </w:r>
      <w:r w:rsidR="002B1093" w:rsidRPr="00ED0FFC">
        <w:rPr>
          <w:szCs w:val="22"/>
        </w:rPr>
        <w:t>;</w:t>
      </w:r>
    </w:p>
    <w:p w:rsidR="002B1093" w:rsidRPr="00ED0FFC" w:rsidRDefault="002B1093" w:rsidP="007F60FD">
      <w:pPr>
        <w:ind w:left="574"/>
        <w:rPr>
          <w:szCs w:val="22"/>
        </w:rPr>
      </w:pPr>
    </w:p>
    <w:p w:rsidR="002B1093" w:rsidRPr="00ED0FFC" w:rsidRDefault="00E44344" w:rsidP="007F60FD">
      <w:pPr>
        <w:numPr>
          <w:ilvl w:val="0"/>
          <w:numId w:val="13"/>
        </w:numPr>
        <w:ind w:left="574" w:hanging="7"/>
        <w:rPr>
          <w:szCs w:val="22"/>
        </w:rPr>
      </w:pPr>
      <w:r w:rsidRPr="00ED0FFC">
        <w:rPr>
          <w:szCs w:val="22"/>
        </w:rPr>
        <w:t>Colaboraciones facilitadas por la OMPI en esferas específicas de</w:t>
      </w:r>
      <w:r w:rsidR="00CB4300" w:rsidRPr="00ED0FFC">
        <w:rPr>
          <w:szCs w:val="22"/>
        </w:rPr>
        <w:t>l</w:t>
      </w:r>
      <w:r w:rsidRPr="00ED0FFC">
        <w:rPr>
          <w:szCs w:val="22"/>
        </w:rPr>
        <w:t xml:space="preserve"> conocimiento / </w:t>
      </w:r>
      <w:r w:rsidR="00DB5B8B" w:rsidRPr="00ED0FFC">
        <w:rPr>
          <w:szCs w:val="22"/>
        </w:rPr>
        <w:t xml:space="preserve">de la </w:t>
      </w:r>
      <w:r w:rsidRPr="00ED0FFC">
        <w:rPr>
          <w:szCs w:val="22"/>
        </w:rPr>
        <w:t>transferencia de tecnología</w:t>
      </w:r>
      <w:r w:rsidR="002B1093" w:rsidRPr="00ED0FFC">
        <w:rPr>
          <w:szCs w:val="22"/>
        </w:rPr>
        <w:t xml:space="preserve">; </w:t>
      </w:r>
    </w:p>
    <w:p w:rsidR="002B1093" w:rsidRPr="00ED0FFC" w:rsidRDefault="002B1093" w:rsidP="007F60FD">
      <w:pPr>
        <w:ind w:left="574"/>
        <w:rPr>
          <w:szCs w:val="22"/>
        </w:rPr>
      </w:pPr>
    </w:p>
    <w:p w:rsidR="002B1093" w:rsidRPr="00ED0FFC" w:rsidRDefault="00E44344" w:rsidP="007F60FD">
      <w:pPr>
        <w:numPr>
          <w:ilvl w:val="0"/>
          <w:numId w:val="13"/>
        </w:numPr>
        <w:ind w:left="574" w:hanging="7"/>
        <w:rPr>
          <w:szCs w:val="22"/>
        </w:rPr>
      </w:pPr>
      <w:r w:rsidRPr="00ED0FFC">
        <w:rPr>
          <w:szCs w:val="22"/>
        </w:rPr>
        <w:t xml:space="preserve">Participación de la OMPI en foros relevantes de </w:t>
      </w:r>
      <w:r w:rsidR="004C1CA4" w:rsidRPr="00ED0FFC">
        <w:rPr>
          <w:szCs w:val="22"/>
        </w:rPr>
        <w:t>transferencia de conocimiento</w:t>
      </w:r>
      <w:r w:rsidR="00CB4300" w:rsidRPr="00ED0FFC">
        <w:rPr>
          <w:szCs w:val="22"/>
        </w:rPr>
        <w:t>s</w:t>
      </w:r>
      <w:r w:rsidR="002B1093" w:rsidRPr="00ED0FFC">
        <w:rPr>
          <w:szCs w:val="22"/>
        </w:rPr>
        <w:t xml:space="preserve">;  </w:t>
      </w:r>
      <w:r w:rsidRPr="00ED0FFC">
        <w:rPr>
          <w:szCs w:val="22"/>
        </w:rPr>
        <w:t>y</w:t>
      </w:r>
    </w:p>
    <w:p w:rsidR="002B1093" w:rsidRPr="00ED0FFC" w:rsidRDefault="002B1093" w:rsidP="007F60FD">
      <w:pPr>
        <w:ind w:left="574"/>
        <w:rPr>
          <w:szCs w:val="22"/>
        </w:rPr>
      </w:pPr>
    </w:p>
    <w:p w:rsidR="002B1093" w:rsidRPr="00ED0FFC" w:rsidRDefault="005D1F5D" w:rsidP="007F60FD">
      <w:pPr>
        <w:numPr>
          <w:ilvl w:val="0"/>
          <w:numId w:val="13"/>
        </w:numPr>
        <w:ind w:left="574" w:hanging="7"/>
        <w:rPr>
          <w:szCs w:val="22"/>
        </w:rPr>
      </w:pPr>
      <w:r w:rsidRPr="00ED0FFC">
        <w:rPr>
          <w:szCs w:val="22"/>
        </w:rPr>
        <w:t>Estudios e investigaciones en el ámbito de la economía</w:t>
      </w:r>
      <w:r w:rsidR="00E44344" w:rsidRPr="00ED0FFC">
        <w:rPr>
          <w:szCs w:val="22"/>
        </w:rPr>
        <w:t xml:space="preserve"> sobre </w:t>
      </w:r>
      <w:r w:rsidR="00614536" w:rsidRPr="00ED0FFC">
        <w:rPr>
          <w:szCs w:val="22"/>
        </w:rPr>
        <w:t xml:space="preserve">las </w:t>
      </w:r>
      <w:r w:rsidR="00E44344" w:rsidRPr="00ED0FFC">
        <w:rPr>
          <w:szCs w:val="22"/>
        </w:rPr>
        <w:t xml:space="preserve">políticas y </w:t>
      </w:r>
      <w:r w:rsidR="00614536" w:rsidRPr="00ED0FFC">
        <w:rPr>
          <w:szCs w:val="22"/>
        </w:rPr>
        <w:t xml:space="preserve">los </w:t>
      </w:r>
      <w:r w:rsidR="00E44344" w:rsidRPr="00ED0FFC">
        <w:rPr>
          <w:szCs w:val="22"/>
        </w:rPr>
        <w:t>resultados de la transferencia de tecnología</w:t>
      </w:r>
      <w:r w:rsidR="002B1093" w:rsidRPr="00ED0FFC">
        <w:rPr>
          <w:szCs w:val="22"/>
        </w:rPr>
        <w:t>.</w:t>
      </w:r>
    </w:p>
    <w:p w:rsidR="002B1093" w:rsidRPr="00ED0FFC" w:rsidRDefault="002B1093" w:rsidP="007F60FD">
      <w:pPr>
        <w:rPr>
          <w:szCs w:val="22"/>
        </w:rPr>
      </w:pPr>
    </w:p>
    <w:p w:rsidR="002B1093" w:rsidRPr="00ED0FFC" w:rsidRDefault="00E44344" w:rsidP="007F60FD">
      <w:pPr>
        <w:pStyle w:val="Heading2"/>
        <w:ind w:left="567" w:hanging="567"/>
      </w:pPr>
      <w:r w:rsidRPr="00ED0FFC">
        <w:t>II.</w:t>
      </w:r>
      <w:r w:rsidRPr="00ED0FFC">
        <w:tab/>
        <w:t xml:space="preserve">SERVICIOS DE ASESORAMIENTO Y PROGRAMAS RELATIVOS A LA CREACIÓN DE UN MARCO </w:t>
      </w:r>
      <w:r w:rsidR="00393081" w:rsidRPr="00ED0FFC">
        <w:t>JURÍDICO</w:t>
      </w:r>
      <w:r w:rsidRPr="00ED0FFC">
        <w:t xml:space="preserve"> PROPICIO PARA LA TRANSFERENCIA DE TECNOLOGÍA</w:t>
      </w:r>
    </w:p>
    <w:p w:rsidR="002B1093" w:rsidRPr="00ED0FFC" w:rsidRDefault="002B1093" w:rsidP="007F60FD">
      <w:pPr>
        <w:rPr>
          <w:szCs w:val="22"/>
          <w:u w:val="single"/>
        </w:rPr>
      </w:pPr>
    </w:p>
    <w:p w:rsidR="00742E3D" w:rsidRPr="00ED0FFC" w:rsidRDefault="002B1093" w:rsidP="007F60FD">
      <w:pPr>
        <w:rPr>
          <w:szCs w:val="22"/>
        </w:rPr>
      </w:pPr>
      <w:r w:rsidRPr="00ED0FFC">
        <w:rPr>
          <w:szCs w:val="22"/>
        </w:rPr>
        <w:t>2.</w:t>
      </w:r>
      <w:r w:rsidRPr="00ED0FFC">
        <w:rPr>
          <w:szCs w:val="22"/>
        </w:rPr>
        <w:tab/>
      </w:r>
      <w:r w:rsidR="00E44344" w:rsidRPr="00ED0FFC">
        <w:rPr>
          <w:bCs/>
          <w:i/>
          <w:iCs/>
          <w:szCs w:val="22"/>
        </w:rPr>
        <w:t>Políticas</w:t>
      </w:r>
      <w:r w:rsidR="00614536" w:rsidRPr="00ED0FFC">
        <w:rPr>
          <w:bCs/>
          <w:i/>
          <w:iCs/>
          <w:szCs w:val="22"/>
        </w:rPr>
        <w:t xml:space="preserve"> de innovación</w:t>
      </w:r>
      <w:r w:rsidR="00E44344" w:rsidRPr="00ED0FFC">
        <w:rPr>
          <w:bCs/>
          <w:i/>
          <w:iCs/>
          <w:szCs w:val="22"/>
        </w:rPr>
        <w:t xml:space="preserve"> </w:t>
      </w:r>
      <w:r w:rsidRPr="00ED0FFC">
        <w:rPr>
          <w:szCs w:val="22"/>
        </w:rPr>
        <w:t xml:space="preserve"> – Dur</w:t>
      </w:r>
      <w:r w:rsidR="00E44344" w:rsidRPr="00ED0FFC">
        <w:rPr>
          <w:szCs w:val="22"/>
        </w:rPr>
        <w:t>ant</w:t>
      </w:r>
      <w:r w:rsidR="00222344" w:rsidRPr="00ED0FFC">
        <w:rPr>
          <w:szCs w:val="22"/>
        </w:rPr>
        <w:t>e 2</w:t>
      </w:r>
      <w:r w:rsidRPr="00ED0FFC">
        <w:rPr>
          <w:szCs w:val="22"/>
        </w:rPr>
        <w:t xml:space="preserve">014 </w:t>
      </w:r>
      <w:r w:rsidR="00222344" w:rsidRPr="00ED0FFC">
        <w:rPr>
          <w:szCs w:val="22"/>
        </w:rPr>
        <w:t>y 2</w:t>
      </w:r>
      <w:r w:rsidRPr="00ED0FFC">
        <w:rPr>
          <w:szCs w:val="22"/>
        </w:rPr>
        <w:t xml:space="preserve">015, </w:t>
      </w:r>
      <w:r w:rsidR="00E44344" w:rsidRPr="00ED0FFC">
        <w:rPr>
          <w:szCs w:val="22"/>
        </w:rPr>
        <w:t>la Sección de Políticas de Innovación</w:t>
      </w:r>
      <w:r w:rsidR="00DB5B8B" w:rsidRPr="00ED0FFC">
        <w:rPr>
          <w:szCs w:val="22"/>
        </w:rPr>
        <w:t>, en</w:t>
      </w:r>
      <w:r w:rsidR="00742E3D" w:rsidRPr="00ED0FFC">
        <w:rPr>
          <w:szCs w:val="22"/>
        </w:rPr>
        <w:t xml:space="preserve"> </w:t>
      </w:r>
      <w:r w:rsidR="00EC4113" w:rsidRPr="00ED0FFC">
        <w:rPr>
          <w:szCs w:val="22"/>
        </w:rPr>
        <w:t>la División de Apoyo a</w:t>
      </w:r>
      <w:r w:rsidR="00E44344" w:rsidRPr="00ED0FFC">
        <w:rPr>
          <w:szCs w:val="22"/>
        </w:rPr>
        <w:t xml:space="preserve"> la Capacidad Empresarial</w:t>
      </w:r>
      <w:r w:rsidR="00A33566" w:rsidRPr="00ED0FFC">
        <w:rPr>
          <w:szCs w:val="22"/>
        </w:rPr>
        <w:t xml:space="preserve"> y a las Pe</w:t>
      </w:r>
      <w:r w:rsidR="00EC4113" w:rsidRPr="00ED0FFC">
        <w:rPr>
          <w:szCs w:val="22"/>
        </w:rPr>
        <w:t>queñas y Medianas Empresas (</w:t>
      </w:r>
      <w:r w:rsidR="00901265" w:rsidRPr="00ED0FFC">
        <w:rPr>
          <w:szCs w:val="22"/>
        </w:rPr>
        <w:t>Pymes</w:t>
      </w:r>
      <w:r w:rsidR="00EC4113" w:rsidRPr="00ED0FFC">
        <w:rPr>
          <w:szCs w:val="22"/>
        </w:rPr>
        <w:t>)</w:t>
      </w:r>
      <w:r w:rsidR="00E44344" w:rsidRPr="00ED0FFC">
        <w:rPr>
          <w:szCs w:val="22"/>
        </w:rPr>
        <w:t xml:space="preserve">, acometió una serie de proyectos </w:t>
      </w:r>
      <w:r w:rsidR="00AE54A7" w:rsidRPr="00ED0FFC">
        <w:rPr>
          <w:szCs w:val="22"/>
        </w:rPr>
        <w:t>para ayudar a los Estados miembros a integrar consideraciones de P.I. en sus políticas de innovación</w:t>
      </w:r>
      <w:r w:rsidRPr="00ED0FFC">
        <w:rPr>
          <w:szCs w:val="22"/>
        </w:rPr>
        <w:t xml:space="preserve">.  </w:t>
      </w:r>
      <w:r w:rsidR="00AE54A7" w:rsidRPr="00ED0FFC">
        <w:rPr>
          <w:szCs w:val="22"/>
        </w:rPr>
        <w:t>En ese contexto las recomendaciones</w:t>
      </w:r>
      <w:r w:rsidR="00C84617" w:rsidRPr="00ED0FFC">
        <w:rPr>
          <w:szCs w:val="22"/>
        </w:rPr>
        <w:t xml:space="preserve"> formuladas</w:t>
      </w:r>
      <w:r w:rsidR="00AE54A7" w:rsidRPr="00ED0FFC">
        <w:rPr>
          <w:szCs w:val="22"/>
        </w:rPr>
        <w:t xml:space="preserve"> a </w:t>
      </w:r>
      <w:r w:rsidRPr="00ED0FFC">
        <w:rPr>
          <w:szCs w:val="22"/>
        </w:rPr>
        <w:t>Camer</w:t>
      </w:r>
      <w:r w:rsidR="00AE54A7" w:rsidRPr="00ED0FFC">
        <w:rPr>
          <w:szCs w:val="22"/>
        </w:rPr>
        <w:t>ún</w:t>
      </w:r>
      <w:r w:rsidRPr="00ED0FFC">
        <w:rPr>
          <w:szCs w:val="22"/>
        </w:rPr>
        <w:t>, Sri Lanka, R</w:t>
      </w:r>
      <w:r w:rsidR="00AE54A7" w:rsidRPr="00ED0FFC">
        <w:rPr>
          <w:szCs w:val="22"/>
        </w:rPr>
        <w:t>u</w:t>
      </w:r>
      <w:r w:rsidRPr="00ED0FFC">
        <w:rPr>
          <w:szCs w:val="22"/>
        </w:rPr>
        <w:t xml:space="preserve">anda, Jamaica </w:t>
      </w:r>
      <w:r w:rsidR="00AE54A7" w:rsidRPr="00ED0FFC">
        <w:rPr>
          <w:szCs w:val="22"/>
        </w:rPr>
        <w:t xml:space="preserve">y </w:t>
      </w:r>
      <w:r w:rsidRPr="00ED0FFC">
        <w:rPr>
          <w:szCs w:val="22"/>
        </w:rPr>
        <w:t xml:space="preserve">Trinidad </w:t>
      </w:r>
      <w:r w:rsidR="00AE54A7" w:rsidRPr="00ED0FFC">
        <w:rPr>
          <w:szCs w:val="22"/>
        </w:rPr>
        <w:t>y</w:t>
      </w:r>
      <w:r w:rsidRPr="00ED0FFC">
        <w:rPr>
          <w:szCs w:val="22"/>
        </w:rPr>
        <w:t xml:space="preserve"> Tobago, </w:t>
      </w:r>
      <w:r w:rsidR="00AE54A7" w:rsidRPr="00ED0FFC">
        <w:rPr>
          <w:szCs w:val="22"/>
        </w:rPr>
        <w:t xml:space="preserve">los países en desarrollo y los países menos adelantados </w:t>
      </w:r>
      <w:r w:rsidRPr="00ED0FFC">
        <w:rPr>
          <w:szCs w:val="22"/>
        </w:rPr>
        <w:t>(</w:t>
      </w:r>
      <w:r w:rsidR="00AE54A7" w:rsidRPr="00ED0FFC">
        <w:rPr>
          <w:szCs w:val="22"/>
        </w:rPr>
        <w:t>PMA</w:t>
      </w:r>
      <w:r w:rsidRPr="00ED0FFC">
        <w:rPr>
          <w:szCs w:val="22"/>
        </w:rPr>
        <w:t xml:space="preserve">) </w:t>
      </w:r>
      <w:r w:rsidR="00AE54A7" w:rsidRPr="00ED0FFC">
        <w:rPr>
          <w:szCs w:val="22"/>
        </w:rPr>
        <w:t>que se beneficiaron de este apoyo, incluyeron recomendaciones específicas acerca de cómo las políticas de innovación pueden depender del sistema de P.I. para crear el marco necesario para la transferencia de tecnología</w:t>
      </w:r>
      <w:r w:rsidR="00742E3D" w:rsidRPr="00ED0FFC">
        <w:rPr>
          <w:szCs w:val="22"/>
        </w:rPr>
        <w:t>.</w:t>
      </w:r>
    </w:p>
    <w:p w:rsidR="002B1093" w:rsidRPr="00ED0FFC" w:rsidRDefault="002B1093" w:rsidP="007F60FD">
      <w:pPr>
        <w:rPr>
          <w:szCs w:val="22"/>
        </w:rPr>
      </w:pPr>
    </w:p>
    <w:p w:rsidR="002B1093" w:rsidRPr="00ED0FFC" w:rsidRDefault="002B1093" w:rsidP="007F60FD">
      <w:pPr>
        <w:rPr>
          <w:szCs w:val="22"/>
        </w:rPr>
      </w:pPr>
      <w:r w:rsidRPr="00ED0FFC">
        <w:rPr>
          <w:szCs w:val="22"/>
        </w:rPr>
        <w:t>3.</w:t>
      </w:r>
      <w:r w:rsidRPr="00ED0FFC">
        <w:rPr>
          <w:szCs w:val="22"/>
        </w:rPr>
        <w:tab/>
      </w:r>
      <w:r w:rsidR="00AE54A7" w:rsidRPr="00ED0FFC">
        <w:rPr>
          <w:szCs w:val="22"/>
        </w:rPr>
        <w:t xml:space="preserve">Por ejemplo, las recomendaciones a </w:t>
      </w:r>
      <w:r w:rsidRPr="00ED0FFC">
        <w:rPr>
          <w:szCs w:val="22"/>
        </w:rPr>
        <w:t>Sri Lanka inclu</w:t>
      </w:r>
      <w:r w:rsidR="00AE54A7" w:rsidRPr="00ED0FFC">
        <w:rPr>
          <w:szCs w:val="22"/>
        </w:rPr>
        <w:t>yeron, como parte del resultado previsto de una gestión eficaz de la investigación, las aportaciones siguientes</w:t>
      </w:r>
      <w:r w:rsidRPr="00ED0FFC">
        <w:rPr>
          <w:szCs w:val="22"/>
        </w:rPr>
        <w:t xml:space="preserve">: </w:t>
      </w:r>
    </w:p>
    <w:p w:rsidR="002B1093" w:rsidRPr="00ED0FFC" w:rsidRDefault="002B1093" w:rsidP="007F60FD">
      <w:pPr>
        <w:rPr>
          <w:szCs w:val="22"/>
        </w:rPr>
      </w:pPr>
    </w:p>
    <w:p w:rsidR="002B1093" w:rsidRPr="00ED0FFC" w:rsidRDefault="002B332C" w:rsidP="007F60FD">
      <w:pPr>
        <w:numPr>
          <w:ilvl w:val="0"/>
          <w:numId w:val="18"/>
        </w:numPr>
        <w:ind w:left="574" w:hanging="7"/>
        <w:rPr>
          <w:szCs w:val="22"/>
        </w:rPr>
      </w:pPr>
      <w:r w:rsidRPr="00ED0FFC">
        <w:rPr>
          <w:szCs w:val="22"/>
        </w:rPr>
        <w:t xml:space="preserve">La adopción de una </w:t>
      </w:r>
      <w:r w:rsidR="00AE54A7" w:rsidRPr="00ED0FFC">
        <w:rPr>
          <w:szCs w:val="22"/>
        </w:rPr>
        <w:t xml:space="preserve">política </w:t>
      </w:r>
      <w:r w:rsidR="00DB5B8B" w:rsidRPr="00ED0FFC">
        <w:rPr>
          <w:szCs w:val="22"/>
        </w:rPr>
        <w:t xml:space="preserve">en favor </w:t>
      </w:r>
      <w:r w:rsidR="00AE54A7" w:rsidRPr="00ED0FFC">
        <w:rPr>
          <w:szCs w:val="22"/>
        </w:rPr>
        <w:t>de que la titularidad de la propiedad intelectual resultante de las investigaciones financiadas por el Estado se confier</w:t>
      </w:r>
      <w:r w:rsidR="00DB5B8B" w:rsidRPr="00ED0FFC">
        <w:rPr>
          <w:szCs w:val="22"/>
        </w:rPr>
        <w:t>a</w:t>
      </w:r>
      <w:r w:rsidR="00AE54A7" w:rsidRPr="00ED0FFC">
        <w:rPr>
          <w:szCs w:val="22"/>
        </w:rPr>
        <w:t xml:space="preserve"> a la universidad o institución que generó </w:t>
      </w:r>
      <w:r w:rsidR="00DB5B8B" w:rsidRPr="00ED0FFC">
        <w:rPr>
          <w:szCs w:val="22"/>
        </w:rPr>
        <w:t xml:space="preserve">la </w:t>
      </w:r>
      <w:r w:rsidR="00AE54A7" w:rsidRPr="00ED0FFC">
        <w:rPr>
          <w:szCs w:val="22"/>
        </w:rPr>
        <w:t>propiedad intelectual</w:t>
      </w:r>
      <w:r w:rsidR="00D36BA6" w:rsidRPr="00ED0FFC">
        <w:rPr>
          <w:szCs w:val="22"/>
        </w:rPr>
        <w:t xml:space="preserve"> (P.I.)</w:t>
      </w:r>
      <w:r w:rsidR="002B1093" w:rsidRPr="00ED0FFC">
        <w:rPr>
          <w:szCs w:val="22"/>
        </w:rPr>
        <w:t>;</w:t>
      </w:r>
    </w:p>
    <w:p w:rsidR="002B1093" w:rsidRPr="00ED0FFC" w:rsidRDefault="002B1093" w:rsidP="007F60FD">
      <w:pPr>
        <w:ind w:left="574"/>
        <w:rPr>
          <w:szCs w:val="22"/>
        </w:rPr>
      </w:pPr>
    </w:p>
    <w:p w:rsidR="002B1093" w:rsidRPr="00ED0FFC" w:rsidRDefault="00AE54A7" w:rsidP="007F60FD">
      <w:pPr>
        <w:numPr>
          <w:ilvl w:val="0"/>
          <w:numId w:val="18"/>
        </w:numPr>
        <w:ind w:left="574" w:hanging="7"/>
        <w:rPr>
          <w:szCs w:val="22"/>
        </w:rPr>
      </w:pPr>
      <w:r w:rsidRPr="00ED0FFC">
        <w:rPr>
          <w:szCs w:val="22"/>
        </w:rPr>
        <w:t>La modificación de la Ley de Universidades d</w:t>
      </w:r>
      <w:r w:rsidR="00222344" w:rsidRPr="00ED0FFC">
        <w:rPr>
          <w:szCs w:val="22"/>
        </w:rPr>
        <w:t>e 1</w:t>
      </w:r>
      <w:r w:rsidR="002B1093" w:rsidRPr="00ED0FFC">
        <w:rPr>
          <w:szCs w:val="22"/>
        </w:rPr>
        <w:t xml:space="preserve">978 </w:t>
      </w:r>
      <w:r w:rsidRPr="00ED0FFC">
        <w:rPr>
          <w:szCs w:val="22"/>
        </w:rPr>
        <w:t>para hacer referencia expresa a que la investigación y la comercialización forman parte de la misión de las universidades</w:t>
      </w:r>
      <w:r w:rsidR="002B1093" w:rsidRPr="00ED0FFC">
        <w:rPr>
          <w:szCs w:val="22"/>
        </w:rPr>
        <w:t>;</w:t>
      </w:r>
    </w:p>
    <w:p w:rsidR="004F5D47" w:rsidRPr="00ED0FFC" w:rsidRDefault="004F5D47" w:rsidP="007F60FD">
      <w:pPr>
        <w:ind w:left="574"/>
        <w:rPr>
          <w:szCs w:val="22"/>
        </w:rPr>
      </w:pPr>
    </w:p>
    <w:p w:rsidR="002B1093" w:rsidRPr="00ED0FFC" w:rsidRDefault="004F5D47" w:rsidP="007F60FD">
      <w:pPr>
        <w:numPr>
          <w:ilvl w:val="0"/>
          <w:numId w:val="18"/>
        </w:numPr>
        <w:ind w:left="574" w:hanging="7"/>
        <w:rPr>
          <w:szCs w:val="22"/>
        </w:rPr>
      </w:pPr>
      <w:r w:rsidRPr="00ED0FFC">
        <w:rPr>
          <w:szCs w:val="22"/>
        </w:rPr>
        <w:t xml:space="preserve">La </w:t>
      </w:r>
      <w:r w:rsidR="00DB5B8B" w:rsidRPr="00ED0FFC">
        <w:rPr>
          <w:szCs w:val="22"/>
        </w:rPr>
        <w:t>elaborac</w:t>
      </w:r>
      <w:r w:rsidRPr="00ED0FFC">
        <w:rPr>
          <w:szCs w:val="22"/>
        </w:rPr>
        <w:t xml:space="preserve">ión de directrices sobre las ventajas y desventajas de vías concretas de comercialización </w:t>
      </w:r>
      <w:r w:rsidR="002B1093" w:rsidRPr="00ED0FFC">
        <w:rPr>
          <w:szCs w:val="22"/>
        </w:rPr>
        <w:t>(utiliza</w:t>
      </w:r>
      <w:r w:rsidRPr="00ED0FFC">
        <w:rPr>
          <w:szCs w:val="22"/>
        </w:rPr>
        <w:t>ción, concesión de l</w:t>
      </w:r>
      <w:r w:rsidR="002B1093" w:rsidRPr="00ED0FFC">
        <w:rPr>
          <w:szCs w:val="22"/>
        </w:rPr>
        <w:t>icen</w:t>
      </w:r>
      <w:r w:rsidRPr="00ED0FFC">
        <w:rPr>
          <w:szCs w:val="22"/>
        </w:rPr>
        <w:t>cias y cesión</w:t>
      </w:r>
      <w:r w:rsidR="002B1093" w:rsidRPr="00ED0FFC">
        <w:rPr>
          <w:szCs w:val="22"/>
        </w:rPr>
        <w:t xml:space="preserve">) </w:t>
      </w:r>
      <w:r w:rsidRPr="00ED0FFC">
        <w:rPr>
          <w:szCs w:val="22"/>
        </w:rPr>
        <w:t>para ayuda</w:t>
      </w:r>
      <w:r w:rsidR="00DB5B8B" w:rsidRPr="00ED0FFC">
        <w:rPr>
          <w:szCs w:val="22"/>
        </w:rPr>
        <w:t>r</w:t>
      </w:r>
      <w:r w:rsidRPr="00ED0FFC">
        <w:rPr>
          <w:szCs w:val="22"/>
        </w:rPr>
        <w:t xml:space="preserve"> a los institutos de investigación</w:t>
      </w:r>
      <w:r w:rsidR="002B1093" w:rsidRPr="00ED0FFC">
        <w:rPr>
          <w:szCs w:val="22"/>
        </w:rPr>
        <w:t>;</w:t>
      </w:r>
    </w:p>
    <w:p w:rsidR="002B1093" w:rsidRPr="00ED0FFC" w:rsidRDefault="002B1093" w:rsidP="007F60FD">
      <w:pPr>
        <w:ind w:left="574"/>
        <w:rPr>
          <w:szCs w:val="22"/>
        </w:rPr>
      </w:pPr>
    </w:p>
    <w:p w:rsidR="002B1093" w:rsidRPr="00ED0FFC" w:rsidRDefault="004F5D47" w:rsidP="007F60FD">
      <w:pPr>
        <w:numPr>
          <w:ilvl w:val="0"/>
          <w:numId w:val="18"/>
        </w:numPr>
        <w:ind w:left="574" w:hanging="7"/>
        <w:rPr>
          <w:szCs w:val="22"/>
        </w:rPr>
      </w:pPr>
      <w:r w:rsidRPr="00ED0FFC">
        <w:rPr>
          <w:szCs w:val="22"/>
        </w:rPr>
        <w:t xml:space="preserve">En universidades e institutos de investigación de mayor tamaño, el establecimiento de oficinas de gestión </w:t>
      </w:r>
      <w:r w:rsidR="003C1093" w:rsidRPr="00ED0FFC">
        <w:rPr>
          <w:szCs w:val="22"/>
        </w:rPr>
        <w:t xml:space="preserve">de </w:t>
      </w:r>
      <w:r w:rsidRPr="00ED0FFC">
        <w:rPr>
          <w:szCs w:val="22"/>
        </w:rPr>
        <w:t xml:space="preserve">tecnología </w:t>
      </w:r>
      <w:r w:rsidR="003C1093" w:rsidRPr="00ED0FFC">
        <w:rPr>
          <w:szCs w:val="22"/>
        </w:rPr>
        <w:t>en una sola oficina para responder a las necesidades colectivas de las universidades y los institutos de investigación más pequeños</w:t>
      </w:r>
      <w:r w:rsidR="002B1093" w:rsidRPr="00ED0FFC">
        <w:rPr>
          <w:szCs w:val="22"/>
        </w:rPr>
        <w:t>;</w:t>
      </w:r>
    </w:p>
    <w:p w:rsidR="002B1093" w:rsidRPr="00ED0FFC" w:rsidRDefault="002B1093" w:rsidP="007F60FD">
      <w:pPr>
        <w:ind w:left="574"/>
        <w:rPr>
          <w:szCs w:val="22"/>
        </w:rPr>
      </w:pPr>
    </w:p>
    <w:p w:rsidR="002B1093" w:rsidRPr="00ED0FFC" w:rsidRDefault="006F205D" w:rsidP="007F60FD">
      <w:pPr>
        <w:numPr>
          <w:ilvl w:val="0"/>
          <w:numId w:val="18"/>
        </w:numPr>
        <w:ind w:left="574" w:hanging="7"/>
        <w:rPr>
          <w:szCs w:val="22"/>
        </w:rPr>
      </w:pPr>
      <w:r w:rsidRPr="00ED0FFC">
        <w:rPr>
          <w:szCs w:val="22"/>
        </w:rPr>
        <w:t xml:space="preserve">La facilitación </w:t>
      </w:r>
      <w:r w:rsidR="003C1093" w:rsidRPr="00ED0FFC">
        <w:rPr>
          <w:szCs w:val="22"/>
        </w:rPr>
        <w:t>de la formación por parte de las universidades de nuevas empresas tecnológicas</w:t>
      </w:r>
      <w:r w:rsidR="002B1093" w:rsidRPr="00ED0FFC">
        <w:rPr>
          <w:szCs w:val="22"/>
        </w:rPr>
        <w:t xml:space="preserve">;  </w:t>
      </w:r>
      <w:r w:rsidR="003C1093" w:rsidRPr="00ED0FFC">
        <w:rPr>
          <w:szCs w:val="22"/>
        </w:rPr>
        <w:t>y</w:t>
      </w:r>
    </w:p>
    <w:p w:rsidR="002B1093" w:rsidRPr="00ED0FFC" w:rsidRDefault="002B1093" w:rsidP="007F60FD">
      <w:pPr>
        <w:ind w:left="574"/>
        <w:rPr>
          <w:szCs w:val="22"/>
        </w:rPr>
      </w:pPr>
    </w:p>
    <w:p w:rsidR="002B1093" w:rsidRPr="00ED0FFC" w:rsidRDefault="003C1093" w:rsidP="007F60FD">
      <w:pPr>
        <w:numPr>
          <w:ilvl w:val="0"/>
          <w:numId w:val="18"/>
        </w:numPr>
        <w:ind w:left="560" w:firstLine="7"/>
        <w:rPr>
          <w:szCs w:val="22"/>
        </w:rPr>
      </w:pPr>
      <w:r w:rsidRPr="00ED0FFC">
        <w:rPr>
          <w:szCs w:val="22"/>
        </w:rPr>
        <w:t xml:space="preserve">El establecimiento de políticas de gestión de la propiedad intelectual en universidades e </w:t>
      </w:r>
      <w:r w:rsidR="007E45FD" w:rsidRPr="00ED0FFC">
        <w:rPr>
          <w:szCs w:val="22"/>
        </w:rPr>
        <w:t>instituciones</w:t>
      </w:r>
      <w:r w:rsidRPr="00ED0FFC">
        <w:rPr>
          <w:szCs w:val="22"/>
        </w:rPr>
        <w:t xml:space="preserve"> </w:t>
      </w:r>
      <w:r w:rsidR="007E45FD" w:rsidRPr="00ED0FFC">
        <w:rPr>
          <w:szCs w:val="22"/>
        </w:rPr>
        <w:t xml:space="preserve">públicas </w:t>
      </w:r>
      <w:r w:rsidRPr="00ED0FFC">
        <w:rPr>
          <w:szCs w:val="22"/>
        </w:rPr>
        <w:t>de investigación</w:t>
      </w:r>
      <w:r w:rsidR="002B1093" w:rsidRPr="00ED0FFC">
        <w:rPr>
          <w:szCs w:val="22"/>
        </w:rPr>
        <w:t>.</w:t>
      </w:r>
    </w:p>
    <w:p w:rsidR="002B1093" w:rsidRPr="00ED0FFC" w:rsidRDefault="002B1093" w:rsidP="007F60FD">
      <w:pPr>
        <w:rPr>
          <w:szCs w:val="22"/>
        </w:rPr>
      </w:pPr>
    </w:p>
    <w:p w:rsidR="002B1093" w:rsidRPr="00ED0FFC" w:rsidRDefault="005737B0" w:rsidP="007F60FD">
      <w:pPr>
        <w:rPr>
          <w:szCs w:val="22"/>
        </w:rPr>
      </w:pPr>
      <w:r w:rsidRPr="00ED0FFC">
        <w:rPr>
          <w:szCs w:val="22"/>
        </w:rPr>
        <w:fldChar w:fldCharType="begin"/>
      </w:r>
      <w:r w:rsidR="002B1093" w:rsidRPr="00ED0FFC">
        <w:rPr>
          <w:szCs w:val="22"/>
        </w:rPr>
        <w:instrText xml:space="preserve"> AUTONUM  </w:instrText>
      </w:r>
      <w:r w:rsidRPr="00ED0FFC">
        <w:rPr>
          <w:szCs w:val="22"/>
        </w:rPr>
        <w:fldChar w:fldCharType="end"/>
      </w:r>
      <w:r w:rsidR="002B1093" w:rsidRPr="00ED0FFC">
        <w:rPr>
          <w:szCs w:val="22"/>
        </w:rPr>
        <w:tab/>
      </w:r>
      <w:r w:rsidR="003C1093" w:rsidRPr="00ED0FFC">
        <w:rPr>
          <w:szCs w:val="22"/>
        </w:rPr>
        <w:t xml:space="preserve">De igual manera, como parte del resultado previsto de la práctica de búsqueda de bases de datos de patentes </w:t>
      </w:r>
      <w:r w:rsidR="00C84617" w:rsidRPr="00ED0FFC">
        <w:rPr>
          <w:szCs w:val="22"/>
        </w:rPr>
        <w:t xml:space="preserve">integradas en </w:t>
      </w:r>
      <w:r w:rsidR="009724D0" w:rsidRPr="00ED0FFC">
        <w:rPr>
          <w:szCs w:val="22"/>
        </w:rPr>
        <w:t xml:space="preserve">las </w:t>
      </w:r>
      <w:r w:rsidR="00C84617" w:rsidRPr="00ED0FFC">
        <w:rPr>
          <w:szCs w:val="22"/>
        </w:rPr>
        <w:t xml:space="preserve">prácticas de investigación de todas las universidades </w:t>
      </w:r>
      <w:r w:rsidR="009724D0" w:rsidRPr="00ED0FFC">
        <w:rPr>
          <w:szCs w:val="22"/>
        </w:rPr>
        <w:t xml:space="preserve">y organizaciones dedicadas a la </w:t>
      </w:r>
      <w:r w:rsidR="00C84617" w:rsidRPr="00ED0FFC">
        <w:rPr>
          <w:szCs w:val="22"/>
        </w:rPr>
        <w:t>investigación, se incluyeron las medidas siguientes</w:t>
      </w:r>
      <w:r w:rsidR="002B1093" w:rsidRPr="00ED0FFC">
        <w:rPr>
          <w:szCs w:val="22"/>
        </w:rPr>
        <w:t>:</w:t>
      </w:r>
    </w:p>
    <w:p w:rsidR="002B1093" w:rsidRPr="00ED0FFC" w:rsidRDefault="002B1093" w:rsidP="007F60FD">
      <w:pPr>
        <w:rPr>
          <w:szCs w:val="22"/>
        </w:rPr>
      </w:pPr>
    </w:p>
    <w:p w:rsidR="002B1093" w:rsidRPr="00ED0FFC" w:rsidRDefault="00C84617" w:rsidP="007F60FD">
      <w:pPr>
        <w:numPr>
          <w:ilvl w:val="0"/>
          <w:numId w:val="14"/>
        </w:numPr>
        <w:ind w:left="574" w:hanging="7"/>
        <w:rPr>
          <w:szCs w:val="22"/>
        </w:rPr>
      </w:pPr>
      <w:r w:rsidRPr="00ED0FFC">
        <w:rPr>
          <w:szCs w:val="22"/>
        </w:rPr>
        <w:t xml:space="preserve">Los </w:t>
      </w:r>
      <w:r w:rsidR="009724D0" w:rsidRPr="00ED0FFC">
        <w:rPr>
          <w:szCs w:val="22"/>
        </w:rPr>
        <w:t xml:space="preserve">organizaciones dedicadas a la </w:t>
      </w:r>
      <w:r w:rsidRPr="00ED0FFC">
        <w:rPr>
          <w:szCs w:val="22"/>
        </w:rPr>
        <w:t xml:space="preserve">investigación adoptan un proceso </w:t>
      </w:r>
      <w:r w:rsidR="009724D0" w:rsidRPr="00ED0FFC">
        <w:rPr>
          <w:szCs w:val="22"/>
        </w:rPr>
        <w:t xml:space="preserve">de </w:t>
      </w:r>
      <w:r w:rsidRPr="00ED0FFC">
        <w:rPr>
          <w:szCs w:val="22"/>
        </w:rPr>
        <w:t xml:space="preserve">búsqueda de patentes </w:t>
      </w:r>
      <w:r w:rsidR="00877A6F" w:rsidRPr="00ED0FFC">
        <w:rPr>
          <w:szCs w:val="22"/>
        </w:rPr>
        <w:t xml:space="preserve">y de literatura de patentes </w:t>
      </w:r>
      <w:r w:rsidRPr="00ED0FFC">
        <w:rPr>
          <w:szCs w:val="22"/>
        </w:rPr>
        <w:t>en la fase de planificación del proyecto</w:t>
      </w:r>
      <w:r w:rsidR="002B1093" w:rsidRPr="00ED0FFC">
        <w:rPr>
          <w:szCs w:val="22"/>
        </w:rPr>
        <w:t xml:space="preserve">;  </w:t>
      </w:r>
      <w:r w:rsidRPr="00ED0FFC">
        <w:rPr>
          <w:szCs w:val="22"/>
        </w:rPr>
        <w:t>y</w:t>
      </w:r>
    </w:p>
    <w:p w:rsidR="002B1093" w:rsidRPr="00ED0FFC" w:rsidRDefault="002B1093" w:rsidP="007F60FD">
      <w:pPr>
        <w:rPr>
          <w:szCs w:val="22"/>
        </w:rPr>
      </w:pPr>
    </w:p>
    <w:p w:rsidR="002B1093" w:rsidRPr="00ED0FFC" w:rsidRDefault="00C84617" w:rsidP="007F60FD">
      <w:pPr>
        <w:numPr>
          <w:ilvl w:val="0"/>
          <w:numId w:val="14"/>
        </w:numPr>
        <w:ind w:left="574" w:hanging="7"/>
        <w:rPr>
          <w:szCs w:val="22"/>
        </w:rPr>
      </w:pPr>
      <w:r w:rsidRPr="00ED0FFC">
        <w:rPr>
          <w:szCs w:val="22"/>
        </w:rPr>
        <w:t>La identificación de la tecnología patentada en otros países, pe</w:t>
      </w:r>
      <w:r w:rsidR="009724D0" w:rsidRPr="00ED0FFC">
        <w:rPr>
          <w:szCs w:val="22"/>
        </w:rPr>
        <w:t>ro no en Sri Lanka, que se pueda</w:t>
      </w:r>
      <w:r w:rsidRPr="00ED0FFC">
        <w:rPr>
          <w:szCs w:val="22"/>
        </w:rPr>
        <w:t xml:space="preserve"> adaptar a las necesidades y condiciones en </w:t>
      </w:r>
      <w:r w:rsidR="002B1093" w:rsidRPr="00ED0FFC">
        <w:rPr>
          <w:szCs w:val="22"/>
        </w:rPr>
        <w:t>Sri Lanka.</w:t>
      </w:r>
    </w:p>
    <w:p w:rsidR="002B1093" w:rsidRPr="00ED0FFC" w:rsidRDefault="002B1093" w:rsidP="007F60FD">
      <w:pPr>
        <w:rPr>
          <w:szCs w:val="22"/>
        </w:rPr>
      </w:pPr>
    </w:p>
    <w:p w:rsidR="002B1093" w:rsidRPr="00ED0FFC" w:rsidRDefault="005737B0" w:rsidP="007F60FD">
      <w:pPr>
        <w:rPr>
          <w:szCs w:val="22"/>
          <w:u w:val="single"/>
        </w:rPr>
      </w:pPr>
      <w:r w:rsidRPr="00ED0FFC">
        <w:rPr>
          <w:szCs w:val="22"/>
        </w:rPr>
        <w:fldChar w:fldCharType="begin"/>
      </w:r>
      <w:r w:rsidR="002B1093" w:rsidRPr="00ED0FFC">
        <w:rPr>
          <w:szCs w:val="22"/>
        </w:rPr>
        <w:instrText xml:space="preserve"> AUTONUM  </w:instrText>
      </w:r>
      <w:r w:rsidRPr="00ED0FFC">
        <w:rPr>
          <w:szCs w:val="22"/>
        </w:rPr>
        <w:fldChar w:fldCharType="end"/>
      </w:r>
      <w:r w:rsidR="002B1093" w:rsidRPr="00ED0FFC">
        <w:rPr>
          <w:szCs w:val="22"/>
        </w:rPr>
        <w:tab/>
      </w:r>
      <w:r w:rsidR="00C84617" w:rsidRPr="00ED0FFC">
        <w:rPr>
          <w:szCs w:val="22"/>
        </w:rPr>
        <w:t>Se formularon recomendaciones similares ajustadas a las necesidades del país con respecto a los otros países que se beneficiaron de estos proyectos</w:t>
      </w:r>
      <w:r w:rsidR="002B1093" w:rsidRPr="00ED0FFC">
        <w:rPr>
          <w:szCs w:val="22"/>
        </w:rPr>
        <w:t xml:space="preserve">.  </w:t>
      </w:r>
      <w:r w:rsidR="00C84617" w:rsidRPr="00ED0FFC">
        <w:rPr>
          <w:szCs w:val="22"/>
        </w:rPr>
        <w:t xml:space="preserve">Algunos de estos informes están disponibles en </w:t>
      </w:r>
      <w:hyperlink r:id="rId11" w:history="1">
        <w:r w:rsidR="002B1093" w:rsidRPr="00ED0FFC">
          <w:rPr>
            <w:rStyle w:val="Hyperlink"/>
            <w:color w:val="auto"/>
            <w:szCs w:val="22"/>
          </w:rPr>
          <w:t>http://www.wipo.int/ipstrategies/</w:t>
        </w:r>
        <w:r w:rsidR="00C84617" w:rsidRPr="00ED0FFC">
          <w:rPr>
            <w:rStyle w:val="Hyperlink"/>
            <w:color w:val="auto"/>
            <w:szCs w:val="22"/>
          </w:rPr>
          <w:t>es</w:t>
        </w:r>
        <w:r w:rsidR="002B1093" w:rsidRPr="00ED0FFC">
          <w:rPr>
            <w:rStyle w:val="Hyperlink"/>
            <w:color w:val="auto"/>
            <w:szCs w:val="22"/>
          </w:rPr>
          <w:t>/</w:t>
        </w:r>
      </w:hyperlink>
      <w:r w:rsidR="002B1093" w:rsidRPr="00ED0FFC">
        <w:rPr>
          <w:rStyle w:val="Hyperlink"/>
          <w:color w:val="auto"/>
          <w:szCs w:val="22"/>
        </w:rPr>
        <w:t>.</w:t>
      </w:r>
    </w:p>
    <w:p w:rsidR="002B1093" w:rsidRPr="00ED0FFC" w:rsidRDefault="002B1093" w:rsidP="007F60FD">
      <w:pPr>
        <w:rPr>
          <w:szCs w:val="22"/>
        </w:rPr>
      </w:pPr>
    </w:p>
    <w:p w:rsidR="002B1093" w:rsidRPr="00ED0FFC" w:rsidRDefault="005737B0" w:rsidP="007F60FD">
      <w:pPr>
        <w:rPr>
          <w:szCs w:val="22"/>
        </w:rPr>
      </w:pPr>
      <w:r w:rsidRPr="00ED0FFC">
        <w:rPr>
          <w:szCs w:val="22"/>
        </w:rPr>
        <w:fldChar w:fldCharType="begin"/>
      </w:r>
      <w:r w:rsidR="002B1093" w:rsidRPr="00ED0FFC">
        <w:rPr>
          <w:szCs w:val="22"/>
        </w:rPr>
        <w:instrText xml:space="preserve"> AUTONUM  </w:instrText>
      </w:r>
      <w:r w:rsidRPr="00ED0FFC">
        <w:rPr>
          <w:szCs w:val="22"/>
        </w:rPr>
        <w:fldChar w:fldCharType="end"/>
      </w:r>
      <w:r w:rsidR="002B1093" w:rsidRPr="00ED0FFC">
        <w:rPr>
          <w:szCs w:val="22"/>
        </w:rPr>
        <w:tab/>
      </w:r>
      <w:r w:rsidR="002B1093" w:rsidRPr="00ED0FFC">
        <w:rPr>
          <w:bCs/>
          <w:i/>
          <w:iCs/>
          <w:szCs w:val="22"/>
        </w:rPr>
        <w:t>P</w:t>
      </w:r>
      <w:r w:rsidR="00553061" w:rsidRPr="00ED0FFC">
        <w:rPr>
          <w:bCs/>
          <w:i/>
          <w:iCs/>
          <w:szCs w:val="22"/>
        </w:rPr>
        <w:t>olíticas institucionales de P.I.</w:t>
      </w:r>
      <w:r w:rsidR="002B1093" w:rsidRPr="00ED0FFC">
        <w:rPr>
          <w:szCs w:val="22"/>
        </w:rPr>
        <w:t xml:space="preserve"> – </w:t>
      </w:r>
      <w:r w:rsidR="00553061" w:rsidRPr="00ED0FFC">
        <w:rPr>
          <w:szCs w:val="22"/>
        </w:rPr>
        <w:t xml:space="preserve">Las actividades relativas al desarrollo de políticas institucionales de P.I. para las universidades </w:t>
      </w:r>
      <w:r w:rsidR="009724D0" w:rsidRPr="00ED0FFC">
        <w:rPr>
          <w:szCs w:val="22"/>
        </w:rPr>
        <w:t xml:space="preserve">destacaron </w:t>
      </w:r>
      <w:r w:rsidR="00553061" w:rsidRPr="00ED0FFC">
        <w:rPr>
          <w:szCs w:val="22"/>
        </w:rPr>
        <w:t>la importante función de la transferencia de tecnología y la difusión de los resultados de las investigaciones en beneficio de la sociedad</w:t>
      </w:r>
      <w:r w:rsidR="002B1093" w:rsidRPr="00ED0FFC">
        <w:rPr>
          <w:szCs w:val="22"/>
        </w:rPr>
        <w:t xml:space="preserve">.  </w:t>
      </w:r>
      <w:r w:rsidR="00553061" w:rsidRPr="00ED0FFC">
        <w:rPr>
          <w:szCs w:val="22"/>
        </w:rPr>
        <w:t xml:space="preserve">La finalidad es establecer una seguridad </w:t>
      </w:r>
      <w:r w:rsidR="006F205D" w:rsidRPr="00ED0FFC">
        <w:rPr>
          <w:szCs w:val="22"/>
        </w:rPr>
        <w:t>jurídica</w:t>
      </w:r>
      <w:r w:rsidR="00553061" w:rsidRPr="00ED0FFC">
        <w:rPr>
          <w:szCs w:val="22"/>
        </w:rPr>
        <w:t xml:space="preserve"> que fomente la investigación científica y una relación de trabajo armoniosa entre la industria y el mundo académico</w:t>
      </w:r>
      <w:r w:rsidR="002B1093" w:rsidRPr="00ED0FFC">
        <w:rPr>
          <w:szCs w:val="22"/>
        </w:rPr>
        <w:t xml:space="preserve">.  </w:t>
      </w:r>
      <w:r w:rsidR="00553061" w:rsidRPr="00ED0FFC">
        <w:rPr>
          <w:szCs w:val="22"/>
        </w:rPr>
        <w:t xml:space="preserve">El trabajo de la OMPI </w:t>
      </w:r>
      <w:r w:rsidR="00C562F8" w:rsidRPr="00ED0FFC">
        <w:rPr>
          <w:szCs w:val="22"/>
        </w:rPr>
        <w:t xml:space="preserve">tiene por objeto establecer el marco mediante el cual una institución </w:t>
      </w:r>
      <w:r w:rsidR="009724D0" w:rsidRPr="00ED0FFC">
        <w:rPr>
          <w:szCs w:val="22"/>
        </w:rPr>
        <w:t>pued</w:t>
      </w:r>
      <w:r w:rsidR="00742E3D" w:rsidRPr="00ED0FFC">
        <w:rPr>
          <w:szCs w:val="22"/>
        </w:rPr>
        <w:t>a a</w:t>
      </w:r>
      <w:r w:rsidR="00C562F8" w:rsidRPr="00ED0FFC">
        <w:rPr>
          <w:szCs w:val="22"/>
        </w:rPr>
        <w:t xml:space="preserve">bordar la titularidad y la gestión de su P.I., con un aprovechamiento compartido de </w:t>
      </w:r>
      <w:r w:rsidR="009724D0" w:rsidRPr="00ED0FFC">
        <w:rPr>
          <w:szCs w:val="22"/>
        </w:rPr>
        <w:t>los</w:t>
      </w:r>
      <w:r w:rsidR="00C562F8" w:rsidRPr="00ED0FFC">
        <w:rPr>
          <w:szCs w:val="22"/>
        </w:rPr>
        <w:t xml:space="preserve"> beneficios que incluya la difusión más amplia de los resultados de las investigaciones</w:t>
      </w:r>
      <w:r w:rsidR="002B1093" w:rsidRPr="00ED0FFC">
        <w:rPr>
          <w:szCs w:val="22"/>
        </w:rPr>
        <w:t xml:space="preserve">.  </w:t>
      </w:r>
      <w:r w:rsidR="00C562F8" w:rsidRPr="00ED0FFC">
        <w:rPr>
          <w:szCs w:val="22"/>
        </w:rPr>
        <w:t>El objetivo general e</w:t>
      </w:r>
      <w:r w:rsidR="009724D0" w:rsidRPr="00ED0FFC">
        <w:rPr>
          <w:szCs w:val="22"/>
        </w:rPr>
        <w:t>s</w:t>
      </w:r>
      <w:r w:rsidR="00C562F8" w:rsidRPr="00ED0FFC">
        <w:rPr>
          <w:szCs w:val="22"/>
        </w:rPr>
        <w:t xml:space="preserve"> fortalecer la capacidad de las universidades y de las instituciones de investigación para aprovechar al máximo el sistema de P.I.</w:t>
      </w:r>
    </w:p>
    <w:p w:rsidR="002B1093" w:rsidRPr="00ED0FFC" w:rsidRDefault="002B1093" w:rsidP="007F60FD">
      <w:pPr>
        <w:rPr>
          <w:szCs w:val="22"/>
        </w:rPr>
      </w:pPr>
    </w:p>
    <w:p w:rsidR="002B1093" w:rsidRPr="00ED0FFC" w:rsidRDefault="005737B0" w:rsidP="007F60FD">
      <w:pPr>
        <w:rPr>
          <w:szCs w:val="22"/>
        </w:rPr>
      </w:pPr>
      <w:r w:rsidRPr="00ED0FFC">
        <w:rPr>
          <w:szCs w:val="22"/>
        </w:rPr>
        <w:fldChar w:fldCharType="begin"/>
      </w:r>
      <w:r w:rsidR="002B1093" w:rsidRPr="00ED0FFC">
        <w:rPr>
          <w:szCs w:val="22"/>
        </w:rPr>
        <w:instrText xml:space="preserve"> AUTONUM  </w:instrText>
      </w:r>
      <w:r w:rsidRPr="00ED0FFC">
        <w:rPr>
          <w:szCs w:val="22"/>
        </w:rPr>
        <w:fldChar w:fldCharType="end"/>
      </w:r>
      <w:r w:rsidR="002B1093" w:rsidRPr="00ED0FFC">
        <w:rPr>
          <w:szCs w:val="22"/>
        </w:rPr>
        <w:tab/>
      </w:r>
      <w:r w:rsidR="00C562F8" w:rsidRPr="00ED0FFC">
        <w:rPr>
          <w:szCs w:val="22"/>
        </w:rPr>
        <w:t>Al apoyar a las universidades y a las instituciones de I+D a desarrollar políticas institucionales de P.I. adecuadas, la OMPI llev</w:t>
      </w:r>
      <w:r w:rsidR="009724D0" w:rsidRPr="00ED0FFC">
        <w:rPr>
          <w:szCs w:val="22"/>
        </w:rPr>
        <w:t>ó</w:t>
      </w:r>
      <w:r w:rsidR="00C562F8" w:rsidRPr="00ED0FFC">
        <w:rPr>
          <w:szCs w:val="22"/>
        </w:rPr>
        <w:t xml:space="preserve"> a cabo numerosas actividades que formaban parte también de proyectos </w:t>
      </w:r>
      <w:r w:rsidR="002B6CD3" w:rsidRPr="00ED0FFC">
        <w:rPr>
          <w:szCs w:val="22"/>
        </w:rPr>
        <w:t xml:space="preserve">más amplios, como el </w:t>
      </w:r>
      <w:r w:rsidR="009724D0" w:rsidRPr="00ED0FFC">
        <w:rPr>
          <w:szCs w:val="22"/>
        </w:rPr>
        <w:t>"E</w:t>
      </w:r>
      <w:r w:rsidR="002B6CD3" w:rsidRPr="00ED0FFC">
        <w:rPr>
          <w:szCs w:val="22"/>
        </w:rPr>
        <w:t>stablecimiento de oficinas de transferencia de tecnología</w:t>
      </w:r>
      <w:r w:rsidR="003770C3" w:rsidRPr="00ED0FFC">
        <w:rPr>
          <w:szCs w:val="22"/>
        </w:rPr>
        <w:t xml:space="preserve"> (OTT)</w:t>
      </w:r>
      <w:r w:rsidR="002B6CD3" w:rsidRPr="00ED0FFC">
        <w:rPr>
          <w:szCs w:val="22"/>
        </w:rPr>
        <w:t xml:space="preserve"> en Túnez</w:t>
      </w:r>
      <w:r w:rsidR="00FC7CC3" w:rsidRPr="00ED0FFC">
        <w:rPr>
          <w:szCs w:val="22"/>
        </w:rPr>
        <w:t>"</w:t>
      </w:r>
      <w:r w:rsidR="002B1093" w:rsidRPr="00ED0FFC">
        <w:rPr>
          <w:szCs w:val="22"/>
        </w:rPr>
        <w:t xml:space="preserve">.  </w:t>
      </w:r>
      <w:r w:rsidR="002B6CD3" w:rsidRPr="00ED0FFC">
        <w:rPr>
          <w:szCs w:val="22"/>
        </w:rPr>
        <w:t>En este proyecto, la OMPI impartió formación sobre políticas institucionales de P.I</w:t>
      </w:r>
      <w:r w:rsidR="00222344" w:rsidRPr="00ED0FFC">
        <w:rPr>
          <w:szCs w:val="22"/>
        </w:rPr>
        <w:t>. (</w:t>
      </w:r>
      <w:r w:rsidR="002B1093" w:rsidRPr="00ED0FFC">
        <w:rPr>
          <w:szCs w:val="22"/>
        </w:rPr>
        <w:t>T</w:t>
      </w:r>
      <w:r w:rsidR="002B6CD3" w:rsidRPr="00ED0FFC">
        <w:rPr>
          <w:szCs w:val="22"/>
        </w:rPr>
        <w:t>únez, abril d</w:t>
      </w:r>
      <w:r w:rsidR="00222344" w:rsidRPr="00ED0FFC">
        <w:rPr>
          <w:szCs w:val="22"/>
        </w:rPr>
        <w:t>e 2</w:t>
      </w:r>
      <w:r w:rsidR="002B1093" w:rsidRPr="00ED0FFC">
        <w:rPr>
          <w:szCs w:val="22"/>
        </w:rPr>
        <w:t xml:space="preserve">015), </w:t>
      </w:r>
      <w:r w:rsidR="00FC7CC3" w:rsidRPr="00ED0FFC">
        <w:rPr>
          <w:szCs w:val="22"/>
        </w:rPr>
        <w:t xml:space="preserve">a la que sucedieron </w:t>
      </w:r>
      <w:r w:rsidR="002B6CD3" w:rsidRPr="00ED0FFC">
        <w:rPr>
          <w:szCs w:val="22"/>
        </w:rPr>
        <w:t xml:space="preserve">tres videoconferencias, </w:t>
      </w:r>
      <w:r w:rsidR="00FC7CC3" w:rsidRPr="00ED0FFC">
        <w:rPr>
          <w:szCs w:val="22"/>
        </w:rPr>
        <w:t>y qu</w:t>
      </w:r>
      <w:r w:rsidR="00742E3D" w:rsidRPr="00ED0FFC">
        <w:rPr>
          <w:szCs w:val="22"/>
        </w:rPr>
        <w:t>e f</w:t>
      </w:r>
      <w:r w:rsidR="00FC7CC3" w:rsidRPr="00ED0FFC">
        <w:rPr>
          <w:szCs w:val="22"/>
        </w:rPr>
        <w:t xml:space="preserve">inalizó </w:t>
      </w:r>
      <w:r w:rsidR="002B6CD3" w:rsidRPr="00ED0FFC">
        <w:rPr>
          <w:szCs w:val="22"/>
        </w:rPr>
        <w:t>con la aprobación de políticas institucionales de P.I. en cuatro instituciones</w:t>
      </w:r>
      <w:r w:rsidR="00222344" w:rsidRPr="00ED0FFC">
        <w:rPr>
          <w:szCs w:val="22"/>
        </w:rPr>
        <w:t>:  e</w:t>
      </w:r>
      <w:r w:rsidR="002B6CD3" w:rsidRPr="00ED0FFC">
        <w:rPr>
          <w:szCs w:val="22"/>
        </w:rPr>
        <w:t xml:space="preserve">l Centro Técnico de Química </w:t>
      </w:r>
      <w:r w:rsidR="00FC7CC3" w:rsidRPr="00ED0FFC">
        <w:rPr>
          <w:szCs w:val="22"/>
        </w:rPr>
        <w:t>(CTC) -</w:t>
      </w:r>
      <w:r w:rsidR="002B1093" w:rsidRPr="00ED0FFC">
        <w:rPr>
          <w:szCs w:val="22"/>
        </w:rPr>
        <w:t xml:space="preserve"> </w:t>
      </w:r>
      <w:r w:rsidR="00FC7CC3" w:rsidRPr="00ED0FFC">
        <w:rPr>
          <w:szCs w:val="22"/>
        </w:rPr>
        <w:t>"</w:t>
      </w:r>
      <w:r w:rsidR="002B1093" w:rsidRPr="00ED0FFC">
        <w:rPr>
          <w:i/>
          <w:iCs/>
          <w:szCs w:val="22"/>
        </w:rPr>
        <w:t>Le centre technique de la chimie</w:t>
      </w:r>
      <w:r w:rsidR="00FC7CC3" w:rsidRPr="00ED0FFC">
        <w:rPr>
          <w:i/>
          <w:iCs/>
          <w:szCs w:val="22"/>
        </w:rPr>
        <w:t>"</w:t>
      </w:r>
      <w:r w:rsidR="00FC7CC3" w:rsidRPr="00ED0FFC">
        <w:rPr>
          <w:szCs w:val="22"/>
        </w:rPr>
        <w:t xml:space="preserve"> -</w:t>
      </w:r>
      <w:r w:rsidR="002B1093" w:rsidRPr="00ED0FFC">
        <w:rPr>
          <w:szCs w:val="22"/>
        </w:rPr>
        <w:t xml:space="preserve">;  </w:t>
      </w:r>
      <w:r w:rsidR="002B6CD3" w:rsidRPr="00ED0FFC">
        <w:rPr>
          <w:szCs w:val="22"/>
        </w:rPr>
        <w:t xml:space="preserve">el parque tecnológico </w:t>
      </w:r>
      <w:r w:rsidR="00FC7CC3" w:rsidRPr="00ED0FFC">
        <w:rPr>
          <w:szCs w:val="22"/>
        </w:rPr>
        <w:t>"</w:t>
      </w:r>
      <w:r w:rsidR="002B1093" w:rsidRPr="00ED0FFC">
        <w:rPr>
          <w:szCs w:val="22"/>
        </w:rPr>
        <w:t>El Gazala</w:t>
      </w:r>
      <w:r w:rsidR="00FC7CC3" w:rsidRPr="00ED0FFC">
        <w:rPr>
          <w:szCs w:val="22"/>
        </w:rPr>
        <w:t>"</w:t>
      </w:r>
      <w:r w:rsidR="002B1093" w:rsidRPr="00ED0FFC">
        <w:rPr>
          <w:szCs w:val="22"/>
        </w:rPr>
        <w:t xml:space="preserve"> (</w:t>
      </w:r>
      <w:r w:rsidR="002B6CD3" w:rsidRPr="00ED0FFC">
        <w:rPr>
          <w:szCs w:val="22"/>
        </w:rPr>
        <w:t>a cargo de las tecnologías de la información</w:t>
      </w:r>
      <w:r w:rsidR="002B1093" w:rsidRPr="00ED0FFC">
        <w:rPr>
          <w:szCs w:val="22"/>
        </w:rPr>
        <w:t xml:space="preserve">);  </w:t>
      </w:r>
      <w:r w:rsidR="002B6CD3" w:rsidRPr="00ED0FFC">
        <w:rPr>
          <w:szCs w:val="22"/>
        </w:rPr>
        <w:t xml:space="preserve">el parque tecnológico </w:t>
      </w:r>
      <w:r w:rsidR="00FC7CC3" w:rsidRPr="00ED0FFC">
        <w:rPr>
          <w:szCs w:val="22"/>
        </w:rPr>
        <w:t>"</w:t>
      </w:r>
      <w:r w:rsidR="002B1093" w:rsidRPr="00ED0FFC">
        <w:rPr>
          <w:szCs w:val="22"/>
        </w:rPr>
        <w:t>Sidi</w:t>
      </w:r>
      <w:r w:rsidR="00FC7CC3" w:rsidRPr="00ED0FFC">
        <w:rPr>
          <w:szCs w:val="22"/>
        </w:rPr>
        <w:t xml:space="preserve"> </w:t>
      </w:r>
      <w:r w:rsidR="002B1093" w:rsidRPr="00ED0FFC">
        <w:rPr>
          <w:szCs w:val="22"/>
        </w:rPr>
        <w:t>Thabet</w:t>
      </w:r>
      <w:r w:rsidR="00FC7CC3" w:rsidRPr="00ED0FFC">
        <w:rPr>
          <w:szCs w:val="22"/>
        </w:rPr>
        <w:t>"</w:t>
      </w:r>
      <w:r w:rsidR="002B1093" w:rsidRPr="00ED0FFC">
        <w:rPr>
          <w:szCs w:val="22"/>
        </w:rPr>
        <w:t xml:space="preserve"> (</w:t>
      </w:r>
      <w:r w:rsidR="002B6CD3" w:rsidRPr="00ED0FFC">
        <w:rPr>
          <w:szCs w:val="22"/>
        </w:rPr>
        <w:t>centro de biotecnología);  y el Centro T</w:t>
      </w:r>
      <w:r w:rsidR="00BF2E3D" w:rsidRPr="00ED0FFC">
        <w:rPr>
          <w:szCs w:val="22"/>
        </w:rPr>
        <w:t>écnico de Embalaje (</w:t>
      </w:r>
      <w:r w:rsidR="00FC7CC3" w:rsidRPr="00ED0FFC">
        <w:rPr>
          <w:szCs w:val="22"/>
        </w:rPr>
        <w:t>"</w:t>
      </w:r>
      <w:r w:rsidR="002B1093" w:rsidRPr="00ED0FFC">
        <w:rPr>
          <w:szCs w:val="22"/>
        </w:rPr>
        <w:t>PACKTEC</w:t>
      </w:r>
      <w:r w:rsidR="00FC7CC3" w:rsidRPr="00ED0FFC">
        <w:rPr>
          <w:szCs w:val="22"/>
        </w:rPr>
        <w:t>"</w:t>
      </w:r>
      <w:r w:rsidR="002B1093" w:rsidRPr="00ED0FFC">
        <w:rPr>
          <w:szCs w:val="22"/>
        </w:rPr>
        <w:t>)</w:t>
      </w:r>
      <w:r w:rsidR="00BF2E3D" w:rsidRPr="00ED0FFC">
        <w:rPr>
          <w:szCs w:val="22"/>
        </w:rPr>
        <w:t>.</w:t>
      </w:r>
    </w:p>
    <w:p w:rsidR="002B1093" w:rsidRPr="00ED0FFC" w:rsidRDefault="002B1093" w:rsidP="007F60FD">
      <w:pPr>
        <w:rPr>
          <w:szCs w:val="22"/>
        </w:rPr>
      </w:pPr>
    </w:p>
    <w:p w:rsidR="002B1093" w:rsidRPr="00ED0FFC" w:rsidRDefault="005737B0" w:rsidP="007F60FD">
      <w:pPr>
        <w:rPr>
          <w:szCs w:val="22"/>
        </w:rPr>
      </w:pPr>
      <w:r w:rsidRPr="00ED0FFC">
        <w:rPr>
          <w:szCs w:val="22"/>
        </w:rPr>
        <w:lastRenderedPageBreak/>
        <w:fldChar w:fldCharType="begin"/>
      </w:r>
      <w:r w:rsidR="002B1093" w:rsidRPr="00ED0FFC">
        <w:rPr>
          <w:szCs w:val="22"/>
        </w:rPr>
        <w:instrText xml:space="preserve"> AUTONUM  </w:instrText>
      </w:r>
      <w:r w:rsidRPr="00ED0FFC">
        <w:rPr>
          <w:szCs w:val="22"/>
        </w:rPr>
        <w:fldChar w:fldCharType="end"/>
      </w:r>
      <w:r w:rsidR="002B1093" w:rsidRPr="00ED0FFC">
        <w:rPr>
          <w:szCs w:val="22"/>
        </w:rPr>
        <w:tab/>
      </w:r>
      <w:r w:rsidR="00BF2E3D" w:rsidRPr="00ED0FFC">
        <w:rPr>
          <w:szCs w:val="22"/>
        </w:rPr>
        <w:t>Además</w:t>
      </w:r>
      <w:r w:rsidR="002B1093" w:rsidRPr="00ED0FFC">
        <w:rPr>
          <w:szCs w:val="22"/>
        </w:rPr>
        <w:t xml:space="preserve">, </w:t>
      </w:r>
      <w:r w:rsidR="00BF2E3D" w:rsidRPr="00ED0FFC">
        <w:rPr>
          <w:szCs w:val="22"/>
        </w:rPr>
        <w:t xml:space="preserve">la OMPI organizó los siguientes programas de fortalecimiento de capacidades para crear conciencia sobre la importancia de crear un marco adecuado </w:t>
      </w:r>
      <w:r w:rsidR="00393081" w:rsidRPr="00ED0FFC">
        <w:rPr>
          <w:szCs w:val="22"/>
        </w:rPr>
        <w:t>para la P.I. a nivel institucional</w:t>
      </w:r>
      <w:r w:rsidR="00BF2E3D" w:rsidRPr="00ED0FFC">
        <w:rPr>
          <w:szCs w:val="22"/>
        </w:rPr>
        <w:t xml:space="preserve"> y facilitar el proceso de su definición</w:t>
      </w:r>
      <w:r w:rsidR="002B1093" w:rsidRPr="00ED0FFC">
        <w:rPr>
          <w:szCs w:val="22"/>
        </w:rPr>
        <w:t>:</w:t>
      </w:r>
    </w:p>
    <w:p w:rsidR="002B1093" w:rsidRPr="00ED0FFC" w:rsidRDefault="002B1093" w:rsidP="007F60FD">
      <w:pPr>
        <w:rPr>
          <w:szCs w:val="22"/>
        </w:rPr>
      </w:pPr>
    </w:p>
    <w:p w:rsidR="002B1093" w:rsidRPr="00ED0FFC" w:rsidRDefault="00BF2E3D" w:rsidP="007F60FD">
      <w:pPr>
        <w:numPr>
          <w:ilvl w:val="0"/>
          <w:numId w:val="19"/>
        </w:numPr>
        <w:ind w:left="567" w:firstLine="0"/>
        <w:rPr>
          <w:szCs w:val="22"/>
        </w:rPr>
      </w:pPr>
      <w:r w:rsidRPr="00ED0FFC">
        <w:rPr>
          <w:szCs w:val="22"/>
        </w:rPr>
        <w:t xml:space="preserve">Seminario nacional sobre políticas de P.I. en universidades </w:t>
      </w:r>
      <w:r w:rsidR="002B1093" w:rsidRPr="00ED0FFC">
        <w:rPr>
          <w:szCs w:val="22"/>
        </w:rPr>
        <w:t>(B</w:t>
      </w:r>
      <w:r w:rsidRPr="00ED0FFC">
        <w:rPr>
          <w:szCs w:val="22"/>
        </w:rPr>
        <w:t>ielorrusia</w:t>
      </w:r>
      <w:r w:rsidR="002B1093" w:rsidRPr="00ED0FFC">
        <w:rPr>
          <w:szCs w:val="22"/>
        </w:rPr>
        <w:t xml:space="preserve">, </w:t>
      </w:r>
      <w:r w:rsidRPr="00ED0FFC">
        <w:rPr>
          <w:szCs w:val="22"/>
        </w:rPr>
        <w:t>ab</w:t>
      </w:r>
      <w:r w:rsidR="002B1093" w:rsidRPr="00ED0FFC">
        <w:rPr>
          <w:szCs w:val="22"/>
        </w:rPr>
        <w:t xml:space="preserve">ril </w:t>
      </w:r>
      <w:r w:rsidR="00AF7647" w:rsidRPr="00ED0FFC">
        <w:rPr>
          <w:szCs w:val="22"/>
        </w:rPr>
        <w:t>de </w:t>
      </w:r>
      <w:r w:rsidR="002B1093" w:rsidRPr="00ED0FFC">
        <w:rPr>
          <w:szCs w:val="22"/>
        </w:rPr>
        <w:t>2015);</w:t>
      </w:r>
    </w:p>
    <w:p w:rsidR="002B1093" w:rsidRPr="00ED0FFC" w:rsidRDefault="002B1093" w:rsidP="007F60FD">
      <w:pPr>
        <w:pStyle w:val="ListParagraph"/>
        <w:ind w:left="993"/>
        <w:rPr>
          <w:szCs w:val="22"/>
          <w:lang w:val="es-ES"/>
        </w:rPr>
      </w:pPr>
    </w:p>
    <w:p w:rsidR="002B1093" w:rsidRPr="00ED0FFC" w:rsidRDefault="00BF2E3D" w:rsidP="007F60FD">
      <w:pPr>
        <w:numPr>
          <w:ilvl w:val="0"/>
          <w:numId w:val="19"/>
        </w:numPr>
        <w:ind w:left="567" w:firstLine="0"/>
        <w:rPr>
          <w:szCs w:val="22"/>
        </w:rPr>
      </w:pPr>
      <w:r w:rsidRPr="00ED0FFC">
        <w:rPr>
          <w:szCs w:val="22"/>
        </w:rPr>
        <w:t xml:space="preserve">Seminario nacional sobre políticas de propiedad intelectual en universidades e instituciones de investigación </w:t>
      </w:r>
      <w:r w:rsidR="002B1093" w:rsidRPr="00ED0FFC">
        <w:rPr>
          <w:szCs w:val="22"/>
        </w:rPr>
        <w:t>(K</w:t>
      </w:r>
      <w:r w:rsidR="007E45FD" w:rsidRPr="00ED0FFC">
        <w:rPr>
          <w:szCs w:val="22"/>
        </w:rPr>
        <w:t>irgui</w:t>
      </w:r>
      <w:r w:rsidRPr="00ED0FFC">
        <w:rPr>
          <w:szCs w:val="22"/>
        </w:rPr>
        <w:t>stán, junio d</w:t>
      </w:r>
      <w:r w:rsidR="00222344" w:rsidRPr="00ED0FFC">
        <w:rPr>
          <w:szCs w:val="22"/>
        </w:rPr>
        <w:t>e 2</w:t>
      </w:r>
      <w:r w:rsidR="002B1093" w:rsidRPr="00ED0FFC">
        <w:rPr>
          <w:szCs w:val="22"/>
        </w:rPr>
        <w:t>015);</w:t>
      </w:r>
    </w:p>
    <w:p w:rsidR="00BF2E3D" w:rsidRPr="00ED0FFC" w:rsidRDefault="00BF2E3D" w:rsidP="007F60FD">
      <w:pPr>
        <w:ind w:left="567"/>
        <w:rPr>
          <w:szCs w:val="22"/>
        </w:rPr>
      </w:pPr>
    </w:p>
    <w:p w:rsidR="002B1093" w:rsidRPr="00ED0FFC" w:rsidRDefault="00BF2E3D" w:rsidP="007F60FD">
      <w:pPr>
        <w:numPr>
          <w:ilvl w:val="0"/>
          <w:numId w:val="19"/>
        </w:numPr>
        <w:ind w:left="567" w:firstLine="0"/>
        <w:rPr>
          <w:szCs w:val="22"/>
        </w:rPr>
      </w:pPr>
      <w:r w:rsidRPr="00ED0FFC">
        <w:rPr>
          <w:szCs w:val="22"/>
        </w:rPr>
        <w:t>Conferencia nacional sobre políticas de propiedad intelectual para las universidades y la innovación</w:t>
      </w:r>
      <w:r w:rsidR="002B1093" w:rsidRPr="00ED0FFC">
        <w:rPr>
          <w:szCs w:val="22"/>
        </w:rPr>
        <w:t xml:space="preserve"> (Bulgaria</w:t>
      </w:r>
      <w:r w:rsidRPr="00ED0FFC">
        <w:rPr>
          <w:szCs w:val="22"/>
        </w:rPr>
        <w:t>,</w:t>
      </w:r>
      <w:r w:rsidR="002B1093" w:rsidRPr="00ED0FFC">
        <w:rPr>
          <w:szCs w:val="22"/>
        </w:rPr>
        <w:t xml:space="preserve"> </w:t>
      </w:r>
      <w:r w:rsidRPr="00ED0FFC">
        <w:rPr>
          <w:szCs w:val="22"/>
        </w:rPr>
        <w:t>noviembre d</w:t>
      </w:r>
      <w:r w:rsidR="00222344" w:rsidRPr="00ED0FFC">
        <w:rPr>
          <w:szCs w:val="22"/>
        </w:rPr>
        <w:t>e 2</w:t>
      </w:r>
      <w:r w:rsidR="002B1093" w:rsidRPr="00ED0FFC">
        <w:rPr>
          <w:szCs w:val="22"/>
        </w:rPr>
        <w:t xml:space="preserve">015);  </w:t>
      </w:r>
      <w:r w:rsidRPr="00ED0FFC">
        <w:rPr>
          <w:szCs w:val="22"/>
        </w:rPr>
        <w:t>y</w:t>
      </w:r>
    </w:p>
    <w:p w:rsidR="002B1093" w:rsidRPr="00ED0FFC" w:rsidRDefault="002B1093" w:rsidP="007F60FD">
      <w:pPr>
        <w:ind w:left="567"/>
        <w:rPr>
          <w:szCs w:val="22"/>
        </w:rPr>
      </w:pPr>
    </w:p>
    <w:p w:rsidR="002B1093" w:rsidRPr="00ED0FFC" w:rsidRDefault="00BF2E3D" w:rsidP="007F60FD">
      <w:pPr>
        <w:numPr>
          <w:ilvl w:val="0"/>
          <w:numId w:val="19"/>
        </w:numPr>
        <w:ind w:left="567" w:firstLine="0"/>
        <w:rPr>
          <w:szCs w:val="22"/>
        </w:rPr>
      </w:pPr>
      <w:r w:rsidRPr="00ED0FFC">
        <w:rPr>
          <w:szCs w:val="22"/>
        </w:rPr>
        <w:t xml:space="preserve">Proyecto de país para proporcionar asistencia técnica </w:t>
      </w:r>
      <w:r w:rsidR="00FC7CC3" w:rsidRPr="00ED0FFC">
        <w:rPr>
          <w:szCs w:val="22"/>
        </w:rPr>
        <w:t xml:space="preserve">a </w:t>
      </w:r>
      <w:r w:rsidRPr="00ED0FFC">
        <w:rPr>
          <w:szCs w:val="22"/>
        </w:rPr>
        <w:t xml:space="preserve">instituciones de investigación y universidades que cuentan con financiación </w:t>
      </w:r>
      <w:r w:rsidR="006F205D" w:rsidRPr="00ED0FFC">
        <w:rPr>
          <w:szCs w:val="22"/>
        </w:rPr>
        <w:t>gubernamental</w:t>
      </w:r>
      <w:r w:rsidR="00FC7CC3" w:rsidRPr="00ED0FFC">
        <w:rPr>
          <w:szCs w:val="22"/>
        </w:rPr>
        <w:t xml:space="preserve"> en Botsuana</w:t>
      </w:r>
      <w:r w:rsidRPr="00ED0FFC">
        <w:rPr>
          <w:szCs w:val="22"/>
        </w:rPr>
        <w:t xml:space="preserve">, en apoyo a la innovación y la </w:t>
      </w:r>
      <w:r w:rsidR="007B6EC0" w:rsidRPr="00ED0FFC">
        <w:rPr>
          <w:szCs w:val="22"/>
        </w:rPr>
        <w:t xml:space="preserve">incorporación de la P.I. </w:t>
      </w:r>
      <w:r w:rsidR="00FC7CC3" w:rsidRPr="00ED0FFC">
        <w:rPr>
          <w:szCs w:val="22"/>
        </w:rPr>
        <w:t xml:space="preserve">en </w:t>
      </w:r>
      <w:r w:rsidR="007B6EC0" w:rsidRPr="00ED0FFC">
        <w:rPr>
          <w:szCs w:val="22"/>
        </w:rPr>
        <w:t>las estrategias institucionales</w:t>
      </w:r>
      <w:r w:rsidR="002B1093" w:rsidRPr="00ED0FFC">
        <w:rPr>
          <w:szCs w:val="22"/>
        </w:rPr>
        <w:t xml:space="preserve"> (Bots</w:t>
      </w:r>
      <w:r w:rsidR="007E45FD" w:rsidRPr="00ED0FFC">
        <w:rPr>
          <w:szCs w:val="22"/>
        </w:rPr>
        <w:t>w</w:t>
      </w:r>
      <w:r w:rsidR="007B6EC0" w:rsidRPr="00ED0FFC">
        <w:rPr>
          <w:szCs w:val="22"/>
        </w:rPr>
        <w:t>ana, noviembre d</w:t>
      </w:r>
      <w:r w:rsidR="00222344" w:rsidRPr="00ED0FFC">
        <w:rPr>
          <w:szCs w:val="22"/>
        </w:rPr>
        <w:t>e 2</w:t>
      </w:r>
      <w:r w:rsidR="002B1093" w:rsidRPr="00ED0FFC">
        <w:rPr>
          <w:szCs w:val="22"/>
        </w:rPr>
        <w:t>015)</w:t>
      </w:r>
    </w:p>
    <w:p w:rsidR="002B1093" w:rsidRPr="00ED0FFC" w:rsidRDefault="002B1093" w:rsidP="007F60FD">
      <w:pPr>
        <w:rPr>
          <w:szCs w:val="22"/>
        </w:rPr>
      </w:pPr>
    </w:p>
    <w:p w:rsidR="002B1093" w:rsidRPr="00ED0FFC" w:rsidRDefault="002B1093" w:rsidP="007F60FD">
      <w:pPr>
        <w:pStyle w:val="Heading2"/>
        <w:ind w:left="567" w:hanging="567"/>
      </w:pPr>
      <w:r w:rsidRPr="00ED0FFC">
        <w:t>III.</w:t>
      </w:r>
      <w:r w:rsidRPr="00ED0FFC">
        <w:tab/>
        <w:t>E</w:t>
      </w:r>
      <w:r w:rsidR="007B6EC0" w:rsidRPr="00ED0FFC">
        <w:rPr>
          <w:szCs w:val="22"/>
        </w:rPr>
        <w:t xml:space="preserve">stablecimiento de estructuras </w:t>
      </w:r>
      <w:r w:rsidR="00E0784D" w:rsidRPr="00ED0FFC">
        <w:rPr>
          <w:szCs w:val="22"/>
        </w:rPr>
        <w:t>institucionales</w:t>
      </w:r>
      <w:r w:rsidR="007B6EC0" w:rsidRPr="00ED0FFC">
        <w:rPr>
          <w:szCs w:val="22"/>
        </w:rPr>
        <w:t xml:space="preserve"> de conocimiento / </w:t>
      </w:r>
      <w:r w:rsidR="00FC7CC3" w:rsidRPr="00ED0FFC">
        <w:rPr>
          <w:szCs w:val="22"/>
        </w:rPr>
        <w:t xml:space="preserve">de </w:t>
      </w:r>
      <w:r w:rsidR="007B6EC0" w:rsidRPr="00ED0FFC">
        <w:rPr>
          <w:szCs w:val="22"/>
        </w:rPr>
        <w:t>transferencia de tecnología</w:t>
      </w:r>
      <w:r w:rsidR="007B6EC0" w:rsidRPr="00ED0FFC">
        <w:t xml:space="preserve"> </w:t>
      </w:r>
    </w:p>
    <w:p w:rsidR="002B1093" w:rsidRPr="00ED0FFC" w:rsidRDefault="002B1093" w:rsidP="007F60FD">
      <w:pPr>
        <w:rPr>
          <w:szCs w:val="22"/>
          <w:u w:val="single"/>
        </w:rPr>
      </w:pPr>
    </w:p>
    <w:p w:rsidR="002B1093" w:rsidRPr="00ED0FFC" w:rsidRDefault="005737B0" w:rsidP="007F60FD">
      <w:pPr>
        <w:rPr>
          <w:szCs w:val="22"/>
        </w:rPr>
      </w:pPr>
      <w:r w:rsidRPr="00ED0FFC">
        <w:rPr>
          <w:szCs w:val="22"/>
        </w:rPr>
        <w:fldChar w:fldCharType="begin"/>
      </w:r>
      <w:r w:rsidR="002B1093" w:rsidRPr="00ED0FFC">
        <w:rPr>
          <w:szCs w:val="22"/>
        </w:rPr>
        <w:instrText xml:space="preserve"> AUTONUM  </w:instrText>
      </w:r>
      <w:r w:rsidRPr="00ED0FFC">
        <w:rPr>
          <w:szCs w:val="22"/>
        </w:rPr>
        <w:fldChar w:fldCharType="end"/>
      </w:r>
      <w:r w:rsidR="002B1093" w:rsidRPr="00ED0FFC">
        <w:rPr>
          <w:szCs w:val="22"/>
        </w:rPr>
        <w:tab/>
      </w:r>
      <w:r w:rsidR="00B310D9" w:rsidRPr="00ED0FFC">
        <w:rPr>
          <w:szCs w:val="22"/>
        </w:rPr>
        <w:t>Desde principios de 2000 se intensificó en la OMPI e</w:t>
      </w:r>
      <w:r w:rsidR="007B6EC0" w:rsidRPr="00ED0FFC">
        <w:rPr>
          <w:szCs w:val="22"/>
        </w:rPr>
        <w:t xml:space="preserve">l trabajo de </w:t>
      </w:r>
      <w:r w:rsidR="00FC7CC3" w:rsidRPr="00ED0FFC">
        <w:rPr>
          <w:szCs w:val="22"/>
        </w:rPr>
        <w:t>concienciación</w:t>
      </w:r>
      <w:r w:rsidR="007B6EC0" w:rsidRPr="00ED0FFC">
        <w:rPr>
          <w:szCs w:val="22"/>
        </w:rPr>
        <w:t xml:space="preserve"> y </w:t>
      </w:r>
      <w:r w:rsidR="00901265">
        <w:rPr>
          <w:szCs w:val="22"/>
        </w:rPr>
        <w:t>promoción</w:t>
      </w:r>
      <w:r w:rsidR="007B6EC0" w:rsidRPr="00ED0FFC">
        <w:rPr>
          <w:szCs w:val="22"/>
        </w:rPr>
        <w:t xml:space="preserve"> de los procesos y </w:t>
      </w:r>
      <w:r w:rsidR="006F205D" w:rsidRPr="00ED0FFC">
        <w:rPr>
          <w:szCs w:val="22"/>
        </w:rPr>
        <w:t>procedimientos</w:t>
      </w:r>
      <w:r w:rsidR="007B6EC0" w:rsidRPr="00ED0FFC">
        <w:rPr>
          <w:szCs w:val="22"/>
        </w:rPr>
        <w:t xml:space="preserve"> de gestión de los derechos de P.I. y transferencia de tecnología en los PMA, los países en desarrollo y los países en transición</w:t>
      </w:r>
      <w:r w:rsidR="00B310D9" w:rsidRPr="00ED0FFC">
        <w:rPr>
          <w:szCs w:val="22"/>
        </w:rPr>
        <w:t>,</w:t>
      </w:r>
      <w:r w:rsidR="002B1093" w:rsidRPr="00ED0FFC">
        <w:rPr>
          <w:szCs w:val="22"/>
        </w:rPr>
        <w:t xml:space="preserve"> </w:t>
      </w:r>
      <w:r w:rsidR="007B6EC0" w:rsidRPr="00ED0FFC">
        <w:rPr>
          <w:szCs w:val="22"/>
        </w:rPr>
        <w:t xml:space="preserve">y </w:t>
      </w:r>
      <w:r w:rsidR="00B310D9" w:rsidRPr="00ED0FFC">
        <w:rPr>
          <w:szCs w:val="22"/>
        </w:rPr>
        <w:t xml:space="preserve">dio lugar a </w:t>
      </w:r>
      <w:r w:rsidR="007B6EC0" w:rsidRPr="00ED0FFC">
        <w:rPr>
          <w:szCs w:val="22"/>
        </w:rPr>
        <w:t>una serie de estudios y programas sobre la importancia de las políticas/estrategias de P.I. a nivel nacional,</w:t>
      </w:r>
      <w:r w:rsidR="00FC7CC3" w:rsidRPr="00ED0FFC">
        <w:rPr>
          <w:szCs w:val="22"/>
        </w:rPr>
        <w:t xml:space="preserve"> en</w:t>
      </w:r>
      <w:r w:rsidR="007B6EC0" w:rsidRPr="00ED0FFC">
        <w:rPr>
          <w:szCs w:val="22"/>
        </w:rPr>
        <w:t xml:space="preserve"> programas de fortalecimiento de capacidades</w:t>
      </w:r>
      <w:r w:rsidR="00BE3979" w:rsidRPr="00ED0FFC">
        <w:rPr>
          <w:szCs w:val="22"/>
        </w:rPr>
        <w:t xml:space="preserve">, </w:t>
      </w:r>
      <w:r w:rsidR="007B6EC0" w:rsidRPr="00ED0FFC">
        <w:rPr>
          <w:szCs w:val="22"/>
        </w:rPr>
        <w:t xml:space="preserve">y </w:t>
      </w:r>
      <w:r w:rsidR="00FC7CC3" w:rsidRPr="00ED0FFC">
        <w:rPr>
          <w:szCs w:val="22"/>
        </w:rPr>
        <w:t xml:space="preserve">en </w:t>
      </w:r>
      <w:r w:rsidR="007B6EC0" w:rsidRPr="00ED0FFC">
        <w:rPr>
          <w:szCs w:val="22"/>
        </w:rPr>
        <w:t>proyectos temáticos concretos y de los países</w:t>
      </w:r>
      <w:r w:rsidR="009E0F9A" w:rsidRPr="00ED0FFC">
        <w:rPr>
          <w:szCs w:val="22"/>
        </w:rPr>
        <w:t xml:space="preserve">, </w:t>
      </w:r>
      <w:r w:rsidR="00FC7CC3" w:rsidRPr="00ED0FFC">
        <w:rPr>
          <w:szCs w:val="22"/>
        </w:rPr>
        <w:t>para f</w:t>
      </w:r>
      <w:r w:rsidR="00BE3979" w:rsidRPr="00ED0FFC">
        <w:rPr>
          <w:szCs w:val="22"/>
        </w:rPr>
        <w:t>ortalece</w:t>
      </w:r>
      <w:r w:rsidR="00FC7CC3" w:rsidRPr="00ED0FFC">
        <w:rPr>
          <w:szCs w:val="22"/>
        </w:rPr>
        <w:t>r</w:t>
      </w:r>
      <w:r w:rsidR="00BE3979" w:rsidRPr="00ED0FFC">
        <w:rPr>
          <w:szCs w:val="22"/>
        </w:rPr>
        <w:t xml:space="preserve"> la capacidad de los creadores y </w:t>
      </w:r>
      <w:r w:rsidR="00FC7CC3" w:rsidRPr="00ED0FFC">
        <w:rPr>
          <w:szCs w:val="22"/>
        </w:rPr>
        <w:t xml:space="preserve">de </w:t>
      </w:r>
      <w:r w:rsidR="00BE3979" w:rsidRPr="00ED0FFC">
        <w:rPr>
          <w:szCs w:val="22"/>
        </w:rPr>
        <w:t>los usuarios de conocimiento y P.I.</w:t>
      </w:r>
      <w:r w:rsidR="00FC7CC3" w:rsidRPr="00ED0FFC">
        <w:rPr>
          <w:szCs w:val="22"/>
        </w:rPr>
        <w:t xml:space="preserve">, con el objetivo de </w:t>
      </w:r>
      <w:r w:rsidR="00BE3979" w:rsidRPr="00ED0FFC">
        <w:rPr>
          <w:szCs w:val="22"/>
        </w:rPr>
        <w:t>seguir desarroll</w:t>
      </w:r>
      <w:r w:rsidR="00FC7CC3" w:rsidRPr="00ED0FFC">
        <w:rPr>
          <w:szCs w:val="22"/>
        </w:rPr>
        <w:t xml:space="preserve">ando y </w:t>
      </w:r>
      <w:r w:rsidR="00BE3979" w:rsidRPr="00ED0FFC">
        <w:rPr>
          <w:szCs w:val="22"/>
        </w:rPr>
        <w:t>gestiona</w:t>
      </w:r>
      <w:r w:rsidR="00FC7CC3" w:rsidRPr="00ED0FFC">
        <w:rPr>
          <w:szCs w:val="22"/>
        </w:rPr>
        <w:t xml:space="preserve">ndo esta capacidad </w:t>
      </w:r>
      <w:r w:rsidR="009E0F9A" w:rsidRPr="00ED0FFC">
        <w:rPr>
          <w:szCs w:val="22"/>
        </w:rPr>
        <w:t>ante los m</w:t>
      </w:r>
      <w:r w:rsidR="00BE3979" w:rsidRPr="00ED0FFC">
        <w:rPr>
          <w:szCs w:val="22"/>
        </w:rPr>
        <w:t>ercados competitivos.  En este contexto, se concedió una especial importancia a las universidades y a las instituciones de I+D, como principales generador</w:t>
      </w:r>
      <w:r w:rsidR="009E0F9A" w:rsidRPr="00ED0FFC">
        <w:rPr>
          <w:szCs w:val="22"/>
        </w:rPr>
        <w:t>a</w:t>
      </w:r>
      <w:r w:rsidR="00BE3979" w:rsidRPr="00ED0FFC">
        <w:rPr>
          <w:szCs w:val="22"/>
        </w:rPr>
        <w:t xml:space="preserve">s de P.I. en los países en </w:t>
      </w:r>
      <w:r w:rsidR="006F205D" w:rsidRPr="00ED0FFC">
        <w:rPr>
          <w:szCs w:val="22"/>
        </w:rPr>
        <w:t>desarrollo</w:t>
      </w:r>
      <w:r w:rsidR="002B1093" w:rsidRPr="00ED0FFC">
        <w:rPr>
          <w:szCs w:val="22"/>
        </w:rPr>
        <w:t>.</w:t>
      </w:r>
    </w:p>
    <w:p w:rsidR="002B1093" w:rsidRPr="00ED0FFC" w:rsidRDefault="002B1093" w:rsidP="007F60FD">
      <w:pPr>
        <w:rPr>
          <w:szCs w:val="22"/>
        </w:rPr>
      </w:pPr>
    </w:p>
    <w:p w:rsidR="002B1093" w:rsidRPr="00ED0FFC" w:rsidRDefault="005737B0" w:rsidP="007F60FD">
      <w:pPr>
        <w:rPr>
          <w:szCs w:val="22"/>
        </w:rPr>
      </w:pPr>
      <w:r w:rsidRPr="00ED0FFC">
        <w:rPr>
          <w:szCs w:val="22"/>
        </w:rPr>
        <w:fldChar w:fldCharType="begin"/>
      </w:r>
      <w:r w:rsidR="002B1093" w:rsidRPr="00ED0FFC">
        <w:rPr>
          <w:szCs w:val="22"/>
        </w:rPr>
        <w:instrText xml:space="preserve"> AUTONUM  </w:instrText>
      </w:r>
      <w:r w:rsidRPr="00ED0FFC">
        <w:rPr>
          <w:szCs w:val="22"/>
        </w:rPr>
        <w:fldChar w:fldCharType="end"/>
      </w:r>
      <w:r w:rsidR="002B1093" w:rsidRPr="00ED0FFC">
        <w:rPr>
          <w:szCs w:val="22"/>
        </w:rPr>
        <w:tab/>
      </w:r>
      <w:r w:rsidR="00BE3979" w:rsidRPr="00ED0FFC">
        <w:rPr>
          <w:szCs w:val="22"/>
        </w:rPr>
        <w:t xml:space="preserve">Como resultado de numerosos programas de la OMPI de fortalecimiento de </w:t>
      </w:r>
      <w:r w:rsidR="009E0F9A" w:rsidRPr="00ED0FFC">
        <w:rPr>
          <w:szCs w:val="22"/>
        </w:rPr>
        <w:t xml:space="preserve">las </w:t>
      </w:r>
      <w:r w:rsidR="00BE3979" w:rsidRPr="00ED0FFC">
        <w:rPr>
          <w:szCs w:val="22"/>
        </w:rPr>
        <w:t xml:space="preserve">capacidades </w:t>
      </w:r>
      <w:r w:rsidR="009E0F9A" w:rsidRPr="00ED0FFC">
        <w:rPr>
          <w:szCs w:val="22"/>
        </w:rPr>
        <w:t xml:space="preserve">en materia de </w:t>
      </w:r>
      <w:r w:rsidR="00BE3979" w:rsidRPr="00ED0FFC">
        <w:rPr>
          <w:szCs w:val="22"/>
        </w:rPr>
        <w:t xml:space="preserve">P.I. destinados a profesionales del mundo académico, hay una concienciación general en esas instituciones de que </w:t>
      </w:r>
      <w:r w:rsidR="00E9443E" w:rsidRPr="00ED0FFC">
        <w:rPr>
          <w:szCs w:val="22"/>
        </w:rPr>
        <w:t>los resultados de las investigaciones so</w:t>
      </w:r>
      <w:r w:rsidR="00742E3D" w:rsidRPr="00ED0FFC">
        <w:rPr>
          <w:szCs w:val="22"/>
        </w:rPr>
        <w:t>n a</w:t>
      </w:r>
      <w:r w:rsidR="00E9443E" w:rsidRPr="00ED0FFC">
        <w:rPr>
          <w:szCs w:val="22"/>
        </w:rPr>
        <w:t xml:space="preserve">ctivos intelectuales </w:t>
      </w:r>
      <w:r w:rsidR="009E0F9A" w:rsidRPr="00ED0FFC">
        <w:rPr>
          <w:szCs w:val="22"/>
        </w:rPr>
        <w:t xml:space="preserve">potenciales </w:t>
      </w:r>
      <w:r w:rsidR="00E9443E" w:rsidRPr="00ED0FFC">
        <w:rPr>
          <w:szCs w:val="22"/>
        </w:rPr>
        <w:t>y de que hay unas expectativas legítimas en las sociedades nacionales, que esperan que las universidades gestionen y creen conocimiento y P.I. de manera que se transformen en activos que puedan ser transferidos y, en su caso, comercializados</w:t>
      </w:r>
      <w:r w:rsidR="002B1093" w:rsidRPr="00ED0FFC">
        <w:rPr>
          <w:szCs w:val="22"/>
        </w:rPr>
        <w:t xml:space="preserve">.  </w:t>
      </w:r>
      <w:r w:rsidR="00E9443E" w:rsidRPr="00ED0FFC">
        <w:rPr>
          <w:szCs w:val="22"/>
        </w:rPr>
        <w:t>Sin embargo, la mayoría de las universidades en los países beneficiarios todavía carecen del conocimiento práctico sobre c</w:t>
      </w:r>
      <w:r w:rsidR="009E0F9A" w:rsidRPr="00ED0FFC">
        <w:rPr>
          <w:szCs w:val="22"/>
        </w:rPr>
        <w:t>ó</w:t>
      </w:r>
      <w:r w:rsidR="00E9443E" w:rsidRPr="00ED0FFC">
        <w:rPr>
          <w:szCs w:val="22"/>
        </w:rPr>
        <w:t xml:space="preserve">mo crear estructuras </w:t>
      </w:r>
      <w:r w:rsidR="00E0784D" w:rsidRPr="00ED0FFC">
        <w:rPr>
          <w:szCs w:val="22"/>
        </w:rPr>
        <w:t>institucionales</w:t>
      </w:r>
      <w:r w:rsidR="00E9443E" w:rsidRPr="00ED0FFC">
        <w:rPr>
          <w:szCs w:val="22"/>
        </w:rPr>
        <w:t xml:space="preserve">, como unidades profesionales de gestión tecnológica que asuman el proceso de gestión de los derechos de </w:t>
      </w:r>
      <w:r w:rsidR="007E45FD" w:rsidRPr="00ED0FFC">
        <w:rPr>
          <w:szCs w:val="22"/>
        </w:rPr>
        <w:t>P.I</w:t>
      </w:r>
      <w:r w:rsidR="002B1093" w:rsidRPr="00ED0FFC">
        <w:rPr>
          <w:szCs w:val="22"/>
        </w:rPr>
        <w:t xml:space="preserve">, </w:t>
      </w:r>
      <w:r w:rsidR="00E9443E" w:rsidRPr="00ED0FFC">
        <w:rPr>
          <w:szCs w:val="22"/>
        </w:rPr>
        <w:t>sobre la base de las leyes nacionales y las políticas institucionales de P.I.</w:t>
      </w:r>
    </w:p>
    <w:p w:rsidR="002B1093" w:rsidRPr="00ED0FFC" w:rsidRDefault="002B1093" w:rsidP="007F60FD">
      <w:pPr>
        <w:rPr>
          <w:szCs w:val="22"/>
        </w:rPr>
      </w:pPr>
    </w:p>
    <w:p w:rsidR="002B1093" w:rsidRPr="00ED0FFC" w:rsidRDefault="005737B0" w:rsidP="007F60FD">
      <w:pPr>
        <w:rPr>
          <w:szCs w:val="22"/>
        </w:rPr>
      </w:pPr>
      <w:r w:rsidRPr="00ED0FFC">
        <w:rPr>
          <w:szCs w:val="22"/>
        </w:rPr>
        <w:fldChar w:fldCharType="begin"/>
      </w:r>
      <w:r w:rsidR="002B1093" w:rsidRPr="00ED0FFC">
        <w:rPr>
          <w:szCs w:val="22"/>
        </w:rPr>
        <w:instrText xml:space="preserve"> AUTONUM  </w:instrText>
      </w:r>
      <w:r w:rsidRPr="00ED0FFC">
        <w:rPr>
          <w:szCs w:val="22"/>
        </w:rPr>
        <w:fldChar w:fldCharType="end"/>
      </w:r>
      <w:r w:rsidR="002B1093" w:rsidRPr="00ED0FFC">
        <w:rPr>
          <w:szCs w:val="22"/>
        </w:rPr>
        <w:tab/>
      </w:r>
      <w:r w:rsidR="00E9443E" w:rsidRPr="00ED0FFC">
        <w:rPr>
          <w:szCs w:val="22"/>
        </w:rPr>
        <w:t>Por consiguiente</w:t>
      </w:r>
      <w:r w:rsidR="002B1093" w:rsidRPr="00ED0FFC">
        <w:rPr>
          <w:szCs w:val="22"/>
        </w:rPr>
        <w:t xml:space="preserve">, </w:t>
      </w:r>
      <w:r w:rsidR="00E9443E" w:rsidRPr="00ED0FFC">
        <w:rPr>
          <w:szCs w:val="22"/>
        </w:rPr>
        <w:t>la OMPI ha estado proporcionando asesoramiento especializado, a través de programas adaptados de fortalecimiento de capacidades o de proyectos específicos basados en estudios de evaluación de las necesidades,</w:t>
      </w:r>
      <w:r w:rsidR="009E0F9A" w:rsidRPr="00ED0FFC">
        <w:rPr>
          <w:szCs w:val="22"/>
        </w:rPr>
        <w:t xml:space="preserve"> </w:t>
      </w:r>
      <w:r w:rsidR="00E9443E" w:rsidRPr="00ED0FFC">
        <w:rPr>
          <w:szCs w:val="22"/>
        </w:rPr>
        <w:t xml:space="preserve">que proporcionaron a las instituciones beneficiarias planes de acción </w:t>
      </w:r>
      <w:r w:rsidR="00846368" w:rsidRPr="00ED0FFC">
        <w:rPr>
          <w:szCs w:val="22"/>
        </w:rPr>
        <w:t xml:space="preserve">sobre cómo establecer oficinas profesionales de gestión de la P.I., cómo </w:t>
      </w:r>
      <w:r w:rsidR="007E45FD" w:rsidRPr="00ED0FFC">
        <w:rPr>
          <w:szCs w:val="22"/>
        </w:rPr>
        <w:t>seleccionar</w:t>
      </w:r>
      <w:r w:rsidR="00846368" w:rsidRPr="00ED0FFC">
        <w:rPr>
          <w:szCs w:val="22"/>
        </w:rPr>
        <w:t xml:space="preserve"> y contratar personal para esos proveedores de servicios de P.I.</w:t>
      </w:r>
      <w:r w:rsidR="002B1093" w:rsidRPr="00ED0FFC">
        <w:rPr>
          <w:szCs w:val="22"/>
        </w:rPr>
        <w:t xml:space="preserve">, </w:t>
      </w:r>
      <w:r w:rsidR="00846368" w:rsidRPr="00ED0FFC">
        <w:rPr>
          <w:szCs w:val="22"/>
        </w:rPr>
        <w:t>cómo impartir educación a los profesionales y cómo ofrecer incentivos a los investigadores para que se involucren plenamente en los procesos de gestión del conocimiento</w:t>
      </w:r>
      <w:r w:rsidR="002B1093" w:rsidRPr="00ED0FFC">
        <w:rPr>
          <w:szCs w:val="22"/>
        </w:rPr>
        <w:t xml:space="preserve">.  </w:t>
      </w:r>
      <w:r w:rsidR="00846368" w:rsidRPr="00ED0FFC">
        <w:rPr>
          <w:szCs w:val="22"/>
        </w:rPr>
        <w:t>Por ejemplo, e</w:t>
      </w:r>
      <w:r w:rsidR="00222344" w:rsidRPr="00ED0FFC">
        <w:rPr>
          <w:szCs w:val="22"/>
        </w:rPr>
        <w:t>n 2013</w:t>
      </w:r>
      <w:r w:rsidR="00222344" w:rsidRPr="00ED0FFC">
        <w:rPr>
          <w:szCs w:val="22"/>
        </w:rPr>
        <w:noBreakHyphen/>
      </w:r>
      <w:r w:rsidR="002B1093" w:rsidRPr="00ED0FFC">
        <w:rPr>
          <w:szCs w:val="22"/>
        </w:rPr>
        <w:t>2014</w:t>
      </w:r>
      <w:r w:rsidR="00846368" w:rsidRPr="00ED0FFC">
        <w:rPr>
          <w:szCs w:val="22"/>
        </w:rPr>
        <w:t xml:space="preserve"> se definió un "Plan de Acción" para el Centro de Transferencia de Tecnología de </w:t>
      </w:r>
      <w:r w:rsidR="002B1093" w:rsidRPr="00ED0FFC">
        <w:rPr>
          <w:szCs w:val="22"/>
        </w:rPr>
        <w:t xml:space="preserve">Georgia, </w:t>
      </w:r>
      <w:r w:rsidR="00846368" w:rsidRPr="00ED0FFC">
        <w:rPr>
          <w:szCs w:val="22"/>
        </w:rPr>
        <w:t xml:space="preserve">con un planteamiento "paso a paso" para la creación en el centro de estructuras jurídicas </w:t>
      </w:r>
      <w:r w:rsidR="00E0784D" w:rsidRPr="00ED0FFC">
        <w:rPr>
          <w:szCs w:val="22"/>
        </w:rPr>
        <w:t>e</w:t>
      </w:r>
      <w:r w:rsidR="00846368" w:rsidRPr="00ED0FFC">
        <w:rPr>
          <w:szCs w:val="22"/>
        </w:rPr>
        <w:t xml:space="preserve"> </w:t>
      </w:r>
      <w:r w:rsidR="00E0784D" w:rsidRPr="00ED0FFC">
        <w:rPr>
          <w:szCs w:val="22"/>
        </w:rPr>
        <w:t>institucionales</w:t>
      </w:r>
      <w:r w:rsidR="002B1093" w:rsidRPr="00ED0FFC">
        <w:rPr>
          <w:szCs w:val="22"/>
        </w:rPr>
        <w:t xml:space="preserve">.  </w:t>
      </w:r>
      <w:r w:rsidR="00846368" w:rsidRPr="00ED0FFC">
        <w:rPr>
          <w:szCs w:val="22"/>
        </w:rPr>
        <w:t>Además, e</w:t>
      </w:r>
      <w:r w:rsidR="00222344" w:rsidRPr="00ED0FFC">
        <w:rPr>
          <w:szCs w:val="22"/>
        </w:rPr>
        <w:t>n 2</w:t>
      </w:r>
      <w:r w:rsidR="002B1093" w:rsidRPr="00ED0FFC">
        <w:rPr>
          <w:szCs w:val="22"/>
        </w:rPr>
        <w:t xml:space="preserve">014–15 </w:t>
      </w:r>
      <w:r w:rsidR="00846368" w:rsidRPr="00ED0FFC">
        <w:rPr>
          <w:szCs w:val="22"/>
        </w:rPr>
        <w:t xml:space="preserve">se celebraron seminarios sobre seguimiento </w:t>
      </w:r>
      <w:r w:rsidR="00846368" w:rsidRPr="00ED0FFC">
        <w:rPr>
          <w:szCs w:val="22"/>
        </w:rPr>
        <w:lastRenderedPageBreak/>
        <w:t xml:space="preserve">de la transferencia </w:t>
      </w:r>
      <w:r w:rsidR="007E45FD" w:rsidRPr="00ED0FFC">
        <w:rPr>
          <w:szCs w:val="22"/>
        </w:rPr>
        <w:t>de tecnología</w:t>
      </w:r>
      <w:r w:rsidR="00846368" w:rsidRPr="00ED0FFC">
        <w:rPr>
          <w:szCs w:val="22"/>
        </w:rPr>
        <w:t xml:space="preserve">, en los que se abordaron los problemas relacionados con la implantación de las necesarias estructuras </w:t>
      </w:r>
      <w:r w:rsidR="00E0784D" w:rsidRPr="00ED0FFC">
        <w:rPr>
          <w:szCs w:val="22"/>
        </w:rPr>
        <w:t>institucionales</w:t>
      </w:r>
      <w:r w:rsidR="002B1093" w:rsidRPr="00ED0FFC">
        <w:rPr>
          <w:szCs w:val="22"/>
        </w:rPr>
        <w:t>:</w:t>
      </w:r>
    </w:p>
    <w:p w:rsidR="002B1093" w:rsidRPr="00ED0FFC" w:rsidRDefault="002B1093" w:rsidP="007F60FD">
      <w:pPr>
        <w:rPr>
          <w:szCs w:val="22"/>
        </w:rPr>
      </w:pPr>
    </w:p>
    <w:p w:rsidR="002B1093" w:rsidRPr="00ED0FFC" w:rsidRDefault="00223F9A" w:rsidP="007F60FD">
      <w:pPr>
        <w:numPr>
          <w:ilvl w:val="0"/>
          <w:numId w:val="20"/>
        </w:numPr>
        <w:ind w:left="567" w:firstLine="0"/>
        <w:rPr>
          <w:szCs w:val="22"/>
        </w:rPr>
      </w:pPr>
      <w:r w:rsidRPr="00ED0FFC">
        <w:rPr>
          <w:szCs w:val="22"/>
        </w:rPr>
        <w:t>"</w:t>
      </w:r>
      <w:r w:rsidR="00846368" w:rsidRPr="00ED0FFC">
        <w:rPr>
          <w:szCs w:val="22"/>
        </w:rPr>
        <w:t xml:space="preserve">Trabajando juntos en favor de la promoción de la </w:t>
      </w:r>
      <w:r w:rsidR="004C1CA4" w:rsidRPr="00ED0FFC">
        <w:rPr>
          <w:szCs w:val="22"/>
        </w:rPr>
        <w:t>transferencia de conocimiento</w:t>
      </w:r>
      <w:r w:rsidR="00846368" w:rsidRPr="00ED0FFC">
        <w:rPr>
          <w:szCs w:val="22"/>
        </w:rPr>
        <w:t xml:space="preserve"> y la comercialización de la P.I. en </w:t>
      </w:r>
      <w:r w:rsidR="002B1093" w:rsidRPr="00ED0FFC">
        <w:rPr>
          <w:szCs w:val="22"/>
        </w:rPr>
        <w:t>Georgia”</w:t>
      </w:r>
      <w:r w:rsidR="00846368" w:rsidRPr="00ED0FFC">
        <w:rPr>
          <w:szCs w:val="22"/>
        </w:rPr>
        <w:t>.</w:t>
      </w:r>
      <w:r w:rsidR="00ED13B2" w:rsidRPr="00ED0FFC">
        <w:rPr>
          <w:szCs w:val="22"/>
        </w:rPr>
        <w:t xml:space="preserve">  </w:t>
      </w:r>
      <w:r w:rsidR="00846368" w:rsidRPr="00ED0FFC">
        <w:rPr>
          <w:szCs w:val="22"/>
        </w:rPr>
        <w:t xml:space="preserve">10 </w:t>
      </w:r>
      <w:r w:rsidR="00222344" w:rsidRPr="00ED0FFC">
        <w:rPr>
          <w:szCs w:val="22"/>
        </w:rPr>
        <w:t>y 1</w:t>
      </w:r>
      <w:r w:rsidR="00846368" w:rsidRPr="00ED0FFC">
        <w:rPr>
          <w:szCs w:val="22"/>
        </w:rPr>
        <w:t>1 de marzo</w:t>
      </w:r>
      <w:r w:rsidR="00663BF8" w:rsidRPr="00ED0FFC">
        <w:rPr>
          <w:szCs w:val="22"/>
        </w:rPr>
        <w:t xml:space="preserve"> d</w:t>
      </w:r>
      <w:r w:rsidR="00222344" w:rsidRPr="00ED0FFC">
        <w:rPr>
          <w:szCs w:val="22"/>
        </w:rPr>
        <w:t>e 2</w:t>
      </w:r>
      <w:r w:rsidR="00663BF8" w:rsidRPr="00ED0FFC">
        <w:rPr>
          <w:szCs w:val="22"/>
        </w:rPr>
        <w:t>014</w:t>
      </w:r>
      <w:r w:rsidR="00846368" w:rsidRPr="00ED0FFC">
        <w:rPr>
          <w:szCs w:val="22"/>
        </w:rPr>
        <w:t>.</w:t>
      </w:r>
      <w:r w:rsidR="00ED13B2" w:rsidRPr="00ED0FFC">
        <w:rPr>
          <w:szCs w:val="22"/>
        </w:rPr>
        <w:t xml:space="preserve">  </w:t>
      </w:r>
      <w:r w:rsidR="006F205D" w:rsidRPr="00ED0FFC">
        <w:rPr>
          <w:szCs w:val="22"/>
        </w:rPr>
        <w:t>T</w:t>
      </w:r>
      <w:r w:rsidR="00901265">
        <w:rPr>
          <w:szCs w:val="22"/>
        </w:rPr>
        <w:t>if</w:t>
      </w:r>
      <w:r w:rsidR="006F205D" w:rsidRPr="00ED0FFC">
        <w:rPr>
          <w:szCs w:val="22"/>
        </w:rPr>
        <w:t>lis</w:t>
      </w:r>
      <w:r w:rsidR="001C538E" w:rsidRPr="00ED0FFC">
        <w:rPr>
          <w:szCs w:val="22"/>
        </w:rPr>
        <w:t xml:space="preserve"> (</w:t>
      </w:r>
      <w:r w:rsidR="002B1093" w:rsidRPr="00ED0FFC">
        <w:rPr>
          <w:szCs w:val="22"/>
        </w:rPr>
        <w:t>Georgia</w:t>
      </w:r>
      <w:r w:rsidR="001C538E" w:rsidRPr="00ED0FFC">
        <w:rPr>
          <w:szCs w:val="22"/>
        </w:rPr>
        <w:t>)</w:t>
      </w:r>
      <w:r w:rsidR="002B1093" w:rsidRPr="00ED0FFC">
        <w:rPr>
          <w:szCs w:val="22"/>
        </w:rPr>
        <w:t>;</w:t>
      </w:r>
    </w:p>
    <w:p w:rsidR="002B1093" w:rsidRPr="00ED0FFC" w:rsidRDefault="002B1093" w:rsidP="007F60FD">
      <w:pPr>
        <w:ind w:left="567"/>
        <w:rPr>
          <w:szCs w:val="22"/>
        </w:rPr>
      </w:pPr>
    </w:p>
    <w:p w:rsidR="002B1093" w:rsidRPr="00ED0FFC" w:rsidRDefault="00223F9A" w:rsidP="007F60FD">
      <w:pPr>
        <w:numPr>
          <w:ilvl w:val="0"/>
          <w:numId w:val="20"/>
        </w:numPr>
        <w:ind w:left="567" w:firstLine="0"/>
        <w:rPr>
          <w:szCs w:val="22"/>
        </w:rPr>
      </w:pPr>
      <w:r w:rsidRPr="00ED0FFC">
        <w:rPr>
          <w:szCs w:val="22"/>
        </w:rPr>
        <w:t>"</w:t>
      </w:r>
      <w:r w:rsidR="00ED13B2" w:rsidRPr="00ED0FFC">
        <w:rPr>
          <w:szCs w:val="22"/>
        </w:rPr>
        <w:t>Seminario nacional sobre gestión de las tecnología en las universidades</w:t>
      </w:r>
      <w:r w:rsidR="002B1093" w:rsidRPr="00ED0FFC">
        <w:rPr>
          <w:szCs w:val="22"/>
        </w:rPr>
        <w:t>”</w:t>
      </w:r>
      <w:r w:rsidR="00ED13B2" w:rsidRPr="00ED0FFC">
        <w:rPr>
          <w:szCs w:val="22"/>
        </w:rPr>
        <w:t xml:space="preserve">.  12 </w:t>
      </w:r>
      <w:r w:rsidR="00222344" w:rsidRPr="00ED0FFC">
        <w:rPr>
          <w:szCs w:val="22"/>
        </w:rPr>
        <w:t>y 1</w:t>
      </w:r>
      <w:r w:rsidR="00ED13B2" w:rsidRPr="00ED0FFC">
        <w:rPr>
          <w:szCs w:val="22"/>
        </w:rPr>
        <w:t>3 de mayo</w:t>
      </w:r>
      <w:r w:rsidR="00663BF8" w:rsidRPr="00ED0FFC">
        <w:rPr>
          <w:szCs w:val="22"/>
        </w:rPr>
        <w:t xml:space="preserve"> d</w:t>
      </w:r>
      <w:r w:rsidR="00222344" w:rsidRPr="00ED0FFC">
        <w:rPr>
          <w:szCs w:val="22"/>
        </w:rPr>
        <w:t>e 2</w:t>
      </w:r>
      <w:r w:rsidR="00663BF8" w:rsidRPr="00ED0FFC">
        <w:rPr>
          <w:szCs w:val="22"/>
        </w:rPr>
        <w:t>014</w:t>
      </w:r>
      <w:r w:rsidR="00ED13B2" w:rsidRPr="00ED0FFC">
        <w:rPr>
          <w:szCs w:val="22"/>
        </w:rPr>
        <w:t>.</w:t>
      </w:r>
      <w:r w:rsidR="002B1093" w:rsidRPr="00ED0FFC">
        <w:rPr>
          <w:szCs w:val="22"/>
        </w:rPr>
        <w:t xml:space="preserve"> </w:t>
      </w:r>
      <w:r w:rsidR="00ED13B2" w:rsidRPr="00ED0FFC">
        <w:rPr>
          <w:szCs w:val="22"/>
        </w:rPr>
        <w:t xml:space="preserve"> </w:t>
      </w:r>
      <w:r w:rsidR="002B1093" w:rsidRPr="00ED0FFC">
        <w:rPr>
          <w:szCs w:val="22"/>
        </w:rPr>
        <w:t>Brunei Darussalam;</w:t>
      </w:r>
    </w:p>
    <w:p w:rsidR="002B1093" w:rsidRPr="00ED0FFC" w:rsidRDefault="002B1093" w:rsidP="007F60FD">
      <w:pPr>
        <w:ind w:left="567"/>
        <w:rPr>
          <w:szCs w:val="22"/>
        </w:rPr>
      </w:pPr>
    </w:p>
    <w:p w:rsidR="002B1093" w:rsidRPr="00ED0FFC" w:rsidRDefault="00223F9A" w:rsidP="007F60FD">
      <w:pPr>
        <w:numPr>
          <w:ilvl w:val="0"/>
          <w:numId w:val="20"/>
        </w:numPr>
        <w:ind w:left="567" w:firstLine="0"/>
        <w:rPr>
          <w:szCs w:val="22"/>
        </w:rPr>
      </w:pPr>
      <w:r w:rsidRPr="00ED0FFC">
        <w:rPr>
          <w:szCs w:val="22"/>
        </w:rPr>
        <w:t>"</w:t>
      </w:r>
      <w:r w:rsidR="00ED13B2" w:rsidRPr="00ED0FFC">
        <w:rPr>
          <w:szCs w:val="22"/>
        </w:rPr>
        <w:t>Seminario subregional de la OMPI para oficinas de transferencia de tecnolog</w:t>
      </w:r>
      <w:r w:rsidR="00663BF8" w:rsidRPr="00ED0FFC">
        <w:rPr>
          <w:szCs w:val="22"/>
        </w:rPr>
        <w:t>ía</w:t>
      </w:r>
      <w:r w:rsidR="002B1093" w:rsidRPr="00ED0FFC">
        <w:rPr>
          <w:szCs w:val="22"/>
        </w:rPr>
        <w:t>”</w:t>
      </w:r>
      <w:r w:rsidR="00663BF8" w:rsidRPr="00ED0FFC">
        <w:rPr>
          <w:szCs w:val="22"/>
        </w:rPr>
        <w:t>.</w:t>
      </w:r>
      <w:r w:rsidR="00742E3D" w:rsidRPr="00ED0FFC">
        <w:rPr>
          <w:szCs w:val="22"/>
        </w:rPr>
        <w:t xml:space="preserve"> </w:t>
      </w:r>
      <w:r w:rsidR="002B1093" w:rsidRPr="00ED0FFC">
        <w:rPr>
          <w:szCs w:val="22"/>
        </w:rPr>
        <w:t>20</w:t>
      </w:r>
      <w:r w:rsidR="00663BF8" w:rsidRPr="00ED0FFC">
        <w:rPr>
          <w:szCs w:val="22"/>
        </w:rPr>
        <w:t xml:space="preserve"> </w:t>
      </w:r>
      <w:r w:rsidR="00222344" w:rsidRPr="00ED0FFC">
        <w:rPr>
          <w:szCs w:val="22"/>
        </w:rPr>
        <w:t>y 2</w:t>
      </w:r>
      <w:r w:rsidR="002B1093" w:rsidRPr="00ED0FFC">
        <w:rPr>
          <w:szCs w:val="22"/>
        </w:rPr>
        <w:t>1</w:t>
      </w:r>
      <w:r w:rsidR="00663BF8" w:rsidRPr="00ED0FFC">
        <w:rPr>
          <w:szCs w:val="22"/>
        </w:rPr>
        <w:t xml:space="preserve"> de mayo d</w:t>
      </w:r>
      <w:r w:rsidR="00222344" w:rsidRPr="00ED0FFC">
        <w:rPr>
          <w:szCs w:val="22"/>
        </w:rPr>
        <w:t>e 2</w:t>
      </w:r>
      <w:r w:rsidR="002B1093" w:rsidRPr="00ED0FFC">
        <w:rPr>
          <w:szCs w:val="22"/>
        </w:rPr>
        <w:t>014</w:t>
      </w:r>
      <w:r w:rsidR="00663BF8" w:rsidRPr="00ED0FFC">
        <w:rPr>
          <w:szCs w:val="22"/>
        </w:rPr>
        <w:t>.</w:t>
      </w:r>
      <w:r w:rsidR="002B1093" w:rsidRPr="00ED0FFC">
        <w:rPr>
          <w:szCs w:val="22"/>
        </w:rPr>
        <w:t xml:space="preserve"> </w:t>
      </w:r>
      <w:r w:rsidR="00663BF8" w:rsidRPr="00ED0FFC">
        <w:rPr>
          <w:szCs w:val="22"/>
        </w:rPr>
        <w:t xml:space="preserve"> </w:t>
      </w:r>
      <w:r w:rsidR="006F205D" w:rsidRPr="00ED0FFC">
        <w:rPr>
          <w:szCs w:val="22"/>
        </w:rPr>
        <w:t>Skopie</w:t>
      </w:r>
      <w:r w:rsidR="001C538E" w:rsidRPr="00ED0FFC">
        <w:rPr>
          <w:szCs w:val="22"/>
        </w:rPr>
        <w:t xml:space="preserve"> (</w:t>
      </w:r>
      <w:r w:rsidR="00663BF8" w:rsidRPr="00ED0FFC">
        <w:rPr>
          <w:szCs w:val="22"/>
        </w:rPr>
        <w:t xml:space="preserve">la ex República Yugoslava de </w:t>
      </w:r>
      <w:r w:rsidR="002B1093" w:rsidRPr="00ED0FFC">
        <w:rPr>
          <w:szCs w:val="22"/>
        </w:rPr>
        <w:t>Macedonia</w:t>
      </w:r>
      <w:r w:rsidR="001C538E" w:rsidRPr="00ED0FFC">
        <w:rPr>
          <w:szCs w:val="22"/>
        </w:rPr>
        <w:t>)</w:t>
      </w:r>
      <w:r w:rsidR="002B1093" w:rsidRPr="00ED0FFC">
        <w:rPr>
          <w:szCs w:val="22"/>
        </w:rPr>
        <w:t xml:space="preserve">; </w:t>
      </w:r>
    </w:p>
    <w:p w:rsidR="002B1093" w:rsidRPr="00ED0FFC" w:rsidRDefault="002B1093" w:rsidP="007F60FD">
      <w:pPr>
        <w:ind w:left="567"/>
        <w:rPr>
          <w:szCs w:val="22"/>
        </w:rPr>
      </w:pPr>
    </w:p>
    <w:p w:rsidR="002B1093" w:rsidRPr="00ED0FFC" w:rsidRDefault="00223F9A" w:rsidP="007F60FD">
      <w:pPr>
        <w:numPr>
          <w:ilvl w:val="0"/>
          <w:numId w:val="20"/>
        </w:numPr>
        <w:ind w:left="567" w:firstLine="0"/>
        <w:rPr>
          <w:szCs w:val="22"/>
        </w:rPr>
      </w:pPr>
      <w:r w:rsidRPr="00ED0FFC">
        <w:rPr>
          <w:szCs w:val="22"/>
        </w:rPr>
        <w:t>"</w:t>
      </w:r>
      <w:r w:rsidR="00663BF8" w:rsidRPr="00ED0FFC">
        <w:rPr>
          <w:szCs w:val="22"/>
        </w:rPr>
        <w:t xml:space="preserve">Seminario subregional de la OMPI sobre comercialización de la P.I.  Trabajando juntos en favor de las oficinas de transferencia de tecnología en la región".  15 </w:t>
      </w:r>
      <w:r w:rsidR="00222344" w:rsidRPr="00ED0FFC">
        <w:rPr>
          <w:szCs w:val="22"/>
        </w:rPr>
        <w:t>y 1</w:t>
      </w:r>
      <w:r w:rsidR="00663BF8" w:rsidRPr="00ED0FFC">
        <w:rPr>
          <w:szCs w:val="22"/>
        </w:rPr>
        <w:t>6 de septiembre d</w:t>
      </w:r>
      <w:r w:rsidR="00222344" w:rsidRPr="00ED0FFC">
        <w:rPr>
          <w:szCs w:val="22"/>
        </w:rPr>
        <w:t>e 2</w:t>
      </w:r>
      <w:r w:rsidR="00663BF8" w:rsidRPr="00ED0FFC">
        <w:rPr>
          <w:szCs w:val="22"/>
        </w:rPr>
        <w:t>015</w:t>
      </w:r>
      <w:r w:rsidR="00222344" w:rsidRPr="00ED0FFC">
        <w:rPr>
          <w:szCs w:val="22"/>
        </w:rPr>
        <w:t>.  B</w:t>
      </w:r>
      <w:r w:rsidR="00663BF8" w:rsidRPr="00ED0FFC">
        <w:rPr>
          <w:szCs w:val="22"/>
        </w:rPr>
        <w:t>elgrado</w:t>
      </w:r>
      <w:r w:rsidR="001C538E" w:rsidRPr="00ED0FFC">
        <w:rPr>
          <w:szCs w:val="22"/>
        </w:rPr>
        <w:t xml:space="preserve"> (</w:t>
      </w:r>
      <w:r w:rsidR="00663BF8" w:rsidRPr="00ED0FFC">
        <w:rPr>
          <w:szCs w:val="22"/>
        </w:rPr>
        <w:t>Serbia</w:t>
      </w:r>
      <w:r w:rsidR="001C538E" w:rsidRPr="00ED0FFC">
        <w:rPr>
          <w:szCs w:val="22"/>
        </w:rPr>
        <w:t>)</w:t>
      </w:r>
      <w:r w:rsidR="002B1093" w:rsidRPr="00ED0FFC">
        <w:rPr>
          <w:szCs w:val="22"/>
        </w:rPr>
        <w:t>;</w:t>
      </w:r>
    </w:p>
    <w:p w:rsidR="00663BF8" w:rsidRPr="00ED0FFC" w:rsidRDefault="00663BF8" w:rsidP="007F60FD">
      <w:pPr>
        <w:ind w:left="567"/>
        <w:rPr>
          <w:szCs w:val="22"/>
        </w:rPr>
      </w:pPr>
    </w:p>
    <w:p w:rsidR="002B1093" w:rsidRPr="00ED0FFC" w:rsidRDefault="00223F9A" w:rsidP="007F60FD">
      <w:pPr>
        <w:numPr>
          <w:ilvl w:val="0"/>
          <w:numId w:val="20"/>
        </w:numPr>
        <w:ind w:left="567" w:firstLine="0"/>
        <w:rPr>
          <w:szCs w:val="22"/>
        </w:rPr>
      </w:pPr>
      <w:r w:rsidRPr="00ED0FFC">
        <w:rPr>
          <w:szCs w:val="22"/>
        </w:rPr>
        <w:t>"</w:t>
      </w:r>
      <w:r w:rsidR="00663BF8" w:rsidRPr="00ED0FFC">
        <w:rPr>
          <w:szCs w:val="22"/>
        </w:rPr>
        <w:t xml:space="preserve">Seminario de la OMPI de gestión de los derechos de propiedad intelectual </w:t>
      </w:r>
      <w:r w:rsidRPr="00ED0FFC">
        <w:rPr>
          <w:szCs w:val="22"/>
        </w:rPr>
        <w:t>para universidades e instituciones de investigación y desarrollo de los países en desarrollo"</w:t>
      </w:r>
      <w:r w:rsidR="00222344" w:rsidRPr="00ED0FFC">
        <w:rPr>
          <w:szCs w:val="22"/>
        </w:rPr>
        <w:t>.  M</w:t>
      </w:r>
      <w:r w:rsidRPr="00ED0FFC">
        <w:rPr>
          <w:szCs w:val="22"/>
        </w:rPr>
        <w:t xml:space="preserve">iembros del programa </w:t>
      </w:r>
      <w:r w:rsidR="002B1093" w:rsidRPr="00ED0FFC">
        <w:rPr>
          <w:szCs w:val="22"/>
        </w:rPr>
        <w:t>WIPO Re:Search</w:t>
      </w:r>
      <w:r w:rsidRPr="00ED0FFC">
        <w:rPr>
          <w:szCs w:val="22"/>
        </w:rPr>
        <w:t xml:space="preserve">.  4 </w:t>
      </w:r>
      <w:r w:rsidR="00222344" w:rsidRPr="00ED0FFC">
        <w:rPr>
          <w:szCs w:val="22"/>
        </w:rPr>
        <w:t>y 5</w:t>
      </w:r>
      <w:r w:rsidRPr="00ED0FFC">
        <w:rPr>
          <w:szCs w:val="22"/>
        </w:rPr>
        <w:t xml:space="preserve"> de noviembre d</w:t>
      </w:r>
      <w:r w:rsidR="00222344" w:rsidRPr="00ED0FFC">
        <w:rPr>
          <w:szCs w:val="22"/>
        </w:rPr>
        <w:t>e 2</w:t>
      </w:r>
      <w:r w:rsidR="002B1093" w:rsidRPr="00ED0FFC">
        <w:rPr>
          <w:szCs w:val="22"/>
        </w:rPr>
        <w:t>014</w:t>
      </w:r>
      <w:r w:rsidRPr="00ED0FFC">
        <w:rPr>
          <w:szCs w:val="22"/>
        </w:rPr>
        <w:t>.  Nueva York</w:t>
      </w:r>
      <w:r w:rsidR="001C538E" w:rsidRPr="00ED0FFC">
        <w:rPr>
          <w:szCs w:val="22"/>
        </w:rPr>
        <w:t xml:space="preserve"> (</w:t>
      </w:r>
      <w:r w:rsidRPr="00ED0FFC">
        <w:rPr>
          <w:szCs w:val="22"/>
        </w:rPr>
        <w:t>Estados Unidos</w:t>
      </w:r>
      <w:r w:rsidR="008657FA" w:rsidRPr="00ED0FFC">
        <w:rPr>
          <w:szCs w:val="22"/>
        </w:rPr>
        <w:t xml:space="preserve"> de América</w:t>
      </w:r>
      <w:r w:rsidR="001C538E" w:rsidRPr="00ED0FFC">
        <w:rPr>
          <w:szCs w:val="22"/>
        </w:rPr>
        <w:t>)</w:t>
      </w:r>
      <w:r w:rsidR="002B1093" w:rsidRPr="00ED0FFC">
        <w:rPr>
          <w:szCs w:val="22"/>
        </w:rPr>
        <w:t>;</w:t>
      </w:r>
    </w:p>
    <w:p w:rsidR="002B1093" w:rsidRPr="00ED0FFC" w:rsidRDefault="002B1093" w:rsidP="007F60FD">
      <w:pPr>
        <w:ind w:left="567"/>
        <w:rPr>
          <w:szCs w:val="22"/>
        </w:rPr>
      </w:pPr>
    </w:p>
    <w:p w:rsidR="002B1093" w:rsidRPr="00ED0FFC" w:rsidRDefault="00223F9A" w:rsidP="007F60FD">
      <w:pPr>
        <w:numPr>
          <w:ilvl w:val="0"/>
          <w:numId w:val="20"/>
        </w:numPr>
        <w:ind w:left="567" w:firstLine="0"/>
        <w:rPr>
          <w:szCs w:val="22"/>
        </w:rPr>
      </w:pPr>
      <w:r w:rsidRPr="00ED0FFC">
        <w:rPr>
          <w:szCs w:val="22"/>
        </w:rPr>
        <w:t>"Seminario subregional de la OMPI sobre transferencia internacional de tecnología e innovación colectiva".  De</w:t>
      </w:r>
      <w:r w:rsidR="00222344" w:rsidRPr="00ED0FFC">
        <w:rPr>
          <w:szCs w:val="22"/>
        </w:rPr>
        <w:t>l 1</w:t>
      </w:r>
      <w:r w:rsidR="002B1093" w:rsidRPr="00ED0FFC">
        <w:rPr>
          <w:szCs w:val="22"/>
        </w:rPr>
        <w:t>7</w:t>
      </w:r>
      <w:r w:rsidRPr="00ED0FFC">
        <w:rPr>
          <w:szCs w:val="22"/>
        </w:rPr>
        <w:t xml:space="preserve"> a</w:t>
      </w:r>
      <w:r w:rsidR="00222344" w:rsidRPr="00ED0FFC">
        <w:rPr>
          <w:szCs w:val="22"/>
        </w:rPr>
        <w:t>l 1</w:t>
      </w:r>
      <w:r w:rsidR="002B1093" w:rsidRPr="00ED0FFC">
        <w:rPr>
          <w:szCs w:val="22"/>
        </w:rPr>
        <w:t>9</w:t>
      </w:r>
      <w:r w:rsidRPr="00ED0FFC">
        <w:rPr>
          <w:szCs w:val="22"/>
        </w:rPr>
        <w:t xml:space="preserve"> de noviembre d</w:t>
      </w:r>
      <w:r w:rsidR="00222344" w:rsidRPr="00ED0FFC">
        <w:rPr>
          <w:szCs w:val="22"/>
        </w:rPr>
        <w:t>e 2</w:t>
      </w:r>
      <w:r w:rsidR="002B1093" w:rsidRPr="00ED0FFC">
        <w:rPr>
          <w:szCs w:val="22"/>
        </w:rPr>
        <w:t>014</w:t>
      </w:r>
      <w:r w:rsidRPr="00ED0FFC">
        <w:rPr>
          <w:szCs w:val="22"/>
        </w:rPr>
        <w:t xml:space="preserve">.  </w:t>
      </w:r>
      <w:r w:rsidR="002B1093" w:rsidRPr="00ED0FFC">
        <w:rPr>
          <w:szCs w:val="22"/>
        </w:rPr>
        <w:t>Katmand</w:t>
      </w:r>
      <w:r w:rsidRPr="00ED0FFC">
        <w:rPr>
          <w:szCs w:val="22"/>
        </w:rPr>
        <w:t>ú</w:t>
      </w:r>
      <w:r w:rsidR="001C538E" w:rsidRPr="00ED0FFC">
        <w:rPr>
          <w:szCs w:val="22"/>
        </w:rPr>
        <w:t xml:space="preserve"> (</w:t>
      </w:r>
      <w:r w:rsidR="002B1093" w:rsidRPr="00ED0FFC">
        <w:rPr>
          <w:szCs w:val="22"/>
        </w:rPr>
        <w:t>Nepal</w:t>
      </w:r>
      <w:r w:rsidR="001C538E" w:rsidRPr="00ED0FFC">
        <w:rPr>
          <w:szCs w:val="22"/>
        </w:rPr>
        <w:t>)</w:t>
      </w:r>
      <w:r w:rsidR="002B1093" w:rsidRPr="00ED0FFC">
        <w:rPr>
          <w:szCs w:val="22"/>
        </w:rPr>
        <w:t xml:space="preserve">;  </w:t>
      </w:r>
      <w:r w:rsidRPr="00ED0FFC">
        <w:rPr>
          <w:szCs w:val="22"/>
        </w:rPr>
        <w:t>y</w:t>
      </w:r>
    </w:p>
    <w:p w:rsidR="002B1093" w:rsidRPr="00ED0FFC" w:rsidRDefault="002B1093" w:rsidP="007F60FD">
      <w:pPr>
        <w:ind w:left="567"/>
        <w:rPr>
          <w:szCs w:val="22"/>
        </w:rPr>
      </w:pPr>
    </w:p>
    <w:p w:rsidR="002B1093" w:rsidRPr="00ED0FFC" w:rsidRDefault="00223F9A" w:rsidP="007F60FD">
      <w:pPr>
        <w:numPr>
          <w:ilvl w:val="0"/>
          <w:numId w:val="20"/>
        </w:numPr>
        <w:ind w:left="567" w:firstLine="0"/>
        <w:rPr>
          <w:szCs w:val="22"/>
        </w:rPr>
      </w:pPr>
      <w:r w:rsidRPr="00ED0FFC">
        <w:rPr>
          <w:szCs w:val="22"/>
        </w:rPr>
        <w:t>"Seminario subregional sobre el proyecto piloto de la OMPI para universidades y centros de investigación en los países centroamericanos".  De</w:t>
      </w:r>
      <w:r w:rsidR="00222344" w:rsidRPr="00ED0FFC">
        <w:rPr>
          <w:szCs w:val="22"/>
        </w:rPr>
        <w:t>l 2</w:t>
      </w:r>
      <w:r w:rsidR="002B1093" w:rsidRPr="00ED0FFC">
        <w:rPr>
          <w:szCs w:val="22"/>
        </w:rPr>
        <w:t xml:space="preserve">4 </w:t>
      </w:r>
      <w:r w:rsidRPr="00ED0FFC">
        <w:rPr>
          <w:szCs w:val="22"/>
        </w:rPr>
        <w:t>a</w:t>
      </w:r>
      <w:r w:rsidR="00222344" w:rsidRPr="00ED0FFC">
        <w:rPr>
          <w:szCs w:val="22"/>
        </w:rPr>
        <w:t>l 2</w:t>
      </w:r>
      <w:r w:rsidR="002B1093" w:rsidRPr="00ED0FFC">
        <w:rPr>
          <w:szCs w:val="22"/>
        </w:rPr>
        <w:t>6</w:t>
      </w:r>
      <w:r w:rsidRPr="00ED0FFC">
        <w:rPr>
          <w:szCs w:val="22"/>
        </w:rPr>
        <w:t xml:space="preserve"> de noviembre d</w:t>
      </w:r>
      <w:r w:rsidR="00222344" w:rsidRPr="00ED0FFC">
        <w:rPr>
          <w:szCs w:val="22"/>
        </w:rPr>
        <w:t>e 2</w:t>
      </w:r>
      <w:r w:rsidR="002B1093" w:rsidRPr="00ED0FFC">
        <w:rPr>
          <w:szCs w:val="22"/>
        </w:rPr>
        <w:t>015</w:t>
      </w:r>
      <w:r w:rsidRPr="00ED0FFC">
        <w:rPr>
          <w:szCs w:val="22"/>
        </w:rPr>
        <w:t>.  Ciudad del Saber de Panamá</w:t>
      </w:r>
      <w:r w:rsidR="001C538E" w:rsidRPr="00ED0FFC">
        <w:rPr>
          <w:szCs w:val="22"/>
        </w:rPr>
        <w:t xml:space="preserve"> (</w:t>
      </w:r>
      <w:r w:rsidR="002B1093" w:rsidRPr="00ED0FFC">
        <w:rPr>
          <w:szCs w:val="22"/>
        </w:rPr>
        <w:t>Panam</w:t>
      </w:r>
      <w:r w:rsidRPr="00ED0FFC">
        <w:rPr>
          <w:szCs w:val="22"/>
        </w:rPr>
        <w:t>á</w:t>
      </w:r>
      <w:r w:rsidR="001C538E" w:rsidRPr="00ED0FFC">
        <w:rPr>
          <w:szCs w:val="22"/>
        </w:rPr>
        <w:t>)</w:t>
      </w:r>
      <w:r w:rsidR="002B1093" w:rsidRPr="00ED0FFC">
        <w:rPr>
          <w:szCs w:val="22"/>
        </w:rPr>
        <w:t>.</w:t>
      </w:r>
    </w:p>
    <w:p w:rsidR="002B1093" w:rsidRPr="00ED0FFC" w:rsidRDefault="002B1093" w:rsidP="007F60FD">
      <w:pPr>
        <w:rPr>
          <w:szCs w:val="22"/>
        </w:rPr>
      </w:pPr>
    </w:p>
    <w:p w:rsidR="002B1093" w:rsidRPr="00ED0FFC" w:rsidRDefault="005737B0" w:rsidP="007F60FD">
      <w:pPr>
        <w:rPr>
          <w:szCs w:val="22"/>
        </w:rPr>
      </w:pPr>
      <w:r w:rsidRPr="00ED0FFC">
        <w:rPr>
          <w:szCs w:val="22"/>
        </w:rPr>
        <w:fldChar w:fldCharType="begin"/>
      </w:r>
      <w:r w:rsidR="002B1093" w:rsidRPr="00ED0FFC">
        <w:rPr>
          <w:szCs w:val="22"/>
        </w:rPr>
        <w:instrText xml:space="preserve"> AUTONUM  </w:instrText>
      </w:r>
      <w:r w:rsidRPr="00ED0FFC">
        <w:rPr>
          <w:szCs w:val="22"/>
        </w:rPr>
        <w:fldChar w:fldCharType="end"/>
      </w:r>
      <w:r w:rsidR="002B1093" w:rsidRPr="00ED0FFC">
        <w:rPr>
          <w:szCs w:val="22"/>
        </w:rPr>
        <w:tab/>
      </w:r>
      <w:r w:rsidR="00223F9A" w:rsidRPr="00ED0FFC">
        <w:rPr>
          <w:szCs w:val="22"/>
        </w:rPr>
        <w:t xml:space="preserve">La OMPI también desarrolló proyectos piloto para el establecimiento de oficinas de transferencia de tecnología </w:t>
      </w:r>
      <w:r w:rsidR="003770C3" w:rsidRPr="00ED0FFC">
        <w:rPr>
          <w:szCs w:val="22"/>
        </w:rPr>
        <w:t xml:space="preserve">(OTT) </w:t>
      </w:r>
      <w:r w:rsidR="00223F9A" w:rsidRPr="00ED0FFC">
        <w:rPr>
          <w:szCs w:val="22"/>
        </w:rPr>
        <w:t xml:space="preserve">en países en desarrollo, como una vía para crear un modelo de infraestructura </w:t>
      </w:r>
      <w:r w:rsidR="003770C3" w:rsidRPr="00ED0FFC">
        <w:rPr>
          <w:szCs w:val="22"/>
        </w:rPr>
        <w:t>con fines de demostración, de manera que el conocimiento adquirido durante la implementación de estos proyectos piloto pueda seguir siendo difundido en el país y en la región</w:t>
      </w:r>
      <w:r w:rsidR="002B1093" w:rsidRPr="00ED0FFC">
        <w:rPr>
          <w:szCs w:val="22"/>
        </w:rPr>
        <w:t xml:space="preserve">.  </w:t>
      </w:r>
      <w:r w:rsidR="003770C3" w:rsidRPr="00ED0FFC">
        <w:rPr>
          <w:szCs w:val="22"/>
        </w:rPr>
        <w:t xml:space="preserve">El proyecto </w:t>
      </w:r>
      <w:r w:rsidR="009E0F9A" w:rsidRPr="00ED0FFC">
        <w:rPr>
          <w:szCs w:val="22"/>
        </w:rPr>
        <w:t xml:space="preserve">se puso en marcha </w:t>
      </w:r>
      <w:r w:rsidR="003770C3" w:rsidRPr="00ED0FFC">
        <w:rPr>
          <w:szCs w:val="22"/>
        </w:rPr>
        <w:t>e</w:t>
      </w:r>
      <w:r w:rsidR="00222344" w:rsidRPr="00ED0FFC">
        <w:rPr>
          <w:szCs w:val="22"/>
        </w:rPr>
        <w:t>n 2</w:t>
      </w:r>
      <w:r w:rsidR="002B1093" w:rsidRPr="00ED0FFC">
        <w:rPr>
          <w:szCs w:val="22"/>
        </w:rPr>
        <w:t xml:space="preserve">014 </w:t>
      </w:r>
      <w:r w:rsidR="003770C3" w:rsidRPr="00ED0FFC">
        <w:rPr>
          <w:szCs w:val="22"/>
        </w:rPr>
        <w:t>en Túnez</w:t>
      </w:r>
      <w:r w:rsidR="002B1093" w:rsidRPr="00ED0FFC">
        <w:rPr>
          <w:szCs w:val="22"/>
        </w:rPr>
        <w:t xml:space="preserve">, </w:t>
      </w:r>
      <w:r w:rsidR="003770C3" w:rsidRPr="00ED0FFC">
        <w:rPr>
          <w:szCs w:val="22"/>
        </w:rPr>
        <w:t>y e</w:t>
      </w:r>
      <w:r w:rsidR="00222344" w:rsidRPr="00ED0FFC">
        <w:rPr>
          <w:szCs w:val="22"/>
        </w:rPr>
        <w:t>n 2</w:t>
      </w:r>
      <w:r w:rsidR="002B1093" w:rsidRPr="00ED0FFC">
        <w:rPr>
          <w:szCs w:val="22"/>
        </w:rPr>
        <w:t xml:space="preserve">015 </w:t>
      </w:r>
      <w:r w:rsidR="003770C3" w:rsidRPr="00ED0FFC">
        <w:rPr>
          <w:szCs w:val="22"/>
        </w:rPr>
        <w:t xml:space="preserve">las actividades se centraron en un desarrollo "desde </w:t>
      </w:r>
      <w:r w:rsidR="007E45FD" w:rsidRPr="00ED0FFC">
        <w:rPr>
          <w:szCs w:val="22"/>
        </w:rPr>
        <w:t>la base</w:t>
      </w:r>
      <w:r w:rsidR="003770C3" w:rsidRPr="00ED0FFC">
        <w:rPr>
          <w:szCs w:val="22"/>
        </w:rPr>
        <w:t xml:space="preserve">" del marco </w:t>
      </w:r>
      <w:r w:rsidR="00393081" w:rsidRPr="00ED0FFC">
        <w:rPr>
          <w:szCs w:val="22"/>
        </w:rPr>
        <w:t>jurídico</w:t>
      </w:r>
      <w:r w:rsidR="003770C3" w:rsidRPr="00ED0FFC">
        <w:rPr>
          <w:szCs w:val="22"/>
        </w:rPr>
        <w:t xml:space="preserve"> de las OTT</w:t>
      </w:r>
      <w:r w:rsidR="002B1093" w:rsidRPr="00ED0FFC">
        <w:rPr>
          <w:szCs w:val="22"/>
        </w:rPr>
        <w:t xml:space="preserve">, </w:t>
      </w:r>
      <w:r w:rsidR="003770C3" w:rsidRPr="00ED0FFC">
        <w:rPr>
          <w:szCs w:val="22"/>
        </w:rPr>
        <w:t>con miras a finalizar el plan de acción y a crear OTT plenamente operativas para las instituciones designadas en Túnez e</w:t>
      </w:r>
      <w:r w:rsidR="00222344" w:rsidRPr="00ED0FFC">
        <w:rPr>
          <w:szCs w:val="22"/>
        </w:rPr>
        <w:t>n 2</w:t>
      </w:r>
      <w:r w:rsidR="002B1093" w:rsidRPr="00ED0FFC">
        <w:rPr>
          <w:szCs w:val="22"/>
        </w:rPr>
        <w:t>016.</w:t>
      </w:r>
      <w:r w:rsidR="003770C3" w:rsidRPr="00ED0FFC">
        <w:rPr>
          <w:szCs w:val="22"/>
        </w:rPr>
        <w:t xml:space="preserve">  La OMPI también organizó e</w:t>
      </w:r>
      <w:r w:rsidR="00222344" w:rsidRPr="00ED0FFC">
        <w:rPr>
          <w:szCs w:val="22"/>
        </w:rPr>
        <w:t>n 2</w:t>
      </w:r>
      <w:r w:rsidR="002B1093" w:rsidRPr="00ED0FFC">
        <w:rPr>
          <w:szCs w:val="22"/>
        </w:rPr>
        <w:t xml:space="preserve">014 </w:t>
      </w:r>
      <w:r w:rsidR="003770C3" w:rsidRPr="00ED0FFC">
        <w:rPr>
          <w:szCs w:val="22"/>
        </w:rPr>
        <w:t>un</w:t>
      </w:r>
      <w:r w:rsidR="007579FE" w:rsidRPr="00ED0FFC">
        <w:rPr>
          <w:szCs w:val="22"/>
        </w:rPr>
        <w:t>a</w:t>
      </w:r>
      <w:r w:rsidR="003770C3" w:rsidRPr="00ED0FFC">
        <w:rPr>
          <w:szCs w:val="22"/>
        </w:rPr>
        <w:t xml:space="preserve"> misión de estudio en Argelia</w:t>
      </w:r>
      <w:r w:rsidR="002B1093" w:rsidRPr="00ED0FFC">
        <w:rPr>
          <w:szCs w:val="22"/>
        </w:rPr>
        <w:t xml:space="preserve">, </w:t>
      </w:r>
      <w:r w:rsidR="003770C3" w:rsidRPr="00ED0FFC">
        <w:rPr>
          <w:szCs w:val="22"/>
        </w:rPr>
        <w:t xml:space="preserve">con el objetivo de evaluar la situación actual </w:t>
      </w:r>
      <w:r w:rsidR="007C3508" w:rsidRPr="00ED0FFC">
        <w:rPr>
          <w:szCs w:val="22"/>
        </w:rPr>
        <w:t xml:space="preserve">de la </w:t>
      </w:r>
      <w:r w:rsidR="004C1CA4" w:rsidRPr="00ED0FFC">
        <w:rPr>
          <w:szCs w:val="22"/>
        </w:rPr>
        <w:t>transferencia de conocimiento</w:t>
      </w:r>
      <w:r w:rsidR="007C3508" w:rsidRPr="00ED0FFC">
        <w:rPr>
          <w:szCs w:val="22"/>
        </w:rPr>
        <w:t xml:space="preserve"> y definir un plan de acció</w:t>
      </w:r>
      <w:r w:rsidR="007E45FD" w:rsidRPr="00ED0FFC">
        <w:rPr>
          <w:szCs w:val="22"/>
        </w:rPr>
        <w:t>n para el establecimiento de un modelo de</w:t>
      </w:r>
      <w:r w:rsidR="007C3508" w:rsidRPr="00ED0FFC">
        <w:rPr>
          <w:szCs w:val="22"/>
        </w:rPr>
        <w:t xml:space="preserve"> OTT</w:t>
      </w:r>
      <w:r w:rsidR="002B1093" w:rsidRPr="00ED0FFC">
        <w:rPr>
          <w:szCs w:val="22"/>
        </w:rPr>
        <w:t>.</w:t>
      </w:r>
    </w:p>
    <w:p w:rsidR="00136D3C" w:rsidRPr="00ED0FFC" w:rsidRDefault="00136D3C" w:rsidP="00ED0FFC">
      <w:pPr>
        <w:pStyle w:val="Heading2"/>
      </w:pPr>
      <w:r w:rsidRPr="00ED0FFC">
        <w:t>I</w:t>
      </w:r>
      <w:r w:rsidR="00CD7B35" w:rsidRPr="00ED0FFC">
        <w:t>V</w:t>
      </w:r>
      <w:r w:rsidRPr="00ED0FFC">
        <w:t>.</w:t>
      </w:r>
      <w:r w:rsidRPr="00ED0FFC">
        <w:tab/>
        <w:t>CENTROS DE APOYO A LA TECNOLOGÍA Y LA INNOVACIÓN (</w:t>
      </w:r>
      <w:r w:rsidR="00764D4B" w:rsidRPr="00ED0FFC">
        <w:t>CATI</w:t>
      </w:r>
      <w:r w:rsidRPr="00ED0FFC">
        <w:t>)</w:t>
      </w:r>
    </w:p>
    <w:p w:rsidR="002B1093" w:rsidRPr="00ED0FFC" w:rsidRDefault="002B1093" w:rsidP="007F60FD">
      <w:pPr>
        <w:rPr>
          <w:szCs w:val="22"/>
        </w:rPr>
      </w:pPr>
    </w:p>
    <w:p w:rsidR="002B1093" w:rsidRPr="00ED0FFC" w:rsidRDefault="005737B0" w:rsidP="007F60FD">
      <w:pPr>
        <w:tabs>
          <w:tab w:val="num" w:pos="0"/>
        </w:tabs>
        <w:spacing w:after="220"/>
        <w:rPr>
          <w:szCs w:val="22"/>
        </w:rPr>
      </w:pPr>
      <w:r w:rsidRPr="00ED0FFC">
        <w:rPr>
          <w:szCs w:val="22"/>
        </w:rPr>
        <w:fldChar w:fldCharType="begin"/>
      </w:r>
      <w:r w:rsidR="002B1093" w:rsidRPr="00ED0FFC">
        <w:rPr>
          <w:szCs w:val="22"/>
        </w:rPr>
        <w:instrText xml:space="preserve"> AUTONUM  </w:instrText>
      </w:r>
      <w:r w:rsidRPr="00ED0FFC">
        <w:rPr>
          <w:szCs w:val="22"/>
        </w:rPr>
        <w:fldChar w:fldCharType="end"/>
      </w:r>
      <w:r w:rsidR="002B1093" w:rsidRPr="00ED0FFC">
        <w:rPr>
          <w:szCs w:val="22"/>
        </w:rPr>
        <w:tab/>
      </w:r>
      <w:r w:rsidR="007C3508" w:rsidRPr="00ED0FFC">
        <w:rPr>
          <w:szCs w:val="22"/>
        </w:rPr>
        <w:t xml:space="preserve">En colaboración con las oficinas nacionales y regionales de propiedad industrial, la OMPI </w:t>
      </w:r>
      <w:r w:rsidR="00135EAE" w:rsidRPr="00ED0FFC">
        <w:rPr>
          <w:szCs w:val="22"/>
        </w:rPr>
        <w:t>respalda</w:t>
      </w:r>
      <w:r w:rsidR="007C3508" w:rsidRPr="00ED0FFC">
        <w:rPr>
          <w:szCs w:val="22"/>
        </w:rPr>
        <w:t xml:space="preserve"> el establecimiento y el desarrollo de centros de apoyo a la tecnología y la innovación</w:t>
      </w:r>
      <w:r w:rsidR="00764D4B" w:rsidRPr="00ED0FFC">
        <w:rPr>
          <w:szCs w:val="22"/>
        </w:rPr>
        <w:t>,</w:t>
      </w:r>
      <w:r w:rsidR="007C3508" w:rsidRPr="00ED0FFC">
        <w:rPr>
          <w:szCs w:val="22"/>
        </w:rPr>
        <w:t xml:space="preserve"> </w:t>
      </w:r>
      <w:r w:rsidR="00B60F61" w:rsidRPr="00ED0FFC">
        <w:rPr>
          <w:szCs w:val="22"/>
        </w:rPr>
        <w:t xml:space="preserve">concebidos para </w:t>
      </w:r>
      <w:r w:rsidR="007C3508" w:rsidRPr="00ED0FFC">
        <w:rPr>
          <w:szCs w:val="22"/>
        </w:rPr>
        <w:t xml:space="preserve">facilitar a los innovadores </w:t>
      </w:r>
      <w:r w:rsidR="007E45FD" w:rsidRPr="00ED0FFC">
        <w:rPr>
          <w:szCs w:val="22"/>
        </w:rPr>
        <w:t>d</w:t>
      </w:r>
      <w:r w:rsidR="007C3508" w:rsidRPr="00ED0FFC">
        <w:rPr>
          <w:szCs w:val="22"/>
        </w:rPr>
        <w:t>e los países en desarrollo el acceso a servicios locales de información sobre</w:t>
      </w:r>
      <w:r w:rsidR="007E45FD" w:rsidRPr="00ED0FFC">
        <w:rPr>
          <w:szCs w:val="22"/>
        </w:rPr>
        <w:t xml:space="preserve"> tecnología de alta calidad y </w:t>
      </w:r>
      <w:r w:rsidR="007C3508" w:rsidRPr="00ED0FFC">
        <w:rPr>
          <w:szCs w:val="22"/>
        </w:rPr>
        <w:t>otros servicios relacionados</w:t>
      </w:r>
      <w:r w:rsidR="002B1093" w:rsidRPr="00ED0FFC">
        <w:rPr>
          <w:szCs w:val="22"/>
        </w:rPr>
        <w:t xml:space="preserve">.  </w:t>
      </w:r>
      <w:r w:rsidR="007C3508" w:rsidRPr="00ED0FFC">
        <w:rPr>
          <w:szCs w:val="22"/>
        </w:rPr>
        <w:t xml:space="preserve">Hasta la fecha, 50 Estados miembros de la OMPI implementan </w:t>
      </w:r>
      <w:r w:rsidR="00EF29EF" w:rsidRPr="00ED0FFC">
        <w:rPr>
          <w:szCs w:val="22"/>
        </w:rPr>
        <w:t>un proyecto nacional de desarrollo de redes CATI y más d</w:t>
      </w:r>
      <w:r w:rsidR="00222344" w:rsidRPr="00ED0FFC">
        <w:rPr>
          <w:szCs w:val="22"/>
        </w:rPr>
        <w:t>e 3</w:t>
      </w:r>
      <w:r w:rsidR="00EF29EF" w:rsidRPr="00ED0FFC">
        <w:rPr>
          <w:szCs w:val="22"/>
        </w:rPr>
        <w:t>50 CATI individuales dentro de esas redes</w:t>
      </w:r>
      <w:r w:rsidR="002B1093" w:rsidRPr="00ED0FFC">
        <w:rPr>
          <w:szCs w:val="22"/>
        </w:rPr>
        <w:t>.</w:t>
      </w:r>
      <w:r w:rsidR="00EF29EF" w:rsidRPr="00ED0FFC">
        <w:rPr>
          <w:szCs w:val="22"/>
        </w:rPr>
        <w:t xml:space="preserve">  Para más información, consulte por favor el sitio </w:t>
      </w:r>
      <w:r w:rsidR="00C910FA" w:rsidRPr="00ED0FFC">
        <w:rPr>
          <w:szCs w:val="22"/>
        </w:rPr>
        <w:t>web</w:t>
      </w:r>
      <w:r w:rsidR="00EF29EF" w:rsidRPr="00ED0FFC">
        <w:rPr>
          <w:szCs w:val="22"/>
        </w:rPr>
        <w:t xml:space="preserve"> </w:t>
      </w:r>
      <w:r w:rsidR="002B1093" w:rsidRPr="00ED0FFC">
        <w:rPr>
          <w:bCs/>
          <w:szCs w:val="22"/>
        </w:rPr>
        <w:t>(</w:t>
      </w:r>
      <w:hyperlink r:id="rId12" w:history="1">
        <w:r w:rsidR="002B1093" w:rsidRPr="00ED0FFC">
          <w:rPr>
            <w:rStyle w:val="Hyperlink"/>
            <w:color w:val="auto"/>
            <w:szCs w:val="22"/>
          </w:rPr>
          <w:t>www.wipo.int/tisc</w:t>
        </w:r>
        <w:r w:rsidR="00EF29EF" w:rsidRPr="00ED0FFC">
          <w:rPr>
            <w:rStyle w:val="Hyperlink"/>
            <w:color w:val="auto"/>
          </w:rPr>
          <w:t>/es</w:t>
        </w:r>
      </w:hyperlink>
      <w:r w:rsidR="002B1093" w:rsidRPr="00ED0FFC">
        <w:rPr>
          <w:szCs w:val="22"/>
        </w:rPr>
        <w:t>).</w:t>
      </w:r>
    </w:p>
    <w:p w:rsidR="002B1093" w:rsidRPr="00ED0FFC" w:rsidRDefault="005737B0" w:rsidP="007F60FD">
      <w:pPr>
        <w:tabs>
          <w:tab w:val="num" w:pos="0"/>
        </w:tabs>
        <w:spacing w:after="220"/>
        <w:rPr>
          <w:szCs w:val="22"/>
        </w:rPr>
      </w:pPr>
      <w:r w:rsidRPr="00ED0FFC">
        <w:rPr>
          <w:szCs w:val="22"/>
        </w:rPr>
        <w:fldChar w:fldCharType="begin"/>
      </w:r>
      <w:r w:rsidR="002B1093" w:rsidRPr="00ED0FFC">
        <w:rPr>
          <w:szCs w:val="22"/>
        </w:rPr>
        <w:instrText xml:space="preserve"> AUTONUM  </w:instrText>
      </w:r>
      <w:r w:rsidRPr="00ED0FFC">
        <w:rPr>
          <w:szCs w:val="22"/>
        </w:rPr>
        <w:fldChar w:fldCharType="end"/>
      </w:r>
      <w:r w:rsidR="002B1093" w:rsidRPr="00ED0FFC">
        <w:rPr>
          <w:szCs w:val="22"/>
        </w:rPr>
        <w:tab/>
      </w:r>
      <w:r w:rsidR="00EF29EF" w:rsidRPr="00ED0FFC">
        <w:rPr>
          <w:szCs w:val="22"/>
        </w:rPr>
        <w:t xml:space="preserve">Para apoyar el desarrollo de los CATI y crear conciencia </w:t>
      </w:r>
      <w:r w:rsidR="00B60F61" w:rsidRPr="00ED0FFC">
        <w:rPr>
          <w:szCs w:val="22"/>
        </w:rPr>
        <w:t xml:space="preserve">sobre la </w:t>
      </w:r>
      <w:r w:rsidR="00611401" w:rsidRPr="00ED0FFC">
        <w:rPr>
          <w:szCs w:val="22"/>
        </w:rPr>
        <w:t>P.I.</w:t>
      </w:r>
      <w:r w:rsidR="00B60F61" w:rsidRPr="00ED0FFC">
        <w:rPr>
          <w:szCs w:val="22"/>
        </w:rPr>
        <w:t xml:space="preserve"> y la información sobre tecnología </w:t>
      </w:r>
      <w:r w:rsidR="00EF29EF" w:rsidRPr="00ED0FFC">
        <w:rPr>
          <w:szCs w:val="22"/>
        </w:rPr>
        <w:t xml:space="preserve">entre los sectores </w:t>
      </w:r>
      <w:r w:rsidR="00B60F61" w:rsidRPr="00ED0FFC">
        <w:rPr>
          <w:szCs w:val="22"/>
        </w:rPr>
        <w:t xml:space="preserve">locales </w:t>
      </w:r>
      <w:r w:rsidR="00EF29EF" w:rsidRPr="00ED0FFC">
        <w:rPr>
          <w:szCs w:val="22"/>
        </w:rPr>
        <w:t xml:space="preserve">interesados </w:t>
      </w:r>
      <w:r w:rsidR="002B1093" w:rsidRPr="00ED0FFC">
        <w:rPr>
          <w:szCs w:val="22"/>
        </w:rPr>
        <w:t>dur</w:t>
      </w:r>
      <w:r w:rsidR="00EF29EF" w:rsidRPr="00ED0FFC">
        <w:rPr>
          <w:szCs w:val="22"/>
        </w:rPr>
        <w:t>ante el bieni</w:t>
      </w:r>
      <w:r w:rsidR="00222344" w:rsidRPr="00ED0FFC">
        <w:rPr>
          <w:szCs w:val="22"/>
        </w:rPr>
        <w:t>o 2</w:t>
      </w:r>
      <w:r w:rsidR="002B1093" w:rsidRPr="00ED0FFC">
        <w:rPr>
          <w:szCs w:val="22"/>
        </w:rPr>
        <w:t xml:space="preserve">014/2015, </w:t>
      </w:r>
      <w:r w:rsidR="00EF29EF" w:rsidRPr="00ED0FFC">
        <w:rPr>
          <w:szCs w:val="22"/>
        </w:rPr>
        <w:t>se organizaro</w:t>
      </w:r>
      <w:r w:rsidR="00222344" w:rsidRPr="00ED0FFC">
        <w:rPr>
          <w:szCs w:val="22"/>
        </w:rPr>
        <w:t>n 5</w:t>
      </w:r>
      <w:r w:rsidR="002B1093" w:rsidRPr="00ED0FFC">
        <w:rPr>
          <w:szCs w:val="22"/>
        </w:rPr>
        <w:t xml:space="preserve">0 </w:t>
      </w:r>
      <w:r w:rsidR="00B60F61" w:rsidRPr="00ED0FFC">
        <w:rPr>
          <w:szCs w:val="22"/>
        </w:rPr>
        <w:t xml:space="preserve">actos </w:t>
      </w:r>
      <w:r w:rsidR="00EF29EF" w:rsidRPr="00ED0FFC">
        <w:rPr>
          <w:szCs w:val="22"/>
        </w:rPr>
        <w:t>nacionales de planificación y formación</w:t>
      </w:r>
      <w:r w:rsidR="00B60F61" w:rsidRPr="00ED0FFC">
        <w:rPr>
          <w:szCs w:val="22"/>
        </w:rPr>
        <w:t xml:space="preserve"> presenciales</w:t>
      </w:r>
      <w:r w:rsidR="00EF29EF" w:rsidRPr="00ED0FFC">
        <w:rPr>
          <w:szCs w:val="22"/>
        </w:rPr>
        <w:t xml:space="preserve">, centrados en el acceso y </w:t>
      </w:r>
      <w:r w:rsidR="00B60F61" w:rsidRPr="00ED0FFC">
        <w:rPr>
          <w:szCs w:val="22"/>
        </w:rPr>
        <w:t xml:space="preserve">el </w:t>
      </w:r>
      <w:r w:rsidR="00EF29EF" w:rsidRPr="00ED0FFC">
        <w:rPr>
          <w:szCs w:val="22"/>
        </w:rPr>
        <w:t>uso ef</w:t>
      </w:r>
      <w:r w:rsidR="00B60F61" w:rsidRPr="00ED0FFC">
        <w:rPr>
          <w:szCs w:val="22"/>
        </w:rPr>
        <w:t>icaz</w:t>
      </w:r>
      <w:r w:rsidR="00EF29EF" w:rsidRPr="00ED0FFC">
        <w:rPr>
          <w:szCs w:val="22"/>
        </w:rPr>
        <w:t xml:space="preserve"> de las bases de datos de patentes y de las publicaciones técnicas y científicas, así </w:t>
      </w:r>
      <w:r w:rsidR="000D39B0" w:rsidRPr="00ED0FFC">
        <w:rPr>
          <w:szCs w:val="22"/>
        </w:rPr>
        <w:t>com</w:t>
      </w:r>
      <w:r w:rsidR="00222344" w:rsidRPr="00ED0FFC">
        <w:rPr>
          <w:szCs w:val="22"/>
        </w:rPr>
        <w:t>o 1</w:t>
      </w:r>
      <w:r w:rsidR="000D39B0" w:rsidRPr="00ED0FFC">
        <w:rPr>
          <w:szCs w:val="22"/>
        </w:rPr>
        <w:t>0 reuniones subregionales para fomentar el intercambio de buenas prácticas y experiencias a nivel regional</w:t>
      </w:r>
      <w:r w:rsidR="002B1093" w:rsidRPr="00ED0FFC">
        <w:rPr>
          <w:szCs w:val="22"/>
        </w:rPr>
        <w:t>.</w:t>
      </w:r>
    </w:p>
    <w:p w:rsidR="002B1093" w:rsidRPr="00ED0FFC" w:rsidRDefault="005737B0" w:rsidP="007F60FD">
      <w:pPr>
        <w:tabs>
          <w:tab w:val="num" w:pos="0"/>
        </w:tabs>
        <w:rPr>
          <w:szCs w:val="22"/>
          <w:u w:val="single"/>
        </w:rPr>
      </w:pPr>
      <w:r w:rsidRPr="00ED0FFC">
        <w:rPr>
          <w:szCs w:val="22"/>
        </w:rPr>
        <w:lastRenderedPageBreak/>
        <w:fldChar w:fldCharType="begin"/>
      </w:r>
      <w:r w:rsidR="002B1093" w:rsidRPr="00ED0FFC">
        <w:rPr>
          <w:szCs w:val="22"/>
        </w:rPr>
        <w:instrText xml:space="preserve"> AUTONUM  </w:instrText>
      </w:r>
      <w:r w:rsidRPr="00ED0FFC">
        <w:rPr>
          <w:szCs w:val="22"/>
        </w:rPr>
        <w:fldChar w:fldCharType="end"/>
      </w:r>
      <w:r w:rsidR="002B1093" w:rsidRPr="00ED0FFC">
        <w:rPr>
          <w:szCs w:val="22"/>
        </w:rPr>
        <w:tab/>
      </w:r>
      <w:r w:rsidR="000D39B0" w:rsidRPr="00ED0FFC">
        <w:rPr>
          <w:szCs w:val="22"/>
        </w:rPr>
        <w:t>Con el objetivo de seguir reforzando la formación por Internet y alentar el intercambio de experiencias, la plataforma de gestión de conocimientos</w:t>
      </w:r>
      <w:r w:rsidR="002B1093" w:rsidRPr="00ED0FFC">
        <w:rPr>
          <w:szCs w:val="22"/>
        </w:rPr>
        <w:t xml:space="preserve"> </w:t>
      </w:r>
      <w:r w:rsidR="000D39B0" w:rsidRPr="00ED0FFC">
        <w:rPr>
          <w:szCs w:val="22"/>
        </w:rPr>
        <w:t>"</w:t>
      </w:r>
      <w:r w:rsidR="002B1093" w:rsidRPr="00ED0FFC">
        <w:rPr>
          <w:szCs w:val="22"/>
        </w:rPr>
        <w:t>eTISC</w:t>
      </w:r>
      <w:r w:rsidR="000D39B0" w:rsidRPr="00ED0FFC">
        <w:rPr>
          <w:szCs w:val="22"/>
        </w:rPr>
        <w:t>"</w:t>
      </w:r>
      <w:r w:rsidR="002B1093" w:rsidRPr="00ED0FFC">
        <w:rPr>
          <w:szCs w:val="22"/>
        </w:rPr>
        <w:t xml:space="preserve"> </w:t>
      </w:r>
      <w:r w:rsidR="000D39B0" w:rsidRPr="00ED0FFC">
        <w:rPr>
          <w:szCs w:val="22"/>
        </w:rPr>
        <w:t xml:space="preserve">ofrece herramientas de redes sociales e integra nuevos servicios orientados a reforzar las actividades de la OMPI en apoyo </w:t>
      </w:r>
      <w:r w:rsidR="00B60F61" w:rsidRPr="00ED0FFC">
        <w:rPr>
          <w:szCs w:val="22"/>
        </w:rPr>
        <w:t>al</w:t>
      </w:r>
      <w:r w:rsidR="000D39B0" w:rsidRPr="00ED0FFC">
        <w:rPr>
          <w:szCs w:val="22"/>
        </w:rPr>
        <w:t xml:space="preserve"> desarrollo de los CATI en todo el mundo, con inclusión de </w:t>
      </w:r>
      <w:r w:rsidR="006F205D" w:rsidRPr="00ED0FFC">
        <w:rPr>
          <w:szCs w:val="22"/>
        </w:rPr>
        <w:t>módulos</w:t>
      </w:r>
      <w:r w:rsidR="000D39B0" w:rsidRPr="00ED0FFC">
        <w:rPr>
          <w:szCs w:val="22"/>
        </w:rPr>
        <w:t>, tutoriales y seminarios de Internet dirigidos a determinados usuarios</w:t>
      </w:r>
      <w:r w:rsidR="002B1093" w:rsidRPr="00ED0FFC">
        <w:rPr>
          <w:szCs w:val="22"/>
        </w:rPr>
        <w:t>.</w:t>
      </w:r>
      <w:r w:rsidR="000D39B0" w:rsidRPr="00ED0FFC">
        <w:rPr>
          <w:szCs w:val="22"/>
        </w:rPr>
        <w:t xml:space="preserve">  Se puede participar en la comunidad CATI, compuesta por cas</w:t>
      </w:r>
      <w:r w:rsidR="00222344" w:rsidRPr="00ED0FFC">
        <w:rPr>
          <w:szCs w:val="22"/>
        </w:rPr>
        <w:t>i 1</w:t>
      </w:r>
      <w:r w:rsidR="000D39B0" w:rsidRPr="00ED0FFC">
        <w:rPr>
          <w:szCs w:val="22"/>
        </w:rPr>
        <w:t>.</w:t>
      </w:r>
      <w:r w:rsidR="002B1093" w:rsidRPr="00ED0FFC">
        <w:rPr>
          <w:szCs w:val="22"/>
        </w:rPr>
        <w:t>500 pe</w:t>
      </w:r>
      <w:r w:rsidR="000D39B0" w:rsidRPr="00ED0FFC">
        <w:rPr>
          <w:szCs w:val="22"/>
        </w:rPr>
        <w:t xml:space="preserve">rsonas, a través de internet:  </w:t>
      </w:r>
      <w:hyperlink r:id="rId13" w:history="1">
        <w:r w:rsidR="002B1093" w:rsidRPr="00ED0FFC">
          <w:rPr>
            <w:szCs w:val="22"/>
            <w:u w:val="single"/>
          </w:rPr>
          <w:t>http://etisc.wipo.org</w:t>
        </w:r>
      </w:hyperlink>
      <w:r w:rsidR="002B1093" w:rsidRPr="00ED0FFC">
        <w:rPr>
          <w:szCs w:val="22"/>
          <w:u w:val="single"/>
        </w:rPr>
        <w:t>.</w:t>
      </w:r>
    </w:p>
    <w:p w:rsidR="002B1093" w:rsidRPr="00ED0FFC" w:rsidRDefault="002B1093" w:rsidP="007F60FD">
      <w:pPr>
        <w:tabs>
          <w:tab w:val="num" w:pos="0"/>
        </w:tabs>
        <w:rPr>
          <w:szCs w:val="22"/>
          <w:u w:val="single"/>
        </w:rPr>
      </w:pPr>
    </w:p>
    <w:p w:rsidR="00742E3D" w:rsidRPr="00ED0FFC" w:rsidRDefault="005737B0" w:rsidP="007F60FD">
      <w:pPr>
        <w:tabs>
          <w:tab w:val="num" w:pos="0"/>
        </w:tabs>
        <w:spacing w:after="220"/>
        <w:rPr>
          <w:bCs/>
          <w:szCs w:val="22"/>
        </w:rPr>
      </w:pPr>
      <w:r w:rsidRPr="00ED0FFC">
        <w:rPr>
          <w:szCs w:val="22"/>
        </w:rPr>
        <w:fldChar w:fldCharType="begin"/>
      </w:r>
      <w:r w:rsidR="002B1093" w:rsidRPr="00ED0FFC">
        <w:rPr>
          <w:szCs w:val="22"/>
        </w:rPr>
        <w:instrText xml:space="preserve"> AUTONUM  </w:instrText>
      </w:r>
      <w:r w:rsidRPr="00ED0FFC">
        <w:rPr>
          <w:szCs w:val="22"/>
        </w:rPr>
        <w:fldChar w:fldCharType="end"/>
      </w:r>
      <w:r w:rsidR="002B1093" w:rsidRPr="00ED0FFC">
        <w:rPr>
          <w:szCs w:val="22"/>
        </w:rPr>
        <w:tab/>
      </w:r>
      <w:r w:rsidR="000D39B0" w:rsidRPr="00ED0FFC">
        <w:rPr>
          <w:szCs w:val="22"/>
        </w:rPr>
        <w:t>Además</w:t>
      </w:r>
      <w:r w:rsidR="00BF4821" w:rsidRPr="00ED0FFC">
        <w:rPr>
          <w:szCs w:val="22"/>
        </w:rPr>
        <w:t xml:space="preserve">, </w:t>
      </w:r>
      <w:r w:rsidR="007E45FD" w:rsidRPr="00ED0FFC">
        <w:rPr>
          <w:bCs/>
          <w:szCs w:val="22"/>
        </w:rPr>
        <w:t xml:space="preserve">en 2015 se pusieron en marcha </w:t>
      </w:r>
      <w:r w:rsidR="00BF4821" w:rsidRPr="00ED0FFC">
        <w:rPr>
          <w:szCs w:val="22"/>
        </w:rPr>
        <w:t>los nuevos servicios básicos de los CATI, junto con el Programa de Asistencia a Inventores</w:t>
      </w:r>
      <w:r w:rsidR="002B1093" w:rsidRPr="00ED0FFC">
        <w:rPr>
          <w:bCs/>
          <w:szCs w:val="22"/>
        </w:rPr>
        <w:t xml:space="preserve"> (P</w:t>
      </w:r>
      <w:r w:rsidR="00BF4821" w:rsidRPr="00ED0FFC">
        <w:rPr>
          <w:bCs/>
          <w:szCs w:val="22"/>
        </w:rPr>
        <w:t>AI</w:t>
      </w:r>
      <w:r w:rsidR="002B1093" w:rsidRPr="00ED0FFC">
        <w:rPr>
          <w:bCs/>
          <w:szCs w:val="22"/>
        </w:rPr>
        <w:t>)</w:t>
      </w:r>
      <w:r w:rsidR="007E45FD" w:rsidRPr="00ED0FFC">
        <w:rPr>
          <w:bCs/>
          <w:szCs w:val="22"/>
        </w:rPr>
        <w:t>,</w:t>
      </w:r>
      <w:r w:rsidR="002B1093" w:rsidRPr="00ED0FFC">
        <w:rPr>
          <w:bCs/>
          <w:szCs w:val="22"/>
        </w:rPr>
        <w:t xml:space="preserve"> </w:t>
      </w:r>
      <w:r w:rsidR="00BF4821" w:rsidRPr="00ED0FFC">
        <w:rPr>
          <w:bCs/>
          <w:szCs w:val="22"/>
        </w:rPr>
        <w:t xml:space="preserve">como proyectos piloto en </w:t>
      </w:r>
      <w:r w:rsidR="002B1093" w:rsidRPr="00ED0FFC">
        <w:rPr>
          <w:bCs/>
          <w:szCs w:val="22"/>
        </w:rPr>
        <w:t xml:space="preserve">Colombia </w:t>
      </w:r>
      <w:r w:rsidR="00BF4821" w:rsidRPr="00ED0FFC">
        <w:rPr>
          <w:bCs/>
          <w:szCs w:val="22"/>
        </w:rPr>
        <w:t>y Marruecos, ofreciendo asistencia jurídica sin cargo a inventores con escasos recursos y pequeñas empresas que satisfagan los criterios correspondientes</w:t>
      </w:r>
      <w:r w:rsidR="00742E3D" w:rsidRPr="00ED0FFC">
        <w:rPr>
          <w:bCs/>
          <w:szCs w:val="22"/>
        </w:rPr>
        <w:t>.</w:t>
      </w:r>
    </w:p>
    <w:p w:rsidR="0076284D" w:rsidRPr="00ED0FFC" w:rsidRDefault="0076284D" w:rsidP="00ED0FFC">
      <w:pPr>
        <w:pStyle w:val="Heading3"/>
      </w:pPr>
      <w:r w:rsidRPr="00ED0FFC">
        <w:t>Acceso a la Investigación para el Desarrollo y la Innovación (ARDI)</w:t>
      </w:r>
    </w:p>
    <w:p w:rsidR="00ED0FFC" w:rsidRPr="00ED0FFC" w:rsidRDefault="00ED0FFC" w:rsidP="00ED0FFC"/>
    <w:p w:rsidR="00742E3D" w:rsidRPr="00ED0FFC" w:rsidRDefault="005737B0" w:rsidP="007F60FD">
      <w:pPr>
        <w:tabs>
          <w:tab w:val="num" w:pos="0"/>
        </w:tabs>
        <w:spacing w:after="220"/>
        <w:rPr>
          <w:bCs/>
          <w:szCs w:val="22"/>
        </w:rPr>
      </w:pPr>
      <w:r w:rsidRPr="00ED0FFC">
        <w:rPr>
          <w:szCs w:val="22"/>
        </w:rPr>
        <w:fldChar w:fldCharType="begin"/>
      </w:r>
      <w:r w:rsidR="002B1093" w:rsidRPr="00ED0FFC">
        <w:rPr>
          <w:szCs w:val="22"/>
        </w:rPr>
        <w:instrText xml:space="preserve"> AUTONUM  </w:instrText>
      </w:r>
      <w:r w:rsidRPr="00ED0FFC">
        <w:rPr>
          <w:szCs w:val="22"/>
        </w:rPr>
        <w:fldChar w:fldCharType="end"/>
      </w:r>
      <w:r w:rsidR="002B1093" w:rsidRPr="00ED0FFC">
        <w:rPr>
          <w:szCs w:val="22"/>
        </w:rPr>
        <w:tab/>
      </w:r>
      <w:r w:rsidR="00BF4821" w:rsidRPr="00ED0FFC">
        <w:rPr>
          <w:szCs w:val="22"/>
        </w:rPr>
        <w:t>Dos programas de alianza público-privada facilitan el acceso a bases de datos por suscripción</w:t>
      </w:r>
      <w:r w:rsidR="002B1093" w:rsidRPr="00ED0FFC">
        <w:rPr>
          <w:bCs/>
          <w:szCs w:val="22"/>
        </w:rPr>
        <w:t xml:space="preserve">.  </w:t>
      </w:r>
      <w:r w:rsidR="00BF4821" w:rsidRPr="00ED0FFC">
        <w:rPr>
          <w:bCs/>
          <w:szCs w:val="22"/>
        </w:rPr>
        <w:t>El programa de Acceso a la Investigación para el Desarrollo y la Innovación proporciona acceso a información científica y técnica en los países en desarrollo</w:t>
      </w:r>
      <w:r w:rsidR="002B1093" w:rsidRPr="00ED0FFC">
        <w:rPr>
          <w:bCs/>
          <w:szCs w:val="22"/>
        </w:rPr>
        <w:t xml:space="preserve">.  </w:t>
      </w:r>
      <w:r w:rsidR="00C06E1B" w:rsidRPr="00ED0FFC">
        <w:rPr>
          <w:bCs/>
          <w:szCs w:val="22"/>
        </w:rPr>
        <w:t>Al mejorar el acceso a la bibliografía académica de distintos campos de la ciencia y la tecnología, el programa ARDI pretende fortalecer la capacidad de los países en desarrollo de participar en la economía mundial de los conocimientos y respaldar a los investigadores de los países en desarrollo para la creación y al perfeccionamiento de nuevas soluciones a los desafíos técnicos que se plantean a escala local y mundial</w:t>
      </w:r>
      <w:r w:rsidR="002B1093" w:rsidRPr="00ED0FFC">
        <w:rPr>
          <w:bCs/>
          <w:szCs w:val="22"/>
        </w:rPr>
        <w:t xml:space="preserve">.  </w:t>
      </w:r>
      <w:r w:rsidR="00F67660" w:rsidRPr="00ED0FFC">
        <w:rPr>
          <w:bCs/>
          <w:szCs w:val="22"/>
        </w:rPr>
        <w:t>ARDI ofrece acceso a más d</w:t>
      </w:r>
      <w:r w:rsidR="00222344" w:rsidRPr="00ED0FFC">
        <w:rPr>
          <w:bCs/>
          <w:szCs w:val="22"/>
        </w:rPr>
        <w:t>e 2</w:t>
      </w:r>
      <w:r w:rsidR="002B1093" w:rsidRPr="00ED0FFC">
        <w:rPr>
          <w:bCs/>
          <w:szCs w:val="22"/>
        </w:rPr>
        <w:t>5</w:t>
      </w:r>
      <w:r w:rsidR="00F67660" w:rsidRPr="00ED0FFC">
        <w:rPr>
          <w:bCs/>
          <w:szCs w:val="22"/>
        </w:rPr>
        <w:t>.</w:t>
      </w:r>
      <w:r w:rsidR="002B1093" w:rsidRPr="00ED0FFC">
        <w:rPr>
          <w:bCs/>
          <w:szCs w:val="22"/>
        </w:rPr>
        <w:t xml:space="preserve">000 </w:t>
      </w:r>
      <w:r w:rsidR="00F67660" w:rsidRPr="00ED0FFC">
        <w:rPr>
          <w:bCs/>
          <w:szCs w:val="22"/>
        </w:rPr>
        <w:t>publicaciones científicas y técnicas y libros electrónicos examinados por otros expertos, y cuenta con más d</w:t>
      </w:r>
      <w:r w:rsidR="00222344" w:rsidRPr="00ED0FFC">
        <w:rPr>
          <w:bCs/>
          <w:szCs w:val="22"/>
        </w:rPr>
        <w:t>e 5</w:t>
      </w:r>
      <w:r w:rsidR="002B1093" w:rsidRPr="00ED0FFC">
        <w:rPr>
          <w:bCs/>
          <w:szCs w:val="22"/>
        </w:rPr>
        <w:t xml:space="preserve">50 </w:t>
      </w:r>
      <w:r w:rsidR="00F67660" w:rsidRPr="00ED0FFC">
        <w:rPr>
          <w:bCs/>
          <w:szCs w:val="22"/>
        </w:rPr>
        <w:t>instituciones usuarias registradas al cierre d</w:t>
      </w:r>
      <w:r w:rsidR="00222344" w:rsidRPr="00ED0FFC">
        <w:rPr>
          <w:bCs/>
          <w:szCs w:val="22"/>
        </w:rPr>
        <w:t>e 2</w:t>
      </w:r>
      <w:r w:rsidR="002B1093" w:rsidRPr="00ED0FFC">
        <w:rPr>
          <w:bCs/>
          <w:szCs w:val="22"/>
        </w:rPr>
        <w:t xml:space="preserve">015.  </w:t>
      </w:r>
      <w:r w:rsidR="00F67660" w:rsidRPr="00ED0FFC">
        <w:rPr>
          <w:bCs/>
          <w:szCs w:val="22"/>
        </w:rPr>
        <w:t xml:space="preserve">Para más información, consulte por favor el sitio </w:t>
      </w:r>
      <w:r w:rsidR="00C910FA" w:rsidRPr="00ED0FFC">
        <w:rPr>
          <w:bCs/>
          <w:szCs w:val="22"/>
        </w:rPr>
        <w:t>web</w:t>
      </w:r>
      <w:r w:rsidR="00F67660" w:rsidRPr="00ED0FFC">
        <w:rPr>
          <w:bCs/>
          <w:szCs w:val="22"/>
        </w:rPr>
        <w:t xml:space="preserve"> del ARDI </w:t>
      </w:r>
      <w:r w:rsidR="002B1093" w:rsidRPr="00ED0FFC">
        <w:rPr>
          <w:bCs/>
          <w:szCs w:val="22"/>
        </w:rPr>
        <w:t>(</w:t>
      </w:r>
      <w:hyperlink r:id="rId14" w:history="1">
        <w:r w:rsidR="00F67660" w:rsidRPr="00ED0FFC">
          <w:rPr>
            <w:rStyle w:val="Hyperlink"/>
            <w:bCs/>
            <w:color w:val="auto"/>
            <w:szCs w:val="22"/>
          </w:rPr>
          <w:t>http://www.wipo.int/ardi/es/</w:t>
        </w:r>
      </w:hyperlink>
      <w:r w:rsidR="002B1093" w:rsidRPr="00ED0FFC">
        <w:rPr>
          <w:bCs/>
          <w:szCs w:val="22"/>
        </w:rPr>
        <w:t xml:space="preserve">).  ARDI </w:t>
      </w:r>
      <w:r w:rsidR="000D73DD" w:rsidRPr="00ED0FFC">
        <w:rPr>
          <w:bCs/>
          <w:szCs w:val="22"/>
        </w:rPr>
        <w:t>e</w:t>
      </w:r>
      <w:r w:rsidR="002B1093" w:rsidRPr="00ED0FFC">
        <w:rPr>
          <w:bCs/>
          <w:szCs w:val="22"/>
        </w:rPr>
        <w:t xml:space="preserve">s </w:t>
      </w:r>
      <w:r w:rsidR="00F67660" w:rsidRPr="00ED0FFC">
        <w:rPr>
          <w:bCs/>
          <w:szCs w:val="22"/>
        </w:rPr>
        <w:t>miembro desd</w:t>
      </w:r>
      <w:r w:rsidR="00222344" w:rsidRPr="00ED0FFC">
        <w:rPr>
          <w:bCs/>
          <w:szCs w:val="22"/>
        </w:rPr>
        <w:t>e 2</w:t>
      </w:r>
      <w:r w:rsidR="002B1093" w:rsidRPr="00ED0FFC">
        <w:rPr>
          <w:bCs/>
          <w:szCs w:val="22"/>
        </w:rPr>
        <w:t xml:space="preserve">011 </w:t>
      </w:r>
      <w:r w:rsidR="00F67660" w:rsidRPr="00ED0FFC">
        <w:rPr>
          <w:bCs/>
          <w:szCs w:val="22"/>
        </w:rPr>
        <w:t xml:space="preserve">de la alianza </w:t>
      </w:r>
      <w:r w:rsidR="002B1093" w:rsidRPr="00ED0FFC">
        <w:rPr>
          <w:bCs/>
          <w:szCs w:val="22"/>
        </w:rPr>
        <w:t xml:space="preserve">Research4Life (R4L), </w:t>
      </w:r>
      <w:r w:rsidR="00F67660" w:rsidRPr="00ED0FFC">
        <w:rPr>
          <w:bCs/>
          <w:szCs w:val="22"/>
        </w:rPr>
        <w:t>de</w:t>
      </w:r>
      <w:r w:rsidR="00B60F61" w:rsidRPr="00ED0FFC">
        <w:rPr>
          <w:bCs/>
          <w:szCs w:val="22"/>
        </w:rPr>
        <w:t xml:space="preserve"> </w:t>
      </w:r>
      <w:r w:rsidR="00F67660" w:rsidRPr="00ED0FFC">
        <w:rPr>
          <w:bCs/>
          <w:szCs w:val="22"/>
        </w:rPr>
        <w:t>l</w:t>
      </w:r>
      <w:r w:rsidR="00B60F61" w:rsidRPr="00ED0FFC">
        <w:rPr>
          <w:bCs/>
          <w:szCs w:val="22"/>
        </w:rPr>
        <w:t>a</w:t>
      </w:r>
      <w:r w:rsidR="00F67660" w:rsidRPr="00ED0FFC">
        <w:rPr>
          <w:bCs/>
          <w:szCs w:val="22"/>
        </w:rPr>
        <w:t xml:space="preserve"> que forman parte el programa HINARI de la</w:t>
      </w:r>
      <w:r w:rsidR="0076284D" w:rsidRPr="00ED0FFC">
        <w:rPr>
          <w:bCs/>
          <w:szCs w:val="22"/>
        </w:rPr>
        <w:t xml:space="preserve"> Organización Mundial de la Salud (</w:t>
      </w:r>
      <w:r w:rsidR="00F67660" w:rsidRPr="00ED0FFC">
        <w:rPr>
          <w:bCs/>
          <w:szCs w:val="22"/>
        </w:rPr>
        <w:t>OMS</w:t>
      </w:r>
      <w:r w:rsidR="0076284D" w:rsidRPr="00ED0FFC">
        <w:rPr>
          <w:bCs/>
          <w:szCs w:val="22"/>
        </w:rPr>
        <w:t>)</w:t>
      </w:r>
      <w:r w:rsidR="00F67660" w:rsidRPr="00ED0FFC">
        <w:rPr>
          <w:bCs/>
          <w:szCs w:val="22"/>
        </w:rPr>
        <w:t>, centrado en publicaciones biomédicas y de salud, el programa AGORA de la Organización de las Naciones Unidas para la Alimentación y la Agricultura</w:t>
      </w:r>
      <w:r w:rsidR="000D73DD" w:rsidRPr="00ED0FFC">
        <w:rPr>
          <w:bCs/>
          <w:szCs w:val="22"/>
        </w:rPr>
        <w:t xml:space="preserve"> (FAO)</w:t>
      </w:r>
      <w:r w:rsidR="00F67660" w:rsidRPr="00ED0FFC">
        <w:rPr>
          <w:bCs/>
          <w:szCs w:val="22"/>
        </w:rPr>
        <w:t>, para publicaciones sobre agricultura, y el programa OARE del Programa de las Naciones Unidas para el Medio Ambiente</w:t>
      </w:r>
      <w:r w:rsidR="000D73DD" w:rsidRPr="00ED0FFC">
        <w:rPr>
          <w:bCs/>
          <w:szCs w:val="22"/>
        </w:rPr>
        <w:t xml:space="preserve"> (</w:t>
      </w:r>
      <w:r w:rsidR="007D3724" w:rsidRPr="00ED0FFC">
        <w:rPr>
          <w:bCs/>
          <w:szCs w:val="22"/>
        </w:rPr>
        <w:t>PNUMA</w:t>
      </w:r>
      <w:r w:rsidR="000D73DD" w:rsidRPr="00ED0FFC">
        <w:rPr>
          <w:bCs/>
          <w:szCs w:val="22"/>
        </w:rPr>
        <w:t>)</w:t>
      </w:r>
      <w:r w:rsidR="00F67660" w:rsidRPr="00ED0FFC">
        <w:rPr>
          <w:bCs/>
          <w:szCs w:val="22"/>
        </w:rPr>
        <w:t xml:space="preserve"> sobre temas medioambientales</w:t>
      </w:r>
      <w:r w:rsidR="00742E3D" w:rsidRPr="00ED0FFC">
        <w:rPr>
          <w:bCs/>
          <w:szCs w:val="22"/>
        </w:rPr>
        <w:t>.</w:t>
      </w:r>
    </w:p>
    <w:p w:rsidR="0076284D" w:rsidRPr="00ED0FFC" w:rsidRDefault="0076284D" w:rsidP="00ED0FFC">
      <w:pPr>
        <w:pStyle w:val="Heading3"/>
      </w:pPr>
      <w:r w:rsidRPr="00ED0FFC">
        <w:t>Acceso a la Información Especializada sobre Patentes (ASPI)</w:t>
      </w:r>
    </w:p>
    <w:p w:rsidR="00ED0FFC" w:rsidRPr="00ED0FFC" w:rsidRDefault="00ED0FFC" w:rsidP="00ED0FFC"/>
    <w:p w:rsidR="002B1093" w:rsidRPr="00ED0FFC" w:rsidRDefault="005737B0" w:rsidP="007F60FD">
      <w:pPr>
        <w:tabs>
          <w:tab w:val="num" w:pos="0"/>
        </w:tabs>
        <w:spacing w:after="220"/>
        <w:rPr>
          <w:bCs/>
          <w:szCs w:val="22"/>
        </w:rPr>
      </w:pPr>
      <w:r w:rsidRPr="00ED0FFC">
        <w:rPr>
          <w:szCs w:val="22"/>
        </w:rPr>
        <w:fldChar w:fldCharType="begin"/>
      </w:r>
      <w:r w:rsidR="002B1093" w:rsidRPr="00ED0FFC">
        <w:rPr>
          <w:szCs w:val="22"/>
        </w:rPr>
        <w:instrText xml:space="preserve"> AUTONUM  </w:instrText>
      </w:r>
      <w:r w:rsidRPr="00ED0FFC">
        <w:rPr>
          <w:szCs w:val="22"/>
        </w:rPr>
        <w:fldChar w:fldCharType="end"/>
      </w:r>
      <w:r w:rsidR="002B1093" w:rsidRPr="00ED0FFC">
        <w:rPr>
          <w:szCs w:val="22"/>
        </w:rPr>
        <w:tab/>
      </w:r>
      <w:r w:rsidR="00C06E1B" w:rsidRPr="00ED0FFC">
        <w:rPr>
          <w:szCs w:val="22"/>
        </w:rPr>
        <w:t xml:space="preserve">El programa de Acceso a la Información Especializada sobre Patentes es también una asociación público-privada con los principales proveedores comerciales de bases de datos de patentes mediante el cual se ofrece acceso a las más avanzadas y sofisticadas herramientas de búsqueda y análisis a las instituciones de los </w:t>
      </w:r>
      <w:r w:rsidR="006D0205" w:rsidRPr="00ED0FFC">
        <w:rPr>
          <w:szCs w:val="22"/>
        </w:rPr>
        <w:t>PMA</w:t>
      </w:r>
      <w:r w:rsidR="002B1093" w:rsidRPr="00ED0FFC">
        <w:rPr>
          <w:bCs/>
          <w:szCs w:val="22"/>
        </w:rPr>
        <w:t xml:space="preserve">.  </w:t>
      </w:r>
      <w:r w:rsidR="000D73DD" w:rsidRPr="00ED0FFC">
        <w:rPr>
          <w:bCs/>
          <w:szCs w:val="22"/>
        </w:rPr>
        <w:t>El número de usuarios institucionales también está aumentando de manera constante, superando el medio centenar</w:t>
      </w:r>
      <w:r w:rsidR="002B1093" w:rsidRPr="00ED0FFC">
        <w:rPr>
          <w:bCs/>
          <w:szCs w:val="22"/>
        </w:rPr>
        <w:t xml:space="preserve">.  </w:t>
      </w:r>
      <w:r w:rsidR="000D73DD" w:rsidRPr="00ED0FFC">
        <w:rPr>
          <w:bCs/>
          <w:szCs w:val="22"/>
        </w:rPr>
        <w:t xml:space="preserve">Para más información, consulte por favor el sitio </w:t>
      </w:r>
      <w:r w:rsidR="00C910FA" w:rsidRPr="00ED0FFC">
        <w:rPr>
          <w:bCs/>
          <w:szCs w:val="22"/>
        </w:rPr>
        <w:t>web</w:t>
      </w:r>
      <w:r w:rsidR="000D73DD" w:rsidRPr="00ED0FFC">
        <w:rPr>
          <w:bCs/>
          <w:szCs w:val="22"/>
        </w:rPr>
        <w:t xml:space="preserve"> del ASPI</w:t>
      </w:r>
      <w:r w:rsidR="002B1093" w:rsidRPr="00ED0FFC">
        <w:rPr>
          <w:bCs/>
          <w:szCs w:val="22"/>
        </w:rPr>
        <w:t xml:space="preserve"> (</w:t>
      </w:r>
      <w:hyperlink r:id="rId15" w:history="1">
        <w:r w:rsidR="000D73DD" w:rsidRPr="00ED0FFC">
          <w:rPr>
            <w:rStyle w:val="Hyperlink"/>
            <w:bCs/>
            <w:color w:val="auto"/>
            <w:szCs w:val="22"/>
          </w:rPr>
          <w:t>http://www.wipo.int/aspi/es/</w:t>
        </w:r>
      </w:hyperlink>
      <w:r w:rsidR="002B1093" w:rsidRPr="00ED0FFC">
        <w:rPr>
          <w:bCs/>
          <w:szCs w:val="22"/>
        </w:rPr>
        <w:t>).</w:t>
      </w:r>
    </w:p>
    <w:p w:rsidR="002B1093" w:rsidRPr="00ED0FFC" w:rsidRDefault="005737B0" w:rsidP="007F60FD">
      <w:pPr>
        <w:tabs>
          <w:tab w:val="num" w:pos="0"/>
        </w:tabs>
      </w:pPr>
      <w:r w:rsidRPr="00ED0FFC">
        <w:rPr>
          <w:szCs w:val="22"/>
        </w:rPr>
        <w:fldChar w:fldCharType="begin"/>
      </w:r>
      <w:r w:rsidR="002B1093" w:rsidRPr="00ED0FFC">
        <w:rPr>
          <w:szCs w:val="22"/>
        </w:rPr>
        <w:instrText xml:space="preserve"> AUTONUM  </w:instrText>
      </w:r>
      <w:r w:rsidRPr="00ED0FFC">
        <w:rPr>
          <w:szCs w:val="22"/>
        </w:rPr>
        <w:fldChar w:fldCharType="end"/>
      </w:r>
      <w:r w:rsidR="002B1093" w:rsidRPr="00ED0FFC">
        <w:rPr>
          <w:szCs w:val="22"/>
        </w:rPr>
        <w:tab/>
      </w:r>
      <w:r w:rsidR="007E45FD" w:rsidRPr="00ED0FFC">
        <w:rPr>
          <w:szCs w:val="22"/>
        </w:rPr>
        <w:t xml:space="preserve">Los informes sobre </w:t>
      </w:r>
      <w:r w:rsidR="0049605D" w:rsidRPr="00ED0FFC">
        <w:rPr>
          <w:szCs w:val="22"/>
        </w:rPr>
        <w:t xml:space="preserve">la actividad de patentamiento presentan reseñas y análisis de amplio alcance sobre la actividad </w:t>
      </w:r>
      <w:r w:rsidR="005A3F4F" w:rsidRPr="00ED0FFC">
        <w:rPr>
          <w:szCs w:val="22"/>
        </w:rPr>
        <w:t xml:space="preserve">en materia </w:t>
      </w:r>
      <w:r w:rsidR="0049605D" w:rsidRPr="00ED0FFC">
        <w:rPr>
          <w:szCs w:val="22"/>
        </w:rPr>
        <w:t xml:space="preserve">de innovación y patentamiento en </w:t>
      </w:r>
      <w:r w:rsidR="009A09D8" w:rsidRPr="00ED0FFC">
        <w:rPr>
          <w:szCs w:val="22"/>
        </w:rPr>
        <w:t xml:space="preserve">un ámbito </w:t>
      </w:r>
      <w:r w:rsidR="0049605D" w:rsidRPr="00ED0FFC">
        <w:rPr>
          <w:szCs w:val="22"/>
        </w:rPr>
        <w:t>tecnol</w:t>
      </w:r>
      <w:r w:rsidR="009A09D8" w:rsidRPr="00ED0FFC">
        <w:rPr>
          <w:szCs w:val="22"/>
        </w:rPr>
        <w:t>ógico específico</w:t>
      </w:r>
      <w:r w:rsidR="0049605D" w:rsidRPr="00ED0FFC">
        <w:rPr>
          <w:szCs w:val="22"/>
        </w:rPr>
        <w:t>, ya sea a escala mundial o en una zona geográfica determinada</w:t>
      </w:r>
      <w:r w:rsidR="002B1093" w:rsidRPr="00ED0FFC">
        <w:rPr>
          <w:bCs/>
          <w:szCs w:val="22"/>
        </w:rPr>
        <w:t xml:space="preserve">.  </w:t>
      </w:r>
      <w:r w:rsidR="00C06E1B" w:rsidRPr="00ED0FFC">
        <w:rPr>
          <w:bCs/>
          <w:szCs w:val="22"/>
        </w:rPr>
        <w:t>Los resultados se presentan y analizan detalladamente y se exponen en gráficos y estadísticas con la ayuda de distintos instrumentos de análisis</w:t>
      </w:r>
      <w:r w:rsidR="002B1093" w:rsidRPr="00ED0FFC">
        <w:rPr>
          <w:bCs/>
          <w:szCs w:val="22"/>
        </w:rPr>
        <w:t xml:space="preserve">.  </w:t>
      </w:r>
      <w:r w:rsidR="0049605D" w:rsidRPr="00ED0FFC">
        <w:rPr>
          <w:bCs/>
          <w:szCs w:val="22"/>
        </w:rPr>
        <w:t>E</w:t>
      </w:r>
      <w:r w:rsidR="00222344" w:rsidRPr="00ED0FFC">
        <w:rPr>
          <w:bCs/>
          <w:szCs w:val="22"/>
        </w:rPr>
        <w:t>n 2</w:t>
      </w:r>
      <w:r w:rsidR="0049605D" w:rsidRPr="00ED0FFC">
        <w:rPr>
          <w:bCs/>
          <w:szCs w:val="22"/>
        </w:rPr>
        <w:t xml:space="preserve">014 se presentaron nuevos informes </w:t>
      </w:r>
      <w:r w:rsidR="00CA22E3" w:rsidRPr="00ED0FFC">
        <w:rPr>
          <w:bCs/>
          <w:szCs w:val="22"/>
        </w:rPr>
        <w:t xml:space="preserve">de análisis de </w:t>
      </w:r>
      <w:r w:rsidR="003D1DF2" w:rsidRPr="00ED0FFC">
        <w:rPr>
          <w:bCs/>
          <w:szCs w:val="22"/>
        </w:rPr>
        <w:t xml:space="preserve">la actividad de patentamiento </w:t>
      </w:r>
      <w:r w:rsidR="00CA22E3" w:rsidRPr="00ED0FFC">
        <w:rPr>
          <w:bCs/>
          <w:szCs w:val="22"/>
        </w:rPr>
        <w:t>sobre</w:t>
      </w:r>
      <w:r w:rsidR="003D1DF2" w:rsidRPr="00ED0FFC">
        <w:rPr>
          <w:bCs/>
          <w:szCs w:val="22"/>
        </w:rPr>
        <w:t xml:space="preserve"> recursos</w:t>
      </w:r>
      <w:r w:rsidR="00A57902" w:rsidRPr="00ED0FFC">
        <w:rPr>
          <w:bCs/>
          <w:szCs w:val="22"/>
        </w:rPr>
        <w:t xml:space="preserve"> zoo</w:t>
      </w:r>
      <w:r w:rsidR="003D1DF2" w:rsidRPr="00ED0FFC">
        <w:rPr>
          <w:bCs/>
          <w:szCs w:val="22"/>
        </w:rPr>
        <w:t>genéticos, determinadas enfermedades desatendidas y dispositivos de asistencia para personas con discapacidad visual</w:t>
      </w:r>
      <w:r w:rsidR="002B1093" w:rsidRPr="00ED0FFC">
        <w:rPr>
          <w:bCs/>
          <w:szCs w:val="22"/>
        </w:rPr>
        <w:t xml:space="preserve">, </w:t>
      </w:r>
      <w:r w:rsidR="003D1DF2" w:rsidRPr="00ED0FFC">
        <w:rPr>
          <w:bCs/>
          <w:szCs w:val="22"/>
        </w:rPr>
        <w:t>estos últimos producidos en un formato accesible para personas con dificultad para acceder al texto impreso</w:t>
      </w:r>
      <w:r w:rsidR="002B1093" w:rsidRPr="00ED0FFC">
        <w:rPr>
          <w:bCs/>
          <w:szCs w:val="22"/>
        </w:rPr>
        <w:t xml:space="preserve">.  </w:t>
      </w:r>
      <w:r w:rsidR="003D1DF2" w:rsidRPr="00ED0FFC">
        <w:rPr>
          <w:bCs/>
          <w:szCs w:val="22"/>
        </w:rPr>
        <w:t>Los informes se presentaron a</w:t>
      </w:r>
      <w:r w:rsidR="00806B45" w:rsidRPr="00ED0FFC">
        <w:rPr>
          <w:bCs/>
          <w:szCs w:val="22"/>
        </w:rPr>
        <w:t>nte</w:t>
      </w:r>
      <w:r w:rsidR="003D1DF2" w:rsidRPr="00ED0FFC">
        <w:rPr>
          <w:bCs/>
          <w:szCs w:val="22"/>
        </w:rPr>
        <w:t xml:space="preserve"> los Estados miembros en act</w:t>
      </w:r>
      <w:r w:rsidR="005A3F4F" w:rsidRPr="00ED0FFC">
        <w:rPr>
          <w:bCs/>
          <w:szCs w:val="22"/>
        </w:rPr>
        <w:t xml:space="preserve">ividades </w:t>
      </w:r>
      <w:r w:rsidR="003D1DF2" w:rsidRPr="00ED0FFC">
        <w:rPr>
          <w:bCs/>
          <w:szCs w:val="22"/>
        </w:rPr>
        <w:t xml:space="preserve">promocionales, con infografías </w:t>
      </w:r>
      <w:r w:rsidR="00CA22E3" w:rsidRPr="00ED0FFC">
        <w:rPr>
          <w:bCs/>
          <w:szCs w:val="22"/>
        </w:rPr>
        <w:t>adicionales que resumen las principales conclusiones de estos informes</w:t>
      </w:r>
      <w:r w:rsidR="002B1093" w:rsidRPr="00ED0FFC">
        <w:rPr>
          <w:bCs/>
          <w:szCs w:val="22"/>
        </w:rPr>
        <w:t xml:space="preserve">.  </w:t>
      </w:r>
      <w:r w:rsidR="00CA22E3" w:rsidRPr="00ED0FFC">
        <w:rPr>
          <w:bCs/>
          <w:szCs w:val="22"/>
        </w:rPr>
        <w:t>E</w:t>
      </w:r>
      <w:r w:rsidR="00222344" w:rsidRPr="00ED0FFC">
        <w:rPr>
          <w:bCs/>
          <w:szCs w:val="22"/>
        </w:rPr>
        <w:t>n 2</w:t>
      </w:r>
      <w:r w:rsidR="00CA22E3" w:rsidRPr="00ED0FFC">
        <w:rPr>
          <w:bCs/>
          <w:szCs w:val="22"/>
        </w:rPr>
        <w:t xml:space="preserve">015, se redactaron dos nuevos informes </w:t>
      </w:r>
      <w:r w:rsidR="007E45FD" w:rsidRPr="00ED0FFC">
        <w:rPr>
          <w:bCs/>
          <w:szCs w:val="22"/>
        </w:rPr>
        <w:t>sobre</w:t>
      </w:r>
      <w:r w:rsidR="00CA22E3" w:rsidRPr="00ED0FFC">
        <w:rPr>
          <w:bCs/>
          <w:szCs w:val="22"/>
        </w:rPr>
        <w:t xml:space="preserve"> la actividad de patentamiento sobre tecnologías relacionadas con la producción de aceite de palma y el tratamiento y </w:t>
      </w:r>
      <w:r w:rsidR="005A3F4F" w:rsidRPr="00ED0FFC">
        <w:rPr>
          <w:bCs/>
          <w:szCs w:val="22"/>
        </w:rPr>
        <w:t xml:space="preserve">la </w:t>
      </w:r>
      <w:r w:rsidR="00CA22E3" w:rsidRPr="00ED0FFC">
        <w:rPr>
          <w:bCs/>
          <w:szCs w:val="22"/>
        </w:rPr>
        <w:t xml:space="preserve">explotación de residuos, y sobre tecnologías relacionadas con las algas, en respuesta a </w:t>
      </w:r>
      <w:r w:rsidR="00CC3F2D" w:rsidRPr="00ED0FFC">
        <w:rPr>
          <w:bCs/>
          <w:szCs w:val="22"/>
        </w:rPr>
        <w:t xml:space="preserve">las peticiones y necesidades específicas de los Estados miembros </w:t>
      </w:r>
      <w:r w:rsidR="005A3F4F" w:rsidRPr="00ED0FFC">
        <w:rPr>
          <w:bCs/>
          <w:szCs w:val="22"/>
        </w:rPr>
        <w:t xml:space="preserve">que </w:t>
      </w:r>
      <w:r w:rsidR="00CC3F2D" w:rsidRPr="00ED0FFC">
        <w:rPr>
          <w:bCs/>
          <w:szCs w:val="22"/>
        </w:rPr>
        <w:t>desarrollan estas tecnologías</w:t>
      </w:r>
      <w:r w:rsidR="002B1093" w:rsidRPr="00ED0FFC">
        <w:rPr>
          <w:bCs/>
          <w:szCs w:val="22"/>
        </w:rPr>
        <w:t xml:space="preserve">.  </w:t>
      </w:r>
      <w:r w:rsidR="00CC3F2D" w:rsidRPr="00ED0FFC">
        <w:rPr>
          <w:bCs/>
          <w:szCs w:val="22"/>
        </w:rPr>
        <w:t>Además, en agosto d</w:t>
      </w:r>
      <w:r w:rsidR="00222344" w:rsidRPr="00ED0FFC">
        <w:rPr>
          <w:bCs/>
          <w:szCs w:val="22"/>
        </w:rPr>
        <w:t>e 2</w:t>
      </w:r>
      <w:r w:rsidR="00CC3F2D" w:rsidRPr="00ED0FFC">
        <w:rPr>
          <w:bCs/>
          <w:szCs w:val="22"/>
        </w:rPr>
        <w:t xml:space="preserve">015 se publicaron las Directrices para la preparación de informes </w:t>
      </w:r>
      <w:r w:rsidR="007E45FD" w:rsidRPr="00ED0FFC">
        <w:rPr>
          <w:bCs/>
          <w:szCs w:val="22"/>
        </w:rPr>
        <w:t xml:space="preserve">sobre la </w:t>
      </w:r>
      <w:r w:rsidR="007E45FD" w:rsidRPr="00ED0FFC">
        <w:rPr>
          <w:bCs/>
          <w:szCs w:val="22"/>
        </w:rPr>
        <w:lastRenderedPageBreak/>
        <w:t>actividad de patentamiento</w:t>
      </w:r>
      <w:r w:rsidR="002B1093" w:rsidRPr="00ED0FFC">
        <w:rPr>
          <w:bCs/>
          <w:szCs w:val="22"/>
        </w:rPr>
        <w:t xml:space="preserve">, </w:t>
      </w:r>
      <w:r w:rsidR="005A3F4F" w:rsidRPr="00ED0FFC">
        <w:rPr>
          <w:bCs/>
          <w:szCs w:val="22"/>
        </w:rPr>
        <w:t xml:space="preserve">al tiempo que se finalizó </w:t>
      </w:r>
      <w:r w:rsidR="00CC3F2D" w:rsidRPr="00ED0FFC">
        <w:rPr>
          <w:bCs/>
          <w:szCs w:val="22"/>
        </w:rPr>
        <w:t xml:space="preserve">un Manual sobre herramientas de código abierto e instrumentos gratuitos </w:t>
      </w:r>
      <w:r w:rsidR="00A57902" w:rsidRPr="00ED0FFC">
        <w:rPr>
          <w:bCs/>
          <w:szCs w:val="22"/>
        </w:rPr>
        <w:t>para el análisis de patentes, que será publicado a principios d</w:t>
      </w:r>
      <w:r w:rsidR="00222344" w:rsidRPr="00ED0FFC">
        <w:rPr>
          <w:bCs/>
          <w:szCs w:val="22"/>
        </w:rPr>
        <w:t>e 2</w:t>
      </w:r>
      <w:r w:rsidR="002B1093" w:rsidRPr="00ED0FFC">
        <w:rPr>
          <w:bCs/>
          <w:szCs w:val="22"/>
        </w:rPr>
        <w:t xml:space="preserve">016.  </w:t>
      </w:r>
      <w:r w:rsidR="00A57902" w:rsidRPr="00ED0FFC">
        <w:rPr>
          <w:bCs/>
          <w:szCs w:val="22"/>
        </w:rPr>
        <w:t xml:space="preserve">Se pueden consultar más detalles sobre todos los aspectos de </w:t>
      </w:r>
      <w:r w:rsidR="007E45FD" w:rsidRPr="00ED0FFC">
        <w:rPr>
          <w:bCs/>
          <w:szCs w:val="22"/>
        </w:rPr>
        <w:t xml:space="preserve">esos informes </w:t>
      </w:r>
      <w:r w:rsidR="00A57902" w:rsidRPr="00ED0FFC">
        <w:rPr>
          <w:bCs/>
          <w:szCs w:val="22"/>
        </w:rPr>
        <w:t>en</w:t>
      </w:r>
      <w:r w:rsidR="002B1093" w:rsidRPr="00ED0FFC">
        <w:rPr>
          <w:bCs/>
          <w:szCs w:val="22"/>
        </w:rPr>
        <w:t xml:space="preserve">:  </w:t>
      </w:r>
      <w:hyperlink r:id="rId16" w:history="1">
        <w:r w:rsidR="00A57902" w:rsidRPr="00ED0FFC">
          <w:rPr>
            <w:rStyle w:val="Hyperlink"/>
            <w:color w:val="auto"/>
          </w:rPr>
          <w:t>http://www.wipo.int/patentscope/es/programs/patent_landscapes/index.html</w:t>
        </w:r>
      </w:hyperlink>
    </w:p>
    <w:p w:rsidR="00A57902" w:rsidRPr="00ED0FFC" w:rsidRDefault="00A57902" w:rsidP="007F60FD">
      <w:pPr>
        <w:tabs>
          <w:tab w:val="num" w:pos="0"/>
        </w:tabs>
        <w:rPr>
          <w:b/>
          <w:szCs w:val="22"/>
          <w:u w:val="single"/>
        </w:rPr>
      </w:pPr>
    </w:p>
    <w:p w:rsidR="00742E3D" w:rsidRPr="00ED0FFC" w:rsidRDefault="002B1093" w:rsidP="007F60FD">
      <w:pPr>
        <w:tabs>
          <w:tab w:val="num" w:pos="0"/>
        </w:tabs>
        <w:spacing w:after="220"/>
        <w:rPr>
          <w:bCs/>
        </w:rPr>
      </w:pPr>
      <w:r w:rsidRPr="00ED0FFC">
        <w:rPr>
          <w:bCs/>
        </w:rPr>
        <w:t>20.</w:t>
      </w:r>
      <w:r w:rsidRPr="00ED0FFC">
        <w:rPr>
          <w:bCs/>
        </w:rPr>
        <w:tab/>
      </w:r>
      <w:r w:rsidR="00A57902" w:rsidRPr="00ED0FFC">
        <w:rPr>
          <w:bCs/>
        </w:rPr>
        <w:t xml:space="preserve">Junto a la creación de estructuras </w:t>
      </w:r>
      <w:r w:rsidR="00E0784D" w:rsidRPr="00ED0FFC">
        <w:rPr>
          <w:bCs/>
        </w:rPr>
        <w:t>institucionales</w:t>
      </w:r>
      <w:r w:rsidR="00A57902" w:rsidRPr="00ED0FFC">
        <w:rPr>
          <w:bCs/>
        </w:rPr>
        <w:t xml:space="preserve"> que ofre</w:t>
      </w:r>
      <w:r w:rsidR="005A3F4F" w:rsidRPr="00ED0FFC">
        <w:rPr>
          <w:bCs/>
        </w:rPr>
        <w:t>ce</w:t>
      </w:r>
      <w:r w:rsidR="00A57902" w:rsidRPr="00ED0FFC">
        <w:rPr>
          <w:bCs/>
        </w:rPr>
        <w:t xml:space="preserve">n servicios de fortalecimiento de las capacidades y de apoyo </w:t>
      </w:r>
      <w:r w:rsidR="005A3F4F" w:rsidRPr="00ED0FFC">
        <w:rPr>
          <w:bCs/>
        </w:rPr>
        <w:t>para promover l</w:t>
      </w:r>
      <w:r w:rsidR="00A57902" w:rsidRPr="00ED0FFC">
        <w:rPr>
          <w:bCs/>
        </w:rPr>
        <w:t>a transferencia de tecnología</w:t>
      </w:r>
      <w:r w:rsidRPr="00ED0FFC">
        <w:rPr>
          <w:bCs/>
        </w:rPr>
        <w:t xml:space="preserve">, </w:t>
      </w:r>
      <w:r w:rsidR="00A57902" w:rsidRPr="00ED0FFC">
        <w:rPr>
          <w:bCs/>
        </w:rPr>
        <w:t>la OMPI tambié</w:t>
      </w:r>
      <w:r w:rsidR="005A3F4F" w:rsidRPr="00ED0FFC">
        <w:rPr>
          <w:bCs/>
        </w:rPr>
        <w:t>n</w:t>
      </w:r>
      <w:r w:rsidR="00A57902" w:rsidRPr="00ED0FFC">
        <w:rPr>
          <w:bCs/>
        </w:rPr>
        <w:t xml:space="preserve"> proporciona a sus Estados miembros</w:t>
      </w:r>
      <w:r w:rsidR="005A3F4F" w:rsidRPr="00ED0FFC">
        <w:rPr>
          <w:bCs/>
        </w:rPr>
        <w:t>, bajo demanda,</w:t>
      </w:r>
      <w:r w:rsidR="00A57902" w:rsidRPr="00ED0FFC">
        <w:rPr>
          <w:bCs/>
        </w:rPr>
        <w:t xml:space="preserve"> datos específicos que apoyen las decisiones relacionadas con la transferencia de tecnología</w:t>
      </w:r>
      <w:r w:rsidRPr="00ED0FFC">
        <w:rPr>
          <w:bCs/>
        </w:rPr>
        <w:t xml:space="preserve">.  </w:t>
      </w:r>
      <w:r w:rsidR="009A09D8" w:rsidRPr="00ED0FFC">
        <w:rPr>
          <w:szCs w:val="22"/>
        </w:rPr>
        <w:t xml:space="preserve">Los informes </w:t>
      </w:r>
      <w:r w:rsidR="007E45FD" w:rsidRPr="00ED0FFC">
        <w:rPr>
          <w:szCs w:val="22"/>
        </w:rPr>
        <w:t>sobre</w:t>
      </w:r>
      <w:r w:rsidR="009A09D8" w:rsidRPr="00ED0FFC">
        <w:rPr>
          <w:szCs w:val="22"/>
        </w:rPr>
        <w:t xml:space="preserve"> la actividad de patentamiento</w:t>
      </w:r>
      <w:r w:rsidR="00D34850" w:rsidRPr="00ED0FFC">
        <w:rPr>
          <w:szCs w:val="22"/>
        </w:rPr>
        <w:t xml:space="preserve"> </w:t>
      </w:r>
      <w:r w:rsidR="009A09D8" w:rsidRPr="00ED0FFC">
        <w:rPr>
          <w:szCs w:val="22"/>
        </w:rPr>
        <w:t xml:space="preserve">proporcionan un panorama general de las tendencias en materia de innovación, </w:t>
      </w:r>
      <w:r w:rsidR="005A3F4F" w:rsidRPr="00ED0FFC">
        <w:rPr>
          <w:szCs w:val="22"/>
        </w:rPr>
        <w:t>a</w:t>
      </w:r>
      <w:r w:rsidR="009A09D8" w:rsidRPr="00ED0FFC">
        <w:rPr>
          <w:szCs w:val="22"/>
        </w:rPr>
        <w:t>ctividad de patentamiento, actores principales y distribución geográfica de la protección de patentes en un ámbito tecnológico específico</w:t>
      </w:r>
      <w:r w:rsidRPr="00ED0FFC">
        <w:rPr>
          <w:bCs/>
        </w:rPr>
        <w:t xml:space="preserve">, </w:t>
      </w:r>
      <w:r w:rsidR="009A09D8" w:rsidRPr="00ED0FFC">
        <w:rPr>
          <w:szCs w:val="22"/>
        </w:rPr>
        <w:t>ya sea a escala mundial o en una zona geográfica determinada</w:t>
      </w:r>
      <w:r w:rsidR="009A09D8" w:rsidRPr="00ED0FFC">
        <w:rPr>
          <w:bCs/>
          <w:szCs w:val="22"/>
        </w:rPr>
        <w:t>.</w:t>
      </w:r>
      <w:r w:rsidRPr="00ED0FFC">
        <w:rPr>
          <w:bCs/>
        </w:rPr>
        <w:t xml:space="preserve">  </w:t>
      </w:r>
      <w:r w:rsidR="009A09D8" w:rsidRPr="00ED0FFC">
        <w:rPr>
          <w:bCs/>
        </w:rPr>
        <w:t xml:space="preserve">El análisis </w:t>
      </w:r>
      <w:r w:rsidR="005A3F4F" w:rsidRPr="00ED0FFC">
        <w:rPr>
          <w:bCs/>
        </w:rPr>
        <w:t>de</w:t>
      </w:r>
      <w:r w:rsidR="009A09D8" w:rsidRPr="00ED0FFC">
        <w:rPr>
          <w:bCs/>
        </w:rPr>
        <w:t xml:space="preserve">l informe también incluye información sobre tendencias emergentes en tecnología, actores principales </w:t>
      </w:r>
      <w:r w:rsidR="005A3F4F" w:rsidRPr="00ED0FFC">
        <w:rPr>
          <w:bCs/>
        </w:rPr>
        <w:t xml:space="preserve">y </w:t>
      </w:r>
      <w:r w:rsidR="009A09D8" w:rsidRPr="00ED0FFC">
        <w:rPr>
          <w:bCs/>
        </w:rPr>
        <w:t>emergentes en este ámbito, distribución de solicitud de patentes en</w:t>
      </w:r>
      <w:r w:rsidR="005A3F4F" w:rsidRPr="00ED0FFC">
        <w:rPr>
          <w:bCs/>
        </w:rPr>
        <w:t>tre</w:t>
      </w:r>
      <w:r w:rsidR="009A09D8" w:rsidRPr="00ED0FFC">
        <w:rPr>
          <w:bCs/>
        </w:rPr>
        <w:t xml:space="preserve"> el mundo académico, </w:t>
      </w:r>
      <w:r w:rsidR="005A3F4F" w:rsidRPr="00ED0FFC">
        <w:rPr>
          <w:bCs/>
        </w:rPr>
        <w:t xml:space="preserve">los </w:t>
      </w:r>
      <w:r w:rsidR="009A09D8" w:rsidRPr="00ED0FFC">
        <w:rPr>
          <w:bCs/>
        </w:rPr>
        <w:t xml:space="preserve">institutos de investigación y </w:t>
      </w:r>
      <w:r w:rsidR="005A3F4F" w:rsidRPr="00ED0FFC">
        <w:rPr>
          <w:bCs/>
        </w:rPr>
        <w:t xml:space="preserve">el </w:t>
      </w:r>
      <w:r w:rsidR="009A09D8" w:rsidRPr="00ED0FFC">
        <w:rPr>
          <w:bCs/>
        </w:rPr>
        <w:t xml:space="preserve">sector privado, </w:t>
      </w:r>
      <w:r w:rsidR="005A3F4F" w:rsidRPr="00ED0FFC">
        <w:rPr>
          <w:bCs/>
        </w:rPr>
        <w:t xml:space="preserve">así como </w:t>
      </w:r>
      <w:r w:rsidR="009A09D8" w:rsidRPr="00ED0FFC">
        <w:rPr>
          <w:bCs/>
        </w:rPr>
        <w:t>redes de cooperación entre solicitantes e inventores y sector público y privado</w:t>
      </w:r>
      <w:r w:rsidRPr="00ED0FFC">
        <w:rPr>
          <w:bCs/>
        </w:rPr>
        <w:t xml:space="preserve">.  </w:t>
      </w:r>
      <w:r w:rsidR="00FC0D92" w:rsidRPr="00ED0FFC">
        <w:rPr>
          <w:bCs/>
        </w:rPr>
        <w:t xml:space="preserve">Los resultados de los informes se presentan y analizan de manera sencilla para los legos y se </w:t>
      </w:r>
      <w:r w:rsidR="005A3F4F" w:rsidRPr="00ED0FFC">
        <w:rPr>
          <w:bCs/>
        </w:rPr>
        <w:t>exponen en gráficos y estadísticas con la ayuda de distintos instrumentos de análisis</w:t>
      </w:r>
      <w:r w:rsidR="00FC0D92" w:rsidRPr="00ED0FFC">
        <w:rPr>
          <w:bCs/>
        </w:rPr>
        <w:t>.</w:t>
      </w:r>
      <w:r w:rsidRPr="00ED0FFC">
        <w:rPr>
          <w:bCs/>
        </w:rPr>
        <w:t xml:space="preserve">  </w:t>
      </w:r>
      <w:r w:rsidR="00FC0D92" w:rsidRPr="00ED0FFC">
        <w:rPr>
          <w:bCs/>
        </w:rPr>
        <w:t xml:space="preserve">La información incluida en los informes, principalmente sobre tecnologías emergentes, mercados potenciales y socios, aporta ideas para la toma de decisiones relacionadas con la adquisición </w:t>
      </w:r>
      <w:r w:rsidR="005A3F4F" w:rsidRPr="00ED0FFC">
        <w:rPr>
          <w:bCs/>
        </w:rPr>
        <w:t xml:space="preserve">y la </w:t>
      </w:r>
      <w:r w:rsidR="00FC0D92" w:rsidRPr="00ED0FFC">
        <w:rPr>
          <w:bCs/>
        </w:rPr>
        <w:t>transferencia de tecnología</w:t>
      </w:r>
      <w:r w:rsidR="00742E3D" w:rsidRPr="00ED0FFC">
        <w:rPr>
          <w:bCs/>
        </w:rPr>
        <w:t>.</w:t>
      </w:r>
    </w:p>
    <w:p w:rsidR="00742E3D" w:rsidRPr="00ED0FFC" w:rsidRDefault="002B1093" w:rsidP="007F60FD">
      <w:pPr>
        <w:rPr>
          <w:bCs/>
        </w:rPr>
      </w:pPr>
      <w:r w:rsidRPr="00ED0FFC">
        <w:rPr>
          <w:bCs/>
        </w:rPr>
        <w:t>21.</w:t>
      </w:r>
      <w:r w:rsidRPr="00ED0FFC">
        <w:rPr>
          <w:bCs/>
        </w:rPr>
        <w:tab/>
      </w:r>
      <w:r w:rsidR="00FC0D92" w:rsidRPr="00ED0FFC">
        <w:rPr>
          <w:bCs/>
        </w:rPr>
        <w:t xml:space="preserve">Entre los ejemplos de </w:t>
      </w:r>
      <w:r w:rsidR="00FC0D92" w:rsidRPr="00ED0FFC">
        <w:rPr>
          <w:szCs w:val="22"/>
        </w:rPr>
        <w:t xml:space="preserve">informes </w:t>
      </w:r>
      <w:r w:rsidR="007E45FD" w:rsidRPr="00ED0FFC">
        <w:rPr>
          <w:szCs w:val="22"/>
        </w:rPr>
        <w:t>sobre</w:t>
      </w:r>
      <w:r w:rsidR="00FC0D92" w:rsidRPr="00ED0FFC">
        <w:rPr>
          <w:szCs w:val="22"/>
        </w:rPr>
        <w:t xml:space="preserve"> la actividad de patentamiento de la OMPI que han contribuido al debate sobre la transferencia de tecnología en el period</w:t>
      </w:r>
      <w:r w:rsidR="00222344" w:rsidRPr="00ED0FFC">
        <w:rPr>
          <w:szCs w:val="22"/>
        </w:rPr>
        <w:t>o </w:t>
      </w:r>
      <w:r w:rsidR="00222344" w:rsidRPr="00ED0FFC">
        <w:rPr>
          <w:bCs/>
        </w:rPr>
        <w:t>2</w:t>
      </w:r>
      <w:r w:rsidRPr="00ED0FFC">
        <w:rPr>
          <w:bCs/>
        </w:rPr>
        <w:t>014-2015</w:t>
      </w:r>
      <w:r w:rsidR="00FC0D92" w:rsidRPr="00ED0FFC">
        <w:rPr>
          <w:bCs/>
        </w:rPr>
        <w:t xml:space="preserve">, figuran los informes </w:t>
      </w:r>
      <w:r w:rsidR="00D34850" w:rsidRPr="00ED0FFC">
        <w:rPr>
          <w:bCs/>
        </w:rPr>
        <w:t>sobre</w:t>
      </w:r>
      <w:r w:rsidR="00FC0D92" w:rsidRPr="00ED0FFC">
        <w:rPr>
          <w:bCs/>
        </w:rPr>
        <w:t xml:space="preserve"> la actividad de patentamiento </w:t>
      </w:r>
      <w:r w:rsidR="00D34850" w:rsidRPr="00ED0FFC">
        <w:rPr>
          <w:bCs/>
        </w:rPr>
        <w:t xml:space="preserve">en relación con el </w:t>
      </w:r>
      <w:r w:rsidR="00C3279F" w:rsidRPr="00ED0FFC">
        <w:rPr>
          <w:bCs/>
        </w:rPr>
        <w:t xml:space="preserve">reciclaje de residuos electrónicos y </w:t>
      </w:r>
      <w:r w:rsidR="00D34850" w:rsidRPr="00ED0FFC">
        <w:rPr>
          <w:bCs/>
        </w:rPr>
        <w:t xml:space="preserve">la </w:t>
      </w:r>
      <w:r w:rsidR="00C3279F" w:rsidRPr="00ED0FFC">
        <w:rPr>
          <w:bCs/>
        </w:rPr>
        <w:t>recuperación de material, preparado</w:t>
      </w:r>
      <w:r w:rsidR="005A3F4F" w:rsidRPr="00ED0FFC">
        <w:rPr>
          <w:bCs/>
        </w:rPr>
        <w:t>s</w:t>
      </w:r>
      <w:r w:rsidR="00C3279F" w:rsidRPr="00ED0FFC">
        <w:rPr>
          <w:bCs/>
        </w:rPr>
        <w:t xml:space="preserve"> en co</w:t>
      </w:r>
      <w:r w:rsidR="005A3F4F" w:rsidRPr="00ED0FFC">
        <w:rPr>
          <w:bCs/>
        </w:rPr>
        <w:t>labora</w:t>
      </w:r>
      <w:r w:rsidR="00C3279F" w:rsidRPr="00ED0FFC">
        <w:rPr>
          <w:bCs/>
        </w:rPr>
        <w:t>ción con la Secretaría del Convenio de Basilea</w:t>
      </w:r>
      <w:r w:rsidRPr="00ED0FFC">
        <w:rPr>
          <w:bCs/>
        </w:rPr>
        <w:t xml:space="preserve">.  </w:t>
      </w:r>
      <w:r w:rsidR="00C3279F" w:rsidRPr="00ED0FFC">
        <w:rPr>
          <w:bCs/>
        </w:rPr>
        <w:t>Las conclusiones del informe se incorporaron a los debates conjuntos de las organizaciones de la ONU sobre gestión de los residuos electrónicos en América Latina, que tuvo como resultado una publicación conjunta de la ONU en mayo d</w:t>
      </w:r>
      <w:r w:rsidR="00222344" w:rsidRPr="00ED0FFC">
        <w:rPr>
          <w:bCs/>
        </w:rPr>
        <w:t>e 2</w:t>
      </w:r>
      <w:r w:rsidRPr="00ED0FFC">
        <w:rPr>
          <w:bCs/>
        </w:rPr>
        <w:t>015 (</w:t>
      </w:r>
      <w:r w:rsidR="00C3279F" w:rsidRPr="00ED0FFC">
        <w:rPr>
          <w:bCs/>
        </w:rPr>
        <w:t xml:space="preserve">la Unión Internacional de Telecomunicaciones </w:t>
      </w:r>
      <w:r w:rsidRPr="00ED0FFC">
        <w:rPr>
          <w:bCs/>
        </w:rPr>
        <w:t>(</w:t>
      </w:r>
      <w:r w:rsidR="00C3279F" w:rsidRPr="00ED0FFC">
        <w:rPr>
          <w:bCs/>
        </w:rPr>
        <w:t>UI</w:t>
      </w:r>
      <w:r w:rsidRPr="00ED0FFC">
        <w:rPr>
          <w:bCs/>
        </w:rPr>
        <w:t>T</w:t>
      </w:r>
      <w:r w:rsidR="00C3279F" w:rsidRPr="00ED0FFC">
        <w:rPr>
          <w:bCs/>
        </w:rPr>
        <w:t>)</w:t>
      </w:r>
      <w:r w:rsidRPr="00ED0FFC">
        <w:rPr>
          <w:bCs/>
        </w:rPr>
        <w:t>,</w:t>
      </w:r>
      <w:r w:rsidR="00C3279F" w:rsidRPr="00ED0FFC">
        <w:rPr>
          <w:bCs/>
        </w:rPr>
        <w:t xml:space="preserve"> el </w:t>
      </w:r>
      <w:r w:rsidR="00555A74" w:rsidRPr="00ED0FFC">
        <w:rPr>
          <w:bCs/>
        </w:rPr>
        <w:t>C</w:t>
      </w:r>
      <w:r w:rsidR="00C3279F" w:rsidRPr="00ED0FFC">
        <w:rPr>
          <w:bCs/>
        </w:rPr>
        <w:t xml:space="preserve">onvenio de Basilea, </w:t>
      </w:r>
      <w:r w:rsidR="00643B2B" w:rsidRPr="00ED0FFC">
        <w:rPr>
          <w:bCs/>
        </w:rPr>
        <w:t xml:space="preserve">el </w:t>
      </w:r>
      <w:r w:rsidR="007D3724" w:rsidRPr="00ED0FFC">
        <w:rPr>
          <w:bCs/>
        </w:rPr>
        <w:t>PNUMA</w:t>
      </w:r>
      <w:r w:rsidRPr="00ED0FFC">
        <w:rPr>
          <w:bCs/>
        </w:rPr>
        <w:t>,</w:t>
      </w:r>
      <w:r w:rsidR="00C3279F" w:rsidRPr="00ED0FFC">
        <w:rPr>
          <w:bCs/>
        </w:rPr>
        <w:t xml:space="preserve"> la Organización de las Naciones Unidas para la Educación, la Ciencia y la Cultura </w:t>
      </w:r>
      <w:r w:rsidRPr="00ED0FFC">
        <w:rPr>
          <w:bCs/>
        </w:rPr>
        <w:t xml:space="preserve">(UNESCO), </w:t>
      </w:r>
      <w:r w:rsidR="00C3279F" w:rsidRPr="00ED0FFC">
        <w:rPr>
          <w:bCs/>
        </w:rPr>
        <w:t xml:space="preserve">la Organización de las Naciones Unidas para el Desarrollo Industrial </w:t>
      </w:r>
      <w:r w:rsidRPr="00ED0FFC">
        <w:rPr>
          <w:bCs/>
        </w:rPr>
        <w:t>(</w:t>
      </w:r>
      <w:r w:rsidR="00C3279F" w:rsidRPr="00ED0FFC">
        <w:rPr>
          <w:bCs/>
        </w:rPr>
        <w:t>ON</w:t>
      </w:r>
      <w:r w:rsidRPr="00ED0FFC">
        <w:rPr>
          <w:bCs/>
        </w:rPr>
        <w:t>U</w:t>
      </w:r>
      <w:r w:rsidR="00C3279F" w:rsidRPr="00ED0FFC">
        <w:rPr>
          <w:bCs/>
        </w:rPr>
        <w:t>D</w:t>
      </w:r>
      <w:r w:rsidRPr="00ED0FFC">
        <w:rPr>
          <w:bCs/>
        </w:rPr>
        <w:t>I</w:t>
      </w:r>
      <w:r w:rsidR="00C3279F" w:rsidRPr="00ED0FFC">
        <w:rPr>
          <w:bCs/>
        </w:rPr>
        <w:t>)</w:t>
      </w:r>
      <w:r w:rsidRPr="00ED0FFC">
        <w:rPr>
          <w:bCs/>
        </w:rPr>
        <w:t xml:space="preserve">, </w:t>
      </w:r>
      <w:r w:rsidR="00C3279F" w:rsidRPr="00ED0FFC">
        <w:rPr>
          <w:bCs/>
        </w:rPr>
        <w:t xml:space="preserve">la OMPI, </w:t>
      </w:r>
      <w:r w:rsidR="00555A74" w:rsidRPr="00ED0FFC">
        <w:rPr>
          <w:bCs/>
        </w:rPr>
        <w:t>la UNU, el Centro Regional Sudamericano del Convenio de Basilea, la CEPAL y la OMS</w:t>
      </w:r>
      <w:r w:rsidRPr="00ED0FFC">
        <w:rPr>
          <w:bCs/>
        </w:rPr>
        <w:t xml:space="preserve">.  </w:t>
      </w:r>
      <w:r w:rsidR="00555A74" w:rsidRPr="00ED0FFC">
        <w:rPr>
          <w:bCs/>
        </w:rPr>
        <w:t>La publicación incluye diversos aspectos relacionados con este tema, entre otros la disponibilidad de las tecnologías relacionadas y las oportunidades de transferencia de tecnología, y está disponible en español e inglés</w:t>
      </w:r>
      <w:r w:rsidRPr="00ED0FFC">
        <w:rPr>
          <w:bCs/>
        </w:rPr>
        <w:t xml:space="preserve"> (</w:t>
      </w:r>
      <w:r w:rsidR="00555A74" w:rsidRPr="00ED0FFC">
        <w:rPr>
          <w:bCs/>
        </w:rPr>
        <w:t>el informe está disponible en</w:t>
      </w:r>
      <w:r w:rsidRPr="00ED0FFC">
        <w:rPr>
          <w:bCs/>
        </w:rPr>
        <w:t xml:space="preserve">:  </w:t>
      </w:r>
      <w:hyperlink r:id="rId17" w:history="1">
        <w:r w:rsidRPr="00ED0FFC">
          <w:rPr>
            <w:bCs/>
          </w:rPr>
          <w:t>http://www.itu.int/dms_pub/itu-t/oth/0b/11/T0B110000273301PDFS.pdf</w:t>
        </w:r>
      </w:hyperlink>
      <w:r w:rsidRPr="00ED0FFC">
        <w:rPr>
          <w:bCs/>
        </w:rPr>
        <w:t>)</w:t>
      </w:r>
      <w:r w:rsidR="00742E3D" w:rsidRPr="00ED0FFC">
        <w:rPr>
          <w:bCs/>
        </w:rPr>
        <w:t>.</w:t>
      </w:r>
    </w:p>
    <w:p w:rsidR="002B1093" w:rsidRPr="00ED0FFC" w:rsidRDefault="002B1093" w:rsidP="007F60FD">
      <w:pPr>
        <w:rPr>
          <w:bCs/>
        </w:rPr>
      </w:pPr>
    </w:p>
    <w:p w:rsidR="002B1093" w:rsidRPr="00ED0FFC" w:rsidRDefault="002B1093" w:rsidP="007F60FD">
      <w:pPr>
        <w:rPr>
          <w:bCs/>
        </w:rPr>
      </w:pPr>
      <w:r w:rsidRPr="00ED0FFC">
        <w:rPr>
          <w:bCs/>
        </w:rPr>
        <w:t>22.</w:t>
      </w:r>
      <w:r w:rsidRPr="00ED0FFC">
        <w:rPr>
          <w:bCs/>
        </w:rPr>
        <w:tab/>
      </w:r>
      <w:r w:rsidR="00555A74" w:rsidRPr="00ED0FFC">
        <w:rPr>
          <w:bCs/>
        </w:rPr>
        <w:t xml:space="preserve">Otro ejemplo es el informe </w:t>
      </w:r>
      <w:r w:rsidR="007E45FD" w:rsidRPr="00ED0FFC">
        <w:rPr>
          <w:bCs/>
        </w:rPr>
        <w:t>sobre</w:t>
      </w:r>
      <w:r w:rsidR="00555A74" w:rsidRPr="00ED0FFC">
        <w:rPr>
          <w:bCs/>
        </w:rPr>
        <w:t xml:space="preserve"> la actividad de patentamiento </w:t>
      </w:r>
      <w:r w:rsidR="00D34850" w:rsidRPr="00ED0FFC">
        <w:rPr>
          <w:bCs/>
        </w:rPr>
        <w:t>en relación con</w:t>
      </w:r>
      <w:r w:rsidR="001C65F1" w:rsidRPr="00ED0FFC">
        <w:rPr>
          <w:bCs/>
        </w:rPr>
        <w:t xml:space="preserve"> los recursos zoogenéticos mundiales para la alimentación y la agricultura, en cooperación con la FAO</w:t>
      </w:r>
      <w:r w:rsidRPr="00ED0FFC">
        <w:rPr>
          <w:bCs/>
        </w:rPr>
        <w:t xml:space="preserve">.  </w:t>
      </w:r>
      <w:r w:rsidR="001C65F1" w:rsidRPr="00ED0FFC">
        <w:rPr>
          <w:bCs/>
        </w:rPr>
        <w:t>El informe explor</w:t>
      </w:r>
      <w:r w:rsidR="00643B2B" w:rsidRPr="00ED0FFC">
        <w:rPr>
          <w:bCs/>
        </w:rPr>
        <w:t xml:space="preserve">ó las esferas </w:t>
      </w:r>
      <w:r w:rsidR="001C65F1" w:rsidRPr="00ED0FFC">
        <w:rPr>
          <w:bCs/>
        </w:rPr>
        <w:t>en las que se centra la investigación relacionada con los recursos zoogenético</w:t>
      </w:r>
      <w:r w:rsidR="006F205D" w:rsidRPr="00ED0FFC">
        <w:rPr>
          <w:bCs/>
        </w:rPr>
        <w:t>s</w:t>
      </w:r>
      <w:r w:rsidR="001C65F1" w:rsidRPr="00ED0FFC">
        <w:rPr>
          <w:bCs/>
        </w:rPr>
        <w:t xml:space="preserve"> para la alimentación y la agricultura.</w:t>
      </w:r>
      <w:r w:rsidRPr="00ED0FFC">
        <w:rPr>
          <w:bCs/>
        </w:rPr>
        <w:t xml:space="preserve">  </w:t>
      </w:r>
      <w:r w:rsidR="001C65F1" w:rsidRPr="00ED0FFC">
        <w:rPr>
          <w:bCs/>
        </w:rPr>
        <w:t xml:space="preserve">Las conclusiones del informe </w:t>
      </w:r>
      <w:r w:rsidR="00D34850" w:rsidRPr="00ED0FFC">
        <w:rPr>
          <w:bCs/>
        </w:rPr>
        <w:t>sobre</w:t>
      </w:r>
      <w:r w:rsidR="001C65F1" w:rsidRPr="00ED0FFC">
        <w:rPr>
          <w:bCs/>
        </w:rPr>
        <w:t xml:space="preserve"> la actividad de patentamiento indicaron que las principales tecnologías </w:t>
      </w:r>
      <w:r w:rsidR="00643B2B" w:rsidRPr="00ED0FFC">
        <w:rPr>
          <w:bCs/>
        </w:rPr>
        <w:t xml:space="preserve">identificadas se centraban </w:t>
      </w:r>
      <w:r w:rsidR="001C65F1" w:rsidRPr="00ED0FFC">
        <w:rPr>
          <w:bCs/>
        </w:rPr>
        <w:t>en los mercados médico y farmacéutico</w:t>
      </w:r>
      <w:r w:rsidRPr="00ED0FFC">
        <w:rPr>
          <w:bCs/>
        </w:rPr>
        <w:t xml:space="preserve">.  </w:t>
      </w:r>
      <w:r w:rsidR="001C65F1" w:rsidRPr="00ED0FFC">
        <w:rPr>
          <w:bCs/>
        </w:rPr>
        <w:t>Las conclusiones del informe se incorporaron al segundo informe de la FAO sobre la situación de los recursos zoogenéticos mundiales para la alimentación y la agricultura</w:t>
      </w:r>
      <w:r w:rsidRPr="00ED0FFC">
        <w:rPr>
          <w:bCs/>
        </w:rPr>
        <w:t xml:space="preserve"> (</w:t>
      </w:r>
      <w:r w:rsidR="001C65F1" w:rsidRPr="00ED0FFC">
        <w:rPr>
          <w:bCs/>
        </w:rPr>
        <w:t xml:space="preserve">disponible en </w:t>
      </w:r>
      <w:hyperlink r:id="rId18" w:history="1">
        <w:r w:rsidRPr="00ED0FFC">
          <w:rPr>
            <w:rStyle w:val="Hyperlink"/>
            <w:bCs/>
            <w:color w:val="auto"/>
          </w:rPr>
          <w:t>http://www.fao.org/3/a-i4787e.pdf</w:t>
        </w:r>
      </w:hyperlink>
      <w:r w:rsidRPr="00ED0FFC">
        <w:rPr>
          <w:bCs/>
        </w:rPr>
        <w:t xml:space="preserve">).  </w:t>
      </w:r>
      <w:r w:rsidR="001C65F1" w:rsidRPr="00ED0FFC">
        <w:rPr>
          <w:bCs/>
        </w:rPr>
        <w:t xml:space="preserve">Una de las principales conclusiones de este último informe </w:t>
      </w:r>
      <w:r w:rsidR="00643B2B" w:rsidRPr="00ED0FFC">
        <w:rPr>
          <w:bCs/>
        </w:rPr>
        <w:t xml:space="preserve">fue </w:t>
      </w:r>
      <w:r w:rsidR="001C65F1" w:rsidRPr="00ED0FFC">
        <w:rPr>
          <w:bCs/>
        </w:rPr>
        <w:t xml:space="preserve">que "las tecnologías </w:t>
      </w:r>
      <w:r w:rsidR="006F205D" w:rsidRPr="00ED0FFC">
        <w:rPr>
          <w:bCs/>
        </w:rPr>
        <w:t>emergentes</w:t>
      </w:r>
      <w:r w:rsidR="001C65F1" w:rsidRPr="00ED0FFC">
        <w:rPr>
          <w:bCs/>
        </w:rPr>
        <w:t xml:space="preserve"> están br</w:t>
      </w:r>
      <w:r w:rsidR="00C44232" w:rsidRPr="00ED0FFC">
        <w:rPr>
          <w:bCs/>
        </w:rPr>
        <w:t>indando nuevas oportunidades para la gestión de los recursos zoogenéticos</w:t>
      </w:r>
      <w:r w:rsidRPr="00ED0FFC">
        <w:rPr>
          <w:bCs/>
        </w:rPr>
        <w:t>”.</w:t>
      </w:r>
    </w:p>
    <w:p w:rsidR="002B1093" w:rsidRPr="00ED0FFC" w:rsidRDefault="002B1093" w:rsidP="007F60FD">
      <w:pPr>
        <w:rPr>
          <w:bCs/>
        </w:rPr>
      </w:pPr>
    </w:p>
    <w:p w:rsidR="002B1093" w:rsidRPr="00ED0FFC" w:rsidRDefault="002B1093" w:rsidP="007F60FD">
      <w:pPr>
        <w:tabs>
          <w:tab w:val="num" w:pos="0"/>
        </w:tabs>
        <w:spacing w:after="220"/>
        <w:rPr>
          <w:bCs/>
        </w:rPr>
      </w:pPr>
      <w:r w:rsidRPr="00ED0FFC">
        <w:rPr>
          <w:bCs/>
        </w:rPr>
        <w:t>23.</w:t>
      </w:r>
      <w:r w:rsidRPr="00ED0FFC">
        <w:rPr>
          <w:bCs/>
        </w:rPr>
        <w:tab/>
      </w:r>
      <w:r w:rsidR="00C44232" w:rsidRPr="00ED0FFC">
        <w:rPr>
          <w:bCs/>
        </w:rPr>
        <w:t xml:space="preserve">Un nuevo informe </w:t>
      </w:r>
      <w:r w:rsidR="007E45FD" w:rsidRPr="00ED0FFC">
        <w:rPr>
          <w:bCs/>
        </w:rPr>
        <w:t>sobre</w:t>
      </w:r>
      <w:r w:rsidR="00C44232" w:rsidRPr="00ED0FFC">
        <w:rPr>
          <w:bCs/>
        </w:rPr>
        <w:t xml:space="preserve"> la actividad de patentamiento publicado en el period</w:t>
      </w:r>
      <w:r w:rsidR="00222344" w:rsidRPr="00ED0FFC">
        <w:rPr>
          <w:bCs/>
        </w:rPr>
        <w:t>o 2</w:t>
      </w:r>
      <w:r w:rsidR="00643B2B" w:rsidRPr="00ED0FFC">
        <w:rPr>
          <w:bCs/>
        </w:rPr>
        <w:t xml:space="preserve">014-2015 </w:t>
      </w:r>
      <w:r w:rsidR="00C44232" w:rsidRPr="00ED0FFC">
        <w:rPr>
          <w:bCs/>
        </w:rPr>
        <w:t xml:space="preserve">fue el </w:t>
      </w:r>
      <w:r w:rsidR="00D34850" w:rsidRPr="00ED0FFC">
        <w:rPr>
          <w:bCs/>
        </w:rPr>
        <w:t>relativo a</w:t>
      </w:r>
      <w:r w:rsidR="00C44232" w:rsidRPr="00ED0FFC">
        <w:rPr>
          <w:bCs/>
        </w:rPr>
        <w:t xml:space="preserve"> </w:t>
      </w:r>
      <w:r w:rsidR="00D34850" w:rsidRPr="00ED0FFC">
        <w:rPr>
          <w:bCs/>
        </w:rPr>
        <w:t xml:space="preserve">los </w:t>
      </w:r>
      <w:r w:rsidR="00C44232" w:rsidRPr="00ED0FFC">
        <w:rPr>
          <w:bCs/>
          <w:szCs w:val="22"/>
        </w:rPr>
        <w:t>dispositivos de asistencia para personas con</w:t>
      </w:r>
      <w:r w:rsidR="00D34850" w:rsidRPr="00ED0FFC">
        <w:rPr>
          <w:bCs/>
          <w:szCs w:val="22"/>
        </w:rPr>
        <w:t xml:space="preserve"> discapacidad visual, producido</w:t>
      </w:r>
      <w:r w:rsidR="00C44232" w:rsidRPr="00ED0FFC">
        <w:rPr>
          <w:bCs/>
          <w:szCs w:val="22"/>
        </w:rPr>
        <w:t xml:space="preserve"> también en un formato accesible para personas con dificultad para acceder al texto impreso</w:t>
      </w:r>
      <w:r w:rsidRPr="00ED0FFC">
        <w:rPr>
          <w:bCs/>
        </w:rPr>
        <w:t xml:space="preserve">.  </w:t>
      </w:r>
      <w:r w:rsidR="00C44232" w:rsidRPr="00ED0FFC">
        <w:rPr>
          <w:bCs/>
        </w:rPr>
        <w:t>Este informe tenía como objetivo facilitar la identificación de dispositivos y tecnologías de asistencia disponibles que p</w:t>
      </w:r>
      <w:r w:rsidR="00643B2B" w:rsidRPr="00ED0FFC">
        <w:rPr>
          <w:bCs/>
        </w:rPr>
        <w:t>udieran</w:t>
      </w:r>
      <w:r w:rsidR="00C44232" w:rsidRPr="00ED0FFC">
        <w:rPr>
          <w:bCs/>
        </w:rPr>
        <w:t xml:space="preserve"> proporcionar a las diversas partes interesadas el conocimiento de soluciones disponibles, lo que permitiría entablar negociaciones m</w:t>
      </w:r>
      <w:r w:rsidR="00806B45" w:rsidRPr="00ED0FFC">
        <w:rPr>
          <w:bCs/>
        </w:rPr>
        <w:t xml:space="preserve">ás positivas </w:t>
      </w:r>
      <w:r w:rsidR="00806B45" w:rsidRPr="00ED0FFC">
        <w:rPr>
          <w:bCs/>
        </w:rPr>
        <w:lastRenderedPageBreak/>
        <w:t>en los debates sobre adquisición de tecnología y transferencia de tecnología</w:t>
      </w:r>
      <w:r w:rsidR="00643B2B" w:rsidRPr="00ED0FFC">
        <w:rPr>
          <w:bCs/>
        </w:rPr>
        <w:t>,</w:t>
      </w:r>
      <w:r w:rsidR="00806B45" w:rsidRPr="00ED0FFC">
        <w:rPr>
          <w:bCs/>
        </w:rPr>
        <w:t xml:space="preserve"> y de conocimientos especializados</w:t>
      </w:r>
      <w:r w:rsidRPr="00ED0FFC">
        <w:rPr>
          <w:bCs/>
        </w:rPr>
        <w:t>.</w:t>
      </w:r>
      <w:r w:rsidR="00DF4E0E" w:rsidRPr="00ED0FFC">
        <w:rPr>
          <w:bCs/>
        </w:rPr>
        <w:t xml:space="preserve">  </w:t>
      </w:r>
      <w:r w:rsidR="00806B45" w:rsidRPr="00ED0FFC">
        <w:rPr>
          <w:bCs/>
        </w:rPr>
        <w:t xml:space="preserve">Todos los informes mencionados anteriormente se presentaron ante los Estados miembros en actos promocionales con </w:t>
      </w:r>
      <w:r w:rsidR="00806B45" w:rsidRPr="00ED0FFC">
        <w:rPr>
          <w:bCs/>
          <w:szCs w:val="22"/>
        </w:rPr>
        <w:t>infografías adicionales que resumen las principales</w:t>
      </w:r>
      <w:r w:rsidR="00DF4E0E" w:rsidRPr="00ED0FFC">
        <w:rPr>
          <w:bCs/>
          <w:szCs w:val="22"/>
        </w:rPr>
        <w:t xml:space="preserve"> </w:t>
      </w:r>
      <w:r w:rsidR="00806B45" w:rsidRPr="00ED0FFC">
        <w:rPr>
          <w:bCs/>
          <w:szCs w:val="22"/>
        </w:rPr>
        <w:t>conclusiones de estos informes</w:t>
      </w:r>
      <w:r w:rsidRPr="00ED0FFC">
        <w:rPr>
          <w:bCs/>
        </w:rPr>
        <w:t xml:space="preserve">.  </w:t>
      </w:r>
      <w:r w:rsidR="00806B45" w:rsidRPr="00ED0FFC">
        <w:rPr>
          <w:bCs/>
        </w:rPr>
        <w:t xml:space="preserve">Dos nuevos informes </w:t>
      </w:r>
      <w:r w:rsidR="007E45FD" w:rsidRPr="00ED0FFC">
        <w:rPr>
          <w:bCs/>
        </w:rPr>
        <w:t>sobre</w:t>
      </w:r>
      <w:r w:rsidR="00806B45" w:rsidRPr="00ED0FFC">
        <w:rPr>
          <w:bCs/>
        </w:rPr>
        <w:t xml:space="preserve"> la actividad de patentamiento fueron redactados e</w:t>
      </w:r>
      <w:r w:rsidR="00222344" w:rsidRPr="00ED0FFC">
        <w:rPr>
          <w:bCs/>
        </w:rPr>
        <w:t>n 2</w:t>
      </w:r>
      <w:r w:rsidRPr="00ED0FFC">
        <w:rPr>
          <w:bCs/>
        </w:rPr>
        <w:t xml:space="preserve">015 </w:t>
      </w:r>
      <w:r w:rsidR="00806B45" w:rsidRPr="00ED0FFC">
        <w:rPr>
          <w:bCs/>
        </w:rPr>
        <w:t xml:space="preserve">sobre tecnologías relacionadas con la producción de aceite de palma, el tratamiento y la explotación de residuos, y las tecnologías </w:t>
      </w:r>
      <w:r w:rsidR="00DF4E0E" w:rsidRPr="00ED0FFC">
        <w:rPr>
          <w:bCs/>
        </w:rPr>
        <w:t>relacionadas con las microalgas</w:t>
      </w:r>
      <w:r w:rsidRPr="00ED0FFC">
        <w:rPr>
          <w:bCs/>
        </w:rPr>
        <w:t xml:space="preserve">, </w:t>
      </w:r>
      <w:r w:rsidR="00DF4E0E" w:rsidRPr="00ED0FFC">
        <w:rPr>
          <w:bCs/>
        </w:rPr>
        <w:t xml:space="preserve">en respuesta </w:t>
      </w:r>
      <w:r w:rsidR="00643B2B" w:rsidRPr="00ED0FFC">
        <w:rPr>
          <w:bCs/>
        </w:rPr>
        <w:t xml:space="preserve">a </w:t>
      </w:r>
      <w:r w:rsidR="00DF4E0E" w:rsidRPr="00ED0FFC">
        <w:rPr>
          <w:bCs/>
        </w:rPr>
        <w:t>las peticiones y necesidades específicas de los Estados miembros que desarrollan estas tecnologías</w:t>
      </w:r>
      <w:r w:rsidRPr="00ED0FFC">
        <w:rPr>
          <w:bCs/>
        </w:rPr>
        <w:t xml:space="preserve">.  </w:t>
      </w:r>
      <w:r w:rsidR="00DF4E0E" w:rsidRPr="00ED0FFC">
        <w:rPr>
          <w:bCs/>
        </w:rPr>
        <w:t>Además</w:t>
      </w:r>
      <w:r w:rsidR="00643B2B" w:rsidRPr="00ED0FFC">
        <w:rPr>
          <w:bCs/>
        </w:rPr>
        <w:t xml:space="preserve">, </w:t>
      </w:r>
      <w:r w:rsidR="00D34850" w:rsidRPr="00ED0FFC">
        <w:rPr>
          <w:bCs/>
        </w:rPr>
        <w:t xml:space="preserve">en agosto de 2015 se publicaron </w:t>
      </w:r>
      <w:r w:rsidR="00DF4E0E" w:rsidRPr="00ED0FFC">
        <w:rPr>
          <w:bCs/>
        </w:rPr>
        <w:t xml:space="preserve">las </w:t>
      </w:r>
      <w:r w:rsidR="00DF4E0E" w:rsidRPr="00ED0FFC">
        <w:rPr>
          <w:bCs/>
          <w:szCs w:val="22"/>
        </w:rPr>
        <w:t xml:space="preserve">Directrices para la preparación de informes </w:t>
      </w:r>
      <w:r w:rsidR="00D34850" w:rsidRPr="00ED0FFC">
        <w:rPr>
          <w:bCs/>
          <w:szCs w:val="22"/>
        </w:rPr>
        <w:t>sobre la actividad de patentamiento</w:t>
      </w:r>
      <w:r w:rsidR="00DF4E0E" w:rsidRPr="00ED0FFC">
        <w:rPr>
          <w:bCs/>
        </w:rPr>
        <w:t xml:space="preserve"> </w:t>
      </w:r>
      <w:r w:rsidRPr="00ED0FFC">
        <w:rPr>
          <w:bCs/>
        </w:rPr>
        <w:t>(</w:t>
      </w:r>
      <w:r w:rsidRPr="00ED0FFC">
        <w:rPr>
          <w:bCs/>
          <w:u w:val="single"/>
        </w:rPr>
        <w:t>http://www.wipo.int/edocs/pubdocs/en/wipo_pub_946.pdf</w:t>
      </w:r>
      <w:r w:rsidRPr="00ED0FFC">
        <w:rPr>
          <w:bCs/>
        </w:rPr>
        <w:t xml:space="preserve">), </w:t>
      </w:r>
      <w:r w:rsidR="00643B2B" w:rsidRPr="00ED0FFC">
        <w:rPr>
          <w:bCs/>
        </w:rPr>
        <w:t xml:space="preserve">al tiempo que </w:t>
      </w:r>
      <w:r w:rsidR="00DF4E0E" w:rsidRPr="00ED0FFC">
        <w:rPr>
          <w:bCs/>
        </w:rPr>
        <w:t xml:space="preserve">se finalizó un </w:t>
      </w:r>
      <w:r w:rsidR="00DF4E0E" w:rsidRPr="00ED0FFC">
        <w:rPr>
          <w:bCs/>
          <w:szCs w:val="22"/>
        </w:rPr>
        <w:t>Manual sobre herramientas de código abierto e instrumentos gratuitos para el análisis de patentes, que se publicará a principios d</w:t>
      </w:r>
      <w:r w:rsidR="00222344" w:rsidRPr="00ED0FFC">
        <w:rPr>
          <w:bCs/>
          <w:szCs w:val="22"/>
        </w:rPr>
        <w:t>e </w:t>
      </w:r>
      <w:r w:rsidR="00222344" w:rsidRPr="00ED0FFC">
        <w:rPr>
          <w:bCs/>
        </w:rPr>
        <w:t>2</w:t>
      </w:r>
      <w:r w:rsidRPr="00ED0FFC">
        <w:rPr>
          <w:bCs/>
        </w:rPr>
        <w:t>016.</w:t>
      </w:r>
      <w:r w:rsidR="00DF4E0E" w:rsidRPr="00ED0FFC">
        <w:rPr>
          <w:bCs/>
        </w:rPr>
        <w:t xml:space="preserve">  </w:t>
      </w:r>
      <w:r w:rsidR="00DF4E0E" w:rsidRPr="00ED0FFC">
        <w:rPr>
          <w:bCs/>
          <w:szCs w:val="22"/>
        </w:rPr>
        <w:t xml:space="preserve">Se pueden consultar más detalles sobre todos los aspectos de </w:t>
      </w:r>
      <w:r w:rsidR="007E45FD" w:rsidRPr="00ED0FFC">
        <w:rPr>
          <w:bCs/>
          <w:szCs w:val="22"/>
        </w:rPr>
        <w:t xml:space="preserve">esos informes </w:t>
      </w:r>
      <w:r w:rsidR="00DF4E0E" w:rsidRPr="00ED0FFC">
        <w:rPr>
          <w:bCs/>
          <w:szCs w:val="22"/>
        </w:rPr>
        <w:t>en</w:t>
      </w:r>
      <w:r w:rsidRPr="00ED0FFC">
        <w:rPr>
          <w:bCs/>
        </w:rPr>
        <w:t xml:space="preserve">: </w:t>
      </w:r>
      <w:hyperlink r:id="rId19" w:history="1">
        <w:r w:rsidRPr="00ED0FFC">
          <w:rPr>
            <w:bCs/>
            <w:u w:val="single"/>
          </w:rPr>
          <w:t>http://www.wipo.int/patentscope/en/programs/patent_landscapes/index.html</w:t>
        </w:r>
      </w:hyperlink>
      <w:r w:rsidRPr="00ED0FFC">
        <w:rPr>
          <w:bCs/>
        </w:rPr>
        <w:t>.</w:t>
      </w:r>
    </w:p>
    <w:p w:rsidR="002B1093" w:rsidRPr="00ED0FFC" w:rsidRDefault="002B1093" w:rsidP="00901265">
      <w:pPr>
        <w:pStyle w:val="Heading2"/>
        <w:spacing w:before="0" w:after="0"/>
        <w:ind w:left="567" w:hanging="567"/>
      </w:pPr>
      <w:r w:rsidRPr="00ED0FFC">
        <w:t>V.</w:t>
      </w:r>
      <w:r w:rsidRPr="00ED0FFC">
        <w:tab/>
        <w:t>De</w:t>
      </w:r>
      <w:r w:rsidR="006C247E" w:rsidRPr="00ED0FFC">
        <w:t xml:space="preserve">SARROLLO DEL CAPITAL HUMANO </w:t>
      </w:r>
      <w:r w:rsidRPr="00ED0FFC">
        <w:t xml:space="preserve">– </w:t>
      </w:r>
      <w:r w:rsidR="006C247E" w:rsidRPr="00ED0FFC">
        <w:t>PROGRAMAS DE FORTALECIMIENTO DE CAPACIDADES</w:t>
      </w:r>
    </w:p>
    <w:p w:rsidR="002B1093" w:rsidRPr="00ED0FFC" w:rsidRDefault="002B1093" w:rsidP="007F60FD">
      <w:pPr>
        <w:rPr>
          <w:u w:val="single"/>
        </w:rPr>
      </w:pPr>
    </w:p>
    <w:p w:rsidR="002B1093" w:rsidRPr="00ED0FFC" w:rsidRDefault="002B1093" w:rsidP="007F60FD">
      <w:pPr>
        <w:rPr>
          <w:szCs w:val="22"/>
        </w:rPr>
      </w:pPr>
      <w:r w:rsidRPr="00ED0FFC">
        <w:rPr>
          <w:szCs w:val="22"/>
        </w:rPr>
        <w:t>24.</w:t>
      </w:r>
      <w:r w:rsidRPr="00ED0FFC">
        <w:rPr>
          <w:szCs w:val="22"/>
        </w:rPr>
        <w:tab/>
      </w:r>
      <w:r w:rsidR="00205358" w:rsidRPr="00ED0FFC">
        <w:rPr>
          <w:szCs w:val="22"/>
        </w:rPr>
        <w:t xml:space="preserve">Se </w:t>
      </w:r>
      <w:r w:rsidR="00490A49" w:rsidRPr="00ED0FFC">
        <w:rPr>
          <w:szCs w:val="22"/>
        </w:rPr>
        <w:t>determinó que</w:t>
      </w:r>
      <w:r w:rsidR="00205358" w:rsidRPr="00ED0FFC">
        <w:rPr>
          <w:szCs w:val="22"/>
        </w:rPr>
        <w:t xml:space="preserve"> l</w:t>
      </w:r>
      <w:r w:rsidR="006C247E" w:rsidRPr="00ED0FFC">
        <w:rPr>
          <w:szCs w:val="22"/>
        </w:rPr>
        <w:t>a carencia de capital humano con</w:t>
      </w:r>
      <w:r w:rsidR="00205358" w:rsidRPr="00ED0FFC">
        <w:rPr>
          <w:szCs w:val="22"/>
        </w:rPr>
        <w:t xml:space="preserve"> las necesarias</w:t>
      </w:r>
      <w:r w:rsidR="006C247E" w:rsidRPr="00ED0FFC">
        <w:rPr>
          <w:szCs w:val="22"/>
        </w:rPr>
        <w:t xml:space="preserve"> competencias profesionales </w:t>
      </w:r>
      <w:r w:rsidR="00205358" w:rsidRPr="00ED0FFC">
        <w:rPr>
          <w:szCs w:val="22"/>
        </w:rPr>
        <w:t xml:space="preserve">interdisciplinares para apoyar los sistemas de innovación y </w:t>
      </w:r>
      <w:r w:rsidR="004C1CA4" w:rsidRPr="00ED0FFC">
        <w:rPr>
          <w:szCs w:val="22"/>
        </w:rPr>
        <w:t>transferencia de conocimiento</w:t>
      </w:r>
      <w:r w:rsidR="00490A49" w:rsidRPr="00ED0FFC">
        <w:rPr>
          <w:szCs w:val="22"/>
        </w:rPr>
        <w:t xml:space="preserve"> era </w:t>
      </w:r>
      <w:r w:rsidR="00205358" w:rsidRPr="00ED0FFC">
        <w:rPr>
          <w:szCs w:val="22"/>
        </w:rPr>
        <w:t>la brecha principal entre países desarrollados y en desarrollo, en proporción a sus efectos y resultados en materia de innovación</w:t>
      </w:r>
      <w:r w:rsidRPr="00ED0FFC">
        <w:rPr>
          <w:szCs w:val="22"/>
        </w:rPr>
        <w:t>.</w:t>
      </w:r>
    </w:p>
    <w:p w:rsidR="002B1093" w:rsidRPr="00ED0FFC" w:rsidRDefault="002B1093" w:rsidP="007F60FD">
      <w:pPr>
        <w:rPr>
          <w:szCs w:val="22"/>
        </w:rPr>
      </w:pPr>
    </w:p>
    <w:p w:rsidR="002B1093" w:rsidRPr="00ED0FFC" w:rsidRDefault="002B1093" w:rsidP="007F60FD">
      <w:pPr>
        <w:rPr>
          <w:szCs w:val="22"/>
        </w:rPr>
      </w:pPr>
      <w:r w:rsidRPr="00ED0FFC">
        <w:rPr>
          <w:szCs w:val="22"/>
        </w:rPr>
        <w:t>25.</w:t>
      </w:r>
      <w:r w:rsidRPr="00ED0FFC">
        <w:rPr>
          <w:szCs w:val="22"/>
        </w:rPr>
        <w:tab/>
      </w:r>
      <w:r w:rsidR="00205358" w:rsidRPr="00ED0FFC">
        <w:rPr>
          <w:szCs w:val="22"/>
        </w:rPr>
        <w:t>A fin de atender esta necesidad</w:t>
      </w:r>
      <w:r w:rsidRPr="00ED0FFC">
        <w:rPr>
          <w:szCs w:val="22"/>
        </w:rPr>
        <w:t xml:space="preserve">, </w:t>
      </w:r>
      <w:r w:rsidR="00205358" w:rsidRPr="00ED0FFC">
        <w:rPr>
          <w:szCs w:val="22"/>
        </w:rPr>
        <w:t xml:space="preserve">la OMPI ha desarrollado programas de fortalecimiento de capacidades, muy prácticos y basados en </w:t>
      </w:r>
      <w:r w:rsidR="00643B2B" w:rsidRPr="00ED0FFC">
        <w:rPr>
          <w:szCs w:val="22"/>
        </w:rPr>
        <w:t xml:space="preserve">la </w:t>
      </w:r>
      <w:r w:rsidR="00205358" w:rsidRPr="00ED0FFC">
        <w:rPr>
          <w:szCs w:val="22"/>
        </w:rPr>
        <w:t xml:space="preserve">experiencia, para científicos, investigadores, </w:t>
      </w:r>
      <w:r w:rsidR="00213AE0" w:rsidRPr="00ED0FFC">
        <w:rPr>
          <w:szCs w:val="22"/>
        </w:rPr>
        <w:t>administradores de tecnología</w:t>
      </w:r>
      <w:r w:rsidR="00205358" w:rsidRPr="00ED0FFC">
        <w:rPr>
          <w:szCs w:val="22"/>
        </w:rPr>
        <w:t>, estudiantes y otras personas involucradas en los procesos de innovación</w:t>
      </w:r>
      <w:r w:rsidR="007E1410" w:rsidRPr="00ED0FFC">
        <w:rPr>
          <w:szCs w:val="22"/>
        </w:rPr>
        <w:t>,</w:t>
      </w:r>
      <w:r w:rsidR="00205358" w:rsidRPr="00ED0FFC">
        <w:rPr>
          <w:szCs w:val="22"/>
        </w:rPr>
        <w:t xml:space="preserve"> o que forman parte de organizaciones y servicios que se supone que apoyan estos procesos</w:t>
      </w:r>
      <w:r w:rsidR="00490A49" w:rsidRPr="00ED0FFC">
        <w:rPr>
          <w:szCs w:val="22"/>
        </w:rPr>
        <w:t>,</w:t>
      </w:r>
      <w:r w:rsidR="00205358" w:rsidRPr="00ED0FFC">
        <w:rPr>
          <w:szCs w:val="22"/>
        </w:rPr>
        <w:t xml:space="preserve"> como </w:t>
      </w:r>
      <w:r w:rsidR="007E1410" w:rsidRPr="00ED0FFC">
        <w:rPr>
          <w:szCs w:val="22"/>
        </w:rPr>
        <w:t xml:space="preserve">los </w:t>
      </w:r>
      <w:r w:rsidR="00205358" w:rsidRPr="00ED0FFC">
        <w:rPr>
          <w:szCs w:val="22"/>
        </w:rPr>
        <w:t xml:space="preserve">responsables políticos y </w:t>
      </w:r>
      <w:r w:rsidR="007E1410" w:rsidRPr="00ED0FFC">
        <w:rPr>
          <w:szCs w:val="22"/>
        </w:rPr>
        <w:t xml:space="preserve">los </w:t>
      </w:r>
      <w:r w:rsidR="00205358" w:rsidRPr="00ED0FFC">
        <w:rPr>
          <w:szCs w:val="22"/>
        </w:rPr>
        <w:t>financiadores</w:t>
      </w:r>
      <w:r w:rsidR="00490A49" w:rsidRPr="00ED0FFC">
        <w:rPr>
          <w:szCs w:val="22"/>
        </w:rPr>
        <w:t>,</w:t>
      </w:r>
      <w:r w:rsidR="00205358" w:rsidRPr="00ED0FFC">
        <w:rPr>
          <w:szCs w:val="22"/>
        </w:rPr>
        <w:t xml:space="preserve"> o que </w:t>
      </w:r>
      <w:r w:rsidR="006F205D" w:rsidRPr="00ED0FFC">
        <w:rPr>
          <w:szCs w:val="22"/>
        </w:rPr>
        <w:t>actúan</w:t>
      </w:r>
      <w:r w:rsidR="00205358" w:rsidRPr="00ED0FFC">
        <w:rPr>
          <w:szCs w:val="22"/>
        </w:rPr>
        <w:t xml:space="preserve"> como intermediarios</w:t>
      </w:r>
      <w:r w:rsidR="00490A49" w:rsidRPr="00ED0FFC">
        <w:rPr>
          <w:szCs w:val="22"/>
        </w:rPr>
        <w:t>,</w:t>
      </w:r>
      <w:r w:rsidR="007E1410" w:rsidRPr="00ED0FFC">
        <w:rPr>
          <w:szCs w:val="22"/>
        </w:rPr>
        <w:t xml:space="preserve"> como los p</w:t>
      </w:r>
      <w:r w:rsidR="00205358" w:rsidRPr="00ED0FFC">
        <w:rPr>
          <w:szCs w:val="22"/>
        </w:rPr>
        <w:t xml:space="preserve">rofesionales de la P.I. implicados en procesos de </w:t>
      </w:r>
      <w:r w:rsidR="004C1CA4" w:rsidRPr="00ED0FFC">
        <w:rPr>
          <w:szCs w:val="22"/>
        </w:rPr>
        <w:t>transferencia de conocimiento</w:t>
      </w:r>
      <w:r w:rsidRPr="00ED0FFC">
        <w:rPr>
          <w:szCs w:val="22"/>
        </w:rPr>
        <w:t>.</w:t>
      </w:r>
    </w:p>
    <w:p w:rsidR="002B1093" w:rsidRPr="00ED0FFC" w:rsidRDefault="002B1093" w:rsidP="007F60FD">
      <w:pPr>
        <w:rPr>
          <w:szCs w:val="22"/>
        </w:rPr>
      </w:pPr>
    </w:p>
    <w:p w:rsidR="002B1093" w:rsidRPr="00ED0FFC" w:rsidRDefault="007579FE" w:rsidP="007F60FD">
      <w:pPr>
        <w:rPr>
          <w:szCs w:val="22"/>
        </w:rPr>
      </w:pPr>
      <w:r w:rsidRPr="00ED0FFC">
        <w:rPr>
          <w:szCs w:val="22"/>
        </w:rPr>
        <w:t>26.</w:t>
      </w:r>
      <w:r w:rsidRPr="00ED0FFC">
        <w:rPr>
          <w:szCs w:val="22"/>
        </w:rPr>
        <w:tab/>
        <w:t xml:space="preserve">El planteamiento consistió en que el objetivo no fuera crear expertos </w:t>
      </w:r>
      <w:r w:rsidR="00490A49" w:rsidRPr="00ED0FFC">
        <w:rPr>
          <w:szCs w:val="22"/>
        </w:rPr>
        <w:t>jurídicos</w:t>
      </w:r>
      <w:r w:rsidRPr="00ED0FFC">
        <w:rPr>
          <w:szCs w:val="22"/>
        </w:rPr>
        <w:t xml:space="preserve"> en materia de P.I., sino profesionales interdisciplinarios provenientes de distintos ámbitos, capaces de identificar oportunidades y riesgos en la transmisión de conocimientos, de proponer opciones y procedimientos adecuados de gestión de conocimientos y P.I., y de reconocer la ne</w:t>
      </w:r>
      <w:r w:rsidR="00490A49" w:rsidRPr="00ED0FFC">
        <w:rPr>
          <w:szCs w:val="22"/>
        </w:rPr>
        <w:t xml:space="preserve">cesidad de que otros expertos, </w:t>
      </w:r>
      <w:r w:rsidRPr="00ED0FFC">
        <w:rPr>
          <w:szCs w:val="22"/>
        </w:rPr>
        <w:t>como abogados de patentes y P.I</w:t>
      </w:r>
      <w:r w:rsidR="00490A49" w:rsidRPr="00ED0FFC">
        <w:rPr>
          <w:szCs w:val="22"/>
        </w:rPr>
        <w:t>,</w:t>
      </w:r>
      <w:r w:rsidRPr="00ED0FFC">
        <w:rPr>
          <w:szCs w:val="22"/>
        </w:rPr>
        <w:t xml:space="preserve"> se impliquen en una de las actividades cíclicas en materia de innovación.</w:t>
      </w:r>
    </w:p>
    <w:p w:rsidR="002B1093" w:rsidRPr="00ED0FFC" w:rsidRDefault="002B1093" w:rsidP="007F60FD">
      <w:pPr>
        <w:rPr>
          <w:szCs w:val="22"/>
        </w:rPr>
      </w:pPr>
    </w:p>
    <w:p w:rsidR="002B1093" w:rsidRPr="00ED0FFC" w:rsidRDefault="002B1093" w:rsidP="007F60FD">
      <w:pPr>
        <w:rPr>
          <w:szCs w:val="22"/>
        </w:rPr>
      </w:pPr>
      <w:r w:rsidRPr="00ED0FFC">
        <w:rPr>
          <w:szCs w:val="22"/>
        </w:rPr>
        <w:t>27.</w:t>
      </w:r>
      <w:r w:rsidRPr="00ED0FFC">
        <w:rPr>
          <w:szCs w:val="22"/>
        </w:rPr>
        <w:tab/>
      </w:r>
      <w:r w:rsidR="00E23489" w:rsidRPr="00ED0FFC">
        <w:rPr>
          <w:szCs w:val="22"/>
        </w:rPr>
        <w:t>Los programas de formación se basan principalmente en manuales,</w:t>
      </w:r>
      <w:r w:rsidR="008F2759" w:rsidRPr="00ED0FFC">
        <w:rPr>
          <w:szCs w:val="22"/>
        </w:rPr>
        <w:t xml:space="preserve"> </w:t>
      </w:r>
      <w:r w:rsidR="00E23489" w:rsidRPr="00ED0FFC">
        <w:rPr>
          <w:szCs w:val="22"/>
        </w:rPr>
        <w:t xml:space="preserve">publicaciones </w:t>
      </w:r>
      <w:r w:rsidR="008F2759" w:rsidRPr="00ED0FFC">
        <w:rPr>
          <w:szCs w:val="22"/>
        </w:rPr>
        <w:t xml:space="preserve">de la OMPI y documentos concretos </w:t>
      </w:r>
      <w:r w:rsidR="00E23489" w:rsidRPr="00ED0FFC">
        <w:rPr>
          <w:szCs w:val="22"/>
        </w:rPr>
        <w:t xml:space="preserve">concebidos </w:t>
      </w:r>
      <w:r w:rsidR="008F2759" w:rsidRPr="00ED0FFC">
        <w:rPr>
          <w:szCs w:val="22"/>
        </w:rPr>
        <w:t>para ser puestos a disposición</w:t>
      </w:r>
      <w:r w:rsidR="00490A49" w:rsidRPr="00ED0FFC">
        <w:rPr>
          <w:szCs w:val="22"/>
        </w:rPr>
        <w:t xml:space="preserve"> (</w:t>
      </w:r>
      <w:r w:rsidR="008F2759" w:rsidRPr="00ED0FFC">
        <w:rPr>
          <w:szCs w:val="22"/>
        </w:rPr>
        <w:t>y</w:t>
      </w:r>
      <w:r w:rsidR="00490A49" w:rsidRPr="00ED0FFC">
        <w:rPr>
          <w:szCs w:val="22"/>
        </w:rPr>
        <w:t xml:space="preserve"> sometidos a licencia)</w:t>
      </w:r>
      <w:r w:rsidR="008F2759" w:rsidRPr="00ED0FFC">
        <w:rPr>
          <w:szCs w:val="22"/>
        </w:rPr>
        <w:t xml:space="preserve"> de los países en desarrollo interesados</w:t>
      </w:r>
      <w:r w:rsidR="007E1410" w:rsidRPr="00ED0FFC">
        <w:rPr>
          <w:szCs w:val="22"/>
        </w:rPr>
        <w:t xml:space="preserve">, </w:t>
      </w:r>
      <w:r w:rsidR="008F2759" w:rsidRPr="00ED0FFC">
        <w:rPr>
          <w:szCs w:val="22"/>
        </w:rPr>
        <w:t xml:space="preserve">con una finalidad educativa y </w:t>
      </w:r>
      <w:r w:rsidR="007E1410" w:rsidRPr="00ED0FFC">
        <w:rPr>
          <w:szCs w:val="22"/>
        </w:rPr>
        <w:t xml:space="preserve">bajo </w:t>
      </w:r>
      <w:r w:rsidR="008F2759" w:rsidRPr="00ED0FFC">
        <w:rPr>
          <w:szCs w:val="22"/>
        </w:rPr>
        <w:t>el principio de "código abierto</w:t>
      </w:r>
      <w:r w:rsidR="007E1410" w:rsidRPr="00ED0FFC">
        <w:rPr>
          <w:szCs w:val="22"/>
        </w:rPr>
        <w:t>"</w:t>
      </w:r>
      <w:r w:rsidR="008F2759" w:rsidRPr="00ED0FFC">
        <w:rPr>
          <w:szCs w:val="22"/>
        </w:rPr>
        <w:t xml:space="preserve"> con la obligación de "retrocesión" de todas las mejoras de los materiales de la OMPI</w:t>
      </w:r>
      <w:r w:rsidRPr="00ED0FFC">
        <w:rPr>
          <w:szCs w:val="22"/>
        </w:rPr>
        <w:t>.</w:t>
      </w:r>
    </w:p>
    <w:p w:rsidR="002B1093" w:rsidRPr="00ED0FFC" w:rsidRDefault="002B1093" w:rsidP="007F60FD">
      <w:pPr>
        <w:rPr>
          <w:szCs w:val="22"/>
        </w:rPr>
      </w:pPr>
    </w:p>
    <w:p w:rsidR="002B1093" w:rsidRPr="00ED0FFC" w:rsidRDefault="002B1093" w:rsidP="007F60FD">
      <w:pPr>
        <w:rPr>
          <w:szCs w:val="22"/>
        </w:rPr>
      </w:pPr>
      <w:r w:rsidRPr="00ED0FFC">
        <w:rPr>
          <w:szCs w:val="22"/>
        </w:rPr>
        <w:t>28.</w:t>
      </w:r>
      <w:r w:rsidRPr="00ED0FFC">
        <w:rPr>
          <w:szCs w:val="22"/>
        </w:rPr>
        <w:tab/>
      </w:r>
      <w:r w:rsidR="008F2759" w:rsidRPr="00ED0FFC">
        <w:rPr>
          <w:szCs w:val="22"/>
        </w:rPr>
        <w:t>Al crear los programas esenciales</w:t>
      </w:r>
      <w:r w:rsidRPr="00ED0FFC">
        <w:rPr>
          <w:szCs w:val="22"/>
        </w:rPr>
        <w:t xml:space="preserve">, </w:t>
      </w:r>
      <w:r w:rsidR="00052AF9" w:rsidRPr="00ED0FFC">
        <w:rPr>
          <w:szCs w:val="22"/>
        </w:rPr>
        <w:t xml:space="preserve">que </w:t>
      </w:r>
      <w:r w:rsidR="00490A49" w:rsidRPr="00ED0FFC">
        <w:rPr>
          <w:szCs w:val="22"/>
        </w:rPr>
        <w:t>posteriormente</w:t>
      </w:r>
      <w:r w:rsidR="00C35983" w:rsidRPr="00ED0FFC">
        <w:rPr>
          <w:szCs w:val="22"/>
        </w:rPr>
        <w:t xml:space="preserve"> y</w:t>
      </w:r>
      <w:r w:rsidR="007E1410" w:rsidRPr="00ED0FFC">
        <w:rPr>
          <w:szCs w:val="22"/>
        </w:rPr>
        <w:t xml:space="preserve"> </w:t>
      </w:r>
      <w:r w:rsidR="00C35983" w:rsidRPr="00ED0FFC">
        <w:rPr>
          <w:szCs w:val="22"/>
        </w:rPr>
        <w:t xml:space="preserve">en diversos formatos </w:t>
      </w:r>
      <w:r w:rsidR="00052AF9" w:rsidRPr="00ED0FFC">
        <w:rPr>
          <w:szCs w:val="22"/>
        </w:rPr>
        <w:t xml:space="preserve">fueron puestos a disposición de </w:t>
      </w:r>
      <w:r w:rsidR="00C35983" w:rsidRPr="00ED0FFC">
        <w:rPr>
          <w:szCs w:val="22"/>
        </w:rPr>
        <w:t>determinados destinatario</w:t>
      </w:r>
      <w:r w:rsidR="00052AF9" w:rsidRPr="00ED0FFC">
        <w:rPr>
          <w:szCs w:val="22"/>
        </w:rPr>
        <w:t xml:space="preserve">s y partes interesadas, seguimos el </w:t>
      </w:r>
      <w:r w:rsidR="007E1410" w:rsidRPr="00ED0FFC">
        <w:rPr>
          <w:szCs w:val="22"/>
        </w:rPr>
        <w:t xml:space="preserve">transcurso de </w:t>
      </w:r>
      <w:r w:rsidR="00052AF9" w:rsidRPr="00ED0FFC">
        <w:rPr>
          <w:szCs w:val="22"/>
        </w:rPr>
        <w:t>la idea</w:t>
      </w:r>
      <w:r w:rsidR="007E1410" w:rsidRPr="00ED0FFC">
        <w:rPr>
          <w:szCs w:val="22"/>
        </w:rPr>
        <w:t>,</w:t>
      </w:r>
      <w:r w:rsidR="00052AF9" w:rsidRPr="00ED0FFC">
        <w:rPr>
          <w:szCs w:val="22"/>
        </w:rPr>
        <w:t xml:space="preserve"> desde su concepción hasta el mercado, y creamos las siguientes bases de capacitación para la enseñanza de la gestión de los conocimientos en las universidades</w:t>
      </w:r>
      <w:r w:rsidRPr="00ED0FFC">
        <w:rPr>
          <w:szCs w:val="22"/>
        </w:rPr>
        <w:t>:</w:t>
      </w:r>
    </w:p>
    <w:p w:rsidR="002B1093" w:rsidRPr="00ED0FFC" w:rsidRDefault="002B1093" w:rsidP="007F60FD">
      <w:pPr>
        <w:rPr>
          <w:szCs w:val="22"/>
        </w:rPr>
      </w:pPr>
    </w:p>
    <w:p w:rsidR="002B1093" w:rsidRPr="00ED0FFC" w:rsidRDefault="002B1093" w:rsidP="007F60FD">
      <w:pPr>
        <w:pStyle w:val="ListParagraph"/>
        <w:ind w:left="567"/>
        <w:rPr>
          <w:szCs w:val="22"/>
          <w:lang w:val="es-ES"/>
        </w:rPr>
      </w:pPr>
      <w:r w:rsidRPr="00ED0FFC">
        <w:rPr>
          <w:bCs/>
          <w:szCs w:val="22"/>
          <w:lang w:val="es-ES"/>
        </w:rPr>
        <w:t>a)</w:t>
      </w:r>
      <w:r w:rsidRPr="00ED0FFC">
        <w:rPr>
          <w:bCs/>
          <w:i/>
          <w:iCs/>
          <w:szCs w:val="22"/>
          <w:lang w:val="es-ES"/>
        </w:rPr>
        <w:tab/>
      </w:r>
      <w:r w:rsidR="00052AF9" w:rsidRPr="00ED0FFC">
        <w:rPr>
          <w:bCs/>
          <w:i/>
          <w:iCs/>
          <w:szCs w:val="22"/>
          <w:lang w:val="es-ES"/>
        </w:rPr>
        <w:t xml:space="preserve">Capacitaciones para la </w:t>
      </w:r>
      <w:r w:rsidR="00C35983" w:rsidRPr="00ED0FFC">
        <w:rPr>
          <w:bCs/>
          <w:i/>
          <w:iCs/>
          <w:szCs w:val="22"/>
          <w:lang w:val="es-ES"/>
        </w:rPr>
        <w:t xml:space="preserve">redacción </w:t>
      </w:r>
      <w:r w:rsidR="00052AF9" w:rsidRPr="00ED0FFC">
        <w:rPr>
          <w:bCs/>
          <w:i/>
          <w:iCs/>
          <w:szCs w:val="22"/>
          <w:lang w:val="es-ES"/>
        </w:rPr>
        <w:t xml:space="preserve">de </w:t>
      </w:r>
      <w:r w:rsidR="00C35983" w:rsidRPr="00ED0FFC">
        <w:rPr>
          <w:bCs/>
          <w:i/>
          <w:iCs/>
          <w:szCs w:val="22"/>
          <w:lang w:val="es-ES"/>
        </w:rPr>
        <w:t>solicitudes de patentes</w:t>
      </w:r>
      <w:r w:rsidR="00052AF9" w:rsidRPr="00ED0FFC">
        <w:rPr>
          <w:bCs/>
          <w:i/>
          <w:iCs/>
          <w:szCs w:val="22"/>
          <w:lang w:val="es-ES"/>
        </w:rPr>
        <w:t xml:space="preserve"> </w:t>
      </w:r>
      <w:r w:rsidRPr="00ED0FFC">
        <w:rPr>
          <w:szCs w:val="22"/>
          <w:lang w:val="es-ES"/>
        </w:rPr>
        <w:t xml:space="preserve">– </w:t>
      </w:r>
      <w:r w:rsidR="00052AF9" w:rsidRPr="00ED0FFC">
        <w:rPr>
          <w:szCs w:val="22"/>
          <w:lang w:val="es-ES"/>
        </w:rPr>
        <w:t>centradas en el reforzamiento de competencias y técnicas para la elaboración de solicitudes de patentes, con el fin de apoyar el uso del sistema de patentes por parte de los inventores locales</w:t>
      </w:r>
      <w:r w:rsidRPr="00ED0FFC">
        <w:rPr>
          <w:szCs w:val="22"/>
          <w:lang w:val="es-ES"/>
        </w:rPr>
        <w:t xml:space="preserve">.  </w:t>
      </w:r>
      <w:r w:rsidR="00052AF9" w:rsidRPr="00ED0FFC">
        <w:rPr>
          <w:szCs w:val="22"/>
          <w:lang w:val="es-ES"/>
        </w:rPr>
        <w:t xml:space="preserve">Los principales participantes de esas capacitaciones </w:t>
      </w:r>
      <w:r w:rsidR="002864F1" w:rsidRPr="00ED0FFC">
        <w:rPr>
          <w:szCs w:val="22"/>
          <w:lang w:val="es-ES"/>
        </w:rPr>
        <w:t xml:space="preserve">fueron </w:t>
      </w:r>
      <w:r w:rsidR="00052AF9" w:rsidRPr="00ED0FFC">
        <w:rPr>
          <w:szCs w:val="22"/>
          <w:lang w:val="es-ES"/>
        </w:rPr>
        <w:t xml:space="preserve">profesionales de las oficinas de transferencia </w:t>
      </w:r>
      <w:r w:rsidR="00C35983" w:rsidRPr="00ED0FFC">
        <w:rPr>
          <w:szCs w:val="22"/>
          <w:lang w:val="es-ES"/>
        </w:rPr>
        <w:t>de tecnología</w:t>
      </w:r>
      <w:r w:rsidR="00052AF9" w:rsidRPr="00ED0FFC">
        <w:rPr>
          <w:szCs w:val="22"/>
          <w:lang w:val="es-ES"/>
        </w:rPr>
        <w:t xml:space="preserve"> y </w:t>
      </w:r>
      <w:r w:rsidR="002864F1" w:rsidRPr="00ED0FFC">
        <w:rPr>
          <w:szCs w:val="22"/>
          <w:lang w:val="es-ES"/>
        </w:rPr>
        <w:t xml:space="preserve">de los </w:t>
      </w:r>
      <w:r w:rsidR="00052AF9" w:rsidRPr="00ED0FFC">
        <w:rPr>
          <w:szCs w:val="22"/>
          <w:lang w:val="es-ES"/>
        </w:rPr>
        <w:t>CATI</w:t>
      </w:r>
      <w:r w:rsidRPr="00ED0FFC">
        <w:rPr>
          <w:szCs w:val="22"/>
          <w:lang w:val="es-ES"/>
        </w:rPr>
        <w:t xml:space="preserve">, </w:t>
      </w:r>
      <w:r w:rsidR="00213AE0" w:rsidRPr="00ED0FFC">
        <w:rPr>
          <w:szCs w:val="22"/>
          <w:lang w:val="es-ES"/>
        </w:rPr>
        <w:t>administradores de tecnología</w:t>
      </w:r>
      <w:r w:rsidR="00052AF9" w:rsidRPr="00ED0FFC">
        <w:rPr>
          <w:szCs w:val="22"/>
          <w:lang w:val="es-ES"/>
        </w:rPr>
        <w:t xml:space="preserve"> y </w:t>
      </w:r>
      <w:r w:rsidR="009A702D" w:rsidRPr="00ED0FFC">
        <w:rPr>
          <w:szCs w:val="22"/>
          <w:lang w:val="es-ES"/>
        </w:rPr>
        <w:t>profesionales de la P.I. de los países en desarrollo, con miras a brindar un asesoramiento sólido a los inventores locales para que protejan sus inventos</w:t>
      </w:r>
      <w:r w:rsidRPr="00ED0FFC">
        <w:rPr>
          <w:szCs w:val="22"/>
          <w:lang w:val="es-ES"/>
        </w:rPr>
        <w:t xml:space="preserve">.  </w:t>
      </w:r>
      <w:r w:rsidR="009A702D" w:rsidRPr="00ED0FFC">
        <w:rPr>
          <w:szCs w:val="22"/>
          <w:lang w:val="es-ES"/>
        </w:rPr>
        <w:t xml:space="preserve">Las capacitaciones </w:t>
      </w:r>
      <w:r w:rsidR="009A702D" w:rsidRPr="00ED0FFC">
        <w:rPr>
          <w:szCs w:val="22"/>
          <w:lang w:val="es-ES"/>
        </w:rPr>
        <w:lastRenderedPageBreak/>
        <w:t>presenciales se llevaron a cabo en inglés, francés, español y portugués, a nivel básico y avanzado, con ejercicios de seguimiento en Internet y trabajo de tutoría</w:t>
      </w:r>
      <w:r w:rsidRPr="00ED0FFC">
        <w:rPr>
          <w:szCs w:val="22"/>
          <w:lang w:val="es-ES"/>
        </w:rPr>
        <w:t xml:space="preserve">.  </w:t>
      </w:r>
      <w:r w:rsidR="009A702D" w:rsidRPr="00ED0FFC">
        <w:rPr>
          <w:szCs w:val="22"/>
          <w:lang w:val="es-ES"/>
        </w:rPr>
        <w:t xml:space="preserve">La referencia teórica del programa es el Manual de la OMPI de redacción de solicitudes de patente </w:t>
      </w:r>
      <w:r w:rsidR="00C06E1B" w:rsidRPr="00ED0FFC">
        <w:rPr>
          <w:szCs w:val="22"/>
          <w:lang w:val="es-ES"/>
        </w:rPr>
        <w:t>(</w:t>
      </w:r>
      <w:r w:rsidR="009A702D" w:rsidRPr="00ED0FFC">
        <w:rPr>
          <w:szCs w:val="22"/>
          <w:lang w:val="es-ES"/>
        </w:rPr>
        <w:t>publicació</w:t>
      </w:r>
      <w:r w:rsidR="00222344" w:rsidRPr="00ED0FFC">
        <w:rPr>
          <w:szCs w:val="22"/>
          <w:lang w:val="es-ES"/>
        </w:rPr>
        <w:t>n 8</w:t>
      </w:r>
      <w:r w:rsidRPr="00ED0FFC">
        <w:rPr>
          <w:szCs w:val="22"/>
          <w:lang w:val="es-ES"/>
        </w:rPr>
        <w:t>67</w:t>
      </w:r>
      <w:r w:rsidR="009A702D" w:rsidRPr="00ED0FFC">
        <w:rPr>
          <w:szCs w:val="22"/>
          <w:lang w:val="es-ES"/>
        </w:rPr>
        <w:t xml:space="preserve"> de la OMPI</w:t>
      </w:r>
      <w:r w:rsidRPr="00ED0FFC">
        <w:rPr>
          <w:szCs w:val="22"/>
          <w:lang w:val="es-ES"/>
        </w:rPr>
        <w:t xml:space="preserve">) </w:t>
      </w:r>
      <w:r w:rsidR="00DB58E2" w:rsidRPr="00ED0FFC">
        <w:rPr>
          <w:szCs w:val="22"/>
          <w:lang w:val="es-ES"/>
        </w:rPr>
        <w:t>y el Libro de ejercicios sobre redacción de patentes</w:t>
      </w:r>
      <w:r w:rsidRPr="00ED0FFC">
        <w:rPr>
          <w:szCs w:val="22"/>
          <w:lang w:val="es-ES"/>
        </w:rPr>
        <w:t xml:space="preserve">.  </w:t>
      </w:r>
      <w:r w:rsidR="00DB58E2" w:rsidRPr="00ED0FFC">
        <w:rPr>
          <w:szCs w:val="22"/>
          <w:lang w:val="es-ES"/>
        </w:rPr>
        <w:t>E</w:t>
      </w:r>
      <w:r w:rsidR="00222344" w:rsidRPr="00ED0FFC">
        <w:rPr>
          <w:szCs w:val="22"/>
          <w:lang w:val="es-ES"/>
        </w:rPr>
        <w:t>n 2</w:t>
      </w:r>
      <w:r w:rsidRPr="00ED0FFC">
        <w:rPr>
          <w:szCs w:val="22"/>
          <w:lang w:val="es-ES"/>
        </w:rPr>
        <w:t xml:space="preserve">014–2015, </w:t>
      </w:r>
      <w:r w:rsidR="00DB58E2" w:rsidRPr="00ED0FFC">
        <w:rPr>
          <w:szCs w:val="22"/>
          <w:lang w:val="es-ES"/>
        </w:rPr>
        <w:t>la OMPI ofreció capacitaciones sobre redacción de patentes en nueve países</w:t>
      </w:r>
      <w:r w:rsidRPr="00ED0FFC">
        <w:rPr>
          <w:szCs w:val="22"/>
          <w:lang w:val="es-ES"/>
        </w:rPr>
        <w:t xml:space="preserve"> (Bra</w:t>
      </w:r>
      <w:r w:rsidR="00DB58E2" w:rsidRPr="00ED0FFC">
        <w:rPr>
          <w:szCs w:val="22"/>
          <w:lang w:val="es-ES"/>
        </w:rPr>
        <w:t>s</w:t>
      </w:r>
      <w:r w:rsidRPr="00ED0FFC">
        <w:rPr>
          <w:szCs w:val="22"/>
          <w:lang w:val="es-ES"/>
        </w:rPr>
        <w:t>il, Chile, Colombia, Ecuador, Indonesia, Sri Lanka, Tailand</w:t>
      </w:r>
      <w:r w:rsidR="00DB58E2" w:rsidRPr="00ED0FFC">
        <w:rPr>
          <w:szCs w:val="22"/>
          <w:lang w:val="es-ES"/>
        </w:rPr>
        <w:t>ia</w:t>
      </w:r>
      <w:r w:rsidRPr="00ED0FFC">
        <w:rPr>
          <w:szCs w:val="22"/>
          <w:lang w:val="es-ES"/>
        </w:rPr>
        <w:t>, T</w:t>
      </w:r>
      <w:r w:rsidR="00DB58E2" w:rsidRPr="00ED0FFC">
        <w:rPr>
          <w:szCs w:val="22"/>
          <w:lang w:val="es-ES"/>
        </w:rPr>
        <w:t xml:space="preserve">únez y </w:t>
      </w:r>
      <w:r w:rsidR="00ED0FFC">
        <w:rPr>
          <w:szCs w:val="22"/>
          <w:lang w:val="es-ES"/>
        </w:rPr>
        <w:t>Viet </w:t>
      </w:r>
      <w:r w:rsidRPr="00ED0FFC">
        <w:rPr>
          <w:szCs w:val="22"/>
          <w:lang w:val="es-ES"/>
        </w:rPr>
        <w:t xml:space="preserve">Nam) </w:t>
      </w:r>
      <w:r w:rsidR="00DB58E2" w:rsidRPr="00ED0FFC">
        <w:rPr>
          <w:szCs w:val="22"/>
          <w:lang w:val="es-ES"/>
        </w:rPr>
        <w:t>y para los Estados miembros y observadores de la Organización Regional Africana de la Propiedad Intelectual (ARIPO)</w:t>
      </w:r>
      <w:r w:rsidRPr="00ED0FFC">
        <w:rPr>
          <w:szCs w:val="22"/>
          <w:lang w:val="es-ES"/>
        </w:rPr>
        <w:t>;</w:t>
      </w:r>
    </w:p>
    <w:p w:rsidR="002B1093" w:rsidRPr="00ED0FFC" w:rsidRDefault="002B1093" w:rsidP="007F60FD">
      <w:pPr>
        <w:pStyle w:val="ListParagraph"/>
        <w:ind w:left="567"/>
        <w:rPr>
          <w:szCs w:val="22"/>
          <w:lang w:val="es-ES"/>
        </w:rPr>
      </w:pPr>
    </w:p>
    <w:p w:rsidR="00742E3D" w:rsidRPr="00ED0FFC" w:rsidRDefault="002B1093" w:rsidP="007F60FD">
      <w:pPr>
        <w:pStyle w:val="ListParagraph"/>
        <w:ind w:left="567"/>
        <w:rPr>
          <w:rFonts w:eastAsia="SimSun"/>
          <w:szCs w:val="22"/>
          <w:lang w:val="es-ES" w:eastAsia="zh-CN"/>
        </w:rPr>
      </w:pPr>
      <w:r w:rsidRPr="00ED0FFC">
        <w:rPr>
          <w:bCs/>
          <w:szCs w:val="22"/>
          <w:lang w:val="es-ES"/>
        </w:rPr>
        <w:t>b)</w:t>
      </w:r>
      <w:r w:rsidRPr="00ED0FFC">
        <w:rPr>
          <w:bCs/>
          <w:i/>
          <w:iCs/>
          <w:szCs w:val="22"/>
          <w:lang w:val="es-ES"/>
        </w:rPr>
        <w:tab/>
      </w:r>
      <w:r w:rsidR="00DB58E2" w:rsidRPr="00ED0FFC">
        <w:rPr>
          <w:bCs/>
          <w:i/>
          <w:iCs/>
          <w:szCs w:val="22"/>
          <w:lang w:val="es-ES"/>
        </w:rPr>
        <w:t>Negociación de licencias de tecnología</w:t>
      </w:r>
      <w:r w:rsidRPr="00ED0FFC">
        <w:rPr>
          <w:bCs/>
          <w:i/>
          <w:iCs/>
          <w:szCs w:val="22"/>
          <w:lang w:val="es-ES"/>
        </w:rPr>
        <w:t xml:space="preserve"> </w:t>
      </w:r>
      <w:r w:rsidRPr="00ED0FFC">
        <w:rPr>
          <w:szCs w:val="22"/>
          <w:lang w:val="es-ES"/>
        </w:rPr>
        <w:t xml:space="preserve">– </w:t>
      </w:r>
      <w:r w:rsidR="00DB58E2" w:rsidRPr="00ED0FFC">
        <w:rPr>
          <w:szCs w:val="22"/>
          <w:lang w:val="es-ES"/>
        </w:rPr>
        <w:t xml:space="preserve">el programa fue creado para ayudar a los PMA, los países en desarrollo y los países en transición a desarrollar </w:t>
      </w:r>
      <w:r w:rsidR="00C35983" w:rsidRPr="00ED0FFC">
        <w:rPr>
          <w:szCs w:val="22"/>
          <w:lang w:val="es-ES"/>
        </w:rPr>
        <w:t>el</w:t>
      </w:r>
      <w:r w:rsidR="00DB58E2" w:rsidRPr="00ED0FFC">
        <w:rPr>
          <w:szCs w:val="22"/>
          <w:lang w:val="es-ES"/>
        </w:rPr>
        <w:t xml:space="preserve"> capital humano con las competencias necesarias en las áreas relevantes para la transferencia de conocimientos / tecnología, como </w:t>
      </w:r>
      <w:r w:rsidR="002864F1" w:rsidRPr="00ED0FFC">
        <w:rPr>
          <w:szCs w:val="22"/>
          <w:lang w:val="es-ES"/>
        </w:rPr>
        <w:t xml:space="preserve">por ejemplo </w:t>
      </w:r>
      <w:r w:rsidR="00DB58E2" w:rsidRPr="00ED0FFC">
        <w:rPr>
          <w:szCs w:val="22"/>
          <w:lang w:val="es-ES"/>
        </w:rPr>
        <w:t xml:space="preserve">el uso del </w:t>
      </w:r>
      <w:r w:rsidR="00C35983" w:rsidRPr="00ED0FFC">
        <w:rPr>
          <w:szCs w:val="22"/>
          <w:lang w:val="es-ES"/>
        </w:rPr>
        <w:t>contrato</w:t>
      </w:r>
      <w:r w:rsidR="00DB58E2" w:rsidRPr="00ED0FFC">
        <w:rPr>
          <w:szCs w:val="22"/>
          <w:lang w:val="es-ES"/>
        </w:rPr>
        <w:t xml:space="preserve"> de licencia como </w:t>
      </w:r>
      <w:r w:rsidR="002864F1" w:rsidRPr="00ED0FFC">
        <w:rPr>
          <w:szCs w:val="22"/>
          <w:lang w:val="es-ES"/>
        </w:rPr>
        <w:t xml:space="preserve">instrumento </w:t>
      </w:r>
      <w:r w:rsidR="00DB58E2" w:rsidRPr="00ED0FFC">
        <w:rPr>
          <w:szCs w:val="22"/>
          <w:lang w:val="es-ES"/>
        </w:rPr>
        <w:t xml:space="preserve">para la colaboración en materia de P.I. y </w:t>
      </w:r>
      <w:r w:rsidR="002864F1" w:rsidRPr="00ED0FFC">
        <w:rPr>
          <w:szCs w:val="22"/>
          <w:lang w:val="es-ES"/>
        </w:rPr>
        <w:t xml:space="preserve">la </w:t>
      </w:r>
      <w:r w:rsidR="00DB58E2" w:rsidRPr="00ED0FFC">
        <w:rPr>
          <w:szCs w:val="22"/>
          <w:lang w:val="es-ES"/>
        </w:rPr>
        <w:t xml:space="preserve">transferencia de tecnología, </w:t>
      </w:r>
      <w:r w:rsidR="00C35983" w:rsidRPr="00ED0FFC">
        <w:rPr>
          <w:szCs w:val="22"/>
          <w:lang w:val="es-ES"/>
        </w:rPr>
        <w:t>la comprensión de</w:t>
      </w:r>
      <w:r w:rsidR="008B21CC" w:rsidRPr="00ED0FFC">
        <w:rPr>
          <w:szCs w:val="22"/>
          <w:lang w:val="es-ES"/>
        </w:rPr>
        <w:t xml:space="preserve"> los términos clave del </w:t>
      </w:r>
      <w:r w:rsidR="00C35983" w:rsidRPr="00ED0FFC">
        <w:rPr>
          <w:szCs w:val="22"/>
          <w:lang w:val="es-ES"/>
        </w:rPr>
        <w:t>contrato</w:t>
      </w:r>
      <w:r w:rsidR="008B21CC" w:rsidRPr="00ED0FFC">
        <w:rPr>
          <w:szCs w:val="22"/>
          <w:lang w:val="es-ES"/>
        </w:rPr>
        <w:t xml:space="preserve"> de licencia y las técnicas de negociación</w:t>
      </w:r>
      <w:r w:rsidRPr="00ED0FFC">
        <w:rPr>
          <w:szCs w:val="22"/>
          <w:lang w:val="es-ES"/>
        </w:rPr>
        <w:t xml:space="preserve">, </w:t>
      </w:r>
      <w:r w:rsidR="002864F1" w:rsidRPr="00ED0FFC">
        <w:rPr>
          <w:szCs w:val="22"/>
          <w:lang w:val="es-ES"/>
        </w:rPr>
        <w:t xml:space="preserve">así como </w:t>
      </w:r>
      <w:r w:rsidR="008B21CC" w:rsidRPr="00ED0FFC">
        <w:rPr>
          <w:szCs w:val="22"/>
          <w:lang w:val="es-ES"/>
        </w:rPr>
        <w:t xml:space="preserve">la manera de redactar el acuerdo </w:t>
      </w:r>
      <w:r w:rsidRPr="00ED0FFC">
        <w:rPr>
          <w:szCs w:val="22"/>
          <w:lang w:val="es-ES"/>
        </w:rPr>
        <w:t>(</w:t>
      </w:r>
      <w:r w:rsidR="008B21CC" w:rsidRPr="00ED0FFC">
        <w:rPr>
          <w:szCs w:val="22"/>
          <w:lang w:val="es-ES"/>
        </w:rPr>
        <w:t xml:space="preserve">curso avanzado de </w:t>
      </w:r>
      <w:r w:rsidR="00C35983" w:rsidRPr="00ED0FFC">
        <w:rPr>
          <w:szCs w:val="22"/>
          <w:lang w:val="es-ES"/>
        </w:rPr>
        <w:t>negociación de licencias de tecnología</w:t>
      </w:r>
      <w:r w:rsidRPr="00ED0FFC">
        <w:rPr>
          <w:szCs w:val="22"/>
          <w:lang w:val="es-ES"/>
        </w:rPr>
        <w:t xml:space="preserve">).  </w:t>
      </w:r>
      <w:r w:rsidR="00CA05F4" w:rsidRPr="00ED0FFC">
        <w:rPr>
          <w:szCs w:val="22"/>
          <w:lang w:val="es-ES"/>
        </w:rPr>
        <w:t xml:space="preserve">Con fines formativos en materia de STL, se ha desarrollado una carpeta de formación que contiene la Guía de negociación de licencias de tecnología </w:t>
      </w:r>
      <w:r w:rsidRPr="00ED0FFC">
        <w:rPr>
          <w:szCs w:val="22"/>
          <w:lang w:val="es-ES"/>
        </w:rPr>
        <w:t>(publica</w:t>
      </w:r>
      <w:r w:rsidR="00CA05F4" w:rsidRPr="00ED0FFC">
        <w:rPr>
          <w:szCs w:val="22"/>
          <w:lang w:val="es-ES"/>
        </w:rPr>
        <w:t>ció</w:t>
      </w:r>
      <w:r w:rsidR="00222344" w:rsidRPr="00ED0FFC">
        <w:rPr>
          <w:szCs w:val="22"/>
          <w:lang w:val="es-ES"/>
        </w:rPr>
        <w:t>n 9</w:t>
      </w:r>
      <w:r w:rsidRPr="00ED0FFC">
        <w:rPr>
          <w:szCs w:val="22"/>
          <w:lang w:val="es-ES"/>
        </w:rPr>
        <w:t xml:space="preserve">03 E </w:t>
      </w:r>
      <w:r w:rsidR="00CA05F4" w:rsidRPr="00ED0FFC">
        <w:rPr>
          <w:szCs w:val="22"/>
          <w:lang w:val="es-ES"/>
        </w:rPr>
        <w:t>de la OMPI</w:t>
      </w:r>
      <w:r w:rsidR="00222344" w:rsidRPr="00ED0FFC">
        <w:rPr>
          <w:szCs w:val="22"/>
          <w:lang w:val="es-ES"/>
        </w:rPr>
        <w:t>;  r</w:t>
      </w:r>
      <w:r w:rsidRPr="00ED0FFC">
        <w:rPr>
          <w:szCs w:val="22"/>
          <w:lang w:val="es-ES"/>
        </w:rPr>
        <w:t>evi</w:t>
      </w:r>
      <w:r w:rsidR="00CA05F4" w:rsidRPr="00ED0FFC">
        <w:rPr>
          <w:szCs w:val="22"/>
          <w:lang w:val="es-ES"/>
        </w:rPr>
        <w:t xml:space="preserve">sada y </w:t>
      </w:r>
      <w:r w:rsidR="002864F1" w:rsidRPr="00ED0FFC">
        <w:rPr>
          <w:szCs w:val="22"/>
          <w:lang w:val="es-ES"/>
        </w:rPr>
        <w:t xml:space="preserve">con </w:t>
      </w:r>
      <w:r w:rsidR="00CA05F4" w:rsidRPr="00ED0FFC">
        <w:rPr>
          <w:szCs w:val="22"/>
          <w:lang w:val="es-ES"/>
        </w:rPr>
        <w:t>nueva edición publicada e</w:t>
      </w:r>
      <w:r w:rsidR="00222344" w:rsidRPr="00ED0FFC">
        <w:rPr>
          <w:szCs w:val="22"/>
          <w:lang w:val="es-ES"/>
        </w:rPr>
        <w:t>n 2</w:t>
      </w:r>
      <w:r w:rsidRPr="00ED0FFC">
        <w:rPr>
          <w:szCs w:val="22"/>
          <w:lang w:val="es-ES"/>
        </w:rPr>
        <w:t>015</w:t>
      </w:r>
      <w:r w:rsidR="002864F1" w:rsidRPr="00ED0FFC">
        <w:rPr>
          <w:szCs w:val="22"/>
          <w:lang w:val="es-ES"/>
        </w:rPr>
        <w:t xml:space="preserve"> que incluye un </w:t>
      </w:r>
      <w:r w:rsidR="00CA05F4" w:rsidRPr="00ED0FFC">
        <w:rPr>
          <w:szCs w:val="22"/>
          <w:lang w:val="es-ES"/>
        </w:rPr>
        <w:t xml:space="preserve">nuevo capítulo </w:t>
      </w:r>
      <w:r w:rsidRPr="00ED0FFC">
        <w:rPr>
          <w:szCs w:val="22"/>
          <w:lang w:val="es-ES"/>
        </w:rPr>
        <w:t>V</w:t>
      </w:r>
      <w:r w:rsidR="002864F1" w:rsidRPr="00ED0FFC">
        <w:rPr>
          <w:szCs w:val="22"/>
          <w:lang w:val="es-ES"/>
        </w:rPr>
        <w:t>, titulado</w:t>
      </w:r>
      <w:r w:rsidRPr="00ED0FFC">
        <w:rPr>
          <w:szCs w:val="22"/>
          <w:lang w:val="es-ES"/>
        </w:rPr>
        <w:t xml:space="preserve"> </w:t>
      </w:r>
      <w:r w:rsidR="00F53D54" w:rsidRPr="00ED0FFC">
        <w:rPr>
          <w:i/>
          <w:szCs w:val="22"/>
          <w:lang w:val="es-ES"/>
        </w:rPr>
        <w:t>Understanding Certain Antitrust Concerns Related to Technology Licensing</w:t>
      </w:r>
      <w:r w:rsidRPr="00ED0FFC">
        <w:rPr>
          <w:i/>
          <w:szCs w:val="22"/>
          <w:lang w:val="es-ES"/>
        </w:rPr>
        <w:t xml:space="preserve">), </w:t>
      </w:r>
      <w:r w:rsidR="00AB6ABA" w:rsidRPr="00ED0FFC">
        <w:rPr>
          <w:szCs w:val="22"/>
          <w:lang w:val="es-ES"/>
        </w:rPr>
        <w:t>con un mod</w:t>
      </w:r>
      <w:r w:rsidR="002864F1" w:rsidRPr="00ED0FFC">
        <w:rPr>
          <w:szCs w:val="22"/>
          <w:lang w:val="es-ES"/>
        </w:rPr>
        <w:t xml:space="preserve">elo </w:t>
      </w:r>
      <w:r w:rsidR="00C35983" w:rsidRPr="00ED0FFC">
        <w:rPr>
          <w:szCs w:val="22"/>
          <w:lang w:val="es-ES"/>
        </w:rPr>
        <w:t>normalizado</w:t>
      </w:r>
      <w:r w:rsidR="002864F1" w:rsidRPr="00ED0FFC">
        <w:rPr>
          <w:szCs w:val="22"/>
          <w:lang w:val="es-ES"/>
        </w:rPr>
        <w:t xml:space="preserve"> del programa para cursos</w:t>
      </w:r>
      <w:r w:rsidR="00AB6ABA" w:rsidRPr="00ED0FFC">
        <w:rPr>
          <w:szCs w:val="22"/>
          <w:lang w:val="es-ES"/>
        </w:rPr>
        <w:t xml:space="preserve"> básicos y avanzados, </w:t>
      </w:r>
      <w:r w:rsidR="00C35983" w:rsidRPr="00ED0FFC">
        <w:rPr>
          <w:szCs w:val="22"/>
          <w:lang w:val="es-ES"/>
        </w:rPr>
        <w:t>ponencias típicas</w:t>
      </w:r>
      <w:r w:rsidR="00AB6ABA" w:rsidRPr="00ED0FFC">
        <w:rPr>
          <w:szCs w:val="22"/>
          <w:lang w:val="es-ES"/>
        </w:rPr>
        <w:t xml:space="preserve"> y un conjunto de </w:t>
      </w:r>
      <w:r w:rsidR="00E70779" w:rsidRPr="00ED0FFC">
        <w:rPr>
          <w:szCs w:val="22"/>
          <w:lang w:val="es-ES"/>
        </w:rPr>
        <w:t>casos hipotéticos</w:t>
      </w:r>
      <w:r w:rsidRPr="00ED0FFC">
        <w:rPr>
          <w:szCs w:val="22"/>
          <w:lang w:val="es-ES"/>
        </w:rPr>
        <w:t xml:space="preserve">.  </w:t>
      </w:r>
      <w:r w:rsidR="00E70779" w:rsidRPr="00ED0FFC">
        <w:rPr>
          <w:szCs w:val="22"/>
          <w:lang w:val="es-ES"/>
        </w:rPr>
        <w:t xml:space="preserve">Esta carpeta de formación está disponible para </w:t>
      </w:r>
      <w:r w:rsidR="002864F1" w:rsidRPr="00ED0FFC">
        <w:rPr>
          <w:szCs w:val="22"/>
          <w:lang w:val="es-ES"/>
        </w:rPr>
        <w:t xml:space="preserve">las </w:t>
      </w:r>
      <w:r w:rsidR="00E70779" w:rsidRPr="00ED0FFC">
        <w:rPr>
          <w:szCs w:val="22"/>
          <w:lang w:val="es-ES"/>
        </w:rPr>
        <w:t xml:space="preserve">universidades </w:t>
      </w:r>
      <w:r w:rsidR="00C35983" w:rsidRPr="00ED0FFC">
        <w:rPr>
          <w:szCs w:val="22"/>
          <w:lang w:val="es-ES"/>
        </w:rPr>
        <w:t>y</w:t>
      </w:r>
      <w:r w:rsidR="00E70779" w:rsidRPr="00ED0FFC">
        <w:rPr>
          <w:szCs w:val="22"/>
          <w:lang w:val="es-ES"/>
        </w:rPr>
        <w:t xml:space="preserve"> </w:t>
      </w:r>
      <w:r w:rsidR="002864F1" w:rsidRPr="00ED0FFC">
        <w:rPr>
          <w:szCs w:val="22"/>
          <w:lang w:val="es-ES"/>
        </w:rPr>
        <w:t xml:space="preserve">las </w:t>
      </w:r>
      <w:r w:rsidR="00E70779" w:rsidRPr="00ED0FFC">
        <w:rPr>
          <w:szCs w:val="22"/>
          <w:lang w:val="es-ES"/>
        </w:rPr>
        <w:t xml:space="preserve">instituciones públicas de investigación </w:t>
      </w:r>
      <w:r w:rsidR="002864F1" w:rsidRPr="00ED0FFC">
        <w:rPr>
          <w:szCs w:val="22"/>
          <w:lang w:val="es-ES"/>
        </w:rPr>
        <w:t>con fines d</w:t>
      </w:r>
      <w:r w:rsidR="00742E3D" w:rsidRPr="00ED0FFC">
        <w:rPr>
          <w:szCs w:val="22"/>
          <w:lang w:val="es-ES"/>
        </w:rPr>
        <w:t>e c</w:t>
      </w:r>
      <w:r w:rsidR="00E70779" w:rsidRPr="00ED0FFC">
        <w:rPr>
          <w:szCs w:val="22"/>
          <w:lang w:val="es-ES"/>
        </w:rPr>
        <w:t>oncesión de licencias</w:t>
      </w:r>
      <w:r w:rsidR="002864F1" w:rsidRPr="00ED0FFC">
        <w:rPr>
          <w:szCs w:val="22"/>
          <w:lang w:val="es-ES"/>
        </w:rPr>
        <w:t xml:space="preserve"> y </w:t>
      </w:r>
      <w:r w:rsidR="00E70779" w:rsidRPr="00ED0FFC">
        <w:rPr>
          <w:szCs w:val="22"/>
          <w:lang w:val="es-ES"/>
        </w:rPr>
        <w:t>sobre la ba</w:t>
      </w:r>
      <w:r w:rsidR="002864F1" w:rsidRPr="00ED0FFC">
        <w:rPr>
          <w:szCs w:val="22"/>
          <w:lang w:val="es-ES"/>
        </w:rPr>
        <w:t>se</w:t>
      </w:r>
      <w:r w:rsidR="00E70779" w:rsidRPr="00ED0FFC">
        <w:rPr>
          <w:szCs w:val="22"/>
          <w:lang w:val="es-ES"/>
        </w:rPr>
        <w:t xml:space="preserve"> del principio de "código abierto"</w:t>
      </w:r>
      <w:r w:rsidRPr="00ED0FFC">
        <w:rPr>
          <w:szCs w:val="22"/>
          <w:lang w:val="es-ES"/>
        </w:rPr>
        <w:t xml:space="preserve">.  </w:t>
      </w:r>
      <w:r w:rsidR="00E70779" w:rsidRPr="00ED0FFC">
        <w:rPr>
          <w:szCs w:val="22"/>
          <w:lang w:val="es-ES"/>
        </w:rPr>
        <w:t xml:space="preserve">En el último bienio, el curso </w:t>
      </w:r>
      <w:r w:rsidR="00C35983" w:rsidRPr="00ED0FFC">
        <w:rPr>
          <w:szCs w:val="22"/>
          <w:lang w:val="es-ES"/>
        </w:rPr>
        <w:t>de negociación de licencias de tecnología</w:t>
      </w:r>
      <w:r w:rsidR="00E70779" w:rsidRPr="00ED0FFC">
        <w:rPr>
          <w:szCs w:val="22"/>
          <w:lang w:val="es-ES"/>
        </w:rPr>
        <w:t xml:space="preserve"> </w:t>
      </w:r>
      <w:r w:rsidR="003D39F8" w:rsidRPr="00ED0FFC">
        <w:rPr>
          <w:szCs w:val="22"/>
          <w:lang w:val="es-ES"/>
        </w:rPr>
        <w:t xml:space="preserve">se organizó, a nivel básico y avanzado, </w:t>
      </w:r>
      <w:r w:rsidR="00C35983" w:rsidRPr="00ED0FFC">
        <w:rPr>
          <w:szCs w:val="22"/>
          <w:lang w:val="es-ES"/>
        </w:rPr>
        <w:t>a modo de</w:t>
      </w:r>
      <w:r w:rsidR="003D39F8" w:rsidRPr="00ED0FFC">
        <w:rPr>
          <w:szCs w:val="22"/>
          <w:lang w:val="es-ES"/>
        </w:rPr>
        <w:t xml:space="preserve"> </w:t>
      </w:r>
      <w:r w:rsidR="002864F1" w:rsidRPr="00ED0FFC">
        <w:rPr>
          <w:szCs w:val="22"/>
          <w:lang w:val="es-ES"/>
        </w:rPr>
        <w:t xml:space="preserve">actividades </w:t>
      </w:r>
      <w:r w:rsidR="003D39F8" w:rsidRPr="00ED0FFC">
        <w:rPr>
          <w:szCs w:val="22"/>
          <w:lang w:val="es-ES"/>
        </w:rPr>
        <w:t>nacionales y regionales en los países siguientes</w:t>
      </w:r>
      <w:r w:rsidRPr="00ED0FFC">
        <w:rPr>
          <w:szCs w:val="22"/>
          <w:lang w:val="es-ES"/>
        </w:rPr>
        <w:t>:  Bra</w:t>
      </w:r>
      <w:r w:rsidR="003D39F8" w:rsidRPr="00ED0FFC">
        <w:rPr>
          <w:szCs w:val="22"/>
          <w:lang w:val="es-ES"/>
        </w:rPr>
        <w:t>s</w:t>
      </w:r>
      <w:r w:rsidRPr="00ED0FFC">
        <w:rPr>
          <w:szCs w:val="22"/>
          <w:lang w:val="es-ES"/>
        </w:rPr>
        <w:t>il, Ital</w:t>
      </w:r>
      <w:r w:rsidR="003D39F8" w:rsidRPr="00ED0FFC">
        <w:rPr>
          <w:szCs w:val="22"/>
          <w:lang w:val="es-ES"/>
        </w:rPr>
        <w:t>ia</w:t>
      </w:r>
      <w:r w:rsidRPr="00ED0FFC">
        <w:rPr>
          <w:szCs w:val="22"/>
          <w:lang w:val="es-ES"/>
        </w:rPr>
        <w:t xml:space="preserve"> (</w:t>
      </w:r>
      <w:r w:rsidR="003D39F8" w:rsidRPr="00ED0FFC">
        <w:rPr>
          <w:szCs w:val="22"/>
          <w:lang w:val="es-ES"/>
        </w:rPr>
        <w:t xml:space="preserve">estudios de Maestría en Derecho de la P.I., con participantes patrocinados </w:t>
      </w:r>
      <w:r w:rsidR="002864F1" w:rsidRPr="00ED0FFC">
        <w:rPr>
          <w:szCs w:val="22"/>
          <w:lang w:val="es-ES"/>
        </w:rPr>
        <w:t xml:space="preserve">procedentes </w:t>
      </w:r>
      <w:r w:rsidR="003D39F8" w:rsidRPr="00ED0FFC">
        <w:rPr>
          <w:szCs w:val="22"/>
          <w:lang w:val="es-ES"/>
        </w:rPr>
        <w:t>de países en desarrollo</w:t>
      </w:r>
      <w:r w:rsidRPr="00ED0FFC">
        <w:rPr>
          <w:szCs w:val="22"/>
          <w:lang w:val="es-ES"/>
        </w:rPr>
        <w:t>), Indonesia, M</w:t>
      </w:r>
      <w:r w:rsidR="003D39F8" w:rsidRPr="00ED0FFC">
        <w:rPr>
          <w:szCs w:val="22"/>
          <w:lang w:val="es-ES"/>
        </w:rPr>
        <w:t>é</w:t>
      </w:r>
      <w:r w:rsidRPr="00ED0FFC">
        <w:rPr>
          <w:szCs w:val="22"/>
          <w:lang w:val="es-ES"/>
        </w:rPr>
        <w:t xml:space="preserve">xico, </w:t>
      </w:r>
      <w:r w:rsidR="003D39F8" w:rsidRPr="00ED0FFC">
        <w:rPr>
          <w:szCs w:val="22"/>
          <w:lang w:val="es-ES"/>
        </w:rPr>
        <w:t>Filipinas</w:t>
      </w:r>
      <w:r w:rsidRPr="00ED0FFC">
        <w:rPr>
          <w:szCs w:val="22"/>
          <w:lang w:val="es-ES"/>
        </w:rPr>
        <w:t>, Singap</w:t>
      </w:r>
      <w:r w:rsidR="003D39F8" w:rsidRPr="00ED0FFC">
        <w:rPr>
          <w:szCs w:val="22"/>
          <w:lang w:val="es-ES"/>
        </w:rPr>
        <w:t>ur</w:t>
      </w:r>
      <w:r w:rsidRPr="00ED0FFC">
        <w:rPr>
          <w:szCs w:val="22"/>
          <w:lang w:val="es-ES"/>
        </w:rPr>
        <w:t xml:space="preserve"> (</w:t>
      </w:r>
      <w:r w:rsidR="006F205D" w:rsidRPr="00ED0FFC">
        <w:rPr>
          <w:szCs w:val="22"/>
          <w:lang w:val="es-ES"/>
        </w:rPr>
        <w:t>videoconferencia</w:t>
      </w:r>
      <w:r w:rsidR="003D39F8" w:rsidRPr="00ED0FFC">
        <w:rPr>
          <w:szCs w:val="22"/>
          <w:lang w:val="es-ES"/>
        </w:rPr>
        <w:t xml:space="preserve"> para la Universidad Nacional de Singapur</w:t>
      </w:r>
      <w:r w:rsidRPr="00ED0FFC">
        <w:rPr>
          <w:szCs w:val="22"/>
          <w:lang w:val="es-ES"/>
        </w:rPr>
        <w:t>), Tur</w:t>
      </w:r>
      <w:r w:rsidR="003D39F8" w:rsidRPr="00ED0FFC">
        <w:rPr>
          <w:szCs w:val="22"/>
          <w:lang w:val="es-ES"/>
        </w:rPr>
        <w:t xml:space="preserve">quía y Francia, donde la Academia de la OMPI, en colaboración con el Centro de Estudios Internacionales de la Propiedad Intelectual </w:t>
      </w:r>
      <w:r w:rsidRPr="00ED0FFC">
        <w:rPr>
          <w:rFonts w:eastAsia="SimSun"/>
          <w:szCs w:val="22"/>
          <w:lang w:val="es-ES" w:eastAsia="zh-CN"/>
        </w:rPr>
        <w:t xml:space="preserve">(CEIPI) </w:t>
      </w:r>
      <w:r w:rsidR="003D39F8" w:rsidRPr="00ED0FFC">
        <w:rPr>
          <w:rFonts w:eastAsia="SimSun"/>
          <w:szCs w:val="22"/>
          <w:lang w:val="es-ES" w:eastAsia="zh-CN"/>
        </w:rPr>
        <w:t xml:space="preserve">de Estrasburgo y la oficina francesa de P.I., desarrolló un nuevo curso avanzado de capacitación sobre </w:t>
      </w:r>
      <w:r w:rsidRPr="00ED0FFC">
        <w:rPr>
          <w:rFonts w:eastAsia="SimSun"/>
          <w:szCs w:val="22"/>
          <w:lang w:val="es-ES" w:eastAsia="zh-CN"/>
        </w:rPr>
        <w:t>“Tec</w:t>
      </w:r>
      <w:r w:rsidR="003D39F8" w:rsidRPr="00ED0FFC">
        <w:rPr>
          <w:rFonts w:eastAsia="SimSun"/>
          <w:szCs w:val="22"/>
          <w:lang w:val="es-ES" w:eastAsia="zh-CN"/>
        </w:rPr>
        <w:t xml:space="preserve">nología, concesión de licencias y desarrollo" que fue </w:t>
      </w:r>
      <w:r w:rsidR="002864F1" w:rsidRPr="00ED0FFC">
        <w:rPr>
          <w:rFonts w:eastAsia="SimSun"/>
          <w:szCs w:val="22"/>
          <w:lang w:val="es-ES" w:eastAsia="zh-CN"/>
        </w:rPr>
        <w:t>presentado en</w:t>
      </w:r>
      <w:r w:rsidR="003D39F8" w:rsidRPr="00ED0FFC">
        <w:rPr>
          <w:rFonts w:eastAsia="SimSun"/>
          <w:szCs w:val="22"/>
          <w:lang w:val="es-ES" w:eastAsia="zh-CN"/>
        </w:rPr>
        <w:t xml:space="preserve"> la sede del CEIPI entre los día</w:t>
      </w:r>
      <w:r w:rsidR="00222344" w:rsidRPr="00ED0FFC">
        <w:rPr>
          <w:rFonts w:eastAsia="SimSun"/>
          <w:szCs w:val="22"/>
          <w:lang w:val="es-ES" w:eastAsia="zh-CN"/>
        </w:rPr>
        <w:t>s 2</w:t>
      </w:r>
      <w:r w:rsidR="003D39F8" w:rsidRPr="00ED0FFC">
        <w:rPr>
          <w:rFonts w:eastAsia="SimSun"/>
          <w:szCs w:val="22"/>
          <w:lang w:val="es-ES" w:eastAsia="zh-CN"/>
        </w:rPr>
        <w:t xml:space="preserve">2 </w:t>
      </w:r>
      <w:r w:rsidR="00222344" w:rsidRPr="00ED0FFC">
        <w:rPr>
          <w:rFonts w:eastAsia="SimSun"/>
          <w:szCs w:val="22"/>
          <w:lang w:val="es-ES" w:eastAsia="zh-CN"/>
        </w:rPr>
        <w:t>y 2</w:t>
      </w:r>
      <w:r w:rsidR="003D39F8" w:rsidRPr="00ED0FFC">
        <w:rPr>
          <w:rFonts w:eastAsia="SimSun"/>
          <w:szCs w:val="22"/>
          <w:lang w:val="es-ES" w:eastAsia="zh-CN"/>
        </w:rPr>
        <w:t>7 de junio d</w:t>
      </w:r>
      <w:r w:rsidR="00222344" w:rsidRPr="00ED0FFC">
        <w:rPr>
          <w:rFonts w:eastAsia="SimSun"/>
          <w:szCs w:val="22"/>
          <w:lang w:val="es-ES" w:eastAsia="zh-CN"/>
        </w:rPr>
        <w:t>e 2</w:t>
      </w:r>
      <w:r w:rsidR="003D39F8" w:rsidRPr="00ED0FFC">
        <w:rPr>
          <w:rFonts w:eastAsia="SimSun"/>
          <w:szCs w:val="22"/>
          <w:lang w:val="es-ES" w:eastAsia="zh-CN"/>
        </w:rPr>
        <w:t xml:space="preserve">014, </w:t>
      </w:r>
      <w:r w:rsidR="002864F1" w:rsidRPr="00ED0FFC">
        <w:rPr>
          <w:rFonts w:eastAsia="SimSun"/>
          <w:szCs w:val="22"/>
          <w:lang w:val="es-ES" w:eastAsia="zh-CN"/>
        </w:rPr>
        <w:t>con asistencia d</w:t>
      </w:r>
      <w:r w:rsidR="00222344" w:rsidRPr="00ED0FFC">
        <w:rPr>
          <w:rFonts w:eastAsia="SimSun"/>
          <w:szCs w:val="22"/>
          <w:lang w:val="es-ES" w:eastAsia="zh-CN"/>
        </w:rPr>
        <w:t>e 2</w:t>
      </w:r>
      <w:r w:rsidR="003D39F8" w:rsidRPr="00ED0FFC">
        <w:rPr>
          <w:rFonts w:eastAsia="SimSun"/>
          <w:szCs w:val="22"/>
          <w:lang w:val="es-ES" w:eastAsia="zh-CN"/>
        </w:rPr>
        <w:t>2 participantes de países en desarrollo</w:t>
      </w:r>
      <w:r w:rsidRPr="00ED0FFC">
        <w:rPr>
          <w:rFonts w:eastAsia="SimSun"/>
          <w:szCs w:val="22"/>
          <w:lang w:val="es-ES" w:eastAsia="zh-CN"/>
        </w:rPr>
        <w:t xml:space="preserve">.  </w:t>
      </w:r>
      <w:r w:rsidR="003D39F8" w:rsidRPr="00ED0FFC">
        <w:rPr>
          <w:rFonts w:eastAsia="SimSun"/>
          <w:szCs w:val="22"/>
          <w:lang w:val="es-ES" w:eastAsia="zh-CN"/>
        </w:rPr>
        <w:t xml:space="preserve">Además, se organizaron en Ginebra una serie de "mini-cursos </w:t>
      </w:r>
      <w:r w:rsidR="00C35983" w:rsidRPr="00ED0FFC">
        <w:rPr>
          <w:rFonts w:eastAsia="SimSun"/>
          <w:szCs w:val="22"/>
          <w:lang w:val="es-ES" w:eastAsia="zh-CN"/>
        </w:rPr>
        <w:t>de negociación de licencias de tecnología</w:t>
      </w:r>
      <w:r w:rsidR="003D39F8" w:rsidRPr="00ED0FFC">
        <w:rPr>
          <w:rFonts w:eastAsia="SimSun"/>
          <w:szCs w:val="22"/>
          <w:lang w:val="es-ES" w:eastAsia="zh-CN"/>
        </w:rPr>
        <w:t>" de un día de duración, en colaboración con la OMPI y la Organización Mundial del Comercio (OMC)</w:t>
      </w:r>
      <w:r w:rsidR="002864F1" w:rsidRPr="00ED0FFC">
        <w:rPr>
          <w:rFonts w:eastAsia="SimSun"/>
          <w:szCs w:val="22"/>
          <w:lang w:val="es-ES" w:eastAsia="zh-CN"/>
        </w:rPr>
        <w:t>,</w:t>
      </w:r>
      <w:r w:rsidR="003D39F8" w:rsidRPr="00ED0FFC">
        <w:rPr>
          <w:rFonts w:eastAsia="SimSun"/>
          <w:szCs w:val="22"/>
          <w:lang w:val="es-ES" w:eastAsia="zh-CN"/>
        </w:rPr>
        <w:t xml:space="preserve"> para responsables políticos y profesores de P.I</w:t>
      </w:r>
      <w:r w:rsidR="00742E3D" w:rsidRPr="00ED0FFC">
        <w:rPr>
          <w:rFonts w:eastAsia="SimSun"/>
          <w:szCs w:val="22"/>
          <w:lang w:val="es-ES" w:eastAsia="zh-CN"/>
        </w:rPr>
        <w:t>.</w:t>
      </w:r>
      <w:r w:rsidR="00B57476" w:rsidRPr="00ED0FFC">
        <w:rPr>
          <w:rFonts w:eastAsia="SimSun"/>
          <w:szCs w:val="22"/>
          <w:lang w:val="es-ES" w:eastAsia="zh-CN"/>
        </w:rPr>
        <w:t>;</w:t>
      </w:r>
    </w:p>
    <w:p w:rsidR="002B1093" w:rsidRPr="00ED0FFC" w:rsidRDefault="002B1093" w:rsidP="007F60FD">
      <w:pPr>
        <w:pStyle w:val="ListParagraph"/>
        <w:ind w:left="567"/>
        <w:rPr>
          <w:szCs w:val="22"/>
          <w:lang w:val="es-ES"/>
        </w:rPr>
      </w:pPr>
    </w:p>
    <w:p w:rsidR="002B1093" w:rsidRPr="00ED0FFC" w:rsidRDefault="002B1093" w:rsidP="007F60FD">
      <w:pPr>
        <w:pStyle w:val="ListParagraph"/>
        <w:ind w:left="567"/>
        <w:rPr>
          <w:szCs w:val="22"/>
          <w:lang w:val="es-ES"/>
        </w:rPr>
      </w:pPr>
      <w:r w:rsidRPr="00ED0FFC">
        <w:rPr>
          <w:bCs/>
          <w:szCs w:val="22"/>
          <w:lang w:val="es-ES"/>
        </w:rPr>
        <w:t>c)</w:t>
      </w:r>
      <w:r w:rsidRPr="00ED0FFC">
        <w:rPr>
          <w:bCs/>
          <w:i/>
          <w:iCs/>
          <w:szCs w:val="22"/>
          <w:lang w:val="es-ES"/>
        </w:rPr>
        <w:tab/>
      </w:r>
      <w:r w:rsidR="00213AE0" w:rsidRPr="00ED0FFC">
        <w:rPr>
          <w:bCs/>
          <w:i/>
          <w:iCs/>
          <w:szCs w:val="22"/>
          <w:lang w:val="es-ES"/>
        </w:rPr>
        <w:t>Valoración de la P.I.</w:t>
      </w:r>
      <w:r w:rsidRPr="00ED0FFC">
        <w:rPr>
          <w:b/>
          <w:szCs w:val="22"/>
          <w:lang w:val="es-ES"/>
        </w:rPr>
        <w:t xml:space="preserve"> – </w:t>
      </w:r>
      <w:r w:rsidRPr="00ED0FFC">
        <w:rPr>
          <w:szCs w:val="22"/>
          <w:lang w:val="es-ES"/>
        </w:rPr>
        <w:t>Determin</w:t>
      </w:r>
      <w:r w:rsidR="00213AE0" w:rsidRPr="00ED0FFC">
        <w:rPr>
          <w:szCs w:val="22"/>
          <w:lang w:val="es-ES"/>
        </w:rPr>
        <w:t>ar el valor de los resultados de las investigaci</w:t>
      </w:r>
      <w:r w:rsidR="002864F1" w:rsidRPr="00ED0FFC">
        <w:rPr>
          <w:szCs w:val="22"/>
          <w:lang w:val="es-ES"/>
        </w:rPr>
        <w:t>ones</w:t>
      </w:r>
      <w:r w:rsidR="00213AE0" w:rsidRPr="00ED0FFC">
        <w:rPr>
          <w:szCs w:val="22"/>
          <w:lang w:val="es-ES"/>
        </w:rPr>
        <w:t xml:space="preserve"> en el proceso de comercialización de la P.I. es uno de los mayores retos para los científicos y los administradores de tecnología en la mayoría de los países en desarrollo y en transición</w:t>
      </w:r>
      <w:r w:rsidRPr="00ED0FFC">
        <w:rPr>
          <w:szCs w:val="22"/>
          <w:lang w:val="es-ES"/>
        </w:rPr>
        <w:t xml:space="preserve">.  </w:t>
      </w:r>
      <w:r w:rsidR="00213AE0" w:rsidRPr="00ED0FFC">
        <w:rPr>
          <w:szCs w:val="22"/>
          <w:lang w:val="es-ES"/>
        </w:rPr>
        <w:t xml:space="preserve">En el marco de la </w:t>
      </w:r>
      <w:r w:rsidR="00C35983" w:rsidRPr="00ED0FFC">
        <w:rPr>
          <w:szCs w:val="22"/>
          <w:lang w:val="es-ES"/>
        </w:rPr>
        <w:t xml:space="preserve">aplicación </w:t>
      </w:r>
      <w:r w:rsidR="00213AE0" w:rsidRPr="00ED0FFC">
        <w:rPr>
          <w:szCs w:val="22"/>
          <w:lang w:val="es-ES"/>
        </w:rPr>
        <w:t xml:space="preserve">de la </w:t>
      </w:r>
      <w:r w:rsidR="00FB1350" w:rsidRPr="00ED0FFC">
        <w:rPr>
          <w:szCs w:val="22"/>
          <w:lang w:val="es-ES"/>
        </w:rPr>
        <w:t>r</w:t>
      </w:r>
      <w:r w:rsidR="00213AE0" w:rsidRPr="00ED0FFC">
        <w:rPr>
          <w:szCs w:val="22"/>
          <w:lang w:val="es-ES"/>
        </w:rPr>
        <w:t>ecomendació</w:t>
      </w:r>
      <w:r w:rsidR="00222344" w:rsidRPr="00ED0FFC">
        <w:rPr>
          <w:szCs w:val="22"/>
          <w:lang w:val="es-ES"/>
        </w:rPr>
        <w:t>n 1</w:t>
      </w:r>
      <w:r w:rsidR="00213AE0" w:rsidRPr="00ED0FFC">
        <w:rPr>
          <w:szCs w:val="22"/>
          <w:lang w:val="es-ES"/>
        </w:rPr>
        <w:t>0 de la Agenda para el Desarrollo</w:t>
      </w:r>
      <w:r w:rsidR="00FB5D0B" w:rsidRPr="00ED0FFC">
        <w:rPr>
          <w:szCs w:val="22"/>
          <w:lang w:val="es-ES"/>
        </w:rPr>
        <w:t xml:space="preserve"> (A</w:t>
      </w:r>
      <w:r w:rsidR="00C35983" w:rsidRPr="00ED0FFC">
        <w:rPr>
          <w:szCs w:val="22"/>
          <w:lang w:val="es-ES"/>
        </w:rPr>
        <w:t>.</w:t>
      </w:r>
      <w:r w:rsidR="00FB5D0B" w:rsidRPr="00ED0FFC">
        <w:rPr>
          <w:szCs w:val="22"/>
          <w:lang w:val="es-ES"/>
        </w:rPr>
        <w:t>D</w:t>
      </w:r>
      <w:r w:rsidR="00C35983" w:rsidRPr="00ED0FFC">
        <w:rPr>
          <w:szCs w:val="22"/>
          <w:lang w:val="es-ES"/>
        </w:rPr>
        <w:t>.</w:t>
      </w:r>
      <w:r w:rsidR="00FB5D0B" w:rsidRPr="00ED0FFC">
        <w:rPr>
          <w:szCs w:val="22"/>
          <w:lang w:val="es-ES"/>
        </w:rPr>
        <w:t>)</w:t>
      </w:r>
      <w:r w:rsidR="00213AE0" w:rsidRPr="00ED0FFC">
        <w:rPr>
          <w:szCs w:val="22"/>
          <w:lang w:val="es-ES"/>
        </w:rPr>
        <w:t xml:space="preserve">, la OMPI ha desarrollado dos guías complementarias </w:t>
      </w:r>
      <w:r w:rsidRPr="00ED0FFC">
        <w:rPr>
          <w:szCs w:val="22"/>
          <w:lang w:val="es-ES"/>
        </w:rPr>
        <w:t xml:space="preserve">– </w:t>
      </w:r>
      <w:r w:rsidR="005D3B1A" w:rsidRPr="00ED0FFC">
        <w:rPr>
          <w:szCs w:val="22"/>
          <w:lang w:val="es-ES"/>
        </w:rPr>
        <w:t xml:space="preserve">la guía práctica para la valoración de los activos intangibles en las instituciones de investigación y desarrollo, que se </w:t>
      </w:r>
      <w:r w:rsidR="006F205D" w:rsidRPr="00ED0FFC">
        <w:rPr>
          <w:szCs w:val="22"/>
          <w:lang w:val="es-ES"/>
        </w:rPr>
        <w:t>c</w:t>
      </w:r>
      <w:r w:rsidR="005D3B1A" w:rsidRPr="00ED0FFC">
        <w:rPr>
          <w:szCs w:val="22"/>
          <w:lang w:val="es-ES"/>
        </w:rPr>
        <w:t>entra en los métodos cuantitativos de valoración en la fase previa a la comercialización, y una carpeta de formación para la valoración de la P.I. adaptada a las instituciones académicas</w:t>
      </w:r>
      <w:r w:rsidRPr="00ED0FFC">
        <w:rPr>
          <w:szCs w:val="22"/>
          <w:lang w:val="es-ES"/>
        </w:rPr>
        <w:t xml:space="preserve">, </w:t>
      </w:r>
      <w:r w:rsidR="005D3B1A" w:rsidRPr="00ED0FFC">
        <w:rPr>
          <w:szCs w:val="22"/>
          <w:lang w:val="es-ES"/>
        </w:rPr>
        <w:t>que aborda cuestiones relacionadas con la valoración de la P.I. en la comercialización de los resultados de las investigaciones</w:t>
      </w:r>
      <w:r w:rsidR="00FB5D0B" w:rsidRPr="00ED0FFC">
        <w:rPr>
          <w:szCs w:val="22"/>
          <w:lang w:val="es-ES"/>
        </w:rPr>
        <w:t xml:space="preserve">, </w:t>
      </w:r>
      <w:r w:rsidR="005D3B1A" w:rsidRPr="00ED0FFC">
        <w:rPr>
          <w:szCs w:val="22"/>
          <w:lang w:val="es-ES"/>
        </w:rPr>
        <w:t>a través de la concesión de licencias o la creación de empresas basadas en la tecnología desarrollada en la universidad</w:t>
      </w:r>
      <w:r w:rsidRPr="00ED0FFC">
        <w:rPr>
          <w:szCs w:val="22"/>
          <w:lang w:val="es-ES"/>
        </w:rPr>
        <w:t xml:space="preserve">.  </w:t>
      </w:r>
      <w:r w:rsidR="005D3B1A" w:rsidRPr="00ED0FFC">
        <w:rPr>
          <w:szCs w:val="22"/>
          <w:lang w:val="es-ES"/>
        </w:rPr>
        <w:t>También se creó un model</w:t>
      </w:r>
      <w:r w:rsidR="0044152C" w:rsidRPr="00ED0FFC">
        <w:rPr>
          <w:szCs w:val="22"/>
          <w:lang w:val="es-ES"/>
        </w:rPr>
        <w:t>o</w:t>
      </w:r>
      <w:r w:rsidR="005D3B1A" w:rsidRPr="00ED0FFC">
        <w:rPr>
          <w:szCs w:val="22"/>
          <w:lang w:val="es-ES"/>
        </w:rPr>
        <w:t xml:space="preserve"> </w:t>
      </w:r>
      <w:r w:rsidR="0044152C" w:rsidRPr="00ED0FFC">
        <w:rPr>
          <w:szCs w:val="22"/>
          <w:lang w:val="es-ES"/>
        </w:rPr>
        <w:t xml:space="preserve">de </w:t>
      </w:r>
      <w:r w:rsidR="005D3B1A" w:rsidRPr="00ED0FFC">
        <w:rPr>
          <w:szCs w:val="22"/>
          <w:lang w:val="es-ES"/>
        </w:rPr>
        <w:t xml:space="preserve">programa con flexibilidades </w:t>
      </w:r>
      <w:r w:rsidR="00FB5D0B" w:rsidRPr="00ED0FFC">
        <w:rPr>
          <w:szCs w:val="22"/>
          <w:lang w:val="es-ES"/>
        </w:rPr>
        <w:t xml:space="preserve">adaptadas a </w:t>
      </w:r>
      <w:r w:rsidR="005D3B1A" w:rsidRPr="00ED0FFC">
        <w:rPr>
          <w:szCs w:val="22"/>
          <w:lang w:val="es-ES"/>
        </w:rPr>
        <w:t xml:space="preserve">las </w:t>
      </w:r>
      <w:r w:rsidR="00C35983" w:rsidRPr="00ED0FFC">
        <w:rPr>
          <w:szCs w:val="22"/>
          <w:lang w:val="es-ES"/>
        </w:rPr>
        <w:t>necesidades específicas de lo</w:t>
      </w:r>
      <w:r w:rsidR="005D3B1A" w:rsidRPr="00ED0FFC">
        <w:rPr>
          <w:szCs w:val="22"/>
          <w:lang w:val="es-ES"/>
        </w:rPr>
        <w:t xml:space="preserve">s </w:t>
      </w:r>
      <w:r w:rsidR="00C35983" w:rsidRPr="00ED0FFC">
        <w:rPr>
          <w:szCs w:val="22"/>
          <w:lang w:val="es-ES"/>
        </w:rPr>
        <w:t>destinatario</w:t>
      </w:r>
      <w:r w:rsidR="005D3B1A" w:rsidRPr="00ED0FFC">
        <w:rPr>
          <w:szCs w:val="22"/>
          <w:lang w:val="es-ES"/>
        </w:rPr>
        <w:t>s y con</w:t>
      </w:r>
      <w:r w:rsidR="00FB5D0B" w:rsidRPr="00ED0FFC">
        <w:rPr>
          <w:szCs w:val="22"/>
          <w:lang w:val="es-ES"/>
        </w:rPr>
        <w:t xml:space="preserve"> una</w:t>
      </w:r>
      <w:r w:rsidR="005D3B1A" w:rsidRPr="00ED0FFC">
        <w:rPr>
          <w:szCs w:val="22"/>
          <w:lang w:val="es-ES"/>
        </w:rPr>
        <w:t xml:space="preserve"> visión general de que entre el</w:t>
      </w:r>
      <w:r w:rsidR="00C06E1B" w:rsidRPr="00ED0FFC">
        <w:rPr>
          <w:szCs w:val="22"/>
          <w:lang w:val="es-ES"/>
        </w:rPr>
        <w:t> 30 </w:t>
      </w:r>
      <w:r w:rsidR="005D3B1A" w:rsidRPr="00ED0FFC">
        <w:rPr>
          <w:szCs w:val="22"/>
          <w:lang w:val="es-ES"/>
        </w:rPr>
        <w:t>y e</w:t>
      </w:r>
      <w:r w:rsidR="00222344" w:rsidRPr="00ED0FFC">
        <w:rPr>
          <w:szCs w:val="22"/>
          <w:lang w:val="es-ES"/>
        </w:rPr>
        <w:t>l 5</w:t>
      </w:r>
      <w:r w:rsidRPr="00ED0FFC">
        <w:rPr>
          <w:szCs w:val="22"/>
          <w:lang w:val="es-ES"/>
        </w:rPr>
        <w:t>0</w:t>
      </w:r>
      <w:r w:rsidR="00C910FA" w:rsidRPr="00ED0FFC">
        <w:rPr>
          <w:szCs w:val="22"/>
          <w:lang w:val="es-ES"/>
        </w:rPr>
        <w:t>%</w:t>
      </w:r>
      <w:r w:rsidR="005D3B1A" w:rsidRPr="00ED0FFC">
        <w:rPr>
          <w:szCs w:val="22"/>
          <w:lang w:val="es-ES"/>
        </w:rPr>
        <w:t xml:space="preserve"> del curso debería dedicarse a ejercicios</w:t>
      </w:r>
      <w:r w:rsidR="00FB5D0B" w:rsidRPr="00ED0FFC">
        <w:rPr>
          <w:szCs w:val="22"/>
          <w:lang w:val="es-ES"/>
        </w:rPr>
        <w:t>,</w:t>
      </w:r>
      <w:r w:rsidR="005D3B1A" w:rsidRPr="00ED0FFC">
        <w:rPr>
          <w:szCs w:val="22"/>
          <w:lang w:val="es-ES"/>
        </w:rPr>
        <w:t xml:space="preserve"> </w:t>
      </w:r>
      <w:r w:rsidR="0044152C" w:rsidRPr="00ED0FFC">
        <w:rPr>
          <w:szCs w:val="22"/>
          <w:lang w:val="es-ES"/>
        </w:rPr>
        <w:t>supervisados y prácticos</w:t>
      </w:r>
      <w:r w:rsidR="00FB5D0B" w:rsidRPr="00ED0FFC">
        <w:rPr>
          <w:szCs w:val="22"/>
          <w:lang w:val="es-ES"/>
        </w:rPr>
        <w:t>,</w:t>
      </w:r>
      <w:r w:rsidR="0044152C" w:rsidRPr="00ED0FFC">
        <w:rPr>
          <w:szCs w:val="22"/>
          <w:lang w:val="es-ES"/>
        </w:rPr>
        <w:t xml:space="preserve"> basados</w:t>
      </w:r>
      <w:r w:rsidR="00FB5D0B" w:rsidRPr="00ED0FFC">
        <w:rPr>
          <w:szCs w:val="22"/>
          <w:lang w:val="es-ES"/>
        </w:rPr>
        <w:t xml:space="preserve"> </w:t>
      </w:r>
      <w:r w:rsidR="0044152C" w:rsidRPr="00ED0FFC">
        <w:rPr>
          <w:szCs w:val="22"/>
          <w:lang w:val="es-ES"/>
        </w:rPr>
        <w:t xml:space="preserve">en tecnologías reales o hipotéticas desarrolladas en </w:t>
      </w:r>
      <w:r w:rsidR="00C35983" w:rsidRPr="00ED0FFC">
        <w:rPr>
          <w:szCs w:val="22"/>
          <w:lang w:val="es-ES"/>
        </w:rPr>
        <w:t>instituciones</w:t>
      </w:r>
      <w:r w:rsidR="0044152C" w:rsidRPr="00ED0FFC">
        <w:rPr>
          <w:szCs w:val="22"/>
          <w:lang w:val="es-ES"/>
        </w:rPr>
        <w:t xml:space="preserve"> de </w:t>
      </w:r>
      <w:r w:rsidR="0044152C" w:rsidRPr="00ED0FFC">
        <w:rPr>
          <w:szCs w:val="22"/>
          <w:lang w:val="es-ES"/>
        </w:rPr>
        <w:lastRenderedPageBreak/>
        <w:t>investigación locales</w:t>
      </w:r>
      <w:r w:rsidRPr="00ED0FFC">
        <w:rPr>
          <w:szCs w:val="22"/>
          <w:lang w:val="es-ES"/>
        </w:rPr>
        <w:t xml:space="preserve">.  </w:t>
      </w:r>
      <w:r w:rsidR="0044152C" w:rsidRPr="00ED0FFC">
        <w:rPr>
          <w:szCs w:val="22"/>
          <w:lang w:val="es-ES"/>
        </w:rPr>
        <w:t>En el bieni</w:t>
      </w:r>
      <w:r w:rsidR="00222344" w:rsidRPr="00ED0FFC">
        <w:rPr>
          <w:szCs w:val="22"/>
          <w:lang w:val="es-ES"/>
        </w:rPr>
        <w:t>o 2</w:t>
      </w:r>
      <w:r w:rsidR="00C06E1B" w:rsidRPr="00ED0FFC">
        <w:rPr>
          <w:szCs w:val="22"/>
          <w:lang w:val="es-ES"/>
        </w:rPr>
        <w:t>014</w:t>
      </w:r>
      <w:r w:rsidR="00C06E1B" w:rsidRPr="00ED0FFC">
        <w:rPr>
          <w:szCs w:val="22"/>
          <w:lang w:val="es-ES"/>
        </w:rPr>
        <w:noBreakHyphen/>
      </w:r>
      <w:r w:rsidRPr="00ED0FFC">
        <w:rPr>
          <w:szCs w:val="22"/>
          <w:lang w:val="es-ES"/>
        </w:rPr>
        <w:t>2015</w:t>
      </w:r>
      <w:r w:rsidR="0044152C" w:rsidRPr="00ED0FFC">
        <w:rPr>
          <w:szCs w:val="22"/>
          <w:lang w:val="es-ES"/>
        </w:rPr>
        <w:t>, la OMPI desarrolló los siguientes cursos de valoración de la P.I.</w:t>
      </w:r>
      <w:r w:rsidRPr="00ED0FFC">
        <w:rPr>
          <w:szCs w:val="22"/>
          <w:lang w:val="es-ES"/>
        </w:rPr>
        <w:t>:</w:t>
      </w:r>
    </w:p>
    <w:p w:rsidR="002B1093" w:rsidRPr="00ED0FFC" w:rsidRDefault="002B1093" w:rsidP="007F60FD">
      <w:pPr>
        <w:rPr>
          <w:szCs w:val="22"/>
        </w:rPr>
      </w:pPr>
    </w:p>
    <w:p w:rsidR="002B1093" w:rsidRPr="00ED0FFC" w:rsidRDefault="0044152C" w:rsidP="007F60FD">
      <w:pPr>
        <w:pStyle w:val="ListParagraph"/>
        <w:numPr>
          <w:ilvl w:val="1"/>
          <w:numId w:val="7"/>
        </w:numPr>
        <w:ind w:left="1134"/>
        <w:rPr>
          <w:szCs w:val="22"/>
          <w:lang w:val="es-ES"/>
        </w:rPr>
      </w:pPr>
      <w:r w:rsidRPr="00ED0FFC">
        <w:rPr>
          <w:szCs w:val="22"/>
          <w:lang w:val="es-ES"/>
        </w:rPr>
        <w:t xml:space="preserve">Curso de valoración de la P.I. en el marco de la </w:t>
      </w:r>
      <w:r w:rsidRPr="00901265">
        <w:rPr>
          <w:i/>
          <w:szCs w:val="22"/>
          <w:lang w:val="es-ES"/>
        </w:rPr>
        <w:t>U</w:t>
      </w:r>
      <w:r w:rsidR="002B1093" w:rsidRPr="00901265">
        <w:rPr>
          <w:i/>
          <w:szCs w:val="22"/>
          <w:lang w:val="es-ES"/>
        </w:rPr>
        <w:t>C Davis Licensing Academy</w:t>
      </w:r>
      <w:r w:rsidR="002B1093" w:rsidRPr="00ED0FFC">
        <w:rPr>
          <w:szCs w:val="22"/>
          <w:lang w:val="es-ES"/>
        </w:rPr>
        <w:t>, organiz</w:t>
      </w:r>
      <w:r w:rsidRPr="00ED0FFC">
        <w:rPr>
          <w:szCs w:val="22"/>
          <w:lang w:val="es-ES"/>
        </w:rPr>
        <w:t xml:space="preserve">ado en colaboración con la iniciativa </w:t>
      </w:r>
      <w:r w:rsidRPr="00901265">
        <w:rPr>
          <w:i/>
          <w:szCs w:val="22"/>
          <w:lang w:val="es-ES"/>
        </w:rPr>
        <w:t xml:space="preserve">Public Intellectual </w:t>
      </w:r>
      <w:r w:rsidR="00E50123" w:rsidRPr="00901265">
        <w:rPr>
          <w:i/>
          <w:szCs w:val="22"/>
          <w:lang w:val="es-ES"/>
        </w:rPr>
        <w:t>Resource for Agriculture</w:t>
      </w:r>
      <w:r w:rsidR="00E50123" w:rsidRPr="00ED0FFC">
        <w:rPr>
          <w:szCs w:val="22"/>
          <w:lang w:val="es-ES"/>
        </w:rPr>
        <w:t xml:space="preserve"> (</w:t>
      </w:r>
      <w:r w:rsidR="002B1093" w:rsidRPr="00ED0FFC">
        <w:rPr>
          <w:szCs w:val="22"/>
          <w:lang w:val="es-ES"/>
        </w:rPr>
        <w:t>PIPRA</w:t>
      </w:r>
      <w:r w:rsidR="00E50123" w:rsidRPr="00ED0FFC">
        <w:rPr>
          <w:szCs w:val="22"/>
          <w:lang w:val="es-ES"/>
        </w:rPr>
        <w:t>)</w:t>
      </w:r>
      <w:r w:rsidR="002B1093" w:rsidRPr="00ED0FFC">
        <w:rPr>
          <w:szCs w:val="22"/>
          <w:lang w:val="es-ES"/>
        </w:rPr>
        <w:t xml:space="preserve"> </w:t>
      </w:r>
      <w:r w:rsidR="00E50123" w:rsidRPr="00ED0FFC">
        <w:rPr>
          <w:szCs w:val="22"/>
          <w:lang w:val="es-ES"/>
        </w:rPr>
        <w:t xml:space="preserve">y </w:t>
      </w:r>
      <w:r w:rsidR="002B1093" w:rsidRPr="00ED0FFC">
        <w:rPr>
          <w:szCs w:val="22"/>
          <w:lang w:val="es-ES"/>
        </w:rPr>
        <w:t xml:space="preserve">UC Davis </w:t>
      </w:r>
      <w:r w:rsidR="00E50123" w:rsidRPr="00ED0FFC">
        <w:rPr>
          <w:szCs w:val="22"/>
          <w:lang w:val="es-ES"/>
        </w:rPr>
        <w:t>para admi</w:t>
      </w:r>
      <w:r w:rsidR="006F205D" w:rsidRPr="00ED0FFC">
        <w:rPr>
          <w:szCs w:val="22"/>
          <w:lang w:val="es-ES"/>
        </w:rPr>
        <w:t>ni</w:t>
      </w:r>
      <w:r w:rsidR="00E50123" w:rsidRPr="00ED0FFC">
        <w:rPr>
          <w:szCs w:val="22"/>
          <w:lang w:val="es-ES"/>
        </w:rPr>
        <w:t xml:space="preserve">stradores de tecnología, entre ellos </w:t>
      </w:r>
      <w:r w:rsidR="00FB5D0B" w:rsidRPr="00ED0FFC">
        <w:rPr>
          <w:szCs w:val="22"/>
          <w:lang w:val="es-ES"/>
        </w:rPr>
        <w:t xml:space="preserve">administradores </w:t>
      </w:r>
      <w:r w:rsidR="00E50123" w:rsidRPr="00ED0FFC">
        <w:rPr>
          <w:szCs w:val="22"/>
          <w:lang w:val="es-ES"/>
        </w:rPr>
        <w:t>de países en desarrollo</w:t>
      </w:r>
      <w:r w:rsidR="00901265">
        <w:rPr>
          <w:szCs w:val="22"/>
          <w:lang w:val="es-ES"/>
        </w:rPr>
        <w:t>, d</w:t>
      </w:r>
      <w:r w:rsidR="00E50123" w:rsidRPr="00ED0FFC">
        <w:rPr>
          <w:szCs w:val="22"/>
          <w:lang w:val="es-ES"/>
        </w:rPr>
        <w:t>e</w:t>
      </w:r>
      <w:r w:rsidR="00222344" w:rsidRPr="00ED0FFC">
        <w:rPr>
          <w:szCs w:val="22"/>
          <w:lang w:val="es-ES"/>
        </w:rPr>
        <w:t>l 4</w:t>
      </w:r>
      <w:r w:rsidR="002B1093" w:rsidRPr="00ED0FFC">
        <w:rPr>
          <w:szCs w:val="22"/>
          <w:lang w:val="es-ES"/>
        </w:rPr>
        <w:t xml:space="preserve"> </w:t>
      </w:r>
      <w:r w:rsidR="00E50123" w:rsidRPr="00ED0FFC">
        <w:rPr>
          <w:szCs w:val="22"/>
          <w:lang w:val="es-ES"/>
        </w:rPr>
        <w:t>a</w:t>
      </w:r>
      <w:r w:rsidR="00222344" w:rsidRPr="00ED0FFC">
        <w:rPr>
          <w:szCs w:val="22"/>
          <w:lang w:val="es-ES"/>
        </w:rPr>
        <w:t>l 1</w:t>
      </w:r>
      <w:r w:rsidR="00E50123" w:rsidRPr="00ED0FFC">
        <w:rPr>
          <w:szCs w:val="22"/>
          <w:lang w:val="es-ES"/>
        </w:rPr>
        <w:t>0 de junio d</w:t>
      </w:r>
      <w:r w:rsidR="00222344" w:rsidRPr="00ED0FFC">
        <w:rPr>
          <w:szCs w:val="22"/>
          <w:lang w:val="es-ES"/>
        </w:rPr>
        <w:t>e 2</w:t>
      </w:r>
      <w:r w:rsidR="002B1093" w:rsidRPr="00ED0FFC">
        <w:rPr>
          <w:szCs w:val="22"/>
          <w:lang w:val="es-ES"/>
        </w:rPr>
        <w:t>014</w:t>
      </w:r>
      <w:r w:rsidR="00222344" w:rsidRPr="00ED0FFC">
        <w:rPr>
          <w:szCs w:val="22"/>
          <w:lang w:val="es-ES"/>
        </w:rPr>
        <w:t>.  U</w:t>
      </w:r>
      <w:r w:rsidR="002B1093" w:rsidRPr="00ED0FFC">
        <w:rPr>
          <w:szCs w:val="22"/>
          <w:lang w:val="es-ES"/>
        </w:rPr>
        <w:t xml:space="preserve">C Davis, </w:t>
      </w:r>
      <w:r w:rsidR="000B110F" w:rsidRPr="00ED0FFC">
        <w:rPr>
          <w:szCs w:val="22"/>
          <w:lang w:val="es-ES"/>
        </w:rPr>
        <w:t>(</w:t>
      </w:r>
      <w:r w:rsidR="00E50123" w:rsidRPr="00ED0FFC">
        <w:rPr>
          <w:szCs w:val="22"/>
          <w:lang w:val="es-ES"/>
        </w:rPr>
        <w:t>Estados Unidos de América</w:t>
      </w:r>
      <w:r w:rsidR="000B110F" w:rsidRPr="00ED0FFC">
        <w:rPr>
          <w:szCs w:val="22"/>
          <w:lang w:val="es-ES"/>
        </w:rPr>
        <w:t>)</w:t>
      </w:r>
      <w:r w:rsidR="002B1093" w:rsidRPr="00ED0FFC">
        <w:rPr>
          <w:szCs w:val="22"/>
          <w:lang w:val="es-ES"/>
        </w:rPr>
        <w:t>;</w:t>
      </w:r>
    </w:p>
    <w:p w:rsidR="002B1093" w:rsidRPr="00ED0FFC" w:rsidRDefault="002B1093" w:rsidP="007F60FD">
      <w:pPr>
        <w:pStyle w:val="ListParagraph"/>
        <w:ind w:left="1134"/>
        <w:rPr>
          <w:szCs w:val="22"/>
          <w:lang w:val="es-ES"/>
        </w:rPr>
      </w:pPr>
    </w:p>
    <w:p w:rsidR="002B1093" w:rsidRPr="00ED0FFC" w:rsidRDefault="00E50123" w:rsidP="007F60FD">
      <w:pPr>
        <w:pStyle w:val="ListParagraph"/>
        <w:numPr>
          <w:ilvl w:val="1"/>
          <w:numId w:val="7"/>
        </w:numPr>
        <w:ind w:left="1134"/>
        <w:rPr>
          <w:szCs w:val="22"/>
          <w:lang w:val="es-ES"/>
        </w:rPr>
      </w:pPr>
      <w:r w:rsidRPr="00ED0FFC">
        <w:rPr>
          <w:szCs w:val="22"/>
          <w:lang w:val="es-ES"/>
        </w:rPr>
        <w:t xml:space="preserve">Seminario sobre valoración de la P.I. de la OMPI </w:t>
      </w:r>
      <w:r w:rsidR="002B1093" w:rsidRPr="00ED0FFC">
        <w:rPr>
          <w:szCs w:val="22"/>
          <w:lang w:val="es-ES"/>
        </w:rPr>
        <w:t>/ F</w:t>
      </w:r>
      <w:r w:rsidRPr="00ED0FFC">
        <w:rPr>
          <w:szCs w:val="22"/>
          <w:lang w:val="es-ES"/>
        </w:rPr>
        <w:t>ondo fiduciario d</w:t>
      </w:r>
      <w:r w:rsidR="00742E3D" w:rsidRPr="00ED0FFC">
        <w:rPr>
          <w:szCs w:val="22"/>
          <w:lang w:val="es-ES"/>
        </w:rPr>
        <w:t>e A</w:t>
      </w:r>
      <w:r w:rsidR="002B1093" w:rsidRPr="00ED0FFC">
        <w:rPr>
          <w:szCs w:val="22"/>
          <w:lang w:val="es-ES"/>
        </w:rPr>
        <w:t>ustralia</w:t>
      </w:r>
      <w:r w:rsidR="00901265">
        <w:rPr>
          <w:szCs w:val="22"/>
          <w:lang w:val="es-ES"/>
        </w:rPr>
        <w:t>, d</w:t>
      </w:r>
      <w:r w:rsidRPr="00ED0FFC">
        <w:rPr>
          <w:szCs w:val="22"/>
          <w:lang w:val="es-ES"/>
        </w:rPr>
        <w:t>e</w:t>
      </w:r>
      <w:r w:rsidR="00222344" w:rsidRPr="00ED0FFC">
        <w:rPr>
          <w:szCs w:val="22"/>
          <w:lang w:val="es-ES"/>
        </w:rPr>
        <w:t>l 9</w:t>
      </w:r>
      <w:r w:rsidRPr="00ED0FFC">
        <w:rPr>
          <w:szCs w:val="22"/>
          <w:lang w:val="es-ES"/>
        </w:rPr>
        <w:t xml:space="preserve"> a</w:t>
      </w:r>
      <w:r w:rsidR="00222344" w:rsidRPr="00ED0FFC">
        <w:rPr>
          <w:szCs w:val="22"/>
          <w:lang w:val="es-ES"/>
        </w:rPr>
        <w:t>l 1</w:t>
      </w:r>
      <w:r w:rsidRPr="00ED0FFC">
        <w:rPr>
          <w:szCs w:val="22"/>
          <w:lang w:val="es-ES"/>
        </w:rPr>
        <w:t>2 de junio d</w:t>
      </w:r>
      <w:r w:rsidR="00222344" w:rsidRPr="00ED0FFC">
        <w:rPr>
          <w:szCs w:val="22"/>
          <w:lang w:val="es-ES"/>
        </w:rPr>
        <w:t>e 2</w:t>
      </w:r>
      <w:r w:rsidR="002B1093" w:rsidRPr="00ED0FFC">
        <w:rPr>
          <w:szCs w:val="22"/>
          <w:lang w:val="es-ES"/>
        </w:rPr>
        <w:t>014</w:t>
      </w:r>
      <w:r w:rsidRPr="00ED0FFC">
        <w:rPr>
          <w:szCs w:val="22"/>
          <w:lang w:val="es-ES"/>
        </w:rPr>
        <w:t>.  Yakarta</w:t>
      </w:r>
      <w:r w:rsidR="000B110F" w:rsidRPr="00ED0FFC">
        <w:rPr>
          <w:szCs w:val="22"/>
          <w:lang w:val="es-ES"/>
        </w:rPr>
        <w:t xml:space="preserve"> (</w:t>
      </w:r>
      <w:r w:rsidR="002B1093" w:rsidRPr="00ED0FFC">
        <w:rPr>
          <w:szCs w:val="22"/>
          <w:lang w:val="es-ES"/>
        </w:rPr>
        <w:t>Indonesia</w:t>
      </w:r>
      <w:r w:rsidR="000B110F" w:rsidRPr="00ED0FFC">
        <w:rPr>
          <w:szCs w:val="22"/>
          <w:lang w:val="es-ES"/>
        </w:rPr>
        <w:t>)</w:t>
      </w:r>
      <w:r w:rsidR="002B1093" w:rsidRPr="00ED0FFC">
        <w:rPr>
          <w:szCs w:val="22"/>
          <w:lang w:val="es-ES"/>
        </w:rPr>
        <w:t>;</w:t>
      </w:r>
    </w:p>
    <w:p w:rsidR="002B1093" w:rsidRPr="00ED0FFC" w:rsidRDefault="002B1093" w:rsidP="007F60FD">
      <w:pPr>
        <w:pStyle w:val="ListParagraph"/>
        <w:ind w:left="1134"/>
        <w:rPr>
          <w:szCs w:val="22"/>
          <w:lang w:val="es-ES"/>
        </w:rPr>
      </w:pPr>
    </w:p>
    <w:p w:rsidR="002B1093" w:rsidRPr="00ED0FFC" w:rsidRDefault="00E50123" w:rsidP="007F60FD">
      <w:pPr>
        <w:pStyle w:val="ListParagraph"/>
        <w:numPr>
          <w:ilvl w:val="1"/>
          <w:numId w:val="7"/>
        </w:numPr>
        <w:ind w:left="1134"/>
        <w:rPr>
          <w:szCs w:val="22"/>
          <w:lang w:val="es-ES"/>
        </w:rPr>
      </w:pPr>
      <w:r w:rsidRPr="00ED0FFC">
        <w:rPr>
          <w:szCs w:val="22"/>
          <w:lang w:val="es-ES"/>
        </w:rPr>
        <w:t>Seminario itinerante de la OMPI sobre valoración de la P.I. y transferencia de tecnología para universidades</w:t>
      </w:r>
      <w:r w:rsidR="00901265">
        <w:rPr>
          <w:szCs w:val="22"/>
          <w:lang w:val="es-ES"/>
        </w:rPr>
        <w:t>, d</w:t>
      </w:r>
      <w:r w:rsidR="002B1093" w:rsidRPr="00ED0FFC">
        <w:rPr>
          <w:szCs w:val="22"/>
          <w:lang w:val="es-ES"/>
        </w:rPr>
        <w:t>e</w:t>
      </w:r>
      <w:r w:rsidR="00222344" w:rsidRPr="00ED0FFC">
        <w:rPr>
          <w:szCs w:val="22"/>
          <w:lang w:val="es-ES"/>
        </w:rPr>
        <w:t>l 2</w:t>
      </w:r>
      <w:r w:rsidR="002B1093" w:rsidRPr="00ED0FFC">
        <w:rPr>
          <w:szCs w:val="22"/>
          <w:lang w:val="es-ES"/>
        </w:rPr>
        <w:t xml:space="preserve"> </w:t>
      </w:r>
      <w:r w:rsidRPr="00ED0FFC">
        <w:rPr>
          <w:szCs w:val="22"/>
          <w:lang w:val="es-ES"/>
        </w:rPr>
        <w:t>a</w:t>
      </w:r>
      <w:r w:rsidR="00222344" w:rsidRPr="00ED0FFC">
        <w:rPr>
          <w:szCs w:val="22"/>
          <w:lang w:val="es-ES"/>
        </w:rPr>
        <w:t>l 4</w:t>
      </w:r>
      <w:r w:rsidRPr="00ED0FFC">
        <w:rPr>
          <w:szCs w:val="22"/>
          <w:lang w:val="es-ES"/>
        </w:rPr>
        <w:t xml:space="preserve"> de diciembre d</w:t>
      </w:r>
      <w:r w:rsidR="00222344" w:rsidRPr="00ED0FFC">
        <w:rPr>
          <w:szCs w:val="22"/>
          <w:lang w:val="es-ES"/>
        </w:rPr>
        <w:t>e 2</w:t>
      </w:r>
      <w:r w:rsidR="002B1093" w:rsidRPr="00ED0FFC">
        <w:rPr>
          <w:szCs w:val="22"/>
          <w:lang w:val="es-ES"/>
        </w:rPr>
        <w:t>014</w:t>
      </w:r>
      <w:r w:rsidR="00222344" w:rsidRPr="00ED0FFC">
        <w:rPr>
          <w:szCs w:val="22"/>
          <w:lang w:val="es-ES"/>
        </w:rPr>
        <w:t>.  K</w:t>
      </w:r>
      <w:r w:rsidR="002B1093" w:rsidRPr="00ED0FFC">
        <w:rPr>
          <w:szCs w:val="22"/>
          <w:lang w:val="es-ES"/>
        </w:rPr>
        <w:t xml:space="preserve">laipeda </w:t>
      </w:r>
      <w:r w:rsidR="00742E3D" w:rsidRPr="00ED0FFC">
        <w:rPr>
          <w:szCs w:val="22"/>
          <w:lang w:val="es-ES"/>
        </w:rPr>
        <w:t>y K</w:t>
      </w:r>
      <w:r w:rsidR="002B1093" w:rsidRPr="00ED0FFC">
        <w:rPr>
          <w:szCs w:val="22"/>
          <w:lang w:val="es-ES"/>
        </w:rPr>
        <w:t>aunas</w:t>
      </w:r>
      <w:r w:rsidR="000B110F" w:rsidRPr="00ED0FFC">
        <w:rPr>
          <w:szCs w:val="22"/>
          <w:lang w:val="es-ES"/>
        </w:rPr>
        <w:t xml:space="preserve"> (</w:t>
      </w:r>
      <w:r w:rsidR="002B1093" w:rsidRPr="00ED0FFC">
        <w:rPr>
          <w:szCs w:val="22"/>
          <w:lang w:val="es-ES"/>
        </w:rPr>
        <w:t>Lituania</w:t>
      </w:r>
      <w:r w:rsidR="000B110F" w:rsidRPr="00ED0FFC">
        <w:rPr>
          <w:szCs w:val="22"/>
          <w:lang w:val="es-ES"/>
        </w:rPr>
        <w:t>)</w:t>
      </w:r>
      <w:r w:rsidR="002B1093" w:rsidRPr="00ED0FFC">
        <w:rPr>
          <w:szCs w:val="22"/>
          <w:lang w:val="es-ES"/>
        </w:rPr>
        <w:t>;</w:t>
      </w:r>
    </w:p>
    <w:p w:rsidR="002B1093" w:rsidRPr="00ED0FFC" w:rsidRDefault="002B1093" w:rsidP="007F60FD">
      <w:pPr>
        <w:ind w:left="1134"/>
        <w:rPr>
          <w:szCs w:val="22"/>
        </w:rPr>
      </w:pPr>
    </w:p>
    <w:p w:rsidR="002B1093" w:rsidRPr="00ED0FFC" w:rsidRDefault="00E50123" w:rsidP="007F60FD">
      <w:pPr>
        <w:pStyle w:val="ListParagraph"/>
        <w:numPr>
          <w:ilvl w:val="1"/>
          <w:numId w:val="7"/>
        </w:numPr>
        <w:ind w:left="1134"/>
        <w:rPr>
          <w:szCs w:val="22"/>
          <w:lang w:val="es-ES"/>
        </w:rPr>
      </w:pPr>
      <w:r w:rsidRPr="00ED0FFC">
        <w:rPr>
          <w:szCs w:val="22"/>
          <w:lang w:val="es-ES"/>
        </w:rPr>
        <w:t>Curso OMPI/PIPRA/UC Davis de valoración de la P.I.</w:t>
      </w:r>
      <w:r w:rsidR="002B1093" w:rsidRPr="00ED0FFC">
        <w:rPr>
          <w:szCs w:val="22"/>
          <w:lang w:val="es-ES"/>
        </w:rPr>
        <w:t xml:space="preserve"> </w:t>
      </w:r>
      <w:r w:rsidRPr="00ED0FFC">
        <w:rPr>
          <w:szCs w:val="22"/>
          <w:lang w:val="es-ES"/>
        </w:rPr>
        <w:t xml:space="preserve"> </w:t>
      </w:r>
      <w:r w:rsidR="002B1093" w:rsidRPr="00ED0FFC">
        <w:rPr>
          <w:szCs w:val="22"/>
          <w:lang w:val="es-ES"/>
        </w:rPr>
        <w:t>UC Davis Licensing Academy</w:t>
      </w:r>
      <w:r w:rsidRPr="00ED0FFC">
        <w:rPr>
          <w:szCs w:val="22"/>
          <w:lang w:val="es-ES"/>
        </w:rPr>
        <w:t>.  29 de junio d</w:t>
      </w:r>
      <w:r w:rsidR="00222344" w:rsidRPr="00ED0FFC">
        <w:rPr>
          <w:szCs w:val="22"/>
          <w:lang w:val="es-ES"/>
        </w:rPr>
        <w:t>e 2</w:t>
      </w:r>
      <w:r w:rsidR="002B1093" w:rsidRPr="00ED0FFC">
        <w:rPr>
          <w:szCs w:val="22"/>
          <w:lang w:val="es-ES"/>
        </w:rPr>
        <w:t>015</w:t>
      </w:r>
      <w:r w:rsidRPr="00ED0FFC">
        <w:rPr>
          <w:szCs w:val="22"/>
          <w:lang w:val="es-ES"/>
        </w:rPr>
        <w:t xml:space="preserve">.  </w:t>
      </w:r>
      <w:r w:rsidR="002B1093" w:rsidRPr="00ED0FFC">
        <w:rPr>
          <w:szCs w:val="22"/>
          <w:lang w:val="es-ES"/>
        </w:rPr>
        <w:t>UC Davis, California</w:t>
      </w:r>
      <w:r w:rsidR="000B110F" w:rsidRPr="00ED0FFC">
        <w:rPr>
          <w:szCs w:val="22"/>
          <w:lang w:val="es-ES"/>
        </w:rPr>
        <w:t xml:space="preserve"> (</w:t>
      </w:r>
      <w:r w:rsidRPr="00ED0FFC">
        <w:rPr>
          <w:szCs w:val="22"/>
          <w:lang w:val="es-ES"/>
        </w:rPr>
        <w:t>Estados Unidos de América</w:t>
      </w:r>
      <w:r w:rsidR="000B110F" w:rsidRPr="00ED0FFC">
        <w:rPr>
          <w:szCs w:val="22"/>
          <w:lang w:val="es-ES"/>
        </w:rPr>
        <w:t>)</w:t>
      </w:r>
      <w:r w:rsidR="002B1093" w:rsidRPr="00ED0FFC">
        <w:rPr>
          <w:szCs w:val="22"/>
          <w:lang w:val="es-ES"/>
        </w:rPr>
        <w:t xml:space="preserve">;  </w:t>
      </w:r>
      <w:r w:rsidRPr="00ED0FFC">
        <w:rPr>
          <w:szCs w:val="22"/>
          <w:lang w:val="es-ES"/>
        </w:rPr>
        <w:t>y</w:t>
      </w:r>
    </w:p>
    <w:p w:rsidR="002B1093" w:rsidRPr="00ED0FFC" w:rsidRDefault="002B1093" w:rsidP="007F60FD">
      <w:pPr>
        <w:ind w:left="1134"/>
        <w:rPr>
          <w:szCs w:val="22"/>
        </w:rPr>
      </w:pPr>
    </w:p>
    <w:p w:rsidR="002B1093" w:rsidRPr="00ED0FFC" w:rsidRDefault="00E50123" w:rsidP="007F60FD">
      <w:pPr>
        <w:pStyle w:val="ListParagraph"/>
        <w:numPr>
          <w:ilvl w:val="1"/>
          <w:numId w:val="7"/>
        </w:numPr>
        <w:ind w:left="1134"/>
        <w:rPr>
          <w:szCs w:val="22"/>
          <w:lang w:val="es-ES"/>
        </w:rPr>
      </w:pPr>
      <w:r w:rsidRPr="00ED0FFC">
        <w:rPr>
          <w:szCs w:val="22"/>
          <w:lang w:val="es-ES"/>
        </w:rPr>
        <w:t>Seminario subregional de la OMPI sobre valoración de la P.I.  De</w:t>
      </w:r>
      <w:r w:rsidR="00222344" w:rsidRPr="00ED0FFC">
        <w:rPr>
          <w:szCs w:val="22"/>
          <w:lang w:val="es-ES"/>
        </w:rPr>
        <w:t>l 2</w:t>
      </w:r>
      <w:r w:rsidRPr="00ED0FFC">
        <w:rPr>
          <w:szCs w:val="22"/>
          <w:lang w:val="es-ES"/>
        </w:rPr>
        <w:t>1 a</w:t>
      </w:r>
      <w:r w:rsidR="00222344" w:rsidRPr="00ED0FFC">
        <w:rPr>
          <w:szCs w:val="22"/>
          <w:lang w:val="es-ES"/>
        </w:rPr>
        <w:t>l 2</w:t>
      </w:r>
      <w:r w:rsidRPr="00ED0FFC">
        <w:rPr>
          <w:szCs w:val="22"/>
          <w:lang w:val="es-ES"/>
        </w:rPr>
        <w:t>3 de octubre d</w:t>
      </w:r>
      <w:r w:rsidR="00222344" w:rsidRPr="00ED0FFC">
        <w:rPr>
          <w:szCs w:val="22"/>
          <w:lang w:val="es-ES"/>
        </w:rPr>
        <w:t>e 2</w:t>
      </w:r>
      <w:r w:rsidRPr="00ED0FFC">
        <w:rPr>
          <w:szCs w:val="22"/>
          <w:lang w:val="es-ES"/>
        </w:rPr>
        <w:t xml:space="preserve">015.  </w:t>
      </w:r>
      <w:r w:rsidR="002B1093" w:rsidRPr="00ED0FFC">
        <w:rPr>
          <w:szCs w:val="22"/>
          <w:lang w:val="es-ES"/>
        </w:rPr>
        <w:t>Sibiu</w:t>
      </w:r>
      <w:r w:rsidR="000B110F" w:rsidRPr="00ED0FFC">
        <w:rPr>
          <w:szCs w:val="22"/>
          <w:lang w:val="es-ES"/>
        </w:rPr>
        <w:t xml:space="preserve"> (</w:t>
      </w:r>
      <w:r w:rsidR="002B1093" w:rsidRPr="00ED0FFC">
        <w:rPr>
          <w:szCs w:val="22"/>
          <w:lang w:val="es-ES"/>
        </w:rPr>
        <w:t>R</w:t>
      </w:r>
      <w:r w:rsidRPr="00ED0FFC">
        <w:rPr>
          <w:szCs w:val="22"/>
          <w:lang w:val="es-ES"/>
        </w:rPr>
        <w:t>u</w:t>
      </w:r>
      <w:r w:rsidR="002B1093" w:rsidRPr="00ED0FFC">
        <w:rPr>
          <w:szCs w:val="22"/>
          <w:lang w:val="es-ES"/>
        </w:rPr>
        <w:t>man</w:t>
      </w:r>
      <w:r w:rsidR="0025344A" w:rsidRPr="00ED0FFC">
        <w:rPr>
          <w:szCs w:val="22"/>
          <w:lang w:val="es-ES"/>
        </w:rPr>
        <w:t>i</w:t>
      </w:r>
      <w:r w:rsidR="002B1093" w:rsidRPr="00ED0FFC">
        <w:rPr>
          <w:szCs w:val="22"/>
          <w:lang w:val="es-ES"/>
        </w:rPr>
        <w:t>a</w:t>
      </w:r>
      <w:r w:rsidR="000B110F" w:rsidRPr="00ED0FFC">
        <w:rPr>
          <w:szCs w:val="22"/>
          <w:lang w:val="es-ES"/>
        </w:rPr>
        <w:t>)</w:t>
      </w:r>
      <w:r w:rsidR="002B1093" w:rsidRPr="00ED0FFC">
        <w:rPr>
          <w:szCs w:val="22"/>
          <w:lang w:val="es-ES"/>
        </w:rPr>
        <w:t>.</w:t>
      </w:r>
    </w:p>
    <w:p w:rsidR="002B1093" w:rsidRPr="00ED0FFC" w:rsidRDefault="002B1093" w:rsidP="007F60FD">
      <w:pPr>
        <w:rPr>
          <w:szCs w:val="22"/>
        </w:rPr>
      </w:pPr>
    </w:p>
    <w:p w:rsidR="002B1093" w:rsidRPr="00ED0FFC" w:rsidRDefault="002B1093" w:rsidP="007F60FD">
      <w:pPr>
        <w:pStyle w:val="ListParagraph"/>
        <w:ind w:left="567"/>
        <w:rPr>
          <w:b/>
          <w:szCs w:val="22"/>
          <w:lang w:val="es-ES"/>
        </w:rPr>
      </w:pPr>
      <w:r w:rsidRPr="00ED0FFC">
        <w:rPr>
          <w:bCs/>
          <w:szCs w:val="22"/>
          <w:lang w:val="es-ES"/>
        </w:rPr>
        <w:t>d)</w:t>
      </w:r>
      <w:r w:rsidRPr="00ED0FFC">
        <w:rPr>
          <w:b/>
          <w:szCs w:val="22"/>
          <w:lang w:val="es-ES"/>
        </w:rPr>
        <w:tab/>
      </w:r>
      <w:r w:rsidR="00E50123" w:rsidRPr="00ED0FFC">
        <w:rPr>
          <w:bCs/>
          <w:i/>
          <w:iCs/>
          <w:szCs w:val="22"/>
          <w:lang w:val="es-ES"/>
        </w:rPr>
        <w:t xml:space="preserve">Comercialización y valoración de la P.I. </w:t>
      </w:r>
      <w:r w:rsidRPr="00ED0FFC">
        <w:rPr>
          <w:b/>
          <w:szCs w:val="22"/>
          <w:lang w:val="es-ES"/>
        </w:rPr>
        <w:t xml:space="preserve">– </w:t>
      </w:r>
      <w:r w:rsidR="007150B8" w:rsidRPr="00ED0FFC">
        <w:rPr>
          <w:szCs w:val="22"/>
          <w:lang w:val="es-ES"/>
        </w:rPr>
        <w:t>Se trata de un programa recién creado e</w:t>
      </w:r>
      <w:r w:rsidR="00222344" w:rsidRPr="00ED0FFC">
        <w:rPr>
          <w:szCs w:val="22"/>
          <w:lang w:val="es-ES"/>
        </w:rPr>
        <w:t>n 2</w:t>
      </w:r>
      <w:r w:rsidRPr="00ED0FFC">
        <w:rPr>
          <w:szCs w:val="22"/>
          <w:lang w:val="es-ES"/>
        </w:rPr>
        <w:t xml:space="preserve">015, </w:t>
      </w:r>
      <w:r w:rsidR="007150B8" w:rsidRPr="00ED0FFC">
        <w:rPr>
          <w:szCs w:val="22"/>
          <w:lang w:val="es-ES"/>
        </w:rPr>
        <w:t xml:space="preserve">en respuesta a las peticiones de numerosas instituciones de investigación que afrontan los retos de cómo comercializar las tecnologías en una fase temprana, cómo </w:t>
      </w:r>
      <w:r w:rsidR="00C35983" w:rsidRPr="00ED0FFC">
        <w:rPr>
          <w:szCs w:val="22"/>
          <w:lang w:val="es-ES"/>
        </w:rPr>
        <w:t>reconocer</w:t>
      </w:r>
      <w:r w:rsidR="007150B8" w:rsidRPr="00ED0FFC">
        <w:rPr>
          <w:szCs w:val="22"/>
          <w:lang w:val="es-ES"/>
        </w:rPr>
        <w:t xml:space="preserve"> los socios comerciales</w:t>
      </w:r>
      <w:r w:rsidR="003F7937" w:rsidRPr="00ED0FFC">
        <w:rPr>
          <w:szCs w:val="22"/>
          <w:lang w:val="es-ES"/>
        </w:rPr>
        <w:t xml:space="preserve"> más adecuados</w:t>
      </w:r>
      <w:r w:rsidR="007150B8" w:rsidRPr="00ED0FFC">
        <w:rPr>
          <w:szCs w:val="22"/>
          <w:lang w:val="es-ES"/>
        </w:rPr>
        <w:t xml:space="preserve">, </w:t>
      </w:r>
      <w:r w:rsidR="003F7937" w:rsidRPr="00ED0FFC">
        <w:rPr>
          <w:szCs w:val="22"/>
          <w:lang w:val="es-ES"/>
        </w:rPr>
        <w:t xml:space="preserve">y </w:t>
      </w:r>
      <w:r w:rsidR="007150B8" w:rsidRPr="00ED0FFC">
        <w:rPr>
          <w:szCs w:val="22"/>
          <w:lang w:val="es-ES"/>
        </w:rPr>
        <w:t xml:space="preserve">cómo comunicar la información sobre las tecnologías </w:t>
      </w:r>
      <w:r w:rsidR="00C35983" w:rsidRPr="00ED0FFC">
        <w:rPr>
          <w:szCs w:val="22"/>
          <w:lang w:val="es-ES"/>
        </w:rPr>
        <w:t>consideradas</w:t>
      </w:r>
      <w:r w:rsidR="007150B8" w:rsidRPr="00ED0FFC">
        <w:rPr>
          <w:szCs w:val="22"/>
          <w:lang w:val="es-ES"/>
        </w:rPr>
        <w:t xml:space="preserve"> valiosas desde </w:t>
      </w:r>
      <w:r w:rsidR="00C35983" w:rsidRPr="00ED0FFC">
        <w:rPr>
          <w:szCs w:val="22"/>
          <w:lang w:val="es-ES"/>
        </w:rPr>
        <w:t>el</w:t>
      </w:r>
      <w:r w:rsidR="007150B8" w:rsidRPr="00ED0FFC">
        <w:rPr>
          <w:szCs w:val="22"/>
          <w:lang w:val="es-ES"/>
        </w:rPr>
        <w:t xml:space="preserve"> punto de vista comercial y disponibles para la comercialización</w:t>
      </w:r>
      <w:r w:rsidRPr="00ED0FFC">
        <w:rPr>
          <w:szCs w:val="22"/>
          <w:lang w:val="es-ES"/>
        </w:rPr>
        <w:t xml:space="preserve">.  </w:t>
      </w:r>
      <w:r w:rsidR="007150B8" w:rsidRPr="00ED0FFC">
        <w:rPr>
          <w:szCs w:val="22"/>
          <w:lang w:val="es-ES"/>
        </w:rPr>
        <w:t xml:space="preserve">En la actualidad, la formación está disponible en un programa de tres o cuatro días de duración, </w:t>
      </w:r>
      <w:r w:rsidR="003F7937" w:rsidRPr="00ED0FFC">
        <w:rPr>
          <w:szCs w:val="22"/>
          <w:lang w:val="es-ES"/>
        </w:rPr>
        <w:t xml:space="preserve">en el que se plantean </w:t>
      </w:r>
      <w:r w:rsidR="007150B8" w:rsidRPr="00ED0FFC">
        <w:rPr>
          <w:szCs w:val="22"/>
          <w:lang w:val="es-ES"/>
        </w:rPr>
        <w:t>ejemplos y ejercicios sobre tecnologías reales que han sido desarrolladas en universidades o instituciones de investigación locales</w:t>
      </w:r>
      <w:r w:rsidRPr="00ED0FFC">
        <w:rPr>
          <w:szCs w:val="22"/>
          <w:lang w:val="es-ES"/>
        </w:rPr>
        <w:t xml:space="preserve">.  </w:t>
      </w:r>
      <w:r w:rsidR="007150B8" w:rsidRPr="00ED0FFC">
        <w:rPr>
          <w:szCs w:val="22"/>
          <w:lang w:val="es-ES"/>
        </w:rPr>
        <w:t>E</w:t>
      </w:r>
      <w:r w:rsidR="00222344" w:rsidRPr="00ED0FFC">
        <w:rPr>
          <w:szCs w:val="22"/>
          <w:lang w:val="es-ES"/>
        </w:rPr>
        <w:t>n 2</w:t>
      </w:r>
      <w:r w:rsidRPr="00ED0FFC">
        <w:rPr>
          <w:szCs w:val="22"/>
          <w:lang w:val="es-ES"/>
        </w:rPr>
        <w:t>015</w:t>
      </w:r>
      <w:r w:rsidR="007150B8" w:rsidRPr="00ED0FFC">
        <w:rPr>
          <w:szCs w:val="22"/>
          <w:lang w:val="es-ES"/>
        </w:rPr>
        <w:t xml:space="preserve">, esta formación se organizó en </w:t>
      </w:r>
      <w:r w:rsidRPr="00ED0FFC">
        <w:rPr>
          <w:szCs w:val="22"/>
          <w:lang w:val="es-ES"/>
        </w:rPr>
        <w:t>Bra</w:t>
      </w:r>
      <w:r w:rsidR="007150B8" w:rsidRPr="00ED0FFC">
        <w:rPr>
          <w:szCs w:val="22"/>
          <w:lang w:val="es-ES"/>
        </w:rPr>
        <w:t>s</w:t>
      </w:r>
      <w:r w:rsidRPr="00ED0FFC">
        <w:rPr>
          <w:szCs w:val="22"/>
          <w:lang w:val="es-ES"/>
        </w:rPr>
        <w:t>il (</w:t>
      </w:r>
      <w:r w:rsidR="007150B8" w:rsidRPr="00ED0FFC">
        <w:rPr>
          <w:szCs w:val="22"/>
          <w:lang w:val="es-ES"/>
        </w:rPr>
        <w:t xml:space="preserve">en el contexto de un curso avanzado sobre </w:t>
      </w:r>
      <w:r w:rsidR="00C35983" w:rsidRPr="00ED0FFC">
        <w:rPr>
          <w:szCs w:val="22"/>
          <w:lang w:val="es-ES"/>
        </w:rPr>
        <w:t>negociación de licencias de tecnología</w:t>
      </w:r>
      <w:r w:rsidRPr="00ED0FFC">
        <w:rPr>
          <w:szCs w:val="22"/>
          <w:lang w:val="es-ES"/>
        </w:rPr>
        <w:t xml:space="preserve">), </w:t>
      </w:r>
      <w:r w:rsidR="007150B8" w:rsidRPr="00ED0FFC">
        <w:rPr>
          <w:szCs w:val="22"/>
          <w:lang w:val="es-ES"/>
        </w:rPr>
        <w:t>Filipinas y Serbia</w:t>
      </w:r>
      <w:r w:rsidRPr="00ED0FFC">
        <w:rPr>
          <w:szCs w:val="22"/>
          <w:lang w:val="es-ES"/>
        </w:rPr>
        <w:t>.</w:t>
      </w:r>
    </w:p>
    <w:p w:rsidR="002B1093" w:rsidRPr="00ED0FFC" w:rsidRDefault="002B1093" w:rsidP="007F60FD">
      <w:pPr>
        <w:rPr>
          <w:szCs w:val="22"/>
        </w:rPr>
      </w:pPr>
    </w:p>
    <w:p w:rsidR="002B1093" w:rsidRPr="00ED0FFC" w:rsidRDefault="002B1093" w:rsidP="007F60FD">
      <w:pPr>
        <w:rPr>
          <w:szCs w:val="22"/>
        </w:rPr>
      </w:pPr>
      <w:r w:rsidRPr="00ED0FFC">
        <w:rPr>
          <w:bCs/>
          <w:szCs w:val="22"/>
        </w:rPr>
        <w:t>29</w:t>
      </w:r>
      <w:r w:rsidRPr="00ED0FFC">
        <w:rPr>
          <w:b/>
          <w:szCs w:val="22"/>
        </w:rPr>
        <w:t>.</w:t>
      </w:r>
      <w:r w:rsidRPr="00ED0FFC">
        <w:rPr>
          <w:b/>
          <w:szCs w:val="22"/>
        </w:rPr>
        <w:tab/>
      </w:r>
      <w:r w:rsidR="007150B8" w:rsidRPr="00ED0FFC">
        <w:rPr>
          <w:szCs w:val="22"/>
        </w:rPr>
        <w:t>También se organizaron programas de fortalecimiento de las capaci</w:t>
      </w:r>
      <w:r w:rsidR="00C35983" w:rsidRPr="00ED0FFC">
        <w:rPr>
          <w:szCs w:val="22"/>
        </w:rPr>
        <w:t>dades para determinados destinatarios científicos</w:t>
      </w:r>
      <w:r w:rsidR="007150B8" w:rsidRPr="00ED0FFC">
        <w:rPr>
          <w:szCs w:val="22"/>
        </w:rPr>
        <w:t xml:space="preserve">, que se ocuparon de </w:t>
      </w:r>
      <w:r w:rsidR="008657FA" w:rsidRPr="00ED0FFC">
        <w:rPr>
          <w:szCs w:val="22"/>
        </w:rPr>
        <w:t xml:space="preserve">campos científicos y de </w:t>
      </w:r>
      <w:r w:rsidR="006F205D" w:rsidRPr="00ED0FFC">
        <w:rPr>
          <w:szCs w:val="22"/>
        </w:rPr>
        <w:t>transferencia</w:t>
      </w:r>
      <w:r w:rsidR="008657FA" w:rsidRPr="00ED0FFC">
        <w:rPr>
          <w:szCs w:val="22"/>
        </w:rPr>
        <w:t xml:space="preserve"> de tecnología muy concretos, como la transferencia y la comercialización de los resultados de las investigaciones relativas a las enfermedades </w:t>
      </w:r>
      <w:r w:rsidR="006F205D" w:rsidRPr="00ED0FFC">
        <w:rPr>
          <w:szCs w:val="22"/>
        </w:rPr>
        <w:t>desatendidas</w:t>
      </w:r>
      <w:r w:rsidR="008657FA" w:rsidRPr="00ED0FFC">
        <w:rPr>
          <w:szCs w:val="22"/>
        </w:rPr>
        <w:t xml:space="preserve"> y la salud pública</w:t>
      </w:r>
      <w:r w:rsidRPr="00ED0FFC">
        <w:rPr>
          <w:szCs w:val="22"/>
        </w:rPr>
        <w:t>:</w:t>
      </w:r>
    </w:p>
    <w:p w:rsidR="002B1093" w:rsidRPr="00ED0FFC" w:rsidRDefault="008657FA" w:rsidP="007F60FD">
      <w:pPr>
        <w:pStyle w:val="ListParagraph"/>
        <w:numPr>
          <w:ilvl w:val="0"/>
          <w:numId w:val="17"/>
        </w:numPr>
        <w:ind w:left="1134" w:hanging="567"/>
        <w:rPr>
          <w:bCs/>
          <w:szCs w:val="22"/>
          <w:lang w:val="es-ES"/>
        </w:rPr>
      </w:pPr>
      <w:r w:rsidRPr="00ED0FFC">
        <w:rPr>
          <w:lang w:val="es-ES"/>
        </w:rPr>
        <w:t xml:space="preserve">Seminario de la OMPI sobre Gestión y Capacitación en materia de P.I.  </w:t>
      </w:r>
      <w:r w:rsidR="002B1093" w:rsidRPr="00ED0FFC">
        <w:rPr>
          <w:bCs/>
          <w:szCs w:val="22"/>
          <w:lang w:val="es-ES"/>
        </w:rPr>
        <w:t>N</w:t>
      </w:r>
      <w:r w:rsidRPr="00ED0FFC">
        <w:rPr>
          <w:bCs/>
          <w:szCs w:val="22"/>
          <w:lang w:val="es-ES"/>
        </w:rPr>
        <w:t>ueva York</w:t>
      </w:r>
      <w:r w:rsidR="006719EE" w:rsidRPr="00ED0FFC">
        <w:rPr>
          <w:bCs/>
          <w:szCs w:val="22"/>
          <w:lang w:val="es-ES"/>
        </w:rPr>
        <w:t xml:space="preserve"> (</w:t>
      </w:r>
      <w:r w:rsidRPr="00ED0FFC">
        <w:rPr>
          <w:bCs/>
          <w:szCs w:val="22"/>
          <w:lang w:val="es-ES"/>
        </w:rPr>
        <w:t>Estados Unidos de América</w:t>
      </w:r>
      <w:r w:rsidR="006719EE" w:rsidRPr="00ED0FFC">
        <w:rPr>
          <w:bCs/>
          <w:szCs w:val="22"/>
          <w:lang w:val="es-ES"/>
        </w:rPr>
        <w:t>)</w:t>
      </w:r>
      <w:r w:rsidR="002B1093" w:rsidRPr="00ED0FFC">
        <w:rPr>
          <w:bCs/>
          <w:szCs w:val="22"/>
          <w:lang w:val="es-ES"/>
        </w:rPr>
        <w:t>.</w:t>
      </w:r>
      <w:r w:rsidR="002B1093" w:rsidRPr="00ED0FFC">
        <w:rPr>
          <w:lang w:val="es-ES"/>
        </w:rPr>
        <w:t xml:space="preserve"> </w:t>
      </w:r>
      <w:r w:rsidRPr="00ED0FFC">
        <w:rPr>
          <w:lang w:val="es-ES"/>
        </w:rPr>
        <w:t>4 de noviembre d</w:t>
      </w:r>
      <w:r w:rsidR="00222344" w:rsidRPr="00ED0FFC">
        <w:rPr>
          <w:lang w:val="es-ES"/>
        </w:rPr>
        <w:t>e 2</w:t>
      </w:r>
      <w:r w:rsidR="002B1093" w:rsidRPr="00ED0FFC">
        <w:rPr>
          <w:lang w:val="es-ES"/>
        </w:rPr>
        <w:t>014</w:t>
      </w:r>
      <w:r w:rsidR="00222344" w:rsidRPr="00ED0FFC">
        <w:rPr>
          <w:lang w:val="es-ES"/>
        </w:rPr>
        <w:t>.  P</w:t>
      </w:r>
      <w:r w:rsidRPr="00ED0FFC">
        <w:rPr>
          <w:lang w:val="es-ES"/>
        </w:rPr>
        <w:t xml:space="preserve">ara investigadores y científicos de alto nivel de instituciones de países en desarrollo que son miembros del programa </w:t>
      </w:r>
      <w:r w:rsidR="002B1093" w:rsidRPr="00ED0FFC">
        <w:rPr>
          <w:lang w:val="es-ES"/>
        </w:rPr>
        <w:t>Re:Search</w:t>
      </w:r>
      <w:r w:rsidRPr="00ED0FFC">
        <w:rPr>
          <w:lang w:val="es-ES"/>
        </w:rPr>
        <w:t xml:space="preserve"> de la OMPI</w:t>
      </w:r>
      <w:r w:rsidR="002B1093" w:rsidRPr="00ED0FFC">
        <w:rPr>
          <w:lang w:val="es-ES"/>
        </w:rPr>
        <w:t>;</w:t>
      </w:r>
    </w:p>
    <w:p w:rsidR="002B1093" w:rsidRPr="00ED0FFC" w:rsidRDefault="008657FA" w:rsidP="007F60FD">
      <w:pPr>
        <w:pStyle w:val="ListParagraph"/>
        <w:numPr>
          <w:ilvl w:val="0"/>
          <w:numId w:val="17"/>
        </w:numPr>
        <w:ind w:left="1134" w:hanging="567"/>
        <w:rPr>
          <w:lang w:val="es-ES"/>
        </w:rPr>
      </w:pPr>
      <w:r w:rsidRPr="00ED0FFC">
        <w:rPr>
          <w:bCs/>
          <w:szCs w:val="22"/>
          <w:lang w:val="es-ES"/>
        </w:rPr>
        <w:t xml:space="preserve">Simposio conjunto de la OMS, </w:t>
      </w:r>
      <w:r w:rsidR="003F7937" w:rsidRPr="00ED0FFC">
        <w:rPr>
          <w:bCs/>
          <w:szCs w:val="22"/>
          <w:lang w:val="es-ES"/>
        </w:rPr>
        <w:t xml:space="preserve">la </w:t>
      </w:r>
      <w:r w:rsidRPr="00ED0FFC">
        <w:rPr>
          <w:bCs/>
          <w:szCs w:val="22"/>
          <w:lang w:val="es-ES"/>
        </w:rPr>
        <w:t>OMPI y</w:t>
      </w:r>
      <w:r w:rsidR="003F7937" w:rsidRPr="00ED0FFC">
        <w:rPr>
          <w:bCs/>
          <w:szCs w:val="22"/>
          <w:lang w:val="es-ES"/>
        </w:rPr>
        <w:t xml:space="preserve"> la</w:t>
      </w:r>
      <w:r w:rsidRPr="00ED0FFC">
        <w:rPr>
          <w:bCs/>
          <w:szCs w:val="22"/>
          <w:lang w:val="es-ES"/>
        </w:rPr>
        <w:t xml:space="preserve"> OMC sobre </w:t>
      </w:r>
      <w:r w:rsidR="00415501" w:rsidRPr="00ED0FFC">
        <w:rPr>
          <w:bCs/>
          <w:i/>
          <w:szCs w:val="22"/>
          <w:lang w:val="es-ES"/>
        </w:rPr>
        <w:t>La i</w:t>
      </w:r>
      <w:r w:rsidR="002B1093" w:rsidRPr="00ED0FFC">
        <w:rPr>
          <w:bCs/>
          <w:i/>
          <w:szCs w:val="22"/>
          <w:lang w:val="es-ES"/>
        </w:rPr>
        <w:t>n</w:t>
      </w:r>
      <w:r w:rsidRPr="00ED0FFC">
        <w:rPr>
          <w:bCs/>
          <w:i/>
          <w:szCs w:val="22"/>
          <w:lang w:val="es-ES"/>
        </w:rPr>
        <w:t>n</w:t>
      </w:r>
      <w:r w:rsidR="002B1093" w:rsidRPr="00ED0FFC">
        <w:rPr>
          <w:bCs/>
          <w:i/>
          <w:szCs w:val="22"/>
          <w:lang w:val="es-ES"/>
        </w:rPr>
        <w:t>ova</w:t>
      </w:r>
      <w:r w:rsidRPr="00ED0FFC">
        <w:rPr>
          <w:bCs/>
          <w:i/>
          <w:szCs w:val="22"/>
          <w:lang w:val="es-ES"/>
        </w:rPr>
        <w:t xml:space="preserve">ción y </w:t>
      </w:r>
      <w:r w:rsidR="00415501" w:rsidRPr="00ED0FFC">
        <w:rPr>
          <w:bCs/>
          <w:i/>
          <w:szCs w:val="22"/>
          <w:lang w:val="es-ES"/>
        </w:rPr>
        <w:t xml:space="preserve">el </w:t>
      </w:r>
      <w:r w:rsidRPr="00ED0FFC">
        <w:rPr>
          <w:bCs/>
          <w:i/>
          <w:szCs w:val="22"/>
          <w:lang w:val="es-ES"/>
        </w:rPr>
        <w:t xml:space="preserve">acceso a tecnologías médicas </w:t>
      </w:r>
      <w:r w:rsidR="002B1093" w:rsidRPr="00ED0FFC">
        <w:rPr>
          <w:bCs/>
          <w:i/>
          <w:szCs w:val="22"/>
          <w:lang w:val="es-ES"/>
        </w:rPr>
        <w:t xml:space="preserve">– </w:t>
      </w:r>
      <w:r w:rsidRPr="00ED0FFC">
        <w:rPr>
          <w:bCs/>
          <w:i/>
          <w:szCs w:val="22"/>
          <w:lang w:val="es-ES"/>
        </w:rPr>
        <w:t>Desafíos y oportunidades para los países de ingresos medianos</w:t>
      </w:r>
      <w:r w:rsidR="002B1093" w:rsidRPr="00ED0FFC">
        <w:rPr>
          <w:bCs/>
          <w:i/>
          <w:szCs w:val="22"/>
          <w:lang w:val="es-ES"/>
        </w:rPr>
        <w:t xml:space="preserve">.  </w:t>
      </w:r>
      <w:r w:rsidR="002B1093" w:rsidRPr="00ED0FFC">
        <w:rPr>
          <w:bCs/>
          <w:szCs w:val="22"/>
          <w:lang w:val="es-ES"/>
        </w:rPr>
        <w:t>G</w:t>
      </w:r>
      <w:r w:rsidRPr="00ED0FFC">
        <w:rPr>
          <w:bCs/>
          <w:szCs w:val="22"/>
          <w:lang w:val="es-ES"/>
        </w:rPr>
        <w:t>inebra</w:t>
      </w:r>
      <w:r w:rsidR="006719EE" w:rsidRPr="00ED0FFC">
        <w:rPr>
          <w:bCs/>
          <w:szCs w:val="22"/>
          <w:lang w:val="es-ES"/>
        </w:rPr>
        <w:t xml:space="preserve"> (</w:t>
      </w:r>
      <w:r w:rsidRPr="00ED0FFC">
        <w:rPr>
          <w:bCs/>
          <w:szCs w:val="22"/>
          <w:lang w:val="es-ES"/>
        </w:rPr>
        <w:t>Suiza</w:t>
      </w:r>
      <w:r w:rsidR="006719EE" w:rsidRPr="00ED0FFC">
        <w:rPr>
          <w:bCs/>
          <w:szCs w:val="22"/>
          <w:lang w:val="es-ES"/>
        </w:rPr>
        <w:t>)</w:t>
      </w:r>
      <w:r w:rsidR="002B1093" w:rsidRPr="00ED0FFC">
        <w:rPr>
          <w:bCs/>
          <w:szCs w:val="22"/>
          <w:lang w:val="es-ES"/>
        </w:rPr>
        <w:t xml:space="preserve">. </w:t>
      </w:r>
      <w:r w:rsidRPr="00ED0FFC">
        <w:rPr>
          <w:bCs/>
          <w:szCs w:val="22"/>
          <w:lang w:val="es-ES"/>
        </w:rPr>
        <w:t>5 de noviembre d</w:t>
      </w:r>
      <w:r w:rsidR="00222344" w:rsidRPr="00ED0FFC">
        <w:rPr>
          <w:bCs/>
          <w:szCs w:val="22"/>
          <w:lang w:val="es-ES"/>
        </w:rPr>
        <w:t>e 2</w:t>
      </w:r>
      <w:r w:rsidR="002B1093" w:rsidRPr="00ED0FFC">
        <w:rPr>
          <w:bCs/>
          <w:szCs w:val="22"/>
          <w:lang w:val="es-ES"/>
        </w:rPr>
        <w:t>014;</w:t>
      </w:r>
    </w:p>
    <w:p w:rsidR="002B1093" w:rsidRPr="00ED0FFC" w:rsidRDefault="00415501" w:rsidP="007F60FD">
      <w:pPr>
        <w:pStyle w:val="ListParagraph"/>
        <w:numPr>
          <w:ilvl w:val="0"/>
          <w:numId w:val="17"/>
        </w:numPr>
        <w:ind w:left="1134" w:hanging="567"/>
        <w:rPr>
          <w:szCs w:val="22"/>
          <w:lang w:val="es-ES"/>
        </w:rPr>
      </w:pPr>
      <w:r w:rsidRPr="00ED0FFC">
        <w:rPr>
          <w:i/>
          <w:szCs w:val="22"/>
          <w:lang w:val="es-ES"/>
        </w:rPr>
        <w:t>Foro mundial COHRED sobre investigación e innovación para la salu</w:t>
      </w:r>
      <w:r w:rsidR="00222344" w:rsidRPr="00ED0FFC">
        <w:rPr>
          <w:i/>
          <w:szCs w:val="22"/>
          <w:lang w:val="es-ES"/>
        </w:rPr>
        <w:t>d 2</w:t>
      </w:r>
      <w:r w:rsidRPr="00ED0FFC">
        <w:rPr>
          <w:i/>
          <w:szCs w:val="22"/>
          <w:lang w:val="es-ES"/>
        </w:rPr>
        <w:t xml:space="preserve">015.  </w:t>
      </w:r>
      <w:r w:rsidR="002B1093" w:rsidRPr="00ED0FFC">
        <w:rPr>
          <w:szCs w:val="22"/>
          <w:lang w:val="es-ES"/>
        </w:rPr>
        <w:t>Manila</w:t>
      </w:r>
      <w:r w:rsidR="006719EE" w:rsidRPr="00ED0FFC">
        <w:rPr>
          <w:szCs w:val="22"/>
          <w:lang w:val="es-ES"/>
        </w:rPr>
        <w:t xml:space="preserve"> (</w:t>
      </w:r>
      <w:r w:rsidRPr="00ED0FFC">
        <w:rPr>
          <w:szCs w:val="22"/>
          <w:lang w:val="es-ES"/>
        </w:rPr>
        <w:t>Filipinas</w:t>
      </w:r>
      <w:r w:rsidR="006719EE" w:rsidRPr="00ED0FFC">
        <w:rPr>
          <w:szCs w:val="22"/>
          <w:lang w:val="es-ES"/>
        </w:rPr>
        <w:t>)</w:t>
      </w:r>
      <w:r w:rsidR="00222344" w:rsidRPr="00ED0FFC">
        <w:rPr>
          <w:szCs w:val="22"/>
          <w:lang w:val="es-ES"/>
        </w:rPr>
        <w:t>.  D</w:t>
      </w:r>
      <w:r w:rsidRPr="00ED0FFC">
        <w:rPr>
          <w:szCs w:val="22"/>
          <w:lang w:val="es-ES"/>
        </w:rPr>
        <w:t>e</w:t>
      </w:r>
      <w:r w:rsidR="00222344" w:rsidRPr="00ED0FFC">
        <w:rPr>
          <w:szCs w:val="22"/>
          <w:lang w:val="es-ES"/>
        </w:rPr>
        <w:t>l 2</w:t>
      </w:r>
      <w:r w:rsidR="002B1093" w:rsidRPr="00ED0FFC">
        <w:rPr>
          <w:szCs w:val="22"/>
          <w:lang w:val="es-ES"/>
        </w:rPr>
        <w:t xml:space="preserve">4 </w:t>
      </w:r>
      <w:r w:rsidRPr="00ED0FFC">
        <w:rPr>
          <w:szCs w:val="22"/>
          <w:lang w:val="es-ES"/>
        </w:rPr>
        <w:t>a</w:t>
      </w:r>
      <w:r w:rsidR="00222344" w:rsidRPr="00ED0FFC">
        <w:rPr>
          <w:szCs w:val="22"/>
          <w:lang w:val="es-ES"/>
        </w:rPr>
        <w:t>l 2</w:t>
      </w:r>
      <w:r w:rsidR="002B1093" w:rsidRPr="00ED0FFC">
        <w:rPr>
          <w:szCs w:val="22"/>
          <w:lang w:val="es-ES"/>
        </w:rPr>
        <w:t>7</w:t>
      </w:r>
      <w:r w:rsidRPr="00ED0FFC">
        <w:rPr>
          <w:szCs w:val="22"/>
          <w:lang w:val="es-ES"/>
        </w:rPr>
        <w:t xml:space="preserve"> de agosto d</w:t>
      </w:r>
      <w:r w:rsidR="00222344" w:rsidRPr="00ED0FFC">
        <w:rPr>
          <w:szCs w:val="22"/>
          <w:lang w:val="es-ES"/>
        </w:rPr>
        <w:t>e 2</w:t>
      </w:r>
      <w:r w:rsidR="002B1093" w:rsidRPr="00ED0FFC">
        <w:rPr>
          <w:szCs w:val="22"/>
          <w:lang w:val="es-ES"/>
        </w:rPr>
        <w:t>015.</w:t>
      </w:r>
    </w:p>
    <w:p w:rsidR="00742E3D" w:rsidRPr="00ED0FFC" w:rsidRDefault="00415501" w:rsidP="007F60FD">
      <w:pPr>
        <w:pStyle w:val="ListParagraph"/>
        <w:numPr>
          <w:ilvl w:val="0"/>
          <w:numId w:val="17"/>
        </w:numPr>
        <w:ind w:left="1134" w:hanging="567"/>
        <w:rPr>
          <w:szCs w:val="22"/>
          <w:lang w:val="es-ES"/>
        </w:rPr>
      </w:pPr>
      <w:r w:rsidRPr="00ED0FFC">
        <w:rPr>
          <w:bCs/>
          <w:szCs w:val="22"/>
          <w:lang w:val="es-ES"/>
        </w:rPr>
        <w:t xml:space="preserve">Simposio conjunto de la OMS, </w:t>
      </w:r>
      <w:r w:rsidR="003F7937" w:rsidRPr="00ED0FFC">
        <w:rPr>
          <w:bCs/>
          <w:szCs w:val="22"/>
          <w:lang w:val="es-ES"/>
        </w:rPr>
        <w:t xml:space="preserve">la </w:t>
      </w:r>
      <w:r w:rsidRPr="00ED0FFC">
        <w:rPr>
          <w:bCs/>
          <w:szCs w:val="22"/>
          <w:lang w:val="es-ES"/>
        </w:rPr>
        <w:t xml:space="preserve">OMPI y </w:t>
      </w:r>
      <w:r w:rsidR="003F7937" w:rsidRPr="00ED0FFC">
        <w:rPr>
          <w:bCs/>
          <w:szCs w:val="22"/>
          <w:lang w:val="es-ES"/>
        </w:rPr>
        <w:t xml:space="preserve">la </w:t>
      </w:r>
      <w:r w:rsidRPr="00ED0FFC">
        <w:rPr>
          <w:bCs/>
          <w:szCs w:val="22"/>
          <w:lang w:val="es-ES"/>
        </w:rPr>
        <w:t xml:space="preserve">OMC sobre </w:t>
      </w:r>
      <w:r w:rsidRPr="00ED0FFC">
        <w:rPr>
          <w:i/>
          <w:szCs w:val="22"/>
          <w:lang w:val="es-ES"/>
        </w:rPr>
        <w:t>La salud pública, la propiedad intelectual y los ADPIC en los último</w:t>
      </w:r>
      <w:r w:rsidR="00222344" w:rsidRPr="00ED0FFC">
        <w:rPr>
          <w:i/>
          <w:szCs w:val="22"/>
          <w:lang w:val="es-ES"/>
        </w:rPr>
        <w:t>s 2</w:t>
      </w:r>
      <w:r w:rsidRPr="00ED0FFC">
        <w:rPr>
          <w:i/>
          <w:szCs w:val="22"/>
          <w:lang w:val="es-ES"/>
        </w:rPr>
        <w:t>0 años:  la innovación y el acceso a las medicinas;  lecciones del pasado y perspectivas para el futuro</w:t>
      </w:r>
      <w:r w:rsidRPr="00ED0FFC">
        <w:rPr>
          <w:lang w:val="es-ES"/>
        </w:rPr>
        <w:t xml:space="preserve">". </w:t>
      </w:r>
      <w:r w:rsidR="002B1093" w:rsidRPr="00ED0FFC">
        <w:rPr>
          <w:szCs w:val="22"/>
          <w:lang w:val="es-ES"/>
        </w:rPr>
        <w:t xml:space="preserve"> G</w:t>
      </w:r>
      <w:r w:rsidRPr="00ED0FFC">
        <w:rPr>
          <w:szCs w:val="22"/>
          <w:lang w:val="es-ES"/>
        </w:rPr>
        <w:t>inebra</w:t>
      </w:r>
      <w:r w:rsidR="00891AB9" w:rsidRPr="00ED0FFC">
        <w:rPr>
          <w:szCs w:val="22"/>
          <w:lang w:val="es-ES"/>
        </w:rPr>
        <w:t xml:space="preserve"> (Suiza)</w:t>
      </w:r>
      <w:r w:rsidR="002B1093" w:rsidRPr="00ED0FFC">
        <w:rPr>
          <w:szCs w:val="22"/>
          <w:lang w:val="es-ES"/>
        </w:rPr>
        <w:t xml:space="preserve">. </w:t>
      </w:r>
      <w:r w:rsidRPr="00ED0FFC">
        <w:rPr>
          <w:szCs w:val="22"/>
          <w:lang w:val="es-ES"/>
        </w:rPr>
        <w:t>27 de octubre d</w:t>
      </w:r>
      <w:r w:rsidR="00222344" w:rsidRPr="00ED0FFC">
        <w:rPr>
          <w:szCs w:val="22"/>
          <w:lang w:val="es-ES"/>
        </w:rPr>
        <w:t>e 2</w:t>
      </w:r>
      <w:r w:rsidR="002B1093" w:rsidRPr="00ED0FFC">
        <w:rPr>
          <w:szCs w:val="22"/>
          <w:lang w:val="es-ES"/>
        </w:rPr>
        <w:t>015</w:t>
      </w:r>
      <w:r w:rsidR="00742E3D" w:rsidRPr="00ED0FFC">
        <w:rPr>
          <w:szCs w:val="22"/>
          <w:lang w:val="es-ES"/>
        </w:rPr>
        <w:t>.</w:t>
      </w:r>
    </w:p>
    <w:p w:rsidR="002B1093" w:rsidRPr="00ED0FFC" w:rsidRDefault="002B1093" w:rsidP="007F60FD">
      <w:pPr>
        <w:rPr>
          <w:szCs w:val="22"/>
        </w:rPr>
      </w:pPr>
    </w:p>
    <w:p w:rsidR="00742E3D" w:rsidRPr="00ED0FFC" w:rsidRDefault="002B1093" w:rsidP="007F60FD">
      <w:pPr>
        <w:rPr>
          <w:szCs w:val="22"/>
        </w:rPr>
      </w:pPr>
      <w:r w:rsidRPr="00ED0FFC">
        <w:rPr>
          <w:szCs w:val="22"/>
        </w:rPr>
        <w:t>30.</w:t>
      </w:r>
      <w:r w:rsidRPr="00ED0FFC">
        <w:rPr>
          <w:szCs w:val="22"/>
        </w:rPr>
        <w:tab/>
      </w:r>
      <w:r w:rsidR="00415501" w:rsidRPr="00ED0FFC">
        <w:rPr>
          <w:szCs w:val="22"/>
        </w:rPr>
        <w:t xml:space="preserve">La Academia de la OMPI creó un programa especial sobre transferencia de tecnología para </w:t>
      </w:r>
      <w:r w:rsidR="00FB2A27" w:rsidRPr="00ED0FFC">
        <w:rPr>
          <w:szCs w:val="22"/>
        </w:rPr>
        <w:t>el Curso</w:t>
      </w:r>
      <w:r w:rsidR="00415501" w:rsidRPr="00ED0FFC">
        <w:rPr>
          <w:szCs w:val="22"/>
        </w:rPr>
        <w:t xml:space="preserve"> </w:t>
      </w:r>
      <w:r w:rsidR="00BD5851" w:rsidRPr="00ED0FFC">
        <w:rPr>
          <w:szCs w:val="22"/>
        </w:rPr>
        <w:t xml:space="preserve">de Verano en Sudáfrica, organizada anualmente en Durban en el mes de noviembre </w:t>
      </w:r>
      <w:r w:rsidRPr="00ED0FFC">
        <w:rPr>
          <w:szCs w:val="22"/>
        </w:rPr>
        <w:t xml:space="preserve">(2014 </w:t>
      </w:r>
      <w:r w:rsidR="00222344" w:rsidRPr="00ED0FFC">
        <w:rPr>
          <w:szCs w:val="22"/>
        </w:rPr>
        <w:t>y 2</w:t>
      </w:r>
      <w:r w:rsidRPr="00ED0FFC">
        <w:rPr>
          <w:szCs w:val="22"/>
        </w:rPr>
        <w:t xml:space="preserve">015), </w:t>
      </w:r>
      <w:r w:rsidR="00BD5851" w:rsidRPr="00ED0FFC">
        <w:rPr>
          <w:szCs w:val="22"/>
        </w:rPr>
        <w:t xml:space="preserve">principalmente para </w:t>
      </w:r>
      <w:r w:rsidR="006F205D" w:rsidRPr="00ED0FFC">
        <w:rPr>
          <w:szCs w:val="22"/>
        </w:rPr>
        <w:t>profesionales</w:t>
      </w:r>
      <w:r w:rsidR="00BD5851" w:rsidRPr="00ED0FFC">
        <w:rPr>
          <w:szCs w:val="22"/>
        </w:rPr>
        <w:t xml:space="preserve"> de los países en desarrollo</w:t>
      </w:r>
      <w:r w:rsidRPr="00ED0FFC">
        <w:rPr>
          <w:szCs w:val="22"/>
        </w:rPr>
        <w:t xml:space="preserve">.  </w:t>
      </w:r>
      <w:r w:rsidR="00BD5851" w:rsidRPr="00ED0FFC">
        <w:rPr>
          <w:szCs w:val="22"/>
        </w:rPr>
        <w:t xml:space="preserve">La </w:t>
      </w:r>
      <w:r w:rsidR="00BD5851" w:rsidRPr="00ED0FFC">
        <w:rPr>
          <w:szCs w:val="22"/>
        </w:rPr>
        <w:lastRenderedPageBreak/>
        <w:t xml:space="preserve">formación de un día sobre transferencia de tecnología y concesión de licencias también se incorpora </w:t>
      </w:r>
      <w:r w:rsidR="005B2E04" w:rsidRPr="00ED0FFC">
        <w:rPr>
          <w:szCs w:val="22"/>
        </w:rPr>
        <w:t xml:space="preserve">al Coloquio OMPI-OMC para profesores de P.I., organizado anualmente de manera conjunta por las dos organizaciones en Ginebra </w:t>
      </w:r>
      <w:r w:rsidRPr="00ED0FFC">
        <w:rPr>
          <w:szCs w:val="22"/>
        </w:rPr>
        <w:t>(</w:t>
      </w:r>
      <w:r w:rsidR="005B2E04" w:rsidRPr="00ED0FFC">
        <w:rPr>
          <w:szCs w:val="22"/>
        </w:rPr>
        <w:t>junio d</w:t>
      </w:r>
      <w:r w:rsidR="00222344" w:rsidRPr="00ED0FFC">
        <w:rPr>
          <w:szCs w:val="22"/>
        </w:rPr>
        <w:t>e 2</w:t>
      </w:r>
      <w:r w:rsidRPr="00ED0FFC">
        <w:rPr>
          <w:szCs w:val="22"/>
        </w:rPr>
        <w:t xml:space="preserve">014 / </w:t>
      </w:r>
      <w:r w:rsidR="005B2E04" w:rsidRPr="00ED0FFC">
        <w:rPr>
          <w:szCs w:val="22"/>
        </w:rPr>
        <w:t>junio d</w:t>
      </w:r>
      <w:r w:rsidR="00222344" w:rsidRPr="00ED0FFC">
        <w:rPr>
          <w:szCs w:val="22"/>
        </w:rPr>
        <w:t>e 2</w:t>
      </w:r>
      <w:r w:rsidRPr="00ED0FFC">
        <w:rPr>
          <w:szCs w:val="22"/>
        </w:rPr>
        <w:t xml:space="preserve">015).  </w:t>
      </w:r>
      <w:r w:rsidR="005B2E04" w:rsidRPr="00ED0FFC">
        <w:rPr>
          <w:szCs w:val="22"/>
        </w:rPr>
        <w:t>En el caso d</w:t>
      </w:r>
      <w:r w:rsidR="00742E3D" w:rsidRPr="00ED0FFC">
        <w:rPr>
          <w:szCs w:val="22"/>
        </w:rPr>
        <w:t>e l</w:t>
      </w:r>
      <w:r w:rsidR="005B2E04" w:rsidRPr="00ED0FFC">
        <w:rPr>
          <w:szCs w:val="22"/>
        </w:rPr>
        <w:t>os funcionarios gubernamentales y los responsables políticos, el tema se incluye en el Curso avanzado OMPI-OMC sobre política comercial</w:t>
      </w:r>
      <w:r w:rsidRPr="00ED0FFC">
        <w:rPr>
          <w:szCs w:val="22"/>
        </w:rPr>
        <w:t xml:space="preserve">, </w:t>
      </w:r>
      <w:r w:rsidR="005B2E04" w:rsidRPr="00ED0FFC">
        <w:rPr>
          <w:szCs w:val="22"/>
        </w:rPr>
        <w:t xml:space="preserve">en Ginebra, que habitualmente se organiza dos o tres veces al año </w:t>
      </w:r>
      <w:r w:rsidRPr="00ED0FFC">
        <w:rPr>
          <w:szCs w:val="22"/>
        </w:rPr>
        <w:t>(</w:t>
      </w:r>
      <w:r w:rsidR="005B2E04" w:rsidRPr="00ED0FFC">
        <w:rPr>
          <w:szCs w:val="22"/>
        </w:rPr>
        <w:t>e</w:t>
      </w:r>
      <w:r w:rsidR="00222344" w:rsidRPr="00ED0FFC">
        <w:rPr>
          <w:szCs w:val="22"/>
        </w:rPr>
        <w:t>n 2</w:t>
      </w:r>
      <w:r w:rsidRPr="00ED0FFC">
        <w:rPr>
          <w:szCs w:val="22"/>
        </w:rPr>
        <w:t xml:space="preserve">014 </w:t>
      </w:r>
      <w:r w:rsidR="005B2E04" w:rsidRPr="00ED0FFC">
        <w:rPr>
          <w:szCs w:val="22"/>
        </w:rPr>
        <w:t>se celebró en febrero y octubre, y e</w:t>
      </w:r>
      <w:r w:rsidR="00222344" w:rsidRPr="00ED0FFC">
        <w:rPr>
          <w:szCs w:val="22"/>
        </w:rPr>
        <w:t>n 2</w:t>
      </w:r>
      <w:r w:rsidRPr="00ED0FFC">
        <w:rPr>
          <w:szCs w:val="22"/>
        </w:rPr>
        <w:t xml:space="preserve">015 </w:t>
      </w:r>
      <w:r w:rsidR="005B2E04" w:rsidRPr="00ED0FFC">
        <w:rPr>
          <w:szCs w:val="22"/>
        </w:rPr>
        <w:t>en febrero, julio y noviembre</w:t>
      </w:r>
      <w:r w:rsidRPr="00ED0FFC">
        <w:rPr>
          <w:szCs w:val="22"/>
        </w:rPr>
        <w:t>)</w:t>
      </w:r>
      <w:r w:rsidR="00742E3D" w:rsidRPr="00ED0FFC">
        <w:rPr>
          <w:szCs w:val="22"/>
        </w:rPr>
        <w:t>.</w:t>
      </w:r>
    </w:p>
    <w:p w:rsidR="002B1093" w:rsidRPr="00ED0FFC" w:rsidRDefault="002B1093" w:rsidP="007F60FD">
      <w:pPr>
        <w:rPr>
          <w:szCs w:val="22"/>
        </w:rPr>
      </w:pPr>
    </w:p>
    <w:p w:rsidR="002B1093" w:rsidRPr="00ED0FFC" w:rsidRDefault="002B1093" w:rsidP="007F60FD">
      <w:pPr>
        <w:rPr>
          <w:szCs w:val="22"/>
        </w:rPr>
      </w:pPr>
      <w:r w:rsidRPr="00ED0FFC">
        <w:rPr>
          <w:szCs w:val="22"/>
        </w:rPr>
        <w:t>31.</w:t>
      </w:r>
      <w:r w:rsidRPr="00ED0FFC">
        <w:rPr>
          <w:szCs w:val="22"/>
        </w:rPr>
        <w:tab/>
      </w:r>
      <w:r w:rsidR="005B2E04" w:rsidRPr="00ED0FFC">
        <w:rPr>
          <w:szCs w:val="22"/>
        </w:rPr>
        <w:t xml:space="preserve">A través de la colaboración de la Academia con diversas instituciones académicas, la OMPI también se convirtió en socio </w:t>
      </w:r>
      <w:r w:rsidR="00E7032D" w:rsidRPr="00ED0FFC">
        <w:rPr>
          <w:szCs w:val="22"/>
        </w:rPr>
        <w:t xml:space="preserve">para </w:t>
      </w:r>
      <w:r w:rsidR="005B2E04" w:rsidRPr="00ED0FFC">
        <w:rPr>
          <w:szCs w:val="22"/>
        </w:rPr>
        <w:t xml:space="preserve">la </w:t>
      </w:r>
      <w:r w:rsidR="00E7032D" w:rsidRPr="00ED0FFC">
        <w:rPr>
          <w:szCs w:val="22"/>
        </w:rPr>
        <w:t>puesta en marcha d</w:t>
      </w:r>
      <w:r w:rsidR="005B2E04" w:rsidRPr="00ED0FFC">
        <w:rPr>
          <w:szCs w:val="22"/>
        </w:rPr>
        <w:t>e estudios de Maestría sobr</w:t>
      </w:r>
      <w:r w:rsidR="00742E3D" w:rsidRPr="00ED0FFC">
        <w:rPr>
          <w:szCs w:val="22"/>
        </w:rPr>
        <w:t>e p</w:t>
      </w:r>
      <w:r w:rsidR="005B2E04" w:rsidRPr="00ED0FFC">
        <w:rPr>
          <w:szCs w:val="22"/>
        </w:rPr>
        <w:t xml:space="preserve">ropiedad intelectual, en los que la participación de estudiantes de países en desarrollo </w:t>
      </w:r>
      <w:r w:rsidR="00E7032D" w:rsidRPr="00ED0FFC">
        <w:rPr>
          <w:szCs w:val="22"/>
        </w:rPr>
        <w:t>es</w:t>
      </w:r>
      <w:r w:rsidR="005B2E04" w:rsidRPr="00ED0FFC">
        <w:rPr>
          <w:szCs w:val="22"/>
        </w:rPr>
        <w:t xml:space="preserve"> financiada principalmente por la OMPI</w:t>
      </w:r>
      <w:r w:rsidR="00C06E1B" w:rsidRPr="00ED0FFC">
        <w:rPr>
          <w:szCs w:val="22"/>
        </w:rPr>
        <w:t xml:space="preserve">.  </w:t>
      </w:r>
      <w:r w:rsidR="005B2E04" w:rsidRPr="00ED0FFC">
        <w:rPr>
          <w:szCs w:val="22"/>
        </w:rPr>
        <w:t>La</w:t>
      </w:r>
      <w:r w:rsidR="00A118B6" w:rsidRPr="00ED0FFC">
        <w:rPr>
          <w:szCs w:val="22"/>
        </w:rPr>
        <w:t>s</w:t>
      </w:r>
      <w:r w:rsidR="005B2E04" w:rsidRPr="00ED0FFC">
        <w:rPr>
          <w:szCs w:val="22"/>
        </w:rPr>
        <w:t xml:space="preserve"> cuestiones relacionadas con la </w:t>
      </w:r>
      <w:r w:rsidR="006F205D" w:rsidRPr="00ED0FFC">
        <w:rPr>
          <w:szCs w:val="22"/>
        </w:rPr>
        <w:t>transmisión</w:t>
      </w:r>
      <w:r w:rsidR="005B2E04" w:rsidRPr="00ED0FFC">
        <w:rPr>
          <w:szCs w:val="22"/>
        </w:rPr>
        <w:t xml:space="preserve"> de conocimientos</w:t>
      </w:r>
      <w:r w:rsidR="00C06E1B" w:rsidRPr="00ED0FFC">
        <w:rPr>
          <w:szCs w:val="22"/>
        </w:rPr>
        <w:t> </w:t>
      </w:r>
      <w:r w:rsidRPr="00ED0FFC">
        <w:rPr>
          <w:szCs w:val="22"/>
        </w:rPr>
        <w:t>/</w:t>
      </w:r>
      <w:r w:rsidR="00C06E1B" w:rsidRPr="00ED0FFC">
        <w:rPr>
          <w:szCs w:val="22"/>
        </w:rPr>
        <w:t> </w:t>
      </w:r>
      <w:r w:rsidR="005B2E04" w:rsidRPr="00ED0FFC">
        <w:rPr>
          <w:szCs w:val="22"/>
        </w:rPr>
        <w:t xml:space="preserve">tecnología se incluyen en los planes de estudio de estos cursos de Maestría de diferentes maneras, </w:t>
      </w:r>
      <w:r w:rsidR="00E7032D" w:rsidRPr="00ED0FFC">
        <w:rPr>
          <w:szCs w:val="22"/>
        </w:rPr>
        <w:t xml:space="preserve">combinando principalmente </w:t>
      </w:r>
      <w:r w:rsidR="00FA75AC" w:rsidRPr="00ED0FFC">
        <w:rPr>
          <w:szCs w:val="22"/>
        </w:rPr>
        <w:t>teoría y ejercicios prácticos relacionados con el uso de la P.I. en este contexto</w:t>
      </w:r>
      <w:r w:rsidRPr="00ED0FFC">
        <w:rPr>
          <w:szCs w:val="22"/>
        </w:rPr>
        <w:t xml:space="preserve">.  </w:t>
      </w:r>
      <w:r w:rsidR="00FA75AC" w:rsidRPr="00ED0FFC">
        <w:rPr>
          <w:szCs w:val="22"/>
        </w:rPr>
        <w:t xml:space="preserve">Estos programas se desarrollan en colaboración con la Universidad de </w:t>
      </w:r>
      <w:r w:rsidRPr="00ED0FFC">
        <w:rPr>
          <w:szCs w:val="22"/>
        </w:rPr>
        <w:t>Tur</w:t>
      </w:r>
      <w:r w:rsidR="00FA75AC" w:rsidRPr="00ED0FFC">
        <w:rPr>
          <w:szCs w:val="22"/>
        </w:rPr>
        <w:t>í</w:t>
      </w:r>
      <w:r w:rsidRPr="00ED0FFC">
        <w:rPr>
          <w:szCs w:val="22"/>
        </w:rPr>
        <w:t>n (Tur</w:t>
      </w:r>
      <w:r w:rsidR="00FA75AC" w:rsidRPr="00ED0FFC">
        <w:rPr>
          <w:szCs w:val="22"/>
        </w:rPr>
        <w:t>í</w:t>
      </w:r>
      <w:r w:rsidRPr="00ED0FFC">
        <w:rPr>
          <w:szCs w:val="22"/>
        </w:rPr>
        <w:t>n, Ital</w:t>
      </w:r>
      <w:r w:rsidR="00FA75AC" w:rsidRPr="00ED0FFC">
        <w:rPr>
          <w:szCs w:val="22"/>
        </w:rPr>
        <w:t>ia</w:t>
      </w:r>
      <w:r w:rsidRPr="00ED0FFC">
        <w:rPr>
          <w:szCs w:val="22"/>
        </w:rPr>
        <w:t>), Africa University (Mutare, Zimbab</w:t>
      </w:r>
      <w:r w:rsidR="004477BD" w:rsidRPr="00ED0FFC">
        <w:rPr>
          <w:szCs w:val="22"/>
        </w:rPr>
        <w:t>w</w:t>
      </w:r>
      <w:r w:rsidRPr="00ED0FFC">
        <w:rPr>
          <w:szCs w:val="22"/>
        </w:rPr>
        <w:t xml:space="preserve">e), Queensland University of Technology (Brisbane, Australia) </w:t>
      </w:r>
      <w:r w:rsidR="00FA75AC" w:rsidRPr="00ED0FFC">
        <w:rPr>
          <w:szCs w:val="22"/>
        </w:rPr>
        <w:t xml:space="preserve">y la Universidad Austral </w:t>
      </w:r>
      <w:r w:rsidRPr="00ED0FFC">
        <w:rPr>
          <w:szCs w:val="22"/>
        </w:rPr>
        <w:t xml:space="preserve">(Buenos Aires, Argentina), </w:t>
      </w:r>
      <w:r w:rsidR="00FA75AC" w:rsidRPr="00ED0FFC">
        <w:rPr>
          <w:szCs w:val="22"/>
        </w:rPr>
        <w:t xml:space="preserve">y están disponibles anualmente, con becas para </w:t>
      </w:r>
      <w:r w:rsidR="00E7032D" w:rsidRPr="00ED0FFC">
        <w:rPr>
          <w:szCs w:val="22"/>
        </w:rPr>
        <w:t xml:space="preserve">los </w:t>
      </w:r>
      <w:r w:rsidR="00FA75AC" w:rsidRPr="00ED0FFC">
        <w:rPr>
          <w:szCs w:val="22"/>
        </w:rPr>
        <w:t>participantes de los PMA, los países en desarrollo y los países en transición</w:t>
      </w:r>
      <w:r w:rsidRPr="00ED0FFC">
        <w:rPr>
          <w:szCs w:val="22"/>
        </w:rPr>
        <w:t>.</w:t>
      </w:r>
    </w:p>
    <w:p w:rsidR="002B1093" w:rsidRPr="00ED0FFC" w:rsidRDefault="002B1093" w:rsidP="00901265">
      <w:pPr>
        <w:pStyle w:val="Heading2"/>
        <w:ind w:left="567" w:hanging="567"/>
      </w:pPr>
      <w:r w:rsidRPr="00ED0FFC">
        <w:t>V</w:t>
      </w:r>
      <w:r w:rsidR="005C4A81" w:rsidRPr="00ED0FFC">
        <w:t>I</w:t>
      </w:r>
      <w:r w:rsidRPr="00ED0FFC">
        <w:t>.</w:t>
      </w:r>
      <w:r w:rsidRPr="00ED0FFC">
        <w:tab/>
        <w:t>Crea</w:t>
      </w:r>
      <w:r w:rsidR="00FA75AC" w:rsidRPr="00ED0FFC">
        <w:t xml:space="preserve">CIÓN DE HERRAMIENTAS, GUIAS </w:t>
      </w:r>
      <w:r w:rsidRPr="00ED0FFC">
        <w:t>/ Manual</w:t>
      </w:r>
      <w:r w:rsidR="00FA75AC" w:rsidRPr="00ED0FFC">
        <w:t>ES</w:t>
      </w:r>
      <w:r w:rsidRPr="00ED0FFC">
        <w:t xml:space="preserve"> </w:t>
      </w:r>
      <w:r w:rsidR="00FA75AC" w:rsidRPr="00ED0FFC">
        <w:t xml:space="preserve">Y MATERIALES DE FORMACIÓN </w:t>
      </w:r>
    </w:p>
    <w:p w:rsidR="002B1093" w:rsidRPr="00ED0FFC" w:rsidRDefault="002B1093" w:rsidP="007F60FD">
      <w:pPr>
        <w:rPr>
          <w:u w:val="single"/>
        </w:rPr>
      </w:pPr>
    </w:p>
    <w:p w:rsidR="002B1093" w:rsidRPr="00ED0FFC" w:rsidRDefault="002B1093" w:rsidP="007F60FD">
      <w:pPr>
        <w:rPr>
          <w:szCs w:val="22"/>
        </w:rPr>
      </w:pPr>
      <w:r w:rsidRPr="00ED0FFC">
        <w:rPr>
          <w:szCs w:val="22"/>
        </w:rPr>
        <w:t>32.</w:t>
      </w:r>
      <w:r w:rsidRPr="00ED0FFC">
        <w:rPr>
          <w:szCs w:val="22"/>
        </w:rPr>
        <w:tab/>
      </w:r>
      <w:r w:rsidR="000A2B28" w:rsidRPr="00ED0FFC">
        <w:rPr>
          <w:szCs w:val="22"/>
        </w:rPr>
        <w:t xml:space="preserve">La mayoría de las guías y manuales de la OMPI se desarrollan para su empleo en programas de formación específicos, como se indica en </w:t>
      </w:r>
      <w:r w:rsidR="00A118B6" w:rsidRPr="00ED0FFC">
        <w:rPr>
          <w:szCs w:val="22"/>
        </w:rPr>
        <w:t>el capítulo sobre programas de f</w:t>
      </w:r>
      <w:r w:rsidR="000A2B28" w:rsidRPr="00ED0FFC">
        <w:rPr>
          <w:szCs w:val="22"/>
        </w:rPr>
        <w:t xml:space="preserve">ortalecimiento de </w:t>
      </w:r>
      <w:r w:rsidR="00A118B6" w:rsidRPr="00ED0FFC">
        <w:rPr>
          <w:szCs w:val="22"/>
        </w:rPr>
        <w:t>c</w:t>
      </w:r>
      <w:r w:rsidR="000A2B28" w:rsidRPr="00ED0FFC">
        <w:rPr>
          <w:szCs w:val="22"/>
        </w:rPr>
        <w:t>apacidades</w:t>
      </w:r>
      <w:r w:rsidRPr="00ED0FFC">
        <w:rPr>
          <w:szCs w:val="22"/>
        </w:rPr>
        <w:t xml:space="preserve">.  </w:t>
      </w:r>
      <w:r w:rsidR="000A2B28" w:rsidRPr="00ED0FFC">
        <w:rPr>
          <w:szCs w:val="22"/>
        </w:rPr>
        <w:t>La OMPI ha elaborado los siguientes manuales</w:t>
      </w:r>
      <w:r w:rsidRPr="00ED0FFC">
        <w:rPr>
          <w:szCs w:val="22"/>
        </w:rPr>
        <w:t>:</w:t>
      </w:r>
    </w:p>
    <w:p w:rsidR="002B1093" w:rsidRPr="00ED0FFC" w:rsidRDefault="002B1093" w:rsidP="007F60FD">
      <w:pPr>
        <w:rPr>
          <w:szCs w:val="22"/>
        </w:rPr>
      </w:pPr>
    </w:p>
    <w:p w:rsidR="002B1093" w:rsidRPr="00ED0FFC" w:rsidRDefault="00BE39C4" w:rsidP="007F60FD">
      <w:pPr>
        <w:pStyle w:val="ListParagraph"/>
        <w:numPr>
          <w:ilvl w:val="0"/>
          <w:numId w:val="8"/>
        </w:numPr>
        <w:ind w:left="1134" w:hanging="567"/>
        <w:rPr>
          <w:szCs w:val="22"/>
          <w:lang w:val="es-ES"/>
        </w:rPr>
      </w:pPr>
      <w:r w:rsidRPr="00ED0FFC">
        <w:rPr>
          <w:szCs w:val="22"/>
          <w:lang w:val="es-ES"/>
        </w:rPr>
        <w:t>C</w:t>
      </w:r>
      <w:r w:rsidR="000A2B28" w:rsidRPr="00ED0FFC">
        <w:rPr>
          <w:szCs w:val="22"/>
          <w:lang w:val="es-ES"/>
        </w:rPr>
        <w:t xml:space="preserve">arpeta de formación de la OMPI sobre redacción de </w:t>
      </w:r>
      <w:r w:rsidR="00A118B6" w:rsidRPr="00ED0FFC">
        <w:rPr>
          <w:szCs w:val="22"/>
          <w:lang w:val="es-ES"/>
        </w:rPr>
        <w:t>solicitudes de patente</w:t>
      </w:r>
      <w:r w:rsidR="000A2B28" w:rsidRPr="00ED0FFC">
        <w:rPr>
          <w:szCs w:val="22"/>
          <w:lang w:val="es-ES"/>
        </w:rPr>
        <w:t xml:space="preserve"> </w:t>
      </w:r>
      <w:r w:rsidR="002B1093" w:rsidRPr="00ED0FFC">
        <w:rPr>
          <w:szCs w:val="22"/>
          <w:lang w:val="es-ES"/>
        </w:rPr>
        <w:t>– Cont</w:t>
      </w:r>
      <w:r w:rsidR="000A2B28" w:rsidRPr="00ED0FFC">
        <w:rPr>
          <w:szCs w:val="22"/>
          <w:lang w:val="es-ES"/>
        </w:rPr>
        <w:t>iene el Manual de la OMPI de reda</w:t>
      </w:r>
      <w:r w:rsidR="00A118B6" w:rsidRPr="00ED0FFC">
        <w:rPr>
          <w:szCs w:val="22"/>
          <w:lang w:val="es-ES"/>
        </w:rPr>
        <w:t>cción de solicitudes de patente</w:t>
      </w:r>
      <w:r w:rsidR="00FB1350" w:rsidRPr="00ED0FFC">
        <w:rPr>
          <w:szCs w:val="22"/>
          <w:lang w:val="es-ES"/>
        </w:rPr>
        <w:t xml:space="preserve"> - </w:t>
      </w:r>
      <w:r w:rsidR="000A2B28" w:rsidRPr="00ED0FFC">
        <w:rPr>
          <w:szCs w:val="22"/>
          <w:lang w:val="es-ES"/>
        </w:rPr>
        <w:t xml:space="preserve">publicación </w:t>
      </w:r>
      <w:r w:rsidR="00901265">
        <w:rPr>
          <w:szCs w:val="22"/>
          <w:lang w:val="es-ES"/>
        </w:rPr>
        <w:t xml:space="preserve">867 </w:t>
      </w:r>
      <w:r w:rsidR="000A2B28" w:rsidRPr="00ED0FFC">
        <w:rPr>
          <w:szCs w:val="22"/>
          <w:lang w:val="es-ES"/>
        </w:rPr>
        <w:t>de la OMP</w:t>
      </w:r>
      <w:r w:rsidR="00222344" w:rsidRPr="00ED0FFC">
        <w:rPr>
          <w:szCs w:val="22"/>
          <w:lang w:val="es-ES"/>
        </w:rPr>
        <w:t>I</w:t>
      </w:r>
      <w:r w:rsidR="00FB1350" w:rsidRPr="00ED0FFC">
        <w:rPr>
          <w:szCs w:val="22"/>
          <w:lang w:val="es-ES"/>
        </w:rPr>
        <w:t xml:space="preserve">: </w:t>
      </w:r>
      <w:hyperlink r:id="rId20" w:history="1">
        <w:r w:rsidR="002B1093" w:rsidRPr="00ED0FFC">
          <w:rPr>
            <w:rStyle w:val="Hyperlink"/>
            <w:color w:val="auto"/>
            <w:szCs w:val="22"/>
            <w:lang w:val="es-ES"/>
          </w:rPr>
          <w:t>http://www.wipo.int/edocs/pubdocs/e</w:t>
        </w:r>
        <w:r w:rsidR="00FB1350" w:rsidRPr="00ED0FFC">
          <w:rPr>
            <w:rStyle w:val="Hyperlink"/>
            <w:color w:val="auto"/>
            <w:szCs w:val="22"/>
            <w:lang w:val="es-ES"/>
          </w:rPr>
          <w:t>s</w:t>
        </w:r>
        <w:r w:rsidR="002B1093" w:rsidRPr="00ED0FFC">
          <w:rPr>
            <w:rStyle w:val="Hyperlink"/>
            <w:color w:val="auto"/>
            <w:szCs w:val="22"/>
            <w:lang w:val="es-ES"/>
          </w:rPr>
          <w:t>/patents/867/wipo_pub_867.pdf</w:t>
        </w:r>
      </w:hyperlink>
      <w:r w:rsidR="002B1093" w:rsidRPr="00ED0FFC">
        <w:rPr>
          <w:szCs w:val="22"/>
          <w:lang w:val="es-ES"/>
        </w:rPr>
        <w:t xml:space="preserve">), </w:t>
      </w:r>
      <w:r w:rsidR="00FB1350" w:rsidRPr="00ED0FFC">
        <w:rPr>
          <w:szCs w:val="22"/>
          <w:lang w:val="es-ES"/>
        </w:rPr>
        <w:t xml:space="preserve">el modelo de programa estándar y un conjunto de </w:t>
      </w:r>
      <w:r w:rsidR="00A118B6" w:rsidRPr="00ED0FFC">
        <w:rPr>
          <w:szCs w:val="22"/>
          <w:lang w:val="es-ES"/>
        </w:rPr>
        <w:t>ponencias</w:t>
      </w:r>
      <w:r w:rsidR="00FB1350" w:rsidRPr="00ED0FFC">
        <w:rPr>
          <w:szCs w:val="22"/>
          <w:lang w:val="es-ES"/>
        </w:rPr>
        <w:t xml:space="preserve"> adaptadas al contenido del Manual</w:t>
      </w:r>
      <w:r w:rsidR="002B1093" w:rsidRPr="00ED0FFC">
        <w:rPr>
          <w:szCs w:val="22"/>
          <w:lang w:val="es-ES"/>
        </w:rPr>
        <w:t xml:space="preserve">.  </w:t>
      </w:r>
      <w:r w:rsidR="00FB1350" w:rsidRPr="00ED0FFC">
        <w:rPr>
          <w:szCs w:val="22"/>
          <w:lang w:val="es-ES"/>
        </w:rPr>
        <w:t>Los m</w:t>
      </w:r>
      <w:r w:rsidR="002B1093" w:rsidRPr="00ED0FFC">
        <w:rPr>
          <w:szCs w:val="22"/>
          <w:lang w:val="es-ES"/>
        </w:rPr>
        <w:t>aterial</w:t>
      </w:r>
      <w:r w:rsidR="00FB1350" w:rsidRPr="00ED0FFC">
        <w:rPr>
          <w:szCs w:val="22"/>
          <w:lang w:val="es-ES"/>
        </w:rPr>
        <w:t>e</w:t>
      </w:r>
      <w:r w:rsidR="002B1093" w:rsidRPr="00ED0FFC">
        <w:rPr>
          <w:szCs w:val="22"/>
          <w:lang w:val="es-ES"/>
        </w:rPr>
        <w:t xml:space="preserve">s </w:t>
      </w:r>
      <w:r w:rsidR="00FB1350" w:rsidRPr="00ED0FFC">
        <w:rPr>
          <w:szCs w:val="22"/>
          <w:lang w:val="es-ES"/>
        </w:rPr>
        <w:t>están disponibles en inglés, francés y español</w:t>
      </w:r>
      <w:r w:rsidR="002B1093" w:rsidRPr="00ED0FFC">
        <w:rPr>
          <w:szCs w:val="22"/>
          <w:lang w:val="es-ES"/>
        </w:rPr>
        <w:t>;</w:t>
      </w:r>
    </w:p>
    <w:p w:rsidR="002B1093" w:rsidRPr="00ED0FFC" w:rsidRDefault="00FB1350" w:rsidP="007F60FD">
      <w:pPr>
        <w:pStyle w:val="ListParagraph"/>
        <w:numPr>
          <w:ilvl w:val="0"/>
          <w:numId w:val="8"/>
        </w:numPr>
        <w:ind w:left="1134" w:hanging="567"/>
        <w:rPr>
          <w:szCs w:val="22"/>
          <w:lang w:val="es-ES"/>
        </w:rPr>
      </w:pPr>
      <w:r w:rsidRPr="00ED0FFC">
        <w:rPr>
          <w:szCs w:val="22"/>
          <w:lang w:val="es-ES"/>
        </w:rPr>
        <w:t>Libro de ejercicios sobre redacción de</w:t>
      </w:r>
      <w:r w:rsidR="00A118B6" w:rsidRPr="00ED0FFC">
        <w:rPr>
          <w:szCs w:val="22"/>
          <w:lang w:val="es-ES"/>
        </w:rPr>
        <w:t xml:space="preserve"> solicitudes de</w:t>
      </w:r>
      <w:r w:rsidRPr="00ED0FFC">
        <w:rPr>
          <w:szCs w:val="22"/>
          <w:lang w:val="es-ES"/>
        </w:rPr>
        <w:t xml:space="preserve"> </w:t>
      </w:r>
      <w:r w:rsidR="00A118B6" w:rsidRPr="00ED0FFC">
        <w:rPr>
          <w:szCs w:val="22"/>
          <w:lang w:val="es-ES"/>
        </w:rPr>
        <w:t>patente</w:t>
      </w:r>
      <w:r w:rsidRPr="00ED0FFC">
        <w:rPr>
          <w:szCs w:val="22"/>
          <w:lang w:val="es-ES"/>
        </w:rPr>
        <w:t xml:space="preserve"> </w:t>
      </w:r>
      <w:r w:rsidR="002B1093" w:rsidRPr="00ED0FFC">
        <w:rPr>
          <w:szCs w:val="22"/>
          <w:lang w:val="es-ES"/>
        </w:rPr>
        <w:t>– Material de</w:t>
      </w:r>
      <w:r w:rsidRPr="00ED0FFC">
        <w:rPr>
          <w:szCs w:val="22"/>
          <w:lang w:val="es-ES"/>
        </w:rPr>
        <w:t>sarrollado sobre la base de la recomendació</w:t>
      </w:r>
      <w:r w:rsidR="00222344" w:rsidRPr="00ED0FFC">
        <w:rPr>
          <w:szCs w:val="22"/>
          <w:lang w:val="es-ES"/>
        </w:rPr>
        <w:t>n 1</w:t>
      </w:r>
      <w:r w:rsidRPr="00ED0FFC">
        <w:rPr>
          <w:szCs w:val="22"/>
          <w:lang w:val="es-ES"/>
        </w:rPr>
        <w:t>0 de la Agenda para el Desarrollo, que está disponible actualmente en su versión preliminar y en fase de estudio, y que previsiblemente estar</w:t>
      </w:r>
      <w:r w:rsidR="00BE39C4" w:rsidRPr="00ED0FFC">
        <w:rPr>
          <w:szCs w:val="22"/>
          <w:lang w:val="es-ES"/>
        </w:rPr>
        <w:t xml:space="preserve">á disponible en breve en la página </w:t>
      </w:r>
      <w:r w:rsidR="00C910FA" w:rsidRPr="00ED0FFC">
        <w:rPr>
          <w:szCs w:val="22"/>
          <w:lang w:val="es-ES"/>
        </w:rPr>
        <w:t>web</w:t>
      </w:r>
      <w:r w:rsidRPr="00ED0FFC">
        <w:rPr>
          <w:szCs w:val="22"/>
          <w:lang w:val="es-ES"/>
        </w:rPr>
        <w:t xml:space="preserve"> </w:t>
      </w:r>
      <w:r w:rsidR="00BE39C4" w:rsidRPr="00ED0FFC">
        <w:rPr>
          <w:szCs w:val="22"/>
          <w:lang w:val="es-ES"/>
        </w:rPr>
        <w:t xml:space="preserve">de la OMPI sobre </w:t>
      </w:r>
      <w:r w:rsidR="006F205D" w:rsidRPr="00ED0FFC">
        <w:rPr>
          <w:szCs w:val="22"/>
          <w:lang w:val="es-ES"/>
        </w:rPr>
        <w:t>transmisión</w:t>
      </w:r>
      <w:r w:rsidR="00BE39C4" w:rsidRPr="00ED0FFC">
        <w:rPr>
          <w:szCs w:val="22"/>
          <w:lang w:val="es-ES"/>
        </w:rPr>
        <w:t xml:space="preserve"> de conocimientos</w:t>
      </w:r>
      <w:r w:rsidR="002B1093" w:rsidRPr="00ED0FFC">
        <w:rPr>
          <w:szCs w:val="22"/>
          <w:lang w:val="es-ES"/>
        </w:rPr>
        <w:t>;</w:t>
      </w:r>
    </w:p>
    <w:p w:rsidR="002B1093" w:rsidRPr="00ED0FFC" w:rsidRDefault="00BE39C4" w:rsidP="007F60FD">
      <w:pPr>
        <w:pStyle w:val="ListParagraph"/>
        <w:numPr>
          <w:ilvl w:val="0"/>
          <w:numId w:val="8"/>
        </w:numPr>
        <w:ind w:left="1134" w:hanging="567"/>
        <w:textAlignment w:val="baseline"/>
        <w:rPr>
          <w:szCs w:val="22"/>
          <w:lang w:val="es-ES"/>
        </w:rPr>
      </w:pPr>
      <w:r w:rsidRPr="00ED0FFC">
        <w:rPr>
          <w:szCs w:val="22"/>
          <w:lang w:val="es-ES"/>
        </w:rPr>
        <w:t>Carpeta de formación de negociación de licencias de tecnología</w:t>
      </w:r>
      <w:r w:rsidR="00724188" w:rsidRPr="00ED0FFC">
        <w:rPr>
          <w:szCs w:val="22"/>
          <w:lang w:val="es-ES"/>
        </w:rPr>
        <w:t xml:space="preserve"> </w:t>
      </w:r>
      <w:r w:rsidR="002B1093" w:rsidRPr="00ED0FFC">
        <w:rPr>
          <w:szCs w:val="22"/>
          <w:lang w:val="es-ES"/>
        </w:rPr>
        <w:t xml:space="preserve">– </w:t>
      </w:r>
      <w:r w:rsidRPr="00ED0FFC">
        <w:rPr>
          <w:szCs w:val="22"/>
          <w:lang w:val="es-ES"/>
        </w:rPr>
        <w:t xml:space="preserve">Desarrollada estratégicamente como una combinación del manual teórico básico de </w:t>
      </w:r>
      <w:r w:rsidR="00724188" w:rsidRPr="00ED0FFC">
        <w:rPr>
          <w:szCs w:val="22"/>
          <w:lang w:val="es-ES"/>
        </w:rPr>
        <w:t xml:space="preserve">negociación de licencias de tecnología </w:t>
      </w:r>
      <w:r w:rsidR="00E7032D" w:rsidRPr="00ED0FFC">
        <w:rPr>
          <w:szCs w:val="22"/>
          <w:lang w:val="es-ES"/>
        </w:rPr>
        <w:t xml:space="preserve">y </w:t>
      </w:r>
      <w:r w:rsidRPr="00ED0FFC">
        <w:rPr>
          <w:szCs w:val="22"/>
          <w:lang w:val="es-ES"/>
        </w:rPr>
        <w:t xml:space="preserve">los programas </w:t>
      </w:r>
      <w:r w:rsidR="00E7032D" w:rsidRPr="00ED0FFC">
        <w:rPr>
          <w:szCs w:val="22"/>
          <w:lang w:val="es-ES"/>
        </w:rPr>
        <w:t xml:space="preserve">estándar para los cursos </w:t>
      </w:r>
      <w:r w:rsidRPr="00ED0FFC">
        <w:rPr>
          <w:szCs w:val="22"/>
          <w:lang w:val="es-ES"/>
        </w:rPr>
        <w:t>básico</w:t>
      </w:r>
      <w:r w:rsidR="00E7032D" w:rsidRPr="00ED0FFC">
        <w:rPr>
          <w:szCs w:val="22"/>
          <w:lang w:val="es-ES"/>
        </w:rPr>
        <w:t xml:space="preserve">, </w:t>
      </w:r>
      <w:r w:rsidRPr="00ED0FFC">
        <w:rPr>
          <w:szCs w:val="22"/>
          <w:lang w:val="es-ES"/>
        </w:rPr>
        <w:t>avanzado</w:t>
      </w:r>
      <w:r w:rsidR="00E7032D" w:rsidRPr="00ED0FFC">
        <w:rPr>
          <w:szCs w:val="22"/>
          <w:lang w:val="es-ES"/>
        </w:rPr>
        <w:t xml:space="preserve"> y de f</w:t>
      </w:r>
      <w:r w:rsidRPr="00ED0FFC">
        <w:rPr>
          <w:szCs w:val="22"/>
          <w:lang w:val="es-ES"/>
        </w:rPr>
        <w:t>ormación de formadores</w:t>
      </w:r>
      <w:r w:rsidR="002B1093" w:rsidRPr="00ED0FFC">
        <w:rPr>
          <w:szCs w:val="22"/>
          <w:lang w:val="es-ES"/>
        </w:rPr>
        <w:t xml:space="preserve">.  </w:t>
      </w:r>
      <w:r w:rsidRPr="00ED0FFC">
        <w:rPr>
          <w:szCs w:val="22"/>
          <w:lang w:val="es-ES"/>
        </w:rPr>
        <w:t>El manual fue elaborado inicialmente e</w:t>
      </w:r>
      <w:r w:rsidR="00222344" w:rsidRPr="00ED0FFC">
        <w:rPr>
          <w:szCs w:val="22"/>
          <w:lang w:val="es-ES"/>
        </w:rPr>
        <w:t>n 2</w:t>
      </w:r>
      <w:r w:rsidR="002B1093" w:rsidRPr="00ED0FFC">
        <w:rPr>
          <w:szCs w:val="22"/>
          <w:lang w:val="es-ES"/>
        </w:rPr>
        <w:t xml:space="preserve">007, </w:t>
      </w:r>
      <w:r w:rsidRPr="00ED0FFC">
        <w:rPr>
          <w:szCs w:val="22"/>
          <w:lang w:val="es-ES"/>
        </w:rPr>
        <w:t>publicado en inglés y francés como publicaciones de la OMP</w:t>
      </w:r>
      <w:r w:rsidR="00222344" w:rsidRPr="00ED0FFC">
        <w:rPr>
          <w:szCs w:val="22"/>
          <w:lang w:val="es-ES"/>
        </w:rPr>
        <w:t>I 9</w:t>
      </w:r>
      <w:r w:rsidR="002B1093" w:rsidRPr="00ED0FFC">
        <w:rPr>
          <w:szCs w:val="22"/>
          <w:lang w:val="es-ES"/>
        </w:rPr>
        <w:t xml:space="preserve">03 E </w:t>
      </w:r>
      <w:r w:rsidR="00222344" w:rsidRPr="00ED0FFC">
        <w:rPr>
          <w:szCs w:val="22"/>
          <w:lang w:val="es-ES"/>
        </w:rPr>
        <w:t>y 9</w:t>
      </w:r>
      <w:r w:rsidR="002B1093" w:rsidRPr="00ED0FFC">
        <w:rPr>
          <w:szCs w:val="22"/>
          <w:lang w:val="es-ES"/>
        </w:rPr>
        <w:t>03 F,</w:t>
      </w:r>
      <w:r w:rsidRPr="00ED0FFC">
        <w:rPr>
          <w:szCs w:val="22"/>
          <w:lang w:val="es-ES"/>
        </w:rPr>
        <w:t xml:space="preserve"> y traducido a otras ocho lenguas </w:t>
      </w:r>
      <w:r w:rsidR="002B1093" w:rsidRPr="00ED0FFC">
        <w:rPr>
          <w:szCs w:val="22"/>
          <w:lang w:val="es-ES"/>
        </w:rPr>
        <w:t>(</w:t>
      </w:r>
      <w:r w:rsidRPr="00ED0FFC">
        <w:rPr>
          <w:rFonts w:eastAsia="MS PGothic"/>
          <w:i/>
          <w:iCs/>
          <w:kern w:val="24"/>
          <w:szCs w:val="22"/>
          <w:lang w:val="es-ES"/>
        </w:rPr>
        <w:t xml:space="preserve">español, ruso, chino, portugués, serbio, vietnamita y rumano). </w:t>
      </w:r>
      <w:r w:rsidR="002B1093" w:rsidRPr="00ED0FFC">
        <w:rPr>
          <w:szCs w:val="22"/>
          <w:lang w:val="es-ES"/>
        </w:rPr>
        <w:t xml:space="preserve"> </w:t>
      </w:r>
      <w:r w:rsidRPr="00ED0FFC">
        <w:rPr>
          <w:szCs w:val="22"/>
          <w:lang w:val="es-ES"/>
        </w:rPr>
        <w:t>E</w:t>
      </w:r>
      <w:r w:rsidR="00222344" w:rsidRPr="00ED0FFC">
        <w:rPr>
          <w:szCs w:val="22"/>
          <w:lang w:val="es-ES"/>
        </w:rPr>
        <w:t>n 2</w:t>
      </w:r>
      <w:r w:rsidR="002B1093" w:rsidRPr="00ED0FFC">
        <w:rPr>
          <w:szCs w:val="22"/>
          <w:lang w:val="es-ES"/>
        </w:rPr>
        <w:t>014</w:t>
      </w:r>
      <w:r w:rsidRPr="00ED0FFC">
        <w:rPr>
          <w:szCs w:val="22"/>
          <w:lang w:val="es-ES"/>
        </w:rPr>
        <w:t>, fue revisado para incluir una referencia al Derecho de competencia y la concesión de licencias</w:t>
      </w:r>
      <w:r w:rsidR="002B1093" w:rsidRPr="00ED0FFC">
        <w:rPr>
          <w:szCs w:val="22"/>
          <w:lang w:val="es-ES"/>
        </w:rPr>
        <w:t xml:space="preserve">.  </w:t>
      </w:r>
      <w:r w:rsidRPr="00ED0FFC">
        <w:rPr>
          <w:szCs w:val="22"/>
          <w:lang w:val="es-ES"/>
        </w:rPr>
        <w:t xml:space="preserve">Actualmente </w:t>
      </w:r>
      <w:r w:rsidR="006F205D" w:rsidRPr="00ED0FFC">
        <w:rPr>
          <w:szCs w:val="22"/>
          <w:lang w:val="es-ES"/>
        </w:rPr>
        <w:t>está</w:t>
      </w:r>
      <w:r w:rsidRPr="00ED0FFC">
        <w:rPr>
          <w:szCs w:val="22"/>
          <w:lang w:val="es-ES"/>
        </w:rPr>
        <w:t xml:space="preserve"> disponible como una nueva edición de la publicació</w:t>
      </w:r>
      <w:r w:rsidR="00222344" w:rsidRPr="00ED0FFC">
        <w:rPr>
          <w:szCs w:val="22"/>
          <w:lang w:val="es-ES"/>
        </w:rPr>
        <w:t>n 9</w:t>
      </w:r>
      <w:r w:rsidR="002B1093" w:rsidRPr="00ED0FFC">
        <w:rPr>
          <w:szCs w:val="22"/>
          <w:lang w:val="es-ES"/>
        </w:rPr>
        <w:t>03</w:t>
      </w:r>
      <w:r w:rsidRPr="00ED0FFC">
        <w:rPr>
          <w:szCs w:val="22"/>
          <w:lang w:val="es-ES"/>
        </w:rPr>
        <w:t xml:space="preserve"> </w:t>
      </w:r>
      <w:r w:rsidR="002B1093" w:rsidRPr="00ED0FFC">
        <w:rPr>
          <w:szCs w:val="22"/>
          <w:lang w:val="es-ES"/>
        </w:rPr>
        <w:t>E</w:t>
      </w:r>
      <w:r w:rsidRPr="00ED0FFC">
        <w:rPr>
          <w:szCs w:val="22"/>
          <w:lang w:val="es-ES"/>
        </w:rPr>
        <w:t xml:space="preserve"> de la OMPI</w:t>
      </w:r>
      <w:r w:rsidR="002B1093" w:rsidRPr="00ED0FFC">
        <w:rPr>
          <w:szCs w:val="22"/>
          <w:lang w:val="es-ES"/>
        </w:rPr>
        <w:t xml:space="preserve">, </w:t>
      </w:r>
      <w:r w:rsidRPr="00ED0FFC">
        <w:rPr>
          <w:szCs w:val="22"/>
          <w:lang w:val="es-ES"/>
        </w:rPr>
        <w:t xml:space="preserve">con un </w:t>
      </w:r>
      <w:r w:rsidR="00F53D54" w:rsidRPr="00ED0FFC">
        <w:rPr>
          <w:szCs w:val="22"/>
          <w:lang w:val="es-ES"/>
        </w:rPr>
        <w:t xml:space="preserve">nuevo </w:t>
      </w:r>
      <w:r w:rsidRPr="00ED0FFC">
        <w:rPr>
          <w:szCs w:val="22"/>
          <w:lang w:val="es-ES"/>
        </w:rPr>
        <w:t>capítulo V</w:t>
      </w:r>
      <w:r w:rsidR="0025492A" w:rsidRPr="00ED0FFC">
        <w:rPr>
          <w:szCs w:val="22"/>
          <w:lang w:val="es-ES"/>
        </w:rPr>
        <w:t xml:space="preserve"> </w:t>
      </w:r>
      <w:r w:rsidR="00F53D54" w:rsidRPr="00ED0FFC">
        <w:rPr>
          <w:szCs w:val="22"/>
          <w:lang w:val="es-ES"/>
        </w:rPr>
        <w:t xml:space="preserve">titulado </w:t>
      </w:r>
      <w:proofErr w:type="spellStart"/>
      <w:r w:rsidR="00F53D54" w:rsidRPr="00ED0FFC">
        <w:rPr>
          <w:i/>
          <w:szCs w:val="22"/>
          <w:lang w:val="es-ES"/>
        </w:rPr>
        <w:t>Understanding</w:t>
      </w:r>
      <w:proofErr w:type="spellEnd"/>
      <w:r w:rsidR="00F53D54" w:rsidRPr="00ED0FFC">
        <w:rPr>
          <w:i/>
          <w:szCs w:val="22"/>
          <w:lang w:val="es-ES"/>
        </w:rPr>
        <w:t xml:space="preserve"> </w:t>
      </w:r>
      <w:proofErr w:type="spellStart"/>
      <w:r w:rsidR="00F53D54" w:rsidRPr="00ED0FFC">
        <w:rPr>
          <w:i/>
          <w:szCs w:val="22"/>
          <w:lang w:val="es-ES"/>
        </w:rPr>
        <w:t>Certain</w:t>
      </w:r>
      <w:proofErr w:type="spellEnd"/>
      <w:r w:rsidR="00F53D54" w:rsidRPr="00ED0FFC">
        <w:rPr>
          <w:i/>
          <w:szCs w:val="22"/>
          <w:lang w:val="es-ES"/>
        </w:rPr>
        <w:t xml:space="preserve"> Antitrust </w:t>
      </w:r>
      <w:proofErr w:type="spellStart"/>
      <w:r w:rsidR="00F53D54" w:rsidRPr="00ED0FFC">
        <w:rPr>
          <w:i/>
          <w:szCs w:val="22"/>
          <w:lang w:val="es-ES"/>
        </w:rPr>
        <w:t>Concerns</w:t>
      </w:r>
      <w:proofErr w:type="spellEnd"/>
      <w:r w:rsidR="00F53D54" w:rsidRPr="00ED0FFC">
        <w:rPr>
          <w:i/>
          <w:szCs w:val="22"/>
          <w:lang w:val="es-ES"/>
        </w:rPr>
        <w:t xml:space="preserve"> </w:t>
      </w:r>
      <w:proofErr w:type="spellStart"/>
      <w:r w:rsidR="00F53D54" w:rsidRPr="00ED0FFC">
        <w:rPr>
          <w:i/>
          <w:szCs w:val="22"/>
          <w:lang w:val="es-ES"/>
        </w:rPr>
        <w:t>Related</w:t>
      </w:r>
      <w:proofErr w:type="spellEnd"/>
      <w:r w:rsidR="00F53D54" w:rsidRPr="00ED0FFC">
        <w:rPr>
          <w:i/>
          <w:szCs w:val="22"/>
          <w:lang w:val="es-ES"/>
        </w:rPr>
        <w:t xml:space="preserve"> to </w:t>
      </w:r>
      <w:proofErr w:type="spellStart"/>
      <w:r w:rsidR="00F53D54" w:rsidRPr="00ED0FFC">
        <w:rPr>
          <w:i/>
          <w:szCs w:val="22"/>
          <w:lang w:val="es-ES"/>
        </w:rPr>
        <w:t>Technology</w:t>
      </w:r>
      <w:proofErr w:type="spellEnd"/>
      <w:r w:rsidR="00F53D54" w:rsidRPr="00ED0FFC">
        <w:rPr>
          <w:i/>
          <w:szCs w:val="22"/>
          <w:lang w:val="es-ES"/>
        </w:rPr>
        <w:t xml:space="preserve"> </w:t>
      </w:r>
      <w:proofErr w:type="spellStart"/>
      <w:r w:rsidR="00F53D54" w:rsidRPr="00ED0FFC">
        <w:rPr>
          <w:i/>
          <w:szCs w:val="22"/>
          <w:lang w:val="es-ES"/>
        </w:rPr>
        <w:t>Licensing</w:t>
      </w:r>
      <w:proofErr w:type="spellEnd"/>
      <w:r w:rsidR="0025492A" w:rsidRPr="00ED0FFC">
        <w:rPr>
          <w:i/>
          <w:szCs w:val="22"/>
          <w:lang w:val="es-ES"/>
        </w:rPr>
        <w:t xml:space="preserve">:  </w:t>
      </w:r>
      <w:hyperlink r:id="rId21" w:history="1">
        <w:r w:rsidR="002B1093" w:rsidRPr="00ED0FFC">
          <w:rPr>
            <w:rStyle w:val="Hyperlink"/>
            <w:color w:val="auto"/>
            <w:szCs w:val="22"/>
            <w:lang w:val="es-ES"/>
          </w:rPr>
          <w:t>http://www.wipo.int/edocs/pubdocs/en/licensing/903/wipo_pub_903.pdf</w:t>
        </w:r>
      </w:hyperlink>
      <w:r w:rsidR="002B1093" w:rsidRPr="00ED0FFC">
        <w:rPr>
          <w:szCs w:val="22"/>
          <w:lang w:val="es-ES"/>
        </w:rPr>
        <w:t>;</w:t>
      </w:r>
    </w:p>
    <w:p w:rsidR="002B1093" w:rsidRPr="00ED0FFC" w:rsidRDefault="004C1CA4" w:rsidP="007F60FD">
      <w:pPr>
        <w:pStyle w:val="ListParagraph"/>
        <w:numPr>
          <w:ilvl w:val="0"/>
          <w:numId w:val="8"/>
        </w:numPr>
        <w:ind w:left="1134" w:hanging="567"/>
        <w:rPr>
          <w:szCs w:val="22"/>
          <w:lang w:val="es-ES"/>
        </w:rPr>
      </w:pPr>
      <w:r w:rsidRPr="00ED0FFC">
        <w:rPr>
          <w:szCs w:val="22"/>
          <w:lang w:val="es-ES"/>
        </w:rPr>
        <w:t xml:space="preserve">"Caja de herramientas" de gestión de los derechos de P.I. para universidades </w:t>
      </w:r>
      <w:r w:rsidR="002B1093" w:rsidRPr="00ED0FFC">
        <w:rPr>
          <w:szCs w:val="22"/>
          <w:lang w:val="es-ES"/>
        </w:rPr>
        <w:t xml:space="preserve">- </w:t>
      </w:r>
      <w:r w:rsidRPr="00ED0FFC">
        <w:rPr>
          <w:szCs w:val="22"/>
          <w:lang w:val="es-ES"/>
        </w:rPr>
        <w:t>Con el apoyo de los fondos fiduciarios del Gobierno de Australia, la OMPI desarrolló e</w:t>
      </w:r>
      <w:r w:rsidR="00222344" w:rsidRPr="00ED0FFC">
        <w:rPr>
          <w:szCs w:val="22"/>
          <w:lang w:val="es-ES"/>
        </w:rPr>
        <w:t>n 2</w:t>
      </w:r>
      <w:r w:rsidR="002B1093" w:rsidRPr="00ED0FFC">
        <w:rPr>
          <w:szCs w:val="22"/>
          <w:lang w:val="es-ES"/>
        </w:rPr>
        <w:t xml:space="preserve">014 </w:t>
      </w:r>
      <w:r w:rsidRPr="00ED0FFC">
        <w:rPr>
          <w:szCs w:val="22"/>
          <w:lang w:val="es-ES"/>
        </w:rPr>
        <w:t xml:space="preserve">una "caja de herramientas" para universidades con modelos de los contratos de política institucional en materia de P.I. y de transferencia de tecnología que negocian y firman </w:t>
      </w:r>
      <w:r w:rsidR="00E7032D" w:rsidRPr="00ED0FFC">
        <w:rPr>
          <w:szCs w:val="22"/>
          <w:lang w:val="es-ES"/>
        </w:rPr>
        <w:t xml:space="preserve">con más frecuencia </w:t>
      </w:r>
      <w:r w:rsidRPr="00ED0FFC">
        <w:rPr>
          <w:szCs w:val="22"/>
          <w:lang w:val="es-ES"/>
        </w:rPr>
        <w:t>las instituciones de investigación</w:t>
      </w:r>
      <w:r w:rsidR="002B1093" w:rsidRPr="00ED0FFC">
        <w:rPr>
          <w:szCs w:val="22"/>
          <w:lang w:val="es-ES"/>
        </w:rPr>
        <w:t xml:space="preserve">.  </w:t>
      </w:r>
      <w:r w:rsidRPr="00ED0FFC">
        <w:rPr>
          <w:szCs w:val="22"/>
          <w:lang w:val="es-ES"/>
        </w:rPr>
        <w:t xml:space="preserve">Cada modelo viene acompañado de una guía e instrucciones sobre el contenido, el </w:t>
      </w:r>
      <w:r w:rsidRPr="00ED0FFC">
        <w:rPr>
          <w:szCs w:val="22"/>
          <w:lang w:val="es-ES"/>
        </w:rPr>
        <w:lastRenderedPageBreak/>
        <w:t>proceso de negociación y la redacción del contrato</w:t>
      </w:r>
      <w:r w:rsidR="002B1093" w:rsidRPr="00ED0FFC">
        <w:rPr>
          <w:szCs w:val="22"/>
          <w:lang w:val="es-ES"/>
        </w:rPr>
        <w:t xml:space="preserve">.  </w:t>
      </w:r>
      <w:r w:rsidRPr="00ED0FFC">
        <w:rPr>
          <w:szCs w:val="22"/>
          <w:lang w:val="es-ES"/>
        </w:rPr>
        <w:t>En breve estará disponible en la página web de la OMPI sobre transferencia de conocimiento</w:t>
      </w:r>
      <w:r w:rsidR="002B1093" w:rsidRPr="00ED0FFC">
        <w:rPr>
          <w:szCs w:val="22"/>
          <w:lang w:val="es-ES"/>
        </w:rPr>
        <w:t xml:space="preserve">; </w:t>
      </w:r>
    </w:p>
    <w:p w:rsidR="002B1093" w:rsidRPr="00ED0FFC" w:rsidRDefault="006F205D" w:rsidP="007F60FD">
      <w:pPr>
        <w:pStyle w:val="ListParagraph"/>
        <w:numPr>
          <w:ilvl w:val="0"/>
          <w:numId w:val="8"/>
        </w:numPr>
        <w:ind w:left="1134" w:hanging="567"/>
        <w:rPr>
          <w:szCs w:val="22"/>
          <w:lang w:val="es-ES"/>
        </w:rPr>
      </w:pPr>
      <w:r w:rsidRPr="00ED0FFC">
        <w:rPr>
          <w:szCs w:val="22"/>
          <w:lang w:val="es-ES"/>
        </w:rPr>
        <w:t>Guía</w:t>
      </w:r>
      <w:r w:rsidR="004C1CA4" w:rsidRPr="00ED0FFC">
        <w:rPr>
          <w:szCs w:val="22"/>
          <w:lang w:val="es-ES"/>
        </w:rPr>
        <w:t xml:space="preserve"> práctica para la valoración de los activos intangibles en las instituciones de investigación y desarrollo </w:t>
      </w:r>
      <w:r w:rsidR="002B1093" w:rsidRPr="00ED0FFC">
        <w:rPr>
          <w:szCs w:val="22"/>
          <w:lang w:val="es-ES"/>
        </w:rPr>
        <w:t>(</w:t>
      </w:r>
      <w:r w:rsidR="000E4D58" w:rsidRPr="00ED0FFC">
        <w:rPr>
          <w:szCs w:val="22"/>
          <w:lang w:val="es-ES"/>
        </w:rPr>
        <w:t xml:space="preserve">documento del </w:t>
      </w:r>
      <w:r w:rsidR="002B1093" w:rsidRPr="00ED0FFC">
        <w:rPr>
          <w:szCs w:val="22"/>
          <w:lang w:val="es-ES"/>
        </w:rPr>
        <w:t>CDIP);</w:t>
      </w:r>
    </w:p>
    <w:p w:rsidR="002B1093" w:rsidRPr="00ED0FFC" w:rsidRDefault="000E4D58" w:rsidP="007F60FD">
      <w:pPr>
        <w:pStyle w:val="ListParagraph"/>
        <w:numPr>
          <w:ilvl w:val="0"/>
          <w:numId w:val="8"/>
        </w:numPr>
        <w:ind w:left="1134" w:hanging="567"/>
        <w:rPr>
          <w:szCs w:val="22"/>
          <w:lang w:val="es-ES"/>
        </w:rPr>
      </w:pPr>
      <w:r w:rsidRPr="00ED0FFC">
        <w:rPr>
          <w:szCs w:val="22"/>
          <w:lang w:val="es-ES"/>
        </w:rPr>
        <w:t xml:space="preserve">Carpeta de formación para la valoración de la P.I. adaptada a las instituciones académicas </w:t>
      </w:r>
      <w:r w:rsidR="002B1093" w:rsidRPr="00ED0FFC">
        <w:rPr>
          <w:szCs w:val="22"/>
          <w:lang w:val="es-ES"/>
        </w:rPr>
        <w:t>(</w:t>
      </w:r>
      <w:r w:rsidRPr="00ED0FFC">
        <w:rPr>
          <w:szCs w:val="22"/>
          <w:lang w:val="es-ES"/>
        </w:rPr>
        <w:t xml:space="preserve">documento del </w:t>
      </w:r>
      <w:r w:rsidR="002B1093" w:rsidRPr="00ED0FFC">
        <w:rPr>
          <w:szCs w:val="22"/>
          <w:lang w:val="es-ES"/>
        </w:rPr>
        <w:t>CDIP);</w:t>
      </w:r>
    </w:p>
    <w:p w:rsidR="002B1093" w:rsidRPr="00901265" w:rsidRDefault="000E4D58" w:rsidP="007F60FD">
      <w:pPr>
        <w:pStyle w:val="ListParagraph"/>
        <w:numPr>
          <w:ilvl w:val="0"/>
          <w:numId w:val="8"/>
        </w:numPr>
        <w:ind w:left="1134" w:hanging="567"/>
        <w:rPr>
          <w:szCs w:val="22"/>
        </w:rPr>
      </w:pPr>
      <w:r w:rsidRPr="00ED0FFC">
        <w:rPr>
          <w:szCs w:val="22"/>
          <w:lang w:val="es-ES"/>
        </w:rPr>
        <w:t xml:space="preserve">Herramienta de auditoría de la P.I. </w:t>
      </w:r>
      <w:r w:rsidR="002B1093" w:rsidRPr="00ED0FFC">
        <w:rPr>
          <w:szCs w:val="22"/>
          <w:lang w:val="es-ES"/>
        </w:rPr>
        <w:t xml:space="preserve"> – </w:t>
      </w:r>
      <w:r w:rsidRPr="00ED0FFC">
        <w:rPr>
          <w:szCs w:val="22"/>
          <w:lang w:val="es-ES"/>
        </w:rPr>
        <w:t>Publicació</w:t>
      </w:r>
      <w:r w:rsidR="00222344" w:rsidRPr="00ED0FFC">
        <w:rPr>
          <w:szCs w:val="22"/>
          <w:lang w:val="es-ES"/>
        </w:rPr>
        <w:t>n 9</w:t>
      </w:r>
      <w:r w:rsidR="002B1093" w:rsidRPr="00ED0FFC">
        <w:rPr>
          <w:szCs w:val="22"/>
          <w:lang w:val="es-ES"/>
        </w:rPr>
        <w:t>27</w:t>
      </w:r>
      <w:r w:rsidRPr="00ED0FFC">
        <w:rPr>
          <w:szCs w:val="22"/>
          <w:lang w:val="es-ES"/>
        </w:rPr>
        <w:t xml:space="preserve"> de la OMPI</w:t>
      </w:r>
      <w:r w:rsidR="00F804F2" w:rsidRPr="00ED0FFC">
        <w:rPr>
          <w:szCs w:val="22"/>
          <w:lang w:val="es-ES"/>
        </w:rPr>
        <w:t xml:space="preserve"> sobre las cuestiones que hay que</w:t>
      </w:r>
      <w:r w:rsidRPr="00ED0FFC">
        <w:rPr>
          <w:szCs w:val="22"/>
          <w:lang w:val="es-ES"/>
        </w:rPr>
        <w:t xml:space="preserve"> </w:t>
      </w:r>
      <w:r w:rsidR="00F804F2" w:rsidRPr="00ED0FFC">
        <w:rPr>
          <w:szCs w:val="22"/>
          <w:lang w:val="es-ES"/>
        </w:rPr>
        <w:t>tener en cuenta</w:t>
      </w:r>
      <w:r w:rsidRPr="00ED0FFC">
        <w:rPr>
          <w:szCs w:val="22"/>
          <w:lang w:val="es-ES"/>
        </w:rPr>
        <w:t xml:space="preserve"> en un proceso de auditoría de la P.I. a nivel nacional e institucional</w:t>
      </w:r>
      <w:r w:rsidR="00E7032D" w:rsidRPr="00ED0FFC">
        <w:rPr>
          <w:szCs w:val="22"/>
          <w:lang w:val="es-ES"/>
        </w:rPr>
        <w:t xml:space="preserve"> a la hora de </w:t>
      </w:r>
      <w:r w:rsidRPr="00ED0FFC">
        <w:rPr>
          <w:szCs w:val="22"/>
          <w:lang w:val="es-ES"/>
        </w:rPr>
        <w:t>desarrolla</w:t>
      </w:r>
      <w:r w:rsidR="00E7032D" w:rsidRPr="00ED0FFC">
        <w:rPr>
          <w:szCs w:val="22"/>
          <w:lang w:val="es-ES"/>
        </w:rPr>
        <w:t xml:space="preserve">r </w:t>
      </w:r>
      <w:r w:rsidRPr="00ED0FFC">
        <w:rPr>
          <w:szCs w:val="22"/>
          <w:lang w:val="es-ES"/>
        </w:rPr>
        <w:t>una estrategia de P.I.</w:t>
      </w:r>
      <w:r w:rsidR="002B1093" w:rsidRPr="00ED0FFC">
        <w:rPr>
          <w:szCs w:val="22"/>
          <w:lang w:val="es-ES"/>
        </w:rPr>
        <w:t xml:space="preserve"> </w:t>
      </w:r>
      <w:hyperlink r:id="rId22" w:history="1">
        <w:r w:rsidR="002B1093" w:rsidRPr="00901265">
          <w:rPr>
            <w:rStyle w:val="Hyperlink"/>
            <w:color w:val="auto"/>
            <w:szCs w:val="22"/>
          </w:rPr>
          <w:t>http://www.wipo.int/edocs/pubdocs/en/intproperty/927/wipo_pub_927.pdf</w:t>
        </w:r>
      </w:hyperlink>
      <w:r w:rsidR="002B1093" w:rsidRPr="00901265">
        <w:rPr>
          <w:szCs w:val="22"/>
        </w:rPr>
        <w:t>;</w:t>
      </w:r>
    </w:p>
    <w:p w:rsidR="002B1093" w:rsidRPr="00ED0FFC" w:rsidRDefault="00F53D54" w:rsidP="007F60FD">
      <w:pPr>
        <w:pStyle w:val="ListParagraph"/>
        <w:numPr>
          <w:ilvl w:val="0"/>
          <w:numId w:val="8"/>
        </w:numPr>
        <w:ind w:left="1134" w:hanging="567"/>
        <w:rPr>
          <w:szCs w:val="22"/>
          <w:lang w:val="es-ES"/>
        </w:rPr>
      </w:pPr>
      <w:r w:rsidRPr="00901265">
        <w:rPr>
          <w:i/>
          <w:szCs w:val="22"/>
        </w:rPr>
        <w:t>IP Asset Development and Management:  a Key Strategy for Economic Growth</w:t>
      </w:r>
      <w:r w:rsidR="00222344" w:rsidRPr="00901265">
        <w:rPr>
          <w:szCs w:val="22"/>
        </w:rPr>
        <w:t xml:space="preserve">.  </w:t>
      </w:r>
      <w:r w:rsidR="00222344" w:rsidRPr="00ED0FFC">
        <w:rPr>
          <w:szCs w:val="22"/>
          <w:lang w:val="es-ES"/>
        </w:rPr>
        <w:t>P</w:t>
      </w:r>
      <w:r w:rsidR="000E4D58" w:rsidRPr="00ED0FFC">
        <w:rPr>
          <w:szCs w:val="22"/>
          <w:lang w:val="es-ES"/>
        </w:rPr>
        <w:t>ublicació</w:t>
      </w:r>
      <w:r w:rsidR="00222344" w:rsidRPr="00ED0FFC">
        <w:rPr>
          <w:szCs w:val="22"/>
          <w:lang w:val="es-ES"/>
        </w:rPr>
        <w:t>n 8</w:t>
      </w:r>
      <w:r w:rsidR="000E4D58" w:rsidRPr="00ED0FFC">
        <w:rPr>
          <w:szCs w:val="22"/>
          <w:lang w:val="es-ES"/>
        </w:rPr>
        <w:t>96 de la OMPI sobre los elementos esenciales de la gestión de derechos de propiedad intelectual</w:t>
      </w:r>
      <w:r w:rsidR="002B1093" w:rsidRPr="00ED0FFC">
        <w:rPr>
          <w:szCs w:val="22"/>
          <w:lang w:val="es-ES"/>
        </w:rPr>
        <w:t xml:space="preserve"> - </w:t>
      </w:r>
      <w:hyperlink r:id="rId23" w:history="1">
        <w:r w:rsidR="002B1093" w:rsidRPr="00ED0FFC">
          <w:rPr>
            <w:rStyle w:val="Hyperlink"/>
            <w:color w:val="auto"/>
            <w:szCs w:val="22"/>
            <w:lang w:val="es-ES"/>
          </w:rPr>
          <w:t>http://www.wipo.int/edocs/pubdocs/en/intproperty/896/wipo_pub_896.pdf</w:t>
        </w:r>
      </w:hyperlink>
    </w:p>
    <w:p w:rsidR="002B1093" w:rsidRPr="00ED0FFC" w:rsidRDefault="000E4D58" w:rsidP="007F60FD">
      <w:pPr>
        <w:pStyle w:val="ListParagraph"/>
        <w:numPr>
          <w:ilvl w:val="0"/>
          <w:numId w:val="8"/>
        </w:numPr>
        <w:ind w:left="1134" w:hanging="567"/>
        <w:rPr>
          <w:szCs w:val="22"/>
          <w:lang w:val="es-ES"/>
        </w:rPr>
      </w:pPr>
      <w:r w:rsidRPr="00ED0FFC">
        <w:rPr>
          <w:szCs w:val="22"/>
          <w:lang w:val="es-ES"/>
        </w:rPr>
        <w:t xml:space="preserve">Intercambiar valor - Negociación de acuerdos de licencia de tecnología </w:t>
      </w:r>
      <w:r w:rsidR="002B1093" w:rsidRPr="00ED0FFC">
        <w:rPr>
          <w:szCs w:val="22"/>
          <w:lang w:val="es-ES"/>
        </w:rPr>
        <w:t xml:space="preserve">– </w:t>
      </w:r>
      <w:r w:rsidRPr="00ED0FFC">
        <w:rPr>
          <w:szCs w:val="22"/>
          <w:lang w:val="es-ES"/>
        </w:rPr>
        <w:t>Material práctico de capacitación, disponible como publicació</w:t>
      </w:r>
      <w:r w:rsidR="00222344" w:rsidRPr="00ED0FFC">
        <w:rPr>
          <w:szCs w:val="22"/>
          <w:lang w:val="es-ES"/>
        </w:rPr>
        <w:t>n 9</w:t>
      </w:r>
      <w:r w:rsidR="002B1093" w:rsidRPr="00ED0FFC">
        <w:rPr>
          <w:szCs w:val="22"/>
          <w:lang w:val="es-ES"/>
        </w:rPr>
        <w:t>06</w:t>
      </w:r>
      <w:r w:rsidR="00901265">
        <w:rPr>
          <w:szCs w:val="22"/>
          <w:lang w:val="es-ES"/>
        </w:rPr>
        <w:t>S</w:t>
      </w:r>
      <w:r w:rsidRPr="00ED0FFC">
        <w:rPr>
          <w:szCs w:val="22"/>
          <w:lang w:val="es-ES"/>
        </w:rPr>
        <w:t xml:space="preserve"> de la OMPI</w:t>
      </w:r>
      <w:r w:rsidR="002B1093" w:rsidRPr="00ED0FFC">
        <w:rPr>
          <w:szCs w:val="22"/>
          <w:lang w:val="es-ES"/>
        </w:rPr>
        <w:t xml:space="preserve"> </w:t>
      </w:r>
      <w:hyperlink r:id="rId24" w:history="1">
        <w:r w:rsidR="002B1093" w:rsidRPr="00ED0FFC">
          <w:rPr>
            <w:rStyle w:val="Hyperlink"/>
            <w:color w:val="auto"/>
            <w:szCs w:val="22"/>
            <w:lang w:val="es-ES"/>
          </w:rPr>
          <w:t>http://www.wipo.int/export/sites/www/sme/e</w:t>
        </w:r>
        <w:r w:rsidRPr="00ED0FFC">
          <w:rPr>
            <w:rStyle w:val="Hyperlink"/>
            <w:color w:val="auto"/>
            <w:szCs w:val="22"/>
            <w:lang w:val="es-ES"/>
          </w:rPr>
          <w:t>s</w:t>
        </w:r>
        <w:r w:rsidR="002B1093" w:rsidRPr="00ED0FFC">
          <w:rPr>
            <w:rStyle w:val="Hyperlink"/>
            <w:color w:val="auto"/>
            <w:szCs w:val="22"/>
            <w:lang w:val="es-ES"/>
          </w:rPr>
          <w:t>/documents/pdf/technology_licensing.pdf</w:t>
        </w:r>
      </w:hyperlink>
      <w:r w:rsidR="002B1093" w:rsidRPr="00ED0FFC">
        <w:rPr>
          <w:szCs w:val="22"/>
          <w:lang w:val="es-ES"/>
        </w:rPr>
        <w:t>.</w:t>
      </w:r>
    </w:p>
    <w:p w:rsidR="002B1093" w:rsidRPr="00901265" w:rsidRDefault="00F53D54" w:rsidP="007F60FD">
      <w:pPr>
        <w:pStyle w:val="ListParagraph"/>
        <w:numPr>
          <w:ilvl w:val="0"/>
          <w:numId w:val="8"/>
        </w:numPr>
        <w:ind w:left="1134" w:hanging="567"/>
        <w:rPr>
          <w:bCs/>
          <w:szCs w:val="22"/>
        </w:rPr>
      </w:pPr>
      <w:proofErr w:type="spellStart"/>
      <w:r w:rsidRPr="00901265">
        <w:rPr>
          <w:bCs/>
          <w:i/>
          <w:szCs w:val="22"/>
        </w:rPr>
        <w:t>Estudio</w:t>
      </w:r>
      <w:proofErr w:type="spellEnd"/>
      <w:r w:rsidRPr="00901265">
        <w:rPr>
          <w:bCs/>
          <w:i/>
          <w:szCs w:val="22"/>
        </w:rPr>
        <w:t xml:space="preserve"> de </w:t>
      </w:r>
      <w:proofErr w:type="spellStart"/>
      <w:r w:rsidRPr="00901265">
        <w:rPr>
          <w:bCs/>
          <w:i/>
          <w:szCs w:val="22"/>
        </w:rPr>
        <w:t>caso</w:t>
      </w:r>
      <w:proofErr w:type="spellEnd"/>
      <w:r w:rsidRPr="00901265">
        <w:rPr>
          <w:bCs/>
          <w:i/>
          <w:szCs w:val="22"/>
        </w:rPr>
        <w:t xml:space="preserve"> de la </w:t>
      </w:r>
      <w:proofErr w:type="spellStart"/>
      <w:r w:rsidRPr="00901265">
        <w:rPr>
          <w:bCs/>
          <w:i/>
          <w:szCs w:val="22"/>
        </w:rPr>
        <w:t>plataforma</w:t>
      </w:r>
      <w:proofErr w:type="spellEnd"/>
      <w:r w:rsidRPr="00901265">
        <w:rPr>
          <w:bCs/>
          <w:i/>
          <w:szCs w:val="22"/>
        </w:rPr>
        <w:t xml:space="preserve"> </w:t>
      </w:r>
      <w:r w:rsidR="002B1093" w:rsidRPr="00901265">
        <w:rPr>
          <w:bCs/>
          <w:i/>
          <w:szCs w:val="22"/>
        </w:rPr>
        <w:t>WIPO GREEN:  Green Technology Diffusion</w:t>
      </w:r>
      <w:r w:rsidR="00222344" w:rsidRPr="00901265">
        <w:rPr>
          <w:bCs/>
          <w:i/>
          <w:szCs w:val="22"/>
        </w:rPr>
        <w:t>:  T</w:t>
      </w:r>
      <w:r w:rsidR="002B1093" w:rsidRPr="00901265">
        <w:rPr>
          <w:bCs/>
          <w:i/>
          <w:szCs w:val="22"/>
        </w:rPr>
        <w:t xml:space="preserve">he Case of </w:t>
      </w:r>
      <w:proofErr w:type="spellStart"/>
      <w:r w:rsidR="002B1093" w:rsidRPr="00901265">
        <w:rPr>
          <w:bCs/>
          <w:i/>
          <w:szCs w:val="22"/>
        </w:rPr>
        <w:t>Ecosan</w:t>
      </w:r>
      <w:proofErr w:type="spellEnd"/>
      <w:r w:rsidR="002B1093" w:rsidRPr="00901265">
        <w:rPr>
          <w:bCs/>
          <w:i/>
          <w:szCs w:val="22"/>
        </w:rPr>
        <w:t xml:space="preserve"> Waterless Toilets</w:t>
      </w:r>
      <w:r w:rsidRPr="00901265">
        <w:rPr>
          <w:bCs/>
          <w:i/>
          <w:szCs w:val="22"/>
        </w:rPr>
        <w:t xml:space="preserve"> </w:t>
      </w:r>
      <w:hyperlink r:id="rId25" w:history="1">
        <w:r w:rsidR="002B1093" w:rsidRPr="00901265">
          <w:rPr>
            <w:rStyle w:val="Hyperlink"/>
            <w:bCs/>
            <w:color w:val="auto"/>
            <w:szCs w:val="22"/>
          </w:rPr>
          <w:t>http://www.wipo.int/edocs/pubdocs/en/wipo_pub_951_6.pdf</w:t>
        </w:r>
      </w:hyperlink>
    </w:p>
    <w:p w:rsidR="002B1093" w:rsidRPr="00901265" w:rsidRDefault="00BA727F" w:rsidP="007F60FD">
      <w:pPr>
        <w:pStyle w:val="ListParagraph"/>
        <w:numPr>
          <w:ilvl w:val="0"/>
          <w:numId w:val="8"/>
        </w:numPr>
        <w:ind w:left="1134" w:hanging="567"/>
        <w:rPr>
          <w:bCs/>
          <w:szCs w:val="22"/>
        </w:rPr>
      </w:pPr>
      <w:proofErr w:type="spellStart"/>
      <w:r w:rsidRPr="00901265">
        <w:rPr>
          <w:bCs/>
          <w:i/>
          <w:szCs w:val="22"/>
        </w:rPr>
        <w:t>Estudio</w:t>
      </w:r>
      <w:proofErr w:type="spellEnd"/>
      <w:r w:rsidRPr="00901265">
        <w:rPr>
          <w:bCs/>
          <w:i/>
          <w:szCs w:val="22"/>
        </w:rPr>
        <w:t xml:space="preserve"> de </w:t>
      </w:r>
      <w:proofErr w:type="spellStart"/>
      <w:r w:rsidRPr="00901265">
        <w:rPr>
          <w:bCs/>
          <w:i/>
          <w:szCs w:val="22"/>
        </w:rPr>
        <w:t>caso</w:t>
      </w:r>
      <w:proofErr w:type="spellEnd"/>
      <w:r w:rsidRPr="00901265">
        <w:rPr>
          <w:bCs/>
          <w:i/>
          <w:szCs w:val="22"/>
        </w:rPr>
        <w:t xml:space="preserve"> de la </w:t>
      </w:r>
      <w:proofErr w:type="spellStart"/>
      <w:r w:rsidRPr="00901265">
        <w:rPr>
          <w:bCs/>
          <w:i/>
          <w:szCs w:val="22"/>
        </w:rPr>
        <w:t>plataforma</w:t>
      </w:r>
      <w:proofErr w:type="spellEnd"/>
      <w:r w:rsidRPr="00901265">
        <w:rPr>
          <w:bCs/>
          <w:i/>
          <w:szCs w:val="22"/>
        </w:rPr>
        <w:t xml:space="preserve"> </w:t>
      </w:r>
      <w:r w:rsidR="002B1093" w:rsidRPr="00901265">
        <w:rPr>
          <w:bCs/>
          <w:i/>
          <w:szCs w:val="22"/>
        </w:rPr>
        <w:t>WIPO GREEN:  Green Technology Diffusion</w:t>
      </w:r>
      <w:r w:rsidR="00222344" w:rsidRPr="00901265">
        <w:rPr>
          <w:bCs/>
          <w:i/>
          <w:szCs w:val="22"/>
        </w:rPr>
        <w:t>:  T</w:t>
      </w:r>
      <w:r w:rsidR="002B1093" w:rsidRPr="00901265">
        <w:rPr>
          <w:bCs/>
          <w:i/>
          <w:szCs w:val="22"/>
        </w:rPr>
        <w:t xml:space="preserve">he Case of </w:t>
      </w:r>
      <w:proofErr w:type="spellStart"/>
      <w:r w:rsidR="002B1093" w:rsidRPr="00901265">
        <w:rPr>
          <w:bCs/>
          <w:i/>
          <w:szCs w:val="22"/>
        </w:rPr>
        <w:t>Arivi</w:t>
      </w:r>
      <w:proofErr w:type="spellEnd"/>
      <w:r w:rsidR="002B1093" w:rsidRPr="00901265">
        <w:rPr>
          <w:bCs/>
          <w:i/>
          <w:szCs w:val="22"/>
        </w:rPr>
        <w:t xml:space="preserve"> Paraffin </w:t>
      </w:r>
      <w:proofErr w:type="spellStart"/>
      <w:r w:rsidR="002B1093" w:rsidRPr="00901265">
        <w:rPr>
          <w:bCs/>
          <w:i/>
          <w:szCs w:val="22"/>
        </w:rPr>
        <w:t>Cookstoves</w:t>
      </w:r>
      <w:proofErr w:type="spellEnd"/>
      <w:r w:rsidR="002B1093" w:rsidRPr="00901265">
        <w:rPr>
          <w:bCs/>
          <w:szCs w:val="22"/>
        </w:rPr>
        <w:t xml:space="preserve">, </w:t>
      </w:r>
      <w:hyperlink r:id="rId26" w:history="1">
        <w:r w:rsidR="002B1093" w:rsidRPr="00901265">
          <w:rPr>
            <w:rStyle w:val="Hyperlink"/>
            <w:bCs/>
            <w:color w:val="auto"/>
            <w:szCs w:val="22"/>
          </w:rPr>
          <w:t>http://www.wipo.int/edocs/pubdocs/en/wipo_pub_951_5.pdf</w:t>
        </w:r>
      </w:hyperlink>
    </w:p>
    <w:p w:rsidR="002B1093" w:rsidRPr="00901265" w:rsidRDefault="00BA727F" w:rsidP="007F60FD">
      <w:pPr>
        <w:numPr>
          <w:ilvl w:val="0"/>
          <w:numId w:val="8"/>
        </w:numPr>
        <w:tabs>
          <w:tab w:val="left" w:pos="567"/>
        </w:tabs>
        <w:ind w:left="1134" w:hanging="567"/>
        <w:rPr>
          <w:szCs w:val="22"/>
          <w:lang w:val="en-US"/>
        </w:rPr>
      </w:pPr>
      <w:r w:rsidRPr="00ED0FFC">
        <w:rPr>
          <w:rFonts w:eastAsia="Times New Roman"/>
          <w:szCs w:val="22"/>
          <w:lang w:eastAsia="ja-JP"/>
        </w:rPr>
        <w:t xml:space="preserve">Informe sobre desafíos globales de </w:t>
      </w:r>
      <w:r w:rsidR="002B1093" w:rsidRPr="00ED0FFC">
        <w:rPr>
          <w:rFonts w:eastAsia="Times New Roman"/>
          <w:szCs w:val="22"/>
          <w:lang w:eastAsia="ja-JP"/>
        </w:rPr>
        <w:t xml:space="preserve">S. Helm, Q. Tannock </w:t>
      </w:r>
      <w:r w:rsidRPr="00ED0FFC">
        <w:rPr>
          <w:rFonts w:eastAsia="Times New Roman"/>
          <w:szCs w:val="22"/>
          <w:lang w:eastAsia="ja-JP"/>
        </w:rPr>
        <w:t>e</w:t>
      </w:r>
      <w:r w:rsidR="007579FE" w:rsidRPr="00ED0FFC">
        <w:rPr>
          <w:rFonts w:eastAsia="Times New Roman"/>
          <w:szCs w:val="22"/>
          <w:lang w:eastAsia="ja-JP"/>
        </w:rPr>
        <w:t xml:space="preserve"> I.</w:t>
      </w:r>
      <w:r w:rsidR="002B1093" w:rsidRPr="00ED0FFC">
        <w:rPr>
          <w:rFonts w:eastAsia="Times New Roman"/>
          <w:szCs w:val="22"/>
          <w:lang w:eastAsia="ja-JP"/>
        </w:rPr>
        <w:t xml:space="preserve"> Iliev, 2014.  </w:t>
      </w:r>
      <w:r w:rsidR="002B1093" w:rsidRPr="00901265">
        <w:rPr>
          <w:rFonts w:eastAsia="Times New Roman"/>
          <w:i/>
          <w:iCs/>
          <w:szCs w:val="22"/>
          <w:lang w:val="en-US" w:eastAsia="ja-JP"/>
        </w:rPr>
        <w:t>Renewable Energy Technology</w:t>
      </w:r>
      <w:r w:rsidR="00222344" w:rsidRPr="00901265">
        <w:rPr>
          <w:rFonts w:eastAsia="Times New Roman"/>
          <w:i/>
          <w:iCs/>
          <w:szCs w:val="22"/>
          <w:lang w:val="en-US" w:eastAsia="ja-JP"/>
        </w:rPr>
        <w:t>:  E</w:t>
      </w:r>
      <w:r w:rsidR="002B1093" w:rsidRPr="00901265">
        <w:rPr>
          <w:rFonts w:eastAsia="Times New Roman"/>
          <w:i/>
          <w:iCs/>
          <w:szCs w:val="22"/>
          <w:lang w:val="en-US" w:eastAsia="ja-JP"/>
        </w:rPr>
        <w:t xml:space="preserve">volution and Policy Implications—Evidence from Patent Literature;  </w:t>
      </w:r>
      <w:hyperlink r:id="rId27" w:history="1">
        <w:r w:rsidR="002B1093" w:rsidRPr="00901265">
          <w:rPr>
            <w:rStyle w:val="Hyperlink"/>
            <w:color w:val="auto"/>
            <w:szCs w:val="22"/>
            <w:lang w:val="en-US"/>
          </w:rPr>
          <w:t>http://www.wipo.int/export/sites/www/policy/en/climate_change/pdf/ccmt_report.pdf</w:t>
        </w:r>
      </w:hyperlink>
    </w:p>
    <w:p w:rsidR="002B1093" w:rsidRPr="00901265" w:rsidRDefault="00BA727F" w:rsidP="007F60FD">
      <w:pPr>
        <w:numPr>
          <w:ilvl w:val="0"/>
          <w:numId w:val="8"/>
        </w:numPr>
        <w:tabs>
          <w:tab w:val="left" w:pos="567"/>
        </w:tabs>
        <w:ind w:left="1134" w:hanging="567"/>
        <w:rPr>
          <w:rFonts w:eastAsia="Times New Roman"/>
          <w:szCs w:val="22"/>
          <w:lang w:val="en-US" w:eastAsia="ja-JP"/>
        </w:rPr>
      </w:pPr>
      <w:r w:rsidRPr="00ED0FFC">
        <w:rPr>
          <w:rFonts w:eastAsia="Times New Roman"/>
          <w:szCs w:val="22"/>
          <w:lang w:eastAsia="ja-JP"/>
        </w:rPr>
        <w:t xml:space="preserve">Informe sobre desafíos globales de </w:t>
      </w:r>
      <w:r w:rsidR="002B1093" w:rsidRPr="00ED0FFC">
        <w:rPr>
          <w:rFonts w:eastAsia="Times New Roman"/>
          <w:szCs w:val="22"/>
          <w:lang w:eastAsia="ja-JP"/>
        </w:rPr>
        <w:t>Kristina M</w:t>
      </w:r>
      <w:r w:rsidR="00222344" w:rsidRPr="00ED0FFC">
        <w:rPr>
          <w:rFonts w:eastAsia="Times New Roman"/>
          <w:szCs w:val="22"/>
          <w:lang w:eastAsia="ja-JP"/>
        </w:rPr>
        <w:t>. L</w:t>
      </w:r>
      <w:r w:rsidR="002B1093" w:rsidRPr="00ED0FFC">
        <w:rPr>
          <w:rFonts w:eastAsia="Times New Roman"/>
          <w:szCs w:val="22"/>
          <w:lang w:eastAsia="ja-JP"/>
        </w:rPr>
        <w:t xml:space="preserve">ybecker </w:t>
      </w:r>
      <w:r w:rsidRPr="00ED0FFC">
        <w:rPr>
          <w:rFonts w:eastAsia="Times New Roman"/>
          <w:szCs w:val="22"/>
          <w:lang w:eastAsia="ja-JP"/>
        </w:rPr>
        <w:t>y</w:t>
      </w:r>
      <w:r w:rsidR="002B1093" w:rsidRPr="00ED0FFC">
        <w:rPr>
          <w:rFonts w:eastAsia="Times New Roman"/>
          <w:szCs w:val="22"/>
          <w:lang w:eastAsia="ja-JP"/>
        </w:rPr>
        <w:t xml:space="preserve"> Sebastian Lohse, 2015.  </w:t>
      </w:r>
      <w:r w:rsidR="002B1093" w:rsidRPr="00901265">
        <w:rPr>
          <w:rFonts w:eastAsia="Times New Roman"/>
          <w:szCs w:val="22"/>
          <w:lang w:val="en-US" w:eastAsia="ja-JP"/>
        </w:rPr>
        <w:t xml:space="preserve">Innovation and Diffusion of Green Technologies:  The Role of Intellectual Property and Other Enabling Factors;  </w:t>
      </w:r>
      <w:hyperlink r:id="rId28" w:history="1">
        <w:r w:rsidR="002B1093" w:rsidRPr="00901265">
          <w:rPr>
            <w:rStyle w:val="Hyperlink"/>
            <w:rFonts w:eastAsia="Times New Roman"/>
            <w:color w:val="auto"/>
            <w:szCs w:val="22"/>
            <w:lang w:val="en-US" w:eastAsia="ja-JP"/>
          </w:rPr>
          <w:t>https://webaccess.wipo.int/wipogreen/en/pdf/global_challenges_report_lybecker_lohse.pdf</w:t>
        </w:r>
      </w:hyperlink>
    </w:p>
    <w:p w:rsidR="002B1093" w:rsidRPr="00901265" w:rsidRDefault="00BA727F" w:rsidP="007F60FD">
      <w:pPr>
        <w:numPr>
          <w:ilvl w:val="0"/>
          <w:numId w:val="8"/>
        </w:numPr>
        <w:tabs>
          <w:tab w:val="left" w:pos="567"/>
        </w:tabs>
        <w:ind w:left="1134" w:hanging="567"/>
        <w:rPr>
          <w:szCs w:val="22"/>
          <w:lang w:val="en-US"/>
        </w:rPr>
      </w:pPr>
      <w:proofErr w:type="spellStart"/>
      <w:r w:rsidRPr="00901265">
        <w:rPr>
          <w:szCs w:val="22"/>
          <w:lang w:val="en-US"/>
        </w:rPr>
        <w:t>Documento</w:t>
      </w:r>
      <w:proofErr w:type="spellEnd"/>
      <w:r w:rsidRPr="00901265">
        <w:rPr>
          <w:szCs w:val="22"/>
          <w:lang w:val="en-US"/>
        </w:rPr>
        <w:t xml:space="preserve"> de </w:t>
      </w:r>
      <w:proofErr w:type="spellStart"/>
      <w:r w:rsidRPr="00901265">
        <w:rPr>
          <w:szCs w:val="22"/>
          <w:lang w:val="en-US"/>
        </w:rPr>
        <w:t>información</w:t>
      </w:r>
      <w:proofErr w:type="spellEnd"/>
      <w:r w:rsidRPr="00901265">
        <w:rPr>
          <w:szCs w:val="22"/>
          <w:lang w:val="en-US"/>
        </w:rPr>
        <w:t xml:space="preserve"> </w:t>
      </w:r>
      <w:proofErr w:type="spellStart"/>
      <w:r w:rsidRPr="00901265">
        <w:rPr>
          <w:szCs w:val="22"/>
          <w:lang w:val="en-US"/>
        </w:rPr>
        <w:t>sobre</w:t>
      </w:r>
      <w:proofErr w:type="spellEnd"/>
      <w:r w:rsidRPr="00901265">
        <w:rPr>
          <w:szCs w:val="22"/>
          <w:lang w:val="en-US"/>
        </w:rPr>
        <w:t xml:space="preserve"> </w:t>
      </w:r>
      <w:proofErr w:type="spellStart"/>
      <w:r w:rsidRPr="00901265">
        <w:rPr>
          <w:szCs w:val="22"/>
          <w:lang w:val="en-US"/>
        </w:rPr>
        <w:t>desafíos</w:t>
      </w:r>
      <w:proofErr w:type="spellEnd"/>
      <w:r w:rsidRPr="00901265">
        <w:rPr>
          <w:szCs w:val="22"/>
          <w:lang w:val="en-US"/>
        </w:rPr>
        <w:t xml:space="preserve"> </w:t>
      </w:r>
      <w:proofErr w:type="spellStart"/>
      <w:r w:rsidRPr="00901265">
        <w:rPr>
          <w:szCs w:val="22"/>
          <w:lang w:val="en-US"/>
        </w:rPr>
        <w:t>mund</w:t>
      </w:r>
      <w:r w:rsidR="006F205D" w:rsidRPr="00901265">
        <w:rPr>
          <w:szCs w:val="22"/>
          <w:lang w:val="en-US"/>
        </w:rPr>
        <w:t>ia</w:t>
      </w:r>
      <w:r w:rsidRPr="00901265">
        <w:rPr>
          <w:szCs w:val="22"/>
          <w:lang w:val="en-US"/>
        </w:rPr>
        <w:t>les</w:t>
      </w:r>
      <w:proofErr w:type="spellEnd"/>
      <w:r w:rsidR="002B1093" w:rsidRPr="00901265">
        <w:rPr>
          <w:szCs w:val="22"/>
          <w:lang w:val="en-US"/>
        </w:rPr>
        <w:t>:</w:t>
      </w:r>
      <w:r w:rsidRPr="00901265">
        <w:rPr>
          <w:szCs w:val="22"/>
          <w:lang w:val="en-US"/>
        </w:rPr>
        <w:t xml:space="preserve">  </w:t>
      </w:r>
      <w:r w:rsidR="002B1093" w:rsidRPr="00901265">
        <w:rPr>
          <w:i/>
          <w:szCs w:val="22"/>
          <w:lang w:val="en-US"/>
        </w:rPr>
        <w:t>When policy meets evidence:  What’s next in the discussion on IP, technology transfer &amp; the environment?</w:t>
      </w:r>
      <w:r w:rsidR="002B1093" w:rsidRPr="00901265">
        <w:rPr>
          <w:szCs w:val="22"/>
          <w:lang w:val="en-US"/>
        </w:rPr>
        <w:t xml:space="preserve">, </w:t>
      </w:r>
      <w:hyperlink r:id="rId29" w:history="1">
        <w:r w:rsidR="002B1093" w:rsidRPr="00901265">
          <w:rPr>
            <w:rStyle w:val="Hyperlink"/>
            <w:color w:val="auto"/>
            <w:szCs w:val="22"/>
            <w:lang w:val="en-US"/>
          </w:rPr>
          <w:t>http://www.wipo.int/export/sites/www/policy/en/climate_change/pdf/global_challenges_brief.pdf</w:t>
        </w:r>
      </w:hyperlink>
    </w:p>
    <w:p w:rsidR="002B1093" w:rsidRPr="00901265" w:rsidRDefault="00BA727F" w:rsidP="007F60FD">
      <w:pPr>
        <w:numPr>
          <w:ilvl w:val="0"/>
          <w:numId w:val="8"/>
        </w:numPr>
        <w:tabs>
          <w:tab w:val="left" w:pos="567"/>
        </w:tabs>
        <w:ind w:left="1134" w:hanging="567"/>
        <w:rPr>
          <w:szCs w:val="22"/>
          <w:lang w:val="en-US"/>
        </w:rPr>
      </w:pPr>
      <w:proofErr w:type="spellStart"/>
      <w:r w:rsidRPr="00901265">
        <w:rPr>
          <w:rFonts w:eastAsia="Times New Roman"/>
          <w:szCs w:val="22"/>
          <w:lang w:val="en-US" w:eastAsia="ja-JP"/>
        </w:rPr>
        <w:t>Documento</w:t>
      </w:r>
      <w:proofErr w:type="spellEnd"/>
      <w:r w:rsidRPr="00901265">
        <w:rPr>
          <w:rFonts w:eastAsia="Times New Roman"/>
          <w:szCs w:val="22"/>
          <w:lang w:val="en-US" w:eastAsia="ja-JP"/>
        </w:rPr>
        <w:t xml:space="preserve"> de </w:t>
      </w:r>
      <w:proofErr w:type="spellStart"/>
      <w:r w:rsidRPr="00901265">
        <w:rPr>
          <w:rFonts w:eastAsia="Times New Roman"/>
          <w:szCs w:val="22"/>
          <w:lang w:val="en-US" w:eastAsia="ja-JP"/>
        </w:rPr>
        <w:t>información</w:t>
      </w:r>
      <w:proofErr w:type="spellEnd"/>
      <w:r w:rsidRPr="00901265">
        <w:rPr>
          <w:rFonts w:eastAsia="Times New Roman"/>
          <w:szCs w:val="22"/>
          <w:lang w:val="en-US" w:eastAsia="ja-JP"/>
        </w:rPr>
        <w:t xml:space="preserve"> </w:t>
      </w:r>
      <w:proofErr w:type="spellStart"/>
      <w:r w:rsidRPr="00901265">
        <w:rPr>
          <w:rFonts w:eastAsia="Times New Roman"/>
          <w:szCs w:val="22"/>
          <w:lang w:val="en-US" w:eastAsia="ja-JP"/>
        </w:rPr>
        <w:t>sobre</w:t>
      </w:r>
      <w:proofErr w:type="spellEnd"/>
      <w:r w:rsidRPr="00901265">
        <w:rPr>
          <w:rFonts w:eastAsia="Times New Roman"/>
          <w:szCs w:val="22"/>
          <w:lang w:val="en-US" w:eastAsia="ja-JP"/>
        </w:rPr>
        <w:t xml:space="preserve"> </w:t>
      </w:r>
      <w:proofErr w:type="spellStart"/>
      <w:r w:rsidRPr="00901265">
        <w:rPr>
          <w:rFonts w:eastAsia="Times New Roman"/>
          <w:szCs w:val="22"/>
          <w:lang w:val="en-US" w:eastAsia="ja-JP"/>
        </w:rPr>
        <w:t>desafíos</w:t>
      </w:r>
      <w:proofErr w:type="spellEnd"/>
      <w:r w:rsidRPr="00901265">
        <w:rPr>
          <w:rFonts w:eastAsia="Times New Roman"/>
          <w:szCs w:val="22"/>
          <w:lang w:val="en-US" w:eastAsia="ja-JP"/>
        </w:rPr>
        <w:t xml:space="preserve"> </w:t>
      </w:r>
      <w:proofErr w:type="spellStart"/>
      <w:r w:rsidRPr="00901265">
        <w:rPr>
          <w:rFonts w:eastAsia="Times New Roman"/>
          <w:szCs w:val="22"/>
          <w:lang w:val="en-US" w:eastAsia="ja-JP"/>
        </w:rPr>
        <w:t>mundiales</w:t>
      </w:r>
      <w:proofErr w:type="spellEnd"/>
      <w:r w:rsidR="002B1093" w:rsidRPr="00901265">
        <w:rPr>
          <w:rFonts w:eastAsia="Times New Roman"/>
          <w:szCs w:val="22"/>
          <w:lang w:val="en-US" w:eastAsia="ja-JP"/>
        </w:rPr>
        <w:t xml:space="preserve">:  </w:t>
      </w:r>
      <w:r w:rsidR="002B1093" w:rsidRPr="00901265">
        <w:rPr>
          <w:rFonts w:eastAsia="Times New Roman"/>
          <w:i/>
          <w:iCs/>
          <w:szCs w:val="22"/>
          <w:lang w:val="en-US" w:eastAsia="ja-JP"/>
        </w:rPr>
        <w:t xml:space="preserve">The acceleration of climate change and mitigation technologies:  Intellectual property trends in the renewable energy landscape;  </w:t>
      </w:r>
      <w:hyperlink r:id="rId30" w:history="1">
        <w:r w:rsidR="002B1093" w:rsidRPr="00901265">
          <w:rPr>
            <w:rStyle w:val="Hyperlink"/>
            <w:color w:val="auto"/>
            <w:szCs w:val="22"/>
            <w:lang w:val="en-US"/>
          </w:rPr>
          <w:t>http://www.wipo.int/export/sites/www/policy/en/climate_change/pdf/ccmt_brief.pdf</w:t>
        </w:r>
      </w:hyperlink>
    </w:p>
    <w:p w:rsidR="002B1093" w:rsidRPr="00901265" w:rsidRDefault="00BA727F" w:rsidP="007F60FD">
      <w:pPr>
        <w:numPr>
          <w:ilvl w:val="0"/>
          <w:numId w:val="8"/>
        </w:numPr>
        <w:tabs>
          <w:tab w:val="left" w:pos="567"/>
        </w:tabs>
        <w:ind w:left="1134" w:hanging="567"/>
        <w:rPr>
          <w:szCs w:val="22"/>
          <w:lang w:val="en-US"/>
        </w:rPr>
      </w:pPr>
      <w:proofErr w:type="spellStart"/>
      <w:r w:rsidRPr="00901265">
        <w:rPr>
          <w:rFonts w:eastAsia="Times New Roman"/>
          <w:szCs w:val="22"/>
          <w:lang w:val="en-US" w:eastAsia="ja-JP"/>
        </w:rPr>
        <w:t>Documento</w:t>
      </w:r>
      <w:proofErr w:type="spellEnd"/>
      <w:r w:rsidRPr="00901265">
        <w:rPr>
          <w:rFonts w:eastAsia="Times New Roman"/>
          <w:szCs w:val="22"/>
          <w:lang w:val="en-US" w:eastAsia="ja-JP"/>
        </w:rPr>
        <w:t xml:space="preserve"> de </w:t>
      </w:r>
      <w:proofErr w:type="spellStart"/>
      <w:r w:rsidRPr="00901265">
        <w:rPr>
          <w:rFonts w:eastAsia="Times New Roman"/>
          <w:szCs w:val="22"/>
          <w:lang w:val="en-US" w:eastAsia="ja-JP"/>
        </w:rPr>
        <w:t>información</w:t>
      </w:r>
      <w:proofErr w:type="spellEnd"/>
      <w:r w:rsidRPr="00901265">
        <w:rPr>
          <w:rFonts w:eastAsia="Times New Roman"/>
          <w:szCs w:val="22"/>
          <w:lang w:val="en-US" w:eastAsia="ja-JP"/>
        </w:rPr>
        <w:t xml:space="preserve"> </w:t>
      </w:r>
      <w:proofErr w:type="spellStart"/>
      <w:r w:rsidRPr="00901265">
        <w:rPr>
          <w:rFonts w:eastAsia="Times New Roman"/>
          <w:szCs w:val="22"/>
          <w:lang w:val="en-US" w:eastAsia="ja-JP"/>
        </w:rPr>
        <w:t>sobre</w:t>
      </w:r>
      <w:proofErr w:type="spellEnd"/>
      <w:r w:rsidRPr="00901265">
        <w:rPr>
          <w:rFonts w:eastAsia="Times New Roman"/>
          <w:szCs w:val="22"/>
          <w:lang w:val="en-US" w:eastAsia="ja-JP"/>
        </w:rPr>
        <w:t xml:space="preserve"> </w:t>
      </w:r>
      <w:proofErr w:type="spellStart"/>
      <w:r w:rsidRPr="00901265">
        <w:rPr>
          <w:rFonts w:eastAsia="Times New Roman"/>
          <w:szCs w:val="22"/>
          <w:lang w:val="en-US" w:eastAsia="ja-JP"/>
        </w:rPr>
        <w:t>desafíos</w:t>
      </w:r>
      <w:proofErr w:type="spellEnd"/>
      <w:r w:rsidRPr="00901265">
        <w:rPr>
          <w:rFonts w:eastAsia="Times New Roman"/>
          <w:szCs w:val="22"/>
          <w:lang w:val="en-US" w:eastAsia="ja-JP"/>
        </w:rPr>
        <w:t xml:space="preserve"> </w:t>
      </w:r>
      <w:proofErr w:type="spellStart"/>
      <w:r w:rsidRPr="00901265">
        <w:rPr>
          <w:rFonts w:eastAsia="Times New Roman"/>
          <w:szCs w:val="22"/>
          <w:lang w:val="en-US" w:eastAsia="ja-JP"/>
        </w:rPr>
        <w:t>mundiales</w:t>
      </w:r>
      <w:proofErr w:type="spellEnd"/>
      <w:r w:rsidR="002B1093" w:rsidRPr="00901265">
        <w:rPr>
          <w:rFonts w:eastAsia="Times New Roman"/>
          <w:szCs w:val="22"/>
          <w:lang w:val="en-US" w:eastAsia="ja-JP"/>
        </w:rPr>
        <w:t xml:space="preserve">:  </w:t>
      </w:r>
      <w:r w:rsidR="002B1093" w:rsidRPr="00901265">
        <w:rPr>
          <w:i/>
          <w:szCs w:val="22"/>
          <w:lang w:val="en-US"/>
        </w:rPr>
        <w:t>Incentivizing the adoption of green technology on a global scale</w:t>
      </w:r>
      <w:r w:rsidRPr="00901265">
        <w:rPr>
          <w:i/>
          <w:szCs w:val="22"/>
          <w:lang w:val="en-US"/>
        </w:rPr>
        <w:t xml:space="preserve"> </w:t>
      </w:r>
      <w:r w:rsidR="002B1093" w:rsidRPr="00901265">
        <w:rPr>
          <w:rStyle w:val="Hyperlink"/>
          <w:color w:val="auto"/>
          <w:szCs w:val="22"/>
          <w:lang w:val="en-US"/>
        </w:rPr>
        <w:t>(http://www.wipo.int/export/sites/www/policy/en/climate_change/pdf/wipo_lohse_brief.pdf)</w:t>
      </w:r>
    </w:p>
    <w:p w:rsidR="002B1093" w:rsidRPr="00ED0FFC" w:rsidRDefault="00B32598" w:rsidP="007F60FD">
      <w:pPr>
        <w:pStyle w:val="ListParagraph"/>
        <w:numPr>
          <w:ilvl w:val="0"/>
          <w:numId w:val="8"/>
        </w:numPr>
        <w:ind w:left="1134" w:hanging="567"/>
        <w:rPr>
          <w:szCs w:val="22"/>
          <w:lang w:val="es-ES"/>
        </w:rPr>
      </w:pPr>
      <w:r w:rsidRPr="00ED0FFC">
        <w:rPr>
          <w:szCs w:val="22"/>
          <w:lang w:val="es-ES"/>
        </w:rPr>
        <w:t xml:space="preserve">Además de los manuales existentes, la OMPI </w:t>
      </w:r>
      <w:r w:rsidR="00D04915" w:rsidRPr="00ED0FFC">
        <w:rPr>
          <w:szCs w:val="22"/>
          <w:lang w:val="es-ES"/>
        </w:rPr>
        <w:t xml:space="preserve">ha </w:t>
      </w:r>
      <w:r w:rsidRPr="00ED0FFC">
        <w:rPr>
          <w:szCs w:val="22"/>
          <w:lang w:val="es-ES"/>
        </w:rPr>
        <w:t>desarroll</w:t>
      </w:r>
      <w:r w:rsidR="00D04915" w:rsidRPr="00ED0FFC">
        <w:rPr>
          <w:szCs w:val="22"/>
          <w:lang w:val="es-ES"/>
        </w:rPr>
        <w:t xml:space="preserve">ado </w:t>
      </w:r>
      <w:r w:rsidRPr="00ED0FFC">
        <w:rPr>
          <w:szCs w:val="22"/>
          <w:lang w:val="es-ES"/>
        </w:rPr>
        <w:t>materiales de formación adaptados a cada programa de capacitación</w:t>
      </w:r>
      <w:r w:rsidR="002B1093" w:rsidRPr="00ED0FFC">
        <w:rPr>
          <w:szCs w:val="22"/>
          <w:lang w:val="es-ES"/>
        </w:rPr>
        <w:t xml:space="preserve">, </w:t>
      </w:r>
      <w:r w:rsidRPr="00ED0FFC">
        <w:rPr>
          <w:szCs w:val="22"/>
          <w:lang w:val="es-ES"/>
        </w:rPr>
        <w:t>centr</w:t>
      </w:r>
      <w:r w:rsidR="00D04915" w:rsidRPr="00ED0FFC">
        <w:rPr>
          <w:szCs w:val="22"/>
          <w:lang w:val="es-ES"/>
        </w:rPr>
        <w:t xml:space="preserve">ándose </w:t>
      </w:r>
      <w:r w:rsidRPr="00ED0FFC">
        <w:rPr>
          <w:szCs w:val="22"/>
          <w:lang w:val="es-ES"/>
        </w:rPr>
        <w:t>en estudios de caso locales y ejercicios prácticos, traducidos por lo general a la lengua del país anfitrión y abordando cuestiones</w:t>
      </w:r>
      <w:r w:rsidR="00D04915" w:rsidRPr="00ED0FFC">
        <w:rPr>
          <w:szCs w:val="22"/>
          <w:lang w:val="es-ES"/>
        </w:rPr>
        <w:t xml:space="preserve"> </w:t>
      </w:r>
      <w:r w:rsidRPr="00ED0FFC">
        <w:rPr>
          <w:szCs w:val="22"/>
          <w:lang w:val="es-ES"/>
        </w:rPr>
        <w:t>de P.I. en relación con temas o áreas específicos, como se indica en los diferentes programas</w:t>
      </w:r>
      <w:r w:rsidR="00222344" w:rsidRPr="00ED0FFC">
        <w:rPr>
          <w:szCs w:val="22"/>
          <w:lang w:val="es-ES"/>
        </w:rPr>
        <w:t>.  P</w:t>
      </w:r>
      <w:r w:rsidR="00D04915" w:rsidRPr="00ED0FFC">
        <w:rPr>
          <w:szCs w:val="22"/>
          <w:lang w:val="es-ES"/>
        </w:rPr>
        <w:t>or ejemplo, la negociación del acuerdo de licencia de tecnología sobre la aplicación de la T</w:t>
      </w:r>
      <w:r w:rsidR="00F804F2" w:rsidRPr="00ED0FFC">
        <w:rPr>
          <w:szCs w:val="22"/>
          <w:lang w:val="es-ES"/>
        </w:rPr>
        <w:t>.</w:t>
      </w:r>
      <w:r w:rsidR="00D04915" w:rsidRPr="00ED0FFC">
        <w:rPr>
          <w:szCs w:val="22"/>
          <w:lang w:val="es-ES"/>
        </w:rPr>
        <w:t>I</w:t>
      </w:r>
      <w:r w:rsidR="00F804F2" w:rsidRPr="00ED0FFC">
        <w:rPr>
          <w:szCs w:val="22"/>
          <w:lang w:val="es-ES"/>
        </w:rPr>
        <w:t>.</w:t>
      </w:r>
      <w:r w:rsidR="00D04915" w:rsidRPr="00ED0FFC">
        <w:rPr>
          <w:szCs w:val="22"/>
          <w:lang w:val="es-ES"/>
        </w:rPr>
        <w:t xml:space="preserve"> en las biociencias</w:t>
      </w:r>
      <w:r w:rsidR="002B1093" w:rsidRPr="00ED0FFC">
        <w:rPr>
          <w:szCs w:val="22"/>
          <w:lang w:val="es-ES"/>
        </w:rPr>
        <w:t>.</w:t>
      </w:r>
    </w:p>
    <w:p w:rsidR="002B1093" w:rsidRPr="00ED0FFC" w:rsidRDefault="002B1093" w:rsidP="007F60FD">
      <w:pPr>
        <w:pStyle w:val="ListParagraph"/>
        <w:ind w:left="1134"/>
        <w:rPr>
          <w:szCs w:val="22"/>
          <w:lang w:val="es-ES"/>
        </w:rPr>
      </w:pPr>
    </w:p>
    <w:p w:rsidR="002B1093" w:rsidRPr="00ED0FFC" w:rsidRDefault="00D04915" w:rsidP="00DD58B5">
      <w:pPr>
        <w:pStyle w:val="Heading2"/>
        <w:ind w:left="567" w:hanging="567"/>
      </w:pPr>
      <w:r w:rsidRPr="00ED0FFC">
        <w:lastRenderedPageBreak/>
        <w:t>VI</w:t>
      </w:r>
      <w:r w:rsidR="005C4A81" w:rsidRPr="00ED0FFC">
        <w:t>I</w:t>
      </w:r>
      <w:r w:rsidRPr="00ED0FFC">
        <w:t>.</w:t>
      </w:r>
      <w:r w:rsidRPr="00ED0FFC">
        <w:tab/>
      </w:r>
      <w:r w:rsidRPr="00ED0FFC">
        <w:rPr>
          <w:szCs w:val="22"/>
        </w:rPr>
        <w:t>Comités permanentes de la OMPI que abordan cuestiones relacionadas con la transferencia de tecnología</w:t>
      </w:r>
    </w:p>
    <w:p w:rsidR="002B1093" w:rsidRPr="00ED0FFC" w:rsidRDefault="002B1093" w:rsidP="007F60FD">
      <w:pPr>
        <w:rPr>
          <w:szCs w:val="22"/>
        </w:rPr>
      </w:pPr>
    </w:p>
    <w:p w:rsidR="00742E3D" w:rsidRPr="00ED0FFC" w:rsidRDefault="002B1093" w:rsidP="007F60FD">
      <w:pPr>
        <w:autoSpaceDE w:val="0"/>
        <w:autoSpaceDN w:val="0"/>
        <w:adjustRightInd w:val="0"/>
        <w:rPr>
          <w:szCs w:val="22"/>
        </w:rPr>
      </w:pPr>
      <w:r w:rsidRPr="00ED0FFC">
        <w:rPr>
          <w:szCs w:val="22"/>
        </w:rPr>
        <w:t>33.</w:t>
      </w:r>
      <w:r w:rsidRPr="00ED0FFC">
        <w:rPr>
          <w:szCs w:val="22"/>
        </w:rPr>
        <w:tab/>
      </w:r>
      <w:r w:rsidR="00D04915" w:rsidRPr="00ED0FFC">
        <w:rPr>
          <w:szCs w:val="22"/>
        </w:rPr>
        <w:t xml:space="preserve">Desde la decimocuarta sesión del Comité Permanente sobre Derecho de Patentes </w:t>
      </w:r>
      <w:r w:rsidRPr="00ED0FFC">
        <w:rPr>
          <w:szCs w:val="22"/>
        </w:rPr>
        <w:t xml:space="preserve">(SCP) </w:t>
      </w:r>
      <w:r w:rsidR="00D04915" w:rsidRPr="00ED0FFC">
        <w:rPr>
          <w:szCs w:val="22"/>
        </w:rPr>
        <w:t xml:space="preserve">celebrada </w:t>
      </w:r>
      <w:r w:rsidR="00CE11D3" w:rsidRPr="00ED0FFC">
        <w:rPr>
          <w:szCs w:val="22"/>
        </w:rPr>
        <w:t>en enero d</w:t>
      </w:r>
      <w:r w:rsidR="00222344" w:rsidRPr="00ED0FFC">
        <w:rPr>
          <w:szCs w:val="22"/>
        </w:rPr>
        <w:t>e 2</w:t>
      </w:r>
      <w:r w:rsidRPr="00ED0FFC">
        <w:rPr>
          <w:szCs w:val="22"/>
        </w:rPr>
        <w:t xml:space="preserve">010, </w:t>
      </w:r>
      <w:r w:rsidR="00CE11D3" w:rsidRPr="00ED0FFC">
        <w:rPr>
          <w:szCs w:val="22"/>
        </w:rPr>
        <w:t>se ha incluido un punto en el orden del día del Comité titulado "transferencia de tecnología"</w:t>
      </w:r>
      <w:r w:rsidRPr="00ED0FFC">
        <w:rPr>
          <w:szCs w:val="22"/>
        </w:rPr>
        <w:t xml:space="preserve">.  </w:t>
      </w:r>
      <w:r w:rsidR="00CE11D3" w:rsidRPr="00ED0FFC">
        <w:rPr>
          <w:szCs w:val="22"/>
        </w:rPr>
        <w:t>Con arreglo a ese punto en el orden del día, se celebraron conversaciones sobre el estudio pre</w:t>
      </w:r>
      <w:r w:rsidR="00293F06" w:rsidRPr="00ED0FFC">
        <w:rPr>
          <w:szCs w:val="22"/>
        </w:rPr>
        <w:t>liminar</w:t>
      </w:r>
      <w:r w:rsidR="00CE11D3" w:rsidRPr="00ED0FFC">
        <w:rPr>
          <w:szCs w:val="22"/>
        </w:rPr>
        <w:t xml:space="preserve"> de transferencia de tecnología</w:t>
      </w:r>
      <w:r w:rsidRPr="00ED0FFC">
        <w:rPr>
          <w:szCs w:val="22"/>
        </w:rPr>
        <w:t xml:space="preserve"> (document</w:t>
      </w:r>
      <w:r w:rsidR="00CE11D3" w:rsidRPr="00ED0FFC">
        <w:rPr>
          <w:szCs w:val="22"/>
        </w:rPr>
        <w:t>o</w:t>
      </w:r>
      <w:r w:rsidRPr="00ED0FFC">
        <w:rPr>
          <w:szCs w:val="22"/>
        </w:rPr>
        <w:t xml:space="preserve">s SCP/14/4 </w:t>
      </w:r>
      <w:r w:rsidR="00222344" w:rsidRPr="00ED0FFC">
        <w:rPr>
          <w:szCs w:val="22"/>
        </w:rPr>
        <w:t>y 4</w:t>
      </w:r>
      <w:r w:rsidRPr="00ED0FFC">
        <w:rPr>
          <w:szCs w:val="22"/>
        </w:rPr>
        <w:t xml:space="preserve"> Rev.), </w:t>
      </w:r>
      <w:r w:rsidR="00CE11D3" w:rsidRPr="00ED0FFC">
        <w:rPr>
          <w:szCs w:val="22"/>
        </w:rPr>
        <w:t>y desde mayo d</w:t>
      </w:r>
      <w:r w:rsidR="00222344" w:rsidRPr="00ED0FFC">
        <w:rPr>
          <w:szCs w:val="22"/>
        </w:rPr>
        <w:t>e 2</w:t>
      </w:r>
      <w:r w:rsidRPr="00ED0FFC">
        <w:rPr>
          <w:szCs w:val="22"/>
        </w:rPr>
        <w:t xml:space="preserve">012 </w:t>
      </w:r>
      <w:r w:rsidR="00CE11D3" w:rsidRPr="00ED0FFC">
        <w:rPr>
          <w:szCs w:val="22"/>
        </w:rPr>
        <w:t>los Estados miembros han estado compartiendo información sobre ejemplos prácticos y experiencias acerca de los incentivos y los impedimentos a la transferencia de tecnología relacionados con las patentes</w:t>
      </w:r>
      <w:r w:rsidR="00742E3D" w:rsidRPr="00ED0FFC">
        <w:rPr>
          <w:szCs w:val="22"/>
        </w:rPr>
        <w:t>.</w:t>
      </w:r>
    </w:p>
    <w:p w:rsidR="002B1093" w:rsidRPr="00ED0FFC" w:rsidRDefault="002B1093" w:rsidP="007F60FD">
      <w:pPr>
        <w:autoSpaceDE w:val="0"/>
        <w:autoSpaceDN w:val="0"/>
        <w:adjustRightInd w:val="0"/>
        <w:rPr>
          <w:szCs w:val="22"/>
        </w:rPr>
      </w:pPr>
    </w:p>
    <w:p w:rsidR="002B1093" w:rsidRPr="00ED0FFC" w:rsidRDefault="002B1093" w:rsidP="007F60FD">
      <w:pPr>
        <w:autoSpaceDE w:val="0"/>
        <w:autoSpaceDN w:val="0"/>
        <w:adjustRightInd w:val="0"/>
        <w:rPr>
          <w:szCs w:val="22"/>
        </w:rPr>
      </w:pPr>
      <w:r w:rsidRPr="00ED0FFC">
        <w:rPr>
          <w:szCs w:val="22"/>
        </w:rPr>
        <w:t>34.</w:t>
      </w:r>
      <w:r w:rsidRPr="00ED0FFC">
        <w:rPr>
          <w:szCs w:val="22"/>
        </w:rPr>
        <w:tab/>
      </w:r>
      <w:r w:rsidR="00CE11D3" w:rsidRPr="00ED0FFC">
        <w:rPr>
          <w:szCs w:val="22"/>
        </w:rPr>
        <w:t>Además, al margen de la decimoséptima sesión del SCP en diciembre d</w:t>
      </w:r>
      <w:r w:rsidR="00222344" w:rsidRPr="00ED0FFC">
        <w:rPr>
          <w:szCs w:val="22"/>
        </w:rPr>
        <w:t>e 2</w:t>
      </w:r>
      <w:r w:rsidRPr="00ED0FFC">
        <w:rPr>
          <w:szCs w:val="22"/>
        </w:rPr>
        <w:t xml:space="preserve">011, </w:t>
      </w:r>
      <w:r w:rsidR="00CB4300" w:rsidRPr="00ED0FFC">
        <w:rPr>
          <w:szCs w:val="22"/>
        </w:rPr>
        <w:t>el Economista Jefe de la OMPI organizó un seminario especial sobre patentes y transferencia de tecnología</w:t>
      </w:r>
      <w:r w:rsidRPr="00ED0FFC">
        <w:rPr>
          <w:szCs w:val="22"/>
        </w:rPr>
        <w:t>.</w:t>
      </w:r>
    </w:p>
    <w:p w:rsidR="002B1093" w:rsidRPr="00ED0FFC" w:rsidRDefault="00CB4300" w:rsidP="007F60FD">
      <w:pPr>
        <w:pStyle w:val="Heading2"/>
        <w:ind w:left="567" w:hanging="567"/>
      </w:pPr>
      <w:r w:rsidRPr="00ED0FFC">
        <w:t>V</w:t>
      </w:r>
      <w:r w:rsidR="00DD58B5">
        <w:t>I</w:t>
      </w:r>
      <w:r w:rsidRPr="00ED0FFC">
        <w:t>II.</w:t>
      </w:r>
      <w:r w:rsidRPr="00ED0FFC">
        <w:tab/>
      </w:r>
      <w:r w:rsidRPr="00ED0FFC">
        <w:rPr>
          <w:szCs w:val="22"/>
        </w:rPr>
        <w:t>Colaboraciones facilitadas por la OMPI en esferas específicas del conocimiento / transferencia de tecnología</w:t>
      </w:r>
      <w:r w:rsidR="002B1093" w:rsidRPr="00ED0FFC">
        <w:t xml:space="preserve"> </w:t>
      </w:r>
      <w:r w:rsidR="001559EA" w:rsidRPr="00ED0FFC">
        <w:t xml:space="preserve">– WIPO </w:t>
      </w:r>
      <w:r w:rsidR="00F0162C" w:rsidRPr="00ED0FFC">
        <w:rPr>
          <w:caps w:val="0"/>
        </w:rPr>
        <w:t>Re</w:t>
      </w:r>
      <w:proofErr w:type="gramStart"/>
      <w:r w:rsidR="00ED0FFC">
        <w:t>:</w:t>
      </w:r>
      <w:r w:rsidR="00F0162C" w:rsidRPr="00ED0FFC">
        <w:rPr>
          <w:caps w:val="0"/>
        </w:rPr>
        <w:t>Search</w:t>
      </w:r>
      <w:proofErr w:type="gramEnd"/>
    </w:p>
    <w:p w:rsidR="002B1093" w:rsidRPr="00ED0FFC" w:rsidRDefault="002B1093" w:rsidP="007F60FD">
      <w:pPr>
        <w:rPr>
          <w:szCs w:val="22"/>
        </w:rPr>
      </w:pPr>
    </w:p>
    <w:p w:rsidR="002B1093" w:rsidRPr="00ED0FFC" w:rsidRDefault="002B1093" w:rsidP="007F60FD">
      <w:pPr>
        <w:rPr>
          <w:szCs w:val="22"/>
        </w:rPr>
      </w:pPr>
      <w:r w:rsidRPr="00ED0FFC">
        <w:rPr>
          <w:szCs w:val="22"/>
        </w:rPr>
        <w:t>35.</w:t>
      </w:r>
      <w:r w:rsidRPr="00ED0FFC">
        <w:rPr>
          <w:szCs w:val="22"/>
        </w:rPr>
        <w:tab/>
      </w:r>
      <w:r w:rsidR="0037644C" w:rsidRPr="00ED0FFC">
        <w:rPr>
          <w:szCs w:val="22"/>
        </w:rPr>
        <w:t xml:space="preserve">WIPO Re:Search </w:t>
      </w:r>
      <w:r w:rsidR="00CB4300" w:rsidRPr="00ED0FFC">
        <w:rPr>
          <w:szCs w:val="22"/>
        </w:rPr>
        <w:t>ha desarrollado más d</w:t>
      </w:r>
      <w:r w:rsidR="00222344" w:rsidRPr="00ED0FFC">
        <w:rPr>
          <w:szCs w:val="22"/>
        </w:rPr>
        <w:t>e 5</w:t>
      </w:r>
      <w:r w:rsidRPr="00ED0FFC">
        <w:rPr>
          <w:szCs w:val="22"/>
        </w:rPr>
        <w:t xml:space="preserve">0 </w:t>
      </w:r>
      <w:r w:rsidR="00567E3F" w:rsidRPr="00ED0FFC">
        <w:rPr>
          <w:szCs w:val="22"/>
        </w:rPr>
        <w:t>colaboracio</w:t>
      </w:r>
      <w:r w:rsidR="00CB4300" w:rsidRPr="00ED0FFC">
        <w:rPr>
          <w:szCs w:val="22"/>
        </w:rPr>
        <w:t>nes durant</w:t>
      </w:r>
      <w:r w:rsidR="00222344" w:rsidRPr="00ED0FFC">
        <w:rPr>
          <w:szCs w:val="22"/>
        </w:rPr>
        <w:t>e 2</w:t>
      </w:r>
      <w:r w:rsidRPr="00ED0FFC">
        <w:rPr>
          <w:szCs w:val="22"/>
        </w:rPr>
        <w:t xml:space="preserve">014 </w:t>
      </w:r>
      <w:r w:rsidR="00222344" w:rsidRPr="00ED0FFC">
        <w:rPr>
          <w:szCs w:val="22"/>
        </w:rPr>
        <w:t>y 2</w:t>
      </w:r>
      <w:r w:rsidRPr="00ED0FFC">
        <w:rPr>
          <w:szCs w:val="22"/>
        </w:rPr>
        <w:t xml:space="preserve">015 </w:t>
      </w:r>
      <w:r w:rsidR="00CB4300" w:rsidRPr="00ED0FFC">
        <w:rPr>
          <w:szCs w:val="22"/>
        </w:rPr>
        <w:t>que incluyen la transferencia de tecnologías de empresas o universidades para el desarrollo de fármacos, vacunas y diagnóstico</w:t>
      </w:r>
      <w:r w:rsidR="00567E3F" w:rsidRPr="00ED0FFC">
        <w:rPr>
          <w:szCs w:val="22"/>
        </w:rPr>
        <w:t>s</w:t>
      </w:r>
      <w:r w:rsidR="00CB4300" w:rsidRPr="00ED0FFC">
        <w:rPr>
          <w:szCs w:val="22"/>
        </w:rPr>
        <w:t xml:space="preserve"> </w:t>
      </w:r>
      <w:r w:rsidR="00567E3F" w:rsidRPr="00ED0FFC">
        <w:rPr>
          <w:szCs w:val="22"/>
        </w:rPr>
        <w:t>d</w:t>
      </w:r>
      <w:r w:rsidR="00CB4300" w:rsidRPr="00ED0FFC">
        <w:rPr>
          <w:szCs w:val="22"/>
        </w:rPr>
        <w:t>e enfermedades tropicales desatendidas, malaria y tuberculosis</w:t>
      </w:r>
      <w:r w:rsidRPr="00ED0FFC">
        <w:rPr>
          <w:szCs w:val="22"/>
        </w:rPr>
        <w:t xml:space="preserve">.  </w:t>
      </w:r>
      <w:r w:rsidR="00CB4300" w:rsidRPr="00ED0FFC">
        <w:rPr>
          <w:szCs w:val="22"/>
        </w:rPr>
        <w:t>Algunas colaboraciones incluyeron instituciones en los países en desarrollo</w:t>
      </w:r>
      <w:r w:rsidRPr="00ED0FFC">
        <w:rPr>
          <w:szCs w:val="22"/>
        </w:rPr>
        <w:t>.</w:t>
      </w:r>
    </w:p>
    <w:p w:rsidR="002B1093" w:rsidRPr="00ED0FFC" w:rsidRDefault="002B1093" w:rsidP="007F60FD">
      <w:pPr>
        <w:rPr>
          <w:sz w:val="20"/>
        </w:rPr>
      </w:pPr>
    </w:p>
    <w:p w:rsidR="00742E3D" w:rsidRPr="00ED0FFC" w:rsidRDefault="002B1093" w:rsidP="007F60FD">
      <w:pPr>
        <w:rPr>
          <w:szCs w:val="22"/>
        </w:rPr>
      </w:pPr>
      <w:r w:rsidRPr="00ED0FFC">
        <w:rPr>
          <w:szCs w:val="22"/>
        </w:rPr>
        <w:t>36.</w:t>
      </w:r>
      <w:r w:rsidRPr="00ED0FFC">
        <w:rPr>
          <w:szCs w:val="22"/>
        </w:rPr>
        <w:tab/>
      </w:r>
      <w:r w:rsidR="00CB4300" w:rsidRPr="00ED0FFC">
        <w:rPr>
          <w:szCs w:val="22"/>
        </w:rPr>
        <w:t>Uno de los ejemplos de esta colaboración</w:t>
      </w:r>
      <w:r w:rsidR="00567E3F" w:rsidRPr="00ED0FFC">
        <w:rPr>
          <w:szCs w:val="22"/>
        </w:rPr>
        <w:t>,</w:t>
      </w:r>
      <w:r w:rsidR="00CB4300" w:rsidRPr="00ED0FFC">
        <w:rPr>
          <w:szCs w:val="22"/>
        </w:rPr>
        <w:t xml:space="preserve"> entre instituciones académicas y empresariales, en países en desarrollo y países desarrollados es la cooperación entre la Universidad de Lagos y </w:t>
      </w:r>
      <w:r w:rsidRPr="00ED0FFC">
        <w:rPr>
          <w:szCs w:val="22"/>
        </w:rPr>
        <w:t xml:space="preserve">NIPD Genetics LTD, </w:t>
      </w:r>
      <w:r w:rsidR="00DB5129" w:rsidRPr="00ED0FFC">
        <w:rPr>
          <w:szCs w:val="22"/>
        </w:rPr>
        <w:t>una empresa privada derivada del Instituto de Neurología y Genética de Chipre en el campo del ADN circulante libre y las pruebas genéticas no invasivas</w:t>
      </w:r>
      <w:r w:rsidRPr="00ED0FFC">
        <w:rPr>
          <w:szCs w:val="22"/>
        </w:rPr>
        <w:t xml:space="preserve">.  NIPD </w:t>
      </w:r>
      <w:r w:rsidR="00DB5129" w:rsidRPr="00ED0FFC">
        <w:rPr>
          <w:szCs w:val="22"/>
        </w:rPr>
        <w:t>recibirá a investigadores de la Universidad de Lagos para identificar posibles resistencias a fármacos antipalúdicos usando gotas de sangre seca de pacientes nigerianos tratados contra la malaria</w:t>
      </w:r>
      <w:r w:rsidRPr="00ED0FFC">
        <w:rPr>
          <w:szCs w:val="22"/>
        </w:rPr>
        <w:t xml:space="preserve">.  </w:t>
      </w:r>
      <w:r w:rsidR="00DB5129" w:rsidRPr="00ED0FFC">
        <w:rPr>
          <w:szCs w:val="22"/>
        </w:rPr>
        <w:t xml:space="preserve">Además, la colaboración continuará entre la Universidad de Lagos y Novartis, que evaluará la viabilidad de usar muestras </w:t>
      </w:r>
      <w:r w:rsidR="00D53101" w:rsidRPr="00ED0FFC">
        <w:rPr>
          <w:szCs w:val="22"/>
        </w:rPr>
        <w:t xml:space="preserve">de manchas de sangre seca </w:t>
      </w:r>
      <w:r w:rsidRPr="00ED0FFC">
        <w:rPr>
          <w:szCs w:val="22"/>
        </w:rPr>
        <w:t xml:space="preserve">(DBSS) </w:t>
      </w:r>
      <w:r w:rsidR="00D53101" w:rsidRPr="00ED0FFC">
        <w:rPr>
          <w:szCs w:val="22"/>
        </w:rPr>
        <w:t xml:space="preserve">y la secuenciación de última generación del </w:t>
      </w:r>
      <w:r w:rsidRPr="00ED0FFC">
        <w:rPr>
          <w:szCs w:val="22"/>
        </w:rPr>
        <w:t xml:space="preserve">Plasmodium falciparum </w:t>
      </w:r>
      <w:r w:rsidR="00D53101" w:rsidRPr="00ED0FFC">
        <w:rPr>
          <w:szCs w:val="22"/>
        </w:rPr>
        <w:t xml:space="preserve">en pacientes de malaria en </w:t>
      </w:r>
      <w:r w:rsidRPr="00ED0FFC">
        <w:rPr>
          <w:szCs w:val="22"/>
        </w:rPr>
        <w:t>Nigeria</w:t>
      </w:r>
      <w:r w:rsidR="00742E3D" w:rsidRPr="00ED0FFC">
        <w:rPr>
          <w:szCs w:val="22"/>
        </w:rPr>
        <w:t>.</w:t>
      </w:r>
    </w:p>
    <w:p w:rsidR="001559EA" w:rsidRPr="00ED0FFC" w:rsidRDefault="001559EA" w:rsidP="007F60FD">
      <w:pPr>
        <w:rPr>
          <w:szCs w:val="22"/>
        </w:rPr>
      </w:pPr>
    </w:p>
    <w:p w:rsidR="001559EA" w:rsidRPr="00ED0FFC" w:rsidRDefault="00ED0FFC" w:rsidP="007F60FD">
      <w:pPr>
        <w:rPr>
          <w:szCs w:val="22"/>
        </w:rPr>
      </w:pPr>
      <w:r w:rsidRPr="00ED0FFC">
        <w:rPr>
          <w:szCs w:val="22"/>
        </w:rPr>
        <w:t>37.</w:t>
      </w:r>
      <w:r w:rsidR="001559EA" w:rsidRPr="00ED0FFC">
        <w:rPr>
          <w:szCs w:val="22"/>
        </w:rPr>
        <w:tab/>
        <w:t xml:space="preserve">Otros ejemplos </w:t>
      </w:r>
      <w:r w:rsidR="00DD58B5">
        <w:rPr>
          <w:szCs w:val="22"/>
        </w:rPr>
        <w:t>son</w:t>
      </w:r>
      <w:r w:rsidR="001559EA" w:rsidRPr="00ED0FFC">
        <w:rPr>
          <w:szCs w:val="22"/>
        </w:rPr>
        <w:t>:</w:t>
      </w:r>
    </w:p>
    <w:p w:rsidR="001559EA" w:rsidRPr="00ED0FFC" w:rsidRDefault="001559EA" w:rsidP="007F60FD">
      <w:pPr>
        <w:rPr>
          <w:szCs w:val="22"/>
        </w:rPr>
      </w:pPr>
    </w:p>
    <w:p w:rsidR="001559EA" w:rsidRPr="00ED0FFC" w:rsidRDefault="001559EA" w:rsidP="007F60FD">
      <w:pPr>
        <w:pStyle w:val="ListParagraph"/>
        <w:numPr>
          <w:ilvl w:val="0"/>
          <w:numId w:val="21"/>
        </w:numPr>
        <w:rPr>
          <w:szCs w:val="22"/>
          <w:lang w:val="es-ES"/>
        </w:rPr>
      </w:pPr>
      <w:r w:rsidRPr="00ED0FFC">
        <w:rPr>
          <w:szCs w:val="22"/>
          <w:lang w:val="es-ES"/>
        </w:rPr>
        <w:t>una colaboración</w:t>
      </w:r>
      <w:r w:rsidR="007348E2" w:rsidRPr="00ED0FFC">
        <w:rPr>
          <w:szCs w:val="22"/>
          <w:lang w:val="es-ES"/>
        </w:rPr>
        <w:t xml:space="preserve"> entre la </w:t>
      </w:r>
      <w:r w:rsidR="007348E2" w:rsidRPr="00DD58B5">
        <w:rPr>
          <w:i/>
          <w:szCs w:val="22"/>
          <w:lang w:val="es-ES"/>
        </w:rPr>
        <w:t>University of Bri</w:t>
      </w:r>
      <w:r w:rsidR="00895A71" w:rsidRPr="00DD58B5">
        <w:rPr>
          <w:i/>
          <w:szCs w:val="22"/>
          <w:lang w:val="es-ES"/>
        </w:rPr>
        <w:t>tis</w:t>
      </w:r>
      <w:r w:rsidR="007348E2" w:rsidRPr="00DD58B5">
        <w:rPr>
          <w:i/>
          <w:szCs w:val="22"/>
          <w:lang w:val="es-ES"/>
        </w:rPr>
        <w:t>h Columbia</w:t>
      </w:r>
      <w:r w:rsidR="007348E2" w:rsidRPr="00ED0FFC">
        <w:rPr>
          <w:szCs w:val="22"/>
          <w:lang w:val="es-ES"/>
        </w:rPr>
        <w:t xml:space="preserve"> </w:t>
      </w:r>
      <w:r w:rsidR="00E45AC0" w:rsidRPr="00ED0FFC">
        <w:rPr>
          <w:szCs w:val="22"/>
          <w:lang w:val="es-ES"/>
        </w:rPr>
        <w:t xml:space="preserve">(UBC) </w:t>
      </w:r>
      <w:r w:rsidR="007348E2" w:rsidRPr="00ED0FFC">
        <w:rPr>
          <w:szCs w:val="22"/>
          <w:lang w:val="es-ES"/>
        </w:rPr>
        <w:t xml:space="preserve">(Canadá) y la </w:t>
      </w:r>
      <w:r w:rsidR="00F62560" w:rsidRPr="00ED0FFC">
        <w:rPr>
          <w:szCs w:val="22"/>
          <w:lang w:val="es-ES"/>
        </w:rPr>
        <w:t>Universidad de Lagos</w:t>
      </w:r>
      <w:r w:rsidR="007348E2" w:rsidRPr="00ED0FFC">
        <w:rPr>
          <w:szCs w:val="22"/>
          <w:lang w:val="es-ES"/>
        </w:rPr>
        <w:t xml:space="preserve">. </w:t>
      </w:r>
      <w:r w:rsidR="00E45AC0" w:rsidRPr="00ED0FFC">
        <w:rPr>
          <w:szCs w:val="22"/>
          <w:lang w:val="es-ES"/>
        </w:rPr>
        <w:t xml:space="preserve">Un investigador de la UBC proporcionó a un investigador de la </w:t>
      </w:r>
      <w:r w:rsidR="00F62560" w:rsidRPr="00ED0FFC">
        <w:rPr>
          <w:szCs w:val="22"/>
          <w:lang w:val="es-ES"/>
        </w:rPr>
        <w:t>Universidad de Lagos</w:t>
      </w:r>
      <w:r w:rsidR="00E45AC0" w:rsidRPr="00ED0FFC">
        <w:rPr>
          <w:szCs w:val="22"/>
          <w:lang w:val="es-ES"/>
        </w:rPr>
        <w:t xml:space="preserve"> </w:t>
      </w:r>
      <w:r w:rsidR="00F62560" w:rsidRPr="00ED0FFC">
        <w:rPr>
          <w:szCs w:val="22"/>
          <w:lang w:val="es-ES"/>
        </w:rPr>
        <w:t xml:space="preserve">un anticuerpo contra una </w:t>
      </w:r>
      <w:r w:rsidR="00005CF7" w:rsidRPr="00ED0FFC">
        <w:rPr>
          <w:szCs w:val="22"/>
          <w:lang w:val="es-ES"/>
        </w:rPr>
        <w:t>proteína</w:t>
      </w:r>
      <w:r w:rsidR="00F62560" w:rsidRPr="00ED0FFC">
        <w:rPr>
          <w:szCs w:val="22"/>
          <w:lang w:val="es-ES"/>
        </w:rPr>
        <w:t xml:space="preserve"> huésped humana. </w:t>
      </w:r>
      <w:r w:rsidR="00AA077E" w:rsidRPr="00ED0FFC">
        <w:rPr>
          <w:szCs w:val="22"/>
          <w:lang w:val="es-ES"/>
        </w:rPr>
        <w:t xml:space="preserve"> </w:t>
      </w:r>
      <w:r w:rsidR="00F62560" w:rsidRPr="00ED0FFC">
        <w:rPr>
          <w:szCs w:val="22"/>
          <w:lang w:val="es-ES"/>
        </w:rPr>
        <w:t xml:space="preserve">El investigador de la Universidad de Lagos utilizará el anticuerpo para examinar </w:t>
      </w:r>
      <w:r w:rsidR="00AA7A73" w:rsidRPr="00ED0FFC">
        <w:rPr>
          <w:szCs w:val="22"/>
          <w:lang w:val="es-ES"/>
        </w:rPr>
        <w:t xml:space="preserve">los efectos </w:t>
      </w:r>
      <w:r w:rsidR="00F62560" w:rsidRPr="00ED0FFC">
        <w:rPr>
          <w:szCs w:val="22"/>
          <w:lang w:val="es-ES"/>
        </w:rPr>
        <w:t xml:space="preserve">de la reducción del nivel de la proteína </w:t>
      </w:r>
      <w:r w:rsidR="00005CF7" w:rsidRPr="00ED0FFC">
        <w:rPr>
          <w:szCs w:val="22"/>
          <w:lang w:val="es-ES"/>
        </w:rPr>
        <w:t>huésped</w:t>
      </w:r>
      <w:r w:rsidR="00F62560" w:rsidRPr="00ED0FFC">
        <w:rPr>
          <w:szCs w:val="22"/>
          <w:lang w:val="es-ES"/>
        </w:rPr>
        <w:t xml:space="preserve"> </w:t>
      </w:r>
      <w:r w:rsidR="002A53EA" w:rsidRPr="00ED0FFC">
        <w:rPr>
          <w:szCs w:val="22"/>
          <w:lang w:val="es-ES"/>
        </w:rPr>
        <w:t>en la gravedad de la malaria.</w:t>
      </w:r>
      <w:r w:rsidR="00AA077E" w:rsidRPr="00ED0FFC">
        <w:rPr>
          <w:szCs w:val="22"/>
          <w:lang w:val="es-ES"/>
        </w:rPr>
        <w:t xml:space="preserve"> </w:t>
      </w:r>
      <w:r w:rsidR="002A53EA" w:rsidRPr="00ED0FFC">
        <w:rPr>
          <w:szCs w:val="22"/>
          <w:lang w:val="es-ES"/>
        </w:rPr>
        <w:t xml:space="preserve"> Al mismo tiempo, un investigador de la Universidad de Lagos </w:t>
      </w:r>
      <w:r w:rsidR="008142B2" w:rsidRPr="00ED0FFC">
        <w:rPr>
          <w:szCs w:val="22"/>
          <w:lang w:val="es-ES"/>
        </w:rPr>
        <w:t>suministró</w:t>
      </w:r>
      <w:r w:rsidR="002A53EA" w:rsidRPr="00ED0FFC">
        <w:rPr>
          <w:szCs w:val="22"/>
          <w:lang w:val="es-ES"/>
        </w:rPr>
        <w:t xml:space="preserve"> a un investigador de la UBC muestras de suero, plasma y orina de pacientes con malaria grave y malaria asintomática, así como muestras de controles sanos. </w:t>
      </w:r>
      <w:r w:rsidR="00AA077E" w:rsidRPr="00ED0FFC">
        <w:rPr>
          <w:szCs w:val="22"/>
          <w:lang w:val="es-ES"/>
        </w:rPr>
        <w:t xml:space="preserve"> </w:t>
      </w:r>
      <w:r w:rsidR="002A53EA" w:rsidRPr="00ED0FFC">
        <w:rPr>
          <w:szCs w:val="22"/>
          <w:lang w:val="es-ES"/>
        </w:rPr>
        <w:t>El investigador de la UBC utilizará la proteómica</w:t>
      </w:r>
      <w:r w:rsidR="002A036B" w:rsidRPr="00ED0FFC">
        <w:rPr>
          <w:szCs w:val="22"/>
          <w:lang w:val="es-ES"/>
        </w:rPr>
        <w:t xml:space="preserve"> </w:t>
      </w:r>
      <w:r w:rsidR="002A53EA" w:rsidRPr="00ED0FFC">
        <w:rPr>
          <w:szCs w:val="22"/>
          <w:lang w:val="es-ES"/>
        </w:rPr>
        <w:t>para determinar si estas muestras tienen diferentes perfiles proteicos, que podrían utilizarse para identificar biomarcadores para un</w:t>
      </w:r>
      <w:r w:rsidR="006D6CC4" w:rsidRPr="00ED0FFC">
        <w:rPr>
          <w:szCs w:val="22"/>
          <w:lang w:val="es-ES"/>
        </w:rPr>
        <w:t xml:space="preserve"> </w:t>
      </w:r>
      <w:r w:rsidR="002A53EA" w:rsidRPr="00ED0FFC">
        <w:rPr>
          <w:szCs w:val="22"/>
          <w:lang w:val="es-ES"/>
        </w:rPr>
        <w:t>diagn</w:t>
      </w:r>
      <w:r w:rsidR="00C75E4F" w:rsidRPr="00ED0FFC">
        <w:rPr>
          <w:szCs w:val="22"/>
          <w:lang w:val="es-ES"/>
        </w:rPr>
        <w:t xml:space="preserve">óstico </w:t>
      </w:r>
      <w:r w:rsidR="00465475" w:rsidRPr="00ED0FFC">
        <w:rPr>
          <w:szCs w:val="22"/>
          <w:lang w:val="es-ES"/>
        </w:rPr>
        <w:t>de</w:t>
      </w:r>
      <w:r w:rsidR="00C75E4F" w:rsidRPr="00ED0FFC">
        <w:rPr>
          <w:szCs w:val="22"/>
          <w:lang w:val="es-ES"/>
        </w:rPr>
        <w:t xml:space="preserve"> </w:t>
      </w:r>
      <w:r w:rsidR="002A53EA" w:rsidRPr="00ED0FFC">
        <w:rPr>
          <w:szCs w:val="22"/>
          <w:lang w:val="es-ES"/>
        </w:rPr>
        <w:t>malaria;</w:t>
      </w:r>
    </w:p>
    <w:p w:rsidR="002A53EA" w:rsidRPr="00ED0FFC" w:rsidRDefault="002A53EA" w:rsidP="00ED0FFC">
      <w:pPr>
        <w:rPr>
          <w:szCs w:val="22"/>
        </w:rPr>
      </w:pPr>
    </w:p>
    <w:p w:rsidR="002A53EA" w:rsidRPr="00ED0FFC" w:rsidRDefault="002A53EA" w:rsidP="007F60FD">
      <w:pPr>
        <w:pStyle w:val="ListParagraph"/>
        <w:numPr>
          <w:ilvl w:val="0"/>
          <w:numId w:val="21"/>
        </w:numPr>
        <w:rPr>
          <w:szCs w:val="22"/>
          <w:lang w:val="es-ES"/>
        </w:rPr>
      </w:pPr>
      <w:r w:rsidRPr="00ED0FFC">
        <w:rPr>
          <w:szCs w:val="22"/>
          <w:lang w:val="es-ES"/>
        </w:rPr>
        <w:t xml:space="preserve">el </w:t>
      </w:r>
      <w:r w:rsidRPr="00DD58B5">
        <w:rPr>
          <w:i/>
          <w:szCs w:val="22"/>
          <w:lang w:val="es-ES"/>
        </w:rPr>
        <w:t>Centre Pasteur</w:t>
      </w:r>
      <w:r w:rsidRPr="00ED0FFC">
        <w:rPr>
          <w:szCs w:val="22"/>
          <w:lang w:val="es-ES"/>
        </w:rPr>
        <w:t xml:space="preserve"> del Camerún proporcionó a la Universidad de Stanford aproximadamente 250 muestras de pacientes febriles </w:t>
      </w:r>
      <w:r w:rsidR="00404FC7" w:rsidRPr="00ED0FFC">
        <w:rPr>
          <w:szCs w:val="22"/>
          <w:lang w:val="es-ES"/>
        </w:rPr>
        <w:t xml:space="preserve">no enfermos de malaria provenientes del Camerún. </w:t>
      </w:r>
      <w:r w:rsidR="00AA077E" w:rsidRPr="00ED0FFC">
        <w:rPr>
          <w:szCs w:val="22"/>
          <w:lang w:val="es-ES"/>
        </w:rPr>
        <w:t xml:space="preserve"> </w:t>
      </w:r>
      <w:r w:rsidR="00404FC7" w:rsidRPr="00ED0FFC">
        <w:rPr>
          <w:szCs w:val="22"/>
          <w:lang w:val="es-ES"/>
        </w:rPr>
        <w:t xml:space="preserve">La Universidad de Stanford utilizó las muestras </w:t>
      </w:r>
      <w:r w:rsidR="002A036B" w:rsidRPr="00ED0FFC">
        <w:rPr>
          <w:szCs w:val="22"/>
          <w:lang w:val="es-ES"/>
        </w:rPr>
        <w:t xml:space="preserve">con el fin de diseñar un sistema de pruebas de diagnóstico de la fiebre </w:t>
      </w:r>
      <w:r w:rsidR="00EF67CA" w:rsidRPr="00ED0FFC">
        <w:rPr>
          <w:szCs w:val="22"/>
          <w:lang w:val="es-ES"/>
        </w:rPr>
        <w:t>a través de</w:t>
      </w:r>
      <w:r w:rsidR="002A036B" w:rsidRPr="00ED0FFC">
        <w:rPr>
          <w:szCs w:val="22"/>
          <w:lang w:val="es-ES"/>
        </w:rPr>
        <w:t xml:space="preserve"> </w:t>
      </w:r>
      <w:r w:rsidR="00EF67CA" w:rsidRPr="00ED0FFC">
        <w:rPr>
          <w:szCs w:val="22"/>
          <w:lang w:val="es-ES"/>
        </w:rPr>
        <w:t>datos multiplexados</w:t>
      </w:r>
      <w:r w:rsidR="00404FC7" w:rsidRPr="00ED0FFC">
        <w:rPr>
          <w:szCs w:val="22"/>
          <w:lang w:val="es-ES"/>
        </w:rPr>
        <w:t xml:space="preserve"> que </w:t>
      </w:r>
      <w:r w:rsidR="00741C49" w:rsidRPr="00ED0FFC">
        <w:rPr>
          <w:szCs w:val="22"/>
          <w:lang w:val="es-ES"/>
        </w:rPr>
        <w:t>fuera más apropiado para</w:t>
      </w:r>
      <w:r w:rsidR="00404FC7" w:rsidRPr="00ED0FFC">
        <w:rPr>
          <w:szCs w:val="22"/>
          <w:lang w:val="es-ES"/>
        </w:rPr>
        <w:t xml:space="preserve"> </w:t>
      </w:r>
      <w:r w:rsidR="00741C49" w:rsidRPr="00ED0FFC">
        <w:rPr>
          <w:szCs w:val="22"/>
          <w:lang w:val="es-ES"/>
        </w:rPr>
        <w:t>e</w:t>
      </w:r>
      <w:r w:rsidR="00404FC7" w:rsidRPr="00ED0FFC">
        <w:rPr>
          <w:szCs w:val="22"/>
          <w:lang w:val="es-ES"/>
        </w:rPr>
        <w:t>l Camer</w:t>
      </w:r>
      <w:r w:rsidR="00295CA4" w:rsidRPr="00ED0FFC">
        <w:rPr>
          <w:szCs w:val="22"/>
          <w:lang w:val="es-ES"/>
        </w:rPr>
        <w:t>ú</w:t>
      </w:r>
      <w:r w:rsidR="00404FC7" w:rsidRPr="00ED0FFC">
        <w:rPr>
          <w:szCs w:val="22"/>
          <w:lang w:val="es-ES"/>
        </w:rPr>
        <w:t xml:space="preserve">n; </w:t>
      </w:r>
      <w:r w:rsidR="00D76D4A" w:rsidRPr="00ED0FFC">
        <w:rPr>
          <w:szCs w:val="22"/>
          <w:lang w:val="es-ES"/>
        </w:rPr>
        <w:t>e</w:t>
      </w:r>
    </w:p>
    <w:p w:rsidR="00EF67CA" w:rsidRPr="00ED0FFC" w:rsidRDefault="00EF67CA" w:rsidP="00ED0FFC">
      <w:pPr>
        <w:rPr>
          <w:szCs w:val="22"/>
        </w:rPr>
      </w:pPr>
    </w:p>
    <w:p w:rsidR="00EF67CA" w:rsidRPr="00ED0FFC" w:rsidRDefault="00EF67CA" w:rsidP="007F60FD">
      <w:pPr>
        <w:pStyle w:val="ListParagraph"/>
        <w:numPr>
          <w:ilvl w:val="0"/>
          <w:numId w:val="21"/>
        </w:numPr>
        <w:rPr>
          <w:szCs w:val="22"/>
          <w:lang w:val="es-ES"/>
        </w:rPr>
      </w:pPr>
      <w:r w:rsidRPr="00ED0FFC">
        <w:rPr>
          <w:szCs w:val="22"/>
          <w:lang w:val="es-ES"/>
        </w:rPr>
        <w:lastRenderedPageBreak/>
        <w:t>investiga</w:t>
      </w:r>
      <w:r w:rsidR="00005CF7" w:rsidRPr="00ED0FFC">
        <w:rPr>
          <w:szCs w:val="22"/>
          <w:lang w:val="es-ES"/>
        </w:rPr>
        <w:t>d</w:t>
      </w:r>
      <w:r w:rsidRPr="00ED0FFC">
        <w:rPr>
          <w:szCs w:val="22"/>
          <w:lang w:val="es-ES"/>
        </w:rPr>
        <w:t xml:space="preserve">ores de IP Tunis utilizarán el programa de servicios preclínicos del </w:t>
      </w:r>
      <w:r w:rsidR="00005CF7" w:rsidRPr="00ED0FFC">
        <w:rPr>
          <w:szCs w:val="22"/>
          <w:lang w:val="es-ES"/>
        </w:rPr>
        <w:t>Instituto</w:t>
      </w:r>
      <w:r w:rsidR="004E678C" w:rsidRPr="00ED0FFC">
        <w:rPr>
          <w:szCs w:val="22"/>
          <w:lang w:val="es-ES"/>
        </w:rPr>
        <w:t xml:space="preserve"> Nacional de Alergias y Enfermedades Infecciosas (</w:t>
      </w:r>
      <w:r w:rsidRPr="00ED0FFC">
        <w:rPr>
          <w:szCs w:val="22"/>
          <w:lang w:val="es-ES"/>
        </w:rPr>
        <w:t>Estados Unidos de América) con el fin de incrementar la t</w:t>
      </w:r>
      <w:r w:rsidR="004E678C" w:rsidRPr="00ED0FFC">
        <w:rPr>
          <w:szCs w:val="22"/>
          <w:lang w:val="es-ES"/>
        </w:rPr>
        <w:t>ermoestabilidad de la vacuna contra la rabia.</w:t>
      </w:r>
    </w:p>
    <w:p w:rsidR="002B1093" w:rsidRPr="00ED0FFC" w:rsidRDefault="002B1093" w:rsidP="007F60FD">
      <w:pPr>
        <w:rPr>
          <w:szCs w:val="22"/>
        </w:rPr>
      </w:pPr>
    </w:p>
    <w:p w:rsidR="002B1093" w:rsidRPr="00ED0FFC" w:rsidRDefault="002B1093" w:rsidP="007F60FD">
      <w:pPr>
        <w:rPr>
          <w:szCs w:val="22"/>
        </w:rPr>
      </w:pPr>
      <w:r w:rsidRPr="00ED0FFC">
        <w:rPr>
          <w:szCs w:val="22"/>
        </w:rPr>
        <w:t>3</w:t>
      </w:r>
      <w:r w:rsidR="001559EA" w:rsidRPr="00ED0FFC">
        <w:rPr>
          <w:szCs w:val="22"/>
        </w:rPr>
        <w:t>8</w:t>
      </w:r>
      <w:r w:rsidRPr="00ED0FFC">
        <w:rPr>
          <w:szCs w:val="22"/>
        </w:rPr>
        <w:t>.</w:t>
      </w:r>
      <w:r w:rsidRPr="00ED0FFC">
        <w:rPr>
          <w:szCs w:val="22"/>
        </w:rPr>
        <w:tab/>
      </w:r>
      <w:r w:rsidR="00D53101" w:rsidRPr="00ED0FFC">
        <w:rPr>
          <w:szCs w:val="22"/>
        </w:rPr>
        <w:t>En el marco de los desafíos y retos mundiales en materia de P.I., la OMPI h</w:t>
      </w:r>
      <w:r w:rsidR="00742E3D" w:rsidRPr="00ED0FFC">
        <w:rPr>
          <w:szCs w:val="22"/>
        </w:rPr>
        <w:t>a c</w:t>
      </w:r>
      <w:r w:rsidR="00D53101" w:rsidRPr="00ED0FFC">
        <w:rPr>
          <w:szCs w:val="22"/>
        </w:rPr>
        <w:t xml:space="preserve">olaborado también con instituciones públicas y privadas, empresas y organizaciones académicas en la organización y contribución a foros </w:t>
      </w:r>
      <w:r w:rsidR="00567E3F" w:rsidRPr="00ED0FFC">
        <w:rPr>
          <w:szCs w:val="22"/>
        </w:rPr>
        <w:t>dedicados a</w:t>
      </w:r>
      <w:r w:rsidR="00D53101" w:rsidRPr="00ED0FFC">
        <w:rPr>
          <w:szCs w:val="22"/>
        </w:rPr>
        <w:t xml:space="preserve"> la facilitación del establecimiento de contactos entre proveedores de tecnología y buscadores de tecnología, especialmente de tecnologías medioambientalmente limpias.  Este fue el caso en los foros siguientes</w:t>
      </w:r>
      <w:r w:rsidRPr="00ED0FFC">
        <w:rPr>
          <w:szCs w:val="22"/>
        </w:rPr>
        <w:t>:</w:t>
      </w:r>
    </w:p>
    <w:p w:rsidR="002B1093" w:rsidRPr="00ED0FFC" w:rsidRDefault="002B1093" w:rsidP="007F60FD">
      <w:pPr>
        <w:rPr>
          <w:szCs w:val="22"/>
        </w:rPr>
      </w:pPr>
    </w:p>
    <w:p w:rsidR="00742E3D" w:rsidRPr="00ED0FFC" w:rsidRDefault="00094C1D" w:rsidP="007F60FD">
      <w:pPr>
        <w:pStyle w:val="ListParagraph"/>
        <w:numPr>
          <w:ilvl w:val="0"/>
          <w:numId w:val="15"/>
        </w:numPr>
        <w:ind w:left="1134" w:hanging="567"/>
        <w:rPr>
          <w:szCs w:val="22"/>
          <w:lang w:val="es-ES"/>
        </w:rPr>
      </w:pPr>
      <w:r w:rsidRPr="00ED0FFC">
        <w:rPr>
          <w:bCs/>
          <w:szCs w:val="22"/>
          <w:lang w:val="es-ES"/>
        </w:rPr>
        <w:t>Cuarta feria de industrias creativas y tecnologías emergentes, y conferencias sobre diseño internacional</w:t>
      </w:r>
      <w:r w:rsidR="00222344" w:rsidRPr="00ED0FFC">
        <w:rPr>
          <w:bCs/>
          <w:szCs w:val="22"/>
          <w:lang w:val="es-ES"/>
        </w:rPr>
        <w:t>.  E</w:t>
      </w:r>
      <w:r w:rsidR="002B1093" w:rsidRPr="00ED0FFC">
        <w:rPr>
          <w:bCs/>
          <w:szCs w:val="22"/>
          <w:lang w:val="es-ES"/>
        </w:rPr>
        <w:t>sta</w:t>
      </w:r>
      <w:r w:rsidRPr="00ED0FFC">
        <w:rPr>
          <w:bCs/>
          <w:szCs w:val="22"/>
          <w:lang w:val="es-ES"/>
        </w:rPr>
        <w:t>m</w:t>
      </w:r>
      <w:r w:rsidR="002B1093" w:rsidRPr="00ED0FFC">
        <w:rPr>
          <w:bCs/>
          <w:szCs w:val="22"/>
          <w:lang w:val="es-ES"/>
        </w:rPr>
        <w:t>bul</w:t>
      </w:r>
      <w:r w:rsidR="00E45AC0" w:rsidRPr="00ED0FFC">
        <w:rPr>
          <w:bCs/>
          <w:szCs w:val="22"/>
          <w:lang w:val="es-ES"/>
        </w:rPr>
        <w:t xml:space="preserve"> (</w:t>
      </w:r>
      <w:r w:rsidR="002B1093" w:rsidRPr="00ED0FFC">
        <w:rPr>
          <w:bCs/>
          <w:szCs w:val="22"/>
          <w:lang w:val="es-ES"/>
        </w:rPr>
        <w:t>Tur</w:t>
      </w:r>
      <w:r w:rsidRPr="00ED0FFC">
        <w:rPr>
          <w:bCs/>
          <w:szCs w:val="22"/>
          <w:lang w:val="es-ES"/>
        </w:rPr>
        <w:t>quía</w:t>
      </w:r>
      <w:r w:rsidR="00E45AC0" w:rsidRPr="00ED0FFC">
        <w:rPr>
          <w:bCs/>
          <w:szCs w:val="22"/>
          <w:lang w:val="es-ES"/>
        </w:rPr>
        <w:t>)</w:t>
      </w:r>
      <w:r w:rsidR="00DD58B5">
        <w:rPr>
          <w:bCs/>
          <w:szCs w:val="22"/>
          <w:lang w:val="es-ES"/>
        </w:rPr>
        <w:t>, d</w:t>
      </w:r>
      <w:r w:rsidRPr="00ED0FFC">
        <w:rPr>
          <w:bCs/>
          <w:szCs w:val="22"/>
          <w:lang w:val="es-ES"/>
        </w:rPr>
        <w:t>e</w:t>
      </w:r>
      <w:r w:rsidR="00222344" w:rsidRPr="00ED0FFC">
        <w:rPr>
          <w:bCs/>
          <w:szCs w:val="22"/>
          <w:lang w:val="es-ES"/>
        </w:rPr>
        <w:t>l 1</w:t>
      </w:r>
      <w:r w:rsidRPr="00ED0FFC">
        <w:rPr>
          <w:bCs/>
          <w:szCs w:val="22"/>
          <w:lang w:val="es-ES"/>
        </w:rPr>
        <w:t>9 a</w:t>
      </w:r>
      <w:r w:rsidR="00222344" w:rsidRPr="00ED0FFC">
        <w:rPr>
          <w:bCs/>
          <w:szCs w:val="22"/>
          <w:lang w:val="es-ES"/>
        </w:rPr>
        <w:t>l 2</w:t>
      </w:r>
      <w:r w:rsidRPr="00ED0FFC">
        <w:rPr>
          <w:bCs/>
          <w:szCs w:val="22"/>
          <w:lang w:val="es-ES"/>
        </w:rPr>
        <w:t>1 de febrero d</w:t>
      </w:r>
      <w:r w:rsidR="00222344" w:rsidRPr="00ED0FFC">
        <w:rPr>
          <w:bCs/>
          <w:szCs w:val="22"/>
          <w:lang w:val="es-ES"/>
        </w:rPr>
        <w:t>e 2</w:t>
      </w:r>
      <w:r w:rsidRPr="00ED0FFC">
        <w:rPr>
          <w:bCs/>
          <w:szCs w:val="22"/>
          <w:lang w:val="es-ES"/>
        </w:rPr>
        <w:t>015</w:t>
      </w:r>
      <w:r w:rsidR="002B1093" w:rsidRPr="00ED0FFC">
        <w:rPr>
          <w:bCs/>
          <w:szCs w:val="22"/>
          <w:lang w:val="es-ES"/>
        </w:rPr>
        <w:t>.  200 participant</w:t>
      </w:r>
      <w:r w:rsidRPr="00ED0FFC">
        <w:rPr>
          <w:bCs/>
          <w:szCs w:val="22"/>
          <w:lang w:val="es-ES"/>
        </w:rPr>
        <w:t>e</w:t>
      </w:r>
      <w:r w:rsidR="002B1093" w:rsidRPr="00ED0FFC">
        <w:rPr>
          <w:bCs/>
          <w:szCs w:val="22"/>
          <w:lang w:val="es-ES"/>
        </w:rPr>
        <w:t>s</w:t>
      </w:r>
      <w:r w:rsidR="00222344" w:rsidRPr="00ED0FFC">
        <w:rPr>
          <w:bCs/>
          <w:szCs w:val="22"/>
          <w:lang w:val="es-ES"/>
        </w:rPr>
        <w:t>.  L</w:t>
      </w:r>
      <w:r w:rsidRPr="00ED0FFC">
        <w:rPr>
          <w:bCs/>
          <w:szCs w:val="22"/>
          <w:lang w:val="es-ES"/>
        </w:rPr>
        <w:t xml:space="preserve">a OMPI participó como parte del </w:t>
      </w:r>
      <w:r w:rsidRPr="00ED0FFC">
        <w:rPr>
          <w:i/>
          <w:szCs w:val="22"/>
          <w:lang w:val="es-ES"/>
        </w:rPr>
        <w:t xml:space="preserve">Panel del emprendimiento y la inversión </w:t>
      </w:r>
      <w:r w:rsidRPr="00ED0FFC">
        <w:rPr>
          <w:szCs w:val="22"/>
          <w:lang w:val="es-ES"/>
        </w:rPr>
        <w:t xml:space="preserve">y tuvo también un puesto en la feria para promocionar la base de datos de </w:t>
      </w:r>
      <w:r w:rsidR="002B1093" w:rsidRPr="00ED0FFC">
        <w:rPr>
          <w:szCs w:val="22"/>
          <w:lang w:val="es-ES"/>
        </w:rPr>
        <w:t>WIPO GREEN</w:t>
      </w:r>
      <w:r w:rsidR="00742E3D" w:rsidRPr="00ED0FFC">
        <w:rPr>
          <w:szCs w:val="22"/>
          <w:lang w:val="es-ES"/>
        </w:rPr>
        <w:t>.</w:t>
      </w:r>
    </w:p>
    <w:p w:rsidR="002B1093" w:rsidRPr="00ED0FFC" w:rsidRDefault="002B1093" w:rsidP="007F60FD">
      <w:pPr>
        <w:ind w:left="1134" w:hanging="567"/>
        <w:rPr>
          <w:bCs/>
          <w:szCs w:val="22"/>
        </w:rPr>
      </w:pPr>
    </w:p>
    <w:p w:rsidR="002B1093" w:rsidRPr="00ED0FFC" w:rsidRDefault="00094C1D" w:rsidP="007F60FD">
      <w:pPr>
        <w:pStyle w:val="ListParagraph"/>
        <w:numPr>
          <w:ilvl w:val="0"/>
          <w:numId w:val="12"/>
        </w:numPr>
        <w:shd w:val="clear" w:color="auto" w:fill="FFFFFF"/>
        <w:tabs>
          <w:tab w:val="left" w:pos="567"/>
        </w:tabs>
        <w:ind w:left="1134" w:hanging="567"/>
        <w:rPr>
          <w:szCs w:val="22"/>
          <w:lang w:val="es-ES"/>
        </w:rPr>
      </w:pPr>
      <w:r w:rsidRPr="00ED0FFC">
        <w:rPr>
          <w:bCs/>
          <w:szCs w:val="22"/>
          <w:lang w:val="es-ES"/>
        </w:rPr>
        <w:t>Seminario regional y evento de establecimiento de contactos</w:t>
      </w:r>
      <w:r w:rsidR="002B1093" w:rsidRPr="00ED0FFC">
        <w:rPr>
          <w:bCs/>
          <w:szCs w:val="22"/>
          <w:lang w:val="es-ES"/>
        </w:rPr>
        <w:t xml:space="preserve">:  </w:t>
      </w:r>
      <w:r w:rsidRPr="00ED0FFC">
        <w:rPr>
          <w:bCs/>
          <w:szCs w:val="22"/>
          <w:lang w:val="es-ES"/>
        </w:rPr>
        <w:t xml:space="preserve">Facilitar la transferencia y la difusión de tecnología limpia - oportunidades de un proyecto piloto sobre tratamiento de aguas residuales en el sudeste asiático.  </w:t>
      </w:r>
      <w:r w:rsidR="002B1093" w:rsidRPr="00ED0FFC">
        <w:rPr>
          <w:bCs/>
          <w:iCs/>
          <w:szCs w:val="22"/>
          <w:lang w:val="es-ES"/>
        </w:rPr>
        <w:t>Manila</w:t>
      </w:r>
      <w:r w:rsidR="00E45AC0" w:rsidRPr="00ED0FFC">
        <w:rPr>
          <w:bCs/>
          <w:iCs/>
          <w:szCs w:val="22"/>
          <w:lang w:val="es-ES"/>
        </w:rPr>
        <w:t xml:space="preserve"> (</w:t>
      </w:r>
      <w:r w:rsidRPr="00ED0FFC">
        <w:rPr>
          <w:bCs/>
          <w:iCs/>
          <w:szCs w:val="22"/>
          <w:lang w:val="es-ES"/>
        </w:rPr>
        <w:t>Filipinas</w:t>
      </w:r>
      <w:r w:rsidR="00E45AC0" w:rsidRPr="00ED0FFC">
        <w:rPr>
          <w:bCs/>
          <w:iCs/>
          <w:szCs w:val="22"/>
          <w:lang w:val="es-ES"/>
        </w:rPr>
        <w:t>)</w:t>
      </w:r>
      <w:r w:rsidR="00DD58B5">
        <w:rPr>
          <w:bCs/>
          <w:iCs/>
          <w:szCs w:val="22"/>
          <w:lang w:val="es-ES"/>
        </w:rPr>
        <w:t xml:space="preserve">, </w:t>
      </w:r>
      <w:r w:rsidR="002B1093" w:rsidRPr="00ED0FFC">
        <w:rPr>
          <w:szCs w:val="22"/>
          <w:lang w:val="es-ES"/>
        </w:rPr>
        <w:t xml:space="preserve">23 </w:t>
      </w:r>
      <w:r w:rsidR="00222344" w:rsidRPr="00ED0FFC">
        <w:rPr>
          <w:szCs w:val="22"/>
          <w:lang w:val="es-ES"/>
        </w:rPr>
        <w:t>y 2</w:t>
      </w:r>
      <w:r w:rsidR="002B1093" w:rsidRPr="00ED0FFC">
        <w:rPr>
          <w:szCs w:val="22"/>
          <w:lang w:val="es-ES"/>
        </w:rPr>
        <w:t>4</w:t>
      </w:r>
      <w:r w:rsidRPr="00ED0FFC">
        <w:rPr>
          <w:szCs w:val="22"/>
          <w:lang w:val="es-ES"/>
        </w:rPr>
        <w:t xml:space="preserve"> de abril d</w:t>
      </w:r>
      <w:r w:rsidR="00222344" w:rsidRPr="00ED0FFC">
        <w:rPr>
          <w:szCs w:val="22"/>
          <w:lang w:val="es-ES"/>
        </w:rPr>
        <w:t>e 2</w:t>
      </w:r>
      <w:r w:rsidR="002B1093" w:rsidRPr="00ED0FFC">
        <w:rPr>
          <w:szCs w:val="22"/>
          <w:lang w:val="es-ES"/>
        </w:rPr>
        <w:t>015. 100 participant</w:t>
      </w:r>
      <w:r w:rsidRPr="00ED0FFC">
        <w:rPr>
          <w:szCs w:val="22"/>
          <w:lang w:val="es-ES"/>
        </w:rPr>
        <w:t>e</w:t>
      </w:r>
      <w:r w:rsidR="002B1093" w:rsidRPr="00ED0FFC">
        <w:rPr>
          <w:szCs w:val="22"/>
          <w:lang w:val="es-ES"/>
        </w:rPr>
        <w:t xml:space="preserve">s.  </w:t>
      </w:r>
      <w:r w:rsidR="00567E3F" w:rsidRPr="00ED0FFC">
        <w:rPr>
          <w:szCs w:val="22"/>
          <w:lang w:val="es-ES"/>
        </w:rPr>
        <w:t xml:space="preserve">La actividad </w:t>
      </w:r>
      <w:r w:rsidRPr="00ED0FFC">
        <w:rPr>
          <w:szCs w:val="22"/>
          <w:lang w:val="es-ES"/>
        </w:rPr>
        <w:t>estuvo precedid</w:t>
      </w:r>
      <w:r w:rsidR="00567E3F" w:rsidRPr="00ED0FFC">
        <w:rPr>
          <w:szCs w:val="22"/>
          <w:lang w:val="es-ES"/>
        </w:rPr>
        <w:t>a</w:t>
      </w:r>
      <w:r w:rsidRPr="00ED0FFC">
        <w:rPr>
          <w:szCs w:val="22"/>
          <w:lang w:val="es-ES"/>
        </w:rPr>
        <w:t xml:space="preserve"> de una evaluación de necesidades </w:t>
      </w:r>
      <w:r w:rsidR="00567E3F" w:rsidRPr="00ED0FFC">
        <w:rPr>
          <w:szCs w:val="22"/>
          <w:lang w:val="es-ES"/>
        </w:rPr>
        <w:t xml:space="preserve">de tecnologías de tratamiento de aguas residuales </w:t>
      </w:r>
      <w:r w:rsidRPr="00ED0FFC">
        <w:rPr>
          <w:szCs w:val="22"/>
          <w:lang w:val="es-ES"/>
        </w:rPr>
        <w:t>en Indonesia, Filipinas y Viet Nam</w:t>
      </w:r>
      <w:r w:rsidR="002B1093" w:rsidRPr="00ED0FFC">
        <w:rPr>
          <w:szCs w:val="22"/>
          <w:lang w:val="es-ES"/>
        </w:rPr>
        <w:t xml:space="preserve">.  </w:t>
      </w:r>
      <w:r w:rsidR="00505CD9" w:rsidRPr="00ED0FFC">
        <w:rPr>
          <w:szCs w:val="22"/>
          <w:lang w:val="es-ES"/>
        </w:rPr>
        <w:t>El resultado de</w:t>
      </w:r>
      <w:r w:rsidR="00567E3F" w:rsidRPr="00ED0FFC">
        <w:rPr>
          <w:szCs w:val="22"/>
          <w:lang w:val="es-ES"/>
        </w:rPr>
        <w:t xml:space="preserve"> la actividad</w:t>
      </w:r>
      <w:r w:rsidR="00505CD9" w:rsidRPr="00ED0FFC">
        <w:rPr>
          <w:szCs w:val="22"/>
          <w:lang w:val="es-ES"/>
        </w:rPr>
        <w:t xml:space="preserve"> fue la firma d</w:t>
      </w:r>
      <w:r w:rsidR="00222344" w:rsidRPr="00ED0FFC">
        <w:rPr>
          <w:szCs w:val="22"/>
          <w:lang w:val="es-ES"/>
        </w:rPr>
        <w:t>e 1</w:t>
      </w:r>
      <w:r w:rsidR="00505CD9" w:rsidRPr="00ED0FFC">
        <w:rPr>
          <w:szCs w:val="22"/>
          <w:lang w:val="es-ES"/>
        </w:rPr>
        <w:t>6 cartas de intenciones entre los proveedores de tecnología y los buscadores de tecnología para negociar la transferencia de tecnología</w:t>
      </w:r>
      <w:r w:rsidR="002B1093" w:rsidRPr="00ED0FFC">
        <w:rPr>
          <w:szCs w:val="22"/>
          <w:lang w:val="es-ES"/>
        </w:rPr>
        <w:t>.</w:t>
      </w:r>
    </w:p>
    <w:p w:rsidR="002B1093" w:rsidRPr="00ED0FFC" w:rsidRDefault="002B1093" w:rsidP="007F60FD">
      <w:pPr>
        <w:pStyle w:val="ListParagraph"/>
        <w:shd w:val="clear" w:color="auto" w:fill="FFFFFF"/>
        <w:tabs>
          <w:tab w:val="left" w:pos="567"/>
        </w:tabs>
        <w:ind w:left="1134" w:hanging="567"/>
        <w:rPr>
          <w:szCs w:val="22"/>
          <w:lang w:val="es-ES"/>
        </w:rPr>
      </w:pPr>
    </w:p>
    <w:p w:rsidR="002B1093" w:rsidRPr="00ED0FFC" w:rsidRDefault="00505CD9" w:rsidP="007F60FD">
      <w:pPr>
        <w:pStyle w:val="ListParagraph"/>
        <w:numPr>
          <w:ilvl w:val="0"/>
          <w:numId w:val="12"/>
        </w:numPr>
        <w:ind w:left="1134" w:hanging="567"/>
        <w:rPr>
          <w:szCs w:val="22"/>
          <w:lang w:val="es-ES"/>
        </w:rPr>
      </w:pPr>
      <w:r w:rsidRPr="00ED0FFC">
        <w:rPr>
          <w:bCs/>
          <w:szCs w:val="22"/>
          <w:lang w:val="es-ES"/>
        </w:rPr>
        <w:t>Exposición Mundial sobre el Desarrollo Sur-Sur</w:t>
      </w:r>
      <w:r w:rsidR="002B1093" w:rsidRPr="00ED0FFC">
        <w:rPr>
          <w:bCs/>
          <w:szCs w:val="22"/>
          <w:lang w:val="es-ES"/>
        </w:rPr>
        <w:t xml:space="preserve"> (GSSD).  Washington D.C</w:t>
      </w:r>
      <w:r w:rsidRPr="00ED0FFC">
        <w:rPr>
          <w:bCs/>
          <w:szCs w:val="22"/>
          <w:lang w:val="es-ES"/>
        </w:rPr>
        <w:t xml:space="preserve">. </w:t>
      </w:r>
      <w:r w:rsidR="00E45AC0" w:rsidRPr="00ED0FFC">
        <w:rPr>
          <w:bCs/>
          <w:szCs w:val="22"/>
          <w:lang w:val="es-ES"/>
        </w:rPr>
        <w:t>(Estados Unidos)</w:t>
      </w:r>
      <w:r w:rsidR="00DD58B5">
        <w:rPr>
          <w:bCs/>
          <w:szCs w:val="22"/>
          <w:lang w:val="es-ES"/>
        </w:rPr>
        <w:t>, d</w:t>
      </w:r>
      <w:r w:rsidRPr="00ED0FFC">
        <w:rPr>
          <w:bCs/>
          <w:szCs w:val="22"/>
          <w:lang w:val="es-ES"/>
        </w:rPr>
        <w:t>e</w:t>
      </w:r>
      <w:r w:rsidR="00222344" w:rsidRPr="00ED0FFC">
        <w:rPr>
          <w:bCs/>
          <w:szCs w:val="22"/>
          <w:lang w:val="es-ES"/>
        </w:rPr>
        <w:t>l 1</w:t>
      </w:r>
      <w:r w:rsidRPr="00ED0FFC">
        <w:rPr>
          <w:bCs/>
          <w:szCs w:val="22"/>
          <w:lang w:val="es-ES"/>
        </w:rPr>
        <w:t>7 a</w:t>
      </w:r>
      <w:r w:rsidR="00222344" w:rsidRPr="00ED0FFC">
        <w:rPr>
          <w:bCs/>
          <w:szCs w:val="22"/>
          <w:lang w:val="es-ES"/>
        </w:rPr>
        <w:t>l 2</w:t>
      </w:r>
      <w:r w:rsidRPr="00ED0FFC">
        <w:rPr>
          <w:bCs/>
          <w:szCs w:val="22"/>
          <w:lang w:val="es-ES"/>
        </w:rPr>
        <w:t>0 de noviembre d</w:t>
      </w:r>
      <w:r w:rsidR="00222344" w:rsidRPr="00ED0FFC">
        <w:rPr>
          <w:bCs/>
          <w:szCs w:val="22"/>
          <w:lang w:val="es-ES"/>
        </w:rPr>
        <w:t>e 2</w:t>
      </w:r>
      <w:r w:rsidR="002B1093" w:rsidRPr="00ED0FFC">
        <w:rPr>
          <w:bCs/>
          <w:szCs w:val="22"/>
          <w:lang w:val="es-ES"/>
        </w:rPr>
        <w:t>014. 120 participant</w:t>
      </w:r>
      <w:r w:rsidRPr="00ED0FFC">
        <w:rPr>
          <w:bCs/>
          <w:szCs w:val="22"/>
          <w:lang w:val="es-ES"/>
        </w:rPr>
        <w:t>e</w:t>
      </w:r>
      <w:r w:rsidR="002B1093" w:rsidRPr="00ED0FFC">
        <w:rPr>
          <w:bCs/>
          <w:szCs w:val="22"/>
          <w:lang w:val="es-ES"/>
        </w:rPr>
        <w:t xml:space="preserve">s.  </w:t>
      </w:r>
      <w:r w:rsidRPr="00ED0FFC">
        <w:rPr>
          <w:bCs/>
          <w:szCs w:val="22"/>
          <w:lang w:val="es-ES"/>
        </w:rPr>
        <w:t>La OMPI dirigió una de las ocho sesiones de ampliación</w:t>
      </w:r>
      <w:r w:rsidR="00567E3F" w:rsidRPr="00ED0FFC">
        <w:rPr>
          <w:bCs/>
          <w:szCs w:val="22"/>
          <w:lang w:val="es-ES"/>
        </w:rPr>
        <w:t xml:space="preserve">, </w:t>
      </w:r>
      <w:r w:rsidRPr="00ED0FFC">
        <w:rPr>
          <w:bCs/>
          <w:szCs w:val="22"/>
          <w:lang w:val="es-ES"/>
        </w:rPr>
        <w:t>en la que se destacaron las alianzas y las soluciones exitosas en el campo de las tecnologías limpias</w:t>
      </w:r>
      <w:r w:rsidR="002B1093" w:rsidRPr="00ED0FFC">
        <w:rPr>
          <w:szCs w:val="22"/>
          <w:lang w:val="es-ES"/>
        </w:rPr>
        <w:t xml:space="preserve">, </w:t>
      </w:r>
      <w:r w:rsidRPr="00ED0FFC">
        <w:rPr>
          <w:szCs w:val="22"/>
          <w:lang w:val="es-ES"/>
        </w:rPr>
        <w:t xml:space="preserve">con panelistas procedentes de la red </w:t>
      </w:r>
      <w:r w:rsidR="002B1093" w:rsidRPr="00ED0FFC">
        <w:rPr>
          <w:szCs w:val="22"/>
          <w:lang w:val="es-ES"/>
        </w:rPr>
        <w:t>WIPO GREEN;</w:t>
      </w:r>
    </w:p>
    <w:p w:rsidR="002B1093" w:rsidRPr="00ED0FFC" w:rsidRDefault="002B1093" w:rsidP="007F60FD">
      <w:pPr>
        <w:pStyle w:val="ListParagraph"/>
        <w:shd w:val="clear" w:color="auto" w:fill="FFFFFF"/>
        <w:tabs>
          <w:tab w:val="left" w:pos="567"/>
        </w:tabs>
        <w:ind w:left="1134" w:hanging="567"/>
        <w:rPr>
          <w:szCs w:val="22"/>
          <w:lang w:val="es-ES"/>
        </w:rPr>
      </w:pPr>
    </w:p>
    <w:p w:rsidR="002B1093" w:rsidRPr="00ED0FFC" w:rsidRDefault="00505CD9" w:rsidP="007F60FD">
      <w:pPr>
        <w:pStyle w:val="ListParagraph"/>
        <w:numPr>
          <w:ilvl w:val="0"/>
          <w:numId w:val="12"/>
        </w:numPr>
        <w:ind w:left="1134" w:hanging="567"/>
        <w:rPr>
          <w:szCs w:val="22"/>
          <w:lang w:val="es-ES"/>
        </w:rPr>
      </w:pPr>
      <w:r w:rsidRPr="00ED0FFC">
        <w:rPr>
          <w:bCs/>
          <w:szCs w:val="22"/>
          <w:lang w:val="es-ES"/>
        </w:rPr>
        <w:t>¿Cuál es el próximo paso de las alianzas público-privadas en la difusión de la tecnología limpia</w:t>
      </w:r>
      <w:r w:rsidR="002B1093" w:rsidRPr="00ED0FFC">
        <w:rPr>
          <w:bCs/>
          <w:szCs w:val="22"/>
          <w:lang w:val="es-ES"/>
        </w:rPr>
        <w:t xml:space="preserve">? </w:t>
      </w:r>
      <w:r w:rsidRPr="00ED0FFC">
        <w:rPr>
          <w:bCs/>
          <w:szCs w:val="22"/>
          <w:lang w:val="es-ES"/>
        </w:rPr>
        <w:t xml:space="preserve"> </w:t>
      </w:r>
      <w:r w:rsidR="002B1093" w:rsidRPr="00ED0FFC">
        <w:rPr>
          <w:bCs/>
          <w:szCs w:val="22"/>
          <w:lang w:val="es-ES"/>
        </w:rPr>
        <w:t>Organiz</w:t>
      </w:r>
      <w:r w:rsidRPr="00ED0FFC">
        <w:rPr>
          <w:bCs/>
          <w:szCs w:val="22"/>
          <w:lang w:val="es-ES"/>
        </w:rPr>
        <w:t xml:space="preserve">ado por </w:t>
      </w:r>
      <w:r w:rsidR="002B1093" w:rsidRPr="00ED0FFC">
        <w:rPr>
          <w:bCs/>
          <w:szCs w:val="22"/>
          <w:lang w:val="es-ES"/>
        </w:rPr>
        <w:t>INPI Franc</w:t>
      </w:r>
      <w:r w:rsidR="00DD58B5">
        <w:rPr>
          <w:bCs/>
          <w:szCs w:val="22"/>
          <w:lang w:val="es-ES"/>
        </w:rPr>
        <w:t xml:space="preserve">ia en colaboración con la OMPI, </w:t>
      </w:r>
      <w:r w:rsidRPr="00ED0FFC">
        <w:rPr>
          <w:bCs/>
          <w:szCs w:val="22"/>
          <w:lang w:val="es-ES"/>
        </w:rPr>
        <w:t>9 de diciembre d</w:t>
      </w:r>
      <w:r w:rsidR="00222344" w:rsidRPr="00ED0FFC">
        <w:rPr>
          <w:bCs/>
          <w:szCs w:val="22"/>
          <w:lang w:val="es-ES"/>
        </w:rPr>
        <w:t>e 2</w:t>
      </w:r>
      <w:r w:rsidRPr="00ED0FFC">
        <w:rPr>
          <w:bCs/>
          <w:szCs w:val="22"/>
          <w:lang w:val="es-ES"/>
        </w:rPr>
        <w:t xml:space="preserve">015.  </w:t>
      </w:r>
      <w:r w:rsidR="002B1093" w:rsidRPr="00ED0FFC">
        <w:rPr>
          <w:bCs/>
          <w:szCs w:val="22"/>
          <w:lang w:val="es-ES"/>
        </w:rPr>
        <w:t>30 participant</w:t>
      </w:r>
      <w:r w:rsidRPr="00ED0FFC">
        <w:rPr>
          <w:bCs/>
          <w:szCs w:val="22"/>
          <w:lang w:val="es-ES"/>
        </w:rPr>
        <w:t>e</w:t>
      </w:r>
      <w:r w:rsidR="002B1093" w:rsidRPr="00ED0FFC">
        <w:rPr>
          <w:bCs/>
          <w:szCs w:val="22"/>
          <w:lang w:val="es-ES"/>
        </w:rPr>
        <w:t xml:space="preserve">s.  </w:t>
      </w:r>
      <w:r w:rsidRPr="00ED0FFC">
        <w:rPr>
          <w:bCs/>
          <w:szCs w:val="22"/>
          <w:lang w:val="es-ES"/>
        </w:rPr>
        <w:t xml:space="preserve">El evento, que fue bien acogido, </w:t>
      </w:r>
      <w:r w:rsidR="00752EA5" w:rsidRPr="00ED0FFC">
        <w:rPr>
          <w:bCs/>
          <w:szCs w:val="22"/>
          <w:lang w:val="es-ES"/>
        </w:rPr>
        <w:t>se celebró en paralelo a</w:t>
      </w:r>
      <w:r w:rsidR="00567E3F" w:rsidRPr="00ED0FFC">
        <w:rPr>
          <w:bCs/>
          <w:szCs w:val="22"/>
          <w:lang w:val="es-ES"/>
        </w:rPr>
        <w:t xml:space="preserve"> la</w:t>
      </w:r>
      <w:r w:rsidR="00752EA5" w:rsidRPr="00ED0FFC">
        <w:rPr>
          <w:bCs/>
          <w:szCs w:val="22"/>
          <w:lang w:val="es-ES"/>
        </w:rPr>
        <w:t xml:space="preserve"> </w:t>
      </w:r>
      <w:r w:rsidR="002B1093" w:rsidRPr="00ED0FFC">
        <w:rPr>
          <w:szCs w:val="22"/>
          <w:lang w:val="es-ES"/>
        </w:rPr>
        <w:t>COP21</w:t>
      </w:r>
      <w:r w:rsidR="00752EA5" w:rsidRPr="00ED0FFC">
        <w:rPr>
          <w:szCs w:val="22"/>
          <w:lang w:val="es-ES"/>
        </w:rPr>
        <w:t xml:space="preserve"> y contó con la participación d</w:t>
      </w:r>
      <w:r w:rsidR="00222344" w:rsidRPr="00ED0FFC">
        <w:rPr>
          <w:szCs w:val="22"/>
          <w:lang w:val="es-ES"/>
        </w:rPr>
        <w:t>e 6</w:t>
      </w:r>
      <w:r w:rsidR="00752EA5" w:rsidRPr="00ED0FFC">
        <w:rPr>
          <w:szCs w:val="22"/>
          <w:lang w:val="es-ES"/>
        </w:rPr>
        <w:t xml:space="preserve">0 empresas </w:t>
      </w:r>
      <w:r w:rsidR="002B1093" w:rsidRPr="00ED0FFC">
        <w:rPr>
          <w:szCs w:val="22"/>
          <w:lang w:val="es-ES"/>
        </w:rPr>
        <w:t xml:space="preserve">(30 </w:t>
      </w:r>
      <w:r w:rsidR="00752EA5" w:rsidRPr="00ED0FFC">
        <w:rPr>
          <w:szCs w:val="22"/>
          <w:lang w:val="es-ES"/>
        </w:rPr>
        <w:t xml:space="preserve">de países en desarrollo </w:t>
      </w:r>
      <w:r w:rsidR="00222344" w:rsidRPr="00ED0FFC">
        <w:rPr>
          <w:szCs w:val="22"/>
          <w:lang w:val="es-ES"/>
        </w:rPr>
        <w:t>y 3</w:t>
      </w:r>
      <w:r w:rsidR="002B1093" w:rsidRPr="00ED0FFC">
        <w:rPr>
          <w:szCs w:val="22"/>
          <w:lang w:val="es-ES"/>
        </w:rPr>
        <w:t xml:space="preserve">0 </w:t>
      </w:r>
      <w:r w:rsidR="00752EA5" w:rsidRPr="00ED0FFC">
        <w:rPr>
          <w:szCs w:val="22"/>
          <w:lang w:val="es-ES"/>
        </w:rPr>
        <w:t>de países desarrollados</w:t>
      </w:r>
      <w:r w:rsidR="002B1093" w:rsidRPr="00ED0FFC">
        <w:rPr>
          <w:szCs w:val="22"/>
          <w:lang w:val="es-ES"/>
        </w:rPr>
        <w:t>).</w:t>
      </w:r>
    </w:p>
    <w:p w:rsidR="00733EB1" w:rsidRPr="00ED0FFC" w:rsidRDefault="00733EB1" w:rsidP="007F60FD">
      <w:pPr>
        <w:pStyle w:val="ListParagraph"/>
        <w:ind w:left="1134"/>
        <w:rPr>
          <w:szCs w:val="22"/>
          <w:lang w:val="es-ES"/>
        </w:rPr>
      </w:pPr>
    </w:p>
    <w:p w:rsidR="002B1093" w:rsidRPr="00ED0FFC" w:rsidRDefault="00BA00FE" w:rsidP="00DD58B5">
      <w:pPr>
        <w:pStyle w:val="Heading2"/>
        <w:ind w:left="567" w:hanging="567"/>
      </w:pPr>
      <w:r w:rsidRPr="00ED0FFC">
        <w:t>IX</w:t>
      </w:r>
      <w:r w:rsidR="002B1093" w:rsidRPr="00ED0FFC">
        <w:t>.</w:t>
      </w:r>
      <w:r w:rsidR="002B1093" w:rsidRPr="00ED0FFC">
        <w:tab/>
      </w:r>
      <w:r w:rsidR="00752EA5" w:rsidRPr="00ED0FFC">
        <w:rPr>
          <w:szCs w:val="22"/>
        </w:rPr>
        <w:t>Participación de la OMPI en foros relevantes de transferencia de conocimientos</w:t>
      </w:r>
      <w:r w:rsidR="00752EA5" w:rsidRPr="00ED0FFC">
        <w:t xml:space="preserve"> </w:t>
      </w:r>
    </w:p>
    <w:p w:rsidR="00752EA5" w:rsidRPr="00ED0FFC" w:rsidRDefault="00752EA5" w:rsidP="007F60FD"/>
    <w:p w:rsidR="002B1093" w:rsidRPr="00ED0FFC" w:rsidRDefault="002B1093" w:rsidP="007F60FD">
      <w:pPr>
        <w:rPr>
          <w:szCs w:val="22"/>
        </w:rPr>
      </w:pPr>
      <w:r w:rsidRPr="00ED0FFC">
        <w:rPr>
          <w:szCs w:val="22"/>
        </w:rPr>
        <w:t>3</w:t>
      </w:r>
      <w:r w:rsidR="00BA00FE" w:rsidRPr="00ED0FFC">
        <w:rPr>
          <w:szCs w:val="22"/>
        </w:rPr>
        <w:t>9</w:t>
      </w:r>
      <w:r w:rsidRPr="00ED0FFC">
        <w:rPr>
          <w:szCs w:val="22"/>
        </w:rPr>
        <w:t>.</w:t>
      </w:r>
      <w:r w:rsidRPr="00ED0FFC">
        <w:rPr>
          <w:szCs w:val="22"/>
        </w:rPr>
        <w:tab/>
      </w:r>
      <w:r w:rsidR="00752EA5" w:rsidRPr="00ED0FFC">
        <w:rPr>
          <w:szCs w:val="22"/>
        </w:rPr>
        <w:t xml:space="preserve">Todos los esfuerzos dirigidos a identificar los modelos más exitosos de innovación y transferencia de conocimientos en beneficio de la sociedad, incluidos los informes sobre el Índice Mundial de Innovación de la OMPI, mostraron la gran importancia e impacto de las precondiciones creadas (aportaciones) en diferentes áreas, como instituciones, infraestructura, capital humano, complejidad de las empresas y el mercado, etc., con el objetivo de poder cosechar buenos resultados </w:t>
      </w:r>
      <w:r w:rsidR="00567E3F" w:rsidRPr="00ED0FFC">
        <w:rPr>
          <w:szCs w:val="22"/>
        </w:rPr>
        <w:t xml:space="preserve">en </w:t>
      </w:r>
      <w:r w:rsidR="00752EA5" w:rsidRPr="00ED0FFC">
        <w:rPr>
          <w:szCs w:val="22"/>
        </w:rPr>
        <w:t>innovación tecnológica o en industrias creativas</w:t>
      </w:r>
      <w:r w:rsidRPr="00ED0FFC">
        <w:rPr>
          <w:szCs w:val="22"/>
        </w:rPr>
        <w:t>.</w:t>
      </w:r>
    </w:p>
    <w:p w:rsidR="002B1093" w:rsidRPr="00ED0FFC" w:rsidRDefault="002B1093" w:rsidP="007F60FD">
      <w:pPr>
        <w:rPr>
          <w:szCs w:val="22"/>
        </w:rPr>
      </w:pPr>
    </w:p>
    <w:p w:rsidR="002B1093" w:rsidRPr="00ED0FFC" w:rsidRDefault="00BA00FE" w:rsidP="007F60FD">
      <w:pPr>
        <w:rPr>
          <w:szCs w:val="22"/>
        </w:rPr>
      </w:pPr>
      <w:r w:rsidRPr="00ED0FFC">
        <w:rPr>
          <w:szCs w:val="22"/>
        </w:rPr>
        <w:t>40</w:t>
      </w:r>
      <w:r w:rsidR="002B1093" w:rsidRPr="00ED0FFC">
        <w:rPr>
          <w:szCs w:val="22"/>
        </w:rPr>
        <w:t>.</w:t>
      </w:r>
      <w:r w:rsidR="002B1093" w:rsidRPr="00ED0FFC">
        <w:rPr>
          <w:szCs w:val="22"/>
        </w:rPr>
        <w:tab/>
      </w:r>
      <w:r w:rsidR="00752EA5" w:rsidRPr="00ED0FFC">
        <w:rPr>
          <w:szCs w:val="22"/>
        </w:rPr>
        <w:t xml:space="preserve">Por lo tanto, la OMPI creó una red de socios capaces de </w:t>
      </w:r>
      <w:r w:rsidR="006F205D" w:rsidRPr="00ED0FFC">
        <w:rPr>
          <w:szCs w:val="22"/>
        </w:rPr>
        <w:t>proporcionar</w:t>
      </w:r>
      <w:r w:rsidR="00752EA5" w:rsidRPr="00ED0FFC">
        <w:rPr>
          <w:szCs w:val="22"/>
        </w:rPr>
        <w:t xml:space="preserve"> servicios complementarios relevantes para la transferencia de conocimientos que va más allá de la P.I., como la red de alianzas con la</w:t>
      </w:r>
      <w:r w:rsidR="00295CA4" w:rsidRPr="00ED0FFC">
        <w:rPr>
          <w:szCs w:val="22"/>
        </w:rPr>
        <w:t>s Naciones Unidas (</w:t>
      </w:r>
      <w:r w:rsidR="00752EA5" w:rsidRPr="00ED0FFC">
        <w:rPr>
          <w:szCs w:val="22"/>
        </w:rPr>
        <w:t>ONU</w:t>
      </w:r>
      <w:r w:rsidR="00295CA4" w:rsidRPr="00ED0FFC">
        <w:rPr>
          <w:szCs w:val="22"/>
        </w:rPr>
        <w:t>)</w:t>
      </w:r>
      <w:r w:rsidR="00752EA5" w:rsidRPr="00ED0FFC">
        <w:rPr>
          <w:szCs w:val="22"/>
        </w:rPr>
        <w:t xml:space="preserve"> y otras organizaciones gubernamentales internacionales y nacionales </w:t>
      </w:r>
      <w:r w:rsidR="002B1093" w:rsidRPr="00ED0FFC">
        <w:rPr>
          <w:szCs w:val="22"/>
        </w:rPr>
        <w:t>(</w:t>
      </w:r>
      <w:r w:rsidR="00752EA5" w:rsidRPr="00ED0FFC">
        <w:rPr>
          <w:szCs w:val="22"/>
        </w:rPr>
        <w:t>por ejemplo,</w:t>
      </w:r>
      <w:r w:rsidR="00E41221" w:rsidRPr="00ED0FFC">
        <w:rPr>
          <w:szCs w:val="22"/>
        </w:rPr>
        <w:t xml:space="preserve"> la Comisión Económica de las Naciones Unidas para Europa (CEPE)</w:t>
      </w:r>
      <w:r w:rsidR="002B1093" w:rsidRPr="00ED0FFC">
        <w:rPr>
          <w:szCs w:val="22"/>
        </w:rPr>
        <w:t xml:space="preserve">, </w:t>
      </w:r>
      <w:r w:rsidR="00E41221" w:rsidRPr="00ED0FFC">
        <w:rPr>
          <w:szCs w:val="22"/>
        </w:rPr>
        <w:t>la Conferencia de las Naciones Unidas sobre Comercio y Desarrollo (</w:t>
      </w:r>
      <w:r w:rsidR="002B1093" w:rsidRPr="00ED0FFC">
        <w:rPr>
          <w:szCs w:val="22"/>
        </w:rPr>
        <w:t>UNCTAD</w:t>
      </w:r>
      <w:r w:rsidR="00E41221" w:rsidRPr="00ED0FFC">
        <w:rPr>
          <w:szCs w:val="22"/>
        </w:rPr>
        <w:t>)</w:t>
      </w:r>
      <w:r w:rsidR="002B1093" w:rsidRPr="00ED0FFC">
        <w:rPr>
          <w:szCs w:val="22"/>
        </w:rPr>
        <w:t xml:space="preserve">, </w:t>
      </w:r>
      <w:r w:rsidR="00E41221" w:rsidRPr="00ED0FFC">
        <w:rPr>
          <w:szCs w:val="22"/>
        </w:rPr>
        <w:t>la Convención Marco de las Naciones Unidas sobre el Cambio Climático (</w:t>
      </w:r>
      <w:r w:rsidR="00A775A9" w:rsidRPr="00ED0FFC">
        <w:rPr>
          <w:szCs w:val="22"/>
        </w:rPr>
        <w:t>CMNUCC</w:t>
      </w:r>
      <w:r w:rsidR="00E41221" w:rsidRPr="00ED0FFC">
        <w:rPr>
          <w:szCs w:val="22"/>
        </w:rPr>
        <w:t>)</w:t>
      </w:r>
      <w:r w:rsidR="00A775A9" w:rsidRPr="00ED0FFC">
        <w:rPr>
          <w:szCs w:val="22"/>
        </w:rPr>
        <w:t>,</w:t>
      </w:r>
      <w:r w:rsidR="002B1093" w:rsidRPr="00ED0FFC">
        <w:rPr>
          <w:szCs w:val="22"/>
        </w:rPr>
        <w:t xml:space="preserve"> </w:t>
      </w:r>
      <w:r w:rsidR="00E41221" w:rsidRPr="00ED0FFC">
        <w:rPr>
          <w:szCs w:val="22"/>
        </w:rPr>
        <w:t>la Organización Europea de Investigación Nuclear (</w:t>
      </w:r>
      <w:r w:rsidR="002B1093" w:rsidRPr="00ED0FFC">
        <w:rPr>
          <w:szCs w:val="22"/>
        </w:rPr>
        <w:t>CERN</w:t>
      </w:r>
      <w:r w:rsidR="00E41221" w:rsidRPr="00ED0FFC">
        <w:rPr>
          <w:szCs w:val="22"/>
        </w:rPr>
        <w:t>)</w:t>
      </w:r>
      <w:r w:rsidR="002B1093" w:rsidRPr="00ED0FFC">
        <w:rPr>
          <w:szCs w:val="22"/>
        </w:rPr>
        <w:t xml:space="preserve">, </w:t>
      </w:r>
      <w:r w:rsidR="00A775A9" w:rsidRPr="00ED0FFC">
        <w:rPr>
          <w:szCs w:val="22"/>
        </w:rPr>
        <w:t xml:space="preserve">el Banco </w:t>
      </w:r>
      <w:r w:rsidR="00A775A9" w:rsidRPr="00ED0FFC">
        <w:rPr>
          <w:szCs w:val="22"/>
        </w:rPr>
        <w:lastRenderedPageBreak/>
        <w:t xml:space="preserve">Mundial, el Centro de Investigación Conjunta </w:t>
      </w:r>
      <w:r w:rsidR="002B1093" w:rsidRPr="00ED0FFC">
        <w:rPr>
          <w:szCs w:val="22"/>
        </w:rPr>
        <w:t xml:space="preserve">(JRC) </w:t>
      </w:r>
      <w:r w:rsidR="00A775A9" w:rsidRPr="00ED0FFC">
        <w:rPr>
          <w:szCs w:val="22"/>
        </w:rPr>
        <w:t xml:space="preserve">de la Comisión Europea </w:t>
      </w:r>
      <w:r w:rsidR="002B1093" w:rsidRPr="00ED0FFC">
        <w:rPr>
          <w:szCs w:val="22"/>
        </w:rPr>
        <w:t>(</w:t>
      </w:r>
      <w:r w:rsidR="00A775A9" w:rsidRPr="00ED0FFC">
        <w:rPr>
          <w:szCs w:val="22"/>
        </w:rPr>
        <w:t>CE</w:t>
      </w:r>
      <w:r w:rsidR="002B1093" w:rsidRPr="00ED0FFC">
        <w:rPr>
          <w:szCs w:val="22"/>
        </w:rPr>
        <w:t xml:space="preserve">), </w:t>
      </w:r>
      <w:r w:rsidR="00E41221" w:rsidRPr="00ED0FFC">
        <w:rPr>
          <w:szCs w:val="22"/>
        </w:rPr>
        <w:t>el Organismo Internacional de Energía Atómica (</w:t>
      </w:r>
      <w:r w:rsidR="00A775A9" w:rsidRPr="00ED0FFC">
        <w:rPr>
          <w:szCs w:val="22"/>
        </w:rPr>
        <w:t>OIE</w:t>
      </w:r>
      <w:r w:rsidR="002B1093" w:rsidRPr="00ED0FFC">
        <w:rPr>
          <w:szCs w:val="22"/>
        </w:rPr>
        <w:t>A</w:t>
      </w:r>
      <w:r w:rsidR="00E41221" w:rsidRPr="00ED0FFC">
        <w:rPr>
          <w:szCs w:val="22"/>
        </w:rPr>
        <w:t>)</w:t>
      </w:r>
      <w:r w:rsidR="00A775A9" w:rsidRPr="00ED0FFC">
        <w:rPr>
          <w:szCs w:val="22"/>
        </w:rPr>
        <w:t xml:space="preserve">, </w:t>
      </w:r>
      <w:r w:rsidR="002B1093" w:rsidRPr="00ED0FFC">
        <w:rPr>
          <w:szCs w:val="22"/>
        </w:rPr>
        <w:t xml:space="preserve">etc.), </w:t>
      </w:r>
      <w:r w:rsidR="00A775A9" w:rsidRPr="00ED0FFC">
        <w:rPr>
          <w:szCs w:val="22"/>
        </w:rPr>
        <w:t xml:space="preserve">asociaciones profesionales </w:t>
      </w:r>
      <w:r w:rsidR="002B1093" w:rsidRPr="00ED0FFC">
        <w:rPr>
          <w:szCs w:val="22"/>
        </w:rPr>
        <w:t>(</w:t>
      </w:r>
      <w:r w:rsidR="00E41221" w:rsidRPr="00ED0FFC">
        <w:rPr>
          <w:szCs w:val="22"/>
        </w:rPr>
        <w:t xml:space="preserve">la </w:t>
      </w:r>
      <w:r w:rsidR="00E41221" w:rsidRPr="00DD58B5">
        <w:rPr>
          <w:i/>
          <w:szCs w:val="22"/>
        </w:rPr>
        <w:t>Licensing Executives Society International</w:t>
      </w:r>
      <w:r w:rsidR="00E41221" w:rsidRPr="00ED0FFC">
        <w:rPr>
          <w:szCs w:val="22"/>
        </w:rPr>
        <w:t xml:space="preserve"> (</w:t>
      </w:r>
      <w:r w:rsidR="002B1093" w:rsidRPr="00ED0FFC">
        <w:rPr>
          <w:szCs w:val="22"/>
        </w:rPr>
        <w:t>LESI</w:t>
      </w:r>
      <w:r w:rsidR="00E41221" w:rsidRPr="00ED0FFC">
        <w:rPr>
          <w:szCs w:val="22"/>
        </w:rPr>
        <w:t xml:space="preserve">), la </w:t>
      </w:r>
      <w:r w:rsidR="00E41221" w:rsidRPr="00DD58B5">
        <w:rPr>
          <w:i/>
          <w:szCs w:val="22"/>
        </w:rPr>
        <w:t>Associaton of University Technology Managers</w:t>
      </w:r>
      <w:r w:rsidR="00E41221" w:rsidRPr="00ED0FFC">
        <w:rPr>
          <w:szCs w:val="22"/>
        </w:rPr>
        <w:t xml:space="preserve"> (</w:t>
      </w:r>
      <w:r w:rsidR="002B1093" w:rsidRPr="00ED0FFC">
        <w:rPr>
          <w:szCs w:val="22"/>
        </w:rPr>
        <w:t>AUTM</w:t>
      </w:r>
      <w:r w:rsidR="00E41221" w:rsidRPr="00ED0FFC">
        <w:rPr>
          <w:szCs w:val="22"/>
        </w:rPr>
        <w:t>)</w:t>
      </w:r>
      <w:r w:rsidR="002B1093" w:rsidRPr="00ED0FFC">
        <w:rPr>
          <w:szCs w:val="22"/>
        </w:rPr>
        <w:t xml:space="preserve">, ASTP, </w:t>
      </w:r>
      <w:r w:rsidR="00E41221" w:rsidRPr="00ED0FFC">
        <w:rPr>
          <w:szCs w:val="22"/>
        </w:rPr>
        <w:t>ASTP</w:t>
      </w:r>
      <w:r w:rsidR="002B1093" w:rsidRPr="00ED0FFC">
        <w:rPr>
          <w:szCs w:val="22"/>
        </w:rPr>
        <w:t>PROTON</w:t>
      </w:r>
      <w:r w:rsidR="00E41221" w:rsidRPr="00ED0FFC">
        <w:rPr>
          <w:szCs w:val="22"/>
        </w:rPr>
        <w:t xml:space="preserve"> </w:t>
      </w:r>
      <w:r w:rsidR="00E41221" w:rsidRPr="00DD58B5">
        <w:rPr>
          <w:i/>
          <w:szCs w:val="22"/>
        </w:rPr>
        <w:t>Knowledge Transfer Europe</w:t>
      </w:r>
      <w:r w:rsidR="002B1093" w:rsidRPr="00ED0FFC">
        <w:rPr>
          <w:szCs w:val="22"/>
        </w:rPr>
        <w:t xml:space="preserve">) </w:t>
      </w:r>
      <w:r w:rsidR="00A775A9" w:rsidRPr="00ED0FFC">
        <w:rPr>
          <w:szCs w:val="22"/>
        </w:rPr>
        <w:t xml:space="preserve">e instituciones académicas en países en desarrollo y países desarrollados </w:t>
      </w:r>
      <w:r w:rsidR="002B1093" w:rsidRPr="00ED0FFC">
        <w:rPr>
          <w:szCs w:val="22"/>
        </w:rPr>
        <w:t>(</w:t>
      </w:r>
      <w:r w:rsidR="00E41221" w:rsidRPr="00ED0FFC">
        <w:rPr>
          <w:szCs w:val="22"/>
        </w:rPr>
        <w:t xml:space="preserve">el </w:t>
      </w:r>
      <w:r w:rsidR="002B1093" w:rsidRPr="00ED0FFC">
        <w:rPr>
          <w:szCs w:val="22"/>
        </w:rPr>
        <w:t>Cent</w:t>
      </w:r>
      <w:r w:rsidR="00A775A9" w:rsidRPr="00ED0FFC">
        <w:rPr>
          <w:szCs w:val="22"/>
        </w:rPr>
        <w:t>ro para la Propiedad Intelectual</w:t>
      </w:r>
      <w:r w:rsidR="002B1093" w:rsidRPr="00ED0FFC">
        <w:rPr>
          <w:szCs w:val="22"/>
        </w:rPr>
        <w:t xml:space="preserve"> (CIP) </w:t>
      </w:r>
      <w:r w:rsidR="00A775A9" w:rsidRPr="00ED0FFC">
        <w:rPr>
          <w:szCs w:val="22"/>
        </w:rPr>
        <w:t xml:space="preserve">de la </w:t>
      </w:r>
      <w:r w:rsidR="002B1093" w:rsidRPr="00DD58B5">
        <w:rPr>
          <w:i/>
          <w:szCs w:val="22"/>
        </w:rPr>
        <w:t>Chalmers University</w:t>
      </w:r>
      <w:r w:rsidR="002B1093" w:rsidRPr="00ED0FFC">
        <w:rPr>
          <w:szCs w:val="22"/>
        </w:rPr>
        <w:t xml:space="preserve">, </w:t>
      </w:r>
      <w:r w:rsidR="00E41221" w:rsidRPr="00ED0FFC">
        <w:rPr>
          <w:szCs w:val="22"/>
        </w:rPr>
        <w:t xml:space="preserve">el </w:t>
      </w:r>
      <w:r w:rsidR="002B1093" w:rsidRPr="00ED0FFC">
        <w:rPr>
          <w:szCs w:val="22"/>
        </w:rPr>
        <w:t>Centr</w:t>
      </w:r>
      <w:r w:rsidR="00A775A9" w:rsidRPr="00ED0FFC">
        <w:rPr>
          <w:szCs w:val="22"/>
        </w:rPr>
        <w:t xml:space="preserve">o Internacional de Estudios sobre la Propiedad Intelectual </w:t>
      </w:r>
      <w:r w:rsidR="002B1093" w:rsidRPr="00ED0FFC">
        <w:rPr>
          <w:szCs w:val="22"/>
        </w:rPr>
        <w:t xml:space="preserve">(CEIPI) </w:t>
      </w:r>
      <w:r w:rsidR="00A775A9" w:rsidRPr="00ED0FFC">
        <w:rPr>
          <w:szCs w:val="22"/>
        </w:rPr>
        <w:t>de Estrasbur</w:t>
      </w:r>
      <w:r w:rsidR="006F205D" w:rsidRPr="00ED0FFC">
        <w:rPr>
          <w:szCs w:val="22"/>
        </w:rPr>
        <w:t>g</w:t>
      </w:r>
      <w:r w:rsidR="00A775A9" w:rsidRPr="00ED0FFC">
        <w:rPr>
          <w:szCs w:val="22"/>
        </w:rPr>
        <w:t xml:space="preserve">o, </w:t>
      </w:r>
      <w:r w:rsidR="002B1093" w:rsidRPr="00DD58B5">
        <w:rPr>
          <w:i/>
          <w:szCs w:val="22"/>
        </w:rPr>
        <w:t>Bogaziçi University</w:t>
      </w:r>
      <w:r w:rsidR="00A775A9" w:rsidRPr="00ED0FFC">
        <w:rPr>
          <w:szCs w:val="22"/>
        </w:rPr>
        <w:t xml:space="preserve"> de E</w:t>
      </w:r>
      <w:r w:rsidR="002B1093" w:rsidRPr="00ED0FFC">
        <w:rPr>
          <w:szCs w:val="22"/>
        </w:rPr>
        <w:t>sta</w:t>
      </w:r>
      <w:r w:rsidR="00A775A9" w:rsidRPr="00ED0FFC">
        <w:rPr>
          <w:szCs w:val="22"/>
        </w:rPr>
        <w:t>m</w:t>
      </w:r>
      <w:r w:rsidR="002B1093" w:rsidRPr="00ED0FFC">
        <w:rPr>
          <w:szCs w:val="22"/>
        </w:rPr>
        <w:t>bul, Tur</w:t>
      </w:r>
      <w:r w:rsidR="00A775A9" w:rsidRPr="00ED0FFC">
        <w:rPr>
          <w:szCs w:val="22"/>
        </w:rPr>
        <w:t>quía)</w:t>
      </w:r>
      <w:r w:rsidR="002B1093" w:rsidRPr="00ED0FFC">
        <w:rPr>
          <w:szCs w:val="22"/>
        </w:rPr>
        <w:t>.</w:t>
      </w:r>
    </w:p>
    <w:p w:rsidR="002B1093" w:rsidRPr="00ED0FFC" w:rsidRDefault="002B1093" w:rsidP="007F60FD">
      <w:pPr>
        <w:rPr>
          <w:szCs w:val="22"/>
        </w:rPr>
      </w:pPr>
    </w:p>
    <w:p w:rsidR="002B1093" w:rsidRPr="00ED0FFC" w:rsidRDefault="002B1093" w:rsidP="007F60FD">
      <w:pPr>
        <w:rPr>
          <w:szCs w:val="22"/>
        </w:rPr>
      </w:pPr>
      <w:r w:rsidRPr="00ED0FFC">
        <w:rPr>
          <w:szCs w:val="22"/>
        </w:rPr>
        <w:t>4</w:t>
      </w:r>
      <w:r w:rsidR="00BA00FE" w:rsidRPr="00ED0FFC">
        <w:rPr>
          <w:szCs w:val="22"/>
        </w:rPr>
        <w:t>1</w:t>
      </w:r>
      <w:r w:rsidRPr="00ED0FFC">
        <w:rPr>
          <w:szCs w:val="22"/>
        </w:rPr>
        <w:t>.</w:t>
      </w:r>
      <w:r w:rsidRPr="00ED0FFC">
        <w:rPr>
          <w:szCs w:val="22"/>
        </w:rPr>
        <w:tab/>
      </w:r>
      <w:r w:rsidR="00A775A9" w:rsidRPr="00ED0FFC">
        <w:rPr>
          <w:szCs w:val="22"/>
        </w:rPr>
        <w:t xml:space="preserve">La OMPI también participó en una serie de reuniones internacionales y regionales </w:t>
      </w:r>
      <w:r w:rsidR="00FE23DD" w:rsidRPr="00ED0FFC">
        <w:rPr>
          <w:szCs w:val="22"/>
        </w:rPr>
        <w:t>de universidades y en sus asociaciones de gestión de tecnología, como por ejemplo</w:t>
      </w:r>
      <w:r w:rsidRPr="00ED0FFC">
        <w:rPr>
          <w:szCs w:val="22"/>
        </w:rPr>
        <w:t>:</w:t>
      </w:r>
    </w:p>
    <w:p w:rsidR="002B1093" w:rsidRPr="00ED0FFC" w:rsidRDefault="002B1093" w:rsidP="007F60FD">
      <w:pPr>
        <w:rPr>
          <w:szCs w:val="22"/>
        </w:rPr>
      </w:pPr>
    </w:p>
    <w:p w:rsidR="002B1093" w:rsidRPr="00ED0FFC" w:rsidRDefault="00FE23DD" w:rsidP="007F60FD">
      <w:pPr>
        <w:pStyle w:val="ListParagraph"/>
        <w:numPr>
          <w:ilvl w:val="0"/>
          <w:numId w:val="10"/>
        </w:numPr>
        <w:ind w:left="1134" w:hanging="567"/>
        <w:rPr>
          <w:rFonts w:eastAsia="SimSun"/>
          <w:szCs w:val="22"/>
          <w:lang w:val="es-ES" w:eastAsia="zh-CN"/>
        </w:rPr>
      </w:pPr>
      <w:r w:rsidRPr="00ED0FFC">
        <w:rPr>
          <w:rFonts w:eastAsia="SimSun"/>
          <w:szCs w:val="22"/>
          <w:lang w:val="es-ES" w:eastAsia="zh-CN"/>
        </w:rPr>
        <w:t xml:space="preserve">Reuniones anuales del </w:t>
      </w:r>
      <w:r w:rsidR="00DD58B5">
        <w:rPr>
          <w:rFonts w:eastAsia="SimSun"/>
          <w:szCs w:val="22"/>
          <w:lang w:val="es-ES" w:eastAsia="zh-CN"/>
        </w:rPr>
        <w:t>“</w:t>
      </w:r>
      <w:r w:rsidRPr="00ED0FFC">
        <w:rPr>
          <w:rFonts w:eastAsia="SimSun"/>
          <w:szCs w:val="22"/>
          <w:lang w:val="es-ES" w:eastAsia="zh-CN"/>
        </w:rPr>
        <w:t>Círculo de O</w:t>
      </w:r>
      <w:r w:rsidR="002B1093" w:rsidRPr="00ED0FFC">
        <w:rPr>
          <w:rFonts w:eastAsia="SimSun"/>
          <w:szCs w:val="22"/>
          <w:lang w:val="es-ES" w:eastAsia="zh-CN"/>
        </w:rPr>
        <w:t>TT</w:t>
      </w:r>
      <w:r w:rsidR="00DD58B5">
        <w:rPr>
          <w:rFonts w:eastAsia="SimSun"/>
          <w:szCs w:val="22"/>
          <w:lang w:val="es-ES" w:eastAsia="zh-CN"/>
        </w:rPr>
        <w:t>”</w:t>
      </w:r>
      <w:r w:rsidR="002B1093" w:rsidRPr="00ED0FFC">
        <w:rPr>
          <w:rFonts w:eastAsia="SimSun"/>
          <w:szCs w:val="22"/>
          <w:lang w:val="es-ES" w:eastAsia="zh-CN"/>
        </w:rPr>
        <w:t xml:space="preserve">, </w:t>
      </w:r>
      <w:r w:rsidRPr="00ED0FFC">
        <w:rPr>
          <w:rFonts w:eastAsia="SimSun"/>
          <w:szCs w:val="22"/>
          <w:lang w:val="es-ES" w:eastAsia="zh-CN"/>
        </w:rPr>
        <w:t>una red de unidades de gestión de tecnología de la</w:t>
      </w:r>
      <w:r w:rsidR="00222344" w:rsidRPr="00ED0FFC">
        <w:rPr>
          <w:rFonts w:eastAsia="SimSun"/>
          <w:szCs w:val="22"/>
          <w:lang w:val="es-ES" w:eastAsia="zh-CN"/>
        </w:rPr>
        <w:t>s 2</w:t>
      </w:r>
      <w:r w:rsidRPr="00ED0FFC">
        <w:rPr>
          <w:rFonts w:eastAsia="SimSun"/>
          <w:szCs w:val="22"/>
          <w:lang w:val="es-ES" w:eastAsia="zh-CN"/>
        </w:rPr>
        <w:t>5 mayores instituciones de investigación en Europa</w:t>
      </w:r>
      <w:r w:rsidR="002B1093" w:rsidRPr="00ED0FFC">
        <w:rPr>
          <w:rFonts w:eastAsia="SimSun"/>
          <w:szCs w:val="22"/>
          <w:lang w:val="es-ES" w:eastAsia="zh-CN"/>
        </w:rPr>
        <w:t>, organiz</w:t>
      </w:r>
      <w:r w:rsidRPr="00ED0FFC">
        <w:rPr>
          <w:rFonts w:eastAsia="SimSun"/>
          <w:szCs w:val="22"/>
          <w:lang w:val="es-ES" w:eastAsia="zh-CN"/>
        </w:rPr>
        <w:t>adas</w:t>
      </w:r>
      <w:r w:rsidR="002B1093" w:rsidRPr="00ED0FFC">
        <w:rPr>
          <w:rFonts w:eastAsia="SimSun"/>
          <w:szCs w:val="22"/>
          <w:lang w:val="es-ES" w:eastAsia="zh-CN"/>
        </w:rPr>
        <w:t xml:space="preserve"> </w:t>
      </w:r>
      <w:r w:rsidRPr="00ED0FFC">
        <w:rPr>
          <w:rFonts w:eastAsia="SimSun"/>
          <w:szCs w:val="22"/>
          <w:lang w:val="es-ES" w:eastAsia="zh-CN"/>
        </w:rPr>
        <w:t xml:space="preserve">por el </w:t>
      </w:r>
      <w:r w:rsidR="002B1093" w:rsidRPr="00ED0FFC">
        <w:rPr>
          <w:rFonts w:eastAsia="SimSun"/>
          <w:szCs w:val="22"/>
          <w:lang w:val="es-ES" w:eastAsia="zh-CN"/>
        </w:rPr>
        <w:t xml:space="preserve">JRC </w:t>
      </w:r>
      <w:r w:rsidRPr="00ED0FFC">
        <w:rPr>
          <w:rFonts w:eastAsia="SimSun"/>
          <w:szCs w:val="22"/>
          <w:lang w:val="es-ES" w:eastAsia="zh-CN"/>
        </w:rPr>
        <w:t>de la CE</w:t>
      </w:r>
      <w:r w:rsidR="002B1093" w:rsidRPr="00ED0FFC">
        <w:rPr>
          <w:rFonts w:eastAsia="SimSun"/>
          <w:szCs w:val="22"/>
          <w:lang w:val="es-ES" w:eastAsia="zh-CN"/>
        </w:rPr>
        <w:t xml:space="preserve"> </w:t>
      </w:r>
      <w:r w:rsidRPr="00ED0FFC">
        <w:rPr>
          <w:rFonts w:eastAsia="SimSun"/>
          <w:szCs w:val="22"/>
          <w:lang w:val="es-ES" w:eastAsia="zh-CN"/>
        </w:rPr>
        <w:t>para evaluar el impacto sobre las políticas europeas</w:t>
      </w:r>
      <w:r w:rsidR="002B1093" w:rsidRPr="00ED0FFC">
        <w:rPr>
          <w:rFonts w:eastAsia="SimSun"/>
          <w:szCs w:val="22"/>
          <w:lang w:val="es-ES" w:eastAsia="zh-CN"/>
        </w:rPr>
        <w:t xml:space="preserve"> (</w:t>
      </w:r>
      <w:r w:rsidRPr="00ED0FFC">
        <w:rPr>
          <w:rFonts w:eastAsia="SimSun"/>
          <w:szCs w:val="22"/>
          <w:lang w:val="es-ES" w:eastAsia="zh-CN"/>
        </w:rPr>
        <w:t xml:space="preserve">20 </w:t>
      </w:r>
      <w:r w:rsidR="00222344" w:rsidRPr="00ED0FFC">
        <w:rPr>
          <w:rFonts w:eastAsia="SimSun"/>
          <w:szCs w:val="22"/>
          <w:lang w:val="es-ES" w:eastAsia="zh-CN"/>
        </w:rPr>
        <w:t>y 2</w:t>
      </w:r>
      <w:r w:rsidRPr="00ED0FFC">
        <w:rPr>
          <w:rFonts w:eastAsia="SimSun"/>
          <w:szCs w:val="22"/>
          <w:lang w:val="es-ES" w:eastAsia="zh-CN"/>
        </w:rPr>
        <w:t>1 de enero d</w:t>
      </w:r>
      <w:r w:rsidR="00222344" w:rsidRPr="00ED0FFC">
        <w:rPr>
          <w:rFonts w:eastAsia="SimSun"/>
          <w:szCs w:val="22"/>
          <w:lang w:val="es-ES" w:eastAsia="zh-CN"/>
        </w:rPr>
        <w:t>e 2</w:t>
      </w:r>
      <w:r w:rsidR="002B1093" w:rsidRPr="00ED0FFC">
        <w:rPr>
          <w:rFonts w:eastAsia="SimSun"/>
          <w:szCs w:val="22"/>
          <w:lang w:val="es-ES" w:eastAsia="zh-CN"/>
        </w:rPr>
        <w:t>014</w:t>
      </w:r>
      <w:r w:rsidR="00222344" w:rsidRPr="00ED0FFC">
        <w:rPr>
          <w:rFonts w:eastAsia="SimSun"/>
          <w:szCs w:val="22"/>
          <w:lang w:val="es-ES" w:eastAsia="zh-CN"/>
        </w:rPr>
        <w:t>.  R</w:t>
      </w:r>
      <w:r w:rsidR="002B1093" w:rsidRPr="00ED0FFC">
        <w:rPr>
          <w:rFonts w:eastAsia="SimSun"/>
          <w:szCs w:val="22"/>
          <w:lang w:val="es-ES" w:eastAsia="zh-CN"/>
        </w:rPr>
        <w:t xml:space="preserve">ehovot </w:t>
      </w:r>
      <w:r w:rsidR="005D1F5D" w:rsidRPr="00ED0FFC">
        <w:rPr>
          <w:rFonts w:eastAsia="SimSun"/>
          <w:szCs w:val="22"/>
          <w:lang w:val="es-ES" w:eastAsia="zh-CN"/>
        </w:rPr>
        <w:t>(</w:t>
      </w:r>
      <w:r w:rsidR="002B1093" w:rsidRPr="00ED0FFC">
        <w:rPr>
          <w:rFonts w:eastAsia="SimSun"/>
          <w:szCs w:val="22"/>
          <w:lang w:val="es-ES" w:eastAsia="zh-CN"/>
        </w:rPr>
        <w:t>Israel</w:t>
      </w:r>
      <w:r w:rsidR="005D1F5D" w:rsidRPr="00ED0FFC">
        <w:rPr>
          <w:rFonts w:eastAsia="SimSun"/>
          <w:szCs w:val="22"/>
          <w:lang w:val="es-ES" w:eastAsia="zh-CN"/>
        </w:rPr>
        <w:t>)</w:t>
      </w:r>
      <w:r w:rsidR="002B1093" w:rsidRPr="00ED0FFC">
        <w:rPr>
          <w:rFonts w:eastAsia="SimSun"/>
          <w:szCs w:val="22"/>
          <w:lang w:val="es-ES" w:eastAsia="zh-CN"/>
        </w:rPr>
        <w:t>);</w:t>
      </w:r>
    </w:p>
    <w:p w:rsidR="002B1093" w:rsidRPr="00ED0FFC" w:rsidRDefault="00FE23DD" w:rsidP="007F60FD">
      <w:pPr>
        <w:pStyle w:val="ListParagraph"/>
        <w:numPr>
          <w:ilvl w:val="0"/>
          <w:numId w:val="10"/>
        </w:numPr>
        <w:ind w:left="1134" w:hanging="567"/>
        <w:rPr>
          <w:rFonts w:eastAsia="SimSun"/>
          <w:szCs w:val="22"/>
          <w:lang w:val="es-ES" w:eastAsia="zh-CN"/>
        </w:rPr>
      </w:pPr>
      <w:r w:rsidRPr="00ED0FFC">
        <w:rPr>
          <w:rFonts w:eastAsia="SimSun"/>
          <w:szCs w:val="22"/>
          <w:lang w:val="es-ES" w:eastAsia="zh-CN"/>
        </w:rPr>
        <w:t xml:space="preserve">Conferencia internacional sobre </w:t>
      </w:r>
      <w:r w:rsidR="002B1093" w:rsidRPr="00ED0FFC">
        <w:rPr>
          <w:rFonts w:eastAsia="SimSun"/>
          <w:szCs w:val="22"/>
          <w:lang w:val="es-ES" w:eastAsia="zh-CN"/>
        </w:rPr>
        <w:t>IP@Universitiy, organiz</w:t>
      </w:r>
      <w:r w:rsidRPr="00ED0FFC">
        <w:rPr>
          <w:rFonts w:eastAsia="SimSun"/>
          <w:szCs w:val="22"/>
          <w:lang w:val="es-ES" w:eastAsia="zh-CN"/>
        </w:rPr>
        <w:t xml:space="preserve">ada por la </w:t>
      </w:r>
      <w:r w:rsidR="002B1093" w:rsidRPr="00ED0FFC">
        <w:rPr>
          <w:rFonts w:eastAsia="SimSun"/>
          <w:szCs w:val="22"/>
          <w:lang w:val="es-ES" w:eastAsia="zh-CN"/>
        </w:rPr>
        <w:t>Bogaziçi University</w:t>
      </w:r>
      <w:r w:rsidR="00222344" w:rsidRPr="00ED0FFC">
        <w:rPr>
          <w:rFonts w:eastAsia="SimSun"/>
          <w:szCs w:val="22"/>
          <w:lang w:val="es-ES" w:eastAsia="zh-CN"/>
        </w:rPr>
        <w:t>.  E</w:t>
      </w:r>
      <w:r w:rsidRPr="00ED0FFC">
        <w:rPr>
          <w:rFonts w:eastAsia="SimSun"/>
          <w:szCs w:val="22"/>
          <w:lang w:val="es-ES" w:eastAsia="zh-CN"/>
        </w:rPr>
        <w:t>stambul</w:t>
      </w:r>
      <w:r w:rsidR="005D1F5D" w:rsidRPr="00ED0FFC">
        <w:rPr>
          <w:rFonts w:eastAsia="SimSun"/>
          <w:szCs w:val="22"/>
          <w:lang w:val="es-ES" w:eastAsia="zh-CN"/>
        </w:rPr>
        <w:t xml:space="preserve"> (</w:t>
      </w:r>
      <w:r w:rsidRPr="00ED0FFC">
        <w:rPr>
          <w:rFonts w:eastAsia="SimSun"/>
          <w:szCs w:val="22"/>
          <w:lang w:val="es-ES" w:eastAsia="zh-CN"/>
        </w:rPr>
        <w:t>Turquía</w:t>
      </w:r>
      <w:r w:rsidR="005D1F5D" w:rsidRPr="00ED0FFC">
        <w:rPr>
          <w:rFonts w:eastAsia="SimSun"/>
          <w:szCs w:val="22"/>
          <w:lang w:val="es-ES" w:eastAsia="zh-CN"/>
        </w:rPr>
        <w:t>)</w:t>
      </w:r>
      <w:r w:rsidR="002B1093" w:rsidRPr="00ED0FFC">
        <w:rPr>
          <w:rFonts w:eastAsia="SimSun"/>
          <w:szCs w:val="22"/>
          <w:lang w:val="es-ES" w:eastAsia="zh-CN"/>
        </w:rPr>
        <w:t xml:space="preserve"> (2014 an</w:t>
      </w:r>
      <w:r w:rsidR="00222344" w:rsidRPr="00ED0FFC">
        <w:rPr>
          <w:rFonts w:eastAsia="SimSun"/>
          <w:szCs w:val="22"/>
          <w:lang w:val="es-ES" w:eastAsia="zh-CN"/>
        </w:rPr>
        <w:t>d 2</w:t>
      </w:r>
      <w:r w:rsidR="002B1093" w:rsidRPr="00ED0FFC">
        <w:rPr>
          <w:rFonts w:eastAsia="SimSun"/>
          <w:szCs w:val="22"/>
          <w:lang w:val="es-ES" w:eastAsia="zh-CN"/>
        </w:rPr>
        <w:t>015);</w:t>
      </w:r>
    </w:p>
    <w:p w:rsidR="002B1093" w:rsidRPr="00ED0FFC" w:rsidRDefault="002B1093" w:rsidP="007F60FD">
      <w:pPr>
        <w:pStyle w:val="ListParagraph"/>
        <w:numPr>
          <w:ilvl w:val="0"/>
          <w:numId w:val="10"/>
        </w:numPr>
        <w:ind w:left="1134" w:hanging="567"/>
        <w:rPr>
          <w:rFonts w:eastAsia="SimSun"/>
          <w:szCs w:val="22"/>
          <w:lang w:val="es-ES" w:eastAsia="zh-CN"/>
        </w:rPr>
      </w:pPr>
      <w:r w:rsidRPr="00ED0FFC">
        <w:rPr>
          <w:rFonts w:eastAsia="SimSun"/>
          <w:szCs w:val="22"/>
          <w:lang w:val="es-ES" w:eastAsia="zh-CN"/>
        </w:rPr>
        <w:t>T</w:t>
      </w:r>
      <w:r w:rsidR="00FE23DD" w:rsidRPr="00ED0FFC">
        <w:rPr>
          <w:rFonts w:eastAsia="SimSun"/>
          <w:szCs w:val="22"/>
          <w:lang w:val="es-ES" w:eastAsia="zh-CN"/>
        </w:rPr>
        <w:t xml:space="preserve">ercer Congreso de la Red Mexicana de Oficinas de Transferencia de Tecnología </w:t>
      </w:r>
      <w:r w:rsidRPr="00ED0FFC">
        <w:rPr>
          <w:rFonts w:eastAsia="SimSun"/>
          <w:szCs w:val="22"/>
          <w:lang w:val="es-ES" w:eastAsia="zh-CN"/>
        </w:rPr>
        <w:t>(Red OTT)</w:t>
      </w:r>
      <w:r w:rsidR="00DD58B5">
        <w:rPr>
          <w:rFonts w:eastAsia="SimSun"/>
          <w:szCs w:val="22"/>
          <w:lang w:val="es-ES" w:eastAsia="zh-CN"/>
        </w:rPr>
        <w:t xml:space="preserve">, </w:t>
      </w:r>
      <w:r w:rsidR="00FE23DD" w:rsidRPr="00ED0FFC">
        <w:rPr>
          <w:rFonts w:eastAsia="SimSun"/>
          <w:szCs w:val="22"/>
          <w:lang w:val="es-ES" w:eastAsia="zh-CN"/>
        </w:rPr>
        <w:t xml:space="preserve">26 </w:t>
      </w:r>
      <w:r w:rsidR="00222344" w:rsidRPr="00ED0FFC">
        <w:rPr>
          <w:rFonts w:eastAsia="SimSun"/>
          <w:szCs w:val="22"/>
          <w:lang w:val="es-ES" w:eastAsia="zh-CN"/>
        </w:rPr>
        <w:t>y 2</w:t>
      </w:r>
      <w:r w:rsidR="00FE23DD" w:rsidRPr="00ED0FFC">
        <w:rPr>
          <w:rFonts w:eastAsia="SimSun"/>
          <w:szCs w:val="22"/>
          <w:lang w:val="es-ES" w:eastAsia="zh-CN"/>
        </w:rPr>
        <w:t>7 de noviembre d</w:t>
      </w:r>
      <w:r w:rsidR="00222344" w:rsidRPr="00ED0FFC">
        <w:rPr>
          <w:rFonts w:eastAsia="SimSun"/>
          <w:szCs w:val="22"/>
          <w:lang w:val="es-ES" w:eastAsia="zh-CN"/>
        </w:rPr>
        <w:t>e 2</w:t>
      </w:r>
      <w:r w:rsidRPr="00ED0FFC">
        <w:rPr>
          <w:rFonts w:eastAsia="SimSun"/>
          <w:szCs w:val="22"/>
          <w:lang w:val="es-ES" w:eastAsia="zh-CN"/>
        </w:rPr>
        <w:t>014</w:t>
      </w:r>
      <w:r w:rsidR="006F205D" w:rsidRPr="00ED0FFC">
        <w:rPr>
          <w:rFonts w:eastAsia="SimSun"/>
          <w:szCs w:val="22"/>
          <w:lang w:val="es-ES" w:eastAsia="zh-CN"/>
        </w:rPr>
        <w:t xml:space="preserve">.  </w:t>
      </w:r>
      <w:r w:rsidRPr="00ED0FFC">
        <w:rPr>
          <w:rFonts w:eastAsia="SimSun"/>
          <w:szCs w:val="22"/>
          <w:lang w:val="es-ES" w:eastAsia="zh-CN"/>
        </w:rPr>
        <w:t xml:space="preserve">Querétaro </w:t>
      </w:r>
      <w:r w:rsidR="005D1F5D" w:rsidRPr="00ED0FFC">
        <w:rPr>
          <w:rFonts w:eastAsia="SimSun"/>
          <w:szCs w:val="22"/>
          <w:lang w:val="es-ES" w:eastAsia="zh-CN"/>
        </w:rPr>
        <w:t>(</w:t>
      </w:r>
      <w:r w:rsidR="006F205D" w:rsidRPr="00ED0FFC">
        <w:rPr>
          <w:rFonts w:eastAsia="SimSun"/>
          <w:szCs w:val="22"/>
          <w:lang w:val="es-ES" w:eastAsia="zh-CN"/>
        </w:rPr>
        <w:t>México</w:t>
      </w:r>
      <w:r w:rsidR="005D1F5D" w:rsidRPr="00ED0FFC">
        <w:rPr>
          <w:rFonts w:eastAsia="SimSun"/>
          <w:szCs w:val="22"/>
          <w:lang w:val="es-ES" w:eastAsia="zh-CN"/>
        </w:rPr>
        <w:t>)</w:t>
      </w:r>
      <w:r w:rsidRPr="00ED0FFC">
        <w:rPr>
          <w:rFonts w:eastAsia="SimSun"/>
          <w:szCs w:val="22"/>
          <w:lang w:val="es-ES" w:eastAsia="zh-CN"/>
        </w:rPr>
        <w:t>;</w:t>
      </w:r>
    </w:p>
    <w:p w:rsidR="002B1093" w:rsidRPr="00ED0FFC" w:rsidRDefault="00FE23DD" w:rsidP="007F60FD">
      <w:pPr>
        <w:pStyle w:val="ListParagraph"/>
        <w:numPr>
          <w:ilvl w:val="0"/>
          <w:numId w:val="11"/>
        </w:numPr>
        <w:ind w:left="1134" w:hanging="567"/>
        <w:rPr>
          <w:bCs/>
          <w:szCs w:val="22"/>
          <w:lang w:val="es-ES"/>
        </w:rPr>
      </w:pPr>
      <w:r w:rsidRPr="00ED0FFC">
        <w:rPr>
          <w:bCs/>
          <w:szCs w:val="22"/>
          <w:lang w:val="es-ES"/>
        </w:rPr>
        <w:t xml:space="preserve">Seminario sobre desafíos mundiales, en el que se presentaron el documento de información y el informe sobre los desafíos mundiales de </w:t>
      </w:r>
      <w:r w:rsidR="002B1093" w:rsidRPr="00ED0FFC">
        <w:rPr>
          <w:bCs/>
          <w:szCs w:val="22"/>
          <w:lang w:val="es-ES"/>
        </w:rPr>
        <w:t xml:space="preserve">CambridgeIP </w:t>
      </w:r>
      <w:r w:rsidRPr="00ED0FFC">
        <w:rPr>
          <w:bCs/>
          <w:szCs w:val="22"/>
          <w:lang w:val="es-ES"/>
        </w:rPr>
        <w:t xml:space="preserve">sobre tendencias </w:t>
      </w:r>
      <w:r w:rsidR="006F205D" w:rsidRPr="00ED0FFC">
        <w:rPr>
          <w:bCs/>
          <w:szCs w:val="22"/>
          <w:lang w:val="es-ES"/>
        </w:rPr>
        <w:t>d</w:t>
      </w:r>
      <w:r w:rsidR="007D3724" w:rsidRPr="00ED0FFC">
        <w:rPr>
          <w:bCs/>
          <w:szCs w:val="22"/>
          <w:lang w:val="es-ES"/>
        </w:rPr>
        <w:t xml:space="preserve">e propiedad intelectual en el </w:t>
      </w:r>
      <w:r w:rsidR="006F205D" w:rsidRPr="00ED0FFC">
        <w:rPr>
          <w:bCs/>
          <w:szCs w:val="22"/>
          <w:lang w:val="es-ES"/>
        </w:rPr>
        <w:t>entorno de</w:t>
      </w:r>
      <w:r w:rsidR="007D3724" w:rsidRPr="00ED0FFC">
        <w:rPr>
          <w:bCs/>
          <w:szCs w:val="22"/>
          <w:lang w:val="es-ES"/>
        </w:rPr>
        <w:t xml:space="preserve"> la energía renovable</w:t>
      </w:r>
      <w:r w:rsidR="002B1093" w:rsidRPr="00ED0FFC">
        <w:rPr>
          <w:bCs/>
          <w:szCs w:val="22"/>
          <w:lang w:val="es-ES"/>
        </w:rPr>
        <w:t xml:space="preserve"> (</w:t>
      </w:r>
      <w:r w:rsidR="007D3724" w:rsidRPr="00ED0FFC">
        <w:rPr>
          <w:bCs/>
          <w:szCs w:val="22"/>
          <w:lang w:val="es-ES"/>
        </w:rPr>
        <w:t>11 de junio d</w:t>
      </w:r>
      <w:r w:rsidR="00222344" w:rsidRPr="00ED0FFC">
        <w:rPr>
          <w:bCs/>
          <w:szCs w:val="22"/>
          <w:lang w:val="es-ES"/>
        </w:rPr>
        <w:t>e 2</w:t>
      </w:r>
      <w:r w:rsidR="002B1093" w:rsidRPr="00ED0FFC">
        <w:rPr>
          <w:bCs/>
          <w:szCs w:val="22"/>
          <w:lang w:val="es-ES"/>
        </w:rPr>
        <w:t xml:space="preserve">014);  </w:t>
      </w:r>
      <w:r w:rsidRPr="00ED0FFC">
        <w:rPr>
          <w:bCs/>
          <w:szCs w:val="22"/>
          <w:lang w:val="es-ES"/>
        </w:rPr>
        <w:t>y</w:t>
      </w:r>
    </w:p>
    <w:p w:rsidR="002B1093" w:rsidRPr="00ED0FFC" w:rsidRDefault="005D1F5D" w:rsidP="007F60FD">
      <w:pPr>
        <w:pStyle w:val="ListParagraph"/>
        <w:numPr>
          <w:ilvl w:val="0"/>
          <w:numId w:val="10"/>
        </w:numPr>
        <w:ind w:left="1134" w:hanging="567"/>
        <w:rPr>
          <w:szCs w:val="22"/>
          <w:lang w:val="es-ES"/>
        </w:rPr>
      </w:pPr>
      <w:r w:rsidRPr="00ED0FFC">
        <w:rPr>
          <w:rFonts w:eastAsia="SimSun"/>
          <w:szCs w:val="22"/>
          <w:lang w:val="es-ES" w:eastAsia="zh-CN"/>
        </w:rPr>
        <w:t>Curso</w:t>
      </w:r>
      <w:r w:rsidR="007D3724" w:rsidRPr="00ED0FFC">
        <w:rPr>
          <w:rFonts w:eastAsia="SimSun"/>
          <w:szCs w:val="22"/>
          <w:lang w:val="es-ES" w:eastAsia="zh-CN"/>
        </w:rPr>
        <w:t xml:space="preserve"> de verano Iniciativa Danubio</w:t>
      </w:r>
      <w:r w:rsidR="002B1093" w:rsidRPr="00ED0FFC">
        <w:rPr>
          <w:rFonts w:eastAsia="SimSun"/>
          <w:szCs w:val="22"/>
          <w:lang w:val="es-ES" w:eastAsia="zh-CN"/>
        </w:rPr>
        <w:t>, organiz</w:t>
      </w:r>
      <w:r w:rsidRPr="00ED0FFC">
        <w:rPr>
          <w:rFonts w:eastAsia="SimSun"/>
          <w:szCs w:val="22"/>
          <w:lang w:val="es-ES" w:eastAsia="zh-CN"/>
        </w:rPr>
        <w:t>ado</w:t>
      </w:r>
      <w:r w:rsidR="002B1093" w:rsidRPr="00ED0FFC">
        <w:rPr>
          <w:rFonts w:eastAsia="SimSun"/>
          <w:szCs w:val="22"/>
          <w:lang w:val="es-ES" w:eastAsia="zh-CN"/>
        </w:rPr>
        <w:t xml:space="preserve"> </w:t>
      </w:r>
      <w:r w:rsidR="007D3724" w:rsidRPr="00ED0FFC">
        <w:rPr>
          <w:rFonts w:eastAsia="SimSun"/>
          <w:szCs w:val="22"/>
          <w:lang w:val="es-ES" w:eastAsia="zh-CN"/>
        </w:rPr>
        <w:t xml:space="preserve">por el </w:t>
      </w:r>
      <w:r w:rsidR="002B1093" w:rsidRPr="00ED0FFC">
        <w:rPr>
          <w:rFonts w:eastAsia="SimSun"/>
          <w:szCs w:val="22"/>
          <w:lang w:val="es-ES" w:eastAsia="zh-CN"/>
        </w:rPr>
        <w:t xml:space="preserve">JRC </w:t>
      </w:r>
      <w:r w:rsidR="007D3724" w:rsidRPr="00ED0FFC">
        <w:rPr>
          <w:rFonts w:eastAsia="SimSun"/>
          <w:szCs w:val="22"/>
          <w:lang w:val="es-ES" w:eastAsia="zh-CN"/>
        </w:rPr>
        <w:t xml:space="preserve">y la OMPI para administradores de tecnología de los países de la región del Danubio </w:t>
      </w:r>
      <w:r w:rsidR="002B1093" w:rsidRPr="00ED0FFC">
        <w:rPr>
          <w:rFonts w:eastAsia="SimSun"/>
          <w:szCs w:val="22"/>
          <w:lang w:val="es-ES" w:eastAsia="zh-CN"/>
        </w:rPr>
        <w:t>(Belgrad</w:t>
      </w:r>
      <w:r w:rsidR="00222344" w:rsidRPr="00ED0FFC">
        <w:rPr>
          <w:rFonts w:eastAsia="SimSun"/>
          <w:szCs w:val="22"/>
          <w:lang w:val="es-ES" w:eastAsia="zh-CN"/>
        </w:rPr>
        <w:t>o 2</w:t>
      </w:r>
      <w:r w:rsidR="002B1093" w:rsidRPr="00ED0FFC">
        <w:rPr>
          <w:rFonts w:eastAsia="SimSun"/>
          <w:szCs w:val="22"/>
          <w:lang w:val="es-ES" w:eastAsia="zh-CN"/>
        </w:rPr>
        <w:t xml:space="preserve">014 </w:t>
      </w:r>
      <w:r w:rsidR="007D3724" w:rsidRPr="00ED0FFC">
        <w:rPr>
          <w:rFonts w:eastAsia="SimSun"/>
          <w:szCs w:val="22"/>
          <w:lang w:val="es-ES" w:eastAsia="zh-CN"/>
        </w:rPr>
        <w:t xml:space="preserve">y </w:t>
      </w:r>
      <w:r w:rsidR="002B1093" w:rsidRPr="00ED0FFC">
        <w:rPr>
          <w:rFonts w:eastAsia="SimSun"/>
          <w:szCs w:val="22"/>
          <w:lang w:val="es-ES" w:eastAsia="zh-CN"/>
        </w:rPr>
        <w:t>Budapes</w:t>
      </w:r>
      <w:r w:rsidR="00222344" w:rsidRPr="00ED0FFC">
        <w:rPr>
          <w:rFonts w:eastAsia="SimSun"/>
          <w:szCs w:val="22"/>
          <w:lang w:val="es-ES" w:eastAsia="zh-CN"/>
        </w:rPr>
        <w:t>t</w:t>
      </w:r>
      <w:r w:rsidR="00DD58B5">
        <w:rPr>
          <w:rFonts w:eastAsia="SimSun"/>
          <w:szCs w:val="22"/>
          <w:lang w:val="es-ES" w:eastAsia="zh-CN"/>
        </w:rPr>
        <w:t xml:space="preserve"> </w:t>
      </w:r>
      <w:r w:rsidR="00222344" w:rsidRPr="00ED0FFC">
        <w:rPr>
          <w:rFonts w:eastAsia="SimSun"/>
          <w:szCs w:val="22"/>
          <w:lang w:val="es-ES" w:eastAsia="zh-CN"/>
        </w:rPr>
        <w:t> 2</w:t>
      </w:r>
      <w:r w:rsidR="002B1093" w:rsidRPr="00ED0FFC">
        <w:rPr>
          <w:rFonts w:eastAsia="SimSun"/>
          <w:szCs w:val="22"/>
          <w:lang w:val="es-ES" w:eastAsia="zh-CN"/>
        </w:rPr>
        <w:t>015)</w:t>
      </w:r>
      <w:r w:rsidR="002B1093" w:rsidRPr="00ED0FFC">
        <w:rPr>
          <w:szCs w:val="22"/>
          <w:lang w:val="es-ES"/>
        </w:rPr>
        <w:t>.</w:t>
      </w:r>
    </w:p>
    <w:p w:rsidR="002B1093" w:rsidRPr="00ED0FFC" w:rsidRDefault="002B1093" w:rsidP="007F60FD">
      <w:pPr>
        <w:rPr>
          <w:szCs w:val="22"/>
        </w:rPr>
      </w:pPr>
    </w:p>
    <w:p w:rsidR="002B1093" w:rsidRPr="00ED0FFC" w:rsidRDefault="002B1093" w:rsidP="007F60FD">
      <w:pPr>
        <w:rPr>
          <w:szCs w:val="22"/>
        </w:rPr>
      </w:pPr>
      <w:r w:rsidRPr="00ED0FFC">
        <w:rPr>
          <w:szCs w:val="22"/>
        </w:rPr>
        <w:t>4</w:t>
      </w:r>
      <w:r w:rsidR="00BA00FE" w:rsidRPr="00ED0FFC">
        <w:rPr>
          <w:szCs w:val="22"/>
        </w:rPr>
        <w:t>2</w:t>
      </w:r>
      <w:r w:rsidRPr="00ED0FFC">
        <w:rPr>
          <w:szCs w:val="22"/>
        </w:rPr>
        <w:t>.</w:t>
      </w:r>
      <w:r w:rsidRPr="00ED0FFC">
        <w:rPr>
          <w:szCs w:val="22"/>
        </w:rPr>
        <w:tab/>
      </w:r>
      <w:r w:rsidR="007D3724" w:rsidRPr="00ED0FFC">
        <w:rPr>
          <w:szCs w:val="22"/>
        </w:rPr>
        <w:t>Además, a través de las actividades de relaciones exteriores, la OMPI contribuyó o participó en numerosas reuniones de otras organizaciones gubernamentales y no gubernamentales, como en el caso de las reuniones siguientes</w:t>
      </w:r>
      <w:r w:rsidRPr="00ED0FFC">
        <w:rPr>
          <w:szCs w:val="22"/>
        </w:rPr>
        <w:t>:</w:t>
      </w:r>
    </w:p>
    <w:p w:rsidR="002B1093" w:rsidRPr="00ED0FFC" w:rsidRDefault="002B1093" w:rsidP="007F60FD">
      <w:pPr>
        <w:rPr>
          <w:szCs w:val="22"/>
        </w:rPr>
      </w:pPr>
    </w:p>
    <w:p w:rsidR="002B1093" w:rsidRPr="00ED0FFC" w:rsidRDefault="007D3724" w:rsidP="007F60FD">
      <w:pPr>
        <w:pStyle w:val="ListParagraph"/>
        <w:numPr>
          <w:ilvl w:val="0"/>
          <w:numId w:val="16"/>
        </w:numPr>
        <w:ind w:left="1134" w:hanging="567"/>
        <w:rPr>
          <w:szCs w:val="22"/>
          <w:lang w:val="es-ES"/>
        </w:rPr>
      </w:pPr>
      <w:r w:rsidRPr="00ED0FFC">
        <w:rPr>
          <w:szCs w:val="22"/>
          <w:lang w:val="es-ES"/>
        </w:rPr>
        <w:t>Acto paralelo conjunto sobre cambio climático y tecnología</w:t>
      </w:r>
      <w:r w:rsidR="002B1093" w:rsidRPr="00ED0FFC">
        <w:rPr>
          <w:szCs w:val="22"/>
          <w:lang w:val="es-ES"/>
        </w:rPr>
        <w:t xml:space="preserve"> - </w:t>
      </w:r>
      <w:r w:rsidRPr="00ED0FFC">
        <w:rPr>
          <w:szCs w:val="22"/>
          <w:lang w:val="es-ES"/>
        </w:rPr>
        <w:t>Quinta Asamblea de</w:t>
      </w:r>
      <w:r w:rsidR="00F54082" w:rsidRPr="00ED0FFC">
        <w:rPr>
          <w:szCs w:val="22"/>
          <w:lang w:val="es-ES"/>
        </w:rPr>
        <w:t>l Foro para el Medio Ambiente Mundial</w:t>
      </w:r>
      <w:r w:rsidR="00DD58B5">
        <w:rPr>
          <w:szCs w:val="22"/>
          <w:lang w:val="es-ES"/>
        </w:rPr>
        <w:t xml:space="preserve">, </w:t>
      </w:r>
      <w:r w:rsidR="002B1093" w:rsidRPr="00ED0FFC">
        <w:rPr>
          <w:szCs w:val="22"/>
          <w:lang w:val="es-ES"/>
        </w:rPr>
        <w:t>27</w:t>
      </w:r>
      <w:r w:rsidR="00F54082" w:rsidRPr="00ED0FFC">
        <w:rPr>
          <w:szCs w:val="22"/>
          <w:lang w:val="es-ES"/>
        </w:rPr>
        <w:t xml:space="preserve"> de mayo d</w:t>
      </w:r>
      <w:r w:rsidR="00222344" w:rsidRPr="00ED0FFC">
        <w:rPr>
          <w:szCs w:val="22"/>
          <w:lang w:val="es-ES"/>
        </w:rPr>
        <w:t>e 2</w:t>
      </w:r>
      <w:r w:rsidR="002B1093" w:rsidRPr="00ED0FFC">
        <w:rPr>
          <w:szCs w:val="22"/>
          <w:lang w:val="es-ES"/>
        </w:rPr>
        <w:t>014;</w:t>
      </w:r>
    </w:p>
    <w:p w:rsidR="002B1093" w:rsidRPr="00ED0FFC" w:rsidRDefault="006F205D" w:rsidP="007F60FD">
      <w:pPr>
        <w:pStyle w:val="ListParagraph"/>
        <w:numPr>
          <w:ilvl w:val="0"/>
          <w:numId w:val="9"/>
        </w:numPr>
        <w:ind w:left="1134" w:hanging="567"/>
        <w:contextualSpacing w:val="0"/>
        <w:rPr>
          <w:szCs w:val="22"/>
          <w:lang w:val="es-ES"/>
        </w:rPr>
      </w:pPr>
      <w:r w:rsidRPr="00ED0FFC">
        <w:rPr>
          <w:szCs w:val="22"/>
          <w:lang w:val="es-ES"/>
        </w:rPr>
        <w:t>Vigesimoprimera r</w:t>
      </w:r>
      <w:r w:rsidR="00F54082" w:rsidRPr="00ED0FFC">
        <w:rPr>
          <w:szCs w:val="22"/>
          <w:lang w:val="es-ES"/>
        </w:rPr>
        <w:t xml:space="preserve">eunión del Consejo Intergubernamental del Programa Hidrológico Internacional </w:t>
      </w:r>
      <w:r w:rsidR="002B1093" w:rsidRPr="00ED0FFC">
        <w:rPr>
          <w:szCs w:val="22"/>
          <w:lang w:val="es-ES"/>
        </w:rPr>
        <w:t>(IHP), UNESCO</w:t>
      </w:r>
      <w:r w:rsidR="00DD58B5">
        <w:rPr>
          <w:szCs w:val="22"/>
          <w:lang w:val="es-ES"/>
        </w:rPr>
        <w:t xml:space="preserve">, </w:t>
      </w:r>
      <w:r w:rsidR="00222344" w:rsidRPr="00ED0FFC">
        <w:rPr>
          <w:szCs w:val="22"/>
          <w:lang w:val="es-ES"/>
        </w:rPr>
        <w:t>P</w:t>
      </w:r>
      <w:r w:rsidR="00F54082" w:rsidRPr="00ED0FFC">
        <w:rPr>
          <w:szCs w:val="22"/>
          <w:lang w:val="es-ES"/>
        </w:rPr>
        <w:t>arís, de</w:t>
      </w:r>
      <w:r w:rsidR="00222344" w:rsidRPr="00ED0FFC">
        <w:rPr>
          <w:szCs w:val="22"/>
          <w:lang w:val="es-ES"/>
        </w:rPr>
        <w:t>l 1</w:t>
      </w:r>
      <w:r w:rsidR="002B1093" w:rsidRPr="00ED0FFC">
        <w:rPr>
          <w:szCs w:val="22"/>
          <w:lang w:val="es-ES"/>
        </w:rPr>
        <w:t xml:space="preserve">8 </w:t>
      </w:r>
      <w:r w:rsidR="00F54082" w:rsidRPr="00ED0FFC">
        <w:rPr>
          <w:szCs w:val="22"/>
          <w:lang w:val="es-ES"/>
        </w:rPr>
        <w:t>a</w:t>
      </w:r>
      <w:r w:rsidR="00222344" w:rsidRPr="00ED0FFC">
        <w:rPr>
          <w:szCs w:val="22"/>
          <w:lang w:val="es-ES"/>
        </w:rPr>
        <w:t>l 2</w:t>
      </w:r>
      <w:r w:rsidR="002B1093" w:rsidRPr="00ED0FFC">
        <w:rPr>
          <w:szCs w:val="22"/>
          <w:lang w:val="es-ES"/>
        </w:rPr>
        <w:t>0</w:t>
      </w:r>
      <w:r w:rsidR="00F54082" w:rsidRPr="00ED0FFC">
        <w:rPr>
          <w:szCs w:val="22"/>
          <w:lang w:val="es-ES"/>
        </w:rPr>
        <w:t xml:space="preserve"> de junio d</w:t>
      </w:r>
      <w:r w:rsidR="00222344" w:rsidRPr="00ED0FFC">
        <w:rPr>
          <w:szCs w:val="22"/>
          <w:lang w:val="es-ES"/>
        </w:rPr>
        <w:t>e 2</w:t>
      </w:r>
      <w:r w:rsidR="002B1093" w:rsidRPr="00ED0FFC">
        <w:rPr>
          <w:szCs w:val="22"/>
          <w:lang w:val="es-ES"/>
        </w:rPr>
        <w:t>014;</w:t>
      </w:r>
    </w:p>
    <w:p w:rsidR="002B1093" w:rsidRPr="00ED0FFC" w:rsidRDefault="00F54082" w:rsidP="007F60FD">
      <w:pPr>
        <w:pStyle w:val="ListParagraph"/>
        <w:numPr>
          <w:ilvl w:val="0"/>
          <w:numId w:val="9"/>
        </w:numPr>
        <w:ind w:left="1134" w:hanging="567"/>
        <w:contextualSpacing w:val="0"/>
        <w:rPr>
          <w:szCs w:val="22"/>
          <w:lang w:val="es-ES"/>
        </w:rPr>
      </w:pPr>
      <w:r w:rsidRPr="00ED0FFC">
        <w:rPr>
          <w:szCs w:val="22"/>
          <w:lang w:val="es-ES"/>
        </w:rPr>
        <w:t xml:space="preserve">Tercera Conferencia Internacional sobre Recursos Acuáticos y Gestión del Medio Ambiente </w:t>
      </w:r>
      <w:r w:rsidR="002B1093" w:rsidRPr="00ED0FFC">
        <w:rPr>
          <w:szCs w:val="22"/>
          <w:lang w:val="es-ES"/>
        </w:rPr>
        <w:t>(ICWRE-2014)</w:t>
      </w:r>
      <w:r w:rsidR="00DD58B5">
        <w:rPr>
          <w:szCs w:val="22"/>
          <w:lang w:val="es-ES"/>
        </w:rPr>
        <w:t>,</w:t>
      </w:r>
      <w:r w:rsidRPr="00ED0FFC">
        <w:rPr>
          <w:szCs w:val="22"/>
          <w:lang w:val="es-ES"/>
        </w:rPr>
        <w:t xml:space="preserve"> Anatolia, de</w:t>
      </w:r>
      <w:r w:rsidR="00222344" w:rsidRPr="00ED0FFC">
        <w:rPr>
          <w:szCs w:val="22"/>
          <w:lang w:val="es-ES"/>
        </w:rPr>
        <w:t>l 1</w:t>
      </w:r>
      <w:r w:rsidR="002B1093" w:rsidRPr="00ED0FFC">
        <w:rPr>
          <w:szCs w:val="22"/>
          <w:lang w:val="es-ES"/>
        </w:rPr>
        <w:t xml:space="preserve">3 </w:t>
      </w:r>
      <w:r w:rsidRPr="00ED0FFC">
        <w:rPr>
          <w:szCs w:val="22"/>
          <w:lang w:val="es-ES"/>
        </w:rPr>
        <w:t>a</w:t>
      </w:r>
      <w:r w:rsidR="00222344" w:rsidRPr="00ED0FFC">
        <w:rPr>
          <w:szCs w:val="22"/>
          <w:lang w:val="es-ES"/>
        </w:rPr>
        <w:t>l 1</w:t>
      </w:r>
      <w:r w:rsidRPr="00ED0FFC">
        <w:rPr>
          <w:szCs w:val="22"/>
          <w:lang w:val="es-ES"/>
        </w:rPr>
        <w:t>5 de mayo d</w:t>
      </w:r>
      <w:r w:rsidR="00222344" w:rsidRPr="00ED0FFC">
        <w:rPr>
          <w:szCs w:val="22"/>
          <w:lang w:val="es-ES"/>
        </w:rPr>
        <w:t>e 2</w:t>
      </w:r>
      <w:r w:rsidR="002B1093" w:rsidRPr="00ED0FFC">
        <w:rPr>
          <w:szCs w:val="22"/>
          <w:lang w:val="es-ES"/>
        </w:rPr>
        <w:t xml:space="preserve">014; </w:t>
      </w:r>
    </w:p>
    <w:p w:rsidR="002B1093" w:rsidRPr="00ED0FFC" w:rsidRDefault="00F54082" w:rsidP="007F60FD">
      <w:pPr>
        <w:pStyle w:val="ListParagraph"/>
        <w:numPr>
          <w:ilvl w:val="0"/>
          <w:numId w:val="9"/>
        </w:numPr>
        <w:ind w:left="1134" w:hanging="567"/>
        <w:contextualSpacing w:val="0"/>
        <w:rPr>
          <w:szCs w:val="22"/>
          <w:lang w:val="es-ES"/>
        </w:rPr>
      </w:pPr>
      <w:r w:rsidRPr="00ED0FFC">
        <w:rPr>
          <w:szCs w:val="22"/>
          <w:lang w:val="es-ES"/>
        </w:rPr>
        <w:t xml:space="preserve">Acto paralelo conjunto de la OMPI con </w:t>
      </w:r>
      <w:r w:rsidR="002B1093" w:rsidRPr="00ED0FFC">
        <w:rPr>
          <w:szCs w:val="22"/>
          <w:lang w:val="es-ES"/>
        </w:rPr>
        <w:t xml:space="preserve">IHP UNESCO </w:t>
      </w:r>
      <w:r w:rsidRPr="00ED0FFC">
        <w:rPr>
          <w:szCs w:val="22"/>
          <w:lang w:val="es-ES"/>
        </w:rPr>
        <w:t xml:space="preserve">en la </w:t>
      </w:r>
      <w:r w:rsidRPr="00ED0FFC">
        <w:rPr>
          <w:i/>
          <w:iCs/>
          <w:szCs w:val="22"/>
          <w:lang w:val="es-ES"/>
        </w:rPr>
        <w:t>Semana Mundial del Agua</w:t>
      </w:r>
      <w:r w:rsidR="00DD58B5">
        <w:rPr>
          <w:iCs/>
          <w:szCs w:val="22"/>
          <w:lang w:val="es-ES"/>
        </w:rPr>
        <w:t>,</w:t>
      </w:r>
      <w:r w:rsidRPr="00DD58B5">
        <w:rPr>
          <w:iCs/>
          <w:szCs w:val="22"/>
          <w:lang w:val="es-ES"/>
        </w:rPr>
        <w:t xml:space="preserve"> Estocolmo, de</w:t>
      </w:r>
      <w:r w:rsidR="00222344" w:rsidRPr="00DD58B5">
        <w:rPr>
          <w:iCs/>
          <w:szCs w:val="22"/>
          <w:lang w:val="es-ES"/>
        </w:rPr>
        <w:t>l 3</w:t>
      </w:r>
      <w:r w:rsidRPr="00DD58B5">
        <w:rPr>
          <w:iCs/>
          <w:szCs w:val="22"/>
          <w:lang w:val="es-ES"/>
        </w:rPr>
        <w:t>1 de agosto a</w:t>
      </w:r>
      <w:r w:rsidR="00222344" w:rsidRPr="00DD58B5">
        <w:rPr>
          <w:iCs/>
          <w:szCs w:val="22"/>
          <w:lang w:val="es-ES"/>
        </w:rPr>
        <w:t>l 6</w:t>
      </w:r>
      <w:r w:rsidRPr="00DD58B5">
        <w:rPr>
          <w:iCs/>
          <w:szCs w:val="22"/>
          <w:lang w:val="es-ES"/>
        </w:rPr>
        <w:t xml:space="preserve"> de septiembre d</w:t>
      </w:r>
      <w:r w:rsidR="00222344" w:rsidRPr="00DD58B5">
        <w:rPr>
          <w:iCs/>
          <w:szCs w:val="22"/>
          <w:lang w:val="es-ES"/>
        </w:rPr>
        <w:t>e</w:t>
      </w:r>
      <w:r w:rsidR="00222344" w:rsidRPr="00ED0FFC">
        <w:rPr>
          <w:i/>
          <w:iCs/>
          <w:szCs w:val="22"/>
          <w:lang w:val="es-ES"/>
        </w:rPr>
        <w:t> </w:t>
      </w:r>
      <w:r w:rsidR="00222344" w:rsidRPr="00ED0FFC">
        <w:rPr>
          <w:szCs w:val="22"/>
          <w:lang w:val="es-ES"/>
        </w:rPr>
        <w:t>2</w:t>
      </w:r>
      <w:r w:rsidR="002B1093" w:rsidRPr="00ED0FFC">
        <w:rPr>
          <w:szCs w:val="22"/>
          <w:lang w:val="es-ES"/>
        </w:rPr>
        <w:t>014;</w:t>
      </w:r>
    </w:p>
    <w:p w:rsidR="002B1093" w:rsidRPr="00ED0FFC" w:rsidRDefault="006F205D" w:rsidP="007F60FD">
      <w:pPr>
        <w:pStyle w:val="ListParagraph"/>
        <w:numPr>
          <w:ilvl w:val="0"/>
          <w:numId w:val="9"/>
        </w:numPr>
        <w:ind w:left="1134" w:hanging="567"/>
        <w:contextualSpacing w:val="0"/>
        <w:rPr>
          <w:szCs w:val="22"/>
          <w:lang w:val="es-ES"/>
        </w:rPr>
      </w:pPr>
      <w:r w:rsidRPr="00ED0FFC">
        <w:rPr>
          <w:szCs w:val="22"/>
          <w:lang w:val="es-ES"/>
        </w:rPr>
        <w:t xml:space="preserve">Actividad conjunta de </w:t>
      </w:r>
      <w:r w:rsidR="002B1093" w:rsidRPr="00ED0FFC">
        <w:rPr>
          <w:szCs w:val="22"/>
          <w:lang w:val="es-ES"/>
        </w:rPr>
        <w:t>UNU-</w:t>
      </w:r>
      <w:r w:rsidR="00F54082" w:rsidRPr="00ED0FFC">
        <w:rPr>
          <w:szCs w:val="22"/>
          <w:lang w:val="es-ES"/>
        </w:rPr>
        <w:t>UIT</w:t>
      </w:r>
      <w:r w:rsidR="002B1093" w:rsidRPr="00ED0FFC">
        <w:rPr>
          <w:szCs w:val="22"/>
          <w:lang w:val="es-ES"/>
        </w:rPr>
        <w:t>-</w:t>
      </w:r>
      <w:r w:rsidR="00F54082" w:rsidRPr="00ED0FFC">
        <w:rPr>
          <w:szCs w:val="22"/>
          <w:lang w:val="es-ES"/>
        </w:rPr>
        <w:t>ONUDI</w:t>
      </w:r>
      <w:r w:rsidR="002B1093" w:rsidRPr="00ED0FFC">
        <w:rPr>
          <w:szCs w:val="22"/>
          <w:lang w:val="es-ES"/>
        </w:rPr>
        <w:t>-</w:t>
      </w:r>
      <w:r w:rsidR="00F54082" w:rsidRPr="00ED0FFC">
        <w:rPr>
          <w:szCs w:val="22"/>
          <w:lang w:val="es-ES"/>
        </w:rPr>
        <w:t>CEPAL</w:t>
      </w:r>
      <w:r w:rsidR="002B1093" w:rsidRPr="00ED0FFC">
        <w:rPr>
          <w:szCs w:val="22"/>
          <w:lang w:val="es-ES"/>
        </w:rPr>
        <w:t>-</w:t>
      </w:r>
      <w:r w:rsidR="00F54082" w:rsidRPr="00ED0FFC">
        <w:rPr>
          <w:szCs w:val="22"/>
          <w:lang w:val="es-ES"/>
        </w:rPr>
        <w:t>OMPI</w:t>
      </w:r>
      <w:r w:rsidR="002B1093" w:rsidRPr="00ED0FFC">
        <w:rPr>
          <w:szCs w:val="22"/>
          <w:lang w:val="es-ES"/>
        </w:rPr>
        <w:t>-</w:t>
      </w:r>
      <w:r w:rsidR="007D3724" w:rsidRPr="00ED0FFC">
        <w:rPr>
          <w:szCs w:val="22"/>
          <w:lang w:val="es-ES"/>
        </w:rPr>
        <w:t>PNUMA</w:t>
      </w:r>
      <w:r w:rsidRPr="00ED0FFC">
        <w:rPr>
          <w:szCs w:val="22"/>
          <w:lang w:val="es-ES"/>
        </w:rPr>
        <w:t>-Convenio de Basilea</w:t>
      </w:r>
      <w:r w:rsidR="00CF2E09" w:rsidRPr="00ED0FFC">
        <w:rPr>
          <w:szCs w:val="22"/>
          <w:lang w:val="es-ES"/>
        </w:rPr>
        <w:t xml:space="preserve"> </w:t>
      </w:r>
      <w:r w:rsidR="00F54082" w:rsidRPr="00ED0FFC">
        <w:rPr>
          <w:szCs w:val="22"/>
          <w:lang w:val="es-ES"/>
        </w:rPr>
        <w:t xml:space="preserve">sobre el </w:t>
      </w:r>
      <w:r w:rsidR="00CF2E09" w:rsidRPr="00ED0FFC">
        <w:rPr>
          <w:szCs w:val="22"/>
          <w:lang w:val="es-ES"/>
        </w:rPr>
        <w:t>Primer indicador mundial de residuos electrónicos y la situación específica en América Latina, celebrado en Ginebra e</w:t>
      </w:r>
      <w:r w:rsidR="00222344" w:rsidRPr="00ED0FFC">
        <w:rPr>
          <w:szCs w:val="22"/>
          <w:lang w:val="es-ES"/>
        </w:rPr>
        <w:t>l 1</w:t>
      </w:r>
      <w:r w:rsidR="002B1093" w:rsidRPr="00ED0FFC">
        <w:rPr>
          <w:szCs w:val="22"/>
          <w:lang w:val="es-ES"/>
        </w:rPr>
        <w:t>1</w:t>
      </w:r>
      <w:r w:rsidR="00CF2E09" w:rsidRPr="00ED0FFC">
        <w:rPr>
          <w:szCs w:val="22"/>
          <w:lang w:val="es-ES"/>
        </w:rPr>
        <w:t xml:space="preserve"> de mayo d</w:t>
      </w:r>
      <w:r w:rsidR="00222344" w:rsidRPr="00ED0FFC">
        <w:rPr>
          <w:szCs w:val="22"/>
          <w:lang w:val="es-ES"/>
        </w:rPr>
        <w:t>e 2</w:t>
      </w:r>
      <w:r w:rsidR="00CF2E09" w:rsidRPr="00ED0FFC">
        <w:rPr>
          <w:szCs w:val="22"/>
          <w:lang w:val="es-ES"/>
        </w:rPr>
        <w:t xml:space="preserve">015 </w:t>
      </w:r>
      <w:r w:rsidRPr="00ED0FFC">
        <w:rPr>
          <w:szCs w:val="22"/>
          <w:lang w:val="es-ES"/>
        </w:rPr>
        <w:t>durante</w:t>
      </w:r>
      <w:r w:rsidR="00CF2E09" w:rsidRPr="00ED0FFC">
        <w:rPr>
          <w:szCs w:val="22"/>
          <w:lang w:val="es-ES"/>
        </w:rPr>
        <w:t xml:space="preserve"> las reuniones de las Conferencias de las Partes en los Convenios de Basilea, Rotterdam y Estocolmo </w:t>
      </w:r>
      <w:r w:rsidR="002B1093" w:rsidRPr="00ED0FFC">
        <w:rPr>
          <w:szCs w:val="22"/>
          <w:lang w:val="es-ES"/>
        </w:rPr>
        <w:t>(BC COP12, RC COP7, SC COP7)</w:t>
      </w:r>
      <w:r w:rsidR="00E41221" w:rsidRPr="00ED0FFC">
        <w:rPr>
          <w:szCs w:val="22"/>
          <w:lang w:val="es-ES"/>
        </w:rPr>
        <w:t>;</w:t>
      </w:r>
    </w:p>
    <w:p w:rsidR="002B1093" w:rsidRPr="00ED0FFC" w:rsidRDefault="00CF2E09" w:rsidP="007F60FD">
      <w:pPr>
        <w:pStyle w:val="ListParagraph"/>
        <w:numPr>
          <w:ilvl w:val="0"/>
          <w:numId w:val="9"/>
        </w:numPr>
        <w:ind w:left="1134" w:hanging="567"/>
        <w:rPr>
          <w:szCs w:val="22"/>
          <w:lang w:val="es-ES"/>
        </w:rPr>
      </w:pPr>
      <w:r w:rsidRPr="00ED0FFC">
        <w:rPr>
          <w:szCs w:val="22"/>
          <w:lang w:val="es-ES"/>
        </w:rPr>
        <w:t xml:space="preserve">Acto paralelo de la OMPI sobre </w:t>
      </w:r>
      <w:r w:rsidR="006F205D" w:rsidRPr="00ED0FFC">
        <w:rPr>
          <w:szCs w:val="22"/>
          <w:lang w:val="es-ES"/>
        </w:rPr>
        <w:t>p</w:t>
      </w:r>
      <w:r w:rsidRPr="00ED0FFC">
        <w:rPr>
          <w:szCs w:val="22"/>
          <w:lang w:val="es-ES"/>
        </w:rPr>
        <w:t>olíticas y pruebas para apoyar la transferencia de tecnología en materia de cambio climático</w:t>
      </w:r>
      <w:r w:rsidR="002B1093" w:rsidRPr="00ED0FFC">
        <w:rPr>
          <w:szCs w:val="22"/>
          <w:lang w:val="es-ES"/>
        </w:rPr>
        <w:t xml:space="preserve"> – </w:t>
      </w:r>
      <w:r w:rsidR="006107B8" w:rsidRPr="00ED0FFC">
        <w:rPr>
          <w:szCs w:val="22"/>
          <w:lang w:val="es-ES"/>
        </w:rPr>
        <w:t>Conferencia de la CMNUCC sobre cambio climático</w:t>
      </w:r>
      <w:r w:rsidR="00DD58B5">
        <w:rPr>
          <w:szCs w:val="22"/>
          <w:lang w:val="es-ES"/>
        </w:rPr>
        <w:t>,</w:t>
      </w:r>
      <w:r w:rsidR="006107B8" w:rsidRPr="00ED0FFC">
        <w:rPr>
          <w:szCs w:val="22"/>
          <w:lang w:val="es-ES"/>
        </w:rPr>
        <w:t xml:space="preserve"> Bonn</w:t>
      </w:r>
      <w:r w:rsidR="00EE6E29" w:rsidRPr="00ED0FFC">
        <w:rPr>
          <w:szCs w:val="22"/>
          <w:lang w:val="es-ES"/>
        </w:rPr>
        <w:t xml:space="preserve"> (Alemania)</w:t>
      </w:r>
      <w:r w:rsidR="006107B8" w:rsidRPr="00ED0FFC">
        <w:rPr>
          <w:szCs w:val="22"/>
          <w:lang w:val="es-ES"/>
        </w:rPr>
        <w:t>, 8 de junio d</w:t>
      </w:r>
      <w:r w:rsidR="00222344" w:rsidRPr="00ED0FFC">
        <w:rPr>
          <w:szCs w:val="22"/>
          <w:lang w:val="es-ES"/>
        </w:rPr>
        <w:t>e 2</w:t>
      </w:r>
      <w:r w:rsidR="002B1093" w:rsidRPr="00ED0FFC">
        <w:rPr>
          <w:szCs w:val="22"/>
          <w:lang w:val="es-ES"/>
        </w:rPr>
        <w:t>015;</w:t>
      </w:r>
    </w:p>
    <w:p w:rsidR="002B1093" w:rsidRPr="00ED0FFC" w:rsidRDefault="006107B8" w:rsidP="007F60FD">
      <w:pPr>
        <w:pStyle w:val="ListParagraph"/>
        <w:numPr>
          <w:ilvl w:val="0"/>
          <w:numId w:val="9"/>
        </w:numPr>
        <w:ind w:left="1134" w:hanging="567"/>
        <w:rPr>
          <w:szCs w:val="22"/>
          <w:lang w:val="es-ES"/>
        </w:rPr>
      </w:pPr>
      <w:r w:rsidRPr="00ED0FFC">
        <w:rPr>
          <w:szCs w:val="22"/>
          <w:lang w:val="es-ES"/>
        </w:rPr>
        <w:t xml:space="preserve">Participación de la OMPI en un acto paralelo de la Agencia Internacional de las Energías Renovables (IRENA) acerca de la herramienta interactiva de Internet sobre estándares internacionales y patentes en energías renovables </w:t>
      </w:r>
      <w:r w:rsidR="002B1093" w:rsidRPr="00ED0FFC">
        <w:rPr>
          <w:szCs w:val="22"/>
          <w:lang w:val="es-ES"/>
        </w:rPr>
        <w:t xml:space="preserve">– </w:t>
      </w:r>
      <w:r w:rsidRPr="00ED0FFC">
        <w:rPr>
          <w:szCs w:val="22"/>
          <w:lang w:val="es-ES"/>
        </w:rPr>
        <w:t>Conferencia de la CMNUCC sobre cambio climático</w:t>
      </w:r>
      <w:r w:rsidR="00DD58B5">
        <w:rPr>
          <w:szCs w:val="22"/>
          <w:lang w:val="es-ES"/>
        </w:rPr>
        <w:t xml:space="preserve">, </w:t>
      </w:r>
      <w:r w:rsidRPr="00ED0FFC">
        <w:rPr>
          <w:szCs w:val="22"/>
          <w:lang w:val="es-ES"/>
        </w:rPr>
        <w:t>Bonn</w:t>
      </w:r>
      <w:r w:rsidR="00EE6E29" w:rsidRPr="00ED0FFC">
        <w:rPr>
          <w:szCs w:val="22"/>
          <w:lang w:val="es-ES"/>
        </w:rPr>
        <w:t xml:space="preserve"> (Alemania)</w:t>
      </w:r>
      <w:r w:rsidRPr="00ED0FFC">
        <w:rPr>
          <w:szCs w:val="22"/>
          <w:lang w:val="es-ES"/>
        </w:rPr>
        <w:t xml:space="preserve">, </w:t>
      </w:r>
      <w:r w:rsidR="006F205D" w:rsidRPr="00ED0FFC">
        <w:rPr>
          <w:szCs w:val="22"/>
          <w:lang w:val="es-ES"/>
        </w:rPr>
        <w:t>5</w:t>
      </w:r>
      <w:r w:rsidRPr="00ED0FFC">
        <w:rPr>
          <w:szCs w:val="22"/>
          <w:lang w:val="es-ES"/>
        </w:rPr>
        <w:t xml:space="preserve"> de junio d</w:t>
      </w:r>
      <w:r w:rsidR="00222344" w:rsidRPr="00ED0FFC">
        <w:rPr>
          <w:szCs w:val="22"/>
          <w:lang w:val="es-ES"/>
        </w:rPr>
        <w:t>e 2</w:t>
      </w:r>
      <w:r w:rsidRPr="00ED0FFC">
        <w:rPr>
          <w:szCs w:val="22"/>
          <w:lang w:val="es-ES"/>
        </w:rPr>
        <w:t>015</w:t>
      </w:r>
      <w:r w:rsidR="002B1093" w:rsidRPr="00ED0FFC">
        <w:rPr>
          <w:szCs w:val="22"/>
          <w:lang w:val="es-ES"/>
        </w:rPr>
        <w:t>;</w:t>
      </w:r>
    </w:p>
    <w:p w:rsidR="002B1093" w:rsidRPr="00ED0FFC" w:rsidRDefault="006107B8" w:rsidP="007F60FD">
      <w:pPr>
        <w:pStyle w:val="ListParagraph"/>
        <w:numPr>
          <w:ilvl w:val="0"/>
          <w:numId w:val="9"/>
        </w:numPr>
        <w:ind w:left="1134" w:hanging="567"/>
        <w:rPr>
          <w:szCs w:val="22"/>
          <w:lang w:val="es-ES"/>
        </w:rPr>
      </w:pPr>
      <w:r w:rsidRPr="00ED0FFC">
        <w:rPr>
          <w:szCs w:val="22"/>
          <w:lang w:val="es-ES"/>
        </w:rPr>
        <w:t>Participación de la OMPI en el seminario sobre "Fortalecimiento de los sistemas nacionales de innovación en los países en desarrollo, abarcando la totalidad del ciclo tecnológico para la tecnología sobre el clima"</w:t>
      </w:r>
      <w:r w:rsidR="002B1093" w:rsidRPr="00ED0FFC">
        <w:rPr>
          <w:szCs w:val="22"/>
          <w:lang w:val="es-ES"/>
        </w:rPr>
        <w:t xml:space="preserve"> - </w:t>
      </w:r>
      <w:r w:rsidRPr="00ED0FFC">
        <w:rPr>
          <w:szCs w:val="22"/>
          <w:lang w:val="es-ES"/>
        </w:rPr>
        <w:t>Sem</w:t>
      </w:r>
      <w:r w:rsidR="00DD58B5">
        <w:rPr>
          <w:szCs w:val="22"/>
          <w:lang w:val="es-ES"/>
        </w:rPr>
        <w:t xml:space="preserve">inario tecnológico de la CMNUCC, </w:t>
      </w:r>
      <w:r w:rsidRPr="00ED0FFC">
        <w:rPr>
          <w:szCs w:val="22"/>
          <w:lang w:val="es-ES"/>
        </w:rPr>
        <w:t xml:space="preserve">13 </w:t>
      </w:r>
      <w:r w:rsidR="00222344" w:rsidRPr="00ED0FFC">
        <w:rPr>
          <w:szCs w:val="22"/>
          <w:lang w:val="es-ES"/>
        </w:rPr>
        <w:t>y 1</w:t>
      </w:r>
      <w:r w:rsidRPr="00ED0FFC">
        <w:rPr>
          <w:szCs w:val="22"/>
          <w:lang w:val="es-ES"/>
        </w:rPr>
        <w:t>4 de octubre d</w:t>
      </w:r>
      <w:r w:rsidR="00222344" w:rsidRPr="00ED0FFC">
        <w:rPr>
          <w:szCs w:val="22"/>
          <w:lang w:val="es-ES"/>
        </w:rPr>
        <w:t>e 2</w:t>
      </w:r>
      <w:r w:rsidR="002B1093" w:rsidRPr="00ED0FFC">
        <w:rPr>
          <w:szCs w:val="22"/>
          <w:lang w:val="es-ES"/>
        </w:rPr>
        <w:t>014;</w:t>
      </w:r>
      <w:r w:rsidR="00E41221" w:rsidRPr="00ED0FFC">
        <w:rPr>
          <w:szCs w:val="22"/>
          <w:lang w:val="es-ES"/>
        </w:rPr>
        <w:t xml:space="preserve"> </w:t>
      </w:r>
      <w:r w:rsidR="00DD58B5">
        <w:rPr>
          <w:szCs w:val="22"/>
          <w:lang w:val="es-ES"/>
        </w:rPr>
        <w:t xml:space="preserve"> </w:t>
      </w:r>
      <w:r w:rsidR="00E41221" w:rsidRPr="00ED0FFC">
        <w:rPr>
          <w:szCs w:val="22"/>
          <w:lang w:val="es-ES"/>
        </w:rPr>
        <w:t>y</w:t>
      </w:r>
    </w:p>
    <w:p w:rsidR="002B1093" w:rsidRPr="00ED0FFC" w:rsidRDefault="006107B8" w:rsidP="007F60FD">
      <w:pPr>
        <w:pStyle w:val="ListParagraph"/>
        <w:numPr>
          <w:ilvl w:val="0"/>
          <w:numId w:val="9"/>
        </w:numPr>
        <w:ind w:left="1134" w:hanging="567"/>
        <w:rPr>
          <w:szCs w:val="22"/>
          <w:lang w:val="es-ES"/>
        </w:rPr>
      </w:pPr>
      <w:r w:rsidRPr="00ED0FFC">
        <w:rPr>
          <w:szCs w:val="22"/>
          <w:lang w:val="es-ES"/>
        </w:rPr>
        <w:lastRenderedPageBreak/>
        <w:t>Acto paralelo OMPI-</w:t>
      </w:r>
      <w:r w:rsidR="002B1093" w:rsidRPr="00ED0FFC">
        <w:rPr>
          <w:szCs w:val="22"/>
          <w:lang w:val="es-ES"/>
        </w:rPr>
        <w:t xml:space="preserve">IRENA </w:t>
      </w:r>
      <w:r w:rsidRPr="00ED0FFC">
        <w:rPr>
          <w:szCs w:val="22"/>
          <w:lang w:val="es-ES"/>
        </w:rPr>
        <w:t>sobre Tecnologías de Energías Renovables</w:t>
      </w:r>
      <w:proofErr w:type="gramStart"/>
      <w:r w:rsidRPr="00ED0FFC">
        <w:rPr>
          <w:szCs w:val="22"/>
          <w:lang w:val="es-ES"/>
        </w:rPr>
        <w:t>:  Tendencias</w:t>
      </w:r>
      <w:proofErr w:type="gramEnd"/>
      <w:r w:rsidRPr="00ED0FFC">
        <w:rPr>
          <w:szCs w:val="22"/>
          <w:lang w:val="es-ES"/>
        </w:rPr>
        <w:t xml:space="preserve"> tecnológicas, patentes e implicaciones políticas</w:t>
      </w:r>
      <w:r w:rsidR="002B1093" w:rsidRPr="00ED0FFC">
        <w:rPr>
          <w:szCs w:val="22"/>
          <w:lang w:val="es-ES"/>
        </w:rPr>
        <w:t xml:space="preserve"> – </w:t>
      </w:r>
      <w:r w:rsidR="00903C99" w:rsidRPr="00ED0FFC">
        <w:rPr>
          <w:szCs w:val="22"/>
          <w:lang w:val="es-ES"/>
        </w:rPr>
        <w:t>Conferencia de la CMNUCC sobre cambio climático</w:t>
      </w:r>
      <w:r w:rsidR="00DD58B5">
        <w:rPr>
          <w:szCs w:val="22"/>
          <w:lang w:val="es-ES"/>
        </w:rPr>
        <w:t xml:space="preserve">, </w:t>
      </w:r>
      <w:r w:rsidR="006F205D" w:rsidRPr="00ED0FFC">
        <w:rPr>
          <w:szCs w:val="22"/>
          <w:lang w:val="es-ES"/>
        </w:rPr>
        <w:t>Bonn</w:t>
      </w:r>
      <w:r w:rsidR="00EE6E29" w:rsidRPr="00ED0FFC">
        <w:rPr>
          <w:szCs w:val="22"/>
          <w:lang w:val="es-ES"/>
        </w:rPr>
        <w:t xml:space="preserve"> (Alemania)</w:t>
      </w:r>
      <w:r w:rsidR="006F205D" w:rsidRPr="00ED0FFC">
        <w:rPr>
          <w:szCs w:val="22"/>
          <w:lang w:val="es-ES"/>
        </w:rPr>
        <w:t xml:space="preserve">, </w:t>
      </w:r>
      <w:r w:rsidR="00903C99" w:rsidRPr="00ED0FFC">
        <w:rPr>
          <w:szCs w:val="22"/>
          <w:lang w:val="es-ES"/>
        </w:rPr>
        <w:t>13 de junio d</w:t>
      </w:r>
      <w:r w:rsidR="00222344" w:rsidRPr="00ED0FFC">
        <w:rPr>
          <w:szCs w:val="22"/>
          <w:lang w:val="es-ES"/>
        </w:rPr>
        <w:t>e 2</w:t>
      </w:r>
      <w:r w:rsidR="002B1093" w:rsidRPr="00ED0FFC">
        <w:rPr>
          <w:szCs w:val="22"/>
          <w:lang w:val="es-ES"/>
        </w:rPr>
        <w:t>014.</w:t>
      </w:r>
    </w:p>
    <w:p w:rsidR="00BF4571" w:rsidRPr="00ED0FFC" w:rsidRDefault="00BF4571" w:rsidP="007F60FD">
      <w:pPr>
        <w:pStyle w:val="ListParagraph"/>
        <w:ind w:left="1134"/>
        <w:rPr>
          <w:szCs w:val="22"/>
          <w:lang w:val="es-ES"/>
        </w:rPr>
      </w:pPr>
    </w:p>
    <w:p w:rsidR="002B1093" w:rsidRPr="00ED0FFC" w:rsidRDefault="00903C99" w:rsidP="007F60FD">
      <w:pPr>
        <w:pStyle w:val="Heading2"/>
        <w:ind w:left="567" w:hanging="567"/>
      </w:pPr>
      <w:r w:rsidRPr="00ED0FFC">
        <w:t>X.</w:t>
      </w:r>
      <w:r w:rsidRPr="00ED0FFC">
        <w:tab/>
      </w:r>
      <w:r w:rsidRPr="00ED0FFC">
        <w:rPr>
          <w:szCs w:val="22"/>
        </w:rPr>
        <w:t xml:space="preserve">estudios </w:t>
      </w:r>
      <w:r w:rsidR="005D1F5D" w:rsidRPr="00ED0FFC">
        <w:rPr>
          <w:szCs w:val="22"/>
        </w:rPr>
        <w:t xml:space="preserve">E INVESTIGACIONES EN EL ÁMBITO DE LA ECONOMÍA </w:t>
      </w:r>
      <w:r w:rsidRPr="00ED0FFC">
        <w:rPr>
          <w:szCs w:val="22"/>
        </w:rPr>
        <w:t xml:space="preserve">sobre </w:t>
      </w:r>
      <w:r w:rsidR="00614536" w:rsidRPr="00ED0FFC">
        <w:rPr>
          <w:szCs w:val="22"/>
        </w:rPr>
        <w:t xml:space="preserve">las </w:t>
      </w:r>
      <w:r w:rsidRPr="00ED0FFC">
        <w:rPr>
          <w:szCs w:val="22"/>
        </w:rPr>
        <w:t xml:space="preserve">políticas y </w:t>
      </w:r>
      <w:r w:rsidR="00614536" w:rsidRPr="00ED0FFC">
        <w:rPr>
          <w:szCs w:val="22"/>
        </w:rPr>
        <w:t xml:space="preserve">los </w:t>
      </w:r>
      <w:r w:rsidRPr="00ED0FFC">
        <w:rPr>
          <w:szCs w:val="22"/>
        </w:rPr>
        <w:t>resultados de la transferencia de tecnología</w:t>
      </w:r>
    </w:p>
    <w:p w:rsidR="002B1093" w:rsidRPr="00ED0FFC" w:rsidRDefault="002B1093" w:rsidP="007F60FD">
      <w:pPr>
        <w:rPr>
          <w:b/>
          <w:szCs w:val="22"/>
        </w:rPr>
      </w:pPr>
    </w:p>
    <w:p w:rsidR="002B1093" w:rsidRPr="00ED0FFC" w:rsidRDefault="002B1093" w:rsidP="007F60FD">
      <w:pPr>
        <w:rPr>
          <w:sz w:val="20"/>
        </w:rPr>
      </w:pPr>
      <w:r w:rsidRPr="00ED0FFC">
        <w:rPr>
          <w:bCs/>
          <w:szCs w:val="22"/>
        </w:rPr>
        <w:t>4</w:t>
      </w:r>
      <w:r w:rsidR="00BA00FE" w:rsidRPr="00ED0FFC">
        <w:rPr>
          <w:bCs/>
          <w:szCs w:val="22"/>
        </w:rPr>
        <w:t>3</w:t>
      </w:r>
      <w:r w:rsidRPr="00ED0FFC">
        <w:rPr>
          <w:bCs/>
          <w:szCs w:val="22"/>
        </w:rPr>
        <w:t>.</w:t>
      </w:r>
      <w:r w:rsidRPr="00ED0FFC">
        <w:rPr>
          <w:bCs/>
          <w:szCs w:val="22"/>
        </w:rPr>
        <w:tab/>
      </w:r>
      <w:r w:rsidR="00903C99" w:rsidRPr="00ED0FFC">
        <w:rPr>
          <w:bCs/>
          <w:szCs w:val="22"/>
        </w:rPr>
        <w:t>A través de sus publicaciones económicas de ma</w:t>
      </w:r>
      <w:r w:rsidR="005D1F5D" w:rsidRPr="00ED0FFC">
        <w:rPr>
          <w:bCs/>
          <w:szCs w:val="22"/>
        </w:rPr>
        <w:t>yor relevancia, como el Índice m</w:t>
      </w:r>
      <w:r w:rsidR="00903C99" w:rsidRPr="00ED0FFC">
        <w:rPr>
          <w:bCs/>
          <w:szCs w:val="22"/>
        </w:rPr>
        <w:t xml:space="preserve">undial de </w:t>
      </w:r>
      <w:r w:rsidR="005D1F5D" w:rsidRPr="00ED0FFC">
        <w:rPr>
          <w:bCs/>
          <w:szCs w:val="22"/>
        </w:rPr>
        <w:t>i</w:t>
      </w:r>
      <w:r w:rsidR="00903C99" w:rsidRPr="00ED0FFC">
        <w:rPr>
          <w:bCs/>
          <w:szCs w:val="22"/>
        </w:rPr>
        <w:t xml:space="preserve">nnovación o el Informe Mundial sobre la P.I., la </w:t>
      </w:r>
      <w:r w:rsidR="00903C99" w:rsidRPr="00ED0FFC">
        <w:rPr>
          <w:szCs w:val="22"/>
        </w:rPr>
        <w:t xml:space="preserve">División </w:t>
      </w:r>
      <w:r w:rsidR="00320A99" w:rsidRPr="00ED0FFC">
        <w:rPr>
          <w:szCs w:val="22"/>
        </w:rPr>
        <w:t xml:space="preserve">de </w:t>
      </w:r>
      <w:r w:rsidR="00903C99" w:rsidRPr="00ED0FFC">
        <w:rPr>
          <w:szCs w:val="22"/>
        </w:rPr>
        <w:t>Economía y Estadística estudia el alcance y los resultados de las actividades y políticas de transferencia de conocimientos</w:t>
      </w:r>
      <w:r w:rsidRPr="00ED0FFC">
        <w:rPr>
          <w:szCs w:val="22"/>
        </w:rPr>
        <w:t xml:space="preserve">.  </w:t>
      </w:r>
      <w:r w:rsidR="00903C99" w:rsidRPr="00ED0FFC">
        <w:rPr>
          <w:szCs w:val="22"/>
        </w:rPr>
        <w:t>E</w:t>
      </w:r>
      <w:r w:rsidR="00222344" w:rsidRPr="00ED0FFC">
        <w:rPr>
          <w:szCs w:val="22"/>
        </w:rPr>
        <w:t>n 2</w:t>
      </w:r>
      <w:r w:rsidRPr="00ED0FFC">
        <w:rPr>
          <w:szCs w:val="22"/>
        </w:rPr>
        <w:t xml:space="preserve">011, </w:t>
      </w:r>
      <w:r w:rsidR="00903C99" w:rsidRPr="00ED0FFC">
        <w:rPr>
          <w:szCs w:val="22"/>
        </w:rPr>
        <w:t>el capítul</w:t>
      </w:r>
      <w:r w:rsidR="00222344" w:rsidRPr="00ED0FFC">
        <w:rPr>
          <w:szCs w:val="22"/>
        </w:rPr>
        <w:t>o 4</w:t>
      </w:r>
      <w:r w:rsidRPr="00ED0FFC">
        <w:rPr>
          <w:szCs w:val="22"/>
        </w:rPr>
        <w:t xml:space="preserve"> </w:t>
      </w:r>
      <w:r w:rsidR="00903C99" w:rsidRPr="00ED0FFC">
        <w:rPr>
          <w:szCs w:val="22"/>
        </w:rPr>
        <w:t>del Informe Mundial sobre la P.I. se dedicó por entero a e</w:t>
      </w:r>
      <w:r w:rsidR="005D1F5D" w:rsidRPr="00ED0FFC">
        <w:rPr>
          <w:szCs w:val="22"/>
        </w:rPr>
        <w:t>ste tema.  Cada año, en el Índice m</w:t>
      </w:r>
      <w:r w:rsidR="00903C99" w:rsidRPr="00ED0FFC">
        <w:rPr>
          <w:szCs w:val="22"/>
        </w:rPr>
        <w:t xml:space="preserve">undial de </w:t>
      </w:r>
      <w:r w:rsidR="005D1F5D" w:rsidRPr="00ED0FFC">
        <w:rPr>
          <w:szCs w:val="22"/>
        </w:rPr>
        <w:t>i</w:t>
      </w:r>
      <w:r w:rsidR="00903C99" w:rsidRPr="00ED0FFC">
        <w:rPr>
          <w:szCs w:val="22"/>
        </w:rPr>
        <w:t xml:space="preserve">nnovación </w:t>
      </w:r>
      <w:r w:rsidR="005D1F5D" w:rsidRPr="00ED0FFC">
        <w:rPr>
          <w:szCs w:val="22"/>
        </w:rPr>
        <w:t xml:space="preserve">se </w:t>
      </w:r>
      <w:r w:rsidR="00903C99" w:rsidRPr="00ED0FFC">
        <w:rPr>
          <w:szCs w:val="22"/>
        </w:rPr>
        <w:t xml:space="preserve">evalúa el alcance y la importancia de los vínculos en el ámbito de la innovación </w:t>
      </w:r>
      <w:r w:rsidR="006F205D" w:rsidRPr="00ED0FFC">
        <w:rPr>
          <w:szCs w:val="22"/>
        </w:rPr>
        <w:t xml:space="preserve">en </w:t>
      </w:r>
      <w:r w:rsidR="00903C99" w:rsidRPr="00ED0FFC">
        <w:rPr>
          <w:szCs w:val="22"/>
        </w:rPr>
        <w:t xml:space="preserve">uno de </w:t>
      </w:r>
      <w:r w:rsidR="006F205D" w:rsidRPr="00ED0FFC">
        <w:rPr>
          <w:szCs w:val="22"/>
        </w:rPr>
        <w:t xml:space="preserve">sus </w:t>
      </w:r>
      <w:r w:rsidR="00903C99" w:rsidRPr="00ED0FFC">
        <w:rPr>
          <w:szCs w:val="22"/>
        </w:rPr>
        <w:t xml:space="preserve">pilares </w:t>
      </w:r>
      <w:r w:rsidR="00320A99" w:rsidRPr="00ED0FFC">
        <w:rPr>
          <w:szCs w:val="22"/>
        </w:rPr>
        <w:t>del índice</w:t>
      </w:r>
      <w:r w:rsidRPr="00ED0FFC">
        <w:rPr>
          <w:szCs w:val="22"/>
        </w:rPr>
        <w:t xml:space="preserve">.  </w:t>
      </w:r>
      <w:r w:rsidR="00320A99" w:rsidRPr="00ED0FFC">
        <w:rPr>
          <w:szCs w:val="22"/>
        </w:rPr>
        <w:t>Para el bieni</w:t>
      </w:r>
      <w:r w:rsidR="00222344" w:rsidRPr="00ED0FFC">
        <w:rPr>
          <w:szCs w:val="22"/>
        </w:rPr>
        <w:t>o 2</w:t>
      </w:r>
      <w:r w:rsidRPr="00ED0FFC">
        <w:rPr>
          <w:szCs w:val="22"/>
        </w:rPr>
        <w:t>016/17</w:t>
      </w:r>
      <w:r w:rsidR="006F205D" w:rsidRPr="00ED0FFC">
        <w:rPr>
          <w:szCs w:val="22"/>
        </w:rPr>
        <w:t>, se pidió a la</w:t>
      </w:r>
      <w:r w:rsidR="00320A99" w:rsidRPr="00ED0FFC">
        <w:rPr>
          <w:szCs w:val="22"/>
        </w:rPr>
        <w:t xml:space="preserve"> División de Economía y Estadística que lleve a cabo un proyecto de investigación comparativa en seis países para evaluar las políticas y los resultados en materia de transferencia de conocimiento</w:t>
      </w:r>
      <w:r w:rsidR="005D1F5D" w:rsidRPr="00ED0FFC">
        <w:rPr>
          <w:szCs w:val="22"/>
        </w:rPr>
        <w:t>s</w:t>
      </w:r>
      <w:r w:rsidRPr="00ED0FFC">
        <w:rPr>
          <w:szCs w:val="22"/>
        </w:rPr>
        <w:t xml:space="preserve">.  </w:t>
      </w:r>
      <w:r w:rsidR="00320A99" w:rsidRPr="00ED0FFC">
        <w:rPr>
          <w:szCs w:val="22"/>
        </w:rPr>
        <w:t>Un</w:t>
      </w:r>
      <w:r w:rsidR="005D1F5D" w:rsidRPr="00ED0FFC">
        <w:rPr>
          <w:szCs w:val="22"/>
        </w:rPr>
        <w:t>a</w:t>
      </w:r>
      <w:r w:rsidR="00320A99" w:rsidRPr="00ED0FFC">
        <w:rPr>
          <w:szCs w:val="22"/>
        </w:rPr>
        <w:t xml:space="preserve"> parte </w:t>
      </w:r>
      <w:r w:rsidR="005D1F5D" w:rsidRPr="00ED0FFC">
        <w:rPr>
          <w:szCs w:val="22"/>
        </w:rPr>
        <w:t>esencial</w:t>
      </w:r>
      <w:r w:rsidR="00320A99" w:rsidRPr="00ED0FFC">
        <w:rPr>
          <w:szCs w:val="22"/>
        </w:rPr>
        <w:t xml:space="preserve"> de este proyecto consiste en producir un conjunto de parámetros clave y modelos de encuestas, que los países podrían emplear para hacer un seguimiento de las actividades y los resultados en este campo</w:t>
      </w:r>
      <w:r w:rsidRPr="00ED0FFC">
        <w:rPr>
          <w:szCs w:val="22"/>
        </w:rPr>
        <w:t>.</w:t>
      </w:r>
    </w:p>
    <w:p w:rsidR="002B1093" w:rsidRPr="00ED0FFC" w:rsidRDefault="002B1093" w:rsidP="007F60FD">
      <w:pPr>
        <w:tabs>
          <w:tab w:val="center" w:pos="6237"/>
        </w:tabs>
        <w:rPr>
          <w:bCs/>
          <w:szCs w:val="22"/>
        </w:rPr>
      </w:pPr>
    </w:p>
    <w:p w:rsidR="002B1093" w:rsidRPr="00ED0FFC" w:rsidRDefault="002B1093" w:rsidP="007F60FD">
      <w:pPr>
        <w:tabs>
          <w:tab w:val="center" w:pos="6237"/>
        </w:tabs>
        <w:rPr>
          <w:bCs/>
          <w:szCs w:val="22"/>
        </w:rPr>
      </w:pPr>
    </w:p>
    <w:p w:rsidR="002B1093" w:rsidRPr="00ED0FFC" w:rsidRDefault="002B1093" w:rsidP="007F60FD">
      <w:pPr>
        <w:tabs>
          <w:tab w:val="center" w:pos="6237"/>
        </w:tabs>
        <w:rPr>
          <w:bCs/>
          <w:szCs w:val="22"/>
        </w:rPr>
      </w:pPr>
    </w:p>
    <w:p w:rsidR="002B1093" w:rsidRPr="00ED0FFC" w:rsidRDefault="002B1093" w:rsidP="007F60FD">
      <w:pPr>
        <w:tabs>
          <w:tab w:val="center" w:pos="6237"/>
        </w:tabs>
        <w:ind w:left="4536"/>
        <w:rPr>
          <w:szCs w:val="22"/>
        </w:rPr>
      </w:pPr>
      <w:r w:rsidRPr="00ED0FFC">
        <w:rPr>
          <w:bCs/>
          <w:szCs w:val="22"/>
        </w:rPr>
        <w:t>[</w:t>
      </w:r>
      <w:r w:rsidR="009B5693" w:rsidRPr="00ED0FFC">
        <w:rPr>
          <w:bCs/>
          <w:szCs w:val="22"/>
        </w:rPr>
        <w:t>Fin del Anexo y del documento</w:t>
      </w:r>
      <w:r w:rsidRPr="00ED0FFC">
        <w:rPr>
          <w:bCs/>
          <w:szCs w:val="22"/>
        </w:rPr>
        <w:t>]</w:t>
      </w:r>
    </w:p>
    <w:sectPr w:rsidR="002B1093" w:rsidRPr="00ED0FFC" w:rsidSect="00C06E1B">
      <w:headerReference w:type="default" r:id="rId31"/>
      <w:headerReference w:type="first" r:id="rId3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FE7" w:rsidRDefault="00EF4FE7">
      <w:r>
        <w:separator/>
      </w:r>
    </w:p>
  </w:endnote>
  <w:endnote w:type="continuationSeparator" w:id="0">
    <w:p w:rsidR="00EF4FE7" w:rsidRPr="009D30E6" w:rsidRDefault="00EF4FE7" w:rsidP="007E663E">
      <w:pPr>
        <w:rPr>
          <w:sz w:val="17"/>
          <w:szCs w:val="17"/>
        </w:rPr>
      </w:pPr>
      <w:r w:rsidRPr="009D30E6">
        <w:rPr>
          <w:sz w:val="17"/>
          <w:szCs w:val="17"/>
        </w:rPr>
        <w:separator/>
      </w:r>
    </w:p>
    <w:p w:rsidR="00EF4FE7" w:rsidRPr="007E663E" w:rsidRDefault="00EF4FE7" w:rsidP="007E663E">
      <w:pPr>
        <w:spacing w:after="60"/>
        <w:rPr>
          <w:sz w:val="17"/>
          <w:szCs w:val="17"/>
        </w:rPr>
      </w:pPr>
      <w:r>
        <w:rPr>
          <w:sz w:val="17"/>
        </w:rPr>
        <w:t>[Continuación de la nota de la página anterior]</w:t>
      </w:r>
    </w:p>
  </w:endnote>
  <w:endnote w:type="continuationNotice" w:id="1">
    <w:p w:rsidR="00EF4FE7" w:rsidRPr="007E663E" w:rsidRDefault="00EF4FE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FE7" w:rsidRDefault="00EF4FE7">
      <w:r>
        <w:separator/>
      </w:r>
    </w:p>
  </w:footnote>
  <w:footnote w:type="continuationSeparator" w:id="0">
    <w:p w:rsidR="00EF4FE7" w:rsidRPr="009D30E6" w:rsidRDefault="00EF4FE7" w:rsidP="007E663E">
      <w:pPr>
        <w:rPr>
          <w:sz w:val="17"/>
          <w:szCs w:val="17"/>
        </w:rPr>
      </w:pPr>
      <w:r w:rsidRPr="009D30E6">
        <w:rPr>
          <w:sz w:val="17"/>
          <w:szCs w:val="17"/>
        </w:rPr>
        <w:separator/>
      </w:r>
    </w:p>
    <w:p w:rsidR="00EF4FE7" w:rsidRPr="007E663E" w:rsidRDefault="00EF4FE7" w:rsidP="007E663E">
      <w:pPr>
        <w:spacing w:after="60"/>
        <w:rPr>
          <w:sz w:val="17"/>
          <w:szCs w:val="17"/>
        </w:rPr>
      </w:pPr>
      <w:r>
        <w:rPr>
          <w:sz w:val="17"/>
        </w:rPr>
        <w:t>[Continuación de la nota de la página anterior]</w:t>
      </w:r>
    </w:p>
  </w:footnote>
  <w:footnote w:type="continuationNotice" w:id="1">
    <w:p w:rsidR="00EF4FE7" w:rsidRPr="007E663E" w:rsidRDefault="00EF4FE7"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B8" w:rsidRDefault="006107B8" w:rsidP="008D15E4">
    <w:pPr>
      <w:jc w:val="right"/>
    </w:pPr>
    <w:r>
      <w:t>CDIP/17/…</w:t>
    </w:r>
  </w:p>
  <w:p w:rsidR="006107B8" w:rsidRDefault="006107B8" w:rsidP="008D15E4">
    <w:pP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76D4A">
      <w:rPr>
        <w:rStyle w:val="PageNumber"/>
        <w:noProof/>
      </w:rPr>
      <w:t>2</w:t>
    </w:r>
    <w:r>
      <w:rPr>
        <w:rStyle w:val="PageNumber"/>
      </w:rPr>
      <w:fldChar w:fldCharType="end"/>
    </w:r>
  </w:p>
  <w:p w:rsidR="006107B8" w:rsidRDefault="006107B8" w:rsidP="008D15E4">
    <w:pPr>
      <w:jc w:val="right"/>
    </w:pPr>
  </w:p>
  <w:p w:rsidR="006107B8" w:rsidRDefault="006107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B8" w:rsidRDefault="006107B8" w:rsidP="00477D6B">
    <w:pPr>
      <w:jc w:val="right"/>
    </w:pPr>
    <w:bookmarkStart w:id="5" w:name="Code2"/>
    <w:bookmarkEnd w:id="5"/>
    <w:r>
      <w:t>CDIP/17/9</w:t>
    </w:r>
  </w:p>
  <w:p w:rsidR="006107B8" w:rsidRDefault="006107B8" w:rsidP="00477D6B">
    <w:pPr>
      <w:jc w:val="right"/>
    </w:pPr>
    <w:r>
      <w:t xml:space="preserve">Anexo, página </w:t>
    </w:r>
    <w:r>
      <w:fldChar w:fldCharType="begin"/>
    </w:r>
    <w:r>
      <w:instrText xml:space="preserve"> PAGE  \* MERGEFORMAT </w:instrText>
    </w:r>
    <w:r>
      <w:fldChar w:fldCharType="separate"/>
    </w:r>
    <w:r w:rsidR="00C72F01">
      <w:rPr>
        <w:noProof/>
      </w:rPr>
      <w:t>5</w:t>
    </w:r>
    <w:r>
      <w:fldChar w:fldCharType="end"/>
    </w:r>
  </w:p>
  <w:p w:rsidR="006107B8" w:rsidRDefault="006107B8"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B8" w:rsidRDefault="006107B8" w:rsidP="00C06E1B">
    <w:pPr>
      <w:jc w:val="right"/>
    </w:pPr>
    <w:r>
      <w:t>CDIP/17/9</w:t>
    </w:r>
  </w:p>
  <w:p w:rsidR="006107B8" w:rsidRDefault="006107B8" w:rsidP="00C06E1B">
    <w:pPr>
      <w:pStyle w:val="Header"/>
      <w:jc w:val="right"/>
    </w:pPr>
    <w:r>
      <w:t>ANEXO</w:t>
    </w:r>
  </w:p>
  <w:p w:rsidR="006107B8" w:rsidRDefault="006107B8" w:rsidP="00C06E1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A6126BD"/>
    <w:multiLevelType w:val="hybridMultilevel"/>
    <w:tmpl w:val="FF68B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C035A61"/>
    <w:multiLevelType w:val="hybridMultilevel"/>
    <w:tmpl w:val="5588A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D4212"/>
    <w:multiLevelType w:val="hybridMultilevel"/>
    <w:tmpl w:val="29609658"/>
    <w:lvl w:ilvl="0" w:tplc="04090017">
      <w:start w:val="1"/>
      <w:numFmt w:val="lowerLetter"/>
      <w:lvlText w:val="%1)"/>
      <w:lvlJc w:val="left"/>
      <w:pPr>
        <w:ind w:left="420" w:hanging="360"/>
      </w:pPr>
      <w:rPr>
        <w:rFonts w:hint="default"/>
      </w:rPr>
    </w:lvl>
    <w:lvl w:ilvl="1" w:tplc="ECBA3CBC">
      <w:start w:val="1"/>
      <w:numFmt w:val="bullet"/>
      <w:lvlText w:val="-"/>
      <w:lvlJc w:val="left"/>
      <w:pPr>
        <w:ind w:left="1140" w:hanging="360"/>
      </w:pPr>
      <w:rPr>
        <w:rFonts w:ascii="Arial" w:eastAsia="Times New Roman" w:hAnsi="Arial" w:cs="Arial"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9B40846"/>
    <w:multiLevelType w:val="hybridMultilevel"/>
    <w:tmpl w:val="19AE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7129C"/>
    <w:multiLevelType w:val="hybridMultilevel"/>
    <w:tmpl w:val="7C0EB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2765F4A">
      <w:start w:val="1"/>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A70997"/>
    <w:multiLevelType w:val="hybridMultilevel"/>
    <w:tmpl w:val="A08A7242"/>
    <w:lvl w:ilvl="0" w:tplc="B5F871A0">
      <w:start w:val="1"/>
      <w:numFmt w:val="bullet"/>
      <w:lvlText w:val=""/>
      <w:lvlJc w:val="left"/>
      <w:pPr>
        <w:ind w:left="1287" w:hanging="360"/>
      </w:pPr>
      <w:rPr>
        <w:rFonts w:ascii="Symbol" w:hAnsi="Symbol" w:hint="default"/>
        <w:lang w:val="es-ES"/>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5632F7B"/>
    <w:multiLevelType w:val="hybridMultilevel"/>
    <w:tmpl w:val="04FE07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B3450F"/>
    <w:multiLevelType w:val="hybridMultilevel"/>
    <w:tmpl w:val="D7CA1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AC73F2"/>
    <w:multiLevelType w:val="hybridMultilevel"/>
    <w:tmpl w:val="A19A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0D3E7A"/>
    <w:multiLevelType w:val="multilevel"/>
    <w:tmpl w:val="5AC23B02"/>
    <w:lvl w:ilvl="0">
      <w:start w:val="1"/>
      <w:numFmt w:val="decimal"/>
      <w:lvlText w:val="%1)"/>
      <w:lvlJc w:val="left"/>
      <w:pPr>
        <w:ind w:left="360" w:hanging="360"/>
      </w:pPr>
      <w:rPr>
        <w:rFonts w:hint="default"/>
      </w:rPr>
    </w:lvl>
    <w:lvl w:ilvl="1">
      <w:start w:val="1"/>
      <w:numFmt w:val="decimal"/>
      <w:lvlText w:val="%2."/>
      <w:lvlJc w:val="left"/>
      <w:pPr>
        <w:ind w:left="567" w:firstLine="0"/>
      </w:pPr>
      <w:rPr>
        <w:rFonts w:hint="default"/>
      </w:rPr>
    </w:lvl>
    <w:lvl w:ilvl="2">
      <w:start w:val="1"/>
      <w:numFmt w:val="lowerRoman"/>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4711981"/>
    <w:multiLevelType w:val="hybridMultilevel"/>
    <w:tmpl w:val="C1567772"/>
    <w:lvl w:ilvl="0" w:tplc="FBE0787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nsid w:val="683516AF"/>
    <w:multiLevelType w:val="hybridMultilevel"/>
    <w:tmpl w:val="D05C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7F19C4"/>
    <w:multiLevelType w:val="hybridMultilevel"/>
    <w:tmpl w:val="586E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C7180C"/>
    <w:multiLevelType w:val="hybridMultilevel"/>
    <w:tmpl w:val="A87E62B6"/>
    <w:lvl w:ilvl="0" w:tplc="04090017">
      <w:start w:val="1"/>
      <w:numFmt w:val="lowerLetter"/>
      <w:lvlText w:val="%1)"/>
      <w:lvlJc w:val="left"/>
      <w:pPr>
        <w:ind w:left="420" w:hanging="360"/>
      </w:pPr>
      <w:rPr>
        <w:rFonts w:hint="default"/>
      </w:rPr>
    </w:lvl>
    <w:lvl w:ilvl="1" w:tplc="ECBA3CBC">
      <w:start w:val="1"/>
      <w:numFmt w:val="bullet"/>
      <w:lvlText w:val="-"/>
      <w:lvlJc w:val="left"/>
      <w:pPr>
        <w:ind w:left="1140" w:hanging="360"/>
      </w:pPr>
      <w:rPr>
        <w:rFonts w:ascii="Arial" w:eastAsia="Times New Roman" w:hAnsi="Arial" w:cs="Arial"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7DEF20F7"/>
    <w:multiLevelType w:val="hybridMultilevel"/>
    <w:tmpl w:val="56DA7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12"/>
  </w:num>
  <w:num w:numId="5">
    <w:abstractNumId w:val="1"/>
  </w:num>
  <w:num w:numId="6">
    <w:abstractNumId w:val="6"/>
  </w:num>
  <w:num w:numId="7">
    <w:abstractNumId w:val="15"/>
  </w:num>
  <w:num w:numId="8">
    <w:abstractNumId w:val="9"/>
  </w:num>
  <w:num w:numId="9">
    <w:abstractNumId w:val="3"/>
  </w:num>
  <w:num w:numId="10">
    <w:abstractNumId w:val="17"/>
  </w:num>
  <w:num w:numId="11">
    <w:abstractNumId w:val="4"/>
  </w:num>
  <w:num w:numId="12">
    <w:abstractNumId w:val="8"/>
  </w:num>
  <w:num w:numId="13">
    <w:abstractNumId w:val="5"/>
  </w:num>
  <w:num w:numId="14">
    <w:abstractNumId w:val="20"/>
  </w:num>
  <w:num w:numId="15">
    <w:abstractNumId w:val="14"/>
  </w:num>
  <w:num w:numId="16">
    <w:abstractNumId w:val="18"/>
  </w:num>
  <w:num w:numId="17">
    <w:abstractNumId w:val="7"/>
  </w:num>
  <w:num w:numId="18">
    <w:abstractNumId w:val="19"/>
  </w:num>
  <w:num w:numId="19">
    <w:abstractNumId w:val="13"/>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F5"/>
    <w:rsid w:val="00005CF7"/>
    <w:rsid w:val="00010686"/>
    <w:rsid w:val="00040CE8"/>
    <w:rsid w:val="00052915"/>
    <w:rsid w:val="00052AF9"/>
    <w:rsid w:val="00094C1D"/>
    <w:rsid w:val="000975FF"/>
    <w:rsid w:val="000A2188"/>
    <w:rsid w:val="000A2B28"/>
    <w:rsid w:val="000B110F"/>
    <w:rsid w:val="000D39B0"/>
    <w:rsid w:val="000D73DD"/>
    <w:rsid w:val="000E3BB3"/>
    <w:rsid w:val="000E4D58"/>
    <w:rsid w:val="000F5E56"/>
    <w:rsid w:val="00126A06"/>
    <w:rsid w:val="00135EAE"/>
    <w:rsid w:val="00135EC0"/>
    <w:rsid w:val="001362EE"/>
    <w:rsid w:val="00136D3C"/>
    <w:rsid w:val="00152CEA"/>
    <w:rsid w:val="001559EA"/>
    <w:rsid w:val="001832A6"/>
    <w:rsid w:val="00186282"/>
    <w:rsid w:val="001C538E"/>
    <w:rsid w:val="001C65F1"/>
    <w:rsid w:val="001D6555"/>
    <w:rsid w:val="00202FFA"/>
    <w:rsid w:val="00205358"/>
    <w:rsid w:val="00213AE0"/>
    <w:rsid w:val="00222344"/>
    <w:rsid w:val="00223F9A"/>
    <w:rsid w:val="00247017"/>
    <w:rsid w:val="0025344A"/>
    <w:rsid w:val="0025492A"/>
    <w:rsid w:val="002634C4"/>
    <w:rsid w:val="002864F1"/>
    <w:rsid w:val="00293F06"/>
    <w:rsid w:val="00295CA4"/>
    <w:rsid w:val="002974BE"/>
    <w:rsid w:val="002A036B"/>
    <w:rsid w:val="002A53EA"/>
    <w:rsid w:val="002B0A5D"/>
    <w:rsid w:val="002B1093"/>
    <w:rsid w:val="002B332C"/>
    <w:rsid w:val="002B6CD3"/>
    <w:rsid w:val="002D47DA"/>
    <w:rsid w:val="002E0F47"/>
    <w:rsid w:val="002F4E68"/>
    <w:rsid w:val="002F7777"/>
    <w:rsid w:val="00320A99"/>
    <w:rsid w:val="0034547A"/>
    <w:rsid w:val="00354647"/>
    <w:rsid w:val="0037644C"/>
    <w:rsid w:val="003770C3"/>
    <w:rsid w:val="00377273"/>
    <w:rsid w:val="003831EC"/>
    <w:rsid w:val="003845C1"/>
    <w:rsid w:val="00387287"/>
    <w:rsid w:val="00393081"/>
    <w:rsid w:val="003C1093"/>
    <w:rsid w:val="003D1DF2"/>
    <w:rsid w:val="003D39F8"/>
    <w:rsid w:val="003E48F1"/>
    <w:rsid w:val="003F347A"/>
    <w:rsid w:val="003F7937"/>
    <w:rsid w:val="00404FC7"/>
    <w:rsid w:val="00415501"/>
    <w:rsid w:val="00423E3E"/>
    <w:rsid w:val="00427AF4"/>
    <w:rsid w:val="00433492"/>
    <w:rsid w:val="0044152C"/>
    <w:rsid w:val="004477BD"/>
    <w:rsid w:val="0045231F"/>
    <w:rsid w:val="004647DA"/>
    <w:rsid w:val="00465475"/>
    <w:rsid w:val="00467D2D"/>
    <w:rsid w:val="00477808"/>
    <w:rsid w:val="00477D6B"/>
    <w:rsid w:val="00483778"/>
    <w:rsid w:val="00490A49"/>
    <w:rsid w:val="0049605D"/>
    <w:rsid w:val="004A6C37"/>
    <w:rsid w:val="004C1CA4"/>
    <w:rsid w:val="004E297D"/>
    <w:rsid w:val="004E678C"/>
    <w:rsid w:val="004F5D47"/>
    <w:rsid w:val="00503FE3"/>
    <w:rsid w:val="00505CD9"/>
    <w:rsid w:val="00513618"/>
    <w:rsid w:val="005248E0"/>
    <w:rsid w:val="00525E3D"/>
    <w:rsid w:val="005332F0"/>
    <w:rsid w:val="00545866"/>
    <w:rsid w:val="0055013B"/>
    <w:rsid w:val="00553061"/>
    <w:rsid w:val="00555A74"/>
    <w:rsid w:val="00567E3F"/>
    <w:rsid w:val="00571B99"/>
    <w:rsid w:val="005737B0"/>
    <w:rsid w:val="00581929"/>
    <w:rsid w:val="005A3F4F"/>
    <w:rsid w:val="005B15BB"/>
    <w:rsid w:val="005B2E04"/>
    <w:rsid w:val="005B56F5"/>
    <w:rsid w:val="005C4A81"/>
    <w:rsid w:val="005D1F5D"/>
    <w:rsid w:val="005D3B1A"/>
    <w:rsid w:val="00605827"/>
    <w:rsid w:val="006107B8"/>
    <w:rsid w:val="00611401"/>
    <w:rsid w:val="00614536"/>
    <w:rsid w:val="00621351"/>
    <w:rsid w:val="006433DF"/>
    <w:rsid w:val="00643B2B"/>
    <w:rsid w:val="00663BF8"/>
    <w:rsid w:val="006719EE"/>
    <w:rsid w:val="00675021"/>
    <w:rsid w:val="0069584F"/>
    <w:rsid w:val="006A06C6"/>
    <w:rsid w:val="006C247E"/>
    <w:rsid w:val="006D0205"/>
    <w:rsid w:val="006D1B7B"/>
    <w:rsid w:val="006D6CC4"/>
    <w:rsid w:val="006F205D"/>
    <w:rsid w:val="007150B8"/>
    <w:rsid w:val="007224C8"/>
    <w:rsid w:val="00724188"/>
    <w:rsid w:val="00733EB1"/>
    <w:rsid w:val="007348E2"/>
    <w:rsid w:val="00741C49"/>
    <w:rsid w:val="00742E3D"/>
    <w:rsid w:val="00752EA5"/>
    <w:rsid w:val="007579FE"/>
    <w:rsid w:val="0076284D"/>
    <w:rsid w:val="00763BB6"/>
    <w:rsid w:val="00764D4B"/>
    <w:rsid w:val="00794BE2"/>
    <w:rsid w:val="007B6EC0"/>
    <w:rsid w:val="007B71FE"/>
    <w:rsid w:val="007C3508"/>
    <w:rsid w:val="007C62A9"/>
    <w:rsid w:val="007C7B80"/>
    <w:rsid w:val="007D3724"/>
    <w:rsid w:val="007D781E"/>
    <w:rsid w:val="007E1410"/>
    <w:rsid w:val="007E45FD"/>
    <w:rsid w:val="007E663E"/>
    <w:rsid w:val="007F50B2"/>
    <w:rsid w:val="007F60FD"/>
    <w:rsid w:val="00806B45"/>
    <w:rsid w:val="008142B2"/>
    <w:rsid w:val="00815082"/>
    <w:rsid w:val="00835D94"/>
    <w:rsid w:val="00846368"/>
    <w:rsid w:val="008657FA"/>
    <w:rsid w:val="00877A6F"/>
    <w:rsid w:val="0088395E"/>
    <w:rsid w:val="00891AB9"/>
    <w:rsid w:val="00895A71"/>
    <w:rsid w:val="008B04E5"/>
    <w:rsid w:val="008B21CC"/>
    <w:rsid w:val="008B2CC1"/>
    <w:rsid w:val="008D15E4"/>
    <w:rsid w:val="008E5D87"/>
    <w:rsid w:val="008E6BD6"/>
    <w:rsid w:val="008F2759"/>
    <w:rsid w:val="00901265"/>
    <w:rsid w:val="00903C99"/>
    <w:rsid w:val="0090731E"/>
    <w:rsid w:val="00907C6F"/>
    <w:rsid w:val="00930EB8"/>
    <w:rsid w:val="00966A22"/>
    <w:rsid w:val="009724D0"/>
    <w:rsid w:val="00972F03"/>
    <w:rsid w:val="00984300"/>
    <w:rsid w:val="009A09D8"/>
    <w:rsid w:val="009A0C8B"/>
    <w:rsid w:val="009A4632"/>
    <w:rsid w:val="009A702D"/>
    <w:rsid w:val="009B5693"/>
    <w:rsid w:val="009B6241"/>
    <w:rsid w:val="009E0F9A"/>
    <w:rsid w:val="00A03574"/>
    <w:rsid w:val="00A118B6"/>
    <w:rsid w:val="00A16FC0"/>
    <w:rsid w:val="00A26C53"/>
    <w:rsid w:val="00A32C9E"/>
    <w:rsid w:val="00A33566"/>
    <w:rsid w:val="00A57902"/>
    <w:rsid w:val="00A775A9"/>
    <w:rsid w:val="00AA077E"/>
    <w:rsid w:val="00AA7A73"/>
    <w:rsid w:val="00AB613D"/>
    <w:rsid w:val="00AB6ABA"/>
    <w:rsid w:val="00AC55F0"/>
    <w:rsid w:val="00AE034C"/>
    <w:rsid w:val="00AE2EDD"/>
    <w:rsid w:val="00AE54A7"/>
    <w:rsid w:val="00AE7F20"/>
    <w:rsid w:val="00AF7647"/>
    <w:rsid w:val="00B124AA"/>
    <w:rsid w:val="00B310D9"/>
    <w:rsid w:val="00B32598"/>
    <w:rsid w:val="00B441A0"/>
    <w:rsid w:val="00B500B0"/>
    <w:rsid w:val="00B57476"/>
    <w:rsid w:val="00B60F61"/>
    <w:rsid w:val="00B65A0A"/>
    <w:rsid w:val="00B67CDC"/>
    <w:rsid w:val="00B71628"/>
    <w:rsid w:val="00B72D36"/>
    <w:rsid w:val="00BA00FE"/>
    <w:rsid w:val="00BA463D"/>
    <w:rsid w:val="00BA5169"/>
    <w:rsid w:val="00BA727F"/>
    <w:rsid w:val="00BC4164"/>
    <w:rsid w:val="00BD2DCC"/>
    <w:rsid w:val="00BD5851"/>
    <w:rsid w:val="00BE3979"/>
    <w:rsid w:val="00BE39C4"/>
    <w:rsid w:val="00BE6D12"/>
    <w:rsid w:val="00BF2E3D"/>
    <w:rsid w:val="00BF4571"/>
    <w:rsid w:val="00BF4821"/>
    <w:rsid w:val="00C06E1B"/>
    <w:rsid w:val="00C14A9F"/>
    <w:rsid w:val="00C17866"/>
    <w:rsid w:val="00C3279F"/>
    <w:rsid w:val="00C35983"/>
    <w:rsid w:val="00C37617"/>
    <w:rsid w:val="00C44232"/>
    <w:rsid w:val="00C562F8"/>
    <w:rsid w:val="00C72F01"/>
    <w:rsid w:val="00C75E4F"/>
    <w:rsid w:val="00C84617"/>
    <w:rsid w:val="00C90559"/>
    <w:rsid w:val="00C910FA"/>
    <w:rsid w:val="00CA05F4"/>
    <w:rsid w:val="00CA2251"/>
    <w:rsid w:val="00CA22E3"/>
    <w:rsid w:val="00CB4300"/>
    <w:rsid w:val="00CC3F2D"/>
    <w:rsid w:val="00CD7B35"/>
    <w:rsid w:val="00CE11D3"/>
    <w:rsid w:val="00CE6CC8"/>
    <w:rsid w:val="00CF2E09"/>
    <w:rsid w:val="00D03773"/>
    <w:rsid w:val="00D04915"/>
    <w:rsid w:val="00D132E0"/>
    <w:rsid w:val="00D231D9"/>
    <w:rsid w:val="00D34850"/>
    <w:rsid w:val="00D36BA6"/>
    <w:rsid w:val="00D53101"/>
    <w:rsid w:val="00D56C7C"/>
    <w:rsid w:val="00D56FC0"/>
    <w:rsid w:val="00D71B4D"/>
    <w:rsid w:val="00D76D4A"/>
    <w:rsid w:val="00D90289"/>
    <w:rsid w:val="00D93D55"/>
    <w:rsid w:val="00D9735D"/>
    <w:rsid w:val="00DB15AB"/>
    <w:rsid w:val="00DB5129"/>
    <w:rsid w:val="00DB58E2"/>
    <w:rsid w:val="00DB5B8B"/>
    <w:rsid w:val="00DC4C60"/>
    <w:rsid w:val="00DD58B5"/>
    <w:rsid w:val="00DF4E0E"/>
    <w:rsid w:val="00E0079A"/>
    <w:rsid w:val="00E0311F"/>
    <w:rsid w:val="00E0784D"/>
    <w:rsid w:val="00E23489"/>
    <w:rsid w:val="00E41221"/>
    <w:rsid w:val="00E44344"/>
    <w:rsid w:val="00E444DA"/>
    <w:rsid w:val="00E45AC0"/>
    <w:rsid w:val="00E45C84"/>
    <w:rsid w:val="00E50123"/>
    <w:rsid w:val="00E504E5"/>
    <w:rsid w:val="00E61098"/>
    <w:rsid w:val="00E7032D"/>
    <w:rsid w:val="00E70779"/>
    <w:rsid w:val="00E9443E"/>
    <w:rsid w:val="00EB7A3E"/>
    <w:rsid w:val="00EC401A"/>
    <w:rsid w:val="00EC4113"/>
    <w:rsid w:val="00EC586B"/>
    <w:rsid w:val="00ED0FFC"/>
    <w:rsid w:val="00ED13B2"/>
    <w:rsid w:val="00ED4358"/>
    <w:rsid w:val="00EE6E29"/>
    <w:rsid w:val="00EF29EF"/>
    <w:rsid w:val="00EF4FE7"/>
    <w:rsid w:val="00EF530A"/>
    <w:rsid w:val="00EF6622"/>
    <w:rsid w:val="00EF67CA"/>
    <w:rsid w:val="00F0162C"/>
    <w:rsid w:val="00F414C6"/>
    <w:rsid w:val="00F53D54"/>
    <w:rsid w:val="00F54082"/>
    <w:rsid w:val="00F55408"/>
    <w:rsid w:val="00F62560"/>
    <w:rsid w:val="00F66152"/>
    <w:rsid w:val="00F663C7"/>
    <w:rsid w:val="00F67660"/>
    <w:rsid w:val="00F76425"/>
    <w:rsid w:val="00F804F2"/>
    <w:rsid w:val="00F80845"/>
    <w:rsid w:val="00F84474"/>
    <w:rsid w:val="00F9735D"/>
    <w:rsid w:val="00FA0F0D"/>
    <w:rsid w:val="00FA75AC"/>
    <w:rsid w:val="00FB1350"/>
    <w:rsid w:val="00FB212B"/>
    <w:rsid w:val="00FB2A27"/>
    <w:rsid w:val="00FB5D0B"/>
    <w:rsid w:val="00FC0D92"/>
    <w:rsid w:val="00FC7CC3"/>
    <w:rsid w:val="00FD59D1"/>
    <w:rsid w:val="00FE23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Default">
    <w:name w:val="Default"/>
    <w:rsid w:val="002B1093"/>
    <w:pPr>
      <w:autoSpaceDE w:val="0"/>
      <w:autoSpaceDN w:val="0"/>
      <w:adjustRightInd w:val="0"/>
    </w:pPr>
    <w:rPr>
      <w:rFonts w:ascii="Arial" w:hAnsi="Arial" w:cs="Arial"/>
      <w:color w:val="000000"/>
      <w:sz w:val="24"/>
      <w:szCs w:val="24"/>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2B1093"/>
    <w:pPr>
      <w:ind w:left="720"/>
      <w:contextualSpacing/>
    </w:pPr>
    <w:rPr>
      <w:rFonts w:eastAsia="Times New Roman"/>
      <w:lang w:val="en-US" w:eastAsia="en-US"/>
    </w:rPr>
  </w:style>
  <w:style w:type="character" w:customStyle="1" w:styleId="FooterChar">
    <w:name w:val="Footer Char"/>
    <w:basedOn w:val="DefaultParagraphFont"/>
    <w:link w:val="Footer"/>
    <w:uiPriority w:val="99"/>
    <w:rsid w:val="002B1093"/>
    <w:rPr>
      <w:rFonts w:ascii="Arial" w:eastAsia="SimSun" w:hAnsi="Arial" w:cs="Arial"/>
      <w:sz w:val="22"/>
      <w:lang w:val="es-ES" w:eastAsia="zh-CN"/>
    </w:rPr>
  </w:style>
  <w:style w:type="character" w:styleId="Hyperlink">
    <w:name w:val="Hyperlink"/>
    <w:basedOn w:val="DefaultParagraphFont"/>
    <w:uiPriority w:val="99"/>
    <w:rsid w:val="002B1093"/>
    <w:rPr>
      <w:color w:val="0000FF"/>
      <w:u w:val="single"/>
    </w:rPr>
  </w:style>
  <w:style w:type="character" w:styleId="PageNumber">
    <w:name w:val="page number"/>
    <w:basedOn w:val="DefaultParagraphFont"/>
    <w:rsid w:val="002B1093"/>
  </w:style>
  <w:style w:type="paragraph" w:styleId="BalloonText">
    <w:name w:val="Balloon Text"/>
    <w:basedOn w:val="Normal"/>
    <w:link w:val="BalloonTextChar"/>
    <w:rsid w:val="00202FFA"/>
    <w:rPr>
      <w:rFonts w:ascii="Tahoma" w:hAnsi="Tahoma" w:cs="Tahoma"/>
      <w:sz w:val="16"/>
      <w:szCs w:val="16"/>
    </w:rPr>
  </w:style>
  <w:style w:type="character" w:customStyle="1" w:styleId="BalloonTextChar">
    <w:name w:val="Balloon Text Char"/>
    <w:basedOn w:val="DefaultParagraphFont"/>
    <w:link w:val="BalloonText"/>
    <w:rsid w:val="00202FFA"/>
    <w:rPr>
      <w:rFonts w:ascii="Tahoma" w:eastAsia="SimSun" w:hAnsi="Tahoma" w:cs="Tahoma"/>
      <w:sz w:val="16"/>
      <w:szCs w:val="16"/>
      <w:lang w:val="es-ES" w:eastAsia="zh-CN"/>
    </w:rPr>
  </w:style>
  <w:style w:type="character" w:styleId="FollowedHyperlink">
    <w:name w:val="FollowedHyperlink"/>
    <w:basedOn w:val="DefaultParagraphFont"/>
    <w:rsid w:val="00C84617"/>
    <w:rPr>
      <w:color w:val="800080"/>
      <w:u w:val="single"/>
    </w:rPr>
  </w:style>
  <w:style w:type="character" w:styleId="Strong">
    <w:name w:val="Strong"/>
    <w:basedOn w:val="DefaultParagraphFont"/>
    <w:uiPriority w:val="22"/>
    <w:qFormat/>
    <w:rsid w:val="00C3279F"/>
    <w:rPr>
      <w:b/>
      <w:bCs/>
    </w:rPr>
  </w:style>
  <w:style w:type="character" w:styleId="Emphasis">
    <w:name w:val="Emphasis"/>
    <w:basedOn w:val="DefaultParagraphFont"/>
    <w:uiPriority w:val="20"/>
    <w:qFormat/>
    <w:rsid w:val="00555A74"/>
    <w:rPr>
      <w:b/>
      <w:bCs/>
      <w:i w:val="0"/>
      <w:iCs w:val="0"/>
    </w:rPr>
  </w:style>
  <w:style w:type="character" w:customStyle="1" w:styleId="st1">
    <w:name w:val="st1"/>
    <w:basedOn w:val="DefaultParagraphFont"/>
    <w:rsid w:val="00555A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Default">
    <w:name w:val="Default"/>
    <w:rsid w:val="002B1093"/>
    <w:pPr>
      <w:autoSpaceDE w:val="0"/>
      <w:autoSpaceDN w:val="0"/>
      <w:adjustRightInd w:val="0"/>
    </w:pPr>
    <w:rPr>
      <w:rFonts w:ascii="Arial" w:hAnsi="Arial" w:cs="Arial"/>
      <w:color w:val="000000"/>
      <w:sz w:val="24"/>
      <w:szCs w:val="24"/>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2B1093"/>
    <w:pPr>
      <w:ind w:left="720"/>
      <w:contextualSpacing/>
    </w:pPr>
    <w:rPr>
      <w:rFonts w:eastAsia="Times New Roman"/>
      <w:lang w:val="en-US" w:eastAsia="en-US"/>
    </w:rPr>
  </w:style>
  <w:style w:type="character" w:customStyle="1" w:styleId="FooterChar">
    <w:name w:val="Footer Char"/>
    <w:basedOn w:val="DefaultParagraphFont"/>
    <w:link w:val="Footer"/>
    <w:uiPriority w:val="99"/>
    <w:rsid w:val="002B1093"/>
    <w:rPr>
      <w:rFonts w:ascii="Arial" w:eastAsia="SimSun" w:hAnsi="Arial" w:cs="Arial"/>
      <w:sz w:val="22"/>
      <w:lang w:val="es-ES" w:eastAsia="zh-CN"/>
    </w:rPr>
  </w:style>
  <w:style w:type="character" w:styleId="Hyperlink">
    <w:name w:val="Hyperlink"/>
    <w:basedOn w:val="DefaultParagraphFont"/>
    <w:uiPriority w:val="99"/>
    <w:rsid w:val="002B1093"/>
    <w:rPr>
      <w:color w:val="0000FF"/>
      <w:u w:val="single"/>
    </w:rPr>
  </w:style>
  <w:style w:type="character" w:styleId="PageNumber">
    <w:name w:val="page number"/>
    <w:basedOn w:val="DefaultParagraphFont"/>
    <w:rsid w:val="002B1093"/>
  </w:style>
  <w:style w:type="paragraph" w:styleId="BalloonText">
    <w:name w:val="Balloon Text"/>
    <w:basedOn w:val="Normal"/>
    <w:link w:val="BalloonTextChar"/>
    <w:rsid w:val="00202FFA"/>
    <w:rPr>
      <w:rFonts w:ascii="Tahoma" w:hAnsi="Tahoma" w:cs="Tahoma"/>
      <w:sz w:val="16"/>
      <w:szCs w:val="16"/>
    </w:rPr>
  </w:style>
  <w:style w:type="character" w:customStyle="1" w:styleId="BalloonTextChar">
    <w:name w:val="Balloon Text Char"/>
    <w:basedOn w:val="DefaultParagraphFont"/>
    <w:link w:val="BalloonText"/>
    <w:rsid w:val="00202FFA"/>
    <w:rPr>
      <w:rFonts w:ascii="Tahoma" w:eastAsia="SimSun" w:hAnsi="Tahoma" w:cs="Tahoma"/>
      <w:sz w:val="16"/>
      <w:szCs w:val="16"/>
      <w:lang w:val="es-ES" w:eastAsia="zh-CN"/>
    </w:rPr>
  </w:style>
  <w:style w:type="character" w:styleId="FollowedHyperlink">
    <w:name w:val="FollowedHyperlink"/>
    <w:basedOn w:val="DefaultParagraphFont"/>
    <w:rsid w:val="00C84617"/>
    <w:rPr>
      <w:color w:val="800080"/>
      <w:u w:val="single"/>
    </w:rPr>
  </w:style>
  <w:style w:type="character" w:styleId="Strong">
    <w:name w:val="Strong"/>
    <w:basedOn w:val="DefaultParagraphFont"/>
    <w:uiPriority w:val="22"/>
    <w:qFormat/>
    <w:rsid w:val="00C3279F"/>
    <w:rPr>
      <w:b/>
      <w:bCs/>
    </w:rPr>
  </w:style>
  <w:style w:type="character" w:styleId="Emphasis">
    <w:name w:val="Emphasis"/>
    <w:basedOn w:val="DefaultParagraphFont"/>
    <w:uiPriority w:val="20"/>
    <w:qFormat/>
    <w:rsid w:val="00555A74"/>
    <w:rPr>
      <w:b/>
      <w:bCs/>
      <w:i w:val="0"/>
      <w:iCs w:val="0"/>
    </w:rPr>
  </w:style>
  <w:style w:type="character" w:customStyle="1" w:styleId="st1">
    <w:name w:val="st1"/>
    <w:basedOn w:val="DefaultParagraphFont"/>
    <w:rsid w:val="00555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isc.wipo.org" TargetMode="External"/><Relationship Id="rId18" Type="http://schemas.openxmlformats.org/officeDocument/2006/relationships/hyperlink" Target="http://www.fao.org/3/a-i4787e.pdf" TargetMode="External"/><Relationship Id="rId26" Type="http://schemas.openxmlformats.org/officeDocument/2006/relationships/hyperlink" Target="http://www.wipo.int/edocs/pubdocs/en/wipo_pub_951_5.pdf" TargetMode="External"/><Relationship Id="rId3" Type="http://schemas.openxmlformats.org/officeDocument/2006/relationships/styles" Target="styles.xml"/><Relationship Id="rId21" Type="http://schemas.openxmlformats.org/officeDocument/2006/relationships/hyperlink" Target="http://www.wipo.int/edocs/pubdocs/en/licensing/903/wipo_pub_903.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wipo.int/confluence/download/attachments/71762943/www.wipo.int/tisc/es" TargetMode="External"/><Relationship Id="rId17" Type="http://schemas.openxmlformats.org/officeDocument/2006/relationships/hyperlink" Target="http://www.itu.int/dms_pub/itu-t/oth/0b/11/T0B110000273301PDFS.pdf" TargetMode="External"/><Relationship Id="rId25" Type="http://schemas.openxmlformats.org/officeDocument/2006/relationships/hyperlink" Target="http://www.wipo.int/edocs/pubdocs/en/wipo_pub_951_6.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ipo.int/patentscope/es/programs/patent_landscapes/index.html" TargetMode="External"/><Relationship Id="rId20" Type="http://schemas.openxmlformats.org/officeDocument/2006/relationships/hyperlink" Target="http://www.wipo.int/edocs/pubdocs/es/patents/867/wipo_pub_867.pdf" TargetMode="External"/><Relationship Id="rId29" Type="http://schemas.openxmlformats.org/officeDocument/2006/relationships/hyperlink" Target="http://www.wipo.int/export/sites/www/policy/en/climate_change/pdf/global_challenges_brief.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ipstrategies/es/" TargetMode="External"/><Relationship Id="rId24" Type="http://schemas.openxmlformats.org/officeDocument/2006/relationships/hyperlink" Target="http://www.wipo.int/export/sites/www/sme/es/documents/pdf/technology_licensing.pdf"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wipo.int/aspi/es/" TargetMode="External"/><Relationship Id="rId23" Type="http://schemas.openxmlformats.org/officeDocument/2006/relationships/hyperlink" Target="http://www.wipo.int/edocs/pubdocs/en/intproperty/896/wipo_pub_896.pdf" TargetMode="External"/><Relationship Id="rId28" Type="http://schemas.openxmlformats.org/officeDocument/2006/relationships/hyperlink" Target="https://webaccess.wipo.int/wipogreen/en/pdf/global_challenges_report_lybecker_lohse.pdf" TargetMode="External"/><Relationship Id="rId10" Type="http://schemas.openxmlformats.org/officeDocument/2006/relationships/header" Target="header1.xml"/><Relationship Id="rId19" Type="http://schemas.openxmlformats.org/officeDocument/2006/relationships/hyperlink" Target="http://www.wipo.int/patentscope/en/programs/patent_landscapes/index.html"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ardi/es/" TargetMode="External"/><Relationship Id="rId22" Type="http://schemas.openxmlformats.org/officeDocument/2006/relationships/hyperlink" Target="http://www.wipo.int/edocs/pubdocs/en/intproperty/927/wipo_pub_927.pdf" TargetMode="External"/><Relationship Id="rId27" Type="http://schemas.openxmlformats.org/officeDocument/2006/relationships/hyperlink" Target="http://www.wipo.int/export/sites/www/policy/en/climate_change/pdf/ccmt_report.pdf" TargetMode="External"/><Relationship Id="rId30" Type="http://schemas.openxmlformats.org/officeDocument/2006/relationships/hyperlink" Target="http://www.wipo.int/export/sites/www/policy/en/climate_change/pdf/ccmt_brie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85A45-A315-45E2-B1D6-2EEDA910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8111</Words>
  <Characters>48143</Characters>
  <Application>Microsoft Office Word</Application>
  <DocSecurity>0</DocSecurity>
  <Lines>12035</Lines>
  <Paragraphs>3309</Paragraphs>
  <ScaleCrop>false</ScaleCrop>
  <HeadingPairs>
    <vt:vector size="2" baseType="variant">
      <vt:variant>
        <vt:lpstr>Title</vt:lpstr>
      </vt:variant>
      <vt:variant>
        <vt:i4>1</vt:i4>
      </vt:variant>
    </vt:vector>
  </HeadingPairs>
  <TitlesOfParts>
    <vt:vector size="1" baseType="lpstr">
      <vt:lpstr>CDIP/17/9</vt:lpstr>
    </vt:vector>
  </TitlesOfParts>
  <Company>Hewlett-Packard Company</Company>
  <LinksUpToDate>false</LinksUpToDate>
  <CharactersWithSpaces>52945</CharactersWithSpaces>
  <SharedDoc>false</SharedDoc>
  <HLinks>
    <vt:vector size="120" baseType="variant">
      <vt:variant>
        <vt:i4>589854</vt:i4>
      </vt:variant>
      <vt:variant>
        <vt:i4>95</vt:i4>
      </vt:variant>
      <vt:variant>
        <vt:i4>0</vt:i4>
      </vt:variant>
      <vt:variant>
        <vt:i4>5</vt:i4>
      </vt:variant>
      <vt:variant>
        <vt:lpwstr>http://www.wipo.int/export/sites/www/policy/en/climate_change/pdf/ccmt_brief.pdf</vt:lpwstr>
      </vt:variant>
      <vt:variant>
        <vt:lpwstr/>
      </vt:variant>
      <vt:variant>
        <vt:i4>6291532</vt:i4>
      </vt:variant>
      <vt:variant>
        <vt:i4>92</vt:i4>
      </vt:variant>
      <vt:variant>
        <vt:i4>0</vt:i4>
      </vt:variant>
      <vt:variant>
        <vt:i4>5</vt:i4>
      </vt:variant>
      <vt:variant>
        <vt:lpwstr>http://www.wipo.int/export/sites/www/policy/en/climate_change/pdf/global_challenges_brief.pdf</vt:lpwstr>
      </vt:variant>
      <vt:variant>
        <vt:lpwstr/>
      </vt:variant>
      <vt:variant>
        <vt:i4>8192118</vt:i4>
      </vt:variant>
      <vt:variant>
        <vt:i4>89</vt:i4>
      </vt:variant>
      <vt:variant>
        <vt:i4>0</vt:i4>
      </vt:variant>
      <vt:variant>
        <vt:i4>5</vt:i4>
      </vt:variant>
      <vt:variant>
        <vt:lpwstr>https://webaccess.wipo.int/wipogreen/en/pdf/global_challenges_report_lybecker_lohse.pdf</vt:lpwstr>
      </vt:variant>
      <vt:variant>
        <vt:lpwstr/>
      </vt:variant>
      <vt:variant>
        <vt:i4>4718669</vt:i4>
      </vt:variant>
      <vt:variant>
        <vt:i4>86</vt:i4>
      </vt:variant>
      <vt:variant>
        <vt:i4>0</vt:i4>
      </vt:variant>
      <vt:variant>
        <vt:i4>5</vt:i4>
      </vt:variant>
      <vt:variant>
        <vt:lpwstr>http://www.wipo.int/export/sites/www/policy/en/climate_change/pdf/ccmt_report.pdf</vt:lpwstr>
      </vt:variant>
      <vt:variant>
        <vt:lpwstr/>
      </vt:variant>
      <vt:variant>
        <vt:i4>655407</vt:i4>
      </vt:variant>
      <vt:variant>
        <vt:i4>83</vt:i4>
      </vt:variant>
      <vt:variant>
        <vt:i4>0</vt:i4>
      </vt:variant>
      <vt:variant>
        <vt:i4>5</vt:i4>
      </vt:variant>
      <vt:variant>
        <vt:lpwstr>http://www.wipo.int/edocs/pubdocs/en/wipo_pub_951_5.pdf</vt:lpwstr>
      </vt:variant>
      <vt:variant>
        <vt:lpwstr/>
      </vt:variant>
      <vt:variant>
        <vt:i4>655404</vt:i4>
      </vt:variant>
      <vt:variant>
        <vt:i4>80</vt:i4>
      </vt:variant>
      <vt:variant>
        <vt:i4>0</vt:i4>
      </vt:variant>
      <vt:variant>
        <vt:i4>5</vt:i4>
      </vt:variant>
      <vt:variant>
        <vt:lpwstr>http://www.wipo.int/edocs/pubdocs/en/wipo_pub_951_6.pdf</vt:lpwstr>
      </vt:variant>
      <vt:variant>
        <vt:lpwstr/>
      </vt:variant>
      <vt:variant>
        <vt:i4>6946910</vt:i4>
      </vt:variant>
      <vt:variant>
        <vt:i4>77</vt:i4>
      </vt:variant>
      <vt:variant>
        <vt:i4>0</vt:i4>
      </vt:variant>
      <vt:variant>
        <vt:i4>5</vt:i4>
      </vt:variant>
      <vt:variant>
        <vt:lpwstr>http://www.wipo.int/export/sites/www/sme/es/documents/pdf/technology_licensing.pdf</vt:lpwstr>
      </vt:variant>
      <vt:variant>
        <vt:lpwstr/>
      </vt:variant>
      <vt:variant>
        <vt:i4>4390981</vt:i4>
      </vt:variant>
      <vt:variant>
        <vt:i4>74</vt:i4>
      </vt:variant>
      <vt:variant>
        <vt:i4>0</vt:i4>
      </vt:variant>
      <vt:variant>
        <vt:i4>5</vt:i4>
      </vt:variant>
      <vt:variant>
        <vt:lpwstr>http://www.wipo.int/edocs/pubdocs/en/intproperty/896/wipo_pub_896.pdf</vt:lpwstr>
      </vt:variant>
      <vt:variant>
        <vt:lpwstr/>
      </vt:variant>
      <vt:variant>
        <vt:i4>4718670</vt:i4>
      </vt:variant>
      <vt:variant>
        <vt:i4>71</vt:i4>
      </vt:variant>
      <vt:variant>
        <vt:i4>0</vt:i4>
      </vt:variant>
      <vt:variant>
        <vt:i4>5</vt:i4>
      </vt:variant>
      <vt:variant>
        <vt:lpwstr>http://www.wipo.int/edocs/pubdocs/en/intproperty/927/wipo_pub_927.pdf</vt:lpwstr>
      </vt:variant>
      <vt:variant>
        <vt:lpwstr/>
      </vt:variant>
      <vt:variant>
        <vt:i4>3473465</vt:i4>
      </vt:variant>
      <vt:variant>
        <vt:i4>68</vt:i4>
      </vt:variant>
      <vt:variant>
        <vt:i4>0</vt:i4>
      </vt:variant>
      <vt:variant>
        <vt:i4>5</vt:i4>
      </vt:variant>
      <vt:variant>
        <vt:lpwstr>http://www.wipo.int/edocs/pubdocs/en/licensing/903/wipo_pub_903.pdf</vt:lpwstr>
      </vt:variant>
      <vt:variant>
        <vt:lpwstr/>
      </vt:variant>
      <vt:variant>
        <vt:i4>6094939</vt:i4>
      </vt:variant>
      <vt:variant>
        <vt:i4>65</vt:i4>
      </vt:variant>
      <vt:variant>
        <vt:i4>0</vt:i4>
      </vt:variant>
      <vt:variant>
        <vt:i4>5</vt:i4>
      </vt:variant>
      <vt:variant>
        <vt:lpwstr>http://www.wipo.int/edocs/pubdocs/es/patents/867/wipo_pub_867.pdf</vt:lpwstr>
      </vt:variant>
      <vt:variant>
        <vt:lpwstr/>
      </vt:variant>
      <vt:variant>
        <vt:i4>5832757</vt:i4>
      </vt:variant>
      <vt:variant>
        <vt:i4>62</vt:i4>
      </vt:variant>
      <vt:variant>
        <vt:i4>0</vt:i4>
      </vt:variant>
      <vt:variant>
        <vt:i4>5</vt:i4>
      </vt:variant>
      <vt:variant>
        <vt:lpwstr>http://www.wipo.int/patentscope/en/programs/patent_landscapes/index.html</vt:lpwstr>
      </vt:variant>
      <vt:variant>
        <vt:lpwstr/>
      </vt:variant>
      <vt:variant>
        <vt:i4>5963865</vt:i4>
      </vt:variant>
      <vt:variant>
        <vt:i4>59</vt:i4>
      </vt:variant>
      <vt:variant>
        <vt:i4>0</vt:i4>
      </vt:variant>
      <vt:variant>
        <vt:i4>5</vt:i4>
      </vt:variant>
      <vt:variant>
        <vt:lpwstr>http://www.fao.org/3/a-i4787e.pdf</vt:lpwstr>
      </vt:variant>
      <vt:variant>
        <vt:lpwstr/>
      </vt:variant>
      <vt:variant>
        <vt:i4>8192030</vt:i4>
      </vt:variant>
      <vt:variant>
        <vt:i4>56</vt:i4>
      </vt:variant>
      <vt:variant>
        <vt:i4>0</vt:i4>
      </vt:variant>
      <vt:variant>
        <vt:i4>5</vt:i4>
      </vt:variant>
      <vt:variant>
        <vt:lpwstr>http://www.itu.int/dms_pub/itu-t/oth/0b/11/T0B110000273301PDFS.pdf</vt:lpwstr>
      </vt:variant>
      <vt:variant>
        <vt:lpwstr/>
      </vt:variant>
      <vt:variant>
        <vt:i4>4456501</vt:i4>
      </vt:variant>
      <vt:variant>
        <vt:i4>53</vt:i4>
      </vt:variant>
      <vt:variant>
        <vt:i4>0</vt:i4>
      </vt:variant>
      <vt:variant>
        <vt:i4>5</vt:i4>
      </vt:variant>
      <vt:variant>
        <vt:lpwstr>http://www.wipo.int/patentscope/es/programs/patent_landscapes/index.html</vt:lpwstr>
      </vt:variant>
      <vt:variant>
        <vt:lpwstr/>
      </vt:variant>
      <vt:variant>
        <vt:i4>1245190</vt:i4>
      </vt:variant>
      <vt:variant>
        <vt:i4>48</vt:i4>
      </vt:variant>
      <vt:variant>
        <vt:i4>0</vt:i4>
      </vt:variant>
      <vt:variant>
        <vt:i4>5</vt:i4>
      </vt:variant>
      <vt:variant>
        <vt:lpwstr>http://www.wipo.int/aspi/es/</vt:lpwstr>
      </vt:variant>
      <vt:variant>
        <vt:lpwstr/>
      </vt:variant>
      <vt:variant>
        <vt:i4>1179666</vt:i4>
      </vt:variant>
      <vt:variant>
        <vt:i4>43</vt:i4>
      </vt:variant>
      <vt:variant>
        <vt:i4>0</vt:i4>
      </vt:variant>
      <vt:variant>
        <vt:i4>5</vt:i4>
      </vt:variant>
      <vt:variant>
        <vt:lpwstr>http://www.wipo.int/ardi/es/</vt:lpwstr>
      </vt:variant>
      <vt:variant>
        <vt:lpwstr/>
      </vt:variant>
      <vt:variant>
        <vt:i4>3145774</vt:i4>
      </vt:variant>
      <vt:variant>
        <vt:i4>36</vt:i4>
      </vt:variant>
      <vt:variant>
        <vt:i4>0</vt:i4>
      </vt:variant>
      <vt:variant>
        <vt:i4>5</vt:i4>
      </vt:variant>
      <vt:variant>
        <vt:lpwstr>http://etisc.wipo.org/</vt:lpwstr>
      </vt:variant>
      <vt:variant>
        <vt:lpwstr/>
      </vt:variant>
      <vt:variant>
        <vt:i4>1638407</vt:i4>
      </vt:variant>
      <vt:variant>
        <vt:i4>29</vt:i4>
      </vt:variant>
      <vt:variant>
        <vt:i4>0</vt:i4>
      </vt:variant>
      <vt:variant>
        <vt:i4>5</vt:i4>
      </vt:variant>
      <vt:variant>
        <vt:lpwstr>www.wipo.int/tisc/es</vt:lpwstr>
      </vt:variant>
      <vt:variant>
        <vt:lpwstr/>
      </vt:variant>
      <vt:variant>
        <vt:i4>1245193</vt:i4>
      </vt:variant>
      <vt:variant>
        <vt:i4>10</vt:i4>
      </vt:variant>
      <vt:variant>
        <vt:i4>0</vt:i4>
      </vt:variant>
      <vt:variant>
        <vt:i4>5</vt:i4>
      </vt:variant>
      <vt:variant>
        <vt:lpwstr>http://www.wipo.int/ipstrategies/es/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CDIP/17/9</dc:title>
  <dc:creator>BRACI Biljana</dc:creator>
  <dc:description>FP (trad. ext.) - 2.3.2016
JC (QC) - 8.3.2016
MM (cambios) - 15.3.2016</dc:description>
  <cp:lastModifiedBy>BRACI Biljana</cp:lastModifiedBy>
  <cp:revision>3</cp:revision>
  <cp:lastPrinted>2016-03-15T16:10:00Z</cp:lastPrinted>
  <dcterms:created xsi:type="dcterms:W3CDTF">2016-03-16T09:46:00Z</dcterms:created>
  <dcterms:modified xsi:type="dcterms:W3CDTF">2016-04-01T10:14:00Z</dcterms:modified>
</cp:coreProperties>
</file>