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C168C5" w14:paraId="6E578F01" w14:textId="77777777" w:rsidTr="0088395E">
        <w:tc>
          <w:tcPr>
            <w:tcW w:w="4513" w:type="dxa"/>
            <w:tcBorders>
              <w:bottom w:val="single" w:sz="4" w:space="0" w:color="auto"/>
            </w:tcBorders>
            <w:tcMar>
              <w:bottom w:w="170" w:type="dxa"/>
            </w:tcMar>
          </w:tcPr>
          <w:p w14:paraId="3F4183B1" w14:textId="77777777" w:rsidR="00E504E5" w:rsidRPr="00C168C5" w:rsidRDefault="00E504E5" w:rsidP="00AB613D">
            <w:pPr>
              <w:rPr>
                <w:lang w:val="es-ES_tradnl"/>
              </w:rPr>
            </w:pPr>
          </w:p>
        </w:tc>
        <w:tc>
          <w:tcPr>
            <w:tcW w:w="4337" w:type="dxa"/>
            <w:tcBorders>
              <w:bottom w:val="single" w:sz="4" w:space="0" w:color="auto"/>
            </w:tcBorders>
            <w:tcMar>
              <w:left w:w="0" w:type="dxa"/>
              <w:right w:w="0" w:type="dxa"/>
            </w:tcMar>
          </w:tcPr>
          <w:p w14:paraId="4F660440" w14:textId="77777777" w:rsidR="00E504E5" w:rsidRPr="00C168C5" w:rsidRDefault="005839AA" w:rsidP="00AB613D">
            <w:pPr>
              <w:rPr>
                <w:lang w:val="es-ES_tradnl"/>
              </w:rPr>
            </w:pPr>
            <w:r w:rsidRPr="00C168C5">
              <w:rPr>
                <w:noProof/>
                <w:lang w:val="en-US" w:eastAsia="en-US"/>
              </w:rPr>
              <w:drawing>
                <wp:inline distT="0" distB="0" distL="0" distR="0" wp14:anchorId="382F92C6" wp14:editId="141E8C53">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17BDFB1F" w14:textId="77777777" w:rsidR="00E504E5" w:rsidRPr="00C168C5" w:rsidRDefault="00E504E5" w:rsidP="00AB613D">
            <w:pPr>
              <w:jc w:val="right"/>
              <w:rPr>
                <w:lang w:val="es-ES_tradnl"/>
              </w:rPr>
            </w:pPr>
            <w:r w:rsidRPr="00C168C5">
              <w:rPr>
                <w:b/>
                <w:sz w:val="40"/>
                <w:szCs w:val="40"/>
                <w:lang w:val="es-ES_tradnl"/>
              </w:rPr>
              <w:t>S</w:t>
            </w:r>
          </w:p>
        </w:tc>
      </w:tr>
      <w:tr w:rsidR="008B2CC1" w:rsidRPr="00C168C5" w14:paraId="5775C8BD" w14:textId="77777777" w:rsidTr="00AB613D">
        <w:trPr>
          <w:trHeight w:hRule="exact" w:val="340"/>
        </w:trPr>
        <w:tc>
          <w:tcPr>
            <w:tcW w:w="9356" w:type="dxa"/>
            <w:gridSpan w:val="3"/>
            <w:tcBorders>
              <w:top w:val="single" w:sz="4" w:space="0" w:color="auto"/>
            </w:tcBorders>
            <w:tcMar>
              <w:top w:w="170" w:type="dxa"/>
              <w:left w:w="0" w:type="dxa"/>
              <w:right w:w="0" w:type="dxa"/>
            </w:tcMar>
            <w:vAlign w:val="bottom"/>
          </w:tcPr>
          <w:p w14:paraId="301602CA" w14:textId="77777777" w:rsidR="008B2CC1" w:rsidRPr="00C168C5" w:rsidRDefault="005839AA" w:rsidP="00AB613D">
            <w:pPr>
              <w:jc w:val="right"/>
              <w:rPr>
                <w:rFonts w:ascii="Arial Black" w:hAnsi="Arial Black"/>
                <w:caps/>
                <w:sz w:val="15"/>
                <w:lang w:val="es-ES_tradnl"/>
              </w:rPr>
            </w:pPr>
            <w:r w:rsidRPr="00C168C5">
              <w:rPr>
                <w:rFonts w:ascii="Arial Black" w:hAnsi="Arial Black"/>
                <w:caps/>
                <w:sz w:val="15"/>
                <w:lang w:val="es-ES_tradnl"/>
              </w:rPr>
              <w:t>CDIP/16/</w:t>
            </w:r>
            <w:bookmarkStart w:id="0" w:name="Code"/>
            <w:bookmarkEnd w:id="0"/>
            <w:r w:rsidR="00C91693" w:rsidRPr="00C168C5">
              <w:rPr>
                <w:rFonts w:ascii="Arial Black" w:hAnsi="Arial Black"/>
                <w:caps/>
                <w:sz w:val="15"/>
                <w:lang w:val="es-ES_tradnl"/>
              </w:rPr>
              <w:t>2</w:t>
            </w:r>
          </w:p>
        </w:tc>
      </w:tr>
      <w:tr w:rsidR="008B2CC1" w:rsidRPr="00C168C5" w14:paraId="6CBF2FAE" w14:textId="77777777" w:rsidTr="00AB613D">
        <w:trPr>
          <w:trHeight w:hRule="exact" w:val="170"/>
        </w:trPr>
        <w:tc>
          <w:tcPr>
            <w:tcW w:w="9356" w:type="dxa"/>
            <w:gridSpan w:val="3"/>
            <w:noWrap/>
            <w:tcMar>
              <w:left w:w="0" w:type="dxa"/>
              <w:right w:w="0" w:type="dxa"/>
            </w:tcMar>
            <w:vAlign w:val="bottom"/>
          </w:tcPr>
          <w:p w14:paraId="5CA2CDD4" w14:textId="77777777" w:rsidR="008B2CC1" w:rsidRPr="00C168C5" w:rsidRDefault="008B2CC1" w:rsidP="00AB613D">
            <w:pPr>
              <w:jc w:val="right"/>
              <w:rPr>
                <w:rFonts w:ascii="Arial Black" w:hAnsi="Arial Black"/>
                <w:caps/>
                <w:sz w:val="15"/>
                <w:lang w:val="es-ES_tradnl"/>
              </w:rPr>
            </w:pPr>
            <w:r w:rsidRPr="00C168C5">
              <w:rPr>
                <w:rFonts w:ascii="Arial Black" w:hAnsi="Arial Black"/>
                <w:caps/>
                <w:sz w:val="15"/>
                <w:lang w:val="es-ES_tradnl"/>
              </w:rPr>
              <w:t>ORIGINAL:</w:t>
            </w:r>
            <w:r w:rsidR="00F84474" w:rsidRPr="00C168C5">
              <w:rPr>
                <w:rFonts w:ascii="Arial Black" w:hAnsi="Arial Black"/>
                <w:caps/>
                <w:sz w:val="15"/>
                <w:lang w:val="es-ES_tradnl"/>
              </w:rPr>
              <w:t xml:space="preserve"> </w:t>
            </w:r>
            <w:r w:rsidRPr="00C168C5">
              <w:rPr>
                <w:rFonts w:ascii="Arial Black" w:hAnsi="Arial Black"/>
                <w:caps/>
                <w:sz w:val="15"/>
                <w:lang w:val="es-ES_tradnl"/>
              </w:rPr>
              <w:t xml:space="preserve"> </w:t>
            </w:r>
            <w:bookmarkStart w:id="1" w:name="Original"/>
            <w:bookmarkEnd w:id="1"/>
            <w:r w:rsidR="00C91693" w:rsidRPr="00C168C5">
              <w:rPr>
                <w:rFonts w:ascii="Arial Black" w:hAnsi="Arial Black"/>
                <w:caps/>
                <w:sz w:val="15"/>
                <w:lang w:val="es-ES_tradnl"/>
              </w:rPr>
              <w:t>INGLÉS</w:t>
            </w:r>
          </w:p>
        </w:tc>
      </w:tr>
      <w:tr w:rsidR="008B2CC1" w:rsidRPr="00C168C5" w14:paraId="5B57800D" w14:textId="77777777" w:rsidTr="00AB613D">
        <w:trPr>
          <w:trHeight w:hRule="exact" w:val="198"/>
        </w:trPr>
        <w:tc>
          <w:tcPr>
            <w:tcW w:w="9356" w:type="dxa"/>
            <w:gridSpan w:val="3"/>
            <w:tcMar>
              <w:left w:w="0" w:type="dxa"/>
              <w:right w:w="0" w:type="dxa"/>
            </w:tcMar>
            <w:vAlign w:val="bottom"/>
          </w:tcPr>
          <w:p w14:paraId="7D95151A" w14:textId="77777777" w:rsidR="008B2CC1" w:rsidRPr="00C168C5" w:rsidRDefault="00675021" w:rsidP="00AB613D">
            <w:pPr>
              <w:jc w:val="right"/>
              <w:rPr>
                <w:rFonts w:ascii="Arial Black" w:hAnsi="Arial Black"/>
                <w:caps/>
                <w:sz w:val="15"/>
                <w:lang w:val="es-ES_tradnl"/>
              </w:rPr>
            </w:pPr>
            <w:r w:rsidRPr="00C168C5">
              <w:rPr>
                <w:rFonts w:ascii="Arial Black" w:hAnsi="Arial Black"/>
                <w:caps/>
                <w:sz w:val="15"/>
                <w:lang w:val="es-ES_tradnl"/>
              </w:rPr>
              <w:t>fecha</w:t>
            </w:r>
            <w:r w:rsidR="008B2CC1" w:rsidRPr="00C168C5">
              <w:rPr>
                <w:rFonts w:ascii="Arial Black" w:hAnsi="Arial Black"/>
                <w:caps/>
                <w:sz w:val="15"/>
                <w:lang w:val="es-ES_tradnl"/>
              </w:rPr>
              <w:t>:</w:t>
            </w:r>
            <w:r w:rsidR="00F84474" w:rsidRPr="00C168C5">
              <w:rPr>
                <w:rFonts w:ascii="Arial Black" w:hAnsi="Arial Black"/>
                <w:caps/>
                <w:sz w:val="15"/>
                <w:lang w:val="es-ES_tradnl"/>
              </w:rPr>
              <w:t xml:space="preserve"> </w:t>
            </w:r>
            <w:r w:rsidR="008B2CC1" w:rsidRPr="00C168C5">
              <w:rPr>
                <w:rFonts w:ascii="Arial Black" w:hAnsi="Arial Black"/>
                <w:caps/>
                <w:sz w:val="15"/>
                <w:lang w:val="es-ES_tradnl"/>
              </w:rPr>
              <w:t xml:space="preserve"> </w:t>
            </w:r>
            <w:bookmarkStart w:id="2" w:name="Date"/>
            <w:bookmarkEnd w:id="2"/>
            <w:r w:rsidR="00C91693" w:rsidRPr="00C168C5">
              <w:rPr>
                <w:rFonts w:ascii="Arial Black" w:hAnsi="Arial Black"/>
                <w:caps/>
                <w:sz w:val="15"/>
                <w:lang w:val="es-ES_tradnl"/>
              </w:rPr>
              <w:t>13 DE AGOSTO DE 2015</w:t>
            </w:r>
          </w:p>
        </w:tc>
      </w:tr>
    </w:tbl>
    <w:p w14:paraId="46D86B6F" w14:textId="77777777" w:rsidR="008B2CC1" w:rsidRPr="00C168C5" w:rsidRDefault="008B2CC1" w:rsidP="008B2CC1">
      <w:pPr>
        <w:rPr>
          <w:lang w:val="es-ES_tradnl"/>
        </w:rPr>
      </w:pPr>
    </w:p>
    <w:p w14:paraId="779E4CB3" w14:textId="77777777" w:rsidR="008B2CC1" w:rsidRPr="00C168C5" w:rsidRDefault="008B2CC1" w:rsidP="008B2CC1">
      <w:pPr>
        <w:rPr>
          <w:lang w:val="es-ES_tradnl"/>
        </w:rPr>
      </w:pPr>
    </w:p>
    <w:p w14:paraId="0EF164E5" w14:textId="77777777" w:rsidR="008B2CC1" w:rsidRPr="00C168C5" w:rsidRDefault="008B2CC1" w:rsidP="008B2CC1">
      <w:pPr>
        <w:rPr>
          <w:lang w:val="es-ES_tradnl"/>
        </w:rPr>
      </w:pPr>
    </w:p>
    <w:p w14:paraId="5DB84E07" w14:textId="77777777" w:rsidR="008B2CC1" w:rsidRPr="00C168C5" w:rsidRDefault="008B2CC1" w:rsidP="008B2CC1">
      <w:pPr>
        <w:rPr>
          <w:lang w:val="es-ES_tradnl"/>
        </w:rPr>
      </w:pPr>
    </w:p>
    <w:p w14:paraId="02963C29" w14:textId="77777777" w:rsidR="008B2CC1" w:rsidRPr="00C168C5" w:rsidRDefault="008B2CC1" w:rsidP="008B2CC1">
      <w:pPr>
        <w:rPr>
          <w:lang w:val="es-ES_tradnl"/>
        </w:rPr>
      </w:pPr>
    </w:p>
    <w:p w14:paraId="588EADA9" w14:textId="77777777" w:rsidR="00B67CDC" w:rsidRPr="00C168C5" w:rsidRDefault="005839AA" w:rsidP="00B67CDC">
      <w:pPr>
        <w:rPr>
          <w:b/>
          <w:sz w:val="28"/>
          <w:szCs w:val="28"/>
          <w:lang w:val="es-ES_tradnl"/>
        </w:rPr>
      </w:pPr>
      <w:r w:rsidRPr="00C168C5">
        <w:rPr>
          <w:b/>
          <w:sz w:val="28"/>
          <w:szCs w:val="28"/>
          <w:lang w:val="es-ES_tradnl"/>
        </w:rPr>
        <w:t>Comité de Desarrollo y Propiedad Intelectual (CDIP)</w:t>
      </w:r>
      <w:r w:rsidR="00B67CDC" w:rsidRPr="00C168C5">
        <w:rPr>
          <w:b/>
          <w:sz w:val="28"/>
          <w:szCs w:val="28"/>
          <w:lang w:val="es-ES_tradnl"/>
        </w:rPr>
        <w:t xml:space="preserve"> </w:t>
      </w:r>
    </w:p>
    <w:p w14:paraId="74A91226" w14:textId="77777777" w:rsidR="003845C1" w:rsidRPr="00C168C5" w:rsidRDefault="003845C1" w:rsidP="003845C1">
      <w:pPr>
        <w:rPr>
          <w:lang w:val="es-ES_tradnl"/>
        </w:rPr>
      </w:pPr>
    </w:p>
    <w:p w14:paraId="152A1FE9" w14:textId="77777777" w:rsidR="003845C1" w:rsidRPr="00C168C5" w:rsidRDefault="003845C1" w:rsidP="003845C1">
      <w:pPr>
        <w:rPr>
          <w:lang w:val="es-ES_tradnl"/>
        </w:rPr>
      </w:pPr>
    </w:p>
    <w:p w14:paraId="0C16FAE6" w14:textId="77777777" w:rsidR="00B67CDC" w:rsidRPr="00C168C5" w:rsidRDefault="005839AA" w:rsidP="00B67CDC">
      <w:pPr>
        <w:rPr>
          <w:b/>
          <w:sz w:val="24"/>
          <w:szCs w:val="24"/>
          <w:lang w:val="es-ES_tradnl"/>
        </w:rPr>
      </w:pPr>
      <w:r w:rsidRPr="00C168C5">
        <w:rPr>
          <w:b/>
          <w:sz w:val="24"/>
          <w:szCs w:val="24"/>
          <w:lang w:val="es-ES_tradnl"/>
        </w:rPr>
        <w:t>Decimosexta s</w:t>
      </w:r>
      <w:r w:rsidR="00B67CDC" w:rsidRPr="00C168C5">
        <w:rPr>
          <w:b/>
          <w:sz w:val="24"/>
          <w:szCs w:val="24"/>
          <w:lang w:val="es-ES_tradnl"/>
        </w:rPr>
        <w:t>esión</w:t>
      </w:r>
    </w:p>
    <w:p w14:paraId="68A40771" w14:textId="77777777" w:rsidR="00B67CDC" w:rsidRPr="00C168C5" w:rsidRDefault="005839AA" w:rsidP="00B67CDC">
      <w:pPr>
        <w:rPr>
          <w:b/>
          <w:sz w:val="24"/>
          <w:szCs w:val="24"/>
          <w:lang w:val="es-ES_tradnl"/>
        </w:rPr>
      </w:pPr>
      <w:r w:rsidRPr="00C168C5">
        <w:rPr>
          <w:b/>
          <w:sz w:val="24"/>
          <w:szCs w:val="24"/>
          <w:lang w:val="es-ES_tradnl"/>
        </w:rPr>
        <w:t>Ginebra, 9 a 13 de noviembre de 2015</w:t>
      </w:r>
    </w:p>
    <w:p w14:paraId="77BE7B99" w14:textId="77777777" w:rsidR="008B2CC1" w:rsidRPr="00C168C5" w:rsidRDefault="008B2CC1" w:rsidP="008B2CC1">
      <w:pPr>
        <w:rPr>
          <w:lang w:val="es-ES_tradnl"/>
        </w:rPr>
      </w:pPr>
    </w:p>
    <w:p w14:paraId="61989EF5" w14:textId="77777777" w:rsidR="008B2CC1" w:rsidRPr="00C168C5" w:rsidRDefault="008B2CC1" w:rsidP="008B2CC1">
      <w:pPr>
        <w:rPr>
          <w:lang w:val="es-ES_tradnl"/>
        </w:rPr>
      </w:pPr>
    </w:p>
    <w:p w14:paraId="3716F8F1" w14:textId="77777777" w:rsidR="008B2CC1" w:rsidRPr="00C168C5" w:rsidRDefault="008B2CC1" w:rsidP="008B2CC1">
      <w:pPr>
        <w:rPr>
          <w:lang w:val="es-ES_tradnl"/>
        </w:rPr>
      </w:pPr>
    </w:p>
    <w:p w14:paraId="07590A86" w14:textId="77777777" w:rsidR="00C91693" w:rsidRPr="00C168C5" w:rsidRDefault="00243943" w:rsidP="00C91693">
      <w:pPr>
        <w:rPr>
          <w:caps/>
          <w:sz w:val="24"/>
          <w:lang w:val="es-ES_tradnl"/>
        </w:rPr>
      </w:pPr>
      <w:bookmarkStart w:id="3" w:name="TitleOfDoc"/>
      <w:bookmarkEnd w:id="3"/>
      <w:r w:rsidRPr="00C168C5">
        <w:rPr>
          <w:caps/>
          <w:sz w:val="24"/>
          <w:lang w:val="es-ES_tradnl"/>
        </w:rPr>
        <w:t>informe sobre la marcha de las activiDades</w:t>
      </w:r>
    </w:p>
    <w:p w14:paraId="7DF56967" w14:textId="77777777" w:rsidR="00C91693" w:rsidRPr="00C168C5" w:rsidRDefault="00C91693" w:rsidP="00C91693">
      <w:pPr>
        <w:rPr>
          <w:lang w:val="es-ES_tradnl"/>
        </w:rPr>
      </w:pPr>
    </w:p>
    <w:p w14:paraId="4AD9937F" w14:textId="77777777" w:rsidR="00C91693" w:rsidRPr="00C168C5" w:rsidRDefault="00243943" w:rsidP="00C91693">
      <w:pPr>
        <w:rPr>
          <w:i/>
          <w:lang w:val="es-ES_tradnl"/>
        </w:rPr>
      </w:pPr>
      <w:bookmarkStart w:id="4" w:name="Prepared"/>
      <w:bookmarkEnd w:id="4"/>
      <w:r w:rsidRPr="00C168C5">
        <w:rPr>
          <w:i/>
          <w:lang w:val="es-ES_tradnl"/>
        </w:rPr>
        <w:t>p</w:t>
      </w:r>
      <w:r w:rsidR="00C91693" w:rsidRPr="00C168C5">
        <w:rPr>
          <w:i/>
          <w:lang w:val="es-ES_tradnl"/>
        </w:rPr>
        <w:t>repar</w:t>
      </w:r>
      <w:r w:rsidRPr="00C168C5">
        <w:rPr>
          <w:i/>
          <w:lang w:val="es-ES_tradnl"/>
        </w:rPr>
        <w:t xml:space="preserve">ado por la Secretaría </w:t>
      </w:r>
    </w:p>
    <w:p w14:paraId="17FC4B60" w14:textId="77777777" w:rsidR="00C91693" w:rsidRPr="00C168C5" w:rsidRDefault="00C91693" w:rsidP="00C91693">
      <w:pPr>
        <w:rPr>
          <w:lang w:val="es-ES_tradnl"/>
        </w:rPr>
      </w:pPr>
    </w:p>
    <w:p w14:paraId="44E46C5B" w14:textId="77777777" w:rsidR="00C91693" w:rsidRPr="00C168C5" w:rsidRDefault="00C91693" w:rsidP="00C91693">
      <w:pPr>
        <w:rPr>
          <w:lang w:val="es-ES_tradnl"/>
        </w:rPr>
      </w:pPr>
    </w:p>
    <w:p w14:paraId="0A1DA7AB" w14:textId="77777777" w:rsidR="00C91693" w:rsidRPr="00C168C5" w:rsidRDefault="00C91693" w:rsidP="00C91693">
      <w:pPr>
        <w:rPr>
          <w:lang w:val="es-ES_tradnl"/>
        </w:rPr>
      </w:pPr>
    </w:p>
    <w:p w14:paraId="2EB5FEF9" w14:textId="77777777" w:rsidR="00C91693" w:rsidRPr="00C168C5" w:rsidRDefault="00C91693" w:rsidP="00C91693">
      <w:pPr>
        <w:rPr>
          <w:lang w:val="es-ES_tradnl"/>
        </w:rPr>
      </w:pPr>
    </w:p>
    <w:p w14:paraId="1703649C" w14:textId="39B07CAE" w:rsidR="00C91693" w:rsidRPr="00C168C5" w:rsidRDefault="002803E6" w:rsidP="00903EA9">
      <w:pPr>
        <w:pStyle w:val="ListParagraph"/>
        <w:numPr>
          <w:ilvl w:val="0"/>
          <w:numId w:val="4"/>
        </w:numPr>
        <w:ind w:left="540" w:hanging="540"/>
        <w:rPr>
          <w:lang w:val="es-ES_tradnl"/>
        </w:rPr>
      </w:pPr>
      <w:r w:rsidRPr="00C168C5">
        <w:rPr>
          <w:lang w:val="es-ES_tradnl"/>
        </w:rPr>
        <w:t>En los anexos del presente documento figuran los informes siguientes</w:t>
      </w:r>
      <w:r w:rsidR="00C91693" w:rsidRPr="00C168C5">
        <w:rPr>
          <w:lang w:val="es-ES_tradnl"/>
        </w:rPr>
        <w:t>:</w:t>
      </w:r>
    </w:p>
    <w:p w14:paraId="78377974" w14:textId="77777777" w:rsidR="00C91693" w:rsidRPr="00C168C5" w:rsidRDefault="00C91693" w:rsidP="00C91693">
      <w:pPr>
        <w:pStyle w:val="ListParagraph"/>
        <w:ind w:left="540"/>
        <w:rPr>
          <w:lang w:val="es-ES_tradnl"/>
        </w:rPr>
      </w:pPr>
    </w:p>
    <w:p w14:paraId="033B4D9B" w14:textId="6C6659F8" w:rsidR="00C91693" w:rsidRPr="00C168C5" w:rsidRDefault="002803E6" w:rsidP="00BE09A9">
      <w:pPr>
        <w:pStyle w:val="ListParagraph"/>
        <w:numPr>
          <w:ilvl w:val="0"/>
          <w:numId w:val="38"/>
        </w:numPr>
        <w:rPr>
          <w:lang w:val="es-ES_tradnl"/>
        </w:rPr>
      </w:pPr>
      <w:r w:rsidRPr="00C168C5">
        <w:rPr>
          <w:lang w:val="es-ES_tradnl"/>
        </w:rPr>
        <w:t xml:space="preserve">Informes de situación sobre los siguientes proyectos de la </w:t>
      </w:r>
      <w:r w:rsidR="00C91693" w:rsidRPr="00C168C5">
        <w:rPr>
          <w:lang w:val="es-ES_tradnl"/>
        </w:rPr>
        <w:t>Agenda</w:t>
      </w:r>
      <w:r w:rsidRPr="00C168C5">
        <w:rPr>
          <w:lang w:val="es-ES_tradnl"/>
        </w:rPr>
        <w:t xml:space="preserve"> </w:t>
      </w:r>
      <w:r w:rsidR="000262F9" w:rsidRPr="00C168C5">
        <w:rPr>
          <w:lang w:val="es-ES_tradnl"/>
        </w:rPr>
        <w:t xml:space="preserve">para </w:t>
      </w:r>
      <w:r w:rsidRPr="00C168C5">
        <w:rPr>
          <w:lang w:val="es-ES_tradnl"/>
        </w:rPr>
        <w:t>el desarrollo</w:t>
      </w:r>
      <w:r w:rsidR="00C91693" w:rsidRPr="00C168C5">
        <w:rPr>
          <w:lang w:val="es-ES_tradnl"/>
        </w:rPr>
        <w:t>:</w:t>
      </w:r>
    </w:p>
    <w:p w14:paraId="151CED88" w14:textId="77777777" w:rsidR="00C91693" w:rsidRPr="00C168C5" w:rsidRDefault="00C91693" w:rsidP="00C91693">
      <w:pPr>
        <w:rPr>
          <w:lang w:val="es-ES_tradnl"/>
        </w:rPr>
      </w:pPr>
    </w:p>
    <w:p w14:paraId="4736D915" w14:textId="77777777" w:rsidR="00FA417D" w:rsidRPr="00C168C5" w:rsidRDefault="006F6852" w:rsidP="00903EA9">
      <w:pPr>
        <w:pStyle w:val="ListParagraph"/>
        <w:numPr>
          <w:ilvl w:val="0"/>
          <w:numId w:val="6"/>
        </w:numPr>
        <w:tabs>
          <w:tab w:val="left" w:pos="1843"/>
        </w:tabs>
        <w:ind w:left="1134" w:firstLine="0"/>
        <w:rPr>
          <w:lang w:val="es-ES_tradnl"/>
        </w:rPr>
      </w:pPr>
      <w:r w:rsidRPr="00C168C5">
        <w:rPr>
          <w:lang w:val="es-ES_tradnl"/>
        </w:rPr>
        <w:t xml:space="preserve">Fortalecimiento y desarrollo del sector audiovisual en </w:t>
      </w:r>
      <w:r w:rsidR="00C91693" w:rsidRPr="00C168C5">
        <w:rPr>
          <w:lang w:val="es-ES_tradnl"/>
        </w:rPr>
        <w:t xml:space="preserve">Burkina Faso </w:t>
      </w:r>
      <w:r w:rsidRPr="00C168C5">
        <w:rPr>
          <w:lang w:val="es-ES_tradnl"/>
        </w:rPr>
        <w:t>y en determinados países de África (A</w:t>
      </w:r>
      <w:r w:rsidR="00C91693" w:rsidRPr="00C168C5">
        <w:rPr>
          <w:lang w:val="es-ES_tradnl"/>
        </w:rPr>
        <w:t>nex</w:t>
      </w:r>
      <w:r w:rsidRPr="00C168C5">
        <w:rPr>
          <w:lang w:val="es-ES_tradnl"/>
        </w:rPr>
        <w:t>o</w:t>
      </w:r>
      <w:r w:rsidR="00C91693" w:rsidRPr="00C168C5">
        <w:rPr>
          <w:lang w:val="es-ES_tradnl"/>
        </w:rPr>
        <w:t xml:space="preserve"> I);</w:t>
      </w:r>
    </w:p>
    <w:p w14:paraId="1E221BDF" w14:textId="77777777" w:rsidR="00FA417D" w:rsidRPr="00C168C5" w:rsidRDefault="00FA417D" w:rsidP="00FA417D">
      <w:pPr>
        <w:tabs>
          <w:tab w:val="left" w:pos="1843"/>
        </w:tabs>
        <w:ind w:left="1530"/>
        <w:rPr>
          <w:lang w:val="es-ES_tradnl"/>
        </w:rPr>
      </w:pPr>
    </w:p>
    <w:p w14:paraId="647C9703" w14:textId="0FEA1C01" w:rsidR="00EA0D91" w:rsidRPr="00C168C5" w:rsidRDefault="00EA0D91" w:rsidP="00903EA9">
      <w:pPr>
        <w:pStyle w:val="ListParagraph"/>
        <w:numPr>
          <w:ilvl w:val="0"/>
          <w:numId w:val="6"/>
        </w:numPr>
        <w:tabs>
          <w:tab w:val="left" w:pos="1843"/>
        </w:tabs>
        <w:ind w:left="1134" w:firstLine="0"/>
        <w:rPr>
          <w:lang w:val="es-ES_tradnl"/>
        </w:rPr>
      </w:pPr>
      <w:r w:rsidRPr="00C168C5">
        <w:rPr>
          <w:lang w:val="es-ES_tradnl"/>
        </w:rPr>
        <w:t xml:space="preserve">Proyecto </w:t>
      </w:r>
      <w:r w:rsidR="006F0E8D" w:rsidRPr="00C168C5">
        <w:rPr>
          <w:lang w:val="es-ES_tradnl"/>
        </w:rPr>
        <w:t xml:space="preserve">piloto sobre </w:t>
      </w:r>
      <w:r w:rsidRPr="00C168C5">
        <w:rPr>
          <w:lang w:val="es-ES_tradnl"/>
        </w:rPr>
        <w:t xml:space="preserve">la propiedad intelectual </w:t>
      </w:r>
      <w:r w:rsidR="006F0E8D" w:rsidRPr="00C168C5">
        <w:rPr>
          <w:lang w:val="es-ES_tradnl"/>
        </w:rPr>
        <w:t>(P</w:t>
      </w:r>
      <w:r w:rsidR="004C64AE" w:rsidRPr="00C168C5">
        <w:rPr>
          <w:lang w:val="es-ES_tradnl"/>
        </w:rPr>
        <w:t>.</w:t>
      </w:r>
      <w:r w:rsidR="006F0E8D" w:rsidRPr="00C168C5">
        <w:rPr>
          <w:lang w:val="es-ES_tradnl"/>
        </w:rPr>
        <w:t>I</w:t>
      </w:r>
      <w:r w:rsidR="004C64AE" w:rsidRPr="00C168C5">
        <w:rPr>
          <w:lang w:val="es-ES_tradnl"/>
        </w:rPr>
        <w:t>.</w:t>
      </w:r>
      <w:r w:rsidR="006F0E8D" w:rsidRPr="00C168C5">
        <w:rPr>
          <w:lang w:val="es-ES_tradnl"/>
        </w:rPr>
        <w:t>)</w:t>
      </w:r>
      <w:r w:rsidR="00C91693" w:rsidRPr="00C168C5">
        <w:rPr>
          <w:lang w:val="es-ES_tradnl"/>
        </w:rPr>
        <w:t xml:space="preserve"> </w:t>
      </w:r>
      <w:r w:rsidRPr="00C168C5">
        <w:rPr>
          <w:lang w:val="es-ES_tradnl"/>
        </w:rPr>
        <w:t xml:space="preserve">y la </w:t>
      </w:r>
      <w:r w:rsidR="00FA417D" w:rsidRPr="00C168C5">
        <w:rPr>
          <w:lang w:val="es-ES_tradnl"/>
        </w:rPr>
        <w:t xml:space="preserve">gestión de diseños </w:t>
      </w:r>
      <w:r w:rsidR="004C1AF3" w:rsidRPr="00C168C5">
        <w:rPr>
          <w:lang w:val="es-ES_tradnl"/>
        </w:rPr>
        <w:t>para fomentar las actividades comerciales en los países en desarrollo y los países menos adelantados (PMA) (An</w:t>
      </w:r>
      <w:r w:rsidR="00C91693" w:rsidRPr="00C168C5">
        <w:rPr>
          <w:lang w:val="es-ES_tradnl"/>
        </w:rPr>
        <w:t>ex</w:t>
      </w:r>
      <w:r w:rsidR="004C1AF3" w:rsidRPr="00C168C5">
        <w:rPr>
          <w:lang w:val="es-ES_tradnl"/>
        </w:rPr>
        <w:t>o</w:t>
      </w:r>
      <w:r w:rsidR="00C91693" w:rsidRPr="00C168C5">
        <w:rPr>
          <w:lang w:val="es-ES_tradnl"/>
        </w:rPr>
        <w:t xml:space="preserve"> II);  </w:t>
      </w:r>
    </w:p>
    <w:p w14:paraId="75860581" w14:textId="77777777" w:rsidR="00EA0D91" w:rsidRPr="00C168C5" w:rsidRDefault="00EA0D91" w:rsidP="00EA0D91">
      <w:pPr>
        <w:tabs>
          <w:tab w:val="left" w:pos="1843"/>
        </w:tabs>
        <w:rPr>
          <w:lang w:val="es-ES_tradnl"/>
        </w:rPr>
      </w:pPr>
    </w:p>
    <w:p w14:paraId="4C2C2A66" w14:textId="1ABA3B6A" w:rsidR="00C91693" w:rsidRPr="00C168C5" w:rsidRDefault="00E72A7D" w:rsidP="00903EA9">
      <w:pPr>
        <w:pStyle w:val="ListParagraph"/>
        <w:numPr>
          <w:ilvl w:val="0"/>
          <w:numId w:val="6"/>
        </w:numPr>
        <w:tabs>
          <w:tab w:val="left" w:pos="1843"/>
        </w:tabs>
        <w:ind w:left="1134" w:firstLine="0"/>
        <w:rPr>
          <w:lang w:val="es-ES_tradnl"/>
        </w:rPr>
      </w:pPr>
      <w:r w:rsidRPr="00C168C5">
        <w:rPr>
          <w:lang w:val="es-ES_tradnl"/>
        </w:rPr>
        <w:t xml:space="preserve">Fortalecimiento de capacidades </w:t>
      </w:r>
      <w:r w:rsidR="006D1AD1" w:rsidRPr="00C168C5">
        <w:rPr>
          <w:lang w:val="es-ES_tradnl"/>
        </w:rPr>
        <w:t xml:space="preserve">en el uso de </w:t>
      </w:r>
      <w:r w:rsidR="002C06AD" w:rsidRPr="00C168C5">
        <w:rPr>
          <w:lang w:val="es-ES_tradnl"/>
        </w:rPr>
        <w:t xml:space="preserve">información </w:t>
      </w:r>
      <w:r w:rsidR="00951A43" w:rsidRPr="00C168C5">
        <w:rPr>
          <w:lang w:val="es-ES_tradnl"/>
        </w:rPr>
        <w:t xml:space="preserve">técnica y científica relativa a tecnologías apropiadas </w:t>
      </w:r>
      <w:r w:rsidR="006D1AD1" w:rsidRPr="00C168C5">
        <w:rPr>
          <w:lang w:val="es-ES_tradnl"/>
        </w:rPr>
        <w:t>para solucionar determinados problemas de desarrollo – Fase II (A</w:t>
      </w:r>
      <w:r w:rsidR="00C91693" w:rsidRPr="00C168C5">
        <w:rPr>
          <w:lang w:val="es-ES_tradnl"/>
        </w:rPr>
        <w:t>nex</w:t>
      </w:r>
      <w:r w:rsidR="006D1AD1" w:rsidRPr="00C168C5">
        <w:rPr>
          <w:lang w:val="es-ES_tradnl"/>
        </w:rPr>
        <w:t>o</w:t>
      </w:r>
      <w:r w:rsidR="00C91693" w:rsidRPr="00C168C5">
        <w:rPr>
          <w:lang w:val="es-ES_tradnl"/>
        </w:rPr>
        <w:t xml:space="preserve"> </w:t>
      </w:r>
      <w:r w:rsidR="006D1AD1" w:rsidRPr="00C168C5">
        <w:rPr>
          <w:lang w:val="es-ES_tradnl"/>
        </w:rPr>
        <w:t>VI);  y</w:t>
      </w:r>
    </w:p>
    <w:p w14:paraId="556379CD" w14:textId="77777777" w:rsidR="00C91693" w:rsidRPr="00C168C5" w:rsidRDefault="00C91693" w:rsidP="00C91693">
      <w:pPr>
        <w:ind w:left="1170"/>
        <w:rPr>
          <w:lang w:val="es-ES_tradnl"/>
        </w:rPr>
      </w:pPr>
    </w:p>
    <w:p w14:paraId="644489C8" w14:textId="0D538D78" w:rsidR="00C91693" w:rsidRPr="00C168C5" w:rsidRDefault="001F7028" w:rsidP="00903EA9">
      <w:pPr>
        <w:pStyle w:val="ListParagraph"/>
        <w:numPr>
          <w:ilvl w:val="0"/>
          <w:numId w:val="6"/>
        </w:numPr>
        <w:ind w:left="1134" w:firstLine="36"/>
        <w:rPr>
          <w:lang w:val="es-ES_tradnl"/>
        </w:rPr>
      </w:pPr>
      <w:r w:rsidRPr="00C168C5">
        <w:rPr>
          <w:lang w:val="es-ES_tradnl"/>
        </w:rPr>
        <w:t xml:space="preserve">Propiedad </w:t>
      </w:r>
      <w:r w:rsidR="003E3F3B" w:rsidRPr="00C168C5">
        <w:rPr>
          <w:lang w:val="es-ES_tradnl"/>
        </w:rPr>
        <w:t xml:space="preserve">intelectual y desarrollo socioeconómico </w:t>
      </w:r>
      <w:r w:rsidR="00C91693" w:rsidRPr="00C168C5">
        <w:rPr>
          <w:lang w:val="es-ES_tradnl"/>
        </w:rPr>
        <w:t xml:space="preserve">– </w:t>
      </w:r>
      <w:r w:rsidR="003E3F3B" w:rsidRPr="00C168C5">
        <w:rPr>
          <w:lang w:val="es-ES_tradnl"/>
        </w:rPr>
        <w:t xml:space="preserve">Fase II </w:t>
      </w:r>
      <w:r w:rsidR="003E3F3B" w:rsidRPr="00C168C5">
        <w:rPr>
          <w:lang w:val="es-ES_tradnl"/>
        </w:rPr>
        <w:br/>
        <w:t>(A</w:t>
      </w:r>
      <w:r w:rsidR="00C91693" w:rsidRPr="00C168C5">
        <w:rPr>
          <w:lang w:val="es-ES_tradnl"/>
        </w:rPr>
        <w:t>nex</w:t>
      </w:r>
      <w:r w:rsidR="003E3F3B" w:rsidRPr="00C168C5">
        <w:rPr>
          <w:lang w:val="es-ES_tradnl"/>
        </w:rPr>
        <w:t>o</w:t>
      </w:r>
      <w:r w:rsidR="00C91693" w:rsidRPr="00C168C5">
        <w:rPr>
          <w:lang w:val="es-ES_tradnl"/>
        </w:rPr>
        <w:t xml:space="preserve"> IV).</w:t>
      </w:r>
    </w:p>
    <w:p w14:paraId="3466B578" w14:textId="77777777" w:rsidR="00C91693" w:rsidRPr="00C168C5" w:rsidRDefault="00C91693" w:rsidP="00C91693">
      <w:pPr>
        <w:ind w:left="1170"/>
        <w:rPr>
          <w:lang w:val="es-ES_tradnl"/>
        </w:rPr>
      </w:pPr>
    </w:p>
    <w:p w14:paraId="634C8114" w14:textId="0EDD09A7" w:rsidR="00C91693" w:rsidRPr="00C168C5" w:rsidRDefault="009D1AAC" w:rsidP="00BE09A9">
      <w:pPr>
        <w:pStyle w:val="ListParagraph"/>
        <w:numPr>
          <w:ilvl w:val="0"/>
          <w:numId w:val="38"/>
        </w:numPr>
        <w:ind w:left="1170" w:hanging="630"/>
        <w:rPr>
          <w:lang w:val="es-ES_tradnl"/>
        </w:rPr>
      </w:pPr>
      <w:r w:rsidRPr="00C168C5">
        <w:rPr>
          <w:lang w:val="es-ES_tradnl"/>
        </w:rPr>
        <w:t>Informes de terminación sobre los siguientes proyectos de la Agenda para el Desarrollo</w:t>
      </w:r>
      <w:r w:rsidR="00C91693" w:rsidRPr="00C168C5">
        <w:rPr>
          <w:lang w:val="es-ES_tradnl"/>
        </w:rPr>
        <w:t>:</w:t>
      </w:r>
    </w:p>
    <w:p w14:paraId="0900B6DC" w14:textId="77777777" w:rsidR="00C91693" w:rsidRPr="00C168C5" w:rsidRDefault="00C91693" w:rsidP="00C91693">
      <w:pPr>
        <w:pStyle w:val="ListParagraph"/>
        <w:ind w:left="1800"/>
        <w:rPr>
          <w:lang w:val="es-ES_tradnl"/>
        </w:rPr>
      </w:pPr>
    </w:p>
    <w:p w14:paraId="1F9CD2BA" w14:textId="77777777" w:rsidR="001A2FA4" w:rsidRDefault="009D1AAC" w:rsidP="00903EA9">
      <w:pPr>
        <w:pStyle w:val="ListParagraph"/>
        <w:numPr>
          <w:ilvl w:val="0"/>
          <w:numId w:val="7"/>
        </w:numPr>
        <w:tabs>
          <w:tab w:val="left" w:pos="1843"/>
        </w:tabs>
        <w:ind w:left="1134" w:firstLine="0"/>
        <w:rPr>
          <w:lang w:val="es-ES_tradnl"/>
        </w:rPr>
      </w:pPr>
      <w:r w:rsidRPr="00C168C5">
        <w:rPr>
          <w:lang w:val="es-ES_tradnl"/>
        </w:rPr>
        <w:t>Proyecto sobre propiedad intelectual y transferencia de tecnología: desafíos y soluciones comunes (A</w:t>
      </w:r>
      <w:r w:rsidR="00C91693" w:rsidRPr="00C168C5">
        <w:rPr>
          <w:lang w:val="es-ES_tradnl"/>
        </w:rPr>
        <w:t>nex</w:t>
      </w:r>
      <w:r w:rsidRPr="00C168C5">
        <w:rPr>
          <w:lang w:val="es-ES_tradnl"/>
        </w:rPr>
        <w:t>o</w:t>
      </w:r>
      <w:r w:rsidR="00C91693" w:rsidRPr="00C168C5">
        <w:rPr>
          <w:lang w:val="es-ES_tradnl"/>
        </w:rPr>
        <w:t xml:space="preserve"> V);</w:t>
      </w:r>
    </w:p>
    <w:p w14:paraId="214D95CA" w14:textId="77777777" w:rsidR="00A3265D" w:rsidRPr="00A3265D" w:rsidRDefault="00A3265D" w:rsidP="00A3265D">
      <w:pPr>
        <w:tabs>
          <w:tab w:val="left" w:pos="1843"/>
        </w:tabs>
        <w:ind w:left="1134"/>
        <w:rPr>
          <w:lang w:val="es-ES_tradnl"/>
        </w:rPr>
      </w:pPr>
    </w:p>
    <w:p w14:paraId="0EB2043C" w14:textId="464351A8" w:rsidR="00C91693" w:rsidRPr="00C168C5" w:rsidRDefault="001A2FA4" w:rsidP="00903EA9">
      <w:pPr>
        <w:pStyle w:val="ListParagraph"/>
        <w:numPr>
          <w:ilvl w:val="0"/>
          <w:numId w:val="7"/>
        </w:numPr>
        <w:tabs>
          <w:tab w:val="left" w:pos="1843"/>
        </w:tabs>
        <w:ind w:left="1134" w:firstLine="0"/>
        <w:rPr>
          <w:lang w:val="es-ES_tradnl"/>
        </w:rPr>
      </w:pPr>
      <w:r w:rsidRPr="00C168C5">
        <w:rPr>
          <w:lang w:val="es-ES_tradnl"/>
        </w:rPr>
        <w:lastRenderedPageBreak/>
        <w:t xml:space="preserve">Ampliación del proyecto relativo a la intensificación de la cooperación sur-sur en materia de propiedad intelectual </w:t>
      </w:r>
      <w:r w:rsidR="00E26C4D" w:rsidRPr="00C168C5">
        <w:rPr>
          <w:lang w:val="es-ES_tradnl"/>
        </w:rPr>
        <w:t>y desarrollo e</w:t>
      </w:r>
      <w:r w:rsidRPr="00C168C5">
        <w:rPr>
          <w:lang w:val="es-ES_tradnl"/>
        </w:rPr>
        <w:t>ntre los países en desarrollo y los países menos adelantados (A</w:t>
      </w:r>
      <w:r w:rsidR="00C91693" w:rsidRPr="00C168C5">
        <w:rPr>
          <w:lang w:val="es-ES_tradnl"/>
        </w:rPr>
        <w:t>nex</w:t>
      </w:r>
      <w:r w:rsidRPr="00C168C5">
        <w:rPr>
          <w:lang w:val="es-ES_tradnl"/>
        </w:rPr>
        <w:t>o</w:t>
      </w:r>
      <w:r w:rsidR="00E26C4D" w:rsidRPr="00C168C5">
        <w:rPr>
          <w:lang w:val="es-ES_tradnl"/>
        </w:rPr>
        <w:t xml:space="preserve"> </w:t>
      </w:r>
      <w:r w:rsidR="00C91693" w:rsidRPr="00C168C5">
        <w:rPr>
          <w:lang w:val="es-ES_tradnl"/>
        </w:rPr>
        <w:t>VI);</w:t>
      </w:r>
    </w:p>
    <w:p w14:paraId="4AC44115" w14:textId="77777777" w:rsidR="001A2FA4" w:rsidRPr="00C168C5" w:rsidRDefault="001A2FA4" w:rsidP="001A2FA4">
      <w:pPr>
        <w:tabs>
          <w:tab w:val="left" w:pos="1843"/>
        </w:tabs>
        <w:rPr>
          <w:lang w:val="es-ES_tradnl"/>
        </w:rPr>
      </w:pPr>
    </w:p>
    <w:p w14:paraId="5E59214D" w14:textId="5EE03EDA" w:rsidR="00C91693" w:rsidRPr="00C168C5" w:rsidRDefault="00C91693" w:rsidP="00C91693">
      <w:pPr>
        <w:pStyle w:val="ListParagraph"/>
        <w:ind w:left="567"/>
        <w:rPr>
          <w:rStyle w:val="Hyperlink"/>
          <w:lang w:val="es-ES_tradnl"/>
        </w:rPr>
      </w:pPr>
      <w:r w:rsidRPr="00C168C5">
        <w:rPr>
          <w:lang w:val="es-ES_tradnl"/>
        </w:rPr>
        <w:t>c)</w:t>
      </w:r>
      <w:r w:rsidRPr="00C168C5">
        <w:rPr>
          <w:lang w:val="es-ES_tradnl"/>
        </w:rPr>
        <w:tab/>
      </w:r>
      <w:r w:rsidR="00E26C4D" w:rsidRPr="00C168C5">
        <w:rPr>
          <w:lang w:val="es-ES_tradnl"/>
        </w:rPr>
        <w:t xml:space="preserve">Informe sobre el avance de la labor relativa a las recomendaciones que deben aplicarse inmediatamente (las 19 recomendaciones) que abarca el período comprendido entre julio de </w:t>
      </w:r>
      <w:r w:rsidRPr="00C168C5">
        <w:rPr>
          <w:lang w:val="es-ES_tradnl"/>
        </w:rPr>
        <w:t xml:space="preserve">2014 </w:t>
      </w:r>
      <w:r w:rsidR="00E26C4D" w:rsidRPr="00C168C5">
        <w:rPr>
          <w:lang w:val="es-ES_tradnl"/>
        </w:rPr>
        <w:t xml:space="preserve">a junio de </w:t>
      </w:r>
      <w:r w:rsidRPr="00C168C5">
        <w:rPr>
          <w:lang w:val="es-ES_tradnl"/>
        </w:rPr>
        <w:t>2015</w:t>
      </w:r>
      <w:r w:rsidR="00665F61" w:rsidRPr="00C168C5">
        <w:rPr>
          <w:lang w:val="es-ES_tradnl"/>
        </w:rPr>
        <w:t xml:space="preserve">.  Como </w:t>
      </w:r>
      <w:r w:rsidR="00E26C4D" w:rsidRPr="00C168C5">
        <w:rPr>
          <w:lang w:val="es-ES_tradnl"/>
        </w:rPr>
        <w:t xml:space="preserve">convenido en la </w:t>
      </w:r>
      <w:r w:rsidR="00E156D9" w:rsidRPr="00C168C5">
        <w:rPr>
          <w:lang w:val="es-ES_tradnl"/>
        </w:rPr>
        <w:t xml:space="preserve">segunda sesión del </w:t>
      </w:r>
      <w:r w:rsidRPr="00C168C5">
        <w:rPr>
          <w:lang w:val="es-ES_tradnl"/>
        </w:rPr>
        <w:t xml:space="preserve">CDIP, </w:t>
      </w:r>
      <w:r w:rsidR="00E156D9" w:rsidRPr="00C168C5">
        <w:rPr>
          <w:lang w:val="es-ES_tradnl"/>
        </w:rPr>
        <w:t xml:space="preserve">el informe se centra en las estrategias adoptadas para dar aplicación a cada recomendación y destaca los principales logros </w:t>
      </w:r>
      <w:r w:rsidR="00080878" w:rsidRPr="00C168C5">
        <w:rPr>
          <w:lang w:val="es-ES_tradnl"/>
        </w:rPr>
        <w:t>alcanzados</w:t>
      </w:r>
      <w:r w:rsidRPr="00C168C5">
        <w:rPr>
          <w:lang w:val="es-ES_tradnl"/>
        </w:rPr>
        <w:t xml:space="preserve">.  </w:t>
      </w:r>
      <w:r w:rsidR="00E156D9" w:rsidRPr="00C168C5">
        <w:rPr>
          <w:lang w:val="es-ES_tradnl"/>
        </w:rPr>
        <w:t>La lista de actividades y otras informaciones conexas figuran en las bases de datos de asistencia técnica en materia de P.I.</w:t>
      </w:r>
      <w:r w:rsidRPr="00C168C5">
        <w:rPr>
          <w:lang w:val="es-ES_tradnl"/>
        </w:rPr>
        <w:t xml:space="preserve"> (IP-TAD)</w:t>
      </w:r>
      <w:r w:rsidR="00E63736" w:rsidRPr="00C168C5">
        <w:rPr>
          <w:lang w:val="es-ES_tradnl"/>
        </w:rPr>
        <w:t xml:space="preserve">, </w:t>
      </w:r>
      <w:r w:rsidR="00E156D9" w:rsidRPr="00C168C5">
        <w:rPr>
          <w:lang w:val="es-ES_tradnl"/>
        </w:rPr>
        <w:t>que se pueden consultar en</w:t>
      </w:r>
      <w:proofErr w:type="gramStart"/>
      <w:r w:rsidRPr="00C168C5">
        <w:rPr>
          <w:lang w:val="es-ES_tradnl"/>
        </w:rPr>
        <w:t xml:space="preserve">:  </w:t>
      </w:r>
      <w:r w:rsidRPr="00C168C5">
        <w:rPr>
          <w:sz w:val="2"/>
          <w:szCs w:val="2"/>
          <w:lang w:val="es-ES_tradnl"/>
        </w:rPr>
        <w:t>H</w:t>
      </w:r>
      <w:proofErr w:type="gramEnd"/>
      <w:r w:rsidR="008267FC">
        <w:fldChar w:fldCharType="begin"/>
      </w:r>
      <w:r w:rsidR="008267FC" w:rsidRPr="00D85397">
        <w:rPr>
          <w:lang w:val="fr-CH"/>
        </w:rPr>
        <w:instrText xml:space="preserve"> HYPERLINK "http://www.wipo.int/tad" \o "http://www.wipo.int/tad" </w:instrText>
      </w:r>
      <w:r w:rsidR="008267FC">
        <w:fldChar w:fldCharType="separate"/>
      </w:r>
      <w:r w:rsidRPr="00C168C5">
        <w:rPr>
          <w:rStyle w:val="Hyperlink"/>
          <w:lang w:val="es-ES_tradnl"/>
        </w:rPr>
        <w:t>http://www.wipo.int/tad</w:t>
      </w:r>
      <w:r w:rsidR="008267FC">
        <w:rPr>
          <w:rStyle w:val="Hyperlink"/>
          <w:lang w:val="es-ES_tradnl"/>
        </w:rPr>
        <w:fldChar w:fldCharType="end"/>
      </w:r>
      <w:r w:rsidRPr="00C168C5">
        <w:rPr>
          <w:rStyle w:val="Hyperlink"/>
          <w:lang w:val="es-ES_tradnl"/>
        </w:rPr>
        <w:t>.</w:t>
      </w:r>
    </w:p>
    <w:p w14:paraId="1C5F66F5" w14:textId="77777777" w:rsidR="00C91693" w:rsidRPr="00C168C5" w:rsidRDefault="00C91693" w:rsidP="00C91693">
      <w:pPr>
        <w:ind w:left="540"/>
        <w:rPr>
          <w:rStyle w:val="Hyperlink"/>
          <w:lang w:val="es-ES_tradnl"/>
        </w:rPr>
      </w:pPr>
    </w:p>
    <w:p w14:paraId="12FD92A2" w14:textId="2B4F89CB" w:rsidR="00C91693" w:rsidRPr="00C168C5" w:rsidRDefault="00C91693" w:rsidP="00C91693">
      <w:pPr>
        <w:pStyle w:val="Endofdocument-Annex"/>
        <w:tabs>
          <w:tab w:val="left" w:pos="567"/>
        </w:tabs>
        <w:ind w:left="4950"/>
        <w:rPr>
          <w:i/>
          <w:iCs/>
          <w:szCs w:val="22"/>
          <w:lang w:val="es-ES_tradnl"/>
        </w:rPr>
      </w:pPr>
      <w:r w:rsidRPr="00C168C5">
        <w:rPr>
          <w:i/>
          <w:iCs/>
          <w:szCs w:val="22"/>
          <w:lang w:val="es-ES_tradnl"/>
        </w:rPr>
        <w:t>2.</w:t>
      </w:r>
      <w:r w:rsidRPr="00C168C5">
        <w:rPr>
          <w:i/>
          <w:iCs/>
          <w:szCs w:val="22"/>
          <w:lang w:val="es-ES_tradnl"/>
        </w:rPr>
        <w:tab/>
      </w:r>
      <w:r w:rsidR="00224E00" w:rsidRPr="00C168C5">
        <w:rPr>
          <w:i/>
          <w:iCs/>
          <w:szCs w:val="22"/>
          <w:lang w:val="es-ES_tradnl"/>
        </w:rPr>
        <w:t xml:space="preserve">Se invita al Comité a tomar nota de la información contenida en </w:t>
      </w:r>
      <w:r w:rsidR="00665F61" w:rsidRPr="00C168C5">
        <w:rPr>
          <w:i/>
          <w:iCs/>
          <w:szCs w:val="22"/>
          <w:lang w:val="es-ES_tradnl"/>
        </w:rPr>
        <w:t>los Anexos</w:t>
      </w:r>
      <w:r w:rsidR="00224E00" w:rsidRPr="00C168C5">
        <w:rPr>
          <w:i/>
          <w:iCs/>
          <w:szCs w:val="22"/>
          <w:lang w:val="es-ES_tradnl"/>
        </w:rPr>
        <w:t xml:space="preserve"> del presente documento</w:t>
      </w:r>
      <w:r w:rsidRPr="00C168C5">
        <w:rPr>
          <w:i/>
          <w:iCs/>
          <w:szCs w:val="22"/>
          <w:lang w:val="es-ES_tradnl"/>
        </w:rPr>
        <w:t>.</w:t>
      </w:r>
    </w:p>
    <w:p w14:paraId="24EF0B39" w14:textId="77777777" w:rsidR="00C91693" w:rsidRPr="00C168C5" w:rsidRDefault="00C91693" w:rsidP="00C91693">
      <w:pPr>
        <w:ind w:left="5373" w:firstLine="27"/>
        <w:rPr>
          <w:lang w:val="es-ES_tradnl"/>
        </w:rPr>
      </w:pPr>
    </w:p>
    <w:p w14:paraId="018E504B" w14:textId="77777777" w:rsidR="00C91693" w:rsidRPr="00C168C5" w:rsidRDefault="00C91693" w:rsidP="00C91693">
      <w:pPr>
        <w:ind w:left="5373" w:firstLine="27"/>
        <w:rPr>
          <w:lang w:val="es-ES_tradnl"/>
        </w:rPr>
      </w:pPr>
    </w:p>
    <w:p w14:paraId="4BAB04C4" w14:textId="77777777" w:rsidR="00C91693" w:rsidRPr="00C168C5" w:rsidRDefault="00C91693" w:rsidP="00C91693">
      <w:pPr>
        <w:ind w:left="5373" w:firstLine="27"/>
        <w:rPr>
          <w:lang w:val="es-ES_tradnl"/>
        </w:rPr>
      </w:pPr>
    </w:p>
    <w:p w14:paraId="7AE2C3E5" w14:textId="77777777" w:rsidR="00C91693" w:rsidRPr="00C168C5" w:rsidRDefault="00C91693" w:rsidP="00C91693">
      <w:pPr>
        <w:ind w:left="4962"/>
        <w:rPr>
          <w:lang w:val="es-ES_tradnl"/>
        </w:rPr>
      </w:pPr>
      <w:r w:rsidRPr="00C168C5">
        <w:rPr>
          <w:lang w:val="es-ES_tradnl"/>
        </w:rPr>
        <w:t>[</w:t>
      </w:r>
      <w:r w:rsidR="00BA42C9" w:rsidRPr="00C168C5">
        <w:rPr>
          <w:lang w:val="es-ES_tradnl"/>
        </w:rPr>
        <w:t>Siguen los Anexos</w:t>
      </w:r>
      <w:r w:rsidRPr="00C168C5">
        <w:rPr>
          <w:lang w:val="es-ES_tradnl"/>
        </w:rPr>
        <w:t>]</w:t>
      </w:r>
    </w:p>
    <w:p w14:paraId="688214AF" w14:textId="77777777" w:rsidR="00C91693" w:rsidRPr="00C168C5" w:rsidRDefault="00C91693" w:rsidP="00C91693">
      <w:pPr>
        <w:ind w:left="4962"/>
        <w:rPr>
          <w:lang w:val="es-ES_tradnl"/>
        </w:rPr>
      </w:pPr>
    </w:p>
    <w:p w14:paraId="61607E60" w14:textId="77777777" w:rsidR="00C91693" w:rsidRPr="00C168C5" w:rsidRDefault="00C91693" w:rsidP="00C91693">
      <w:pPr>
        <w:rPr>
          <w:lang w:val="es-ES_tradnl"/>
        </w:rPr>
        <w:sectPr w:rsidR="00C91693" w:rsidRPr="00C168C5" w:rsidSect="00243943">
          <w:headerReference w:type="default" r:id="rId10"/>
          <w:endnotePr>
            <w:numFmt w:val="decimal"/>
          </w:endnotePr>
          <w:pgSz w:w="11907" w:h="16840" w:code="9"/>
          <w:pgMar w:top="567" w:right="1134" w:bottom="1418" w:left="1418" w:header="510" w:footer="1021" w:gutter="0"/>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C91693" w:rsidRPr="00C168C5" w14:paraId="38BAAA1C" w14:textId="77777777" w:rsidTr="00243943">
        <w:trPr>
          <w:trHeight w:val="432"/>
        </w:trPr>
        <w:tc>
          <w:tcPr>
            <w:tcW w:w="9288" w:type="dxa"/>
            <w:gridSpan w:val="2"/>
            <w:shd w:val="clear" w:color="auto" w:fill="auto"/>
            <w:vAlign w:val="center"/>
          </w:tcPr>
          <w:p w14:paraId="4DDD0BEE" w14:textId="6542713C" w:rsidR="00C91693" w:rsidRPr="00C168C5" w:rsidRDefault="001D643C" w:rsidP="00243943">
            <w:pPr>
              <w:pStyle w:val="Heading2"/>
              <w:rPr>
                <w:szCs w:val="22"/>
                <w:lang w:val="es-ES_tradnl"/>
              </w:rPr>
            </w:pPr>
            <w:r w:rsidRPr="00C168C5">
              <w:rPr>
                <w:szCs w:val="22"/>
                <w:lang w:val="es-ES_tradnl"/>
              </w:rPr>
              <w:lastRenderedPageBreak/>
              <w:t xml:space="preserve">ReSUMEN DEL PROYECTO </w:t>
            </w:r>
          </w:p>
          <w:p w14:paraId="341F883F" w14:textId="77777777" w:rsidR="00C91693" w:rsidRPr="00C168C5" w:rsidRDefault="00C91693" w:rsidP="00243943">
            <w:pPr>
              <w:rPr>
                <w:lang w:val="es-ES_tradnl"/>
              </w:rPr>
            </w:pPr>
          </w:p>
        </w:tc>
      </w:tr>
      <w:tr w:rsidR="00C91693" w:rsidRPr="00C168C5" w14:paraId="087CC8BF" w14:textId="77777777" w:rsidTr="00243943">
        <w:trPr>
          <w:trHeight w:val="496"/>
        </w:trPr>
        <w:tc>
          <w:tcPr>
            <w:tcW w:w="2376" w:type="dxa"/>
            <w:shd w:val="clear" w:color="auto" w:fill="auto"/>
          </w:tcPr>
          <w:p w14:paraId="6C1CCA1D" w14:textId="6DC0E3FF" w:rsidR="00C91693" w:rsidRPr="00C168C5" w:rsidRDefault="001D643C" w:rsidP="001D643C">
            <w:pPr>
              <w:pStyle w:val="Heading3"/>
              <w:rPr>
                <w:szCs w:val="22"/>
                <w:lang w:val="es-ES_tradnl"/>
              </w:rPr>
            </w:pPr>
            <w:r w:rsidRPr="00C168C5">
              <w:rPr>
                <w:szCs w:val="22"/>
                <w:lang w:val="es-ES_tradnl"/>
              </w:rPr>
              <w:t>Código del proyecto</w:t>
            </w:r>
          </w:p>
        </w:tc>
        <w:tc>
          <w:tcPr>
            <w:tcW w:w="6912" w:type="dxa"/>
            <w:shd w:val="clear" w:color="auto" w:fill="auto"/>
            <w:vAlign w:val="center"/>
          </w:tcPr>
          <w:p w14:paraId="2782A17D" w14:textId="77777777" w:rsidR="00C91693" w:rsidRPr="00C168C5" w:rsidRDefault="00C91693" w:rsidP="00243943">
            <w:pPr>
              <w:rPr>
                <w:bCs/>
                <w:color w:val="000000"/>
                <w:szCs w:val="22"/>
                <w:lang w:val="es-ES_tradnl"/>
              </w:rPr>
            </w:pPr>
          </w:p>
          <w:p w14:paraId="597A0210" w14:textId="77777777" w:rsidR="00C91693" w:rsidRPr="00C168C5" w:rsidRDefault="00C91693" w:rsidP="00243943">
            <w:pPr>
              <w:rPr>
                <w:color w:val="000000"/>
                <w:szCs w:val="22"/>
                <w:lang w:val="es-ES_tradnl"/>
              </w:rPr>
            </w:pPr>
            <w:r w:rsidRPr="00C168C5">
              <w:rPr>
                <w:bCs/>
                <w:color w:val="000000"/>
                <w:szCs w:val="22"/>
                <w:lang w:val="es-ES_tradnl"/>
              </w:rPr>
              <w:t xml:space="preserve">DA_1_2_4_10_11 </w:t>
            </w:r>
          </w:p>
          <w:p w14:paraId="38AE0EDB" w14:textId="77777777" w:rsidR="00C91693" w:rsidRPr="00C168C5" w:rsidRDefault="00C91693" w:rsidP="00243943">
            <w:pPr>
              <w:rPr>
                <w:i/>
                <w:szCs w:val="22"/>
                <w:lang w:val="es-ES_tradnl"/>
              </w:rPr>
            </w:pPr>
          </w:p>
        </w:tc>
      </w:tr>
      <w:tr w:rsidR="00C91693" w:rsidRPr="00C168C5" w14:paraId="3D145A58" w14:textId="77777777" w:rsidTr="00243943">
        <w:trPr>
          <w:trHeight w:val="404"/>
        </w:trPr>
        <w:tc>
          <w:tcPr>
            <w:tcW w:w="2376" w:type="dxa"/>
            <w:shd w:val="clear" w:color="auto" w:fill="auto"/>
          </w:tcPr>
          <w:p w14:paraId="362DEB0E" w14:textId="627D5D81" w:rsidR="00C91693" w:rsidRPr="00C168C5" w:rsidRDefault="00C91693" w:rsidP="00243943">
            <w:pPr>
              <w:pStyle w:val="Heading3"/>
              <w:rPr>
                <w:szCs w:val="22"/>
                <w:lang w:val="es-ES_tradnl"/>
              </w:rPr>
            </w:pPr>
            <w:r w:rsidRPr="00C168C5">
              <w:rPr>
                <w:szCs w:val="22"/>
                <w:lang w:val="es-ES_tradnl"/>
              </w:rPr>
              <w:t>T</w:t>
            </w:r>
            <w:r w:rsidR="001D643C" w:rsidRPr="00C168C5">
              <w:rPr>
                <w:szCs w:val="22"/>
                <w:lang w:val="es-ES_tradnl"/>
              </w:rPr>
              <w:t>ítulo</w:t>
            </w:r>
          </w:p>
          <w:p w14:paraId="1A9F3D3F" w14:textId="77777777" w:rsidR="00C91693" w:rsidRPr="00C168C5" w:rsidRDefault="00C91693" w:rsidP="00243943">
            <w:pPr>
              <w:rPr>
                <w:szCs w:val="22"/>
                <w:lang w:val="es-ES_tradnl"/>
              </w:rPr>
            </w:pPr>
          </w:p>
        </w:tc>
        <w:tc>
          <w:tcPr>
            <w:tcW w:w="6912" w:type="dxa"/>
            <w:shd w:val="clear" w:color="auto" w:fill="auto"/>
            <w:vAlign w:val="center"/>
          </w:tcPr>
          <w:p w14:paraId="69FD6676" w14:textId="77777777" w:rsidR="00C91693" w:rsidRPr="00C168C5" w:rsidRDefault="00C91693" w:rsidP="00243943">
            <w:pPr>
              <w:rPr>
                <w:szCs w:val="22"/>
                <w:lang w:val="es-ES_tradnl"/>
              </w:rPr>
            </w:pPr>
          </w:p>
          <w:p w14:paraId="3950AF22" w14:textId="52B1E315" w:rsidR="00C91693" w:rsidRPr="00C168C5" w:rsidRDefault="001D643C" w:rsidP="00243943">
            <w:pPr>
              <w:rPr>
                <w:i/>
                <w:iCs/>
                <w:szCs w:val="22"/>
                <w:lang w:val="es-ES_tradnl"/>
              </w:rPr>
            </w:pPr>
            <w:r w:rsidRPr="00C168C5">
              <w:rPr>
                <w:i/>
                <w:iCs/>
                <w:szCs w:val="22"/>
                <w:lang w:val="es-ES_tradnl"/>
              </w:rPr>
              <w:t xml:space="preserve">Fortalecimiento y desarrollo del sector audiovisual en </w:t>
            </w:r>
            <w:r w:rsidR="00C91693" w:rsidRPr="00C168C5">
              <w:rPr>
                <w:i/>
                <w:iCs/>
                <w:szCs w:val="22"/>
                <w:lang w:val="es-ES_tradnl"/>
              </w:rPr>
              <w:t>Burkina Faso</w:t>
            </w:r>
            <w:r w:rsidRPr="00C168C5">
              <w:rPr>
                <w:i/>
                <w:iCs/>
                <w:szCs w:val="22"/>
                <w:lang w:val="es-ES_tradnl"/>
              </w:rPr>
              <w:t xml:space="preserve"> y en determinados países de </w:t>
            </w:r>
            <w:r w:rsidR="00080878" w:rsidRPr="00C168C5">
              <w:rPr>
                <w:i/>
                <w:iCs/>
                <w:szCs w:val="22"/>
                <w:lang w:val="es-ES_tradnl"/>
              </w:rPr>
              <w:t>África</w:t>
            </w:r>
          </w:p>
          <w:p w14:paraId="675B8543" w14:textId="77777777" w:rsidR="00C91693" w:rsidRPr="00C168C5" w:rsidRDefault="00C91693" w:rsidP="00243943">
            <w:pPr>
              <w:rPr>
                <w:szCs w:val="22"/>
                <w:lang w:val="es-ES_tradnl"/>
              </w:rPr>
            </w:pPr>
          </w:p>
        </w:tc>
      </w:tr>
      <w:tr w:rsidR="00C91693" w:rsidRPr="00C168C5" w14:paraId="0808E4A3" w14:textId="77777777" w:rsidTr="00243943">
        <w:tc>
          <w:tcPr>
            <w:tcW w:w="2376" w:type="dxa"/>
            <w:shd w:val="clear" w:color="auto" w:fill="auto"/>
          </w:tcPr>
          <w:p w14:paraId="0776F5D0" w14:textId="77777777" w:rsidR="001D643C" w:rsidRPr="00C168C5" w:rsidRDefault="001D643C" w:rsidP="001D643C">
            <w:pPr>
              <w:keepNext/>
              <w:spacing w:before="240" w:after="60"/>
              <w:outlineLvl w:val="2"/>
              <w:rPr>
                <w:bCs/>
                <w:szCs w:val="22"/>
                <w:u w:val="single"/>
                <w:lang w:val="es-ES_tradnl" w:eastAsia="en-US"/>
              </w:rPr>
            </w:pPr>
            <w:r w:rsidRPr="00C168C5">
              <w:rPr>
                <w:bCs/>
                <w:szCs w:val="22"/>
                <w:u w:val="single"/>
                <w:lang w:val="es-ES_tradnl" w:eastAsia="en-US"/>
              </w:rPr>
              <w:t>Recomendación de la Agenda para el Desarrollo</w:t>
            </w:r>
          </w:p>
          <w:p w14:paraId="71B46DC2" w14:textId="77777777" w:rsidR="00C91693" w:rsidRPr="00C168C5" w:rsidRDefault="00C91693" w:rsidP="001D643C">
            <w:pPr>
              <w:pStyle w:val="Heading3"/>
              <w:rPr>
                <w:szCs w:val="22"/>
                <w:lang w:val="es-ES_tradnl"/>
              </w:rPr>
            </w:pPr>
          </w:p>
        </w:tc>
        <w:tc>
          <w:tcPr>
            <w:tcW w:w="6912" w:type="dxa"/>
            <w:shd w:val="clear" w:color="auto" w:fill="auto"/>
          </w:tcPr>
          <w:p w14:paraId="31E39A12" w14:textId="77777777" w:rsidR="00C91693" w:rsidRPr="00C168C5" w:rsidRDefault="00C91693" w:rsidP="00243943">
            <w:pPr>
              <w:rPr>
                <w:szCs w:val="22"/>
                <w:lang w:val="es-ES_tradnl"/>
              </w:rPr>
            </w:pPr>
          </w:p>
          <w:p w14:paraId="4A7A48AA" w14:textId="77777777" w:rsidR="00BF76E3" w:rsidRPr="00C168C5" w:rsidRDefault="00BF76E3" w:rsidP="00BF76E3">
            <w:pPr>
              <w:rPr>
                <w:rFonts w:eastAsia="Times New Roman"/>
                <w:i/>
                <w:szCs w:val="22"/>
                <w:lang w:val="es-ES_tradnl" w:eastAsia="en-US"/>
              </w:rPr>
            </w:pPr>
            <w:r w:rsidRPr="00C168C5">
              <w:rPr>
                <w:rFonts w:eastAsia="Times New Roman"/>
                <w:i/>
                <w:szCs w:val="22"/>
                <w:lang w:val="es-ES_tradnl" w:eastAsia="en-US"/>
              </w:rPr>
              <w:t>Recomendación 1</w:t>
            </w:r>
          </w:p>
          <w:p w14:paraId="50427BD2" w14:textId="4B51E9FA" w:rsidR="00BF76E3" w:rsidRPr="00C168C5" w:rsidRDefault="00BF76E3" w:rsidP="00BF76E3">
            <w:pPr>
              <w:rPr>
                <w:rFonts w:eastAsia="Times New Roman"/>
                <w:szCs w:val="22"/>
                <w:lang w:val="es-ES_tradnl" w:eastAsia="en-US"/>
              </w:rPr>
            </w:pPr>
            <w:r w:rsidRPr="00C168C5">
              <w:rPr>
                <w:szCs w:val="22"/>
                <w:lang w:val="es-ES_tradnl"/>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w:t>
            </w:r>
            <w:r w:rsidR="007D6C29" w:rsidRPr="00C168C5">
              <w:rPr>
                <w:szCs w:val="22"/>
                <w:lang w:val="es-ES_tradnl"/>
              </w:rPr>
              <w:t>.  L</w:t>
            </w:r>
            <w:r w:rsidRPr="00C168C5">
              <w:rPr>
                <w:szCs w:val="22"/>
                <w:lang w:val="es-ES_tradnl"/>
              </w:rPr>
              <w:t>as actividades deberán incluir su calendario de ejecución.</w:t>
            </w:r>
            <w:r w:rsidR="00C66DA9" w:rsidRPr="00C168C5">
              <w:rPr>
                <w:szCs w:val="22"/>
                <w:lang w:val="es-ES_tradnl"/>
              </w:rPr>
              <w:t xml:space="preserve"> </w:t>
            </w:r>
            <w:r w:rsidRPr="00C168C5">
              <w:rPr>
                <w:szCs w:val="22"/>
                <w:lang w:val="es-ES_tradnl"/>
              </w:rPr>
              <w:t xml:space="preserve"> A este respecto, el diseño, los mecanismos de ejecución y los procesos de evaluación de los programas de asistencia técnica deberán estar adaptados a cada país</w:t>
            </w:r>
            <w:r w:rsidRPr="00C168C5">
              <w:rPr>
                <w:rFonts w:eastAsia="Times New Roman"/>
                <w:szCs w:val="22"/>
                <w:lang w:val="es-ES_tradnl" w:eastAsia="en-US"/>
              </w:rPr>
              <w:t>.</w:t>
            </w:r>
          </w:p>
          <w:p w14:paraId="21950DDE" w14:textId="77777777" w:rsidR="00BF76E3" w:rsidRPr="00C168C5" w:rsidRDefault="00BF76E3" w:rsidP="00BF76E3">
            <w:pPr>
              <w:rPr>
                <w:rFonts w:eastAsia="Times New Roman"/>
                <w:bCs/>
                <w:szCs w:val="22"/>
                <w:lang w:val="es-ES_tradnl" w:eastAsia="en-US"/>
              </w:rPr>
            </w:pPr>
          </w:p>
          <w:p w14:paraId="6E41CAAC" w14:textId="77777777" w:rsidR="00BF76E3" w:rsidRPr="00C168C5" w:rsidRDefault="00BF76E3" w:rsidP="00BF76E3">
            <w:pPr>
              <w:rPr>
                <w:rFonts w:eastAsia="Times New Roman"/>
                <w:szCs w:val="22"/>
                <w:lang w:val="es-ES_tradnl" w:eastAsia="en-US"/>
              </w:rPr>
            </w:pPr>
            <w:r w:rsidRPr="00C168C5">
              <w:rPr>
                <w:bCs/>
                <w:i/>
                <w:szCs w:val="22"/>
                <w:lang w:val="es-ES_tradnl" w:eastAsia="en-US"/>
              </w:rPr>
              <w:t>Recomendación 2</w:t>
            </w:r>
          </w:p>
          <w:p w14:paraId="6D091E32" w14:textId="77777777" w:rsidR="00BF76E3" w:rsidRPr="00C168C5" w:rsidRDefault="00BF76E3" w:rsidP="00BF76E3">
            <w:pPr>
              <w:rPr>
                <w:rFonts w:eastAsia="Times New Roman"/>
                <w:bCs/>
                <w:szCs w:val="22"/>
                <w:lang w:val="es-ES_tradnl" w:eastAsia="en-US"/>
              </w:rPr>
            </w:pPr>
            <w:r w:rsidRPr="00C168C5">
              <w:rPr>
                <w:szCs w:val="22"/>
                <w:lang w:val="es-ES_tradnl"/>
              </w:rPr>
              <w:t>Proporcionar asistencia adicional a la OMPI en lo que concierne a la financiación por donantes y crear en la OMPI fondos en fideicomiso u otro tipo de fondos de contribución voluntaria específicos para los PMA, sin dejar de priorizar la financiación de actividades en África mediante recursos presupuestarios y extrapresupuestarios para promover, entre otras cosas, la explotación de la propiedad intelectual en esos países desde el punto de vista jurídico, comercial, cultural y económico</w:t>
            </w:r>
            <w:r w:rsidRPr="00C168C5">
              <w:rPr>
                <w:rFonts w:eastAsia="Times New Roman"/>
                <w:szCs w:val="22"/>
                <w:lang w:val="es-ES_tradnl" w:eastAsia="en-US"/>
              </w:rPr>
              <w:t>.</w:t>
            </w:r>
          </w:p>
          <w:p w14:paraId="11D84BCB" w14:textId="77777777" w:rsidR="00BF76E3" w:rsidRPr="00C168C5" w:rsidRDefault="00BF76E3" w:rsidP="00BF76E3">
            <w:pPr>
              <w:rPr>
                <w:rFonts w:eastAsia="Times New Roman"/>
                <w:szCs w:val="22"/>
                <w:lang w:val="es-ES_tradnl" w:eastAsia="en-US"/>
              </w:rPr>
            </w:pPr>
          </w:p>
          <w:p w14:paraId="31E06651" w14:textId="77777777" w:rsidR="00BF76E3" w:rsidRPr="00C168C5" w:rsidRDefault="00BF76E3" w:rsidP="00BF76E3">
            <w:pPr>
              <w:rPr>
                <w:bCs/>
                <w:i/>
                <w:szCs w:val="22"/>
                <w:lang w:val="es-ES_tradnl" w:eastAsia="en-US"/>
              </w:rPr>
            </w:pPr>
            <w:r w:rsidRPr="00C168C5">
              <w:rPr>
                <w:bCs/>
                <w:i/>
                <w:szCs w:val="22"/>
                <w:lang w:val="es-ES_tradnl" w:eastAsia="en-US"/>
              </w:rPr>
              <w:t>Recomendación 4</w:t>
            </w:r>
          </w:p>
          <w:p w14:paraId="08C1F46A" w14:textId="3DB64F8F" w:rsidR="00BF76E3" w:rsidRPr="00C168C5" w:rsidRDefault="00BF76E3" w:rsidP="00BF76E3">
            <w:pPr>
              <w:rPr>
                <w:rFonts w:eastAsia="Times New Roman"/>
                <w:szCs w:val="22"/>
                <w:lang w:val="es-ES_tradnl" w:eastAsia="en-US"/>
              </w:rPr>
            </w:pPr>
            <w:r w:rsidRPr="00C168C5">
              <w:rPr>
                <w:szCs w:val="22"/>
                <w:lang w:val="es-ES_tradnl"/>
              </w:rPr>
              <w:t xml:space="preserve">Destacar, en particular, las necesidades de las </w:t>
            </w:r>
            <w:r w:rsidR="00E335F9">
              <w:rPr>
                <w:szCs w:val="22"/>
                <w:lang w:val="es-ES_tradnl"/>
              </w:rPr>
              <w:t>pymes</w:t>
            </w:r>
            <w:r w:rsidRPr="00C168C5">
              <w:rPr>
                <w:szCs w:val="22"/>
                <w:lang w:val="es-ES_tradnl"/>
              </w:rPr>
              <w:t xml:space="preserve"> y las instituciones de investigación científica, así como las industrias culturales, y asistir a los Estados miembros, cuando éstos lo soliciten, en el establecimiento de estrategias nacionales adecuadas en el campo de la P.I.</w:t>
            </w:r>
          </w:p>
          <w:p w14:paraId="13CA48D3" w14:textId="77777777" w:rsidR="00BF76E3" w:rsidRPr="00C168C5" w:rsidRDefault="00BF76E3" w:rsidP="00BF76E3">
            <w:pPr>
              <w:rPr>
                <w:rFonts w:eastAsia="Times New Roman"/>
                <w:szCs w:val="22"/>
                <w:lang w:val="es-ES_tradnl" w:eastAsia="en-US"/>
              </w:rPr>
            </w:pPr>
          </w:p>
          <w:p w14:paraId="5258709D" w14:textId="77777777" w:rsidR="00BF76E3" w:rsidRPr="00C168C5" w:rsidRDefault="00BF76E3" w:rsidP="00BF76E3">
            <w:pPr>
              <w:rPr>
                <w:bCs/>
                <w:i/>
                <w:szCs w:val="22"/>
                <w:lang w:val="es-ES_tradnl" w:eastAsia="en-US"/>
              </w:rPr>
            </w:pPr>
            <w:r w:rsidRPr="00C168C5">
              <w:rPr>
                <w:bCs/>
                <w:i/>
                <w:szCs w:val="22"/>
                <w:lang w:val="es-ES_tradnl" w:eastAsia="en-US"/>
              </w:rPr>
              <w:t>Recomendación 10</w:t>
            </w:r>
          </w:p>
          <w:p w14:paraId="25E50616" w14:textId="5471E266" w:rsidR="00BF76E3" w:rsidRPr="00C168C5" w:rsidRDefault="00BF76E3" w:rsidP="00BF76E3">
            <w:pPr>
              <w:rPr>
                <w:rFonts w:eastAsia="Times New Roman"/>
                <w:szCs w:val="22"/>
                <w:lang w:val="es-ES_tradnl" w:eastAsia="en-US"/>
              </w:rPr>
            </w:pPr>
            <w:r w:rsidRPr="00C168C5">
              <w:rPr>
                <w:szCs w:val="22"/>
                <w:lang w:val="es-ES_tradnl"/>
              </w:rPr>
              <w:t>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w:t>
            </w:r>
            <w:r w:rsidR="00C66DA9" w:rsidRPr="00C168C5">
              <w:rPr>
                <w:szCs w:val="22"/>
                <w:lang w:val="es-ES_tradnl"/>
              </w:rPr>
              <w:t xml:space="preserve"> </w:t>
            </w:r>
            <w:r w:rsidRPr="00C168C5">
              <w:rPr>
                <w:szCs w:val="22"/>
                <w:lang w:val="es-ES_tradnl"/>
              </w:rPr>
              <w:t xml:space="preserve"> Este tipo de asistencia técnica debe beneficiar también a las organizaciones regionales y subregionales de P.I.</w:t>
            </w:r>
          </w:p>
          <w:p w14:paraId="5E2745AB" w14:textId="77777777" w:rsidR="00BF76E3" w:rsidRPr="00C168C5" w:rsidRDefault="00BF76E3" w:rsidP="00BF76E3">
            <w:pPr>
              <w:rPr>
                <w:rFonts w:eastAsia="Times New Roman"/>
                <w:szCs w:val="22"/>
                <w:lang w:val="es-ES_tradnl" w:eastAsia="en-US"/>
              </w:rPr>
            </w:pPr>
          </w:p>
          <w:p w14:paraId="23A89C7F" w14:textId="77777777" w:rsidR="00BF76E3" w:rsidRPr="00C168C5" w:rsidRDefault="00BF76E3" w:rsidP="00BF76E3">
            <w:pPr>
              <w:rPr>
                <w:rFonts w:eastAsia="Times New Roman"/>
                <w:szCs w:val="22"/>
                <w:lang w:val="es-ES_tradnl" w:eastAsia="en-US"/>
              </w:rPr>
            </w:pPr>
            <w:r w:rsidRPr="00C168C5">
              <w:rPr>
                <w:bCs/>
                <w:i/>
                <w:szCs w:val="22"/>
                <w:lang w:val="es-ES_tradnl" w:eastAsia="en-US"/>
              </w:rPr>
              <w:t>Recomendación 11</w:t>
            </w:r>
          </w:p>
          <w:p w14:paraId="0BA81071" w14:textId="77777777" w:rsidR="00C91693" w:rsidRPr="00C168C5" w:rsidRDefault="00BF76E3" w:rsidP="00BF76E3">
            <w:pPr>
              <w:rPr>
                <w:rFonts w:eastAsia="Times New Roman"/>
                <w:szCs w:val="22"/>
                <w:lang w:val="es-ES_tradnl" w:eastAsia="en-US"/>
              </w:rPr>
            </w:pPr>
            <w:r w:rsidRPr="00C168C5">
              <w:rPr>
                <w:szCs w:val="22"/>
                <w:lang w:val="es-ES_tradnl"/>
              </w:rPr>
              <w:t>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r w:rsidRPr="00C168C5">
              <w:rPr>
                <w:rFonts w:eastAsia="Times New Roman"/>
                <w:szCs w:val="22"/>
                <w:lang w:val="es-ES_tradnl" w:eastAsia="en-US"/>
              </w:rPr>
              <w:t>.</w:t>
            </w:r>
          </w:p>
          <w:p w14:paraId="5E23372F" w14:textId="168872C8" w:rsidR="00BF76E3" w:rsidRPr="00C168C5" w:rsidRDefault="00BF76E3" w:rsidP="00BF76E3">
            <w:pPr>
              <w:rPr>
                <w:szCs w:val="22"/>
                <w:lang w:val="es-ES_tradnl"/>
              </w:rPr>
            </w:pPr>
          </w:p>
        </w:tc>
      </w:tr>
      <w:tr w:rsidR="00C91693" w:rsidRPr="00C168C5" w14:paraId="2C646B39" w14:textId="77777777" w:rsidTr="00243943">
        <w:tc>
          <w:tcPr>
            <w:tcW w:w="2376" w:type="dxa"/>
            <w:shd w:val="clear" w:color="auto" w:fill="auto"/>
          </w:tcPr>
          <w:p w14:paraId="5837FD88" w14:textId="3D1E6ADB" w:rsidR="00C91693" w:rsidRPr="00C168C5" w:rsidRDefault="00C91693" w:rsidP="00243943">
            <w:pPr>
              <w:pStyle w:val="Heading3"/>
              <w:rPr>
                <w:szCs w:val="22"/>
                <w:lang w:val="es-ES_tradnl"/>
              </w:rPr>
            </w:pPr>
            <w:r w:rsidRPr="00C168C5">
              <w:rPr>
                <w:szCs w:val="22"/>
                <w:lang w:val="es-ES_tradnl"/>
              </w:rPr>
              <w:t>Pr</w:t>
            </w:r>
            <w:r w:rsidR="00BF76E3" w:rsidRPr="00C168C5">
              <w:rPr>
                <w:szCs w:val="22"/>
                <w:lang w:val="es-ES_tradnl"/>
              </w:rPr>
              <w:t>esupuesto del proyecto</w:t>
            </w:r>
          </w:p>
          <w:p w14:paraId="77062CB6" w14:textId="77777777" w:rsidR="00C91693" w:rsidRPr="00C168C5" w:rsidRDefault="00C91693" w:rsidP="00243943">
            <w:pPr>
              <w:rPr>
                <w:szCs w:val="22"/>
                <w:lang w:val="es-ES_tradnl"/>
              </w:rPr>
            </w:pPr>
          </w:p>
        </w:tc>
        <w:tc>
          <w:tcPr>
            <w:tcW w:w="6912" w:type="dxa"/>
            <w:shd w:val="clear" w:color="auto" w:fill="auto"/>
          </w:tcPr>
          <w:p w14:paraId="42EE27F2" w14:textId="77777777" w:rsidR="00C91693" w:rsidRPr="00C168C5" w:rsidRDefault="00C91693" w:rsidP="00243943">
            <w:pPr>
              <w:rPr>
                <w:szCs w:val="22"/>
                <w:lang w:val="es-ES_tradnl"/>
              </w:rPr>
            </w:pPr>
          </w:p>
          <w:p w14:paraId="457F430F" w14:textId="30EC6D2F" w:rsidR="00C91693" w:rsidRPr="00C168C5" w:rsidRDefault="00BF76E3" w:rsidP="00243943">
            <w:pPr>
              <w:rPr>
                <w:szCs w:val="22"/>
                <w:lang w:val="es-ES_tradnl"/>
              </w:rPr>
            </w:pPr>
            <w:r w:rsidRPr="00C168C5">
              <w:rPr>
                <w:szCs w:val="22"/>
                <w:lang w:val="es-ES_tradnl"/>
              </w:rPr>
              <w:t>Gastos de personal:  106.</w:t>
            </w:r>
            <w:r w:rsidR="00C91693" w:rsidRPr="00C168C5">
              <w:rPr>
                <w:szCs w:val="22"/>
                <w:lang w:val="es-ES_tradnl"/>
              </w:rPr>
              <w:t xml:space="preserve">700 </w:t>
            </w:r>
            <w:r w:rsidRPr="00C168C5">
              <w:rPr>
                <w:szCs w:val="22"/>
                <w:lang w:val="es-ES_tradnl"/>
              </w:rPr>
              <w:t>francos suizos</w:t>
            </w:r>
          </w:p>
          <w:p w14:paraId="3E3C6F9D" w14:textId="77777777" w:rsidR="00C91693" w:rsidRPr="00C168C5" w:rsidRDefault="00C91693" w:rsidP="00243943">
            <w:pPr>
              <w:rPr>
                <w:szCs w:val="22"/>
                <w:lang w:val="es-ES_tradnl"/>
              </w:rPr>
            </w:pPr>
          </w:p>
          <w:p w14:paraId="2F92B9B8" w14:textId="2A431AE3" w:rsidR="00C91693" w:rsidRPr="00C168C5" w:rsidRDefault="00BF76E3" w:rsidP="00243943">
            <w:pPr>
              <w:rPr>
                <w:szCs w:val="22"/>
                <w:lang w:val="es-ES_tradnl"/>
              </w:rPr>
            </w:pPr>
            <w:r w:rsidRPr="00C168C5">
              <w:rPr>
                <w:szCs w:val="22"/>
                <w:lang w:val="es-ES_tradnl"/>
              </w:rPr>
              <w:lastRenderedPageBreak/>
              <w:t>Gastos no relativos al personal:  436.</w:t>
            </w:r>
            <w:r w:rsidR="00C91693" w:rsidRPr="00C168C5">
              <w:rPr>
                <w:szCs w:val="22"/>
                <w:lang w:val="es-ES_tradnl"/>
              </w:rPr>
              <w:t xml:space="preserve">000 </w:t>
            </w:r>
            <w:r w:rsidRPr="00C168C5">
              <w:rPr>
                <w:szCs w:val="22"/>
                <w:lang w:val="es-ES_tradnl"/>
              </w:rPr>
              <w:t>francos suizos</w:t>
            </w:r>
          </w:p>
          <w:p w14:paraId="2AEB9FF6" w14:textId="77777777" w:rsidR="00C91693" w:rsidRPr="00C168C5" w:rsidRDefault="00C91693" w:rsidP="00243943">
            <w:pPr>
              <w:rPr>
                <w:szCs w:val="22"/>
                <w:lang w:val="es-ES_tradnl"/>
              </w:rPr>
            </w:pPr>
          </w:p>
        </w:tc>
      </w:tr>
      <w:tr w:rsidR="00C91693" w:rsidRPr="00C168C5" w14:paraId="3541BEC9" w14:textId="77777777" w:rsidTr="00243943">
        <w:tc>
          <w:tcPr>
            <w:tcW w:w="2376" w:type="dxa"/>
            <w:shd w:val="clear" w:color="auto" w:fill="auto"/>
          </w:tcPr>
          <w:p w14:paraId="23722ECB" w14:textId="5583596F" w:rsidR="00C91693" w:rsidRPr="00C168C5" w:rsidRDefault="00BF76E3" w:rsidP="00243943">
            <w:pPr>
              <w:pStyle w:val="Heading3"/>
              <w:rPr>
                <w:szCs w:val="22"/>
                <w:lang w:val="es-ES_tradnl"/>
              </w:rPr>
            </w:pPr>
            <w:r w:rsidRPr="00C168C5">
              <w:rPr>
                <w:szCs w:val="22"/>
                <w:lang w:val="es-ES_tradnl"/>
              </w:rPr>
              <w:lastRenderedPageBreak/>
              <w:t>Fecha de inicio del proyecto</w:t>
            </w:r>
          </w:p>
          <w:p w14:paraId="6E79E75A" w14:textId="77777777" w:rsidR="00C91693" w:rsidRPr="00C168C5" w:rsidRDefault="00C91693" w:rsidP="00243943">
            <w:pPr>
              <w:rPr>
                <w:szCs w:val="22"/>
                <w:lang w:val="es-ES_tradnl"/>
              </w:rPr>
            </w:pPr>
          </w:p>
        </w:tc>
        <w:tc>
          <w:tcPr>
            <w:tcW w:w="6912" w:type="dxa"/>
            <w:shd w:val="clear" w:color="auto" w:fill="auto"/>
          </w:tcPr>
          <w:p w14:paraId="55AD5E15" w14:textId="77777777" w:rsidR="00C91693" w:rsidRPr="00C168C5" w:rsidRDefault="00C91693" w:rsidP="00243943">
            <w:pPr>
              <w:rPr>
                <w:szCs w:val="22"/>
                <w:lang w:val="es-ES_tradnl"/>
              </w:rPr>
            </w:pPr>
          </w:p>
          <w:p w14:paraId="76FF252A" w14:textId="5D45990B" w:rsidR="00C91693" w:rsidRPr="00C168C5" w:rsidRDefault="00C91693" w:rsidP="00BF76E3">
            <w:pPr>
              <w:rPr>
                <w:szCs w:val="22"/>
                <w:lang w:val="es-ES_tradnl"/>
              </w:rPr>
            </w:pPr>
            <w:r w:rsidRPr="00C168C5">
              <w:rPr>
                <w:szCs w:val="22"/>
                <w:lang w:val="es-ES_tradnl"/>
              </w:rPr>
              <w:t>Febr</w:t>
            </w:r>
            <w:r w:rsidR="00BF76E3" w:rsidRPr="00C168C5">
              <w:rPr>
                <w:szCs w:val="22"/>
                <w:lang w:val="es-ES_tradnl"/>
              </w:rPr>
              <w:t>ero de</w:t>
            </w:r>
            <w:r w:rsidRPr="00C168C5">
              <w:rPr>
                <w:szCs w:val="22"/>
                <w:lang w:val="es-ES_tradnl"/>
              </w:rPr>
              <w:t xml:space="preserve"> 2013</w:t>
            </w:r>
          </w:p>
        </w:tc>
      </w:tr>
      <w:tr w:rsidR="00C91693" w:rsidRPr="00C168C5" w14:paraId="426BDF95" w14:textId="77777777" w:rsidTr="00243943">
        <w:tc>
          <w:tcPr>
            <w:tcW w:w="2376" w:type="dxa"/>
            <w:shd w:val="clear" w:color="auto" w:fill="auto"/>
          </w:tcPr>
          <w:p w14:paraId="732B35DF" w14:textId="09494FBC" w:rsidR="00C91693" w:rsidRPr="00C168C5" w:rsidRDefault="00BF76E3" w:rsidP="00BF76E3">
            <w:pPr>
              <w:pStyle w:val="Heading3"/>
              <w:rPr>
                <w:szCs w:val="22"/>
                <w:lang w:val="es-ES_tradnl"/>
              </w:rPr>
            </w:pPr>
            <w:r w:rsidRPr="00C168C5">
              <w:rPr>
                <w:szCs w:val="22"/>
                <w:lang w:val="es-ES_tradnl" w:eastAsia="en-US"/>
              </w:rPr>
              <w:t>Duración del proyecto</w:t>
            </w:r>
          </w:p>
        </w:tc>
        <w:tc>
          <w:tcPr>
            <w:tcW w:w="6912" w:type="dxa"/>
            <w:shd w:val="clear" w:color="auto" w:fill="auto"/>
          </w:tcPr>
          <w:p w14:paraId="5BBEA3F8" w14:textId="77777777" w:rsidR="00C91693" w:rsidRPr="00C168C5" w:rsidRDefault="00C91693" w:rsidP="00243943">
            <w:pPr>
              <w:rPr>
                <w:szCs w:val="22"/>
                <w:lang w:val="es-ES_tradnl"/>
              </w:rPr>
            </w:pPr>
          </w:p>
          <w:p w14:paraId="3BA559F4" w14:textId="11A0BCDA" w:rsidR="00C91693" w:rsidRPr="00C168C5" w:rsidRDefault="00C91693" w:rsidP="00243943">
            <w:pPr>
              <w:rPr>
                <w:szCs w:val="22"/>
                <w:lang w:val="es-ES_tradnl"/>
              </w:rPr>
            </w:pPr>
            <w:r w:rsidRPr="00C168C5">
              <w:rPr>
                <w:szCs w:val="22"/>
                <w:lang w:val="es-ES_tradnl"/>
              </w:rPr>
              <w:t xml:space="preserve">24 </w:t>
            </w:r>
            <w:r w:rsidR="00BF76E3" w:rsidRPr="00C168C5">
              <w:rPr>
                <w:szCs w:val="22"/>
                <w:lang w:val="es-ES_tradnl"/>
              </w:rPr>
              <w:t>meses</w:t>
            </w:r>
            <w:r w:rsidRPr="00C168C5">
              <w:rPr>
                <w:szCs w:val="22"/>
                <w:lang w:val="es-ES_tradnl"/>
              </w:rPr>
              <w:t xml:space="preserve">.  </w:t>
            </w:r>
            <w:r w:rsidR="004074C2" w:rsidRPr="00C168C5">
              <w:rPr>
                <w:szCs w:val="22"/>
                <w:lang w:val="es-ES_tradnl"/>
              </w:rPr>
              <w:t xml:space="preserve">Una prórroga de seis meses fue aprobada por el CDIP en su </w:t>
            </w:r>
            <w:r w:rsidR="00073DFF">
              <w:rPr>
                <w:szCs w:val="22"/>
                <w:lang w:val="es-ES_tradnl"/>
              </w:rPr>
              <w:t>decimo</w:t>
            </w:r>
            <w:r w:rsidR="004878A2" w:rsidRPr="00C168C5">
              <w:rPr>
                <w:szCs w:val="22"/>
                <w:lang w:val="es-ES_tradnl"/>
              </w:rPr>
              <w:t xml:space="preserve">segunda </w:t>
            </w:r>
            <w:r w:rsidR="004074C2" w:rsidRPr="00C168C5">
              <w:rPr>
                <w:szCs w:val="22"/>
                <w:lang w:val="es-ES_tradnl"/>
              </w:rPr>
              <w:t xml:space="preserve">sesión de </w:t>
            </w:r>
            <w:r w:rsidR="008F7866" w:rsidRPr="00C168C5">
              <w:rPr>
                <w:szCs w:val="22"/>
                <w:lang w:val="es-ES_tradnl"/>
              </w:rPr>
              <w:t>noviembre de 2013</w:t>
            </w:r>
            <w:r w:rsidR="004074C2" w:rsidRPr="00C168C5">
              <w:rPr>
                <w:szCs w:val="22"/>
                <w:lang w:val="es-ES_tradnl"/>
              </w:rPr>
              <w:t>,</w:t>
            </w:r>
            <w:r w:rsidR="008F7866" w:rsidRPr="00C168C5">
              <w:rPr>
                <w:szCs w:val="22"/>
                <w:lang w:val="es-ES_tradnl"/>
              </w:rPr>
              <w:t xml:space="preserve"> justificada por el </w:t>
            </w:r>
            <w:r w:rsidR="00707603" w:rsidRPr="00C168C5">
              <w:rPr>
                <w:szCs w:val="22"/>
                <w:lang w:val="es-ES_tradnl"/>
              </w:rPr>
              <w:t xml:space="preserve">comienzo tardío de la ejecución formal del proyecto en </w:t>
            </w:r>
            <w:r w:rsidRPr="00C168C5">
              <w:rPr>
                <w:szCs w:val="22"/>
                <w:lang w:val="es-ES_tradnl"/>
              </w:rPr>
              <w:t>2013.</w:t>
            </w:r>
          </w:p>
          <w:p w14:paraId="5178BEF4" w14:textId="77777777" w:rsidR="00C91693" w:rsidRPr="00C168C5" w:rsidRDefault="00C91693" w:rsidP="00243943">
            <w:pPr>
              <w:rPr>
                <w:szCs w:val="22"/>
                <w:lang w:val="es-ES_tradnl"/>
              </w:rPr>
            </w:pPr>
          </w:p>
          <w:p w14:paraId="20428443" w14:textId="4142AFAB" w:rsidR="00C91693" w:rsidRPr="00C168C5" w:rsidRDefault="00BF4815" w:rsidP="00243943">
            <w:pPr>
              <w:rPr>
                <w:szCs w:val="22"/>
                <w:lang w:val="es-ES_tradnl"/>
              </w:rPr>
            </w:pPr>
            <w:r w:rsidRPr="00C168C5">
              <w:rPr>
                <w:szCs w:val="22"/>
                <w:lang w:val="es-ES_tradnl"/>
              </w:rPr>
              <w:t>El CDIP</w:t>
            </w:r>
            <w:r w:rsidR="004074C2" w:rsidRPr="00C168C5">
              <w:rPr>
                <w:szCs w:val="22"/>
                <w:lang w:val="es-ES_tradnl"/>
              </w:rPr>
              <w:t xml:space="preserve"> en su </w:t>
            </w:r>
            <w:r w:rsidR="00073DFF">
              <w:rPr>
                <w:szCs w:val="22"/>
                <w:lang w:val="es-ES_tradnl"/>
              </w:rPr>
              <w:t>decimo</w:t>
            </w:r>
            <w:r w:rsidR="004878A2" w:rsidRPr="00C168C5">
              <w:rPr>
                <w:szCs w:val="22"/>
                <w:lang w:val="es-ES_tradnl"/>
              </w:rPr>
              <w:t>quinta</w:t>
            </w:r>
            <w:r w:rsidR="004074C2" w:rsidRPr="00C168C5">
              <w:rPr>
                <w:szCs w:val="22"/>
                <w:lang w:val="es-ES_tradnl"/>
              </w:rPr>
              <w:t xml:space="preserve"> sesión</w:t>
            </w:r>
            <w:r w:rsidRPr="00C168C5">
              <w:rPr>
                <w:szCs w:val="22"/>
                <w:lang w:val="es-ES_tradnl"/>
              </w:rPr>
              <w:t xml:space="preserve"> de abril de 2015 aprobó </w:t>
            </w:r>
            <w:r w:rsidR="004074C2" w:rsidRPr="00C168C5">
              <w:rPr>
                <w:szCs w:val="22"/>
                <w:lang w:val="es-ES_tradnl"/>
              </w:rPr>
              <w:t xml:space="preserve">otra </w:t>
            </w:r>
            <w:r w:rsidRPr="00C168C5">
              <w:rPr>
                <w:szCs w:val="22"/>
                <w:lang w:val="es-ES_tradnl"/>
              </w:rPr>
              <w:t>prórroga</w:t>
            </w:r>
            <w:r w:rsidR="004074C2" w:rsidRPr="00C168C5">
              <w:rPr>
                <w:szCs w:val="22"/>
                <w:lang w:val="es-ES_tradnl"/>
              </w:rPr>
              <w:t xml:space="preserve"> </w:t>
            </w:r>
            <w:r w:rsidR="004B4909" w:rsidRPr="00C168C5">
              <w:rPr>
                <w:szCs w:val="22"/>
                <w:lang w:val="es-ES_tradnl"/>
              </w:rPr>
              <w:t>de seis meses más</w:t>
            </w:r>
            <w:r w:rsidR="00C91693" w:rsidRPr="00C168C5">
              <w:rPr>
                <w:szCs w:val="22"/>
                <w:lang w:val="es-ES_tradnl"/>
              </w:rPr>
              <w:t>.</w:t>
            </w:r>
          </w:p>
          <w:p w14:paraId="32D8CE37" w14:textId="77777777" w:rsidR="00C91693" w:rsidRPr="00C168C5" w:rsidRDefault="00C91693" w:rsidP="00243943">
            <w:pPr>
              <w:rPr>
                <w:szCs w:val="22"/>
                <w:lang w:val="es-ES_tradnl"/>
              </w:rPr>
            </w:pPr>
          </w:p>
        </w:tc>
      </w:tr>
      <w:tr w:rsidR="00C91693" w:rsidRPr="00C168C5" w14:paraId="2F011D09" w14:textId="77777777" w:rsidTr="00243943">
        <w:trPr>
          <w:trHeight w:val="1390"/>
        </w:trPr>
        <w:tc>
          <w:tcPr>
            <w:tcW w:w="2376" w:type="dxa"/>
            <w:shd w:val="clear" w:color="auto" w:fill="auto"/>
          </w:tcPr>
          <w:p w14:paraId="1A53BA9F" w14:textId="77777777" w:rsidR="00C91693" w:rsidRPr="00C168C5" w:rsidRDefault="002C055D" w:rsidP="00243943">
            <w:pPr>
              <w:pStyle w:val="Heading3"/>
              <w:rPr>
                <w:rFonts w:eastAsia="Times New Roman"/>
                <w:szCs w:val="22"/>
                <w:lang w:val="es-ES_tradnl" w:eastAsia="en-US"/>
              </w:rPr>
            </w:pPr>
            <w:r w:rsidRPr="00C168C5">
              <w:rPr>
                <w:rFonts w:eastAsia="Times New Roman"/>
                <w:szCs w:val="22"/>
                <w:lang w:val="es-ES_tradnl" w:eastAsia="en-US"/>
              </w:rPr>
              <w:t>Principales sectores de la OMPI interesados y vínculos con los programas de la Organización</w:t>
            </w:r>
          </w:p>
          <w:p w14:paraId="3F6D3B88" w14:textId="3CB8D86E" w:rsidR="002C055D" w:rsidRPr="00C168C5" w:rsidRDefault="002C055D" w:rsidP="002C055D">
            <w:pPr>
              <w:rPr>
                <w:lang w:val="es-ES_tradnl"/>
              </w:rPr>
            </w:pPr>
          </w:p>
        </w:tc>
        <w:tc>
          <w:tcPr>
            <w:tcW w:w="6912" w:type="dxa"/>
            <w:shd w:val="clear" w:color="auto" w:fill="auto"/>
          </w:tcPr>
          <w:p w14:paraId="5C91B987" w14:textId="77777777" w:rsidR="00C91693" w:rsidRPr="00C168C5" w:rsidRDefault="00C91693" w:rsidP="00243943">
            <w:pPr>
              <w:rPr>
                <w:szCs w:val="22"/>
                <w:lang w:val="es-ES_tradnl"/>
              </w:rPr>
            </w:pPr>
          </w:p>
          <w:p w14:paraId="5D876A2D" w14:textId="52DE42DB" w:rsidR="00C91693" w:rsidRPr="00C168C5" w:rsidRDefault="002C055D" w:rsidP="00243943">
            <w:pPr>
              <w:rPr>
                <w:szCs w:val="22"/>
                <w:lang w:val="es-ES_tradnl"/>
              </w:rPr>
            </w:pPr>
            <w:r w:rsidRPr="00C168C5">
              <w:rPr>
                <w:rFonts w:eastAsia="Times New Roman"/>
                <w:szCs w:val="22"/>
                <w:lang w:val="es-ES_tradnl" w:eastAsia="en-US"/>
              </w:rPr>
              <w:t>Sector de Cultura e Industrias Creativas</w:t>
            </w:r>
          </w:p>
        </w:tc>
      </w:tr>
      <w:tr w:rsidR="00C91693" w:rsidRPr="00C168C5" w14:paraId="1685CF8D" w14:textId="77777777" w:rsidTr="00243943">
        <w:trPr>
          <w:trHeight w:val="2664"/>
        </w:trPr>
        <w:tc>
          <w:tcPr>
            <w:tcW w:w="2376" w:type="dxa"/>
            <w:shd w:val="clear" w:color="auto" w:fill="auto"/>
          </w:tcPr>
          <w:p w14:paraId="58C3B032" w14:textId="3EBB4959" w:rsidR="00C91693" w:rsidRPr="00C168C5" w:rsidRDefault="002C055D" w:rsidP="00243943">
            <w:pPr>
              <w:pStyle w:val="Heading3"/>
              <w:rPr>
                <w:szCs w:val="22"/>
                <w:lang w:val="es-ES_tradnl"/>
              </w:rPr>
            </w:pPr>
            <w:r w:rsidRPr="00C168C5">
              <w:rPr>
                <w:szCs w:val="22"/>
                <w:lang w:val="es-ES_tradnl" w:eastAsia="en-US"/>
              </w:rPr>
              <w:t>Breve descripción del proyecto</w:t>
            </w:r>
          </w:p>
        </w:tc>
        <w:tc>
          <w:tcPr>
            <w:tcW w:w="6912" w:type="dxa"/>
            <w:shd w:val="clear" w:color="auto" w:fill="auto"/>
          </w:tcPr>
          <w:p w14:paraId="664B4468" w14:textId="77777777" w:rsidR="00C91693" w:rsidRPr="00C168C5" w:rsidRDefault="00C91693" w:rsidP="00243943">
            <w:pPr>
              <w:rPr>
                <w:color w:val="000000"/>
                <w:szCs w:val="22"/>
                <w:lang w:val="es-ES_tradnl"/>
              </w:rPr>
            </w:pPr>
          </w:p>
          <w:p w14:paraId="70F94743" w14:textId="3FD3D2CC" w:rsidR="005C41B5" w:rsidRPr="00C168C5" w:rsidRDefault="004A6B6F" w:rsidP="005C41B5">
            <w:pPr>
              <w:rPr>
                <w:szCs w:val="22"/>
                <w:lang w:val="es-ES_tradnl"/>
              </w:rPr>
            </w:pPr>
            <w:r w:rsidRPr="00C168C5">
              <w:rPr>
                <w:color w:val="000000"/>
                <w:szCs w:val="22"/>
                <w:lang w:val="es-ES_tradnl"/>
              </w:rPr>
              <w:t xml:space="preserve">La </w:t>
            </w:r>
            <w:r w:rsidR="00401EA1">
              <w:rPr>
                <w:iCs/>
                <w:lang w:val="es-ES_tradnl"/>
              </w:rPr>
              <w:t>sostenibilidad</w:t>
            </w:r>
            <w:r w:rsidRPr="00C168C5">
              <w:rPr>
                <w:iCs/>
                <w:lang w:val="es-ES_tradnl"/>
              </w:rPr>
              <w:t xml:space="preserve"> del sector audiovisual en África constituye un importante desafío en materia de desarrollo.</w:t>
            </w:r>
            <w:r w:rsidR="00C66DA9" w:rsidRPr="00C168C5">
              <w:rPr>
                <w:iCs/>
                <w:lang w:val="es-ES_tradnl"/>
              </w:rPr>
              <w:t xml:space="preserve"> </w:t>
            </w:r>
            <w:r w:rsidR="00C91693" w:rsidRPr="00C168C5">
              <w:rPr>
                <w:color w:val="000000"/>
                <w:szCs w:val="22"/>
                <w:lang w:val="es-ES_tradnl"/>
              </w:rPr>
              <w:t xml:space="preserve"> </w:t>
            </w:r>
            <w:r w:rsidRPr="00C168C5">
              <w:rPr>
                <w:iCs/>
                <w:lang w:val="es-ES_tradnl"/>
              </w:rPr>
              <w:t>El papel de</w:t>
            </w:r>
            <w:r w:rsidR="00F623F1" w:rsidRPr="00C168C5">
              <w:rPr>
                <w:iCs/>
                <w:lang w:val="es-ES_tradnl"/>
              </w:rPr>
              <w:t xml:space="preserve"> la propiedad intelectual</w:t>
            </w:r>
            <w:r w:rsidRPr="00C168C5">
              <w:rPr>
                <w:iCs/>
                <w:lang w:val="es-ES_tradnl"/>
              </w:rPr>
              <w:t xml:space="preserve"> en lo que se refiere a mantener la viabilidad y apoyar la expansión de ese sector aún no se comprende cabalmente.  Mediante el </w:t>
            </w:r>
            <w:r w:rsidRPr="00C168C5">
              <w:rPr>
                <w:iCs/>
                <w:snapToGrid w:val="0"/>
                <w:lang w:val="es-ES_tradnl"/>
              </w:rPr>
              <w:t>proyecto se prete</w:t>
            </w:r>
            <w:r w:rsidR="00401EA1">
              <w:rPr>
                <w:iCs/>
                <w:snapToGrid w:val="0"/>
                <w:lang w:val="es-ES_tradnl"/>
              </w:rPr>
              <w:t>nde desarrollar un marco duradero</w:t>
            </w:r>
            <w:r w:rsidRPr="00C168C5">
              <w:rPr>
                <w:iCs/>
                <w:snapToGrid w:val="0"/>
                <w:lang w:val="es-ES_tradnl"/>
              </w:rPr>
              <w:t xml:space="preserve"> para el sector audiovisual a partir de la mejora de las estructuras profesionales, los mercados y el entorno reglamentario.  Se procura mejorar la comprensión y la utilización estratégica del sistema de P.I. como instrumento clave para fomentar la producción, comercialización y distribución en el sector audiovisual de África.  El proyecto está compuesto </w:t>
            </w:r>
            <w:r w:rsidR="005A69D2" w:rsidRPr="00C168C5">
              <w:rPr>
                <w:iCs/>
                <w:snapToGrid w:val="0"/>
                <w:lang w:val="es-ES_tradnl"/>
              </w:rPr>
              <w:t>por dos componentes principales.  E</w:t>
            </w:r>
            <w:r w:rsidRPr="00C168C5">
              <w:rPr>
                <w:iCs/>
                <w:snapToGrid w:val="0"/>
                <w:lang w:val="es-ES_tradnl"/>
              </w:rPr>
              <w:t>l primero está relacionado con el campo del desarroll</w:t>
            </w:r>
            <w:r w:rsidR="005A69D2" w:rsidRPr="00C168C5">
              <w:rPr>
                <w:iCs/>
                <w:snapToGrid w:val="0"/>
                <w:lang w:val="es-ES_tradnl"/>
              </w:rPr>
              <w:t>o profesional y la capacitación.  E</w:t>
            </w:r>
            <w:r w:rsidRPr="00C168C5">
              <w:rPr>
                <w:iCs/>
                <w:snapToGrid w:val="0"/>
                <w:lang w:val="es-ES_tradnl"/>
              </w:rPr>
              <w:t>l segundo aborda el marco reglamentario y su objetivo será fortalecer la capacidad institucional y la infraestructura pertinentes.</w:t>
            </w:r>
            <w:r w:rsidR="00C91693" w:rsidRPr="00C168C5">
              <w:rPr>
                <w:color w:val="000000"/>
                <w:szCs w:val="22"/>
                <w:lang w:val="es-ES_tradnl"/>
              </w:rPr>
              <w:t xml:space="preserve"> </w:t>
            </w:r>
          </w:p>
          <w:p w14:paraId="262FC429" w14:textId="77777777" w:rsidR="005C41B5" w:rsidRPr="00C168C5" w:rsidRDefault="005C41B5" w:rsidP="005C41B5">
            <w:pPr>
              <w:rPr>
                <w:szCs w:val="22"/>
                <w:lang w:val="es-ES_tradnl"/>
              </w:rPr>
            </w:pPr>
          </w:p>
          <w:p w14:paraId="3BF2BF3F" w14:textId="37D518F0" w:rsidR="005C41B5" w:rsidRPr="00C168C5" w:rsidRDefault="004A6B6F" w:rsidP="005C41B5">
            <w:pPr>
              <w:rPr>
                <w:szCs w:val="22"/>
                <w:lang w:val="es-ES_tradnl"/>
              </w:rPr>
            </w:pPr>
            <w:r w:rsidRPr="00C168C5">
              <w:rPr>
                <w:iCs/>
                <w:snapToGrid w:val="0"/>
                <w:lang w:val="es-ES_tradnl"/>
              </w:rPr>
              <w:t>Se trata de un proyecto que se centra en un número limitado de países beneficiarios para velar por que se logren sinergias e intercambios de experiencias entre los sectores audiovisuales de algunos países de África, en rápida expansión.</w:t>
            </w:r>
            <w:r w:rsidR="005C41B5" w:rsidRPr="00C168C5">
              <w:rPr>
                <w:szCs w:val="22"/>
                <w:lang w:val="es-ES_tradnl"/>
              </w:rPr>
              <w:t xml:space="preserve"> </w:t>
            </w:r>
          </w:p>
          <w:p w14:paraId="6A9FBA29" w14:textId="77777777" w:rsidR="005C41B5" w:rsidRPr="00C168C5" w:rsidRDefault="005C41B5" w:rsidP="005C41B5">
            <w:pPr>
              <w:rPr>
                <w:szCs w:val="22"/>
                <w:lang w:val="es-ES_tradnl"/>
              </w:rPr>
            </w:pPr>
          </w:p>
          <w:p w14:paraId="66B6384F" w14:textId="11852540" w:rsidR="00C91693" w:rsidRPr="00C168C5" w:rsidRDefault="004A6B6F" w:rsidP="004A6B6F">
            <w:pPr>
              <w:rPr>
                <w:color w:val="000000"/>
                <w:szCs w:val="22"/>
                <w:lang w:val="es-ES_tradnl"/>
              </w:rPr>
            </w:pPr>
            <w:r w:rsidRPr="00C168C5">
              <w:rPr>
                <w:iCs/>
                <w:snapToGrid w:val="0"/>
                <w:lang w:val="es-ES_tradnl"/>
              </w:rPr>
              <w:t>El módulo de enseñanza a distancia que ha de desarrollarse en el ámbito de este proyecto constituirá un elemento tangible y durable en pos de la capacitación en el sector audiovisual, y se pondrá a disposición de los sectores interesados y de quienes participen con la OMPI en este proyecto.</w:t>
            </w:r>
          </w:p>
          <w:p w14:paraId="779B2921" w14:textId="77777777" w:rsidR="00C91693" w:rsidRPr="00C168C5" w:rsidRDefault="00C91693" w:rsidP="00243943">
            <w:pPr>
              <w:jc w:val="both"/>
              <w:rPr>
                <w:szCs w:val="22"/>
                <w:lang w:val="es-ES_tradnl"/>
              </w:rPr>
            </w:pPr>
            <w:r w:rsidRPr="00C168C5">
              <w:rPr>
                <w:color w:val="000000"/>
                <w:szCs w:val="22"/>
                <w:lang w:val="es-ES_tradnl"/>
              </w:rPr>
              <w:t xml:space="preserve"> </w:t>
            </w:r>
          </w:p>
        </w:tc>
      </w:tr>
    </w:tbl>
    <w:p w14:paraId="267811BE" w14:textId="77777777" w:rsidR="00C91693" w:rsidRPr="00C168C5" w:rsidRDefault="00C91693" w:rsidP="00C91693">
      <w:pPr>
        <w:rPr>
          <w:szCs w:val="22"/>
          <w:lang w:val="es-ES_tradnl"/>
        </w:rPr>
      </w:pPr>
      <w:r w:rsidRPr="00C168C5">
        <w:rPr>
          <w:szCs w:val="22"/>
          <w:lang w:val="es-ES_tradnl"/>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C91693" w:rsidRPr="00C168C5" w14:paraId="637C5847" w14:textId="77777777" w:rsidTr="00243943">
        <w:trPr>
          <w:trHeight w:val="484"/>
        </w:trPr>
        <w:tc>
          <w:tcPr>
            <w:tcW w:w="2376" w:type="dxa"/>
            <w:shd w:val="clear" w:color="auto" w:fill="auto"/>
          </w:tcPr>
          <w:p w14:paraId="674D5E5E" w14:textId="2C8FF7EC" w:rsidR="00C91693" w:rsidRPr="00C168C5" w:rsidRDefault="00C91693" w:rsidP="00243943">
            <w:pPr>
              <w:pStyle w:val="Heading3"/>
              <w:rPr>
                <w:szCs w:val="22"/>
                <w:lang w:val="es-ES_tradnl"/>
              </w:rPr>
            </w:pPr>
            <w:r w:rsidRPr="00C168C5">
              <w:rPr>
                <w:szCs w:val="22"/>
                <w:lang w:val="es-ES_tradnl"/>
              </w:rPr>
              <w:lastRenderedPageBreak/>
              <w:br w:type="page"/>
            </w:r>
            <w:r w:rsidR="009A7A51" w:rsidRPr="00C168C5">
              <w:rPr>
                <w:szCs w:val="22"/>
                <w:lang w:val="es-ES_tradnl" w:eastAsia="en-US"/>
              </w:rPr>
              <w:t>Director del p</w:t>
            </w:r>
            <w:r w:rsidR="0022177F" w:rsidRPr="00C168C5">
              <w:rPr>
                <w:szCs w:val="22"/>
                <w:lang w:val="es-ES_tradnl" w:eastAsia="en-US"/>
              </w:rPr>
              <w:t>royecto</w:t>
            </w:r>
          </w:p>
          <w:p w14:paraId="1E2A2CC5" w14:textId="77777777" w:rsidR="00C91693" w:rsidRPr="00C168C5" w:rsidRDefault="00C91693" w:rsidP="00243943">
            <w:pPr>
              <w:rPr>
                <w:lang w:val="es-ES_tradnl"/>
              </w:rPr>
            </w:pPr>
          </w:p>
        </w:tc>
        <w:tc>
          <w:tcPr>
            <w:tcW w:w="6912" w:type="dxa"/>
            <w:vAlign w:val="center"/>
          </w:tcPr>
          <w:p w14:paraId="53043544" w14:textId="60F10634" w:rsidR="00C91693" w:rsidRPr="00C168C5" w:rsidRDefault="0022177F" w:rsidP="00243943">
            <w:pPr>
              <w:rPr>
                <w:iCs/>
                <w:szCs w:val="22"/>
                <w:lang w:val="es-ES_tradnl"/>
              </w:rPr>
            </w:pPr>
            <w:r w:rsidRPr="00C168C5">
              <w:rPr>
                <w:iCs/>
                <w:szCs w:val="22"/>
                <w:lang w:val="es-ES_tradnl"/>
              </w:rPr>
              <w:t>Sra</w:t>
            </w:r>
            <w:r w:rsidR="00C91693" w:rsidRPr="00C168C5">
              <w:rPr>
                <w:iCs/>
                <w:szCs w:val="22"/>
                <w:lang w:val="es-ES_tradnl"/>
              </w:rPr>
              <w:t>. Carole Croella</w:t>
            </w:r>
          </w:p>
        </w:tc>
      </w:tr>
      <w:tr w:rsidR="00C91693" w:rsidRPr="00C168C5" w14:paraId="764A66C8" w14:textId="77777777" w:rsidTr="00243943">
        <w:trPr>
          <w:trHeight w:val="1165"/>
        </w:trPr>
        <w:tc>
          <w:tcPr>
            <w:tcW w:w="2376" w:type="dxa"/>
            <w:shd w:val="clear" w:color="auto" w:fill="auto"/>
          </w:tcPr>
          <w:p w14:paraId="684CE050" w14:textId="77777777" w:rsidR="00C91693" w:rsidRPr="00C168C5" w:rsidRDefault="0022177F" w:rsidP="0022177F">
            <w:pPr>
              <w:pStyle w:val="Heading3"/>
              <w:rPr>
                <w:szCs w:val="22"/>
                <w:lang w:val="es-ES_tradnl" w:eastAsia="en-US"/>
              </w:rPr>
            </w:pPr>
            <w:r w:rsidRPr="00C168C5">
              <w:rPr>
                <w:szCs w:val="22"/>
                <w:lang w:val="es-ES_tradnl" w:eastAsia="en-US"/>
              </w:rPr>
              <w:t>Vínculos con los resultados previstos en el presupuesto por programas de 2012/13</w:t>
            </w:r>
          </w:p>
          <w:p w14:paraId="04A8CD6D" w14:textId="001CB4B3" w:rsidR="0022177F" w:rsidRPr="00C168C5" w:rsidDel="00196374" w:rsidRDefault="0022177F" w:rsidP="0022177F">
            <w:pPr>
              <w:rPr>
                <w:lang w:val="es-ES_tradnl"/>
              </w:rPr>
            </w:pPr>
          </w:p>
        </w:tc>
        <w:tc>
          <w:tcPr>
            <w:tcW w:w="6912" w:type="dxa"/>
          </w:tcPr>
          <w:p w14:paraId="5ADD8FC9" w14:textId="77777777" w:rsidR="00C91693" w:rsidRPr="00C168C5" w:rsidRDefault="00C91693" w:rsidP="00243943">
            <w:pPr>
              <w:rPr>
                <w:iCs/>
                <w:szCs w:val="22"/>
                <w:lang w:val="es-ES_tradnl"/>
              </w:rPr>
            </w:pPr>
          </w:p>
          <w:p w14:paraId="00E1ECE9" w14:textId="68463A1F" w:rsidR="00C91693" w:rsidRPr="00C168C5" w:rsidDel="00196374" w:rsidRDefault="00C91693" w:rsidP="00243943">
            <w:pPr>
              <w:rPr>
                <w:iCs/>
                <w:szCs w:val="22"/>
                <w:lang w:val="es-ES_tradnl"/>
              </w:rPr>
            </w:pPr>
            <w:r w:rsidRPr="00C168C5">
              <w:rPr>
                <w:iCs/>
                <w:szCs w:val="22"/>
                <w:lang w:val="es-ES_tradnl"/>
              </w:rPr>
              <w:t>Program</w:t>
            </w:r>
            <w:r w:rsidR="0022177F" w:rsidRPr="00C168C5">
              <w:rPr>
                <w:iCs/>
                <w:szCs w:val="22"/>
                <w:lang w:val="es-ES_tradnl"/>
              </w:rPr>
              <w:t>a</w:t>
            </w:r>
            <w:r w:rsidRPr="00C168C5">
              <w:rPr>
                <w:iCs/>
                <w:szCs w:val="22"/>
                <w:lang w:val="es-ES_tradnl"/>
              </w:rPr>
              <w:t xml:space="preserve"> 3</w:t>
            </w:r>
          </w:p>
        </w:tc>
      </w:tr>
      <w:tr w:rsidR="00C91693" w:rsidRPr="00C168C5" w14:paraId="41FDDAFE" w14:textId="77777777" w:rsidTr="00243943">
        <w:trPr>
          <w:trHeight w:val="796"/>
        </w:trPr>
        <w:tc>
          <w:tcPr>
            <w:tcW w:w="2376" w:type="dxa"/>
            <w:shd w:val="clear" w:color="auto" w:fill="auto"/>
          </w:tcPr>
          <w:p w14:paraId="705620B4" w14:textId="77777777" w:rsidR="0076105E" w:rsidRPr="00C168C5" w:rsidRDefault="0076105E" w:rsidP="0076105E">
            <w:pPr>
              <w:keepNext/>
              <w:spacing w:before="240" w:after="60"/>
              <w:outlineLvl w:val="2"/>
              <w:rPr>
                <w:bCs/>
                <w:szCs w:val="22"/>
                <w:u w:val="single"/>
                <w:lang w:val="es-ES_tradnl" w:eastAsia="en-US"/>
              </w:rPr>
            </w:pPr>
            <w:r w:rsidRPr="00C168C5">
              <w:rPr>
                <w:bCs/>
                <w:szCs w:val="22"/>
                <w:u w:val="single"/>
                <w:lang w:val="es-ES_tradnl" w:eastAsia="en-US"/>
              </w:rPr>
              <w:t>Progresos en la ejecución del proyecto</w:t>
            </w:r>
          </w:p>
          <w:p w14:paraId="3F5B255A" w14:textId="77777777" w:rsidR="00C91693" w:rsidRPr="00C168C5" w:rsidRDefault="00C91693" w:rsidP="0076105E">
            <w:pPr>
              <w:pStyle w:val="Heading3"/>
              <w:rPr>
                <w:szCs w:val="22"/>
                <w:lang w:val="es-ES_tradnl"/>
              </w:rPr>
            </w:pPr>
          </w:p>
        </w:tc>
        <w:tc>
          <w:tcPr>
            <w:tcW w:w="6912" w:type="dxa"/>
          </w:tcPr>
          <w:p w14:paraId="26B4B46E" w14:textId="77777777" w:rsidR="00C91693" w:rsidRPr="00C168C5" w:rsidRDefault="00C91693" w:rsidP="00243943">
            <w:pPr>
              <w:rPr>
                <w:szCs w:val="22"/>
                <w:u w:val="single"/>
                <w:lang w:val="es-ES_tradnl"/>
              </w:rPr>
            </w:pPr>
          </w:p>
          <w:p w14:paraId="7D7AA56B" w14:textId="4DC8C82D" w:rsidR="00C91693" w:rsidRPr="00C168C5" w:rsidRDefault="00C269C5" w:rsidP="00243943">
            <w:pPr>
              <w:rPr>
                <w:szCs w:val="22"/>
                <w:u w:val="single"/>
                <w:lang w:val="es-ES_tradnl"/>
              </w:rPr>
            </w:pPr>
            <w:r w:rsidRPr="00C168C5">
              <w:rPr>
                <w:szCs w:val="22"/>
                <w:u w:val="single"/>
                <w:lang w:val="es-ES_tradnl"/>
              </w:rPr>
              <w:t>Primera a</w:t>
            </w:r>
            <w:r w:rsidR="00760C30" w:rsidRPr="00C168C5">
              <w:rPr>
                <w:szCs w:val="22"/>
                <w:u w:val="single"/>
                <w:lang w:val="es-ES_tradnl"/>
              </w:rPr>
              <w:t>ctividad</w:t>
            </w:r>
            <w:r w:rsidR="00A17DB5" w:rsidRPr="00C168C5">
              <w:rPr>
                <w:szCs w:val="22"/>
                <w:u w:val="single"/>
                <w:lang w:val="es-ES_tradnl"/>
              </w:rPr>
              <w:t xml:space="preserve"> </w:t>
            </w:r>
            <w:r w:rsidR="00760C30" w:rsidRPr="00C168C5">
              <w:rPr>
                <w:szCs w:val="22"/>
                <w:u w:val="single"/>
                <w:lang w:val="es-ES_tradnl"/>
              </w:rPr>
              <w:t>del proyecto</w:t>
            </w:r>
            <w:r w:rsidR="00C91693" w:rsidRPr="00C168C5">
              <w:rPr>
                <w:szCs w:val="22"/>
                <w:u w:val="single"/>
                <w:lang w:val="es-ES_tradnl"/>
              </w:rPr>
              <w:t xml:space="preserve">:  </w:t>
            </w:r>
            <w:r w:rsidR="00760C30" w:rsidRPr="00C168C5">
              <w:rPr>
                <w:szCs w:val="22"/>
                <w:u w:val="single"/>
                <w:lang w:val="es-ES_tradnl"/>
              </w:rPr>
              <w:t>documentos de antecedentes y estudios</w:t>
            </w:r>
          </w:p>
          <w:p w14:paraId="6528E252" w14:textId="77777777" w:rsidR="00C91693" w:rsidRPr="00C168C5" w:rsidRDefault="00C91693" w:rsidP="00243943">
            <w:pPr>
              <w:rPr>
                <w:szCs w:val="22"/>
                <w:lang w:val="es-ES_tradnl"/>
              </w:rPr>
            </w:pPr>
          </w:p>
          <w:p w14:paraId="6C7F45B8" w14:textId="58A423F1" w:rsidR="00C91693" w:rsidRPr="00C168C5" w:rsidRDefault="007E138E" w:rsidP="00243943">
            <w:pPr>
              <w:rPr>
                <w:szCs w:val="22"/>
                <w:lang w:val="es-ES_tradnl"/>
              </w:rPr>
            </w:pPr>
            <w:r w:rsidRPr="00C168C5">
              <w:rPr>
                <w:szCs w:val="22"/>
                <w:lang w:val="es-ES_tradnl"/>
              </w:rPr>
              <w:t xml:space="preserve">Este componente del proyecto concluye al finalizarse el estudio sobre </w:t>
            </w:r>
            <w:r w:rsidR="00446438" w:rsidRPr="00C168C5">
              <w:rPr>
                <w:rFonts w:eastAsia="Times New Roman"/>
                <w:i/>
                <w:szCs w:val="22"/>
                <w:lang w:val="es-ES_tradnl" w:eastAsia="en-US"/>
              </w:rPr>
              <w:t>La negociación colectiva y gestión colectiva de los derechos en el sector audiovisual en Burkina Faso</w:t>
            </w:r>
            <w:r w:rsidR="00C91693" w:rsidRPr="00C168C5">
              <w:rPr>
                <w:szCs w:val="22"/>
                <w:lang w:val="es-ES_tradnl"/>
              </w:rPr>
              <w:t>, pr</w:t>
            </w:r>
            <w:r w:rsidR="00446438" w:rsidRPr="00C168C5">
              <w:rPr>
                <w:szCs w:val="22"/>
                <w:lang w:val="es-ES_tradnl"/>
              </w:rPr>
              <w:t>eparado por Sra.</w:t>
            </w:r>
            <w:r w:rsidR="00C91693" w:rsidRPr="00C168C5">
              <w:rPr>
                <w:szCs w:val="22"/>
                <w:lang w:val="es-ES_tradnl"/>
              </w:rPr>
              <w:t xml:space="preserve"> Koskinen Olsson.  </w:t>
            </w:r>
            <w:r w:rsidR="00B478C0" w:rsidRPr="00C168C5">
              <w:rPr>
                <w:szCs w:val="22"/>
                <w:lang w:val="es-ES_tradnl"/>
              </w:rPr>
              <w:t xml:space="preserve">El estudio describe </w:t>
            </w:r>
            <w:r w:rsidR="00131B7D" w:rsidRPr="00C168C5">
              <w:rPr>
                <w:szCs w:val="22"/>
                <w:lang w:val="es-ES_tradnl"/>
              </w:rPr>
              <w:t xml:space="preserve">primero </w:t>
            </w:r>
            <w:r w:rsidR="00B478C0" w:rsidRPr="00C168C5">
              <w:rPr>
                <w:szCs w:val="22"/>
                <w:lang w:val="es-ES_tradnl"/>
              </w:rPr>
              <w:t xml:space="preserve">el funcionamiento de la gestión </w:t>
            </w:r>
            <w:r w:rsidR="00131B7D" w:rsidRPr="00C168C5">
              <w:rPr>
                <w:szCs w:val="22"/>
                <w:lang w:val="es-ES_tradnl"/>
              </w:rPr>
              <w:t xml:space="preserve">de los derechos </w:t>
            </w:r>
            <w:r w:rsidR="00C91693" w:rsidRPr="00C168C5">
              <w:rPr>
                <w:szCs w:val="22"/>
                <w:lang w:val="es-ES_tradnl"/>
              </w:rPr>
              <w:t>audiovisual</w:t>
            </w:r>
            <w:r w:rsidR="00131B7D" w:rsidRPr="00C168C5">
              <w:rPr>
                <w:szCs w:val="22"/>
                <w:lang w:val="es-ES_tradnl"/>
              </w:rPr>
              <w:t>es y después</w:t>
            </w:r>
            <w:r w:rsidR="00914788" w:rsidRPr="00C168C5">
              <w:rPr>
                <w:szCs w:val="22"/>
                <w:lang w:val="es-ES_tradnl"/>
              </w:rPr>
              <w:t xml:space="preserve"> las principales conclusiones en los países destinatarios </w:t>
            </w:r>
            <w:r w:rsidR="00E96CBC" w:rsidRPr="00C168C5">
              <w:rPr>
                <w:szCs w:val="22"/>
                <w:lang w:val="es-ES_tradnl"/>
              </w:rPr>
              <w:t>a la luz de los datos recibidos de los países beneficiarios</w:t>
            </w:r>
            <w:r w:rsidR="00C91693" w:rsidRPr="00C168C5">
              <w:rPr>
                <w:szCs w:val="22"/>
                <w:lang w:val="es-ES_tradnl"/>
              </w:rPr>
              <w:t xml:space="preserve">.  </w:t>
            </w:r>
          </w:p>
          <w:p w14:paraId="69A28D31" w14:textId="77777777" w:rsidR="00C91693" w:rsidRPr="00C168C5" w:rsidRDefault="00C91693" w:rsidP="00243943">
            <w:pPr>
              <w:rPr>
                <w:szCs w:val="22"/>
                <w:lang w:val="es-ES_tradnl"/>
              </w:rPr>
            </w:pPr>
          </w:p>
          <w:p w14:paraId="399F3933" w14:textId="77777777" w:rsidR="001D0547" w:rsidRPr="00C168C5" w:rsidRDefault="00056E22" w:rsidP="00243943">
            <w:pPr>
              <w:rPr>
                <w:szCs w:val="22"/>
                <w:lang w:val="es-ES_tradnl"/>
              </w:rPr>
            </w:pPr>
            <w:r w:rsidRPr="00C168C5">
              <w:rPr>
                <w:szCs w:val="22"/>
                <w:lang w:val="es-ES_tradnl"/>
              </w:rPr>
              <w:t>Se puede consultar el estudio y el resumen en</w:t>
            </w:r>
            <w:r w:rsidR="00C91693" w:rsidRPr="00C168C5">
              <w:rPr>
                <w:szCs w:val="22"/>
                <w:lang w:val="es-ES_tradnl"/>
              </w:rPr>
              <w:t xml:space="preserve">: </w:t>
            </w:r>
            <w:hyperlink r:id="rId11" w:history="1">
              <w:r w:rsidR="00C91693" w:rsidRPr="00C168C5">
                <w:rPr>
                  <w:rStyle w:val="Hyperlink"/>
                  <w:szCs w:val="22"/>
                  <w:lang w:val="es-ES_tradnl"/>
                </w:rPr>
                <w:t>http://www.wipo.int/meetings/en/doc_details.jsp?doc_id=283200</w:t>
              </w:r>
            </w:hyperlink>
            <w:r w:rsidR="00C91693" w:rsidRPr="00C168C5">
              <w:rPr>
                <w:szCs w:val="22"/>
                <w:lang w:val="es-ES_tradnl"/>
              </w:rPr>
              <w:t xml:space="preserve"> </w:t>
            </w:r>
          </w:p>
          <w:p w14:paraId="1C0F79A1" w14:textId="1A90EACF" w:rsidR="00C91693" w:rsidRPr="00C168C5" w:rsidRDefault="001D0547" w:rsidP="00243943">
            <w:pPr>
              <w:rPr>
                <w:szCs w:val="22"/>
                <w:lang w:val="es-ES_tradnl"/>
              </w:rPr>
            </w:pPr>
            <w:r w:rsidRPr="00C168C5">
              <w:rPr>
                <w:szCs w:val="22"/>
                <w:lang w:val="es-ES_tradnl"/>
              </w:rPr>
              <w:t>El estudio se presentó</w:t>
            </w:r>
            <w:r w:rsidR="00056E22" w:rsidRPr="00C168C5">
              <w:rPr>
                <w:szCs w:val="22"/>
                <w:lang w:val="es-ES_tradnl"/>
              </w:rPr>
              <w:t xml:space="preserve"> en </w:t>
            </w:r>
            <w:r w:rsidRPr="00C168C5">
              <w:rPr>
                <w:szCs w:val="22"/>
                <w:lang w:val="es-ES_tradnl"/>
              </w:rPr>
              <w:t xml:space="preserve">la </w:t>
            </w:r>
            <w:r w:rsidR="00401EA1">
              <w:rPr>
                <w:szCs w:val="22"/>
                <w:lang w:val="es-ES_tradnl"/>
              </w:rPr>
              <w:t>decimo</w:t>
            </w:r>
            <w:r w:rsidR="003F22F6" w:rsidRPr="00C168C5">
              <w:rPr>
                <w:szCs w:val="22"/>
                <w:lang w:val="es-ES_tradnl"/>
              </w:rPr>
              <w:t>cuarta</w:t>
            </w:r>
            <w:r w:rsidRPr="00C168C5">
              <w:rPr>
                <w:szCs w:val="22"/>
                <w:lang w:val="es-ES_tradnl"/>
              </w:rPr>
              <w:t xml:space="preserve"> sesión d</w:t>
            </w:r>
            <w:r w:rsidR="00056E22" w:rsidRPr="00C168C5">
              <w:rPr>
                <w:szCs w:val="22"/>
                <w:lang w:val="es-ES_tradnl"/>
              </w:rPr>
              <w:t xml:space="preserve">el </w:t>
            </w:r>
            <w:r w:rsidR="00C91693" w:rsidRPr="00C168C5">
              <w:rPr>
                <w:szCs w:val="22"/>
                <w:lang w:val="es-ES_tradnl"/>
              </w:rPr>
              <w:t>CDIP.</w:t>
            </w:r>
          </w:p>
          <w:p w14:paraId="18B9CD63" w14:textId="77777777" w:rsidR="00C91693" w:rsidRPr="00C168C5" w:rsidRDefault="00C91693" w:rsidP="00243943">
            <w:pPr>
              <w:jc w:val="both"/>
              <w:rPr>
                <w:szCs w:val="22"/>
                <w:lang w:val="es-ES_tradnl"/>
              </w:rPr>
            </w:pPr>
          </w:p>
          <w:p w14:paraId="2B0915C6" w14:textId="5DF2F0D7" w:rsidR="00C91693" w:rsidRPr="00C168C5" w:rsidRDefault="00B3630B" w:rsidP="00243943">
            <w:pPr>
              <w:rPr>
                <w:szCs w:val="22"/>
                <w:u w:val="single"/>
                <w:lang w:val="es-ES_tradnl"/>
              </w:rPr>
            </w:pPr>
            <w:r w:rsidRPr="00C168C5">
              <w:rPr>
                <w:szCs w:val="22"/>
                <w:u w:val="single"/>
                <w:lang w:val="es-ES_tradnl"/>
              </w:rPr>
              <w:t>Segunda a</w:t>
            </w:r>
            <w:r w:rsidR="00A17DB5" w:rsidRPr="00C168C5">
              <w:rPr>
                <w:szCs w:val="22"/>
                <w:u w:val="single"/>
                <w:lang w:val="es-ES_tradnl"/>
              </w:rPr>
              <w:t>ctividad</w:t>
            </w:r>
            <w:r w:rsidR="00E314B6" w:rsidRPr="00C168C5">
              <w:rPr>
                <w:szCs w:val="22"/>
                <w:u w:val="single"/>
                <w:lang w:val="es-ES_tradnl"/>
              </w:rPr>
              <w:t xml:space="preserve"> del proyecto</w:t>
            </w:r>
            <w:r w:rsidR="00C91693" w:rsidRPr="00C168C5">
              <w:rPr>
                <w:szCs w:val="22"/>
                <w:u w:val="single"/>
                <w:lang w:val="es-ES_tradnl"/>
              </w:rPr>
              <w:t xml:space="preserve">:  </w:t>
            </w:r>
            <w:r w:rsidR="00CC22FB" w:rsidRPr="00C168C5">
              <w:rPr>
                <w:szCs w:val="22"/>
                <w:u w:val="single"/>
                <w:lang w:val="es-ES_tradnl"/>
              </w:rPr>
              <w:t xml:space="preserve">talleres de </w:t>
            </w:r>
            <w:r w:rsidR="001D0547" w:rsidRPr="00C168C5">
              <w:rPr>
                <w:szCs w:val="22"/>
                <w:u w:val="single"/>
                <w:lang w:val="es-ES_tradnl"/>
              </w:rPr>
              <w:t xml:space="preserve">capacitación </w:t>
            </w:r>
            <w:r w:rsidR="00CC22FB" w:rsidRPr="00C168C5">
              <w:rPr>
                <w:szCs w:val="22"/>
                <w:u w:val="single"/>
                <w:lang w:val="es-ES_tradnl"/>
              </w:rPr>
              <w:t xml:space="preserve">y desarrollo profesional </w:t>
            </w:r>
          </w:p>
          <w:p w14:paraId="1695195C" w14:textId="77777777" w:rsidR="00C91693" w:rsidRPr="00C168C5" w:rsidRDefault="00C91693" w:rsidP="00243943">
            <w:pPr>
              <w:jc w:val="both"/>
              <w:rPr>
                <w:szCs w:val="22"/>
                <w:u w:val="single"/>
                <w:lang w:val="es-ES_tradnl"/>
              </w:rPr>
            </w:pPr>
          </w:p>
          <w:p w14:paraId="70FA9C63" w14:textId="77777777" w:rsidR="00C91693" w:rsidRPr="00C168C5" w:rsidRDefault="00C91693" w:rsidP="00243943">
            <w:pPr>
              <w:jc w:val="both"/>
              <w:rPr>
                <w:szCs w:val="22"/>
                <w:u w:val="single"/>
                <w:lang w:val="es-ES_tradnl"/>
              </w:rPr>
            </w:pPr>
            <w:r w:rsidRPr="00C168C5">
              <w:rPr>
                <w:szCs w:val="22"/>
                <w:u w:val="single"/>
                <w:lang w:val="es-ES_tradnl"/>
              </w:rPr>
              <w:t>Burkina Faso</w:t>
            </w:r>
          </w:p>
          <w:p w14:paraId="594E641F" w14:textId="4E6302ED" w:rsidR="00C91693" w:rsidRPr="00C168C5" w:rsidRDefault="001A1C52" w:rsidP="00243943">
            <w:pPr>
              <w:rPr>
                <w:szCs w:val="22"/>
                <w:u w:val="single"/>
                <w:lang w:val="es-ES_tradnl"/>
              </w:rPr>
            </w:pPr>
            <w:r w:rsidRPr="00C168C5">
              <w:rPr>
                <w:szCs w:val="22"/>
                <w:lang w:val="es-ES_tradnl"/>
              </w:rPr>
              <w:t>En julio de 2014 y septiembre de 2015 tuvieron lugar d</w:t>
            </w:r>
            <w:r w:rsidR="008465A2" w:rsidRPr="00C168C5">
              <w:rPr>
                <w:szCs w:val="22"/>
                <w:lang w:val="es-ES_tradnl"/>
              </w:rPr>
              <w:t>os talleres nacionales destinados a p</w:t>
            </w:r>
            <w:r w:rsidR="001D0547" w:rsidRPr="00C168C5">
              <w:rPr>
                <w:szCs w:val="22"/>
                <w:lang w:val="es-ES_tradnl"/>
              </w:rPr>
              <w:t xml:space="preserve">rofesionales del </w:t>
            </w:r>
            <w:r w:rsidR="008465A2" w:rsidRPr="00C168C5">
              <w:rPr>
                <w:szCs w:val="22"/>
                <w:lang w:val="es-ES_tradnl"/>
              </w:rPr>
              <w:t>sector cinematográfico</w:t>
            </w:r>
            <w:r w:rsidR="00C91693" w:rsidRPr="00C168C5">
              <w:rPr>
                <w:szCs w:val="22"/>
                <w:lang w:val="es-ES_tradnl"/>
              </w:rPr>
              <w:t xml:space="preserve">. </w:t>
            </w:r>
          </w:p>
          <w:p w14:paraId="2F63D14E" w14:textId="77777777" w:rsidR="00C91693" w:rsidRPr="00C168C5" w:rsidRDefault="00C91693" w:rsidP="00243943">
            <w:pPr>
              <w:ind w:left="720"/>
              <w:jc w:val="both"/>
              <w:rPr>
                <w:szCs w:val="22"/>
                <w:u w:val="single"/>
                <w:lang w:val="es-ES_tradnl"/>
              </w:rPr>
            </w:pPr>
          </w:p>
          <w:p w14:paraId="23616139" w14:textId="37E935D5" w:rsidR="00C91693" w:rsidRPr="00C168C5" w:rsidRDefault="008465A2" w:rsidP="00243943">
            <w:pPr>
              <w:rPr>
                <w:szCs w:val="22"/>
                <w:lang w:val="es-ES_tradnl"/>
              </w:rPr>
            </w:pPr>
            <w:r w:rsidRPr="00C168C5">
              <w:rPr>
                <w:szCs w:val="22"/>
                <w:lang w:val="es-ES_tradnl"/>
              </w:rPr>
              <w:t xml:space="preserve">La OMPI también </w:t>
            </w:r>
            <w:r w:rsidR="001A1C52" w:rsidRPr="00C168C5">
              <w:rPr>
                <w:szCs w:val="22"/>
                <w:lang w:val="es-ES_tradnl"/>
              </w:rPr>
              <w:t>participó</w:t>
            </w:r>
            <w:r w:rsidRPr="00C168C5">
              <w:rPr>
                <w:szCs w:val="22"/>
                <w:lang w:val="es-ES_tradnl"/>
              </w:rPr>
              <w:t xml:space="preserve"> en un programa de </w:t>
            </w:r>
            <w:r w:rsidR="003E4427" w:rsidRPr="00C168C5">
              <w:rPr>
                <w:szCs w:val="22"/>
                <w:lang w:val="es-ES_tradnl"/>
              </w:rPr>
              <w:t xml:space="preserve">formación sobre </w:t>
            </w:r>
            <w:r w:rsidR="001A1C52" w:rsidRPr="00C168C5">
              <w:rPr>
                <w:szCs w:val="22"/>
                <w:lang w:val="es-ES_tradnl"/>
              </w:rPr>
              <w:t>l</w:t>
            </w:r>
            <w:r w:rsidR="003E4427" w:rsidRPr="00C168C5">
              <w:rPr>
                <w:szCs w:val="22"/>
                <w:lang w:val="es-ES_tradnl"/>
              </w:rPr>
              <w:t xml:space="preserve">os contratos, la producción y la </w:t>
            </w:r>
            <w:r w:rsidR="001A1C52" w:rsidRPr="00C168C5">
              <w:rPr>
                <w:szCs w:val="22"/>
                <w:lang w:val="es-ES_tradnl"/>
              </w:rPr>
              <w:t>distribución en la era digital</w:t>
            </w:r>
            <w:r w:rsidR="003E4427" w:rsidRPr="00C168C5">
              <w:rPr>
                <w:szCs w:val="22"/>
                <w:lang w:val="es-ES_tradnl"/>
              </w:rPr>
              <w:t xml:space="preserve">, </w:t>
            </w:r>
            <w:r w:rsidR="001A1C52" w:rsidRPr="00C168C5">
              <w:rPr>
                <w:szCs w:val="22"/>
                <w:lang w:val="es-ES_tradnl"/>
              </w:rPr>
              <w:t>que</w:t>
            </w:r>
            <w:r w:rsidR="003E4427" w:rsidRPr="00C168C5">
              <w:rPr>
                <w:szCs w:val="22"/>
                <w:lang w:val="es-ES_tradnl"/>
              </w:rPr>
              <w:t xml:space="preserve"> forma parte del </w:t>
            </w:r>
            <w:r w:rsidR="001A1C52" w:rsidRPr="00C168C5">
              <w:rPr>
                <w:szCs w:val="22"/>
                <w:lang w:val="es-ES_tradnl"/>
              </w:rPr>
              <w:t>programa oficial de la 24</w:t>
            </w:r>
            <w:r w:rsidR="003E4427" w:rsidRPr="00C168C5">
              <w:rPr>
                <w:szCs w:val="22"/>
                <w:lang w:val="es-ES_tradnl"/>
              </w:rPr>
              <w:t xml:space="preserve">ª edición del </w:t>
            </w:r>
            <w:r w:rsidR="003E4427" w:rsidRPr="00C168C5">
              <w:rPr>
                <w:rFonts w:eastAsia="Times New Roman"/>
                <w:szCs w:val="22"/>
                <w:lang w:val="es-ES_tradnl" w:eastAsia="en-US"/>
              </w:rPr>
              <w:t>F</w:t>
            </w:r>
            <w:r w:rsidR="003E4427" w:rsidRPr="00C168C5">
              <w:rPr>
                <w:lang w:val="es-ES_tradnl"/>
              </w:rPr>
              <w:t>estival Panafricano de Cine y Televisió</w:t>
            </w:r>
            <w:r w:rsidR="001A1C52" w:rsidRPr="00C168C5">
              <w:rPr>
                <w:lang w:val="es-ES_tradnl"/>
              </w:rPr>
              <w:t>n (FESPACO), organizado en marz</w:t>
            </w:r>
            <w:r w:rsidR="003E4427" w:rsidRPr="00C168C5">
              <w:rPr>
                <w:lang w:val="es-ES_tradnl"/>
              </w:rPr>
              <w:t xml:space="preserve">o de </w:t>
            </w:r>
            <w:r w:rsidR="00C91693" w:rsidRPr="00C168C5">
              <w:rPr>
                <w:szCs w:val="22"/>
                <w:lang w:val="es-ES_tradnl"/>
              </w:rPr>
              <w:t xml:space="preserve">2015. </w:t>
            </w:r>
          </w:p>
          <w:p w14:paraId="69DB90E9" w14:textId="77777777" w:rsidR="00C91693" w:rsidRPr="00C168C5" w:rsidRDefault="00C91693" w:rsidP="00243943">
            <w:pPr>
              <w:jc w:val="both"/>
              <w:rPr>
                <w:szCs w:val="22"/>
                <w:lang w:val="es-ES_tradnl"/>
              </w:rPr>
            </w:pPr>
          </w:p>
          <w:p w14:paraId="2753263E" w14:textId="77777777" w:rsidR="00C91693" w:rsidRPr="00C168C5" w:rsidRDefault="00C91693" w:rsidP="00243943">
            <w:pPr>
              <w:rPr>
                <w:szCs w:val="22"/>
                <w:lang w:val="es-ES_tradnl"/>
              </w:rPr>
            </w:pPr>
            <w:r w:rsidRPr="00C168C5">
              <w:rPr>
                <w:szCs w:val="22"/>
                <w:u w:val="single"/>
                <w:lang w:val="es-ES_tradnl"/>
              </w:rPr>
              <w:t>Kenya</w:t>
            </w:r>
          </w:p>
          <w:p w14:paraId="3BEEEC12" w14:textId="18EDAEF3" w:rsidR="00C91693" w:rsidRPr="00C168C5" w:rsidRDefault="003E4427" w:rsidP="00243943">
            <w:pPr>
              <w:rPr>
                <w:szCs w:val="22"/>
                <w:lang w:val="es-ES_tradnl"/>
              </w:rPr>
            </w:pPr>
            <w:r w:rsidRPr="00C168C5">
              <w:rPr>
                <w:szCs w:val="22"/>
                <w:lang w:val="es-ES_tradnl"/>
              </w:rPr>
              <w:t>El 12 y 13 de abril de 2015 se ce</w:t>
            </w:r>
            <w:r w:rsidR="001842D2" w:rsidRPr="00C168C5">
              <w:rPr>
                <w:szCs w:val="22"/>
                <w:lang w:val="es-ES_tradnl"/>
              </w:rPr>
              <w:t xml:space="preserve">lebró el segundo seminario para </w:t>
            </w:r>
            <w:r w:rsidR="001A1C52" w:rsidRPr="00C168C5">
              <w:rPr>
                <w:szCs w:val="22"/>
                <w:lang w:val="es-ES_tradnl"/>
              </w:rPr>
              <w:t>profesionales</w:t>
            </w:r>
            <w:r w:rsidR="001842D2" w:rsidRPr="00C168C5">
              <w:rPr>
                <w:szCs w:val="22"/>
                <w:lang w:val="es-ES_tradnl"/>
              </w:rPr>
              <w:t xml:space="preserve"> del cine.</w:t>
            </w:r>
          </w:p>
          <w:p w14:paraId="57E33652" w14:textId="77777777" w:rsidR="00C91693" w:rsidRPr="00C168C5" w:rsidRDefault="00C91693" w:rsidP="00243943">
            <w:pPr>
              <w:rPr>
                <w:szCs w:val="22"/>
                <w:lang w:val="es-ES_tradnl"/>
              </w:rPr>
            </w:pPr>
          </w:p>
          <w:p w14:paraId="42A7C214" w14:textId="77777777" w:rsidR="00C91693" w:rsidRPr="00C168C5" w:rsidRDefault="00C91693" w:rsidP="00243943">
            <w:pPr>
              <w:rPr>
                <w:szCs w:val="22"/>
                <w:u w:val="single"/>
                <w:lang w:val="es-ES_tradnl"/>
              </w:rPr>
            </w:pPr>
            <w:r w:rsidRPr="00C168C5">
              <w:rPr>
                <w:szCs w:val="22"/>
                <w:u w:val="single"/>
                <w:lang w:val="es-ES_tradnl"/>
              </w:rPr>
              <w:t>Senegal</w:t>
            </w:r>
          </w:p>
          <w:p w14:paraId="38CD4E63" w14:textId="7C99502F" w:rsidR="00C91693" w:rsidRPr="00C168C5" w:rsidRDefault="00832DAF" w:rsidP="00243943">
            <w:pPr>
              <w:rPr>
                <w:szCs w:val="22"/>
                <w:lang w:val="es-ES_tradnl"/>
              </w:rPr>
            </w:pPr>
            <w:r w:rsidRPr="00C168C5">
              <w:rPr>
                <w:szCs w:val="22"/>
                <w:lang w:val="es-ES_tradnl"/>
              </w:rPr>
              <w:t>Dos seminarios tuvieron l</w:t>
            </w:r>
            <w:r w:rsidR="001A1C52" w:rsidRPr="00C168C5">
              <w:rPr>
                <w:szCs w:val="22"/>
                <w:lang w:val="es-ES_tradnl"/>
              </w:rPr>
              <w:t xml:space="preserve">ugar para </w:t>
            </w:r>
            <w:r w:rsidRPr="00C168C5">
              <w:rPr>
                <w:szCs w:val="22"/>
                <w:lang w:val="es-ES_tradnl"/>
              </w:rPr>
              <w:t xml:space="preserve">cinematógrafos profesionales en septiembre de </w:t>
            </w:r>
            <w:r w:rsidR="00C91693" w:rsidRPr="00C168C5">
              <w:rPr>
                <w:szCs w:val="22"/>
                <w:lang w:val="es-ES_tradnl"/>
              </w:rPr>
              <w:t xml:space="preserve">2014 </w:t>
            </w:r>
            <w:r w:rsidRPr="00C168C5">
              <w:rPr>
                <w:szCs w:val="22"/>
                <w:lang w:val="es-ES_tradnl"/>
              </w:rPr>
              <w:t xml:space="preserve">y junio de </w:t>
            </w:r>
            <w:r w:rsidR="00C91693" w:rsidRPr="00C168C5">
              <w:rPr>
                <w:szCs w:val="22"/>
                <w:lang w:val="es-ES_tradnl"/>
              </w:rPr>
              <w:t xml:space="preserve">2015. </w:t>
            </w:r>
          </w:p>
          <w:p w14:paraId="3744ECA1" w14:textId="77777777" w:rsidR="00C91693" w:rsidRPr="00C168C5" w:rsidRDefault="00C91693" w:rsidP="00243943">
            <w:pPr>
              <w:rPr>
                <w:szCs w:val="22"/>
                <w:lang w:val="es-ES_tradnl"/>
              </w:rPr>
            </w:pPr>
          </w:p>
          <w:p w14:paraId="6A36ACF6" w14:textId="23D32B41" w:rsidR="00C91693" w:rsidRPr="00C168C5" w:rsidRDefault="001A1C52" w:rsidP="00243943">
            <w:pPr>
              <w:rPr>
                <w:szCs w:val="22"/>
                <w:lang w:val="es-ES_tradnl"/>
              </w:rPr>
            </w:pPr>
            <w:r w:rsidRPr="00C168C5">
              <w:rPr>
                <w:szCs w:val="22"/>
                <w:lang w:val="es-ES_tradnl"/>
              </w:rPr>
              <w:t>A petición del Gobierno y del colegio de a</w:t>
            </w:r>
            <w:r w:rsidR="00892A08" w:rsidRPr="00C168C5">
              <w:rPr>
                <w:szCs w:val="22"/>
                <w:lang w:val="es-ES_tradnl"/>
              </w:rPr>
              <w:t>bogados</w:t>
            </w:r>
            <w:r w:rsidR="00C91693" w:rsidRPr="00C168C5">
              <w:rPr>
                <w:szCs w:val="22"/>
                <w:lang w:val="es-ES_tradnl"/>
              </w:rPr>
              <w:t xml:space="preserve">, </w:t>
            </w:r>
            <w:r w:rsidR="00997AF2" w:rsidRPr="00C168C5">
              <w:rPr>
                <w:szCs w:val="22"/>
                <w:lang w:val="es-ES_tradnl"/>
              </w:rPr>
              <w:t xml:space="preserve">en marzo y junio de 2015 </w:t>
            </w:r>
            <w:r w:rsidR="00892A08" w:rsidRPr="00C168C5">
              <w:rPr>
                <w:szCs w:val="22"/>
                <w:lang w:val="es-ES_tradnl"/>
              </w:rPr>
              <w:t xml:space="preserve">se celebraron dos talleres prácticos para juristas sobre el derecho de autor </w:t>
            </w:r>
            <w:r w:rsidR="00997AF2" w:rsidRPr="00C168C5">
              <w:rPr>
                <w:szCs w:val="22"/>
                <w:lang w:val="es-ES_tradnl"/>
              </w:rPr>
              <w:t xml:space="preserve">y los contratos del sector </w:t>
            </w:r>
            <w:r w:rsidR="00080878" w:rsidRPr="00C168C5">
              <w:rPr>
                <w:szCs w:val="22"/>
                <w:lang w:val="es-ES_tradnl"/>
              </w:rPr>
              <w:t>audiovisual</w:t>
            </w:r>
            <w:r w:rsidR="00C91693" w:rsidRPr="00C168C5">
              <w:rPr>
                <w:szCs w:val="22"/>
                <w:lang w:val="es-ES_tradnl"/>
              </w:rPr>
              <w:t xml:space="preserve">. </w:t>
            </w:r>
            <w:r w:rsidRPr="00C168C5">
              <w:rPr>
                <w:szCs w:val="22"/>
                <w:lang w:val="es-ES_tradnl"/>
              </w:rPr>
              <w:t xml:space="preserve"> </w:t>
            </w:r>
            <w:r w:rsidR="00997AF2" w:rsidRPr="00C168C5">
              <w:rPr>
                <w:szCs w:val="22"/>
                <w:lang w:val="es-ES_tradnl"/>
              </w:rPr>
              <w:t xml:space="preserve">Abogados de </w:t>
            </w:r>
            <w:r w:rsidR="00C91693" w:rsidRPr="00C168C5">
              <w:rPr>
                <w:szCs w:val="22"/>
                <w:lang w:val="es-ES_tradnl"/>
              </w:rPr>
              <w:t>Burkina Faso</w:t>
            </w:r>
            <w:r w:rsidR="00997AF2" w:rsidRPr="00C168C5">
              <w:rPr>
                <w:szCs w:val="22"/>
                <w:lang w:val="es-ES_tradnl"/>
              </w:rPr>
              <w:t xml:space="preserve"> fueron invitados a participar en las sesiones de</w:t>
            </w:r>
            <w:r w:rsidR="001842D2" w:rsidRPr="00C168C5">
              <w:rPr>
                <w:szCs w:val="22"/>
                <w:lang w:val="es-ES_tradnl"/>
              </w:rPr>
              <w:t xml:space="preserve"> formación</w:t>
            </w:r>
            <w:r w:rsidR="00C91693" w:rsidRPr="00C168C5">
              <w:rPr>
                <w:szCs w:val="22"/>
                <w:lang w:val="es-ES_tradnl"/>
              </w:rPr>
              <w:t xml:space="preserve">. </w:t>
            </w:r>
          </w:p>
          <w:p w14:paraId="4E96365A" w14:textId="77777777" w:rsidR="00C91693" w:rsidRPr="00C168C5" w:rsidRDefault="00C91693" w:rsidP="00243943">
            <w:pPr>
              <w:rPr>
                <w:szCs w:val="22"/>
                <w:lang w:val="es-ES_tradnl"/>
              </w:rPr>
            </w:pPr>
          </w:p>
          <w:p w14:paraId="7251CC39" w14:textId="5F6E45F6" w:rsidR="00C91693" w:rsidRPr="00C168C5" w:rsidRDefault="00997AF2" w:rsidP="00243943">
            <w:pPr>
              <w:rPr>
                <w:rFonts w:eastAsia="Calibri"/>
                <w:szCs w:val="22"/>
                <w:lang w:val="es-ES_tradnl"/>
              </w:rPr>
            </w:pPr>
            <w:r w:rsidRPr="00C168C5">
              <w:rPr>
                <w:szCs w:val="22"/>
                <w:lang w:val="es-ES_tradnl"/>
              </w:rPr>
              <w:t>En cada seminario nacional participaron entre 60 y 80 profesionales</w:t>
            </w:r>
            <w:r w:rsidR="00C91693" w:rsidRPr="00C168C5">
              <w:rPr>
                <w:szCs w:val="22"/>
                <w:lang w:val="es-ES_tradnl"/>
              </w:rPr>
              <w:t xml:space="preserve">.  </w:t>
            </w:r>
            <w:r w:rsidRPr="00C168C5">
              <w:rPr>
                <w:szCs w:val="22"/>
                <w:lang w:val="es-ES_tradnl"/>
              </w:rPr>
              <w:t>La selección de los participantes</w:t>
            </w:r>
            <w:r w:rsidR="009A397A" w:rsidRPr="00C168C5">
              <w:rPr>
                <w:szCs w:val="22"/>
                <w:lang w:val="es-ES_tradnl"/>
              </w:rPr>
              <w:t xml:space="preserve"> invitados a los talleres se llevó a cabo en estrecha consulta con los coordinadores nacionales desi</w:t>
            </w:r>
            <w:r w:rsidR="001842D2" w:rsidRPr="00C168C5">
              <w:rPr>
                <w:szCs w:val="22"/>
                <w:lang w:val="es-ES_tradnl"/>
              </w:rPr>
              <w:t>gnados por cada país beneficiario</w:t>
            </w:r>
            <w:r w:rsidR="00C91693" w:rsidRPr="00C168C5">
              <w:rPr>
                <w:szCs w:val="22"/>
                <w:lang w:val="es-ES_tradnl"/>
              </w:rPr>
              <w:t xml:space="preserve">.  </w:t>
            </w:r>
            <w:r w:rsidR="00D9742A" w:rsidRPr="00C168C5">
              <w:rPr>
                <w:szCs w:val="22"/>
                <w:lang w:val="es-ES_tradnl"/>
              </w:rPr>
              <w:t xml:space="preserve">Los grupos destinatarios </w:t>
            </w:r>
            <w:r w:rsidR="001842D2" w:rsidRPr="00C168C5">
              <w:rPr>
                <w:szCs w:val="22"/>
                <w:lang w:val="es-ES_tradnl"/>
              </w:rPr>
              <w:t>los componían</w:t>
            </w:r>
            <w:r w:rsidR="00D9742A" w:rsidRPr="00C168C5">
              <w:rPr>
                <w:szCs w:val="22"/>
                <w:lang w:val="es-ES_tradnl"/>
              </w:rPr>
              <w:t xml:space="preserve"> cineastas, distribuidores, </w:t>
            </w:r>
            <w:r w:rsidR="00B271C5" w:rsidRPr="00C168C5">
              <w:rPr>
                <w:szCs w:val="22"/>
                <w:lang w:val="es-ES_tradnl"/>
              </w:rPr>
              <w:t>reguladores</w:t>
            </w:r>
            <w:r w:rsidR="00C91693" w:rsidRPr="00C168C5">
              <w:rPr>
                <w:rFonts w:eastAsia="Calibri"/>
                <w:szCs w:val="22"/>
                <w:lang w:val="es-ES_tradnl"/>
              </w:rPr>
              <w:t xml:space="preserve">, </w:t>
            </w:r>
            <w:r w:rsidR="00B271C5" w:rsidRPr="00C168C5">
              <w:rPr>
                <w:rFonts w:eastAsia="Calibri"/>
                <w:szCs w:val="22"/>
                <w:lang w:val="es-ES_tradnl"/>
              </w:rPr>
              <w:t>organizaciones de radiodifusión</w:t>
            </w:r>
            <w:r w:rsidR="00C91693" w:rsidRPr="00C168C5">
              <w:rPr>
                <w:rFonts w:eastAsia="Calibri"/>
                <w:szCs w:val="22"/>
                <w:lang w:val="es-ES_tradnl"/>
              </w:rPr>
              <w:t xml:space="preserve">, </w:t>
            </w:r>
            <w:r w:rsidR="00B271C5" w:rsidRPr="00C168C5">
              <w:rPr>
                <w:rFonts w:eastAsia="Calibri"/>
                <w:szCs w:val="22"/>
                <w:lang w:val="es-ES_tradnl"/>
              </w:rPr>
              <w:t>entes profesionales</w:t>
            </w:r>
            <w:r w:rsidR="00C91693" w:rsidRPr="00C168C5">
              <w:rPr>
                <w:rFonts w:eastAsia="Calibri"/>
                <w:szCs w:val="22"/>
                <w:lang w:val="es-ES_tradnl"/>
              </w:rPr>
              <w:t>,</w:t>
            </w:r>
            <w:r w:rsidR="00B271C5" w:rsidRPr="00C168C5">
              <w:rPr>
                <w:rFonts w:eastAsia="Calibri"/>
                <w:szCs w:val="22"/>
                <w:lang w:val="es-ES_tradnl"/>
              </w:rPr>
              <w:t xml:space="preserve"> organismos estatales</w:t>
            </w:r>
            <w:r w:rsidR="00C91693" w:rsidRPr="00C168C5">
              <w:rPr>
                <w:rFonts w:eastAsia="Calibri"/>
                <w:szCs w:val="22"/>
                <w:lang w:val="es-ES_tradnl"/>
              </w:rPr>
              <w:t>,</w:t>
            </w:r>
            <w:r w:rsidR="00B271C5" w:rsidRPr="00C168C5">
              <w:rPr>
                <w:rFonts w:eastAsia="Calibri"/>
                <w:szCs w:val="22"/>
                <w:lang w:val="es-ES_tradnl"/>
              </w:rPr>
              <w:t xml:space="preserve"> </w:t>
            </w:r>
            <w:r w:rsidR="00B271C5" w:rsidRPr="00C168C5">
              <w:rPr>
                <w:rFonts w:eastAsia="Calibri"/>
                <w:szCs w:val="22"/>
                <w:lang w:val="es-ES_tradnl"/>
              </w:rPr>
              <w:lastRenderedPageBreak/>
              <w:t xml:space="preserve">instituciones financieras y </w:t>
            </w:r>
            <w:r w:rsidR="001842D2" w:rsidRPr="00C168C5">
              <w:rPr>
                <w:rFonts w:eastAsia="Calibri"/>
                <w:szCs w:val="22"/>
                <w:lang w:val="es-ES_tradnl"/>
              </w:rPr>
              <w:t>organismos</w:t>
            </w:r>
            <w:r w:rsidR="00B271C5" w:rsidRPr="00C168C5">
              <w:rPr>
                <w:rFonts w:eastAsia="Calibri"/>
                <w:szCs w:val="22"/>
                <w:lang w:val="es-ES_tradnl"/>
              </w:rPr>
              <w:t xml:space="preserve"> de gestión colectiva</w:t>
            </w:r>
            <w:r w:rsidR="00C91693" w:rsidRPr="00C168C5">
              <w:rPr>
                <w:rFonts w:eastAsia="Calibri"/>
                <w:szCs w:val="22"/>
                <w:lang w:val="es-ES_tradnl"/>
              </w:rPr>
              <w:t xml:space="preserve">. </w:t>
            </w:r>
          </w:p>
          <w:p w14:paraId="4714A556" w14:textId="77777777" w:rsidR="00C91693" w:rsidRPr="00C168C5" w:rsidRDefault="00C91693" w:rsidP="00243943">
            <w:pPr>
              <w:rPr>
                <w:szCs w:val="22"/>
                <w:lang w:val="es-ES_tradnl"/>
              </w:rPr>
            </w:pPr>
          </w:p>
          <w:p w14:paraId="7E17AD2E" w14:textId="7C484905" w:rsidR="00C91693" w:rsidRPr="00C168C5" w:rsidRDefault="00B271C5" w:rsidP="00243943">
            <w:pPr>
              <w:rPr>
                <w:szCs w:val="22"/>
                <w:lang w:val="es-ES_tradnl"/>
              </w:rPr>
            </w:pPr>
            <w:r w:rsidRPr="00C168C5">
              <w:rPr>
                <w:szCs w:val="22"/>
                <w:lang w:val="es-ES_tradnl"/>
              </w:rPr>
              <w:t>Las Delegaciones de</w:t>
            </w:r>
            <w:r w:rsidR="00C91693" w:rsidRPr="00C168C5">
              <w:rPr>
                <w:szCs w:val="22"/>
                <w:lang w:val="es-ES_tradnl"/>
              </w:rPr>
              <w:t xml:space="preserve"> Cote d’Ivoire, Uganda</w:t>
            </w:r>
            <w:r w:rsidRPr="00C168C5">
              <w:rPr>
                <w:szCs w:val="22"/>
                <w:lang w:val="es-ES_tradnl"/>
              </w:rPr>
              <w:t xml:space="preserve"> y Marruecos hiciero</w:t>
            </w:r>
            <w:r w:rsidR="00401EA1">
              <w:rPr>
                <w:szCs w:val="22"/>
                <w:lang w:val="es-ES_tradnl"/>
              </w:rPr>
              <w:t>n una petición formal durante la decimocuarta sesión del CDIP</w:t>
            </w:r>
            <w:r w:rsidRPr="00C168C5">
              <w:rPr>
                <w:szCs w:val="22"/>
                <w:lang w:val="es-ES_tradnl"/>
              </w:rPr>
              <w:t xml:space="preserve"> para</w:t>
            </w:r>
            <w:r w:rsidR="002214D6" w:rsidRPr="00C168C5">
              <w:rPr>
                <w:szCs w:val="22"/>
                <w:lang w:val="es-ES_tradnl"/>
              </w:rPr>
              <w:t xml:space="preserve"> ser aceptados como beneficiarios</w:t>
            </w:r>
            <w:r w:rsidRPr="00C168C5">
              <w:rPr>
                <w:szCs w:val="22"/>
                <w:lang w:val="es-ES_tradnl"/>
              </w:rPr>
              <w:t xml:space="preserve"> del proyecto</w:t>
            </w:r>
            <w:r w:rsidR="00C91693" w:rsidRPr="00C168C5">
              <w:rPr>
                <w:szCs w:val="22"/>
                <w:lang w:val="es-ES_tradnl"/>
              </w:rPr>
              <w:t xml:space="preserve">.  </w:t>
            </w:r>
            <w:r w:rsidRPr="00C168C5">
              <w:rPr>
                <w:szCs w:val="22"/>
                <w:lang w:val="es-ES_tradnl"/>
              </w:rPr>
              <w:t xml:space="preserve">Se </w:t>
            </w:r>
            <w:r w:rsidR="00080878" w:rsidRPr="00C168C5">
              <w:rPr>
                <w:szCs w:val="22"/>
                <w:lang w:val="es-ES_tradnl"/>
              </w:rPr>
              <w:t>invitó</w:t>
            </w:r>
            <w:r w:rsidR="002214D6" w:rsidRPr="00C168C5">
              <w:rPr>
                <w:szCs w:val="22"/>
                <w:lang w:val="es-ES_tradnl"/>
              </w:rPr>
              <w:t xml:space="preserve"> a un </w:t>
            </w:r>
            <w:r w:rsidR="00080878" w:rsidRPr="00C168C5">
              <w:rPr>
                <w:szCs w:val="22"/>
                <w:lang w:val="es-ES_tradnl"/>
              </w:rPr>
              <w:t>pequeño</w:t>
            </w:r>
            <w:r w:rsidRPr="00C168C5">
              <w:rPr>
                <w:szCs w:val="22"/>
                <w:lang w:val="es-ES_tradnl"/>
              </w:rPr>
              <w:t xml:space="preserve"> grupo de observadores de dichos países a participar en los talleres de formación organizados en </w:t>
            </w:r>
            <w:r w:rsidR="00C91693" w:rsidRPr="00C168C5">
              <w:rPr>
                <w:rFonts w:eastAsia="Calibri"/>
                <w:szCs w:val="22"/>
                <w:lang w:val="es-ES_tradnl"/>
              </w:rPr>
              <w:t xml:space="preserve">2015. </w:t>
            </w:r>
          </w:p>
          <w:p w14:paraId="6D5BAEDA" w14:textId="77777777" w:rsidR="00C91693" w:rsidRPr="00C168C5" w:rsidRDefault="00C91693" w:rsidP="00243943">
            <w:pPr>
              <w:rPr>
                <w:szCs w:val="22"/>
                <w:lang w:val="es-ES_tradnl"/>
              </w:rPr>
            </w:pPr>
          </w:p>
          <w:p w14:paraId="714FC5D2" w14:textId="22842B1B" w:rsidR="00C91693" w:rsidRPr="00C168C5" w:rsidRDefault="00C364BB" w:rsidP="00243943">
            <w:pPr>
              <w:pStyle w:val="NoSpacing"/>
              <w:rPr>
                <w:rFonts w:ascii="Arial" w:eastAsia="Calibri" w:hAnsi="Arial" w:cs="Arial"/>
                <w:lang w:val="es-ES_tradnl"/>
              </w:rPr>
            </w:pPr>
            <w:r w:rsidRPr="00C168C5">
              <w:rPr>
                <w:rFonts w:ascii="Arial" w:hAnsi="Arial" w:cs="Arial"/>
                <w:lang w:val="es-ES_tradnl"/>
              </w:rPr>
              <w:t xml:space="preserve">Los programas </w:t>
            </w:r>
            <w:r w:rsidR="00BC3FC5" w:rsidRPr="00C168C5">
              <w:rPr>
                <w:rFonts w:ascii="Arial" w:hAnsi="Arial" w:cs="Arial"/>
                <w:lang w:val="es-ES_tradnl"/>
              </w:rPr>
              <w:t xml:space="preserve">sustantivos de los talleres se concibieron con miras a acometer el objetivo del proyecto </w:t>
            </w:r>
            <w:r w:rsidR="00C91693" w:rsidRPr="00C168C5">
              <w:rPr>
                <w:rFonts w:ascii="Arial" w:hAnsi="Arial" w:cs="Arial"/>
                <w:lang w:val="es-ES_tradnl"/>
              </w:rPr>
              <w:t xml:space="preserve">01 </w:t>
            </w:r>
            <w:r w:rsidR="002214D6" w:rsidRPr="00C168C5">
              <w:rPr>
                <w:rFonts w:ascii="Arial" w:hAnsi="Arial" w:cs="Arial"/>
                <w:lang w:val="es-ES_tradnl"/>
              </w:rPr>
              <w:t xml:space="preserve">tal como se define en el </w:t>
            </w:r>
            <w:r w:rsidR="00BC3FC5" w:rsidRPr="00C168C5">
              <w:rPr>
                <w:rFonts w:ascii="Arial" w:hAnsi="Arial" w:cs="Arial"/>
                <w:lang w:val="es-ES_tradnl"/>
              </w:rPr>
              <w:t xml:space="preserve">documento </w:t>
            </w:r>
            <w:r w:rsidR="00C91693" w:rsidRPr="00C168C5">
              <w:rPr>
                <w:rFonts w:ascii="Arial" w:hAnsi="Arial" w:cs="Arial"/>
                <w:lang w:val="es-ES_tradnl"/>
              </w:rPr>
              <w:t xml:space="preserve">CDIP/9/13, </w:t>
            </w:r>
            <w:r w:rsidR="00BC3FC5" w:rsidRPr="00C168C5">
              <w:rPr>
                <w:rFonts w:ascii="Arial" w:hAnsi="Arial" w:cs="Arial"/>
                <w:lang w:val="es-ES_tradnl"/>
              </w:rPr>
              <w:t xml:space="preserve">es decir, </w:t>
            </w:r>
            <w:r w:rsidR="00C91693" w:rsidRPr="00C168C5">
              <w:rPr>
                <w:rFonts w:ascii="Arial" w:hAnsi="Arial" w:cs="Arial"/>
                <w:lang w:val="es-ES_tradnl"/>
              </w:rPr>
              <w:t>“</w:t>
            </w:r>
            <w:r w:rsidR="00BC3FC5" w:rsidRPr="00C168C5">
              <w:rPr>
                <w:rFonts w:ascii="Arial" w:hAnsi="Arial" w:cs="Arial"/>
                <w:i/>
                <w:lang w:val="es-ES_tradnl"/>
              </w:rPr>
              <w:t>contribuir a que se haga mayor uso del sistema de P.I. para la financiación, producción y distribución de obras audiovisuales</w:t>
            </w:r>
            <w:r w:rsidR="00C91693" w:rsidRPr="00C168C5">
              <w:rPr>
                <w:rFonts w:ascii="Arial" w:hAnsi="Arial" w:cs="Arial"/>
                <w:i/>
                <w:lang w:val="es-ES_tradnl"/>
              </w:rPr>
              <w:t xml:space="preserve">”.  </w:t>
            </w:r>
            <w:r w:rsidR="00DD473D" w:rsidRPr="00C168C5">
              <w:rPr>
                <w:rFonts w:ascii="Arial" w:hAnsi="Arial" w:cs="Arial"/>
                <w:lang w:val="es-ES_tradnl"/>
              </w:rPr>
              <w:t xml:space="preserve">La serie de seminarios celebrada en </w:t>
            </w:r>
            <w:r w:rsidR="00C91693" w:rsidRPr="00C168C5">
              <w:rPr>
                <w:rFonts w:ascii="Arial" w:hAnsi="Arial" w:cs="Arial"/>
                <w:lang w:val="es-ES_tradnl"/>
              </w:rPr>
              <w:t xml:space="preserve">2015 </w:t>
            </w:r>
            <w:r w:rsidR="00DD473D" w:rsidRPr="00C168C5">
              <w:rPr>
                <w:rFonts w:ascii="Arial" w:hAnsi="Arial" w:cs="Arial"/>
                <w:lang w:val="es-ES_tradnl"/>
              </w:rPr>
              <w:t xml:space="preserve">se centró en gran medida en el efecto que surte la </w:t>
            </w:r>
            <w:r w:rsidR="00080878" w:rsidRPr="00C168C5">
              <w:rPr>
                <w:rFonts w:ascii="Arial" w:hAnsi="Arial" w:cs="Arial"/>
                <w:lang w:val="es-ES_tradnl"/>
              </w:rPr>
              <w:t>transición</w:t>
            </w:r>
            <w:r w:rsidR="00DD473D" w:rsidRPr="00C168C5">
              <w:rPr>
                <w:rFonts w:ascii="Arial" w:hAnsi="Arial" w:cs="Arial"/>
                <w:lang w:val="es-ES_tradnl"/>
              </w:rPr>
              <w:t xml:space="preserve"> hacia la tecnología digital en África y los desaf</w:t>
            </w:r>
            <w:r w:rsidR="00016B36" w:rsidRPr="00C168C5">
              <w:rPr>
                <w:rFonts w:ascii="Arial" w:hAnsi="Arial" w:cs="Arial"/>
                <w:lang w:val="es-ES_tradnl"/>
              </w:rPr>
              <w:t>íos o</w:t>
            </w:r>
            <w:r w:rsidR="00DD473D" w:rsidRPr="00C168C5">
              <w:rPr>
                <w:rFonts w:ascii="Arial" w:hAnsi="Arial" w:cs="Arial"/>
                <w:lang w:val="es-ES_tradnl"/>
              </w:rPr>
              <w:t xml:space="preserve"> las oportunidades que supone para la industria</w:t>
            </w:r>
            <w:r w:rsidR="00C91693" w:rsidRPr="00C168C5">
              <w:rPr>
                <w:rFonts w:ascii="Arial" w:hAnsi="Arial" w:cs="Arial"/>
                <w:lang w:val="es-ES_tradnl"/>
              </w:rPr>
              <w:t xml:space="preserve"> audiovisual.  </w:t>
            </w:r>
            <w:r w:rsidR="0018416D" w:rsidRPr="00C168C5">
              <w:rPr>
                <w:rFonts w:ascii="Arial" w:hAnsi="Arial" w:cs="Arial"/>
                <w:lang w:val="es-ES_tradnl"/>
              </w:rPr>
              <w:t xml:space="preserve">El formato de las reuniones consistía </w:t>
            </w:r>
            <w:r w:rsidR="00080878" w:rsidRPr="00C168C5">
              <w:rPr>
                <w:rFonts w:ascii="Arial" w:hAnsi="Arial" w:cs="Arial"/>
                <w:lang w:val="es-ES_tradnl"/>
              </w:rPr>
              <w:t>principalmente</w:t>
            </w:r>
            <w:r w:rsidR="0018416D" w:rsidRPr="00C168C5">
              <w:rPr>
                <w:rFonts w:ascii="Arial" w:hAnsi="Arial" w:cs="Arial"/>
                <w:lang w:val="es-ES_tradnl"/>
              </w:rPr>
              <w:t xml:space="preserve"> en </w:t>
            </w:r>
            <w:r w:rsidR="00401EA1">
              <w:rPr>
                <w:rFonts w:ascii="Arial" w:hAnsi="Arial" w:cs="Arial"/>
                <w:lang w:val="es-ES_tradnl"/>
              </w:rPr>
              <w:t>ponencias</w:t>
            </w:r>
            <w:r w:rsidR="0018416D" w:rsidRPr="00C168C5">
              <w:rPr>
                <w:rFonts w:ascii="Arial" w:hAnsi="Arial" w:cs="Arial"/>
                <w:lang w:val="es-ES_tradnl"/>
              </w:rPr>
              <w:t xml:space="preserve">, debates, sesiones de grupo con expertos </w:t>
            </w:r>
            <w:r w:rsidR="0018416D" w:rsidRPr="00C168C5">
              <w:rPr>
                <w:rFonts w:ascii="Arial" w:eastAsia="Calibri" w:hAnsi="Arial" w:cs="Arial"/>
                <w:lang w:val="es-ES_tradnl"/>
              </w:rPr>
              <w:t xml:space="preserve">mentores </w:t>
            </w:r>
            <w:r w:rsidR="00016B36" w:rsidRPr="00C168C5">
              <w:rPr>
                <w:rFonts w:ascii="Arial" w:eastAsia="Calibri" w:hAnsi="Arial" w:cs="Arial"/>
                <w:lang w:val="es-ES_tradnl"/>
              </w:rPr>
              <w:t xml:space="preserve">del sector audiovisual </w:t>
            </w:r>
            <w:r w:rsidR="0018416D" w:rsidRPr="00C168C5">
              <w:rPr>
                <w:rFonts w:ascii="Arial" w:eastAsia="Calibri" w:hAnsi="Arial" w:cs="Arial"/>
                <w:lang w:val="es-ES_tradnl"/>
              </w:rPr>
              <w:t>y estudios de caso</w:t>
            </w:r>
            <w:r w:rsidR="00C91693" w:rsidRPr="00C168C5">
              <w:rPr>
                <w:rFonts w:ascii="Arial" w:eastAsia="Calibri" w:hAnsi="Arial" w:cs="Arial"/>
                <w:lang w:val="es-ES_tradnl"/>
              </w:rPr>
              <w:t>.</w:t>
            </w:r>
          </w:p>
          <w:p w14:paraId="1C650765" w14:textId="77777777" w:rsidR="00C91693" w:rsidRPr="00C168C5" w:rsidRDefault="00C91693" w:rsidP="00243943">
            <w:pPr>
              <w:rPr>
                <w:szCs w:val="22"/>
                <w:lang w:val="es-ES_tradnl"/>
              </w:rPr>
            </w:pPr>
          </w:p>
          <w:p w14:paraId="11E020D6" w14:textId="4B6C43D7" w:rsidR="00A472F2" w:rsidRPr="00C168C5" w:rsidRDefault="00A472F2" w:rsidP="00A472F2">
            <w:pPr>
              <w:rPr>
                <w:szCs w:val="22"/>
                <w:lang w:val="es-ES_tradnl"/>
              </w:rPr>
            </w:pPr>
            <w:r w:rsidRPr="00C168C5">
              <w:rPr>
                <w:szCs w:val="22"/>
                <w:lang w:val="es-ES_tradnl"/>
              </w:rPr>
              <w:t>Todas las fases de la organización y realización de los programas de capacitación requirieron una estrecha colaboración con las autoridades nacionales de los países beneficiarios, en particular con los coordinadores nacionales designados por cada país, las oficinas del derecho de autor y los organismos nacionales encargados del sector audiovisual, como la Comisión Cinematográfica de Kenya</w:t>
            </w:r>
            <w:r w:rsidR="00073DFF">
              <w:rPr>
                <w:szCs w:val="22"/>
                <w:lang w:val="es-ES_tradnl"/>
              </w:rPr>
              <w:t xml:space="preserve"> y el ente público</w:t>
            </w:r>
            <w:r w:rsidR="00D83668" w:rsidRPr="00C168C5">
              <w:rPr>
                <w:szCs w:val="22"/>
                <w:lang w:val="es-ES_tradnl"/>
              </w:rPr>
              <w:t xml:space="preserve"> de comunicaciones de Kenya </w:t>
            </w:r>
            <w:r w:rsidRPr="00C168C5">
              <w:rPr>
                <w:szCs w:val="22"/>
                <w:lang w:val="es-ES_tradnl"/>
              </w:rPr>
              <w:t xml:space="preserve">o los centros y direcciones cinematográficos en los otros países beneficiarios. </w:t>
            </w:r>
          </w:p>
          <w:p w14:paraId="347C51BD" w14:textId="77777777" w:rsidR="00C91693" w:rsidRPr="00C168C5" w:rsidRDefault="00C91693" w:rsidP="00243943">
            <w:pPr>
              <w:rPr>
                <w:szCs w:val="22"/>
                <w:lang w:val="es-ES_tradnl"/>
              </w:rPr>
            </w:pPr>
          </w:p>
          <w:p w14:paraId="20587F6D" w14:textId="67DB640F" w:rsidR="00C91693" w:rsidRPr="00C168C5" w:rsidRDefault="00C132DD" w:rsidP="00243943">
            <w:pPr>
              <w:rPr>
                <w:szCs w:val="22"/>
                <w:lang w:val="es-ES_tradnl"/>
              </w:rPr>
            </w:pPr>
            <w:r w:rsidRPr="00C168C5">
              <w:rPr>
                <w:szCs w:val="22"/>
                <w:lang w:val="es-ES_tradnl"/>
              </w:rPr>
              <w:t xml:space="preserve">Para cada taller de capacitación, se ha nombrado a expertos internacionales y africanos en función de su experiencia profesional y su conocimiento de determinados aspectos del ámbito audiovisual africano. </w:t>
            </w:r>
            <w:r w:rsidR="001C0879" w:rsidRPr="00C168C5">
              <w:rPr>
                <w:szCs w:val="22"/>
                <w:lang w:val="es-ES_tradnl"/>
              </w:rPr>
              <w:t xml:space="preserve"> </w:t>
            </w:r>
            <w:r w:rsidRPr="00C168C5">
              <w:rPr>
                <w:szCs w:val="22"/>
                <w:lang w:val="es-ES_tradnl"/>
              </w:rPr>
              <w:t>Algunos de estos expertos, que también son autores de algunas publicaciones de la OMPI sobre esa cuestión, pudieron utilizar y poner en práctica las herramientas y metodologías existentes de la OMPI, lo que asegura una coherencia y continuidad en este sector</w:t>
            </w:r>
            <w:r w:rsidR="001C0879" w:rsidRPr="00C168C5">
              <w:rPr>
                <w:szCs w:val="22"/>
                <w:lang w:val="es-ES_tradnl"/>
              </w:rPr>
              <w:t xml:space="preserve"> </w:t>
            </w:r>
            <w:r w:rsidR="00C91693" w:rsidRPr="00C168C5">
              <w:rPr>
                <w:szCs w:val="22"/>
                <w:lang w:val="es-ES_tradnl"/>
              </w:rPr>
              <w:br/>
            </w:r>
          </w:p>
          <w:p w14:paraId="56866183" w14:textId="669A8244" w:rsidR="00C132DD" w:rsidRPr="00C168C5" w:rsidRDefault="00C132DD" w:rsidP="00C132DD">
            <w:pPr>
              <w:rPr>
                <w:szCs w:val="22"/>
                <w:lang w:val="es-ES_tradnl"/>
              </w:rPr>
            </w:pPr>
            <w:r w:rsidRPr="00C168C5">
              <w:rPr>
                <w:szCs w:val="22"/>
                <w:lang w:val="es-ES_tradnl"/>
              </w:rPr>
              <w:t>En los talleres, los expertos proporcionaron a los participantes diversos materiales del programa</w:t>
            </w:r>
            <w:r w:rsidR="00020B89" w:rsidRPr="00C168C5">
              <w:rPr>
                <w:szCs w:val="22"/>
                <w:lang w:val="es-ES_tradnl"/>
              </w:rPr>
              <w:t>, entre ellos</w:t>
            </w:r>
            <w:r w:rsidRPr="00C168C5">
              <w:rPr>
                <w:szCs w:val="22"/>
                <w:lang w:val="es-ES_tradnl"/>
              </w:rPr>
              <w:t xml:space="preserve"> modelos de contrato que pueden ser adaptados y utilizados  por los participantes en su práctica profesional. </w:t>
            </w:r>
            <w:r w:rsidR="001C0879" w:rsidRPr="00C168C5">
              <w:rPr>
                <w:szCs w:val="22"/>
                <w:lang w:val="es-ES_tradnl"/>
              </w:rPr>
              <w:t xml:space="preserve"> </w:t>
            </w:r>
            <w:r w:rsidRPr="00C168C5">
              <w:rPr>
                <w:szCs w:val="22"/>
                <w:lang w:val="es-ES_tradnl"/>
              </w:rPr>
              <w:t xml:space="preserve">Se está reuniendo ese material para poderlo utilizar como base para la carpeta de capacitación/programa de formación a distancia </w:t>
            </w:r>
            <w:r w:rsidR="00020B89" w:rsidRPr="00C168C5">
              <w:rPr>
                <w:szCs w:val="22"/>
                <w:lang w:val="es-ES_tradnl"/>
              </w:rPr>
              <w:t xml:space="preserve">elaborado por </w:t>
            </w:r>
            <w:r w:rsidRPr="00C168C5">
              <w:rPr>
                <w:szCs w:val="22"/>
                <w:lang w:val="es-ES_tradnl"/>
              </w:rPr>
              <w:t>la academia de la OMPI.</w:t>
            </w:r>
            <w:r w:rsidR="00020B89" w:rsidRPr="00C168C5">
              <w:rPr>
                <w:szCs w:val="22"/>
                <w:lang w:val="es-ES_tradnl"/>
              </w:rPr>
              <w:t xml:space="preserve">  Para diciembre de 2015 estará implantado el proyecto de educación a distancia. </w:t>
            </w:r>
          </w:p>
          <w:p w14:paraId="4380A06C" w14:textId="77777777" w:rsidR="00C91693" w:rsidRPr="00C168C5" w:rsidRDefault="00C91693" w:rsidP="00243943">
            <w:pPr>
              <w:rPr>
                <w:szCs w:val="22"/>
                <w:lang w:val="es-ES_tradnl"/>
              </w:rPr>
            </w:pPr>
          </w:p>
          <w:p w14:paraId="53260AB0" w14:textId="349C70AB" w:rsidR="00020B89" w:rsidRPr="00C168C5" w:rsidRDefault="00020B89" w:rsidP="00243943">
            <w:pPr>
              <w:rPr>
                <w:szCs w:val="22"/>
                <w:lang w:val="es-ES_tradnl"/>
              </w:rPr>
            </w:pPr>
            <w:r w:rsidRPr="00C168C5">
              <w:rPr>
                <w:szCs w:val="22"/>
                <w:lang w:val="es-ES_tradnl"/>
              </w:rPr>
              <w:t xml:space="preserve">Se ha iniciado también </w:t>
            </w:r>
            <w:r w:rsidR="003F461A" w:rsidRPr="00C168C5">
              <w:rPr>
                <w:szCs w:val="22"/>
                <w:lang w:val="es-ES_tradnl"/>
              </w:rPr>
              <w:t>la</w:t>
            </w:r>
            <w:r w:rsidRPr="00C168C5">
              <w:rPr>
                <w:szCs w:val="22"/>
                <w:lang w:val="es-ES_tradnl"/>
              </w:rPr>
              <w:t xml:space="preserve"> colaboración con asociados internacionales externos. </w:t>
            </w:r>
            <w:r w:rsidR="005C1447" w:rsidRPr="00C168C5">
              <w:rPr>
                <w:szCs w:val="22"/>
                <w:lang w:val="es-ES_tradnl"/>
              </w:rPr>
              <w:t xml:space="preserve"> La Organización Internacional de la Francofonía</w:t>
            </w:r>
            <w:r w:rsidR="006D17A8" w:rsidRPr="00C168C5">
              <w:rPr>
                <w:szCs w:val="22"/>
                <w:lang w:val="es-ES_tradnl"/>
              </w:rPr>
              <w:t xml:space="preserve"> (OIF)</w:t>
            </w:r>
            <w:r w:rsidR="005C1447" w:rsidRPr="00C168C5">
              <w:rPr>
                <w:szCs w:val="22"/>
                <w:lang w:val="es-ES_tradnl"/>
              </w:rPr>
              <w:t xml:space="preserve"> contribuyó a organizar </w:t>
            </w:r>
            <w:r w:rsidR="00FF45B2" w:rsidRPr="00C168C5">
              <w:rPr>
                <w:szCs w:val="22"/>
                <w:lang w:val="es-ES_tradnl"/>
              </w:rPr>
              <w:t xml:space="preserve">y participó en </w:t>
            </w:r>
            <w:r w:rsidRPr="00C168C5">
              <w:rPr>
                <w:szCs w:val="22"/>
                <w:lang w:val="es-ES_tradnl"/>
              </w:rPr>
              <w:t>los seminarios de Uagadugú y Dakar</w:t>
            </w:r>
            <w:r w:rsidR="005C1447" w:rsidRPr="00C168C5">
              <w:rPr>
                <w:szCs w:val="22"/>
                <w:lang w:val="es-ES_tradnl"/>
              </w:rPr>
              <w:t xml:space="preserve"> de 2014</w:t>
            </w:r>
            <w:r w:rsidRPr="00C168C5">
              <w:rPr>
                <w:szCs w:val="22"/>
                <w:lang w:val="es-ES_tradnl"/>
              </w:rPr>
              <w:t xml:space="preserve">. </w:t>
            </w:r>
            <w:r w:rsidR="005C1447" w:rsidRPr="00C168C5">
              <w:rPr>
                <w:szCs w:val="22"/>
                <w:lang w:val="es-ES_tradnl"/>
              </w:rPr>
              <w:t xml:space="preserve"> </w:t>
            </w:r>
            <w:r w:rsidRPr="00C168C5">
              <w:rPr>
                <w:szCs w:val="22"/>
                <w:lang w:val="es-ES_tradnl"/>
              </w:rPr>
              <w:t>Esta cooperación ha resultado ser provechosa y ha contribuido a la mejora de los componentes sustantivos de la capacitación.</w:t>
            </w:r>
          </w:p>
          <w:p w14:paraId="1BCA3BA9" w14:textId="77777777" w:rsidR="00C91693" w:rsidRPr="00C168C5" w:rsidRDefault="00C91693" w:rsidP="00243943">
            <w:pPr>
              <w:rPr>
                <w:szCs w:val="22"/>
                <w:lang w:val="es-ES_tradnl"/>
              </w:rPr>
            </w:pPr>
          </w:p>
          <w:p w14:paraId="284FE514" w14:textId="77777777" w:rsidR="00FF45B2" w:rsidRPr="00C168C5" w:rsidRDefault="00FF45B2" w:rsidP="00243943">
            <w:pPr>
              <w:rPr>
                <w:color w:val="FF0000"/>
                <w:szCs w:val="22"/>
                <w:lang w:val="es-ES_tradnl"/>
              </w:rPr>
            </w:pPr>
            <w:r w:rsidRPr="00C168C5">
              <w:rPr>
                <w:szCs w:val="22"/>
                <w:lang w:val="es-ES_tradnl"/>
              </w:rPr>
              <w:t>Se ha creado un sitio web de la OMPI con información acerca del proyecto y acceso al material educativo recopilado sobre el mismo.</w:t>
            </w:r>
          </w:p>
          <w:p w14:paraId="46D1CB1F" w14:textId="77777777" w:rsidR="00FF45B2" w:rsidRPr="00C168C5" w:rsidRDefault="00FF45B2" w:rsidP="00243943">
            <w:pPr>
              <w:rPr>
                <w:color w:val="FF0000"/>
                <w:szCs w:val="22"/>
                <w:lang w:val="es-ES_tradnl"/>
              </w:rPr>
            </w:pPr>
          </w:p>
          <w:p w14:paraId="2115B4AF" w14:textId="702D1A91" w:rsidR="00FF45B2" w:rsidRPr="00C168C5" w:rsidRDefault="00FF45B2" w:rsidP="00FF45B2">
            <w:pPr>
              <w:rPr>
                <w:szCs w:val="22"/>
                <w:u w:val="single"/>
                <w:lang w:val="es-ES_tradnl"/>
              </w:rPr>
            </w:pPr>
            <w:r w:rsidRPr="00C168C5">
              <w:rPr>
                <w:szCs w:val="22"/>
                <w:u w:val="single"/>
                <w:lang w:val="es-ES_tradnl"/>
              </w:rPr>
              <w:t xml:space="preserve">Tercera actividad del proyecto: Fortalecimiento de las instituciones y </w:t>
            </w:r>
            <w:r w:rsidRPr="00C168C5">
              <w:rPr>
                <w:szCs w:val="22"/>
                <w:u w:val="single"/>
                <w:lang w:val="es-ES_tradnl"/>
              </w:rPr>
              <w:lastRenderedPageBreak/>
              <w:t>l</w:t>
            </w:r>
            <w:r w:rsidR="00073DFF">
              <w:rPr>
                <w:szCs w:val="22"/>
                <w:u w:val="single"/>
                <w:lang w:val="es-ES_tradnl"/>
              </w:rPr>
              <w:t xml:space="preserve">as competencias.  Capacitación </w:t>
            </w:r>
            <w:r w:rsidR="00073DFF" w:rsidRPr="00073DFF">
              <w:rPr>
                <w:i/>
                <w:szCs w:val="22"/>
                <w:u w:val="single"/>
                <w:lang w:val="es-ES_tradnl"/>
              </w:rPr>
              <w:t>i</w:t>
            </w:r>
            <w:r w:rsidRPr="00073DFF">
              <w:rPr>
                <w:i/>
                <w:szCs w:val="22"/>
                <w:u w:val="single"/>
                <w:lang w:val="es-ES_tradnl"/>
              </w:rPr>
              <w:t>n situ</w:t>
            </w:r>
            <w:r w:rsidRPr="00C168C5">
              <w:rPr>
                <w:szCs w:val="22"/>
                <w:u w:val="single"/>
                <w:lang w:val="es-ES_tradnl"/>
              </w:rPr>
              <w:t xml:space="preserve"> sobre la concesión de licencias</w:t>
            </w:r>
          </w:p>
          <w:p w14:paraId="1BCBB794" w14:textId="77777777" w:rsidR="00C91693" w:rsidRPr="00C168C5" w:rsidRDefault="00C91693" w:rsidP="00243943">
            <w:pPr>
              <w:rPr>
                <w:szCs w:val="22"/>
                <w:u w:val="single"/>
                <w:lang w:val="es-ES_tradnl"/>
              </w:rPr>
            </w:pPr>
          </w:p>
          <w:p w14:paraId="67D37592" w14:textId="3DA1149C" w:rsidR="00C91693" w:rsidRPr="00C168C5" w:rsidRDefault="00B24842" w:rsidP="00243943">
            <w:pPr>
              <w:rPr>
                <w:szCs w:val="22"/>
                <w:lang w:val="es-ES_tradnl"/>
              </w:rPr>
            </w:pPr>
            <w:r w:rsidRPr="00C168C5">
              <w:rPr>
                <w:szCs w:val="22"/>
                <w:lang w:val="es-ES_tradnl"/>
              </w:rPr>
              <w:t xml:space="preserve">La ejecución de este componente del proyecto ha comenzado en </w:t>
            </w:r>
            <w:r w:rsidR="00C91693" w:rsidRPr="00C168C5">
              <w:rPr>
                <w:szCs w:val="22"/>
                <w:lang w:val="es-ES_tradnl"/>
              </w:rPr>
              <w:t xml:space="preserve">2015. </w:t>
            </w:r>
            <w:r w:rsidRPr="00C168C5">
              <w:rPr>
                <w:szCs w:val="22"/>
                <w:lang w:val="es-ES_tradnl"/>
              </w:rPr>
              <w:t xml:space="preserve"> A continuación se muestran las actividades emprendidas en cada país.</w:t>
            </w:r>
          </w:p>
          <w:p w14:paraId="36524FF6" w14:textId="77777777" w:rsidR="00C91693" w:rsidRPr="00C168C5" w:rsidRDefault="00C91693" w:rsidP="00243943">
            <w:pPr>
              <w:rPr>
                <w:szCs w:val="22"/>
                <w:lang w:val="es-ES_tradnl"/>
              </w:rPr>
            </w:pPr>
          </w:p>
          <w:p w14:paraId="0ED255C1" w14:textId="77777777" w:rsidR="00C91693" w:rsidRPr="00C168C5" w:rsidRDefault="00C91693" w:rsidP="00243943">
            <w:pPr>
              <w:rPr>
                <w:szCs w:val="22"/>
                <w:u w:val="single"/>
                <w:lang w:val="es-ES_tradnl"/>
              </w:rPr>
            </w:pPr>
            <w:r w:rsidRPr="00C168C5">
              <w:rPr>
                <w:szCs w:val="22"/>
                <w:u w:val="single"/>
                <w:lang w:val="es-ES_tradnl"/>
              </w:rPr>
              <w:t>Burkina Faso</w:t>
            </w:r>
          </w:p>
          <w:p w14:paraId="3630883C" w14:textId="0024AED7" w:rsidR="00C91693" w:rsidRPr="00C168C5" w:rsidRDefault="005C4175" w:rsidP="00243943">
            <w:pPr>
              <w:rPr>
                <w:szCs w:val="22"/>
                <w:lang w:val="es-ES_tradnl"/>
              </w:rPr>
            </w:pPr>
            <w:r w:rsidRPr="00C168C5">
              <w:rPr>
                <w:szCs w:val="22"/>
                <w:lang w:val="es-ES_tradnl"/>
              </w:rPr>
              <w:t xml:space="preserve">Se ha retrasado el inicio de la ejecución de la formación </w:t>
            </w:r>
            <w:r w:rsidRPr="00C168C5">
              <w:rPr>
                <w:i/>
                <w:szCs w:val="22"/>
                <w:lang w:val="es-ES_tradnl"/>
              </w:rPr>
              <w:t xml:space="preserve">in situ </w:t>
            </w:r>
            <w:r w:rsidRPr="00C168C5">
              <w:rPr>
                <w:szCs w:val="22"/>
                <w:lang w:val="es-ES_tradnl"/>
              </w:rPr>
              <w:t xml:space="preserve">debido </w:t>
            </w:r>
            <w:r w:rsidR="00D322BA" w:rsidRPr="00C168C5">
              <w:rPr>
                <w:szCs w:val="22"/>
                <w:lang w:val="es-ES_tradnl"/>
              </w:rPr>
              <w:t xml:space="preserve">a la rotación del personal ejecutivo superior de la </w:t>
            </w:r>
            <w:r w:rsidR="0058091E" w:rsidRPr="00C168C5">
              <w:rPr>
                <w:szCs w:val="22"/>
                <w:lang w:val="es-ES_tradnl"/>
              </w:rPr>
              <w:t xml:space="preserve">Oficina de Derecho </w:t>
            </w:r>
            <w:r w:rsidR="006D17A8" w:rsidRPr="00C168C5">
              <w:rPr>
                <w:szCs w:val="22"/>
                <w:lang w:val="es-ES_tradnl"/>
              </w:rPr>
              <w:t>de Autor de Burkina Faso</w:t>
            </w:r>
            <w:r w:rsidR="00F97DD5" w:rsidRPr="00C168C5">
              <w:rPr>
                <w:szCs w:val="22"/>
                <w:lang w:val="es-ES_tradnl"/>
              </w:rPr>
              <w:t xml:space="preserve"> (BBDA)</w:t>
            </w:r>
            <w:r w:rsidR="00C91693" w:rsidRPr="00C168C5">
              <w:rPr>
                <w:szCs w:val="22"/>
                <w:lang w:val="es-ES_tradnl"/>
              </w:rPr>
              <w:t xml:space="preserve">.  </w:t>
            </w:r>
            <w:r w:rsidR="00F50085" w:rsidRPr="00C168C5">
              <w:rPr>
                <w:szCs w:val="22"/>
                <w:lang w:val="es-ES_tradnl"/>
              </w:rPr>
              <w:t>En junio de 2015 s</w:t>
            </w:r>
            <w:r w:rsidR="0058091E" w:rsidRPr="00C168C5">
              <w:rPr>
                <w:szCs w:val="22"/>
                <w:lang w:val="es-ES_tradnl"/>
              </w:rPr>
              <w:t xml:space="preserve">e ha organizado y puesto en marcha un programa </w:t>
            </w:r>
            <w:r w:rsidR="00F50085" w:rsidRPr="00C168C5">
              <w:rPr>
                <w:szCs w:val="22"/>
                <w:lang w:val="es-ES_tradnl"/>
              </w:rPr>
              <w:t xml:space="preserve">de alto nivel para la </w:t>
            </w:r>
            <w:r w:rsidR="0058091E" w:rsidRPr="00C168C5">
              <w:rPr>
                <w:szCs w:val="22"/>
                <w:lang w:val="es-ES_tradnl"/>
              </w:rPr>
              <w:t>formación</w:t>
            </w:r>
            <w:r w:rsidR="00F50085" w:rsidRPr="00C168C5">
              <w:rPr>
                <w:szCs w:val="22"/>
                <w:lang w:val="es-ES_tradnl"/>
              </w:rPr>
              <w:t xml:space="preserve"> y el forta</w:t>
            </w:r>
            <w:r w:rsidR="00CC200E" w:rsidRPr="00C168C5">
              <w:rPr>
                <w:szCs w:val="22"/>
                <w:lang w:val="es-ES_tradnl"/>
              </w:rPr>
              <w:t>le</w:t>
            </w:r>
            <w:r w:rsidR="006D17A8" w:rsidRPr="00C168C5">
              <w:rPr>
                <w:szCs w:val="22"/>
                <w:lang w:val="es-ES_tradnl"/>
              </w:rPr>
              <w:t>cimiento de capacidades de su director g</w:t>
            </w:r>
            <w:r w:rsidR="00F50085" w:rsidRPr="00C168C5">
              <w:rPr>
                <w:szCs w:val="22"/>
                <w:lang w:val="es-ES_tradnl"/>
              </w:rPr>
              <w:t xml:space="preserve">eneral </w:t>
            </w:r>
            <w:r w:rsidR="006D17A8" w:rsidRPr="00C168C5">
              <w:rPr>
                <w:szCs w:val="22"/>
                <w:lang w:val="es-ES_tradnl"/>
              </w:rPr>
              <w:t xml:space="preserve">en colaboración con la </w:t>
            </w:r>
            <w:r w:rsidR="00CC200E" w:rsidRPr="00C168C5">
              <w:rPr>
                <w:szCs w:val="22"/>
                <w:lang w:val="es-ES_tradnl"/>
              </w:rPr>
              <w:t>Oficina de Derecho de A</w:t>
            </w:r>
            <w:r w:rsidR="00F50085" w:rsidRPr="00C168C5">
              <w:rPr>
                <w:szCs w:val="22"/>
                <w:lang w:val="es-ES_tradnl"/>
              </w:rPr>
              <w:t>utor</w:t>
            </w:r>
            <w:r w:rsidR="006D17A8" w:rsidRPr="00C168C5">
              <w:rPr>
                <w:szCs w:val="22"/>
                <w:lang w:val="es-ES_tradnl"/>
              </w:rPr>
              <w:t xml:space="preserve"> </w:t>
            </w:r>
            <w:r w:rsidR="00F50085" w:rsidRPr="00C168C5">
              <w:rPr>
                <w:szCs w:val="22"/>
                <w:lang w:val="es-ES_tradnl"/>
              </w:rPr>
              <w:t>y el organismo de gestión colectiva argelinos</w:t>
            </w:r>
            <w:r w:rsidR="00C91693" w:rsidRPr="00C168C5">
              <w:rPr>
                <w:szCs w:val="22"/>
                <w:lang w:val="es-ES_tradnl"/>
              </w:rPr>
              <w:t xml:space="preserve">. </w:t>
            </w:r>
          </w:p>
          <w:p w14:paraId="7EE72555" w14:textId="77777777" w:rsidR="00C91693" w:rsidRPr="00C168C5" w:rsidRDefault="00C91693" w:rsidP="00243943">
            <w:pPr>
              <w:rPr>
                <w:szCs w:val="22"/>
                <w:lang w:val="es-ES_tradnl"/>
              </w:rPr>
            </w:pPr>
          </w:p>
          <w:p w14:paraId="04902F49" w14:textId="2A28B0D4" w:rsidR="00C91693" w:rsidRPr="00C168C5" w:rsidRDefault="00CC200E" w:rsidP="00243943">
            <w:pPr>
              <w:rPr>
                <w:szCs w:val="22"/>
                <w:lang w:val="es-ES_tradnl"/>
              </w:rPr>
            </w:pPr>
            <w:r w:rsidRPr="00C168C5">
              <w:rPr>
                <w:szCs w:val="22"/>
                <w:lang w:val="es-ES_tradnl"/>
              </w:rPr>
              <w:t xml:space="preserve">Se han recibido </w:t>
            </w:r>
            <w:r w:rsidR="00FF016B" w:rsidRPr="00C168C5">
              <w:rPr>
                <w:szCs w:val="22"/>
                <w:lang w:val="es-ES_tradnl"/>
              </w:rPr>
              <w:t>más</w:t>
            </w:r>
            <w:r w:rsidRPr="00C168C5">
              <w:rPr>
                <w:szCs w:val="22"/>
                <w:lang w:val="es-ES_tradnl"/>
              </w:rPr>
              <w:t xml:space="preserve"> solicitudes de formación para </w:t>
            </w:r>
            <w:r w:rsidR="00FF016B" w:rsidRPr="00C168C5">
              <w:rPr>
                <w:szCs w:val="22"/>
                <w:lang w:val="es-ES_tradnl"/>
              </w:rPr>
              <w:t xml:space="preserve">fortalecer las </w:t>
            </w:r>
            <w:r w:rsidRPr="00C168C5">
              <w:rPr>
                <w:szCs w:val="22"/>
                <w:lang w:val="es-ES_tradnl"/>
              </w:rPr>
              <w:t>capacidades de otros miembro</w:t>
            </w:r>
            <w:r w:rsidR="00F97DD5" w:rsidRPr="00C168C5">
              <w:rPr>
                <w:szCs w:val="22"/>
                <w:lang w:val="es-ES_tradnl"/>
              </w:rPr>
              <w:t xml:space="preserve">s del personal ejecutivo de la </w:t>
            </w:r>
            <w:r w:rsidRPr="00C168C5">
              <w:rPr>
                <w:szCs w:val="22"/>
                <w:lang w:val="es-ES_tradnl"/>
              </w:rPr>
              <w:t xml:space="preserve">Oficina, en concreto en el ámbito de los derechos audiovisuales y </w:t>
            </w:r>
            <w:r w:rsidR="00FF016B" w:rsidRPr="00C168C5">
              <w:rPr>
                <w:szCs w:val="22"/>
                <w:lang w:val="es-ES_tradnl"/>
              </w:rPr>
              <w:t>la concesión de licencias digitales</w:t>
            </w:r>
            <w:r w:rsidR="00C91693" w:rsidRPr="00C168C5">
              <w:rPr>
                <w:szCs w:val="22"/>
                <w:lang w:val="es-ES_tradnl"/>
              </w:rPr>
              <w:t xml:space="preserve">. </w:t>
            </w:r>
          </w:p>
          <w:p w14:paraId="2A72AB4F" w14:textId="2D314FEA" w:rsidR="00C91693" w:rsidRPr="00C168C5" w:rsidRDefault="00C91693" w:rsidP="00243943">
            <w:pPr>
              <w:rPr>
                <w:szCs w:val="22"/>
                <w:lang w:val="es-ES_tradnl"/>
              </w:rPr>
            </w:pPr>
            <w:r w:rsidRPr="00C168C5">
              <w:rPr>
                <w:szCs w:val="22"/>
                <w:lang w:val="es-ES_tradnl"/>
              </w:rPr>
              <w:br/>
            </w:r>
            <w:r w:rsidR="00FF016B" w:rsidRPr="00C168C5">
              <w:rPr>
                <w:szCs w:val="22"/>
                <w:lang w:val="es-ES_tradnl"/>
              </w:rPr>
              <w:t xml:space="preserve">Se han recibido otros pedidos de formación para el fortalecimiento de capacidades en la esfera de la </w:t>
            </w:r>
            <w:r w:rsidR="00080878" w:rsidRPr="00C168C5">
              <w:rPr>
                <w:szCs w:val="22"/>
                <w:lang w:val="es-ES_tradnl"/>
              </w:rPr>
              <w:t>negociación</w:t>
            </w:r>
            <w:r w:rsidR="00FF016B" w:rsidRPr="00C168C5">
              <w:rPr>
                <w:szCs w:val="22"/>
                <w:lang w:val="es-ES_tradnl"/>
              </w:rPr>
              <w:t xml:space="preserve"> colectiva de derechos</w:t>
            </w:r>
            <w:r w:rsidRPr="00C168C5">
              <w:rPr>
                <w:szCs w:val="22"/>
                <w:lang w:val="es-ES_tradnl"/>
              </w:rPr>
              <w:t>.</w:t>
            </w:r>
          </w:p>
          <w:p w14:paraId="0C22BA7D" w14:textId="77777777" w:rsidR="00C91693" w:rsidRPr="00C168C5" w:rsidRDefault="00C91693" w:rsidP="00243943">
            <w:pPr>
              <w:rPr>
                <w:szCs w:val="22"/>
                <w:lang w:val="es-ES_tradnl"/>
              </w:rPr>
            </w:pPr>
          </w:p>
          <w:p w14:paraId="2B58F726" w14:textId="797C4EA0" w:rsidR="00C91693" w:rsidRPr="00C168C5" w:rsidRDefault="00C91693" w:rsidP="00243943">
            <w:pPr>
              <w:rPr>
                <w:szCs w:val="22"/>
                <w:u w:val="single"/>
                <w:lang w:val="es-ES_tradnl"/>
              </w:rPr>
            </w:pPr>
            <w:r w:rsidRPr="00C168C5">
              <w:rPr>
                <w:szCs w:val="22"/>
                <w:u w:val="single"/>
                <w:lang w:val="es-ES_tradnl"/>
              </w:rPr>
              <w:t>Kenya</w:t>
            </w:r>
          </w:p>
          <w:p w14:paraId="0F0E26F4" w14:textId="0156BDDD" w:rsidR="00C91693" w:rsidRPr="00C168C5" w:rsidRDefault="005E4CD6" w:rsidP="00243943">
            <w:pPr>
              <w:pStyle w:val="ListParagraph"/>
              <w:spacing w:after="200"/>
              <w:ind w:left="0"/>
              <w:rPr>
                <w:bCs/>
                <w:szCs w:val="22"/>
                <w:lang w:val="es-ES_tradnl"/>
              </w:rPr>
            </w:pPr>
            <w:r w:rsidRPr="00C168C5">
              <w:rPr>
                <w:szCs w:val="22"/>
                <w:lang w:val="es-ES_tradnl"/>
              </w:rPr>
              <w:t>En los seminarios se debatió sobre la función y los límites de la gestión colectiva</w:t>
            </w:r>
            <w:r w:rsidR="002C15ED" w:rsidRPr="00C168C5">
              <w:rPr>
                <w:szCs w:val="22"/>
                <w:lang w:val="es-ES_tradnl"/>
              </w:rPr>
              <w:t xml:space="preserve"> y sobre la necesidad de </w:t>
            </w:r>
            <w:r w:rsidR="00130A73" w:rsidRPr="00C168C5">
              <w:rPr>
                <w:szCs w:val="22"/>
                <w:lang w:val="es-ES_tradnl"/>
              </w:rPr>
              <w:t xml:space="preserve">conceder licencias </w:t>
            </w:r>
            <w:r w:rsidR="00E05517" w:rsidRPr="00C168C5">
              <w:rPr>
                <w:szCs w:val="22"/>
                <w:lang w:val="es-ES_tradnl"/>
              </w:rPr>
              <w:t>según el valor comercial como criterio para explotar las obras audiovisuales y recopilar</w:t>
            </w:r>
            <w:r w:rsidR="007A022A" w:rsidRPr="00C168C5">
              <w:rPr>
                <w:szCs w:val="22"/>
                <w:lang w:val="es-ES_tradnl"/>
              </w:rPr>
              <w:t xml:space="preserve"> y transmitir datos con plena transparencia</w:t>
            </w:r>
            <w:r w:rsidR="00C91693" w:rsidRPr="00C168C5">
              <w:rPr>
                <w:bCs/>
                <w:szCs w:val="22"/>
                <w:lang w:val="es-ES_tradnl"/>
              </w:rPr>
              <w:t xml:space="preserve"> </w:t>
            </w:r>
            <w:r w:rsidR="005F30DD" w:rsidRPr="00C168C5">
              <w:rPr>
                <w:bCs/>
                <w:szCs w:val="22"/>
                <w:lang w:val="es-ES_tradnl"/>
              </w:rPr>
              <w:t>con el fin a adoptar las mejores prácticas en la gestión colectiva</w:t>
            </w:r>
            <w:r w:rsidR="00C91693" w:rsidRPr="00C168C5">
              <w:rPr>
                <w:bCs/>
                <w:szCs w:val="22"/>
                <w:lang w:val="es-ES_tradnl"/>
              </w:rPr>
              <w:t xml:space="preserve">.  </w:t>
            </w:r>
            <w:r w:rsidR="005F30DD" w:rsidRPr="00C168C5">
              <w:rPr>
                <w:bCs/>
                <w:szCs w:val="22"/>
                <w:lang w:val="es-ES_tradnl"/>
              </w:rPr>
              <w:t xml:space="preserve">Se determinaron los ámbitos en que la gestión colectiva es una solución para administrar ciertos derechos de la esfera </w:t>
            </w:r>
            <w:r w:rsidR="00C91693" w:rsidRPr="00C168C5">
              <w:rPr>
                <w:bCs/>
                <w:szCs w:val="22"/>
                <w:lang w:val="es-ES_tradnl"/>
              </w:rPr>
              <w:t>audiovisual (</w:t>
            </w:r>
            <w:r w:rsidR="005F30DD" w:rsidRPr="00C168C5">
              <w:rPr>
                <w:bCs/>
                <w:szCs w:val="22"/>
                <w:lang w:val="es-ES_tradnl"/>
              </w:rPr>
              <w:t xml:space="preserve">p.ej. copia privada, retransmisión por cable y determinados derechos de </w:t>
            </w:r>
            <w:r w:rsidR="0034785E" w:rsidRPr="00C168C5">
              <w:rPr>
                <w:bCs/>
                <w:szCs w:val="22"/>
                <w:lang w:val="es-ES_tradnl"/>
              </w:rPr>
              <w:t>ejecución</w:t>
            </w:r>
            <w:r w:rsidR="00C91693" w:rsidRPr="00C168C5">
              <w:rPr>
                <w:bCs/>
                <w:szCs w:val="22"/>
                <w:lang w:val="es-ES_tradnl"/>
              </w:rPr>
              <w:t xml:space="preserve">).  </w:t>
            </w:r>
          </w:p>
          <w:p w14:paraId="2CF91052" w14:textId="77777777" w:rsidR="00C91693" w:rsidRPr="00C168C5" w:rsidRDefault="00C91693" w:rsidP="00243943">
            <w:pPr>
              <w:pStyle w:val="ListParagraph"/>
              <w:spacing w:after="200"/>
              <w:ind w:left="0"/>
              <w:rPr>
                <w:bCs/>
                <w:szCs w:val="22"/>
                <w:lang w:val="es-ES_tradnl"/>
              </w:rPr>
            </w:pPr>
          </w:p>
          <w:p w14:paraId="69F3DDAC" w14:textId="400011BB" w:rsidR="00C91693" w:rsidRPr="00C168C5" w:rsidRDefault="0034785E" w:rsidP="00243943">
            <w:pPr>
              <w:pStyle w:val="ListParagraph"/>
              <w:spacing w:after="200"/>
              <w:ind w:left="0"/>
              <w:rPr>
                <w:szCs w:val="22"/>
                <w:lang w:val="es-ES_tradnl"/>
              </w:rPr>
            </w:pPr>
            <w:r w:rsidRPr="00C168C5">
              <w:rPr>
                <w:bCs/>
                <w:szCs w:val="22"/>
                <w:lang w:val="es-ES_tradnl"/>
              </w:rPr>
              <w:t>El seminario concluyó con la creación de un equipo técnico en mayo de 2015 formado por productores, distribuidores, la Comisión Cinematográfica de Kenya</w:t>
            </w:r>
            <w:r w:rsidR="00E31166" w:rsidRPr="00C168C5">
              <w:rPr>
                <w:bCs/>
                <w:szCs w:val="22"/>
                <w:lang w:val="es-ES_tradnl"/>
              </w:rPr>
              <w:t xml:space="preserve"> y la Junta de Derecho de Autor de Kenya</w:t>
            </w:r>
            <w:r w:rsidR="00C91693" w:rsidRPr="00C168C5">
              <w:rPr>
                <w:bCs/>
                <w:szCs w:val="22"/>
                <w:lang w:val="es-ES_tradnl"/>
              </w:rPr>
              <w:t xml:space="preserve">  </w:t>
            </w:r>
            <w:r w:rsidR="00E31166" w:rsidRPr="00C168C5">
              <w:rPr>
                <w:bCs/>
                <w:szCs w:val="22"/>
                <w:lang w:val="es-ES_tradnl"/>
              </w:rPr>
              <w:t>con el propósito de definir una hoja de ruta con que establecer un organismo de gestión colectiva audiovisual</w:t>
            </w:r>
            <w:r w:rsidR="00C91693" w:rsidRPr="00C168C5">
              <w:rPr>
                <w:szCs w:val="22"/>
                <w:lang w:val="es-ES_tradnl"/>
              </w:rPr>
              <w:t xml:space="preserve">.  </w:t>
            </w:r>
            <w:r w:rsidR="00E31166" w:rsidRPr="00C168C5">
              <w:rPr>
                <w:szCs w:val="22"/>
                <w:lang w:val="es-ES_tradnl"/>
              </w:rPr>
              <w:t>El grupo espera recibir mayor orientación en los próximos meses en el marco de este proyecto para crear esa nueva entidad</w:t>
            </w:r>
            <w:r w:rsidR="00C91693" w:rsidRPr="00C168C5">
              <w:rPr>
                <w:szCs w:val="22"/>
                <w:lang w:val="es-ES_tradnl"/>
              </w:rPr>
              <w:t xml:space="preserve">. </w:t>
            </w:r>
          </w:p>
          <w:p w14:paraId="4B8BFF0D" w14:textId="77777777" w:rsidR="00C91693" w:rsidRPr="00C168C5" w:rsidRDefault="00C91693" w:rsidP="00243943">
            <w:pPr>
              <w:jc w:val="both"/>
              <w:rPr>
                <w:bCs/>
                <w:szCs w:val="22"/>
                <w:u w:val="single"/>
                <w:lang w:val="es-ES_tradnl"/>
              </w:rPr>
            </w:pPr>
            <w:r w:rsidRPr="00C168C5">
              <w:rPr>
                <w:bCs/>
                <w:szCs w:val="22"/>
                <w:u w:val="single"/>
                <w:lang w:val="es-ES_tradnl"/>
              </w:rPr>
              <w:t>Senegal</w:t>
            </w:r>
          </w:p>
          <w:p w14:paraId="54C48152" w14:textId="485D6201" w:rsidR="00C91693" w:rsidRPr="00C168C5" w:rsidRDefault="007A3938" w:rsidP="00243943">
            <w:pPr>
              <w:rPr>
                <w:szCs w:val="22"/>
                <w:lang w:val="es-ES_tradnl"/>
              </w:rPr>
            </w:pPr>
            <w:r w:rsidRPr="00C168C5">
              <w:rPr>
                <w:szCs w:val="22"/>
                <w:lang w:val="es-ES_tradnl"/>
              </w:rPr>
              <w:t>Se realiz</w:t>
            </w:r>
            <w:r w:rsidR="00DF1613" w:rsidRPr="00C168C5">
              <w:rPr>
                <w:szCs w:val="22"/>
                <w:lang w:val="es-ES_tradnl"/>
              </w:rPr>
              <w:t>ó un</w:t>
            </w:r>
            <w:r w:rsidRPr="00C168C5">
              <w:rPr>
                <w:szCs w:val="22"/>
                <w:lang w:val="es-ES_tradnl"/>
              </w:rPr>
              <w:t xml:space="preserve"> análisis </w:t>
            </w:r>
            <w:r w:rsidR="009A0085" w:rsidRPr="00C168C5">
              <w:rPr>
                <w:szCs w:val="22"/>
                <w:lang w:val="es-ES_tradnl"/>
              </w:rPr>
              <w:t>jurí</w:t>
            </w:r>
            <w:r w:rsidR="00DF1613" w:rsidRPr="00C168C5">
              <w:rPr>
                <w:szCs w:val="22"/>
                <w:lang w:val="es-ES_tradnl"/>
              </w:rPr>
              <w:t>dico</w:t>
            </w:r>
            <w:r w:rsidR="009A0085" w:rsidRPr="00C168C5">
              <w:rPr>
                <w:szCs w:val="22"/>
                <w:lang w:val="es-ES_tradnl"/>
              </w:rPr>
              <w:t xml:space="preserve"> y se propusieron enmiendas de redacción </w:t>
            </w:r>
            <w:r w:rsidR="00E9713A" w:rsidRPr="00C168C5">
              <w:rPr>
                <w:szCs w:val="22"/>
                <w:lang w:val="es-ES_tradnl"/>
              </w:rPr>
              <w:t xml:space="preserve">al borrador </w:t>
            </w:r>
            <w:r w:rsidR="009A0085" w:rsidRPr="00C168C5">
              <w:rPr>
                <w:szCs w:val="22"/>
                <w:lang w:val="es-ES_tradnl"/>
              </w:rPr>
              <w:t xml:space="preserve">de </w:t>
            </w:r>
            <w:r w:rsidR="00DF1613" w:rsidRPr="00C168C5">
              <w:rPr>
                <w:szCs w:val="22"/>
                <w:lang w:val="es-ES_tradnl"/>
              </w:rPr>
              <w:t xml:space="preserve">estatutos y </w:t>
            </w:r>
            <w:r w:rsidR="00E9713A" w:rsidRPr="00C168C5">
              <w:rPr>
                <w:szCs w:val="22"/>
                <w:lang w:val="es-ES_tradnl"/>
              </w:rPr>
              <w:t xml:space="preserve">de </w:t>
            </w:r>
            <w:r w:rsidR="00DF1613" w:rsidRPr="00C168C5">
              <w:rPr>
                <w:szCs w:val="22"/>
                <w:lang w:val="es-ES_tradnl"/>
              </w:rPr>
              <w:t>reglamento interno del nuevo organismo de gestión colectiva multidisciplinario, cuya actividad se centrará</w:t>
            </w:r>
            <w:r w:rsidR="00625747">
              <w:rPr>
                <w:szCs w:val="22"/>
                <w:lang w:val="es-ES_tradnl"/>
              </w:rPr>
              <w:t xml:space="preserve"> sobre todo</w:t>
            </w:r>
            <w:r w:rsidR="00DF1613" w:rsidRPr="00C168C5">
              <w:rPr>
                <w:szCs w:val="22"/>
                <w:lang w:val="es-ES_tradnl"/>
              </w:rPr>
              <w:t xml:space="preserve"> en la copia privada y </w:t>
            </w:r>
            <w:r w:rsidR="00E9713A" w:rsidRPr="00C168C5">
              <w:rPr>
                <w:szCs w:val="22"/>
                <w:lang w:val="es-ES_tradnl"/>
              </w:rPr>
              <w:t xml:space="preserve">en </w:t>
            </w:r>
            <w:r w:rsidR="00DF1613" w:rsidRPr="00C168C5">
              <w:rPr>
                <w:szCs w:val="22"/>
                <w:lang w:val="es-ES_tradnl"/>
              </w:rPr>
              <w:t>los derechos audiovisuales</w:t>
            </w:r>
            <w:r w:rsidR="00C91693" w:rsidRPr="00C168C5">
              <w:rPr>
                <w:szCs w:val="22"/>
                <w:lang w:val="es-ES_tradnl"/>
              </w:rPr>
              <w:t xml:space="preserve">. </w:t>
            </w:r>
          </w:p>
          <w:p w14:paraId="11A1FA56" w14:textId="77777777" w:rsidR="00C91693" w:rsidRPr="00C168C5" w:rsidRDefault="00C91693" w:rsidP="00243943">
            <w:pPr>
              <w:rPr>
                <w:szCs w:val="22"/>
                <w:lang w:val="es-ES_tradnl"/>
              </w:rPr>
            </w:pPr>
          </w:p>
          <w:p w14:paraId="0E0D7D07" w14:textId="6D6455E3" w:rsidR="00C91693" w:rsidRPr="00C168C5" w:rsidRDefault="00DF1613" w:rsidP="00243943">
            <w:pPr>
              <w:rPr>
                <w:szCs w:val="22"/>
                <w:lang w:val="es-ES_tradnl"/>
              </w:rPr>
            </w:pPr>
            <w:r w:rsidRPr="00C168C5">
              <w:rPr>
                <w:szCs w:val="22"/>
                <w:lang w:val="es-ES_tradnl"/>
              </w:rPr>
              <w:t>Se llevó a cabo un análisis jurídico y se preparó un borrador de comentarios para las disposiciones relativas al dere</w:t>
            </w:r>
            <w:r w:rsidR="004A69D3" w:rsidRPr="00C168C5">
              <w:rPr>
                <w:szCs w:val="22"/>
                <w:lang w:val="es-ES_tradnl"/>
              </w:rPr>
              <w:t xml:space="preserve">cho de autor del proyecto de </w:t>
            </w:r>
            <w:r w:rsidRPr="00C168C5">
              <w:rPr>
                <w:szCs w:val="22"/>
                <w:lang w:val="es-ES_tradnl"/>
              </w:rPr>
              <w:t xml:space="preserve">ley </w:t>
            </w:r>
            <w:r w:rsidR="004A69D3" w:rsidRPr="00C168C5">
              <w:rPr>
                <w:szCs w:val="22"/>
                <w:lang w:val="es-ES_tradnl"/>
              </w:rPr>
              <w:t xml:space="preserve">sobre </w:t>
            </w:r>
            <w:r w:rsidRPr="00C168C5">
              <w:rPr>
                <w:szCs w:val="22"/>
                <w:lang w:val="es-ES_tradnl"/>
              </w:rPr>
              <w:t xml:space="preserve">la comunicación </w:t>
            </w:r>
            <w:r w:rsidR="004A69D3" w:rsidRPr="00C168C5">
              <w:rPr>
                <w:szCs w:val="22"/>
                <w:lang w:val="es-ES_tradnl"/>
              </w:rPr>
              <w:t>que está preparando</w:t>
            </w:r>
            <w:r w:rsidR="00E9713A" w:rsidRPr="00C168C5">
              <w:rPr>
                <w:szCs w:val="22"/>
                <w:lang w:val="es-ES_tradnl"/>
              </w:rPr>
              <w:t xml:space="preserve"> el Gobierno.</w:t>
            </w:r>
          </w:p>
          <w:p w14:paraId="36822978" w14:textId="77777777" w:rsidR="00C91693" w:rsidRPr="00C168C5" w:rsidRDefault="00C91693" w:rsidP="00243943">
            <w:pPr>
              <w:rPr>
                <w:szCs w:val="22"/>
                <w:lang w:val="es-ES_tradnl"/>
              </w:rPr>
            </w:pPr>
          </w:p>
          <w:p w14:paraId="03B0EE26" w14:textId="3F316C27" w:rsidR="00C91693" w:rsidRPr="00C168C5" w:rsidRDefault="004A69D3" w:rsidP="00243943">
            <w:pPr>
              <w:rPr>
                <w:szCs w:val="22"/>
                <w:lang w:val="es-ES_tradnl"/>
              </w:rPr>
            </w:pPr>
            <w:r w:rsidRPr="00C168C5">
              <w:rPr>
                <w:iCs/>
                <w:szCs w:val="22"/>
                <w:lang w:val="es-ES_tradnl"/>
              </w:rPr>
              <w:t xml:space="preserve">Se </w:t>
            </w:r>
            <w:r w:rsidR="00ED67F8" w:rsidRPr="00C168C5">
              <w:rPr>
                <w:iCs/>
                <w:szCs w:val="22"/>
                <w:lang w:val="es-ES_tradnl"/>
              </w:rPr>
              <w:t xml:space="preserve">ha </w:t>
            </w:r>
            <w:r w:rsidR="00E9713A" w:rsidRPr="00C168C5">
              <w:rPr>
                <w:iCs/>
                <w:szCs w:val="22"/>
                <w:lang w:val="es-ES_tradnl"/>
              </w:rPr>
              <w:t xml:space="preserve">retrasado la </w:t>
            </w:r>
            <w:r w:rsidR="00ED67F8" w:rsidRPr="00C168C5">
              <w:rPr>
                <w:iCs/>
                <w:szCs w:val="22"/>
                <w:lang w:val="es-ES_tradnl"/>
              </w:rPr>
              <w:t>publicación de los</w:t>
            </w:r>
            <w:r w:rsidRPr="00C168C5">
              <w:rPr>
                <w:iCs/>
                <w:szCs w:val="22"/>
                <w:lang w:val="es-ES_tradnl"/>
              </w:rPr>
              <w:t xml:space="preserve"> decreto</w:t>
            </w:r>
            <w:r w:rsidR="00ED67F8" w:rsidRPr="00C168C5">
              <w:rPr>
                <w:iCs/>
                <w:szCs w:val="22"/>
                <w:lang w:val="es-ES_tradnl"/>
              </w:rPr>
              <w:t>s presidenciales</w:t>
            </w:r>
            <w:r w:rsidRPr="00C168C5">
              <w:rPr>
                <w:iCs/>
                <w:szCs w:val="22"/>
                <w:lang w:val="es-ES_tradnl"/>
              </w:rPr>
              <w:t xml:space="preserve"> que aprueba</w:t>
            </w:r>
            <w:r w:rsidR="00ED67F8" w:rsidRPr="00C168C5">
              <w:rPr>
                <w:iCs/>
                <w:szCs w:val="22"/>
                <w:lang w:val="es-ES_tradnl"/>
              </w:rPr>
              <w:t>n</w:t>
            </w:r>
            <w:r w:rsidRPr="00C168C5">
              <w:rPr>
                <w:iCs/>
                <w:szCs w:val="22"/>
                <w:lang w:val="es-ES_tradnl"/>
              </w:rPr>
              <w:t xml:space="preserve"> la creación de nuevos organismos de gestión colectiva </w:t>
            </w:r>
            <w:r w:rsidRPr="00C168C5">
              <w:rPr>
                <w:iCs/>
                <w:szCs w:val="22"/>
                <w:lang w:val="es-ES_tradnl"/>
              </w:rPr>
              <w:lastRenderedPageBreak/>
              <w:t>firmado</w:t>
            </w:r>
            <w:r w:rsidR="00C40834" w:rsidRPr="00C168C5">
              <w:rPr>
                <w:iCs/>
                <w:szCs w:val="22"/>
                <w:lang w:val="es-ES_tradnl"/>
              </w:rPr>
              <w:t>s</w:t>
            </w:r>
            <w:r w:rsidRPr="00C168C5">
              <w:rPr>
                <w:iCs/>
                <w:szCs w:val="22"/>
                <w:lang w:val="es-ES_tradnl"/>
              </w:rPr>
              <w:t xml:space="preserve"> el 10 de abril de </w:t>
            </w:r>
            <w:r w:rsidR="00C91693" w:rsidRPr="00C168C5">
              <w:rPr>
                <w:iCs/>
                <w:szCs w:val="22"/>
                <w:lang w:val="es-ES_tradnl"/>
              </w:rPr>
              <w:t xml:space="preserve">2015.  </w:t>
            </w:r>
            <w:r w:rsidRPr="00C168C5">
              <w:rPr>
                <w:iCs/>
                <w:szCs w:val="22"/>
                <w:lang w:val="es-ES_tradnl"/>
              </w:rPr>
              <w:t xml:space="preserve">En la actualidad se ha presentado una solicitud de formación </w:t>
            </w:r>
            <w:r w:rsidRPr="00C168C5">
              <w:rPr>
                <w:i/>
                <w:iCs/>
                <w:szCs w:val="22"/>
                <w:lang w:val="es-ES_tradnl"/>
              </w:rPr>
              <w:t xml:space="preserve">in situ </w:t>
            </w:r>
            <w:r w:rsidR="00E9713A" w:rsidRPr="00C168C5">
              <w:rPr>
                <w:iCs/>
                <w:szCs w:val="22"/>
                <w:lang w:val="es-ES_tradnl"/>
              </w:rPr>
              <w:t xml:space="preserve">de la junta de esta nueva </w:t>
            </w:r>
            <w:r w:rsidRPr="00C168C5">
              <w:rPr>
                <w:iCs/>
                <w:szCs w:val="22"/>
                <w:lang w:val="es-ES_tradnl"/>
              </w:rPr>
              <w:t>entidad</w:t>
            </w:r>
            <w:r w:rsidR="0036627B" w:rsidRPr="00C168C5">
              <w:rPr>
                <w:iCs/>
                <w:szCs w:val="22"/>
                <w:lang w:val="es-ES_tradnl"/>
              </w:rPr>
              <w:t xml:space="preserve"> con el fin desarrollar competencias en materia de gobernanza</w:t>
            </w:r>
            <w:r w:rsidR="00C91693" w:rsidRPr="00C168C5">
              <w:rPr>
                <w:szCs w:val="22"/>
                <w:lang w:val="es-ES_tradnl"/>
              </w:rPr>
              <w:t xml:space="preserve">. </w:t>
            </w:r>
          </w:p>
          <w:p w14:paraId="35ACD1EA" w14:textId="77777777" w:rsidR="00C91693" w:rsidRPr="00C168C5" w:rsidRDefault="00C91693" w:rsidP="00243943">
            <w:pPr>
              <w:rPr>
                <w:szCs w:val="22"/>
                <w:lang w:val="es-ES_tradnl"/>
              </w:rPr>
            </w:pPr>
          </w:p>
        </w:tc>
      </w:tr>
      <w:tr w:rsidR="00C91693" w:rsidRPr="00C168C5" w14:paraId="32248EE4" w14:textId="77777777" w:rsidTr="00243943">
        <w:trPr>
          <w:trHeight w:val="1212"/>
        </w:trPr>
        <w:tc>
          <w:tcPr>
            <w:tcW w:w="2376" w:type="dxa"/>
            <w:shd w:val="clear" w:color="auto" w:fill="auto"/>
          </w:tcPr>
          <w:p w14:paraId="42C72C13" w14:textId="1F15417F" w:rsidR="00C91693" w:rsidRPr="00C168C5" w:rsidRDefault="00CD06EF" w:rsidP="008E1AF8">
            <w:pPr>
              <w:pStyle w:val="Heading3"/>
              <w:keepNext w:val="0"/>
              <w:rPr>
                <w:szCs w:val="22"/>
                <w:lang w:val="es-ES_tradnl"/>
              </w:rPr>
            </w:pPr>
            <w:r w:rsidRPr="00C168C5">
              <w:rPr>
                <w:szCs w:val="22"/>
                <w:lang w:val="es-ES_tradnl"/>
              </w:rPr>
              <w:lastRenderedPageBreak/>
              <w:t>Ejemplos de logros y efectos y enseñanzas extraídas</w:t>
            </w:r>
          </w:p>
        </w:tc>
        <w:tc>
          <w:tcPr>
            <w:tcW w:w="6912" w:type="dxa"/>
            <w:vAlign w:val="center"/>
          </w:tcPr>
          <w:p w14:paraId="6DF29AA8" w14:textId="77777777" w:rsidR="00C91693" w:rsidRPr="00C168C5" w:rsidRDefault="00C91693" w:rsidP="00243943">
            <w:pPr>
              <w:rPr>
                <w:szCs w:val="22"/>
                <w:lang w:val="es-ES_tradnl"/>
              </w:rPr>
            </w:pPr>
          </w:p>
          <w:p w14:paraId="0F24235C" w14:textId="3CC48459" w:rsidR="00C91693" w:rsidRPr="00C168C5" w:rsidRDefault="00CD06EF" w:rsidP="00243943">
            <w:pPr>
              <w:rPr>
                <w:iCs/>
                <w:szCs w:val="22"/>
                <w:lang w:val="es-ES_tradnl"/>
              </w:rPr>
            </w:pPr>
            <w:r w:rsidRPr="00C168C5">
              <w:rPr>
                <w:szCs w:val="22"/>
                <w:lang w:val="es-ES_tradnl"/>
              </w:rPr>
              <w:t>A la luz de las respuestas al cuestio</w:t>
            </w:r>
            <w:r w:rsidR="00625747">
              <w:rPr>
                <w:szCs w:val="22"/>
                <w:lang w:val="es-ES_tradnl"/>
              </w:rPr>
              <w:t>nario recibidas de la industria</w:t>
            </w:r>
            <w:r w:rsidRPr="00C168C5">
              <w:rPr>
                <w:szCs w:val="22"/>
                <w:lang w:val="es-ES_tradnl"/>
              </w:rPr>
              <w:t xml:space="preserve"> audiovisual y </w:t>
            </w:r>
            <w:r w:rsidR="00BD0575" w:rsidRPr="00C168C5">
              <w:rPr>
                <w:szCs w:val="22"/>
                <w:lang w:val="es-ES_tradnl"/>
              </w:rPr>
              <w:t xml:space="preserve">de </w:t>
            </w:r>
            <w:r w:rsidRPr="00C168C5">
              <w:rPr>
                <w:szCs w:val="22"/>
                <w:lang w:val="es-ES_tradnl"/>
              </w:rPr>
              <w:t xml:space="preserve">las autoridades nacionales de los tres países beneficiarios piloto, las impresiones son positivas, afirmando claramente que </w:t>
            </w:r>
            <w:r w:rsidR="008B201A" w:rsidRPr="00C168C5">
              <w:rPr>
                <w:szCs w:val="22"/>
                <w:lang w:val="es-ES_tradnl"/>
              </w:rPr>
              <w:t xml:space="preserve">el contenido del proyecto resulta muy oportuno y pertinente para apoyar el desarrollo de un sector audiovisual impulsado por el </w:t>
            </w:r>
            <w:r w:rsidR="00BD0575" w:rsidRPr="00C168C5">
              <w:rPr>
                <w:szCs w:val="22"/>
                <w:lang w:val="es-ES_tradnl"/>
              </w:rPr>
              <w:t xml:space="preserve">mercado que actualmente vive </w:t>
            </w:r>
            <w:r w:rsidR="008B201A" w:rsidRPr="00C168C5">
              <w:rPr>
                <w:szCs w:val="22"/>
                <w:lang w:val="es-ES_tradnl"/>
              </w:rPr>
              <w:t xml:space="preserve">un momento de grandes desafíos en la transición </w:t>
            </w:r>
            <w:r w:rsidR="00C91693" w:rsidRPr="00C168C5">
              <w:rPr>
                <w:iCs/>
                <w:szCs w:val="22"/>
                <w:lang w:val="es-ES_tradnl"/>
              </w:rPr>
              <w:t xml:space="preserve">digital. </w:t>
            </w:r>
          </w:p>
          <w:p w14:paraId="786D2B81" w14:textId="77777777" w:rsidR="00C91693" w:rsidRPr="00C168C5" w:rsidRDefault="00C91693" w:rsidP="00243943">
            <w:pPr>
              <w:rPr>
                <w:iCs/>
                <w:szCs w:val="22"/>
                <w:lang w:val="es-ES_tradnl"/>
              </w:rPr>
            </w:pPr>
          </w:p>
          <w:p w14:paraId="0F2ADEB7" w14:textId="569E23CF" w:rsidR="00C91693" w:rsidRPr="00C168C5" w:rsidRDefault="008B201A" w:rsidP="00243943">
            <w:pPr>
              <w:rPr>
                <w:iCs/>
                <w:szCs w:val="22"/>
                <w:lang w:val="es-ES_tradnl"/>
              </w:rPr>
            </w:pPr>
            <w:r w:rsidRPr="00C168C5">
              <w:rPr>
                <w:iCs/>
                <w:szCs w:val="22"/>
                <w:lang w:val="es-ES_tradnl"/>
              </w:rPr>
              <w:t xml:space="preserve">Se aportaron capacidades y conocimientos especializados con que ayudar a las industrias </w:t>
            </w:r>
            <w:r w:rsidR="001A1608" w:rsidRPr="00C168C5">
              <w:rPr>
                <w:iCs/>
                <w:szCs w:val="22"/>
                <w:lang w:val="es-ES_tradnl"/>
              </w:rPr>
              <w:t xml:space="preserve">cinematográfica y </w:t>
            </w:r>
            <w:r w:rsidR="00C91693" w:rsidRPr="00C168C5">
              <w:rPr>
                <w:iCs/>
                <w:szCs w:val="22"/>
                <w:lang w:val="es-ES_tradnl"/>
              </w:rPr>
              <w:t xml:space="preserve">audiovisual </w:t>
            </w:r>
            <w:r w:rsidR="001A1608" w:rsidRPr="00C168C5">
              <w:rPr>
                <w:iCs/>
                <w:szCs w:val="22"/>
                <w:lang w:val="es-ES_tradnl"/>
              </w:rPr>
              <w:t xml:space="preserve">a competir en el mercado mundial aumentando </w:t>
            </w:r>
            <w:r w:rsidR="002B5EE3" w:rsidRPr="00C168C5">
              <w:rPr>
                <w:iCs/>
                <w:szCs w:val="22"/>
                <w:lang w:val="es-ES_tradnl"/>
              </w:rPr>
              <w:t xml:space="preserve">la rentabilidad financiera </w:t>
            </w:r>
            <w:r w:rsidR="001A1608" w:rsidRPr="00C168C5">
              <w:rPr>
                <w:iCs/>
                <w:szCs w:val="22"/>
                <w:lang w:val="es-ES_tradnl"/>
              </w:rPr>
              <w:t xml:space="preserve">y mejorando </w:t>
            </w:r>
            <w:r w:rsidR="00625747">
              <w:rPr>
                <w:iCs/>
                <w:szCs w:val="22"/>
                <w:lang w:val="es-ES_tradnl"/>
              </w:rPr>
              <w:t>el</w:t>
            </w:r>
            <w:r w:rsidR="001A1608" w:rsidRPr="00C168C5">
              <w:rPr>
                <w:iCs/>
                <w:szCs w:val="22"/>
                <w:lang w:val="es-ES_tradnl"/>
              </w:rPr>
              <w:t xml:space="preserve"> desarrollo profesional.  </w:t>
            </w:r>
            <w:r w:rsidR="00BD0575" w:rsidRPr="00C168C5">
              <w:rPr>
                <w:iCs/>
                <w:szCs w:val="22"/>
                <w:lang w:val="es-ES_tradnl"/>
              </w:rPr>
              <w:t>Algunos profesionales cinematográficos y</w:t>
            </w:r>
            <w:r w:rsidR="001A1608" w:rsidRPr="00C168C5">
              <w:rPr>
                <w:iCs/>
                <w:szCs w:val="22"/>
                <w:lang w:val="es-ES_tradnl"/>
              </w:rPr>
              <w:t xml:space="preserve">a se han referido </w:t>
            </w:r>
            <w:r w:rsidR="00CC3957" w:rsidRPr="00C168C5">
              <w:rPr>
                <w:iCs/>
                <w:szCs w:val="22"/>
                <w:lang w:val="es-ES_tradnl"/>
              </w:rPr>
              <w:t>a</w:t>
            </w:r>
            <w:r w:rsidR="00BD0575" w:rsidRPr="00C168C5">
              <w:rPr>
                <w:iCs/>
                <w:szCs w:val="22"/>
                <w:lang w:val="es-ES_tradnl"/>
              </w:rPr>
              <w:t xml:space="preserve"> que se suscriben ahora más contratos escritos </w:t>
            </w:r>
            <w:r w:rsidR="00CC3957" w:rsidRPr="00C168C5">
              <w:rPr>
                <w:iCs/>
                <w:szCs w:val="22"/>
                <w:lang w:val="es-ES_tradnl"/>
              </w:rPr>
              <w:t xml:space="preserve">en el sector gracias a la </w:t>
            </w:r>
            <w:r w:rsidR="00BD0575" w:rsidRPr="00C168C5">
              <w:rPr>
                <w:iCs/>
                <w:szCs w:val="22"/>
                <w:lang w:val="es-ES_tradnl"/>
              </w:rPr>
              <w:t>capacitación</w:t>
            </w:r>
            <w:r w:rsidR="00CC3957" w:rsidRPr="00C168C5">
              <w:rPr>
                <w:iCs/>
                <w:szCs w:val="22"/>
                <w:lang w:val="es-ES_tradnl"/>
              </w:rPr>
              <w:t xml:space="preserve"> </w:t>
            </w:r>
            <w:r w:rsidR="00BD0575" w:rsidRPr="00C168C5">
              <w:rPr>
                <w:iCs/>
                <w:szCs w:val="22"/>
                <w:lang w:val="es-ES_tradnl"/>
              </w:rPr>
              <w:t>impartida</w:t>
            </w:r>
            <w:r w:rsidR="00C91693" w:rsidRPr="00C168C5">
              <w:rPr>
                <w:iCs/>
                <w:szCs w:val="22"/>
                <w:lang w:val="es-ES_tradnl"/>
              </w:rPr>
              <w:t xml:space="preserve">.  </w:t>
            </w:r>
            <w:r w:rsidR="00CC3957" w:rsidRPr="00C168C5">
              <w:rPr>
                <w:iCs/>
                <w:szCs w:val="22"/>
                <w:lang w:val="es-ES_tradnl"/>
              </w:rPr>
              <w:t>Lo mismo puede decirse de</w:t>
            </w:r>
            <w:r w:rsidR="00BD0575" w:rsidRPr="00C168C5">
              <w:rPr>
                <w:iCs/>
                <w:szCs w:val="22"/>
                <w:lang w:val="es-ES_tradnl"/>
              </w:rPr>
              <w:t xml:space="preserve"> los juristas que con esa </w:t>
            </w:r>
            <w:r w:rsidR="00CC3957" w:rsidRPr="00C168C5">
              <w:rPr>
                <w:iCs/>
                <w:szCs w:val="22"/>
                <w:lang w:val="es-ES_tradnl"/>
              </w:rPr>
              <w:t>formación son capaces de incorporar la contratación audiovisual en su ámbito de trabajo</w:t>
            </w:r>
            <w:r w:rsidR="00C91693" w:rsidRPr="00C168C5">
              <w:rPr>
                <w:iCs/>
                <w:szCs w:val="22"/>
                <w:lang w:val="es-ES_tradnl"/>
              </w:rPr>
              <w:t xml:space="preserve">. </w:t>
            </w:r>
          </w:p>
          <w:p w14:paraId="7AAEC6DA" w14:textId="77777777" w:rsidR="00C91693" w:rsidRPr="00C168C5" w:rsidRDefault="00C91693" w:rsidP="00243943">
            <w:pPr>
              <w:rPr>
                <w:szCs w:val="22"/>
                <w:lang w:val="es-ES_tradnl"/>
              </w:rPr>
            </w:pPr>
          </w:p>
          <w:p w14:paraId="1E0F9820" w14:textId="26558814" w:rsidR="00C91693" w:rsidRPr="00C168C5" w:rsidRDefault="00CC3957" w:rsidP="00243943">
            <w:pPr>
              <w:pStyle w:val="NoSpacing"/>
              <w:rPr>
                <w:rFonts w:ascii="Arial" w:hAnsi="Arial" w:cs="Arial"/>
                <w:iCs/>
                <w:lang w:val="es-ES_tradnl"/>
              </w:rPr>
            </w:pPr>
            <w:r w:rsidRPr="00C168C5">
              <w:rPr>
                <w:rFonts w:ascii="Arial" w:hAnsi="Arial" w:cs="Arial"/>
                <w:iCs/>
                <w:lang w:val="es-ES_tradnl"/>
              </w:rPr>
              <w:t xml:space="preserve">Los representantes gubernamentales también han destacado </w:t>
            </w:r>
            <w:r w:rsidR="00033B31" w:rsidRPr="00C168C5">
              <w:rPr>
                <w:rFonts w:ascii="Arial" w:hAnsi="Arial" w:cs="Arial"/>
                <w:iCs/>
                <w:lang w:val="es-ES_tradnl"/>
              </w:rPr>
              <w:t xml:space="preserve">que con </w:t>
            </w:r>
            <w:r w:rsidRPr="00C168C5">
              <w:rPr>
                <w:rFonts w:ascii="Arial" w:hAnsi="Arial" w:cs="Arial"/>
                <w:iCs/>
                <w:lang w:val="es-ES_tradnl"/>
              </w:rPr>
              <w:t xml:space="preserve">actividades </w:t>
            </w:r>
            <w:r w:rsidR="00033B31" w:rsidRPr="00C168C5">
              <w:rPr>
                <w:rFonts w:ascii="Arial" w:hAnsi="Arial" w:cs="Arial"/>
                <w:iCs/>
                <w:lang w:val="es-ES_tradnl"/>
              </w:rPr>
              <w:t xml:space="preserve">que producen mayor contenido se generan </w:t>
            </w:r>
            <w:r w:rsidRPr="00C168C5">
              <w:rPr>
                <w:rFonts w:ascii="Arial" w:hAnsi="Arial" w:cs="Arial"/>
                <w:iCs/>
                <w:lang w:val="es-ES_tradnl"/>
              </w:rPr>
              <w:t xml:space="preserve">mayores </w:t>
            </w:r>
            <w:r w:rsidR="00033B31" w:rsidRPr="00C168C5">
              <w:rPr>
                <w:rFonts w:ascii="Arial" w:hAnsi="Arial" w:cs="Arial"/>
                <w:iCs/>
                <w:lang w:val="es-ES_tradnl"/>
              </w:rPr>
              <w:t>ingresos</w:t>
            </w:r>
            <w:r w:rsidR="00C91693" w:rsidRPr="00C168C5">
              <w:rPr>
                <w:rFonts w:ascii="Arial" w:hAnsi="Arial" w:cs="Arial"/>
                <w:iCs/>
                <w:lang w:val="es-ES_tradnl"/>
              </w:rPr>
              <w:t xml:space="preserve">. </w:t>
            </w:r>
          </w:p>
          <w:p w14:paraId="574BD213" w14:textId="77777777" w:rsidR="00C91693" w:rsidRPr="00C168C5" w:rsidRDefault="00C91693" w:rsidP="00243943">
            <w:pPr>
              <w:pStyle w:val="NoSpacing"/>
              <w:rPr>
                <w:rFonts w:ascii="Arial" w:hAnsi="Arial" w:cs="Arial"/>
                <w:lang w:val="es-ES_tradnl"/>
              </w:rPr>
            </w:pPr>
          </w:p>
          <w:p w14:paraId="4F58BE71" w14:textId="55157DDF" w:rsidR="00517DE4" w:rsidRPr="00C168C5" w:rsidRDefault="00517DE4" w:rsidP="00517DE4">
            <w:pPr>
              <w:rPr>
                <w:szCs w:val="22"/>
                <w:lang w:val="es-ES_tradnl"/>
              </w:rPr>
            </w:pPr>
            <w:r w:rsidRPr="00C168C5">
              <w:rPr>
                <w:szCs w:val="22"/>
                <w:lang w:val="es-ES_tradnl"/>
              </w:rPr>
              <w:t xml:space="preserve">El proyecto también ha resultado útil para la formulación de políticas a </w:t>
            </w:r>
            <w:r w:rsidR="00BD0575" w:rsidRPr="00C168C5">
              <w:rPr>
                <w:szCs w:val="22"/>
                <w:lang w:val="es-ES_tradnl"/>
              </w:rPr>
              <w:t>escala</w:t>
            </w:r>
            <w:r w:rsidRPr="00C168C5">
              <w:rPr>
                <w:szCs w:val="22"/>
                <w:lang w:val="es-ES_tradnl"/>
              </w:rPr>
              <w:t xml:space="preserve"> nacional. </w:t>
            </w:r>
          </w:p>
          <w:p w14:paraId="72EEBAA5" w14:textId="77777777" w:rsidR="00517DE4" w:rsidRPr="00C168C5" w:rsidRDefault="00517DE4" w:rsidP="00517DE4">
            <w:pPr>
              <w:rPr>
                <w:szCs w:val="22"/>
                <w:lang w:val="es-ES_tradnl"/>
              </w:rPr>
            </w:pPr>
          </w:p>
          <w:p w14:paraId="3BDE0453" w14:textId="26585A68" w:rsidR="00517DE4" w:rsidRPr="00C168C5" w:rsidRDefault="00740B46" w:rsidP="00517DE4">
            <w:pPr>
              <w:rPr>
                <w:szCs w:val="22"/>
                <w:lang w:val="es-ES_tradnl"/>
              </w:rPr>
            </w:pPr>
            <w:r w:rsidRPr="00C168C5">
              <w:rPr>
                <w:szCs w:val="22"/>
                <w:lang w:val="es-ES_tradnl"/>
              </w:rPr>
              <w:t>a)</w:t>
            </w:r>
            <w:r w:rsidRPr="00C168C5">
              <w:rPr>
                <w:szCs w:val="22"/>
                <w:lang w:val="es-ES_tradnl"/>
              </w:rPr>
              <w:tab/>
              <w:t xml:space="preserve"> </w:t>
            </w:r>
            <w:r w:rsidR="00293BFD">
              <w:rPr>
                <w:szCs w:val="22"/>
                <w:lang w:val="es-ES_tradnl"/>
              </w:rPr>
              <w:t>En Kenya</w:t>
            </w:r>
            <w:r w:rsidR="00517DE4" w:rsidRPr="00C168C5">
              <w:rPr>
                <w:szCs w:val="22"/>
                <w:lang w:val="es-ES_tradnl"/>
              </w:rPr>
              <w:t xml:space="preserve"> la Comisión Cinematográfica presentó una solicitud oficial para que en el marco del proyecto se presentaran  observaciones y asesoramiento sobre la elaboración de la política nacional cinematográfica</w:t>
            </w:r>
            <w:r w:rsidR="001C0879" w:rsidRPr="00C168C5">
              <w:rPr>
                <w:szCs w:val="22"/>
                <w:lang w:val="es-ES_tradnl"/>
              </w:rPr>
              <w:t xml:space="preserve">.  </w:t>
            </w:r>
            <w:r w:rsidR="00517DE4" w:rsidRPr="00C168C5">
              <w:rPr>
                <w:szCs w:val="22"/>
                <w:lang w:val="es-ES_tradnl"/>
              </w:rPr>
              <w:t>Esa política, que se halla en sus fases finales</w:t>
            </w:r>
            <w:r w:rsidRPr="00C168C5">
              <w:rPr>
                <w:szCs w:val="22"/>
                <w:lang w:val="es-ES_tradnl"/>
              </w:rPr>
              <w:t xml:space="preserve"> de elaboración</w:t>
            </w:r>
            <w:r w:rsidR="00517DE4" w:rsidRPr="00C168C5">
              <w:rPr>
                <w:szCs w:val="22"/>
                <w:lang w:val="es-ES_tradnl"/>
              </w:rPr>
              <w:t xml:space="preserve">, representa un paso adelante significativo, ya que será la primera vez que la Asamblea legislativa </w:t>
            </w:r>
            <w:r w:rsidRPr="00C168C5">
              <w:rPr>
                <w:szCs w:val="22"/>
                <w:lang w:val="es-ES_tradnl"/>
              </w:rPr>
              <w:t>reconozca</w:t>
            </w:r>
            <w:r w:rsidR="00517DE4" w:rsidRPr="00C168C5">
              <w:rPr>
                <w:szCs w:val="22"/>
                <w:lang w:val="es-ES_tradnl"/>
              </w:rPr>
              <w:t xml:space="preserve"> la cinematografía como industria nacional, con un importante potencial para contribuir al crecimiento económico del país.</w:t>
            </w:r>
          </w:p>
          <w:p w14:paraId="0E3F1DC4" w14:textId="71D2FEFF" w:rsidR="00C91693" w:rsidRPr="00C168C5" w:rsidRDefault="00C91693" w:rsidP="00243943">
            <w:pPr>
              <w:rPr>
                <w:szCs w:val="22"/>
                <w:lang w:val="es-ES_tradnl"/>
              </w:rPr>
            </w:pPr>
          </w:p>
          <w:p w14:paraId="2665A678" w14:textId="7424BF2B" w:rsidR="00C91693" w:rsidRPr="00C168C5" w:rsidRDefault="006B68B6" w:rsidP="00903EA9">
            <w:pPr>
              <w:numPr>
                <w:ilvl w:val="0"/>
                <w:numId w:val="8"/>
              </w:numPr>
              <w:ind w:left="0"/>
              <w:rPr>
                <w:szCs w:val="22"/>
                <w:lang w:val="es-ES_tradnl"/>
              </w:rPr>
            </w:pPr>
            <w:r w:rsidRPr="00C168C5">
              <w:rPr>
                <w:szCs w:val="22"/>
                <w:lang w:val="es-ES_tradnl"/>
              </w:rPr>
              <w:t>b)</w:t>
            </w:r>
            <w:r w:rsidRPr="00C168C5">
              <w:rPr>
                <w:szCs w:val="22"/>
                <w:lang w:val="es-ES_tradnl"/>
              </w:rPr>
              <w:tab/>
              <w:t>E</w:t>
            </w:r>
            <w:r w:rsidR="00293BFD">
              <w:rPr>
                <w:szCs w:val="22"/>
                <w:lang w:val="es-ES_tradnl"/>
              </w:rPr>
              <w:t>n Senegal</w:t>
            </w:r>
            <w:r w:rsidR="00C91693" w:rsidRPr="00C168C5">
              <w:rPr>
                <w:szCs w:val="22"/>
                <w:lang w:val="es-ES_tradnl"/>
              </w:rPr>
              <w:t xml:space="preserve"> </w:t>
            </w:r>
            <w:r w:rsidR="00650AB0" w:rsidRPr="00C168C5">
              <w:rPr>
                <w:szCs w:val="22"/>
                <w:lang w:val="es-ES_tradnl"/>
              </w:rPr>
              <w:t xml:space="preserve">el Gobierno pidió que se </w:t>
            </w:r>
            <w:r w:rsidR="00D450CD" w:rsidRPr="00C168C5">
              <w:rPr>
                <w:szCs w:val="22"/>
                <w:lang w:val="es-ES_tradnl"/>
              </w:rPr>
              <w:t xml:space="preserve">comprobara la </w:t>
            </w:r>
            <w:r w:rsidR="00080878" w:rsidRPr="00C168C5">
              <w:rPr>
                <w:szCs w:val="22"/>
                <w:lang w:val="es-ES_tradnl"/>
              </w:rPr>
              <w:t>compatibilidad</w:t>
            </w:r>
            <w:r w:rsidR="00D450CD" w:rsidRPr="00C168C5">
              <w:rPr>
                <w:szCs w:val="22"/>
                <w:lang w:val="es-ES_tradnl"/>
              </w:rPr>
              <w:t xml:space="preserve"> entre la ley de derecho de autor de 2008 y </w:t>
            </w:r>
            <w:r w:rsidR="00650AB0" w:rsidRPr="00C168C5">
              <w:rPr>
                <w:szCs w:val="22"/>
                <w:lang w:val="es-ES_tradnl"/>
              </w:rPr>
              <w:t xml:space="preserve">las </w:t>
            </w:r>
            <w:r w:rsidRPr="00C168C5">
              <w:rPr>
                <w:szCs w:val="22"/>
                <w:lang w:val="es-ES_tradnl"/>
              </w:rPr>
              <w:t xml:space="preserve">disposiciones en materia de derecho de autor pertenecientes </w:t>
            </w:r>
            <w:r w:rsidR="005F7835" w:rsidRPr="00C168C5">
              <w:rPr>
                <w:szCs w:val="22"/>
                <w:lang w:val="es-ES_tradnl"/>
              </w:rPr>
              <w:t>al</w:t>
            </w:r>
            <w:r w:rsidRPr="00C168C5">
              <w:rPr>
                <w:szCs w:val="22"/>
                <w:lang w:val="es-ES_tradnl"/>
              </w:rPr>
              <w:t xml:space="preserve"> proyecto de ley sobre comunicaciones </w:t>
            </w:r>
            <w:r w:rsidR="00650AB0" w:rsidRPr="00C168C5">
              <w:rPr>
                <w:szCs w:val="22"/>
                <w:lang w:val="es-ES_tradnl"/>
              </w:rPr>
              <w:t xml:space="preserve">que actualmente es </w:t>
            </w:r>
            <w:r w:rsidRPr="00C168C5">
              <w:rPr>
                <w:szCs w:val="22"/>
                <w:lang w:val="es-ES_tradnl"/>
              </w:rPr>
              <w:t>obj</w:t>
            </w:r>
            <w:r w:rsidR="00650AB0" w:rsidRPr="00C168C5">
              <w:rPr>
                <w:szCs w:val="22"/>
                <w:lang w:val="es-ES_tradnl"/>
              </w:rPr>
              <w:t>eto de consultas en el Gobierno</w:t>
            </w:r>
            <w:r w:rsidR="00D450CD" w:rsidRPr="00C168C5">
              <w:rPr>
                <w:szCs w:val="22"/>
                <w:lang w:val="es-ES_tradnl"/>
              </w:rPr>
              <w:t>,</w:t>
            </w:r>
            <w:r w:rsidRPr="00C168C5">
              <w:rPr>
                <w:szCs w:val="22"/>
                <w:lang w:val="es-ES_tradnl"/>
              </w:rPr>
              <w:t xml:space="preserve"> antes de pasar a su aprobación</w:t>
            </w:r>
            <w:r w:rsidR="00D450CD" w:rsidRPr="00C168C5">
              <w:rPr>
                <w:szCs w:val="22"/>
                <w:lang w:val="es-ES_tradnl"/>
              </w:rPr>
              <w:t xml:space="preserve">. </w:t>
            </w:r>
            <w:r w:rsidR="00204E1E" w:rsidRPr="00C168C5">
              <w:rPr>
                <w:szCs w:val="22"/>
                <w:lang w:val="es-ES_tradnl"/>
              </w:rPr>
              <w:t xml:space="preserve"> Esos consejos de índole legislativa se trataron en reuniones para consultar a una amplia gama de representantes ministeriales</w:t>
            </w:r>
            <w:r w:rsidR="00C91693" w:rsidRPr="00C168C5">
              <w:rPr>
                <w:szCs w:val="22"/>
                <w:lang w:val="es-ES_tradnl"/>
              </w:rPr>
              <w:t xml:space="preserve">.  </w:t>
            </w:r>
            <w:r w:rsidR="00204E1E" w:rsidRPr="00C168C5">
              <w:rPr>
                <w:szCs w:val="22"/>
                <w:lang w:val="es-ES_tradnl"/>
              </w:rPr>
              <w:t>Se ha revisado el proyecto de ley para tener en cuenta ese asesoramiento, lo que demuestra la contribución de la OMPI al proceso</w:t>
            </w:r>
            <w:r w:rsidR="00C91693" w:rsidRPr="00C168C5">
              <w:rPr>
                <w:szCs w:val="22"/>
                <w:lang w:val="es-ES_tradnl"/>
              </w:rPr>
              <w:t xml:space="preserve">. </w:t>
            </w:r>
          </w:p>
          <w:p w14:paraId="24B02143" w14:textId="77777777" w:rsidR="00C91693" w:rsidRPr="00C168C5" w:rsidRDefault="00C91693" w:rsidP="00903EA9">
            <w:pPr>
              <w:numPr>
                <w:ilvl w:val="0"/>
                <w:numId w:val="8"/>
              </w:numPr>
              <w:ind w:left="0"/>
              <w:rPr>
                <w:szCs w:val="22"/>
                <w:lang w:val="es-ES_tradnl"/>
              </w:rPr>
            </w:pPr>
          </w:p>
          <w:p w14:paraId="13F8CEC0" w14:textId="5AC59E90" w:rsidR="00C91693" w:rsidRPr="00C168C5" w:rsidRDefault="00C91693" w:rsidP="00903EA9">
            <w:pPr>
              <w:numPr>
                <w:ilvl w:val="0"/>
                <w:numId w:val="8"/>
              </w:numPr>
              <w:ind w:left="0"/>
              <w:rPr>
                <w:szCs w:val="22"/>
                <w:lang w:val="es-ES_tradnl"/>
              </w:rPr>
            </w:pPr>
            <w:r w:rsidRPr="00C168C5">
              <w:rPr>
                <w:szCs w:val="22"/>
                <w:lang w:val="es-ES_tradnl"/>
              </w:rPr>
              <w:t>c)</w:t>
            </w:r>
            <w:r w:rsidRPr="00C168C5">
              <w:rPr>
                <w:szCs w:val="22"/>
                <w:lang w:val="es-ES_tradnl"/>
              </w:rPr>
              <w:tab/>
            </w:r>
            <w:r w:rsidR="00204E1E" w:rsidRPr="00C168C5">
              <w:rPr>
                <w:szCs w:val="22"/>
                <w:lang w:val="es-ES_tradnl"/>
              </w:rPr>
              <w:t>En</w:t>
            </w:r>
            <w:r w:rsidRPr="00C168C5">
              <w:rPr>
                <w:szCs w:val="22"/>
                <w:lang w:val="es-ES_tradnl"/>
              </w:rPr>
              <w:t xml:space="preserve"> Burkina Faso</w:t>
            </w:r>
            <w:r w:rsidR="00204E1E" w:rsidRPr="00C168C5">
              <w:rPr>
                <w:szCs w:val="22"/>
                <w:lang w:val="es-ES_tradnl"/>
              </w:rPr>
              <w:t xml:space="preserve"> se está revisando la ley de derecho de autor de </w:t>
            </w:r>
            <w:r w:rsidRPr="00C168C5">
              <w:rPr>
                <w:szCs w:val="22"/>
                <w:lang w:val="es-ES_tradnl"/>
              </w:rPr>
              <w:t xml:space="preserve">1999 </w:t>
            </w:r>
            <w:r w:rsidR="00204E1E" w:rsidRPr="00C168C5">
              <w:rPr>
                <w:szCs w:val="22"/>
                <w:lang w:val="es-ES_tradnl"/>
              </w:rPr>
              <w:t xml:space="preserve">para ponerla al día a la luz de los tratados adoptados recientemente y </w:t>
            </w:r>
            <w:r w:rsidR="00102EC8" w:rsidRPr="00C168C5">
              <w:rPr>
                <w:szCs w:val="22"/>
                <w:lang w:val="es-ES_tradnl"/>
              </w:rPr>
              <w:t xml:space="preserve">de </w:t>
            </w:r>
            <w:r w:rsidR="00204E1E" w:rsidRPr="00C168C5">
              <w:rPr>
                <w:szCs w:val="22"/>
                <w:lang w:val="es-ES_tradnl"/>
              </w:rPr>
              <w:t xml:space="preserve">la repercusión de las nuevas tecnologías en el sector </w:t>
            </w:r>
            <w:r w:rsidRPr="00C168C5">
              <w:rPr>
                <w:szCs w:val="22"/>
                <w:lang w:val="es-ES_tradnl"/>
              </w:rPr>
              <w:t>audiovisual</w:t>
            </w:r>
            <w:r w:rsidR="00204E1E" w:rsidRPr="00C168C5">
              <w:rPr>
                <w:szCs w:val="22"/>
                <w:lang w:val="es-ES_tradnl"/>
              </w:rPr>
              <w:t>, específicamente</w:t>
            </w:r>
            <w:r w:rsidRPr="00C168C5">
              <w:rPr>
                <w:szCs w:val="22"/>
                <w:lang w:val="es-ES_tradnl"/>
              </w:rPr>
              <w:t xml:space="preserve">.  </w:t>
            </w:r>
            <w:r w:rsidR="00204E1E" w:rsidRPr="00C168C5">
              <w:rPr>
                <w:szCs w:val="22"/>
                <w:lang w:val="es-ES_tradnl"/>
              </w:rPr>
              <w:t>Deberá con</w:t>
            </w:r>
            <w:r w:rsidR="005E49B0" w:rsidRPr="00C168C5">
              <w:rPr>
                <w:szCs w:val="22"/>
                <w:lang w:val="es-ES_tradnl"/>
              </w:rPr>
              <w:t>tinuarse</w:t>
            </w:r>
            <w:r w:rsidR="00625747">
              <w:rPr>
                <w:szCs w:val="22"/>
                <w:lang w:val="es-ES_tradnl"/>
              </w:rPr>
              <w:t xml:space="preserve"> con esa asistencia legislativa</w:t>
            </w:r>
            <w:r w:rsidR="005E49B0" w:rsidRPr="00C168C5">
              <w:rPr>
                <w:szCs w:val="22"/>
                <w:lang w:val="es-ES_tradnl"/>
              </w:rPr>
              <w:t xml:space="preserve"> en los próximos meses con el fin de culminar este proceso de redacción</w:t>
            </w:r>
            <w:r w:rsidRPr="00C168C5">
              <w:rPr>
                <w:szCs w:val="22"/>
                <w:lang w:val="es-ES_tradnl"/>
              </w:rPr>
              <w:t xml:space="preserve">. </w:t>
            </w:r>
          </w:p>
          <w:p w14:paraId="4B205332" w14:textId="77777777" w:rsidR="00C91693" w:rsidRPr="00C168C5" w:rsidRDefault="00C91693" w:rsidP="00243943">
            <w:pPr>
              <w:rPr>
                <w:iCs/>
                <w:szCs w:val="22"/>
                <w:lang w:val="es-ES_tradnl"/>
              </w:rPr>
            </w:pPr>
          </w:p>
        </w:tc>
      </w:tr>
      <w:tr w:rsidR="00C91693" w:rsidRPr="00C168C5" w14:paraId="0778B51C" w14:textId="77777777" w:rsidTr="00243943">
        <w:trPr>
          <w:trHeight w:val="713"/>
        </w:trPr>
        <w:tc>
          <w:tcPr>
            <w:tcW w:w="2376" w:type="dxa"/>
            <w:shd w:val="clear" w:color="auto" w:fill="auto"/>
          </w:tcPr>
          <w:p w14:paraId="3F8A7F9E" w14:textId="55594BEE" w:rsidR="00C91693" w:rsidRPr="00C168C5" w:rsidRDefault="00695623" w:rsidP="00243943">
            <w:pPr>
              <w:pStyle w:val="Heading3"/>
              <w:rPr>
                <w:szCs w:val="22"/>
                <w:lang w:val="es-ES_tradnl"/>
              </w:rPr>
            </w:pPr>
            <w:r w:rsidRPr="00C168C5">
              <w:rPr>
                <w:szCs w:val="22"/>
                <w:lang w:val="es-ES_tradnl" w:eastAsia="en-US"/>
              </w:rPr>
              <w:lastRenderedPageBreak/>
              <w:t>Riesgos y medidas paliativas</w:t>
            </w:r>
          </w:p>
        </w:tc>
        <w:tc>
          <w:tcPr>
            <w:tcW w:w="6912" w:type="dxa"/>
          </w:tcPr>
          <w:p w14:paraId="3F4EB27B" w14:textId="77777777" w:rsidR="00C91693" w:rsidRPr="00C168C5" w:rsidRDefault="00C91693" w:rsidP="00243943">
            <w:pPr>
              <w:pStyle w:val="Default"/>
              <w:rPr>
                <w:sz w:val="22"/>
                <w:szCs w:val="22"/>
                <w:lang w:val="es-ES_tradnl"/>
              </w:rPr>
            </w:pPr>
          </w:p>
          <w:p w14:paraId="4921E99B" w14:textId="233A8231" w:rsidR="00C91693" w:rsidRPr="00C168C5" w:rsidRDefault="00102EC8" w:rsidP="00243943">
            <w:pPr>
              <w:pStyle w:val="Default"/>
              <w:rPr>
                <w:sz w:val="22"/>
                <w:szCs w:val="22"/>
                <w:lang w:val="es-ES_tradnl"/>
              </w:rPr>
            </w:pPr>
            <w:r w:rsidRPr="00C168C5">
              <w:rPr>
                <w:sz w:val="22"/>
                <w:szCs w:val="22"/>
                <w:lang w:val="es-ES_tradnl"/>
              </w:rPr>
              <w:t>La puesta en marcha del proceso se ha visto retrasada debido a l</w:t>
            </w:r>
            <w:r w:rsidR="00487CA2" w:rsidRPr="00C168C5">
              <w:rPr>
                <w:sz w:val="22"/>
                <w:szCs w:val="22"/>
                <w:lang w:val="es-ES_tradnl"/>
              </w:rPr>
              <w:t>a r</w:t>
            </w:r>
            <w:r w:rsidRPr="00C168C5">
              <w:rPr>
                <w:sz w:val="22"/>
                <w:szCs w:val="22"/>
                <w:lang w:val="es-ES_tradnl"/>
              </w:rPr>
              <w:t>otación de</w:t>
            </w:r>
            <w:r w:rsidR="00695623" w:rsidRPr="00C168C5">
              <w:rPr>
                <w:sz w:val="22"/>
                <w:szCs w:val="22"/>
                <w:lang w:val="es-ES_tradnl"/>
              </w:rPr>
              <w:t xml:space="preserve"> personal </w:t>
            </w:r>
            <w:r w:rsidRPr="00C168C5">
              <w:rPr>
                <w:sz w:val="22"/>
                <w:szCs w:val="22"/>
                <w:lang w:val="es-ES_tradnl"/>
              </w:rPr>
              <w:t>clave</w:t>
            </w:r>
            <w:r w:rsidR="00695623" w:rsidRPr="00C168C5">
              <w:rPr>
                <w:sz w:val="22"/>
                <w:szCs w:val="22"/>
                <w:lang w:val="es-ES_tradnl"/>
              </w:rPr>
              <w:t xml:space="preserve"> y coordinadores nacionales, además de algunas interrupciones del proyecto </w:t>
            </w:r>
            <w:r w:rsidRPr="00C168C5">
              <w:rPr>
                <w:sz w:val="22"/>
                <w:szCs w:val="22"/>
                <w:lang w:val="es-ES_tradnl"/>
              </w:rPr>
              <w:t>por</w:t>
            </w:r>
            <w:r w:rsidR="00695623" w:rsidRPr="00C168C5">
              <w:rPr>
                <w:sz w:val="22"/>
                <w:szCs w:val="22"/>
                <w:lang w:val="es-ES_tradnl"/>
              </w:rPr>
              <w:t xml:space="preserve"> acontecimientos </w:t>
            </w:r>
            <w:r w:rsidR="00487CA2" w:rsidRPr="00C168C5">
              <w:rPr>
                <w:sz w:val="22"/>
                <w:szCs w:val="22"/>
                <w:lang w:val="es-ES_tradnl"/>
              </w:rPr>
              <w:t>políticos locales y cambios en la e</w:t>
            </w:r>
            <w:r w:rsidR="00293BFD">
              <w:rPr>
                <w:sz w:val="22"/>
                <w:szCs w:val="22"/>
                <w:lang w:val="es-ES_tradnl"/>
              </w:rPr>
              <w:t>structura del G</w:t>
            </w:r>
            <w:r w:rsidRPr="00C168C5">
              <w:rPr>
                <w:sz w:val="22"/>
                <w:szCs w:val="22"/>
                <w:lang w:val="es-ES_tradnl"/>
              </w:rPr>
              <w:t>obierno.</w:t>
            </w:r>
          </w:p>
          <w:p w14:paraId="350BBFBE" w14:textId="77777777" w:rsidR="00C91693" w:rsidRPr="00C168C5" w:rsidRDefault="00C91693" w:rsidP="00243943">
            <w:pPr>
              <w:pStyle w:val="ListParagraph"/>
              <w:suppressAutoHyphens/>
              <w:autoSpaceDN w:val="0"/>
              <w:ind w:left="0"/>
              <w:textAlignment w:val="baseline"/>
              <w:rPr>
                <w:iCs/>
                <w:szCs w:val="22"/>
                <w:lang w:val="es-ES_tradnl"/>
              </w:rPr>
            </w:pPr>
          </w:p>
          <w:p w14:paraId="762944F3" w14:textId="47067072" w:rsidR="00C91693" w:rsidRPr="00C168C5" w:rsidRDefault="00487CA2" w:rsidP="00243943">
            <w:pPr>
              <w:pStyle w:val="ListParagraph"/>
              <w:suppressAutoHyphens/>
              <w:autoSpaceDN w:val="0"/>
              <w:ind w:left="0"/>
              <w:textAlignment w:val="baseline"/>
              <w:rPr>
                <w:iCs/>
                <w:szCs w:val="22"/>
                <w:lang w:val="es-ES_tradnl"/>
              </w:rPr>
            </w:pPr>
            <w:r w:rsidRPr="00C168C5">
              <w:rPr>
                <w:iCs/>
                <w:szCs w:val="22"/>
                <w:lang w:val="es-ES_tradnl"/>
              </w:rPr>
              <w:t>El escaso nivel de información y de utilización del derecho de autor en el sector audiovisual ha retrasado la consecución de resultados tangibles</w:t>
            </w:r>
            <w:r w:rsidR="00C91693" w:rsidRPr="00C168C5">
              <w:rPr>
                <w:iCs/>
                <w:szCs w:val="22"/>
                <w:lang w:val="es-ES_tradnl"/>
              </w:rPr>
              <w:t xml:space="preserve">.  </w:t>
            </w:r>
            <w:r w:rsidRPr="00C168C5">
              <w:rPr>
                <w:iCs/>
                <w:szCs w:val="22"/>
                <w:lang w:val="es-ES_tradnl"/>
              </w:rPr>
              <w:t xml:space="preserve">Los países beneficiarios han solicitado </w:t>
            </w:r>
            <w:r w:rsidR="00102EC8" w:rsidRPr="00C168C5">
              <w:rPr>
                <w:iCs/>
                <w:szCs w:val="22"/>
                <w:lang w:val="es-ES_tradnl"/>
              </w:rPr>
              <w:t>el aumento de</w:t>
            </w:r>
            <w:r w:rsidRPr="00C168C5">
              <w:rPr>
                <w:iCs/>
                <w:szCs w:val="22"/>
                <w:lang w:val="es-ES_tradnl"/>
              </w:rPr>
              <w:t xml:space="preserve"> actividades </w:t>
            </w:r>
            <w:r w:rsidR="00102EC8" w:rsidRPr="00C168C5">
              <w:rPr>
                <w:iCs/>
                <w:szCs w:val="22"/>
                <w:lang w:val="es-ES_tradnl"/>
              </w:rPr>
              <w:t>para</w:t>
            </w:r>
            <w:r w:rsidR="00462469" w:rsidRPr="00C168C5">
              <w:rPr>
                <w:iCs/>
                <w:szCs w:val="22"/>
                <w:lang w:val="es-ES_tradnl"/>
              </w:rPr>
              <w:t xml:space="preserve"> abordar </w:t>
            </w:r>
            <w:r w:rsidR="00102EC8" w:rsidRPr="00C168C5">
              <w:rPr>
                <w:iCs/>
                <w:szCs w:val="22"/>
                <w:lang w:val="es-ES_tradnl"/>
              </w:rPr>
              <w:t>a conciencia</w:t>
            </w:r>
            <w:r w:rsidR="00462469" w:rsidRPr="00C168C5">
              <w:rPr>
                <w:iCs/>
                <w:szCs w:val="22"/>
                <w:lang w:val="es-ES_tradnl"/>
              </w:rPr>
              <w:t xml:space="preserve"> las necesidades prácticas del sector </w:t>
            </w:r>
            <w:r w:rsidR="00C91693" w:rsidRPr="00C168C5">
              <w:rPr>
                <w:color w:val="000000"/>
                <w:szCs w:val="22"/>
                <w:lang w:val="es-ES_tradnl"/>
              </w:rPr>
              <w:t xml:space="preserve">audiovisual </w:t>
            </w:r>
            <w:r w:rsidR="00462469" w:rsidRPr="00C168C5">
              <w:rPr>
                <w:color w:val="000000"/>
                <w:szCs w:val="22"/>
                <w:lang w:val="es-ES_tradnl"/>
              </w:rPr>
              <w:t xml:space="preserve">con el fin de comprender las normas internacionales, permitiendo a la vez tener suficiente perspectiva para generar de forma endógena y sostenible prácticas profesionales locales, en línea con </w:t>
            </w:r>
            <w:r w:rsidR="00686265" w:rsidRPr="00C168C5">
              <w:rPr>
                <w:color w:val="000000"/>
                <w:szCs w:val="22"/>
                <w:lang w:val="es-ES_tradnl"/>
              </w:rPr>
              <w:t>las culturas y la forma de hacer africanas</w:t>
            </w:r>
            <w:r w:rsidR="00C91693" w:rsidRPr="00C168C5">
              <w:rPr>
                <w:iCs/>
                <w:szCs w:val="22"/>
                <w:lang w:val="es-ES_tradnl"/>
              </w:rPr>
              <w:t xml:space="preserve">. </w:t>
            </w:r>
          </w:p>
          <w:p w14:paraId="28470A8D" w14:textId="77777777" w:rsidR="00C91693" w:rsidRPr="00C168C5" w:rsidRDefault="00C91693" w:rsidP="00243943">
            <w:pPr>
              <w:pStyle w:val="ListParagraph"/>
              <w:suppressAutoHyphens/>
              <w:autoSpaceDN w:val="0"/>
              <w:ind w:left="0"/>
              <w:textAlignment w:val="baseline"/>
              <w:rPr>
                <w:iCs/>
                <w:szCs w:val="22"/>
                <w:lang w:val="es-ES_tradnl"/>
              </w:rPr>
            </w:pPr>
          </w:p>
          <w:p w14:paraId="486C88D5" w14:textId="0EB5E4DC" w:rsidR="00C91693" w:rsidRPr="00C168C5" w:rsidRDefault="00942E25" w:rsidP="00243943">
            <w:pPr>
              <w:rPr>
                <w:iCs/>
                <w:szCs w:val="22"/>
                <w:lang w:val="es-ES_tradnl"/>
              </w:rPr>
            </w:pPr>
            <w:r w:rsidRPr="00C168C5">
              <w:rPr>
                <w:iCs/>
                <w:szCs w:val="22"/>
                <w:lang w:val="es-ES_tradnl"/>
              </w:rPr>
              <w:t xml:space="preserve">El contexto de conversión a la </w:t>
            </w:r>
            <w:r w:rsidR="00686265" w:rsidRPr="00C168C5">
              <w:rPr>
                <w:iCs/>
                <w:szCs w:val="22"/>
                <w:lang w:val="es-ES_tradnl"/>
              </w:rPr>
              <w:t>televi</w:t>
            </w:r>
            <w:r w:rsidRPr="00C168C5">
              <w:rPr>
                <w:iCs/>
                <w:szCs w:val="22"/>
                <w:lang w:val="es-ES_tradnl"/>
              </w:rPr>
              <w:t xml:space="preserve">sión digital </w:t>
            </w:r>
            <w:r w:rsidR="001D0EF8" w:rsidRPr="00C168C5">
              <w:rPr>
                <w:iCs/>
                <w:szCs w:val="22"/>
                <w:lang w:val="es-ES_tradnl"/>
              </w:rPr>
              <w:t>terrenal ha constituido una oportunidad sin precedentes para el crecimiento del mercado televisivo africano y para la creación de contenido local africano</w:t>
            </w:r>
            <w:r w:rsidR="00C91693" w:rsidRPr="00C168C5">
              <w:rPr>
                <w:iCs/>
                <w:szCs w:val="22"/>
                <w:lang w:val="es-ES_tradnl"/>
              </w:rPr>
              <w:t xml:space="preserve">.  </w:t>
            </w:r>
            <w:r w:rsidR="001D0EF8" w:rsidRPr="00C168C5">
              <w:rPr>
                <w:iCs/>
                <w:szCs w:val="22"/>
                <w:lang w:val="es-ES_tradnl"/>
              </w:rPr>
              <w:t>Sin embargo, también se h</w:t>
            </w:r>
            <w:r w:rsidRPr="00C168C5">
              <w:rPr>
                <w:iCs/>
                <w:szCs w:val="22"/>
                <w:lang w:val="es-ES_tradnl"/>
              </w:rPr>
              <w:t xml:space="preserve">a generado el impulso para que </w:t>
            </w:r>
            <w:r w:rsidR="001D0EF8" w:rsidRPr="00C168C5">
              <w:rPr>
                <w:iCs/>
                <w:szCs w:val="22"/>
                <w:lang w:val="es-ES_tradnl"/>
              </w:rPr>
              <w:t>no se qued</w:t>
            </w:r>
            <w:r w:rsidR="005F3AB5" w:rsidRPr="00C168C5">
              <w:rPr>
                <w:iCs/>
                <w:szCs w:val="22"/>
                <w:lang w:val="es-ES_tradnl"/>
              </w:rPr>
              <w:t xml:space="preserve">en atrás muchos países, que se </w:t>
            </w:r>
            <w:r w:rsidR="001D0EF8" w:rsidRPr="00C168C5">
              <w:rPr>
                <w:iCs/>
                <w:szCs w:val="22"/>
                <w:lang w:val="es-ES_tradnl"/>
              </w:rPr>
              <w:t>esforzaban por crear el entorno tecnológico, normativo y empresarial para ello</w:t>
            </w:r>
            <w:r w:rsidR="00C91693" w:rsidRPr="00C168C5">
              <w:rPr>
                <w:iCs/>
                <w:szCs w:val="22"/>
                <w:lang w:val="es-ES_tradnl"/>
              </w:rPr>
              <w:t xml:space="preserve">. </w:t>
            </w:r>
            <w:r w:rsidR="001D0EF8" w:rsidRPr="00C168C5">
              <w:rPr>
                <w:iCs/>
                <w:szCs w:val="22"/>
                <w:lang w:val="es-ES_tradnl"/>
              </w:rPr>
              <w:t xml:space="preserve"> El proceso ha acelerado la demanda de más actividades de creación de capacidad mediante el proyecto del </w:t>
            </w:r>
            <w:r w:rsidR="00C91693" w:rsidRPr="00C168C5">
              <w:rPr>
                <w:iCs/>
                <w:szCs w:val="22"/>
                <w:lang w:val="es-ES_tradnl"/>
              </w:rPr>
              <w:t xml:space="preserve">CDIP </w:t>
            </w:r>
            <w:r w:rsidR="00D94715" w:rsidRPr="00C168C5">
              <w:rPr>
                <w:iCs/>
                <w:szCs w:val="22"/>
                <w:lang w:val="es-ES_tradnl"/>
              </w:rPr>
              <w:t>con miras a respaldar la industria</w:t>
            </w:r>
            <w:r w:rsidR="00C91693" w:rsidRPr="00C168C5">
              <w:rPr>
                <w:iCs/>
                <w:szCs w:val="22"/>
                <w:lang w:val="es-ES_tradnl"/>
              </w:rPr>
              <w:t xml:space="preserve"> audiovisual </w:t>
            </w:r>
            <w:r w:rsidR="00D94715" w:rsidRPr="00C168C5">
              <w:rPr>
                <w:iCs/>
                <w:szCs w:val="22"/>
                <w:lang w:val="es-ES_tradnl"/>
              </w:rPr>
              <w:t>en esta transición</w:t>
            </w:r>
            <w:r w:rsidR="00C91693" w:rsidRPr="00C168C5">
              <w:rPr>
                <w:iCs/>
                <w:szCs w:val="22"/>
                <w:lang w:val="es-ES_tradnl"/>
              </w:rPr>
              <w:t>.</w:t>
            </w:r>
          </w:p>
          <w:p w14:paraId="06CA2368" w14:textId="77777777" w:rsidR="00C91693" w:rsidRPr="00C168C5" w:rsidRDefault="00C91693" w:rsidP="00243943">
            <w:pPr>
              <w:rPr>
                <w:iCs/>
                <w:szCs w:val="22"/>
                <w:lang w:val="es-ES_tradnl"/>
              </w:rPr>
            </w:pPr>
          </w:p>
          <w:p w14:paraId="2ABACA9B" w14:textId="657A865D" w:rsidR="00D94715" w:rsidRPr="00C168C5" w:rsidRDefault="00D94715" w:rsidP="00D94715">
            <w:pPr>
              <w:rPr>
                <w:iCs/>
                <w:szCs w:val="22"/>
                <w:lang w:val="es-ES_tradnl"/>
              </w:rPr>
            </w:pPr>
            <w:r w:rsidRPr="00C168C5">
              <w:rPr>
                <w:iCs/>
                <w:szCs w:val="22"/>
                <w:lang w:val="es-ES_tradnl"/>
              </w:rPr>
              <w:t xml:space="preserve">No ha sido fácil entablar relaciones comerciales con los sectores financiero y bancario, dado que esos sectores no están familiarizados con la cinematografía y no hay un historial previo de cooperación comercial. </w:t>
            </w:r>
            <w:r w:rsidR="00DB3E4A" w:rsidRPr="00C168C5">
              <w:rPr>
                <w:iCs/>
                <w:szCs w:val="22"/>
                <w:lang w:val="es-ES_tradnl"/>
              </w:rPr>
              <w:t xml:space="preserve"> </w:t>
            </w:r>
            <w:r w:rsidRPr="00C168C5">
              <w:rPr>
                <w:iCs/>
                <w:szCs w:val="22"/>
                <w:lang w:val="es-ES_tradnl"/>
              </w:rPr>
              <w:t>Se están celebrando reuniones de coordinación y contacto con las autoridades locales con el fin de lograr que esos importantes asociados sigan participando plenamente en las actividades del proyecto.</w:t>
            </w:r>
          </w:p>
          <w:p w14:paraId="5AFB6A58" w14:textId="77777777" w:rsidR="00D94715" w:rsidRPr="00C168C5" w:rsidRDefault="00D94715" w:rsidP="00D94715">
            <w:pPr>
              <w:rPr>
                <w:iCs/>
                <w:szCs w:val="22"/>
                <w:lang w:val="es-ES_tradnl"/>
              </w:rPr>
            </w:pPr>
          </w:p>
          <w:p w14:paraId="7A2BA5D8" w14:textId="77777777" w:rsidR="00D94715" w:rsidRPr="00C168C5" w:rsidRDefault="00D94715" w:rsidP="00D94715">
            <w:pPr>
              <w:suppressAutoHyphens/>
              <w:autoSpaceDN w:val="0"/>
              <w:textAlignment w:val="baseline"/>
              <w:rPr>
                <w:iCs/>
                <w:szCs w:val="22"/>
                <w:lang w:val="es-ES_tradnl"/>
              </w:rPr>
            </w:pPr>
            <w:r w:rsidRPr="00C168C5">
              <w:rPr>
                <w:iCs/>
                <w:szCs w:val="22"/>
                <w:lang w:val="es-ES_tradnl"/>
              </w:rPr>
              <w:t xml:space="preserve">El éxito del proyecto también depende de la plena operatividad de los marcos jurídicos que amparan el derecho de autor en cada país en un entorno digital, y de la adopción de medidas eficaces que aseguren el respeto de la P.I. y contribuyan al desarrollo de canales de distribución legítimos y de un mercado audiovisual legítimo. </w:t>
            </w:r>
          </w:p>
          <w:p w14:paraId="22468C15" w14:textId="77777777" w:rsidR="00C91693" w:rsidRPr="00C168C5" w:rsidRDefault="00C91693" w:rsidP="00D94715">
            <w:pPr>
              <w:rPr>
                <w:color w:val="000000"/>
                <w:szCs w:val="22"/>
                <w:lang w:val="es-ES_tradnl"/>
              </w:rPr>
            </w:pPr>
          </w:p>
        </w:tc>
      </w:tr>
      <w:tr w:rsidR="00C91693" w:rsidRPr="00C168C5" w14:paraId="14C9A7E3" w14:textId="77777777" w:rsidTr="00243943">
        <w:trPr>
          <w:trHeight w:val="901"/>
        </w:trPr>
        <w:tc>
          <w:tcPr>
            <w:tcW w:w="2376" w:type="dxa"/>
            <w:shd w:val="clear" w:color="auto" w:fill="auto"/>
          </w:tcPr>
          <w:p w14:paraId="25A4736E" w14:textId="77777777" w:rsidR="00C91693" w:rsidRPr="00C168C5" w:rsidRDefault="00A7496B" w:rsidP="00A7496B">
            <w:pPr>
              <w:pStyle w:val="Heading3"/>
              <w:keepNext w:val="0"/>
              <w:rPr>
                <w:szCs w:val="22"/>
                <w:lang w:val="es-ES_tradnl"/>
              </w:rPr>
            </w:pPr>
            <w:r w:rsidRPr="00C168C5">
              <w:rPr>
                <w:szCs w:val="22"/>
                <w:lang w:val="es-ES_tradnl"/>
              </w:rPr>
              <w:t>Cuestiones que requieren atención inmediata</w:t>
            </w:r>
          </w:p>
          <w:p w14:paraId="7774AE12" w14:textId="67A7A652" w:rsidR="00A7496B" w:rsidRPr="00C168C5" w:rsidRDefault="00A7496B" w:rsidP="00A7496B">
            <w:pPr>
              <w:rPr>
                <w:lang w:val="es-ES_tradnl"/>
              </w:rPr>
            </w:pPr>
          </w:p>
        </w:tc>
        <w:tc>
          <w:tcPr>
            <w:tcW w:w="6912" w:type="dxa"/>
          </w:tcPr>
          <w:p w14:paraId="5246DD20" w14:textId="77777777" w:rsidR="00C91693" w:rsidRPr="00C168C5" w:rsidRDefault="00C91693" w:rsidP="00243943">
            <w:pPr>
              <w:rPr>
                <w:iCs/>
                <w:szCs w:val="22"/>
                <w:lang w:val="es-ES_tradnl"/>
              </w:rPr>
            </w:pPr>
          </w:p>
          <w:p w14:paraId="039E06BF" w14:textId="16A1699F" w:rsidR="00C91693" w:rsidRPr="00C168C5" w:rsidRDefault="00A7496B" w:rsidP="00243943">
            <w:pPr>
              <w:rPr>
                <w:iCs/>
                <w:szCs w:val="22"/>
                <w:lang w:val="es-ES_tradnl"/>
              </w:rPr>
            </w:pPr>
            <w:r w:rsidRPr="00C168C5">
              <w:rPr>
                <w:iCs/>
                <w:szCs w:val="22"/>
                <w:lang w:val="es-ES_tradnl"/>
              </w:rPr>
              <w:t>Nada que señalar</w:t>
            </w:r>
          </w:p>
          <w:p w14:paraId="60757300" w14:textId="77777777" w:rsidR="00C91693" w:rsidRPr="00C168C5" w:rsidRDefault="00C91693" w:rsidP="00243943">
            <w:pPr>
              <w:rPr>
                <w:iCs/>
                <w:szCs w:val="22"/>
                <w:lang w:val="es-ES_tradnl"/>
              </w:rPr>
            </w:pPr>
          </w:p>
        </w:tc>
      </w:tr>
      <w:tr w:rsidR="00C91693" w:rsidRPr="00C168C5" w14:paraId="765AF33F" w14:textId="77777777" w:rsidTr="00243943">
        <w:trPr>
          <w:trHeight w:val="1081"/>
        </w:trPr>
        <w:tc>
          <w:tcPr>
            <w:tcW w:w="2376" w:type="dxa"/>
            <w:shd w:val="clear" w:color="auto" w:fill="auto"/>
          </w:tcPr>
          <w:p w14:paraId="173A5DA0" w14:textId="78C3E1D0" w:rsidR="00C91693" w:rsidRPr="00C168C5" w:rsidRDefault="008D452D" w:rsidP="00243943">
            <w:pPr>
              <w:pStyle w:val="Heading3"/>
              <w:keepNext w:val="0"/>
              <w:rPr>
                <w:szCs w:val="22"/>
                <w:lang w:val="es-ES_tradnl"/>
              </w:rPr>
            </w:pPr>
            <w:r w:rsidRPr="00C168C5">
              <w:rPr>
                <w:szCs w:val="22"/>
                <w:lang w:val="es-ES_tradnl" w:eastAsia="en-US"/>
              </w:rPr>
              <w:t>Siguientes pasos</w:t>
            </w:r>
          </w:p>
        </w:tc>
        <w:tc>
          <w:tcPr>
            <w:tcW w:w="6912" w:type="dxa"/>
          </w:tcPr>
          <w:p w14:paraId="35267268" w14:textId="77777777" w:rsidR="00C91693" w:rsidRPr="00C168C5" w:rsidRDefault="00C91693" w:rsidP="00243943">
            <w:pPr>
              <w:rPr>
                <w:iCs/>
                <w:szCs w:val="22"/>
                <w:lang w:val="es-ES_tradnl"/>
              </w:rPr>
            </w:pPr>
          </w:p>
          <w:p w14:paraId="1EFFCADD" w14:textId="438A2840" w:rsidR="00C91693" w:rsidRPr="00C168C5" w:rsidRDefault="0051285C" w:rsidP="00243943">
            <w:pPr>
              <w:rPr>
                <w:iCs/>
                <w:szCs w:val="22"/>
                <w:lang w:val="es-ES_tradnl"/>
              </w:rPr>
            </w:pPr>
            <w:r w:rsidRPr="00C168C5">
              <w:rPr>
                <w:iCs/>
                <w:szCs w:val="22"/>
                <w:lang w:val="es-ES_tradnl"/>
              </w:rPr>
              <w:t xml:space="preserve">Ampliación y continuación del proyecto en </w:t>
            </w:r>
            <w:r w:rsidR="000E0145" w:rsidRPr="00C168C5">
              <w:rPr>
                <w:iCs/>
                <w:szCs w:val="22"/>
                <w:lang w:val="es-ES_tradnl"/>
              </w:rPr>
              <w:t xml:space="preserve">otros </w:t>
            </w:r>
            <w:r w:rsidRPr="00C168C5">
              <w:rPr>
                <w:iCs/>
                <w:szCs w:val="22"/>
                <w:lang w:val="es-ES_tradnl"/>
              </w:rPr>
              <w:t>tres países beneficiarios</w:t>
            </w:r>
            <w:r w:rsidR="00C91693" w:rsidRPr="00C168C5">
              <w:rPr>
                <w:iCs/>
                <w:szCs w:val="22"/>
                <w:lang w:val="es-ES_tradnl"/>
              </w:rPr>
              <w:t>:</w:t>
            </w:r>
          </w:p>
          <w:p w14:paraId="561633E9" w14:textId="77777777" w:rsidR="00C91693" w:rsidRPr="00C168C5" w:rsidRDefault="00C91693" w:rsidP="00243943">
            <w:pPr>
              <w:rPr>
                <w:iCs/>
                <w:szCs w:val="22"/>
                <w:lang w:val="es-ES_tradnl"/>
              </w:rPr>
            </w:pPr>
          </w:p>
          <w:p w14:paraId="2CD25141" w14:textId="110402EB" w:rsidR="00C91693" w:rsidRPr="00C168C5" w:rsidRDefault="00C91693" w:rsidP="00903EA9">
            <w:pPr>
              <w:numPr>
                <w:ilvl w:val="0"/>
                <w:numId w:val="8"/>
              </w:numPr>
              <w:ind w:left="0"/>
              <w:rPr>
                <w:iCs/>
                <w:szCs w:val="22"/>
                <w:lang w:val="es-ES_tradnl"/>
              </w:rPr>
            </w:pPr>
            <w:r w:rsidRPr="00C168C5">
              <w:rPr>
                <w:iCs/>
                <w:szCs w:val="22"/>
                <w:lang w:val="es-ES_tradnl"/>
              </w:rPr>
              <w:t>a)</w:t>
            </w:r>
            <w:r w:rsidRPr="00C168C5">
              <w:rPr>
                <w:iCs/>
                <w:szCs w:val="22"/>
                <w:lang w:val="es-ES_tradnl"/>
              </w:rPr>
              <w:tab/>
            </w:r>
            <w:r w:rsidR="00C325EE" w:rsidRPr="00C168C5">
              <w:rPr>
                <w:iCs/>
                <w:szCs w:val="22"/>
                <w:lang w:val="es-ES_tradnl"/>
              </w:rPr>
              <w:t>Desarrollar actividades de form</w:t>
            </w:r>
            <w:r w:rsidR="000E0145" w:rsidRPr="00C168C5">
              <w:rPr>
                <w:iCs/>
                <w:szCs w:val="22"/>
                <w:lang w:val="es-ES_tradnl"/>
              </w:rPr>
              <w:t xml:space="preserve">ación profesional destinadas a otros </w:t>
            </w:r>
            <w:r w:rsidR="00C325EE" w:rsidRPr="00C168C5">
              <w:rPr>
                <w:iCs/>
                <w:szCs w:val="22"/>
                <w:lang w:val="es-ES_tradnl"/>
              </w:rPr>
              <w:t>ámbitos de la industria cinematográfica</w:t>
            </w:r>
            <w:r w:rsidRPr="00C168C5">
              <w:rPr>
                <w:iCs/>
                <w:szCs w:val="22"/>
                <w:lang w:val="es-ES_tradnl"/>
              </w:rPr>
              <w:t>;</w:t>
            </w:r>
          </w:p>
          <w:p w14:paraId="1B83FBC3" w14:textId="77777777" w:rsidR="00C91693" w:rsidRPr="00C168C5" w:rsidRDefault="00C91693" w:rsidP="00903EA9">
            <w:pPr>
              <w:numPr>
                <w:ilvl w:val="0"/>
                <w:numId w:val="8"/>
              </w:numPr>
              <w:ind w:left="0"/>
              <w:rPr>
                <w:iCs/>
                <w:szCs w:val="22"/>
                <w:lang w:val="es-ES_tradnl"/>
              </w:rPr>
            </w:pPr>
          </w:p>
          <w:p w14:paraId="315E36D1" w14:textId="4F1E97BF" w:rsidR="00C91693" w:rsidRPr="00C168C5" w:rsidRDefault="00C91693" w:rsidP="00903EA9">
            <w:pPr>
              <w:numPr>
                <w:ilvl w:val="0"/>
                <w:numId w:val="8"/>
              </w:numPr>
              <w:ind w:left="0"/>
              <w:rPr>
                <w:szCs w:val="22"/>
                <w:lang w:val="es-ES_tradnl"/>
              </w:rPr>
            </w:pPr>
            <w:r w:rsidRPr="00C168C5">
              <w:rPr>
                <w:iCs/>
                <w:szCs w:val="22"/>
                <w:lang w:val="es-ES_tradnl"/>
              </w:rPr>
              <w:t>b)</w:t>
            </w:r>
            <w:r w:rsidRPr="00C168C5">
              <w:rPr>
                <w:iCs/>
                <w:szCs w:val="22"/>
                <w:lang w:val="es-ES_tradnl"/>
              </w:rPr>
              <w:tab/>
            </w:r>
            <w:r w:rsidR="00F010E4" w:rsidRPr="00C168C5">
              <w:rPr>
                <w:iCs/>
                <w:szCs w:val="22"/>
                <w:lang w:val="es-ES_tradnl"/>
              </w:rPr>
              <w:t xml:space="preserve">Crear </w:t>
            </w:r>
            <w:r w:rsidR="00A31197" w:rsidRPr="00C168C5">
              <w:rPr>
                <w:iCs/>
                <w:szCs w:val="22"/>
                <w:lang w:val="es-ES_tradnl"/>
              </w:rPr>
              <w:t xml:space="preserve">competencias en materia de derecho de autor y negociaciones para la concesión de licencias, poniendo en pie la infraestructura adecuada, como son los nuevos organismos de </w:t>
            </w:r>
            <w:r w:rsidR="00080878" w:rsidRPr="00C168C5">
              <w:rPr>
                <w:iCs/>
                <w:szCs w:val="22"/>
                <w:lang w:val="es-ES_tradnl"/>
              </w:rPr>
              <w:t>gestión</w:t>
            </w:r>
            <w:r w:rsidR="00A31197" w:rsidRPr="00C168C5">
              <w:rPr>
                <w:iCs/>
                <w:szCs w:val="22"/>
                <w:lang w:val="es-ES_tradnl"/>
              </w:rPr>
              <w:t xml:space="preserve"> colectiva de </w:t>
            </w:r>
            <w:r w:rsidR="00A31197" w:rsidRPr="00C168C5">
              <w:rPr>
                <w:szCs w:val="22"/>
                <w:lang w:val="es-ES_tradnl"/>
              </w:rPr>
              <w:t xml:space="preserve">Kenya; </w:t>
            </w:r>
            <w:r w:rsidR="000E0145" w:rsidRPr="00C168C5">
              <w:rPr>
                <w:szCs w:val="22"/>
                <w:lang w:val="es-ES_tradnl"/>
              </w:rPr>
              <w:t xml:space="preserve"> e</w:t>
            </w:r>
          </w:p>
          <w:p w14:paraId="0669B4A4" w14:textId="77777777" w:rsidR="00C91693" w:rsidRPr="00C168C5" w:rsidRDefault="00C91693" w:rsidP="00243943">
            <w:pPr>
              <w:rPr>
                <w:szCs w:val="22"/>
                <w:lang w:val="es-ES_tradnl"/>
              </w:rPr>
            </w:pPr>
          </w:p>
          <w:p w14:paraId="5C850699" w14:textId="4E24D8CC" w:rsidR="00C91693" w:rsidRPr="00C168C5" w:rsidRDefault="00C91693" w:rsidP="000E0145">
            <w:pPr>
              <w:numPr>
                <w:ilvl w:val="0"/>
                <w:numId w:val="8"/>
              </w:numPr>
              <w:ind w:left="0"/>
              <w:rPr>
                <w:szCs w:val="22"/>
                <w:lang w:val="es-ES_tradnl"/>
              </w:rPr>
            </w:pPr>
            <w:r w:rsidRPr="00C168C5">
              <w:rPr>
                <w:szCs w:val="22"/>
                <w:lang w:val="es-ES_tradnl"/>
              </w:rPr>
              <w:t>c)</w:t>
            </w:r>
            <w:r w:rsidRPr="00C168C5">
              <w:rPr>
                <w:szCs w:val="22"/>
                <w:lang w:val="es-ES_tradnl"/>
              </w:rPr>
              <w:tab/>
            </w:r>
            <w:r w:rsidR="00F010E4" w:rsidRPr="00C168C5">
              <w:rPr>
                <w:szCs w:val="22"/>
                <w:lang w:val="es-ES_tradnl"/>
              </w:rPr>
              <w:t xml:space="preserve">Iniciar formalmente el programa de enseñanza a distancia, </w:t>
            </w:r>
            <w:r w:rsidR="00F010E4" w:rsidRPr="00C168C5">
              <w:rPr>
                <w:szCs w:val="22"/>
                <w:lang w:val="es-ES_tradnl"/>
              </w:rPr>
              <w:lastRenderedPageBreak/>
              <w:t xml:space="preserve">que se elaborará </w:t>
            </w:r>
            <w:r w:rsidR="00080878" w:rsidRPr="00C168C5">
              <w:rPr>
                <w:szCs w:val="22"/>
                <w:lang w:val="es-ES_tradnl"/>
              </w:rPr>
              <w:t>basándose</w:t>
            </w:r>
            <w:r w:rsidR="00F010E4" w:rsidRPr="00C168C5">
              <w:rPr>
                <w:szCs w:val="22"/>
                <w:lang w:val="es-ES_tradnl"/>
              </w:rPr>
              <w:t xml:space="preserve"> en el contenido de la formación</w:t>
            </w:r>
            <w:r w:rsidRPr="00C168C5">
              <w:rPr>
                <w:iCs/>
                <w:szCs w:val="22"/>
                <w:lang w:val="es-ES_tradnl"/>
              </w:rPr>
              <w:t>.</w:t>
            </w:r>
            <w:r w:rsidRPr="00C168C5">
              <w:rPr>
                <w:szCs w:val="22"/>
                <w:lang w:val="es-ES_tradnl"/>
              </w:rPr>
              <w:t xml:space="preserve">  </w:t>
            </w:r>
            <w:r w:rsidR="00F010E4" w:rsidRPr="00C168C5">
              <w:rPr>
                <w:szCs w:val="22"/>
                <w:lang w:val="es-ES_tradnl"/>
              </w:rPr>
              <w:t xml:space="preserve">Esta enseñanza a distancia podría ampliarse </w:t>
            </w:r>
            <w:r w:rsidR="000E0145" w:rsidRPr="00C168C5">
              <w:rPr>
                <w:szCs w:val="22"/>
                <w:lang w:val="es-ES_tradnl"/>
              </w:rPr>
              <w:t>par</w:t>
            </w:r>
            <w:r w:rsidR="00F010E4" w:rsidRPr="00C168C5">
              <w:rPr>
                <w:szCs w:val="22"/>
                <w:lang w:val="es-ES_tradnl"/>
              </w:rPr>
              <w:t xml:space="preserve">a acoger un foro abierto en línea </w:t>
            </w:r>
            <w:r w:rsidR="000E0145" w:rsidRPr="00C168C5">
              <w:rPr>
                <w:szCs w:val="22"/>
                <w:lang w:val="es-ES_tradnl"/>
              </w:rPr>
              <w:t>en</w:t>
            </w:r>
            <w:r w:rsidR="00F010E4" w:rsidRPr="00C168C5">
              <w:rPr>
                <w:szCs w:val="22"/>
                <w:lang w:val="es-ES_tradnl"/>
              </w:rPr>
              <w:t xml:space="preserve"> que los profesionales del sector </w:t>
            </w:r>
            <w:r w:rsidRPr="00C168C5">
              <w:rPr>
                <w:szCs w:val="22"/>
                <w:lang w:val="es-ES_tradnl"/>
              </w:rPr>
              <w:t xml:space="preserve">audiovisual </w:t>
            </w:r>
            <w:r w:rsidR="00F010E4" w:rsidRPr="00C168C5">
              <w:rPr>
                <w:szCs w:val="22"/>
                <w:lang w:val="es-ES_tradnl"/>
              </w:rPr>
              <w:t>tengan ocasión de hacer preguntas sobre asuntos de derecho de autor que puedan responder expertos</w:t>
            </w:r>
            <w:r w:rsidRPr="00C168C5">
              <w:rPr>
                <w:szCs w:val="22"/>
                <w:lang w:val="es-ES_tradnl"/>
              </w:rPr>
              <w:t xml:space="preserve">. </w:t>
            </w:r>
          </w:p>
        </w:tc>
      </w:tr>
      <w:tr w:rsidR="00C91693" w:rsidRPr="00C168C5" w14:paraId="487FD2AF" w14:textId="77777777" w:rsidTr="00243943">
        <w:trPr>
          <w:trHeight w:val="976"/>
        </w:trPr>
        <w:tc>
          <w:tcPr>
            <w:tcW w:w="2376" w:type="dxa"/>
            <w:shd w:val="clear" w:color="auto" w:fill="auto"/>
          </w:tcPr>
          <w:p w14:paraId="2409FBEB" w14:textId="11DFB893" w:rsidR="00C91693" w:rsidRPr="00C168C5" w:rsidRDefault="00C50B9E" w:rsidP="00C50B9E">
            <w:pPr>
              <w:pStyle w:val="Heading3"/>
              <w:rPr>
                <w:lang w:val="es-ES_tradnl"/>
              </w:rPr>
            </w:pPr>
            <w:r w:rsidRPr="00C168C5">
              <w:rPr>
                <w:szCs w:val="22"/>
                <w:lang w:val="es-ES_tradnl"/>
              </w:rPr>
              <w:lastRenderedPageBreak/>
              <w:t>Calendario de ejecución</w:t>
            </w:r>
          </w:p>
        </w:tc>
        <w:tc>
          <w:tcPr>
            <w:tcW w:w="6912" w:type="dxa"/>
          </w:tcPr>
          <w:p w14:paraId="2E1230B4" w14:textId="77777777" w:rsidR="00C91693" w:rsidRPr="00C168C5" w:rsidRDefault="00C91693" w:rsidP="00243943">
            <w:pPr>
              <w:rPr>
                <w:iCs/>
                <w:szCs w:val="22"/>
                <w:lang w:val="es-ES_tradnl"/>
              </w:rPr>
            </w:pPr>
          </w:p>
          <w:p w14:paraId="0AE32410" w14:textId="6084A3EE" w:rsidR="00C91693" w:rsidRPr="00C168C5" w:rsidRDefault="008847BC" w:rsidP="00243943">
            <w:pPr>
              <w:rPr>
                <w:iCs/>
                <w:szCs w:val="22"/>
                <w:lang w:val="es-ES_tradnl"/>
              </w:rPr>
            </w:pPr>
            <w:r w:rsidRPr="00C168C5">
              <w:rPr>
                <w:iCs/>
                <w:szCs w:val="22"/>
                <w:lang w:val="es-ES_tradnl"/>
              </w:rPr>
              <w:t xml:space="preserve">La ejecución </w:t>
            </w:r>
            <w:r w:rsidR="00584C8F" w:rsidRPr="00C168C5">
              <w:rPr>
                <w:iCs/>
                <w:szCs w:val="22"/>
                <w:lang w:val="es-ES_tradnl"/>
              </w:rPr>
              <w:t xml:space="preserve">del proyecto </w:t>
            </w:r>
            <w:r w:rsidRPr="00C168C5">
              <w:rPr>
                <w:iCs/>
                <w:szCs w:val="22"/>
                <w:lang w:val="es-ES_tradnl"/>
              </w:rPr>
              <w:t xml:space="preserve">está finalizando con arreglo al nuevo calendario aprobado en el </w:t>
            </w:r>
            <w:r w:rsidR="00C91693" w:rsidRPr="00C168C5">
              <w:rPr>
                <w:iCs/>
                <w:szCs w:val="22"/>
                <w:lang w:val="es-ES_tradnl"/>
              </w:rPr>
              <w:t xml:space="preserve">CDIP/15. </w:t>
            </w:r>
          </w:p>
          <w:p w14:paraId="46EB35E8" w14:textId="77777777" w:rsidR="00C91693" w:rsidRPr="00C168C5" w:rsidRDefault="00C91693" w:rsidP="00243943">
            <w:pPr>
              <w:rPr>
                <w:iCs/>
                <w:szCs w:val="22"/>
                <w:lang w:val="es-ES_tradnl"/>
              </w:rPr>
            </w:pPr>
          </w:p>
        </w:tc>
      </w:tr>
      <w:tr w:rsidR="00C91693" w:rsidRPr="00C168C5" w14:paraId="753F68A1" w14:textId="77777777" w:rsidTr="00243943">
        <w:trPr>
          <w:trHeight w:val="949"/>
        </w:trPr>
        <w:tc>
          <w:tcPr>
            <w:tcW w:w="2376" w:type="dxa"/>
            <w:shd w:val="clear" w:color="auto" w:fill="auto"/>
          </w:tcPr>
          <w:p w14:paraId="3B6CF55D" w14:textId="40F40BFA" w:rsidR="008847BC" w:rsidRPr="00C168C5" w:rsidRDefault="008847BC" w:rsidP="008847BC">
            <w:pPr>
              <w:keepNext/>
              <w:spacing w:before="240" w:after="60"/>
              <w:outlineLvl w:val="2"/>
              <w:rPr>
                <w:bCs/>
                <w:szCs w:val="22"/>
                <w:u w:val="single"/>
                <w:lang w:val="es-ES_tradnl" w:eastAsia="en-US"/>
              </w:rPr>
            </w:pPr>
            <w:r w:rsidRPr="00C168C5">
              <w:rPr>
                <w:bCs/>
                <w:szCs w:val="22"/>
                <w:u w:val="single"/>
                <w:lang w:val="es-ES_tradnl" w:eastAsia="en-US"/>
              </w:rPr>
              <w:t xml:space="preserve">Porcentaje de ejecución del proyecto </w:t>
            </w:r>
          </w:p>
        </w:tc>
        <w:tc>
          <w:tcPr>
            <w:tcW w:w="6912" w:type="dxa"/>
          </w:tcPr>
          <w:p w14:paraId="5E0DCD8B" w14:textId="77777777" w:rsidR="00C91693" w:rsidRPr="00C168C5" w:rsidRDefault="00C91693" w:rsidP="00243943">
            <w:pPr>
              <w:rPr>
                <w:lang w:val="es-ES_tradnl"/>
              </w:rPr>
            </w:pPr>
          </w:p>
          <w:p w14:paraId="775AE63B" w14:textId="6DBD2D50" w:rsidR="00C91693" w:rsidRPr="00C168C5" w:rsidRDefault="005D7779" w:rsidP="005D7779">
            <w:pPr>
              <w:rPr>
                <w:iCs/>
                <w:szCs w:val="22"/>
                <w:lang w:val="es-ES_tradnl"/>
              </w:rPr>
            </w:pPr>
            <w:r w:rsidRPr="00C168C5">
              <w:rPr>
                <w:szCs w:val="22"/>
                <w:lang w:val="es-ES_tradnl"/>
              </w:rPr>
              <w:t>Porcentaje de utilización del presupuesto a finales de julio de 2015:  70%</w:t>
            </w:r>
          </w:p>
        </w:tc>
      </w:tr>
      <w:tr w:rsidR="00C91693" w:rsidRPr="00C168C5" w14:paraId="49681C7A" w14:textId="77777777" w:rsidTr="00243943">
        <w:trPr>
          <w:trHeight w:val="848"/>
        </w:trPr>
        <w:tc>
          <w:tcPr>
            <w:tcW w:w="2376" w:type="dxa"/>
            <w:shd w:val="clear" w:color="auto" w:fill="auto"/>
          </w:tcPr>
          <w:p w14:paraId="1C9DEACB" w14:textId="0C6EE211" w:rsidR="00C91693" w:rsidRPr="00C168C5" w:rsidRDefault="00B96DD1" w:rsidP="00243943">
            <w:pPr>
              <w:pStyle w:val="Heading3"/>
              <w:rPr>
                <w:szCs w:val="22"/>
                <w:lang w:val="es-ES_tradnl"/>
              </w:rPr>
            </w:pPr>
            <w:r w:rsidRPr="00C168C5">
              <w:rPr>
                <w:szCs w:val="22"/>
                <w:lang w:val="es-ES_tradnl" w:eastAsia="en-US"/>
              </w:rPr>
              <w:t>Informes previos</w:t>
            </w:r>
          </w:p>
        </w:tc>
        <w:tc>
          <w:tcPr>
            <w:tcW w:w="6912" w:type="dxa"/>
          </w:tcPr>
          <w:p w14:paraId="71451C6C" w14:textId="77777777" w:rsidR="00C91693" w:rsidRPr="00C168C5" w:rsidRDefault="00C91693" w:rsidP="00243943">
            <w:pPr>
              <w:pStyle w:val="Default"/>
              <w:rPr>
                <w:sz w:val="22"/>
                <w:szCs w:val="22"/>
                <w:lang w:val="es-ES_tradnl"/>
              </w:rPr>
            </w:pPr>
          </w:p>
          <w:p w14:paraId="036061A9" w14:textId="4557BF42" w:rsidR="00C91693" w:rsidRPr="00C168C5" w:rsidRDefault="00B96DD1" w:rsidP="00243943">
            <w:pPr>
              <w:pStyle w:val="Default"/>
              <w:rPr>
                <w:sz w:val="22"/>
                <w:szCs w:val="22"/>
                <w:lang w:val="es-ES_tradnl"/>
              </w:rPr>
            </w:pPr>
            <w:r w:rsidRPr="00C168C5">
              <w:rPr>
                <w:iCs/>
                <w:sz w:val="22"/>
                <w:szCs w:val="22"/>
                <w:lang w:val="es-ES_tradnl"/>
              </w:rPr>
              <w:t xml:space="preserve">El primer informe sobre la marcha del proyecto, contenido en el documento CDIP/12/2, Anexo XII, fue presentado en la </w:t>
            </w:r>
            <w:r w:rsidR="00525DD7">
              <w:rPr>
                <w:iCs/>
                <w:sz w:val="22"/>
                <w:szCs w:val="22"/>
                <w:lang w:val="es-ES_tradnl"/>
              </w:rPr>
              <w:t>decimo</w:t>
            </w:r>
            <w:r w:rsidR="00DB45C6" w:rsidRPr="00C168C5">
              <w:rPr>
                <w:iCs/>
                <w:sz w:val="22"/>
                <w:szCs w:val="22"/>
                <w:lang w:val="es-ES_tradnl"/>
              </w:rPr>
              <w:t xml:space="preserve">segunda </w:t>
            </w:r>
            <w:r w:rsidRPr="00C168C5">
              <w:rPr>
                <w:iCs/>
                <w:sz w:val="22"/>
                <w:szCs w:val="22"/>
                <w:lang w:val="es-ES_tradnl"/>
              </w:rPr>
              <w:t>sesión del CDIP</w:t>
            </w:r>
            <w:r w:rsidR="00DB45C6" w:rsidRPr="00C168C5">
              <w:rPr>
                <w:sz w:val="22"/>
                <w:szCs w:val="22"/>
                <w:lang w:val="es-ES_tradnl"/>
              </w:rPr>
              <w:t>, celebrada en noviembre de 2013</w:t>
            </w:r>
            <w:r w:rsidR="00C91693" w:rsidRPr="00C168C5">
              <w:rPr>
                <w:sz w:val="22"/>
                <w:szCs w:val="22"/>
                <w:lang w:val="es-ES_tradnl"/>
              </w:rPr>
              <w:t xml:space="preserve">.  </w:t>
            </w:r>
            <w:r w:rsidR="00DB45C6" w:rsidRPr="00C168C5">
              <w:rPr>
                <w:sz w:val="22"/>
                <w:szCs w:val="22"/>
                <w:lang w:val="es-ES_tradnl"/>
              </w:rPr>
              <w:t>El segundo informe sobre la marcha del proyecto</w:t>
            </w:r>
            <w:r w:rsidR="00C91693" w:rsidRPr="00C168C5">
              <w:rPr>
                <w:sz w:val="22"/>
                <w:szCs w:val="22"/>
                <w:lang w:val="es-ES_tradnl"/>
              </w:rPr>
              <w:t>,</w:t>
            </w:r>
            <w:r w:rsidR="00DB45C6" w:rsidRPr="00C168C5">
              <w:rPr>
                <w:sz w:val="22"/>
                <w:szCs w:val="22"/>
                <w:lang w:val="es-ES_tradnl"/>
              </w:rPr>
              <w:t xml:space="preserve"> que figura en el documento CDIP/14/2, A</w:t>
            </w:r>
            <w:r w:rsidR="00C91693" w:rsidRPr="00C168C5">
              <w:rPr>
                <w:sz w:val="22"/>
                <w:szCs w:val="22"/>
                <w:lang w:val="es-ES_tradnl"/>
              </w:rPr>
              <w:t>nex</w:t>
            </w:r>
            <w:r w:rsidR="00DB45C6" w:rsidRPr="00C168C5">
              <w:rPr>
                <w:sz w:val="22"/>
                <w:szCs w:val="22"/>
                <w:lang w:val="es-ES_tradnl"/>
              </w:rPr>
              <w:t>o</w:t>
            </w:r>
            <w:r w:rsidR="00C91693" w:rsidRPr="00C168C5">
              <w:rPr>
                <w:sz w:val="22"/>
                <w:szCs w:val="22"/>
                <w:lang w:val="es-ES_tradnl"/>
              </w:rPr>
              <w:t xml:space="preserve"> IV, </w:t>
            </w:r>
            <w:r w:rsidR="00DB45C6" w:rsidRPr="00C168C5">
              <w:rPr>
                <w:sz w:val="22"/>
                <w:szCs w:val="22"/>
                <w:lang w:val="es-ES_tradnl"/>
              </w:rPr>
              <w:t xml:space="preserve">se presentó al </w:t>
            </w:r>
            <w:r w:rsidR="00C91693" w:rsidRPr="00C168C5">
              <w:rPr>
                <w:sz w:val="22"/>
                <w:szCs w:val="22"/>
                <w:lang w:val="es-ES_tradnl"/>
              </w:rPr>
              <w:t xml:space="preserve">CDIP </w:t>
            </w:r>
            <w:r w:rsidR="00073DFF">
              <w:rPr>
                <w:sz w:val="22"/>
                <w:szCs w:val="22"/>
                <w:lang w:val="es-ES_tradnl"/>
              </w:rPr>
              <w:t>en su decimo</w:t>
            </w:r>
            <w:r w:rsidR="00080878" w:rsidRPr="00C168C5">
              <w:rPr>
                <w:sz w:val="22"/>
                <w:szCs w:val="22"/>
                <w:lang w:val="es-ES_tradnl"/>
              </w:rPr>
              <w:t>cuarta</w:t>
            </w:r>
            <w:r w:rsidR="00DB45C6" w:rsidRPr="00C168C5">
              <w:rPr>
                <w:sz w:val="22"/>
                <w:szCs w:val="22"/>
                <w:lang w:val="es-ES_tradnl"/>
              </w:rPr>
              <w:t xml:space="preserve"> sesión de noviembre de </w:t>
            </w:r>
            <w:r w:rsidR="00C91693" w:rsidRPr="00C168C5">
              <w:rPr>
                <w:iCs/>
                <w:sz w:val="22"/>
                <w:szCs w:val="22"/>
                <w:lang w:val="es-ES_tradnl"/>
              </w:rPr>
              <w:t>2014.</w:t>
            </w:r>
          </w:p>
          <w:p w14:paraId="238F3EC7" w14:textId="77777777" w:rsidR="00C91693" w:rsidRPr="00C168C5" w:rsidRDefault="00C91693" w:rsidP="00243943">
            <w:pPr>
              <w:rPr>
                <w:iCs/>
                <w:szCs w:val="22"/>
                <w:lang w:val="es-ES_tradnl"/>
              </w:rPr>
            </w:pPr>
          </w:p>
        </w:tc>
      </w:tr>
    </w:tbl>
    <w:p w14:paraId="3A195966" w14:textId="77777777" w:rsidR="00C91693" w:rsidRPr="00C168C5" w:rsidRDefault="00C91693" w:rsidP="00C91693">
      <w:pPr>
        <w:rPr>
          <w:szCs w:val="22"/>
          <w:lang w:val="es-ES_tradnl"/>
        </w:rPr>
      </w:pPr>
    </w:p>
    <w:p w14:paraId="7987792A" w14:textId="77777777" w:rsidR="00C91693" w:rsidRPr="00C168C5" w:rsidRDefault="00C91693" w:rsidP="00C91693">
      <w:pPr>
        <w:rPr>
          <w:szCs w:val="22"/>
          <w:lang w:val="es-ES_tradnl"/>
        </w:rPr>
      </w:pPr>
      <w:r w:rsidRPr="00C168C5">
        <w:rPr>
          <w:szCs w:val="22"/>
          <w:lang w:val="es-ES_tradnl"/>
        </w:rPr>
        <w:br w:type="page"/>
      </w:r>
    </w:p>
    <w:tbl>
      <w:tblPr>
        <w:tblW w:w="0" w:type="auto"/>
        <w:tblLook w:val="01E0" w:firstRow="1" w:lastRow="1" w:firstColumn="1" w:lastColumn="1" w:noHBand="0" w:noVBand="0"/>
      </w:tblPr>
      <w:tblGrid>
        <w:gridCol w:w="9287"/>
      </w:tblGrid>
      <w:tr w:rsidR="00C91693" w:rsidRPr="00C168C5" w14:paraId="043DC8E5" w14:textId="77777777" w:rsidTr="00243943">
        <w:trPr>
          <w:trHeight w:val="494"/>
        </w:trPr>
        <w:tc>
          <w:tcPr>
            <w:tcW w:w="9287" w:type="dxa"/>
            <w:vAlign w:val="center"/>
          </w:tcPr>
          <w:p w14:paraId="5D403BAA" w14:textId="03654B25" w:rsidR="00C91693" w:rsidRPr="00C168C5" w:rsidRDefault="00C91693" w:rsidP="007322A0">
            <w:pPr>
              <w:rPr>
                <w:szCs w:val="22"/>
                <w:lang w:val="es-ES_tradnl"/>
              </w:rPr>
            </w:pPr>
            <w:r w:rsidRPr="00C168C5">
              <w:rPr>
                <w:szCs w:val="22"/>
                <w:lang w:val="es-ES_tradnl"/>
              </w:rPr>
              <w:lastRenderedPageBreak/>
              <w:br w:type="page"/>
            </w:r>
            <w:r w:rsidR="007322A0" w:rsidRPr="00C168C5">
              <w:rPr>
                <w:rFonts w:eastAsia="Times New Roman"/>
                <w:szCs w:val="22"/>
                <w:lang w:val="es-ES_tradnl" w:eastAsia="en-US"/>
              </w:rPr>
              <w:t>EVALUACIÓN INTERNA DEL PROYECTO</w:t>
            </w:r>
          </w:p>
        </w:tc>
      </w:tr>
    </w:tbl>
    <w:p w14:paraId="5150AE64" w14:textId="77777777" w:rsidR="00C91693" w:rsidRPr="00C168C5" w:rsidRDefault="00C91693" w:rsidP="00C91693">
      <w:pPr>
        <w:rPr>
          <w:szCs w:val="22"/>
          <w:lang w:val="es-ES_tradnl"/>
        </w:rPr>
      </w:pPr>
    </w:p>
    <w:p w14:paraId="65E0A393" w14:textId="77777777" w:rsidR="00FF0B4D" w:rsidRPr="00C168C5" w:rsidRDefault="00FF0B4D" w:rsidP="00FF0B4D">
      <w:pPr>
        <w:rPr>
          <w:szCs w:val="22"/>
          <w:lang w:val="es-ES_tradnl"/>
        </w:rPr>
      </w:pPr>
      <w:r w:rsidRPr="00C168C5">
        <w:rPr>
          <w:szCs w:val="22"/>
          <w:lang w:val="es-ES_tradnl"/>
        </w:rPr>
        <w:t>Clave de los colores</w:t>
      </w:r>
    </w:p>
    <w:p w14:paraId="508EE19F" w14:textId="77777777" w:rsidR="00C91693" w:rsidRPr="00C168C5" w:rsidRDefault="00C91693" w:rsidP="00C91693">
      <w:pPr>
        <w:rPr>
          <w:szCs w:val="22"/>
          <w:lang w:val="es-ES_tradnl"/>
        </w:rPr>
      </w:pPr>
    </w:p>
    <w:tbl>
      <w:tblPr>
        <w:tblW w:w="9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93"/>
      </w:tblGrid>
      <w:tr w:rsidR="00C91693" w:rsidRPr="00C168C5" w14:paraId="10434952" w14:textId="77777777" w:rsidTr="00243943">
        <w:trPr>
          <w:trHeight w:val="469"/>
        </w:trPr>
        <w:tc>
          <w:tcPr>
            <w:tcW w:w="1416" w:type="dxa"/>
            <w:shd w:val="clear" w:color="auto" w:fill="auto"/>
            <w:vAlign w:val="center"/>
          </w:tcPr>
          <w:p w14:paraId="1472679B" w14:textId="77777777" w:rsidR="00C91693" w:rsidRPr="00C168C5" w:rsidRDefault="00C91693" w:rsidP="00243943">
            <w:pPr>
              <w:rPr>
                <w:szCs w:val="22"/>
                <w:lang w:val="es-ES_tradnl"/>
              </w:rPr>
            </w:pPr>
            <w:r w:rsidRPr="00C168C5">
              <w:rPr>
                <w:szCs w:val="22"/>
                <w:lang w:val="es-ES_tradnl"/>
              </w:rPr>
              <w:t>****</w:t>
            </w:r>
          </w:p>
        </w:tc>
        <w:tc>
          <w:tcPr>
            <w:tcW w:w="1677" w:type="dxa"/>
            <w:shd w:val="clear" w:color="auto" w:fill="auto"/>
            <w:vAlign w:val="center"/>
          </w:tcPr>
          <w:p w14:paraId="03FD6CCB" w14:textId="77777777" w:rsidR="00C91693" w:rsidRPr="00C168C5" w:rsidRDefault="00C91693" w:rsidP="00243943">
            <w:pPr>
              <w:rPr>
                <w:szCs w:val="22"/>
                <w:lang w:val="es-ES_tradnl"/>
              </w:rPr>
            </w:pPr>
            <w:r w:rsidRPr="00C168C5">
              <w:rPr>
                <w:szCs w:val="22"/>
                <w:lang w:val="es-ES_tradnl"/>
              </w:rPr>
              <w:t>***</w:t>
            </w:r>
          </w:p>
        </w:tc>
        <w:tc>
          <w:tcPr>
            <w:tcW w:w="1797" w:type="dxa"/>
            <w:shd w:val="clear" w:color="auto" w:fill="auto"/>
            <w:vAlign w:val="center"/>
          </w:tcPr>
          <w:p w14:paraId="2C43662A" w14:textId="77777777" w:rsidR="00C91693" w:rsidRPr="00C168C5" w:rsidRDefault="00C91693" w:rsidP="00243943">
            <w:pPr>
              <w:rPr>
                <w:szCs w:val="22"/>
                <w:lang w:val="es-ES_tradnl"/>
              </w:rPr>
            </w:pPr>
            <w:r w:rsidRPr="00C168C5">
              <w:rPr>
                <w:szCs w:val="22"/>
                <w:lang w:val="es-ES_tradnl"/>
              </w:rPr>
              <w:t>**</w:t>
            </w:r>
          </w:p>
        </w:tc>
        <w:tc>
          <w:tcPr>
            <w:tcW w:w="1895" w:type="dxa"/>
            <w:shd w:val="clear" w:color="auto" w:fill="auto"/>
            <w:vAlign w:val="center"/>
          </w:tcPr>
          <w:p w14:paraId="30B31880" w14:textId="208B8A32" w:rsidR="00C91693" w:rsidRPr="00C168C5" w:rsidRDefault="001147BD" w:rsidP="00243943">
            <w:pPr>
              <w:rPr>
                <w:szCs w:val="22"/>
                <w:lang w:val="es-ES_tradnl"/>
              </w:rPr>
            </w:pPr>
            <w:r w:rsidRPr="00C168C5">
              <w:rPr>
                <w:szCs w:val="22"/>
                <w:lang w:val="es-ES_tradnl"/>
              </w:rPr>
              <w:t>NA</w:t>
            </w:r>
          </w:p>
        </w:tc>
        <w:tc>
          <w:tcPr>
            <w:tcW w:w="2593" w:type="dxa"/>
            <w:shd w:val="clear" w:color="auto" w:fill="auto"/>
            <w:vAlign w:val="center"/>
          </w:tcPr>
          <w:p w14:paraId="61BFA5AA" w14:textId="2E52DAD3" w:rsidR="00C91693" w:rsidRPr="00C168C5" w:rsidRDefault="00992489" w:rsidP="00243943">
            <w:pPr>
              <w:rPr>
                <w:szCs w:val="22"/>
                <w:lang w:val="es-ES_tradnl"/>
              </w:rPr>
            </w:pPr>
            <w:r w:rsidRPr="00C168C5">
              <w:rPr>
                <w:szCs w:val="22"/>
                <w:lang w:val="es-ES_tradnl"/>
              </w:rPr>
              <w:t>SE/AI</w:t>
            </w:r>
          </w:p>
        </w:tc>
      </w:tr>
      <w:tr w:rsidR="00C91693" w:rsidRPr="00C168C5" w14:paraId="5CF7DD6B" w14:textId="77777777" w:rsidTr="00243943">
        <w:tc>
          <w:tcPr>
            <w:tcW w:w="1416" w:type="dxa"/>
            <w:shd w:val="clear" w:color="auto" w:fill="auto"/>
          </w:tcPr>
          <w:p w14:paraId="00608B1C" w14:textId="754F6376" w:rsidR="00C91693" w:rsidRPr="00C168C5" w:rsidRDefault="001147BD" w:rsidP="00243943">
            <w:pPr>
              <w:rPr>
                <w:szCs w:val="22"/>
                <w:lang w:val="es-ES_tradnl"/>
              </w:rPr>
            </w:pPr>
            <w:r w:rsidRPr="00C168C5">
              <w:rPr>
                <w:szCs w:val="22"/>
                <w:lang w:val="es-ES_tradnl"/>
              </w:rPr>
              <w:t>Plenamente logrado</w:t>
            </w:r>
          </w:p>
        </w:tc>
        <w:tc>
          <w:tcPr>
            <w:tcW w:w="1677" w:type="dxa"/>
            <w:shd w:val="clear" w:color="auto" w:fill="auto"/>
          </w:tcPr>
          <w:p w14:paraId="12C56D1E" w14:textId="6A43AE4F" w:rsidR="00C91693" w:rsidRPr="00C168C5" w:rsidRDefault="001147BD" w:rsidP="00243943">
            <w:pPr>
              <w:rPr>
                <w:szCs w:val="22"/>
                <w:lang w:val="es-ES_tradnl"/>
              </w:rPr>
            </w:pPr>
            <w:r w:rsidRPr="00C168C5">
              <w:rPr>
                <w:szCs w:val="22"/>
                <w:lang w:val="es-ES_tradnl"/>
              </w:rPr>
              <w:t>Avance notable</w:t>
            </w:r>
          </w:p>
        </w:tc>
        <w:tc>
          <w:tcPr>
            <w:tcW w:w="1797" w:type="dxa"/>
            <w:shd w:val="clear" w:color="auto" w:fill="auto"/>
          </w:tcPr>
          <w:p w14:paraId="3AF7D75D" w14:textId="3C43F8F1" w:rsidR="00C91693" w:rsidRPr="00C168C5" w:rsidRDefault="001147BD" w:rsidP="00243943">
            <w:pPr>
              <w:rPr>
                <w:szCs w:val="22"/>
                <w:lang w:val="es-ES_tradnl"/>
              </w:rPr>
            </w:pPr>
            <w:r w:rsidRPr="00C168C5">
              <w:rPr>
                <w:szCs w:val="22"/>
                <w:lang w:val="es-ES_tradnl"/>
              </w:rPr>
              <w:t>Avance</w:t>
            </w:r>
          </w:p>
        </w:tc>
        <w:tc>
          <w:tcPr>
            <w:tcW w:w="1895" w:type="dxa"/>
            <w:shd w:val="clear" w:color="auto" w:fill="auto"/>
          </w:tcPr>
          <w:p w14:paraId="510DED39" w14:textId="598FA210" w:rsidR="00C91693" w:rsidRPr="00C168C5" w:rsidRDefault="001147BD" w:rsidP="00243943">
            <w:pPr>
              <w:rPr>
                <w:szCs w:val="22"/>
                <w:lang w:val="es-ES_tradnl"/>
              </w:rPr>
            </w:pPr>
            <w:r w:rsidRPr="00C168C5">
              <w:rPr>
                <w:szCs w:val="22"/>
                <w:lang w:val="es-ES_tradnl"/>
              </w:rPr>
              <w:t>Ningún avance</w:t>
            </w:r>
          </w:p>
        </w:tc>
        <w:tc>
          <w:tcPr>
            <w:tcW w:w="2593" w:type="dxa"/>
            <w:shd w:val="clear" w:color="auto" w:fill="auto"/>
          </w:tcPr>
          <w:p w14:paraId="1E5278FA" w14:textId="567DAEFC" w:rsidR="00C91693" w:rsidRPr="00C168C5" w:rsidRDefault="001147BD" w:rsidP="00243943">
            <w:pPr>
              <w:rPr>
                <w:szCs w:val="22"/>
                <w:lang w:val="es-ES_tradnl"/>
              </w:rPr>
            </w:pPr>
            <w:r w:rsidRPr="00C168C5">
              <w:rPr>
                <w:szCs w:val="22"/>
                <w:lang w:val="es-ES_tradnl"/>
              </w:rPr>
              <w:t xml:space="preserve">Sin evaluar /actividad </w:t>
            </w:r>
            <w:r w:rsidR="00992489" w:rsidRPr="00C168C5">
              <w:rPr>
                <w:szCs w:val="22"/>
                <w:lang w:val="es-ES_tradnl"/>
              </w:rPr>
              <w:t>interrumpida</w:t>
            </w:r>
          </w:p>
        </w:tc>
      </w:tr>
    </w:tbl>
    <w:p w14:paraId="2BF64078" w14:textId="77777777" w:rsidR="00C91693" w:rsidRPr="00C168C5" w:rsidRDefault="00C91693" w:rsidP="00C91693">
      <w:pPr>
        <w:rPr>
          <w:szCs w:val="22"/>
          <w:lang w:val="es-ES_tradnl"/>
        </w:rPr>
      </w:pPr>
    </w:p>
    <w:p w14:paraId="2113F2F8" w14:textId="77777777" w:rsidR="00C91693" w:rsidRPr="00C168C5" w:rsidRDefault="00C91693" w:rsidP="00C91693">
      <w:pPr>
        <w:rPr>
          <w:szCs w:val="22"/>
          <w:lang w:val="es-ES_tradnl"/>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694"/>
        <w:gridCol w:w="3260"/>
        <w:gridCol w:w="1048"/>
      </w:tblGrid>
      <w:tr w:rsidR="00C91693" w:rsidRPr="00C168C5" w14:paraId="46BCEE35" w14:textId="77777777" w:rsidTr="00644423">
        <w:trPr>
          <w:trHeight w:val="1125"/>
        </w:trPr>
        <w:tc>
          <w:tcPr>
            <w:tcW w:w="2358" w:type="dxa"/>
            <w:shd w:val="clear" w:color="auto" w:fill="auto"/>
            <w:vAlign w:val="center"/>
          </w:tcPr>
          <w:p w14:paraId="24B70E53" w14:textId="36CA1414" w:rsidR="00C91693" w:rsidRPr="00C168C5" w:rsidRDefault="00137D5A" w:rsidP="00137D5A">
            <w:pPr>
              <w:pStyle w:val="Default"/>
              <w:rPr>
                <w:bCs/>
                <w:sz w:val="22"/>
                <w:szCs w:val="22"/>
                <w:lang w:val="es-ES_tradnl"/>
              </w:rPr>
            </w:pPr>
            <w:r w:rsidRPr="00C168C5">
              <w:rPr>
                <w:sz w:val="22"/>
                <w:szCs w:val="22"/>
                <w:u w:val="single"/>
                <w:lang w:val="es-ES_tradnl"/>
              </w:rPr>
              <w:t>Productos del proyecto</w:t>
            </w:r>
            <w:r w:rsidRPr="00C168C5">
              <w:rPr>
                <w:sz w:val="22"/>
                <w:szCs w:val="22"/>
                <w:lang w:val="es-ES_tradnl"/>
              </w:rPr>
              <w:t xml:space="preserve"> (Resultado previsto)</w:t>
            </w:r>
          </w:p>
        </w:tc>
        <w:tc>
          <w:tcPr>
            <w:tcW w:w="2694" w:type="dxa"/>
            <w:shd w:val="clear" w:color="auto" w:fill="auto"/>
            <w:vAlign w:val="center"/>
          </w:tcPr>
          <w:p w14:paraId="359B8FBC" w14:textId="6B62590A" w:rsidR="00DB3F32" w:rsidRPr="00C168C5" w:rsidRDefault="00DB3F32" w:rsidP="00DB3F32">
            <w:pPr>
              <w:rPr>
                <w:szCs w:val="22"/>
                <w:u w:val="single"/>
                <w:lang w:val="es-ES_tradnl"/>
              </w:rPr>
            </w:pPr>
            <w:r w:rsidRPr="00C168C5">
              <w:rPr>
                <w:szCs w:val="22"/>
                <w:u w:val="single"/>
                <w:lang w:val="es-ES_tradnl"/>
              </w:rPr>
              <w:t>Indicadores de obtención de resultados</w:t>
            </w:r>
          </w:p>
          <w:p w14:paraId="36FEC387" w14:textId="669FE549" w:rsidR="000C1759" w:rsidRPr="00C168C5" w:rsidRDefault="000C1759" w:rsidP="00DB3F32">
            <w:pPr>
              <w:rPr>
                <w:szCs w:val="22"/>
                <w:lang w:val="es-ES_tradnl"/>
              </w:rPr>
            </w:pPr>
            <w:r w:rsidRPr="00C168C5">
              <w:rPr>
                <w:szCs w:val="22"/>
                <w:lang w:val="es-ES_tradnl"/>
              </w:rPr>
              <w:t>(Indicadores de producto)</w:t>
            </w:r>
          </w:p>
          <w:p w14:paraId="656317CD" w14:textId="77777777" w:rsidR="00C91693" w:rsidRPr="00C168C5" w:rsidRDefault="00C91693" w:rsidP="00DB3F32">
            <w:pPr>
              <w:pStyle w:val="Default"/>
              <w:rPr>
                <w:sz w:val="22"/>
                <w:szCs w:val="22"/>
                <w:lang w:val="es-ES_tradnl"/>
              </w:rPr>
            </w:pPr>
          </w:p>
        </w:tc>
        <w:tc>
          <w:tcPr>
            <w:tcW w:w="3260" w:type="dxa"/>
            <w:shd w:val="clear" w:color="auto" w:fill="auto"/>
            <w:vAlign w:val="center"/>
          </w:tcPr>
          <w:p w14:paraId="25950909" w14:textId="311AD2C3" w:rsidR="00C91693" w:rsidRPr="00C168C5" w:rsidRDefault="00DB3F32" w:rsidP="00243943">
            <w:pPr>
              <w:pStyle w:val="Default"/>
              <w:rPr>
                <w:sz w:val="22"/>
                <w:szCs w:val="22"/>
                <w:u w:val="single"/>
                <w:lang w:val="es-ES_tradnl"/>
              </w:rPr>
            </w:pPr>
            <w:r w:rsidRPr="00C168C5">
              <w:rPr>
                <w:sz w:val="22"/>
                <w:szCs w:val="22"/>
                <w:u w:val="single"/>
                <w:lang w:val="es-ES_tradnl"/>
              </w:rPr>
              <w:t>Datos sobre el rendimiento</w:t>
            </w:r>
            <w:r w:rsidR="00C91693" w:rsidRPr="00C168C5">
              <w:rPr>
                <w:sz w:val="22"/>
                <w:szCs w:val="22"/>
                <w:u w:val="single"/>
                <w:lang w:val="es-ES_tradnl"/>
              </w:rPr>
              <w:t xml:space="preserve"> </w:t>
            </w:r>
          </w:p>
          <w:p w14:paraId="618877E2" w14:textId="77777777" w:rsidR="00C91693" w:rsidRPr="00C168C5" w:rsidRDefault="00C91693" w:rsidP="00243943">
            <w:pPr>
              <w:rPr>
                <w:szCs w:val="22"/>
                <w:lang w:val="es-ES_tradnl"/>
              </w:rPr>
            </w:pPr>
          </w:p>
          <w:p w14:paraId="4B6BFC3B" w14:textId="77777777" w:rsidR="00C91693" w:rsidRPr="00C168C5" w:rsidRDefault="00C91693" w:rsidP="00243943">
            <w:pPr>
              <w:rPr>
                <w:szCs w:val="22"/>
                <w:lang w:val="es-ES_tradnl"/>
              </w:rPr>
            </w:pPr>
          </w:p>
        </w:tc>
        <w:tc>
          <w:tcPr>
            <w:tcW w:w="1048" w:type="dxa"/>
            <w:shd w:val="clear" w:color="auto" w:fill="auto"/>
            <w:vAlign w:val="center"/>
          </w:tcPr>
          <w:p w14:paraId="08B84931" w14:textId="355F87F1" w:rsidR="00C91693" w:rsidRPr="00C168C5" w:rsidRDefault="00DB3F32" w:rsidP="00243943">
            <w:pPr>
              <w:rPr>
                <w:szCs w:val="22"/>
                <w:lang w:val="es-ES_tradnl"/>
              </w:rPr>
            </w:pPr>
            <w:r w:rsidRPr="00C168C5">
              <w:rPr>
                <w:szCs w:val="22"/>
                <w:u w:val="single"/>
                <w:lang w:val="es-ES_tradnl"/>
              </w:rPr>
              <w:t>Clave de colores</w:t>
            </w:r>
          </w:p>
          <w:p w14:paraId="20DC838A" w14:textId="77777777" w:rsidR="00C91693" w:rsidRPr="00C168C5" w:rsidRDefault="00C91693" w:rsidP="00243943">
            <w:pPr>
              <w:rPr>
                <w:szCs w:val="22"/>
                <w:lang w:val="es-ES_tradnl"/>
              </w:rPr>
            </w:pPr>
          </w:p>
          <w:p w14:paraId="46AF1B73" w14:textId="77777777" w:rsidR="00C91693" w:rsidRPr="00C168C5" w:rsidRDefault="00C91693" w:rsidP="00243943">
            <w:pPr>
              <w:rPr>
                <w:szCs w:val="22"/>
                <w:lang w:val="es-ES_tradnl"/>
              </w:rPr>
            </w:pPr>
          </w:p>
        </w:tc>
      </w:tr>
      <w:tr w:rsidR="00C91693" w:rsidRPr="00C168C5" w14:paraId="496151C7" w14:textId="77777777" w:rsidTr="00991EC6">
        <w:trPr>
          <w:trHeight w:val="1620"/>
        </w:trPr>
        <w:tc>
          <w:tcPr>
            <w:tcW w:w="2358" w:type="dxa"/>
            <w:shd w:val="clear" w:color="auto" w:fill="auto"/>
            <w:vAlign w:val="center"/>
          </w:tcPr>
          <w:p w14:paraId="3F19CD4D" w14:textId="77777777" w:rsidR="005C35A2" w:rsidRPr="00C168C5" w:rsidRDefault="005C35A2" w:rsidP="00243943">
            <w:pPr>
              <w:rPr>
                <w:rFonts w:eastAsia="Times New Roman"/>
                <w:szCs w:val="22"/>
                <w:lang w:val="es-ES_tradnl" w:eastAsia="en-US"/>
              </w:rPr>
            </w:pPr>
          </w:p>
          <w:p w14:paraId="590B4284" w14:textId="225A55E6" w:rsidR="00C91693" w:rsidRPr="00C168C5" w:rsidRDefault="00D613FC" w:rsidP="00243943">
            <w:pPr>
              <w:rPr>
                <w:bCs/>
                <w:szCs w:val="22"/>
                <w:lang w:val="es-ES_tradnl"/>
              </w:rPr>
            </w:pPr>
            <w:r w:rsidRPr="00C168C5">
              <w:rPr>
                <w:rFonts w:eastAsia="Times New Roman"/>
                <w:szCs w:val="22"/>
                <w:lang w:val="es-ES_tradnl" w:eastAsia="en-US"/>
              </w:rPr>
              <w:t>Documento de antecedentes</w:t>
            </w:r>
            <w:r w:rsidRPr="00C168C5">
              <w:rPr>
                <w:bCs/>
                <w:szCs w:val="22"/>
                <w:lang w:val="es-ES_tradnl"/>
              </w:rPr>
              <w:t xml:space="preserve"> </w:t>
            </w:r>
          </w:p>
          <w:p w14:paraId="2003A4F0" w14:textId="77777777" w:rsidR="00C91693" w:rsidRPr="00C168C5" w:rsidRDefault="00C91693" w:rsidP="00243943">
            <w:pPr>
              <w:rPr>
                <w:bCs/>
                <w:szCs w:val="22"/>
                <w:lang w:val="es-ES_tradnl"/>
              </w:rPr>
            </w:pPr>
          </w:p>
          <w:p w14:paraId="46DB3CA4" w14:textId="77777777" w:rsidR="00C91693" w:rsidRPr="00C168C5" w:rsidRDefault="00C91693" w:rsidP="00243943">
            <w:pPr>
              <w:rPr>
                <w:bCs/>
                <w:szCs w:val="22"/>
                <w:lang w:val="es-ES_tradnl"/>
              </w:rPr>
            </w:pPr>
          </w:p>
          <w:p w14:paraId="63B234EB" w14:textId="77777777" w:rsidR="00C91693" w:rsidRPr="00C168C5" w:rsidRDefault="00C91693" w:rsidP="00243943">
            <w:pPr>
              <w:rPr>
                <w:bCs/>
                <w:szCs w:val="22"/>
                <w:lang w:val="es-ES_tradnl"/>
              </w:rPr>
            </w:pPr>
          </w:p>
        </w:tc>
        <w:tc>
          <w:tcPr>
            <w:tcW w:w="2694" w:type="dxa"/>
            <w:shd w:val="clear" w:color="auto" w:fill="auto"/>
          </w:tcPr>
          <w:p w14:paraId="54AE55AE" w14:textId="77777777" w:rsidR="005C35A2" w:rsidRPr="00C168C5" w:rsidRDefault="005C35A2" w:rsidP="009D105C">
            <w:pPr>
              <w:rPr>
                <w:szCs w:val="22"/>
                <w:lang w:val="es-ES_tradnl"/>
              </w:rPr>
            </w:pPr>
          </w:p>
          <w:p w14:paraId="1D7BC2EC" w14:textId="77777777" w:rsidR="009D105C" w:rsidRPr="00C168C5" w:rsidRDefault="009D105C" w:rsidP="009D105C">
            <w:pPr>
              <w:rPr>
                <w:rFonts w:eastAsia="Times New Roman"/>
                <w:szCs w:val="22"/>
                <w:lang w:val="es-ES_tradnl" w:eastAsia="en-US"/>
              </w:rPr>
            </w:pPr>
            <w:r w:rsidRPr="00C168C5">
              <w:rPr>
                <w:rFonts w:eastAsia="Times New Roman"/>
                <w:szCs w:val="22"/>
                <w:lang w:val="es-ES_tradnl" w:eastAsia="en-US"/>
              </w:rPr>
              <w:t xml:space="preserve">Finalización y publicación del documento en los plazos establecidos  </w:t>
            </w:r>
          </w:p>
          <w:p w14:paraId="16D22687" w14:textId="77777777" w:rsidR="00C91693" w:rsidRPr="00C168C5" w:rsidRDefault="00C91693" w:rsidP="009D105C">
            <w:pPr>
              <w:rPr>
                <w:szCs w:val="22"/>
                <w:lang w:val="es-ES_tradnl"/>
              </w:rPr>
            </w:pPr>
          </w:p>
        </w:tc>
        <w:tc>
          <w:tcPr>
            <w:tcW w:w="3260" w:type="dxa"/>
            <w:shd w:val="clear" w:color="auto" w:fill="auto"/>
            <w:vAlign w:val="center"/>
          </w:tcPr>
          <w:p w14:paraId="454802AD" w14:textId="5D27429F" w:rsidR="00C91693" w:rsidRPr="00C168C5" w:rsidRDefault="00644423" w:rsidP="00243943">
            <w:pPr>
              <w:rPr>
                <w:szCs w:val="22"/>
                <w:lang w:val="es-ES_tradnl"/>
              </w:rPr>
            </w:pPr>
            <w:r w:rsidRPr="00C168C5">
              <w:rPr>
                <w:rFonts w:eastAsia="Times New Roman"/>
                <w:szCs w:val="22"/>
                <w:lang w:val="es-ES_tradnl" w:eastAsia="en-US"/>
              </w:rPr>
              <w:t xml:space="preserve">Documento de antecedentes sobre el proyecto de la OMPI  </w:t>
            </w:r>
          </w:p>
          <w:p w14:paraId="769B8A6D" w14:textId="77777777" w:rsidR="00C91693" w:rsidRPr="00C168C5" w:rsidRDefault="00C91693" w:rsidP="00243943">
            <w:pPr>
              <w:rPr>
                <w:szCs w:val="22"/>
                <w:lang w:val="es-ES_tradnl"/>
              </w:rPr>
            </w:pPr>
          </w:p>
          <w:p w14:paraId="481A60CC" w14:textId="77777777" w:rsidR="00C91693" w:rsidRPr="00C168C5" w:rsidRDefault="00C91693" w:rsidP="00243943">
            <w:pPr>
              <w:rPr>
                <w:szCs w:val="22"/>
                <w:lang w:val="es-ES_tradnl"/>
              </w:rPr>
            </w:pPr>
            <w:r w:rsidRPr="00C168C5">
              <w:rPr>
                <w:szCs w:val="22"/>
                <w:lang w:val="es-ES_tradnl"/>
              </w:rPr>
              <w:t xml:space="preserve"> </w:t>
            </w:r>
          </w:p>
        </w:tc>
        <w:tc>
          <w:tcPr>
            <w:tcW w:w="1048" w:type="dxa"/>
            <w:shd w:val="clear" w:color="auto" w:fill="auto"/>
            <w:vAlign w:val="center"/>
          </w:tcPr>
          <w:p w14:paraId="37004CD9" w14:textId="77777777" w:rsidR="00C91693" w:rsidRPr="00C168C5" w:rsidRDefault="00C91693" w:rsidP="00243943">
            <w:pPr>
              <w:rPr>
                <w:szCs w:val="22"/>
                <w:lang w:val="es-ES_tradnl"/>
              </w:rPr>
            </w:pPr>
            <w:r w:rsidRPr="00C168C5">
              <w:rPr>
                <w:szCs w:val="22"/>
                <w:lang w:val="es-ES_tradnl"/>
              </w:rPr>
              <w:t>****</w:t>
            </w:r>
          </w:p>
          <w:p w14:paraId="2190F966" w14:textId="77777777" w:rsidR="00C91693" w:rsidRPr="00C168C5" w:rsidRDefault="00C91693" w:rsidP="00243943">
            <w:pPr>
              <w:rPr>
                <w:szCs w:val="22"/>
                <w:lang w:val="es-ES_tradnl"/>
              </w:rPr>
            </w:pPr>
          </w:p>
          <w:p w14:paraId="51BC8C5B" w14:textId="77777777" w:rsidR="00C91693" w:rsidRPr="00C168C5" w:rsidRDefault="00C91693" w:rsidP="00243943">
            <w:pPr>
              <w:rPr>
                <w:szCs w:val="22"/>
                <w:lang w:val="es-ES_tradnl"/>
              </w:rPr>
            </w:pPr>
          </w:p>
        </w:tc>
      </w:tr>
      <w:tr w:rsidR="00C91693" w:rsidRPr="00C168C5" w14:paraId="35406BD1" w14:textId="77777777" w:rsidTr="00644423">
        <w:trPr>
          <w:trHeight w:val="509"/>
        </w:trPr>
        <w:tc>
          <w:tcPr>
            <w:tcW w:w="2358" w:type="dxa"/>
            <w:shd w:val="clear" w:color="auto" w:fill="auto"/>
            <w:vAlign w:val="center"/>
          </w:tcPr>
          <w:p w14:paraId="16D92CC7" w14:textId="77777777" w:rsidR="00644423" w:rsidRPr="00C168C5" w:rsidRDefault="00644423" w:rsidP="00243943">
            <w:pPr>
              <w:rPr>
                <w:bCs/>
                <w:szCs w:val="22"/>
                <w:lang w:val="es-ES_tradnl"/>
              </w:rPr>
            </w:pPr>
          </w:p>
          <w:p w14:paraId="26C7E4D5" w14:textId="51A42417" w:rsidR="00C91693" w:rsidRPr="00C168C5" w:rsidRDefault="000E2808" w:rsidP="000E2808">
            <w:pPr>
              <w:rPr>
                <w:bCs/>
                <w:szCs w:val="22"/>
                <w:lang w:val="es-ES_tradnl"/>
              </w:rPr>
            </w:pPr>
            <w:r w:rsidRPr="00C168C5">
              <w:rPr>
                <w:szCs w:val="22"/>
                <w:lang w:val="es-ES_tradnl"/>
              </w:rPr>
              <w:t>Creación de un grupo de expertos y designación de coordinadores</w:t>
            </w:r>
          </w:p>
        </w:tc>
        <w:tc>
          <w:tcPr>
            <w:tcW w:w="2694" w:type="dxa"/>
            <w:shd w:val="clear" w:color="auto" w:fill="auto"/>
            <w:vAlign w:val="center"/>
          </w:tcPr>
          <w:p w14:paraId="6BFD8066" w14:textId="77777777" w:rsidR="001B688A" w:rsidRPr="00C168C5" w:rsidRDefault="001B688A" w:rsidP="00243943">
            <w:pPr>
              <w:rPr>
                <w:rFonts w:eastAsia="Times New Roman"/>
                <w:szCs w:val="22"/>
                <w:lang w:val="es-ES_tradnl" w:eastAsia="en-US"/>
              </w:rPr>
            </w:pPr>
          </w:p>
          <w:p w14:paraId="5DA2806A" w14:textId="2FD58055" w:rsidR="00C91693" w:rsidRPr="00C168C5" w:rsidRDefault="000E2808" w:rsidP="00243943">
            <w:pPr>
              <w:rPr>
                <w:szCs w:val="22"/>
                <w:lang w:val="es-ES_tradnl"/>
              </w:rPr>
            </w:pPr>
            <w:r w:rsidRPr="00C168C5">
              <w:rPr>
                <w:rFonts w:eastAsia="Times New Roman"/>
                <w:szCs w:val="22"/>
                <w:lang w:val="es-ES_tradnl" w:eastAsia="en-US"/>
              </w:rPr>
              <w:t>Designación de coordinadores y constitución de un grupo de expertos</w:t>
            </w:r>
          </w:p>
        </w:tc>
        <w:tc>
          <w:tcPr>
            <w:tcW w:w="3260" w:type="dxa"/>
            <w:shd w:val="clear" w:color="auto" w:fill="auto"/>
            <w:vAlign w:val="center"/>
          </w:tcPr>
          <w:p w14:paraId="3E2555D3" w14:textId="5413CE2B" w:rsidR="00C91693" w:rsidRPr="00C168C5" w:rsidRDefault="00644423" w:rsidP="00243943">
            <w:pPr>
              <w:rPr>
                <w:szCs w:val="22"/>
                <w:lang w:val="es-ES_tradnl"/>
              </w:rPr>
            </w:pPr>
            <w:r w:rsidRPr="00C168C5">
              <w:rPr>
                <w:rFonts w:eastAsia="Times New Roman"/>
                <w:szCs w:val="22"/>
                <w:lang w:val="es-ES_tradnl" w:eastAsia="en-US"/>
              </w:rPr>
              <w:t>Se están finalizando las consultas sobre la constitución de un grupo de expertos</w:t>
            </w:r>
          </w:p>
        </w:tc>
        <w:tc>
          <w:tcPr>
            <w:tcW w:w="1048" w:type="dxa"/>
            <w:shd w:val="clear" w:color="auto" w:fill="auto"/>
            <w:vAlign w:val="center"/>
          </w:tcPr>
          <w:p w14:paraId="395A4809" w14:textId="77777777" w:rsidR="00C91693" w:rsidRPr="00C168C5" w:rsidRDefault="00C91693" w:rsidP="00243943">
            <w:pPr>
              <w:rPr>
                <w:szCs w:val="22"/>
                <w:lang w:val="es-ES_tradnl"/>
              </w:rPr>
            </w:pPr>
            <w:r w:rsidRPr="00C168C5">
              <w:rPr>
                <w:szCs w:val="22"/>
                <w:lang w:val="es-ES_tradnl"/>
              </w:rPr>
              <w:t>***</w:t>
            </w:r>
          </w:p>
          <w:p w14:paraId="578A4694" w14:textId="77777777" w:rsidR="00C91693" w:rsidRPr="00C168C5" w:rsidRDefault="00C91693" w:rsidP="00243943">
            <w:pPr>
              <w:rPr>
                <w:szCs w:val="22"/>
                <w:lang w:val="es-ES_tradnl"/>
              </w:rPr>
            </w:pPr>
          </w:p>
          <w:p w14:paraId="6EC27647" w14:textId="77777777" w:rsidR="00C91693" w:rsidRPr="00C168C5" w:rsidRDefault="00C91693" w:rsidP="00243943">
            <w:pPr>
              <w:rPr>
                <w:szCs w:val="22"/>
                <w:lang w:val="es-ES_tradnl"/>
              </w:rPr>
            </w:pPr>
          </w:p>
        </w:tc>
      </w:tr>
      <w:tr w:rsidR="00C91693" w:rsidRPr="00C168C5" w14:paraId="649DDAAA" w14:textId="77777777" w:rsidTr="00644423">
        <w:trPr>
          <w:trHeight w:val="998"/>
        </w:trPr>
        <w:tc>
          <w:tcPr>
            <w:tcW w:w="2358" w:type="dxa"/>
            <w:shd w:val="clear" w:color="auto" w:fill="auto"/>
            <w:vAlign w:val="center"/>
          </w:tcPr>
          <w:p w14:paraId="03750BAB" w14:textId="11D2498E" w:rsidR="00C91693" w:rsidRPr="00C168C5" w:rsidRDefault="000E2808" w:rsidP="00243943">
            <w:pPr>
              <w:rPr>
                <w:szCs w:val="22"/>
                <w:lang w:val="es-ES_tradnl"/>
              </w:rPr>
            </w:pPr>
            <w:r w:rsidRPr="00C168C5">
              <w:rPr>
                <w:szCs w:val="22"/>
                <w:lang w:val="es-ES_tradnl"/>
              </w:rPr>
              <w:t xml:space="preserve">Estudio sobre la negociación colectiva de derechos </w:t>
            </w:r>
          </w:p>
          <w:p w14:paraId="3C4D5153" w14:textId="77777777" w:rsidR="00C91693" w:rsidRPr="00C168C5" w:rsidRDefault="00C91693" w:rsidP="00243943">
            <w:pPr>
              <w:rPr>
                <w:bCs/>
                <w:szCs w:val="22"/>
                <w:lang w:val="es-ES_tradnl"/>
              </w:rPr>
            </w:pPr>
          </w:p>
        </w:tc>
        <w:tc>
          <w:tcPr>
            <w:tcW w:w="2694" w:type="dxa"/>
            <w:shd w:val="clear" w:color="auto" w:fill="auto"/>
            <w:vAlign w:val="center"/>
          </w:tcPr>
          <w:p w14:paraId="7D35AB73" w14:textId="3708ECD7" w:rsidR="00C91693" w:rsidRPr="00C168C5" w:rsidRDefault="000E2808" w:rsidP="00243943">
            <w:pPr>
              <w:rPr>
                <w:szCs w:val="22"/>
                <w:lang w:val="es-ES_tradnl"/>
              </w:rPr>
            </w:pPr>
            <w:r w:rsidRPr="00C168C5">
              <w:rPr>
                <w:szCs w:val="22"/>
                <w:lang w:val="es-ES_tradnl"/>
              </w:rPr>
              <w:t>Estudio finalizado</w:t>
            </w:r>
          </w:p>
          <w:p w14:paraId="0EFF53DD" w14:textId="77777777" w:rsidR="00C91693" w:rsidRPr="00C168C5" w:rsidRDefault="00C91693" w:rsidP="00243943">
            <w:pPr>
              <w:rPr>
                <w:szCs w:val="22"/>
                <w:lang w:val="es-ES_tradnl"/>
              </w:rPr>
            </w:pPr>
          </w:p>
          <w:p w14:paraId="74410D23" w14:textId="77777777" w:rsidR="00C91693" w:rsidRPr="00C168C5" w:rsidRDefault="00C91693" w:rsidP="00243943">
            <w:pPr>
              <w:rPr>
                <w:szCs w:val="22"/>
                <w:lang w:val="es-ES_tradnl"/>
              </w:rPr>
            </w:pPr>
            <w:r w:rsidRPr="00C168C5">
              <w:rPr>
                <w:szCs w:val="22"/>
                <w:lang w:val="es-ES_tradnl"/>
              </w:rPr>
              <w:t xml:space="preserve"> </w:t>
            </w:r>
          </w:p>
        </w:tc>
        <w:tc>
          <w:tcPr>
            <w:tcW w:w="3260" w:type="dxa"/>
            <w:shd w:val="clear" w:color="auto" w:fill="auto"/>
            <w:vAlign w:val="center"/>
          </w:tcPr>
          <w:p w14:paraId="7EA1FF55" w14:textId="77777777" w:rsidR="00C91693" w:rsidRPr="00C168C5" w:rsidRDefault="00C91693" w:rsidP="00243943">
            <w:pPr>
              <w:rPr>
                <w:szCs w:val="22"/>
                <w:lang w:val="es-ES_tradnl"/>
              </w:rPr>
            </w:pPr>
          </w:p>
          <w:p w14:paraId="27CD5764" w14:textId="53AEF962" w:rsidR="00C91693" w:rsidRPr="00C168C5" w:rsidRDefault="000E2808" w:rsidP="00243943">
            <w:pPr>
              <w:rPr>
                <w:szCs w:val="22"/>
                <w:lang w:val="es-ES_tradnl"/>
              </w:rPr>
            </w:pPr>
            <w:r w:rsidRPr="00C168C5">
              <w:rPr>
                <w:szCs w:val="22"/>
                <w:lang w:val="es-ES_tradnl"/>
              </w:rPr>
              <w:t xml:space="preserve">Estudio sobre la negociación colectiva y la gestión colectiva de </w:t>
            </w:r>
            <w:r w:rsidR="00BF5D4E" w:rsidRPr="00C168C5">
              <w:rPr>
                <w:szCs w:val="22"/>
                <w:lang w:val="es-ES_tradnl"/>
              </w:rPr>
              <w:t xml:space="preserve">los </w:t>
            </w:r>
            <w:r w:rsidRPr="00C168C5">
              <w:rPr>
                <w:szCs w:val="22"/>
                <w:lang w:val="es-ES_tradnl"/>
              </w:rPr>
              <w:t xml:space="preserve">derechos </w:t>
            </w:r>
          </w:p>
          <w:p w14:paraId="0B9E6662" w14:textId="77777777" w:rsidR="00C91693" w:rsidRPr="00C168C5" w:rsidRDefault="00C91693" w:rsidP="00243943">
            <w:pPr>
              <w:rPr>
                <w:szCs w:val="22"/>
                <w:lang w:val="es-ES_tradnl"/>
              </w:rPr>
            </w:pPr>
          </w:p>
        </w:tc>
        <w:tc>
          <w:tcPr>
            <w:tcW w:w="1048" w:type="dxa"/>
            <w:shd w:val="clear" w:color="auto" w:fill="auto"/>
            <w:vAlign w:val="center"/>
          </w:tcPr>
          <w:p w14:paraId="56CA62EA" w14:textId="77777777" w:rsidR="00C91693" w:rsidRPr="00C168C5" w:rsidRDefault="00C91693" w:rsidP="00243943">
            <w:pPr>
              <w:rPr>
                <w:szCs w:val="22"/>
                <w:lang w:val="es-ES_tradnl"/>
              </w:rPr>
            </w:pPr>
            <w:r w:rsidRPr="00C168C5">
              <w:rPr>
                <w:szCs w:val="22"/>
                <w:lang w:val="es-ES_tradnl"/>
              </w:rPr>
              <w:t>***</w:t>
            </w:r>
          </w:p>
          <w:p w14:paraId="2D419662" w14:textId="77777777" w:rsidR="00C91693" w:rsidRPr="00C168C5" w:rsidRDefault="00C91693" w:rsidP="00243943">
            <w:pPr>
              <w:rPr>
                <w:szCs w:val="22"/>
                <w:lang w:val="es-ES_tradnl"/>
              </w:rPr>
            </w:pPr>
          </w:p>
          <w:p w14:paraId="4832EC3E" w14:textId="77777777" w:rsidR="00C91693" w:rsidRPr="00C168C5" w:rsidRDefault="00C91693" w:rsidP="00243943">
            <w:pPr>
              <w:rPr>
                <w:szCs w:val="22"/>
                <w:lang w:val="es-ES_tradnl"/>
              </w:rPr>
            </w:pPr>
          </w:p>
        </w:tc>
      </w:tr>
      <w:tr w:rsidR="00C91693" w:rsidRPr="00C168C5" w14:paraId="484F5E2D" w14:textId="77777777" w:rsidTr="00644423">
        <w:trPr>
          <w:trHeight w:val="509"/>
        </w:trPr>
        <w:tc>
          <w:tcPr>
            <w:tcW w:w="2358" w:type="dxa"/>
            <w:shd w:val="clear" w:color="auto" w:fill="auto"/>
            <w:vAlign w:val="center"/>
          </w:tcPr>
          <w:p w14:paraId="5DE9EF34" w14:textId="55BF9D04" w:rsidR="00C91693" w:rsidRPr="00C168C5" w:rsidRDefault="00BF5D4E" w:rsidP="00243943">
            <w:pPr>
              <w:rPr>
                <w:bCs/>
                <w:szCs w:val="22"/>
                <w:lang w:val="es-ES_tradnl"/>
              </w:rPr>
            </w:pPr>
            <w:r w:rsidRPr="00C168C5">
              <w:rPr>
                <w:bCs/>
                <w:szCs w:val="22"/>
                <w:lang w:val="es-ES_tradnl"/>
              </w:rPr>
              <w:t>Tres (3) talleres de formación</w:t>
            </w:r>
          </w:p>
          <w:p w14:paraId="728A7601" w14:textId="77777777" w:rsidR="00C91693" w:rsidRPr="00C168C5" w:rsidRDefault="00C91693" w:rsidP="00243943">
            <w:pPr>
              <w:rPr>
                <w:bCs/>
                <w:szCs w:val="22"/>
                <w:lang w:val="es-ES_tradnl"/>
              </w:rPr>
            </w:pPr>
          </w:p>
          <w:p w14:paraId="44DDF594" w14:textId="77777777" w:rsidR="00C91693" w:rsidRPr="00C168C5" w:rsidRDefault="00C91693" w:rsidP="00243943">
            <w:pPr>
              <w:rPr>
                <w:bCs/>
                <w:szCs w:val="22"/>
                <w:lang w:val="es-ES_tradnl"/>
              </w:rPr>
            </w:pPr>
          </w:p>
        </w:tc>
        <w:tc>
          <w:tcPr>
            <w:tcW w:w="2694" w:type="dxa"/>
            <w:shd w:val="clear" w:color="auto" w:fill="auto"/>
            <w:vAlign w:val="center"/>
          </w:tcPr>
          <w:p w14:paraId="12231A4A" w14:textId="5D426594" w:rsidR="00C91693" w:rsidRPr="00C168C5" w:rsidRDefault="00BF5D4E" w:rsidP="00243943">
            <w:pPr>
              <w:rPr>
                <w:szCs w:val="22"/>
                <w:lang w:val="es-ES_tradnl"/>
              </w:rPr>
            </w:pPr>
            <w:r w:rsidRPr="00C168C5">
              <w:rPr>
                <w:szCs w:val="22"/>
                <w:lang w:val="es-ES_tradnl"/>
              </w:rPr>
              <w:t>Finalizados</w:t>
            </w:r>
          </w:p>
          <w:p w14:paraId="67B45575" w14:textId="77777777" w:rsidR="00C91693" w:rsidRPr="00C168C5" w:rsidRDefault="00C91693" w:rsidP="00243943">
            <w:pPr>
              <w:rPr>
                <w:szCs w:val="22"/>
                <w:lang w:val="es-ES_tradnl"/>
              </w:rPr>
            </w:pPr>
          </w:p>
          <w:p w14:paraId="0C3F5BC6" w14:textId="77777777" w:rsidR="00C91693" w:rsidRPr="00C168C5" w:rsidRDefault="00C91693" w:rsidP="00243943">
            <w:pPr>
              <w:rPr>
                <w:szCs w:val="22"/>
                <w:lang w:val="es-ES_tradnl"/>
              </w:rPr>
            </w:pPr>
          </w:p>
          <w:p w14:paraId="75B06E7A" w14:textId="77777777" w:rsidR="00C91693" w:rsidRPr="00C168C5" w:rsidRDefault="00C91693" w:rsidP="00243943">
            <w:pPr>
              <w:rPr>
                <w:szCs w:val="22"/>
                <w:lang w:val="es-ES_tradnl"/>
              </w:rPr>
            </w:pPr>
          </w:p>
          <w:p w14:paraId="0C8B3D54" w14:textId="77777777" w:rsidR="00C91693" w:rsidRPr="00C168C5" w:rsidRDefault="00C91693" w:rsidP="00243943">
            <w:pPr>
              <w:rPr>
                <w:szCs w:val="22"/>
                <w:lang w:val="es-ES_tradnl"/>
              </w:rPr>
            </w:pPr>
            <w:r w:rsidRPr="00C168C5">
              <w:rPr>
                <w:szCs w:val="22"/>
                <w:lang w:val="es-ES_tradnl"/>
              </w:rPr>
              <w:t xml:space="preserve"> </w:t>
            </w:r>
          </w:p>
        </w:tc>
        <w:tc>
          <w:tcPr>
            <w:tcW w:w="3260" w:type="dxa"/>
            <w:shd w:val="clear" w:color="auto" w:fill="auto"/>
            <w:vAlign w:val="center"/>
          </w:tcPr>
          <w:p w14:paraId="54BC6E7F" w14:textId="77777777" w:rsidR="00C91693" w:rsidRPr="00C168C5" w:rsidRDefault="00C91693" w:rsidP="00243943">
            <w:pPr>
              <w:rPr>
                <w:szCs w:val="22"/>
                <w:lang w:val="es-ES_tradnl"/>
              </w:rPr>
            </w:pPr>
          </w:p>
          <w:p w14:paraId="7BA439FF" w14:textId="77777777" w:rsidR="00BF5D4E" w:rsidRPr="00C168C5" w:rsidRDefault="00BF5D4E" w:rsidP="00BF5D4E">
            <w:pPr>
              <w:rPr>
                <w:szCs w:val="22"/>
                <w:lang w:val="es-ES_tradnl"/>
              </w:rPr>
            </w:pPr>
            <w:r w:rsidRPr="00C168C5">
              <w:rPr>
                <w:szCs w:val="22"/>
                <w:lang w:val="es-ES_tradnl"/>
              </w:rPr>
              <w:t>Talleres de formación organizados en Kenya, Burkina Faso y Senegal.</w:t>
            </w:r>
          </w:p>
          <w:p w14:paraId="6651F50E" w14:textId="7132F904" w:rsidR="00BF5D4E" w:rsidRPr="00C168C5" w:rsidRDefault="00BF5D4E" w:rsidP="00BF5D4E">
            <w:pPr>
              <w:rPr>
                <w:szCs w:val="22"/>
                <w:lang w:val="es-ES_tradnl"/>
              </w:rPr>
            </w:pPr>
            <w:r w:rsidRPr="00C168C5">
              <w:rPr>
                <w:szCs w:val="22"/>
                <w:lang w:val="es-ES_tradnl"/>
              </w:rPr>
              <w:br/>
              <w:t xml:space="preserve">Se ha solicitado la organización de talleres de seguimiento </w:t>
            </w:r>
          </w:p>
          <w:p w14:paraId="21291E66" w14:textId="77777777" w:rsidR="00C91693" w:rsidRPr="00C168C5" w:rsidRDefault="00C91693" w:rsidP="00BF5D4E">
            <w:pPr>
              <w:rPr>
                <w:szCs w:val="22"/>
                <w:lang w:val="es-ES_tradnl"/>
              </w:rPr>
            </w:pPr>
          </w:p>
        </w:tc>
        <w:tc>
          <w:tcPr>
            <w:tcW w:w="1048" w:type="dxa"/>
            <w:shd w:val="clear" w:color="auto" w:fill="auto"/>
            <w:vAlign w:val="center"/>
          </w:tcPr>
          <w:p w14:paraId="417FE7ED" w14:textId="77777777" w:rsidR="00C91693" w:rsidRPr="00C168C5" w:rsidRDefault="00C91693" w:rsidP="00243943">
            <w:pPr>
              <w:rPr>
                <w:szCs w:val="22"/>
                <w:lang w:val="es-ES_tradnl"/>
              </w:rPr>
            </w:pPr>
            <w:r w:rsidRPr="00C168C5">
              <w:rPr>
                <w:szCs w:val="22"/>
                <w:lang w:val="es-ES_tradnl"/>
              </w:rPr>
              <w:t>***</w:t>
            </w:r>
          </w:p>
          <w:p w14:paraId="62F143C4" w14:textId="77777777" w:rsidR="00C91693" w:rsidRPr="00C168C5" w:rsidRDefault="00C91693" w:rsidP="00243943">
            <w:pPr>
              <w:rPr>
                <w:szCs w:val="22"/>
                <w:lang w:val="es-ES_tradnl"/>
              </w:rPr>
            </w:pPr>
          </w:p>
          <w:p w14:paraId="5CC199C8" w14:textId="77777777" w:rsidR="00C91693" w:rsidRPr="00C168C5" w:rsidRDefault="00C91693" w:rsidP="00243943">
            <w:pPr>
              <w:rPr>
                <w:szCs w:val="22"/>
                <w:lang w:val="es-ES_tradnl"/>
              </w:rPr>
            </w:pPr>
          </w:p>
          <w:p w14:paraId="0A3576DC" w14:textId="77777777" w:rsidR="00C91693" w:rsidRPr="00C168C5" w:rsidRDefault="00C91693" w:rsidP="00243943">
            <w:pPr>
              <w:rPr>
                <w:szCs w:val="22"/>
                <w:lang w:val="es-ES_tradnl"/>
              </w:rPr>
            </w:pPr>
          </w:p>
          <w:p w14:paraId="401D8A4C" w14:textId="77777777" w:rsidR="00C91693" w:rsidRPr="00C168C5" w:rsidRDefault="00C91693" w:rsidP="00243943">
            <w:pPr>
              <w:rPr>
                <w:szCs w:val="22"/>
                <w:lang w:val="es-ES_tradnl"/>
              </w:rPr>
            </w:pPr>
          </w:p>
        </w:tc>
      </w:tr>
      <w:tr w:rsidR="00C91693" w:rsidRPr="00C168C5" w14:paraId="3EF98D2B" w14:textId="77777777" w:rsidTr="00644423">
        <w:trPr>
          <w:trHeight w:val="509"/>
        </w:trPr>
        <w:tc>
          <w:tcPr>
            <w:tcW w:w="2358" w:type="dxa"/>
            <w:shd w:val="clear" w:color="auto" w:fill="auto"/>
            <w:vAlign w:val="center"/>
          </w:tcPr>
          <w:p w14:paraId="27DCB2A6" w14:textId="77777777" w:rsidR="00C91693" w:rsidRPr="00C168C5" w:rsidRDefault="00C91693" w:rsidP="00243943">
            <w:pPr>
              <w:rPr>
                <w:bCs/>
                <w:szCs w:val="22"/>
                <w:lang w:val="es-ES_tradnl"/>
              </w:rPr>
            </w:pPr>
          </w:p>
          <w:p w14:paraId="74E323A1" w14:textId="77777777" w:rsidR="005E5677" w:rsidRPr="00C168C5" w:rsidRDefault="005E5677" w:rsidP="005E5677">
            <w:pPr>
              <w:rPr>
                <w:bCs/>
                <w:szCs w:val="22"/>
                <w:lang w:val="es-ES_tradnl"/>
              </w:rPr>
            </w:pPr>
            <w:r w:rsidRPr="00C168C5">
              <w:rPr>
                <w:bCs/>
                <w:szCs w:val="22"/>
                <w:lang w:val="es-ES_tradnl"/>
              </w:rPr>
              <w:t>Capacitación práctica sobre negociación colectiva de derechos</w:t>
            </w:r>
          </w:p>
          <w:p w14:paraId="1A039D67" w14:textId="77777777" w:rsidR="00C91693" w:rsidRPr="00C168C5" w:rsidRDefault="00C91693" w:rsidP="005E5677">
            <w:pPr>
              <w:rPr>
                <w:bCs/>
                <w:szCs w:val="22"/>
                <w:lang w:val="es-ES_tradnl"/>
              </w:rPr>
            </w:pPr>
          </w:p>
        </w:tc>
        <w:tc>
          <w:tcPr>
            <w:tcW w:w="2694" w:type="dxa"/>
            <w:shd w:val="clear" w:color="auto" w:fill="auto"/>
            <w:vAlign w:val="center"/>
          </w:tcPr>
          <w:p w14:paraId="5D4F550F" w14:textId="0C21AF31" w:rsidR="00C91693" w:rsidRPr="00C168C5" w:rsidRDefault="005E5677" w:rsidP="00243943">
            <w:pPr>
              <w:rPr>
                <w:szCs w:val="22"/>
                <w:lang w:val="es-ES_tradnl"/>
              </w:rPr>
            </w:pPr>
            <w:r w:rsidRPr="00C168C5">
              <w:rPr>
                <w:szCs w:val="22"/>
                <w:lang w:val="es-ES_tradnl"/>
              </w:rPr>
              <w:t>Por realizarse</w:t>
            </w:r>
          </w:p>
          <w:p w14:paraId="477F07DA" w14:textId="77777777" w:rsidR="00C91693" w:rsidRPr="00C168C5" w:rsidRDefault="00C91693" w:rsidP="00243943">
            <w:pPr>
              <w:rPr>
                <w:szCs w:val="22"/>
                <w:lang w:val="es-ES_tradnl"/>
              </w:rPr>
            </w:pPr>
          </w:p>
        </w:tc>
        <w:tc>
          <w:tcPr>
            <w:tcW w:w="3260" w:type="dxa"/>
            <w:shd w:val="clear" w:color="auto" w:fill="auto"/>
            <w:vAlign w:val="center"/>
          </w:tcPr>
          <w:p w14:paraId="5E4E912F" w14:textId="3FC6A71B" w:rsidR="00C91693" w:rsidRPr="00C168C5" w:rsidRDefault="00992489" w:rsidP="00243943">
            <w:pPr>
              <w:rPr>
                <w:szCs w:val="22"/>
                <w:lang w:val="es-ES_tradnl"/>
              </w:rPr>
            </w:pPr>
            <w:r w:rsidRPr="00C168C5">
              <w:rPr>
                <w:szCs w:val="22"/>
                <w:lang w:val="es-ES_tradnl"/>
              </w:rPr>
              <w:t>SE/AI</w:t>
            </w:r>
          </w:p>
          <w:p w14:paraId="0724A3E6" w14:textId="77777777" w:rsidR="00C91693" w:rsidRPr="00C168C5" w:rsidRDefault="00C91693" w:rsidP="00243943">
            <w:pPr>
              <w:rPr>
                <w:szCs w:val="22"/>
                <w:lang w:val="es-ES_tradnl"/>
              </w:rPr>
            </w:pPr>
          </w:p>
        </w:tc>
        <w:tc>
          <w:tcPr>
            <w:tcW w:w="1048" w:type="dxa"/>
            <w:shd w:val="clear" w:color="auto" w:fill="auto"/>
            <w:vAlign w:val="center"/>
          </w:tcPr>
          <w:p w14:paraId="23B070A5" w14:textId="77777777" w:rsidR="00C91693" w:rsidRPr="00C168C5" w:rsidRDefault="00C91693" w:rsidP="00243943">
            <w:pPr>
              <w:rPr>
                <w:szCs w:val="22"/>
                <w:lang w:val="es-ES_tradnl"/>
              </w:rPr>
            </w:pPr>
          </w:p>
          <w:p w14:paraId="42DE255C" w14:textId="77777777" w:rsidR="00C91693" w:rsidRPr="00C168C5" w:rsidRDefault="00C91693" w:rsidP="00243943">
            <w:pPr>
              <w:rPr>
                <w:szCs w:val="22"/>
                <w:lang w:val="es-ES_tradnl"/>
              </w:rPr>
            </w:pPr>
            <w:r w:rsidRPr="00C168C5">
              <w:rPr>
                <w:szCs w:val="22"/>
                <w:lang w:val="es-ES_tradnl"/>
              </w:rPr>
              <w:t>**</w:t>
            </w:r>
          </w:p>
          <w:p w14:paraId="5F4C15D5" w14:textId="77777777" w:rsidR="00C91693" w:rsidRPr="00C168C5" w:rsidRDefault="00C91693" w:rsidP="00243943">
            <w:pPr>
              <w:rPr>
                <w:szCs w:val="22"/>
                <w:lang w:val="es-ES_tradnl"/>
              </w:rPr>
            </w:pPr>
          </w:p>
          <w:p w14:paraId="04EE7D4D" w14:textId="77777777" w:rsidR="00C91693" w:rsidRPr="00C168C5" w:rsidRDefault="00C91693" w:rsidP="00243943">
            <w:pPr>
              <w:rPr>
                <w:szCs w:val="22"/>
                <w:lang w:val="es-ES_tradnl"/>
              </w:rPr>
            </w:pPr>
          </w:p>
          <w:p w14:paraId="4C499C2F" w14:textId="77777777" w:rsidR="00C91693" w:rsidRPr="00C168C5" w:rsidRDefault="00C91693" w:rsidP="00243943">
            <w:pPr>
              <w:rPr>
                <w:szCs w:val="22"/>
                <w:lang w:val="es-ES_tradnl"/>
              </w:rPr>
            </w:pPr>
          </w:p>
        </w:tc>
      </w:tr>
      <w:tr w:rsidR="00C91693" w:rsidRPr="00C168C5" w14:paraId="3D042A23" w14:textId="77777777" w:rsidTr="00644423">
        <w:trPr>
          <w:cantSplit/>
          <w:trHeight w:val="509"/>
        </w:trPr>
        <w:tc>
          <w:tcPr>
            <w:tcW w:w="2358" w:type="dxa"/>
            <w:shd w:val="clear" w:color="auto" w:fill="auto"/>
            <w:vAlign w:val="center"/>
          </w:tcPr>
          <w:p w14:paraId="06A97926" w14:textId="77777777" w:rsidR="00C91693" w:rsidRPr="00C168C5" w:rsidRDefault="00C91693" w:rsidP="00243943">
            <w:pPr>
              <w:rPr>
                <w:bCs/>
                <w:szCs w:val="22"/>
                <w:lang w:val="es-ES_tradnl"/>
              </w:rPr>
            </w:pPr>
          </w:p>
          <w:p w14:paraId="224A2619" w14:textId="3F781BC8" w:rsidR="005E5677" w:rsidRPr="00C168C5" w:rsidRDefault="00DD7DB0" w:rsidP="005E5677">
            <w:pPr>
              <w:rPr>
                <w:bCs/>
                <w:szCs w:val="22"/>
                <w:lang w:val="es-ES_tradnl"/>
              </w:rPr>
            </w:pPr>
            <w:r w:rsidRPr="00C168C5">
              <w:rPr>
                <w:bCs/>
                <w:szCs w:val="22"/>
                <w:lang w:val="es-ES_tradnl"/>
              </w:rPr>
              <w:t xml:space="preserve">Elaboración de un programa </w:t>
            </w:r>
            <w:r w:rsidR="005E5677" w:rsidRPr="00C168C5">
              <w:rPr>
                <w:bCs/>
                <w:szCs w:val="22"/>
                <w:lang w:val="es-ES_tradnl"/>
              </w:rPr>
              <w:t>de enseñanza a distancia</w:t>
            </w:r>
          </w:p>
          <w:p w14:paraId="4E3A3608" w14:textId="77777777" w:rsidR="00C91693" w:rsidRPr="00C168C5" w:rsidRDefault="00C91693" w:rsidP="005E5677">
            <w:pPr>
              <w:rPr>
                <w:bCs/>
                <w:szCs w:val="22"/>
                <w:lang w:val="es-ES_tradnl"/>
              </w:rPr>
            </w:pPr>
          </w:p>
        </w:tc>
        <w:tc>
          <w:tcPr>
            <w:tcW w:w="2694" w:type="dxa"/>
            <w:shd w:val="clear" w:color="auto" w:fill="auto"/>
            <w:vAlign w:val="center"/>
          </w:tcPr>
          <w:p w14:paraId="2A37B34A" w14:textId="3F3EA187" w:rsidR="00C91693" w:rsidRPr="00C168C5" w:rsidRDefault="005E5677" w:rsidP="00243943">
            <w:pPr>
              <w:rPr>
                <w:szCs w:val="22"/>
                <w:lang w:val="es-ES_tradnl"/>
              </w:rPr>
            </w:pPr>
            <w:r w:rsidRPr="00C168C5">
              <w:rPr>
                <w:szCs w:val="22"/>
                <w:lang w:val="es-ES_tradnl"/>
              </w:rPr>
              <w:t>Finalizado</w:t>
            </w:r>
          </w:p>
          <w:p w14:paraId="35E5E451" w14:textId="77777777" w:rsidR="00C91693" w:rsidRPr="00C168C5" w:rsidRDefault="00C91693" w:rsidP="00243943">
            <w:pPr>
              <w:rPr>
                <w:szCs w:val="22"/>
                <w:lang w:val="es-ES_tradnl"/>
              </w:rPr>
            </w:pPr>
          </w:p>
          <w:p w14:paraId="4F74C760" w14:textId="77777777" w:rsidR="00C91693" w:rsidRPr="00C168C5" w:rsidRDefault="00C91693" w:rsidP="00243943">
            <w:pPr>
              <w:rPr>
                <w:szCs w:val="22"/>
                <w:lang w:val="es-ES_tradnl"/>
              </w:rPr>
            </w:pPr>
            <w:r w:rsidRPr="00C168C5">
              <w:rPr>
                <w:szCs w:val="22"/>
                <w:lang w:val="es-ES_tradnl"/>
              </w:rPr>
              <w:t xml:space="preserve"> </w:t>
            </w:r>
          </w:p>
        </w:tc>
        <w:tc>
          <w:tcPr>
            <w:tcW w:w="3260" w:type="dxa"/>
            <w:shd w:val="clear" w:color="auto" w:fill="auto"/>
            <w:vAlign w:val="center"/>
          </w:tcPr>
          <w:p w14:paraId="4E118072" w14:textId="6425D1E8" w:rsidR="00C91693" w:rsidRPr="00C168C5" w:rsidRDefault="005E5677" w:rsidP="00243943">
            <w:pPr>
              <w:rPr>
                <w:szCs w:val="22"/>
                <w:lang w:val="es-ES_tradnl"/>
              </w:rPr>
            </w:pPr>
            <w:r w:rsidRPr="00C168C5">
              <w:rPr>
                <w:szCs w:val="22"/>
                <w:lang w:val="es-ES_tradnl"/>
              </w:rPr>
              <w:t>Diciembre de</w:t>
            </w:r>
            <w:r w:rsidR="00C91693" w:rsidRPr="00C168C5">
              <w:rPr>
                <w:szCs w:val="22"/>
                <w:lang w:val="es-ES_tradnl"/>
              </w:rPr>
              <w:t xml:space="preserve"> 2015</w:t>
            </w:r>
          </w:p>
          <w:p w14:paraId="107975B3" w14:textId="77777777" w:rsidR="00C91693" w:rsidRPr="00C168C5" w:rsidRDefault="00C91693" w:rsidP="00243943">
            <w:pPr>
              <w:rPr>
                <w:szCs w:val="22"/>
                <w:lang w:val="es-ES_tradnl"/>
              </w:rPr>
            </w:pPr>
          </w:p>
          <w:p w14:paraId="1EA5172A" w14:textId="77777777" w:rsidR="00C91693" w:rsidRPr="00C168C5" w:rsidRDefault="00C91693" w:rsidP="00243943">
            <w:pPr>
              <w:rPr>
                <w:szCs w:val="22"/>
                <w:lang w:val="es-ES_tradnl"/>
              </w:rPr>
            </w:pPr>
          </w:p>
        </w:tc>
        <w:tc>
          <w:tcPr>
            <w:tcW w:w="1048" w:type="dxa"/>
            <w:shd w:val="clear" w:color="auto" w:fill="auto"/>
            <w:vAlign w:val="center"/>
          </w:tcPr>
          <w:p w14:paraId="3E767682" w14:textId="77777777" w:rsidR="00C91693" w:rsidRPr="00C168C5" w:rsidRDefault="00C91693" w:rsidP="00243943">
            <w:pPr>
              <w:rPr>
                <w:szCs w:val="22"/>
                <w:lang w:val="es-ES_tradnl"/>
              </w:rPr>
            </w:pPr>
            <w:r w:rsidRPr="00C168C5">
              <w:rPr>
                <w:szCs w:val="22"/>
                <w:lang w:val="es-ES_tradnl"/>
              </w:rPr>
              <w:t>***</w:t>
            </w:r>
          </w:p>
          <w:p w14:paraId="61AD214E" w14:textId="77777777" w:rsidR="00C91693" w:rsidRPr="00C168C5" w:rsidRDefault="00C91693" w:rsidP="00243943">
            <w:pPr>
              <w:rPr>
                <w:szCs w:val="22"/>
                <w:lang w:val="es-ES_tradnl"/>
              </w:rPr>
            </w:pPr>
          </w:p>
          <w:p w14:paraId="49E3A37F" w14:textId="77777777" w:rsidR="00C91693" w:rsidRPr="00C168C5" w:rsidRDefault="00C91693" w:rsidP="00243943">
            <w:pPr>
              <w:rPr>
                <w:szCs w:val="22"/>
                <w:lang w:val="es-ES_tradnl"/>
              </w:rPr>
            </w:pPr>
          </w:p>
        </w:tc>
      </w:tr>
    </w:tbl>
    <w:p w14:paraId="63D142E0" w14:textId="77777777" w:rsidR="00C91693" w:rsidRPr="00C168C5" w:rsidRDefault="00C91693" w:rsidP="00C91693">
      <w:pPr>
        <w:rPr>
          <w:szCs w:val="22"/>
          <w:lang w:val="es-ES_tradnl"/>
        </w:rPr>
      </w:pPr>
    </w:p>
    <w:p w14:paraId="6DFF741F" w14:textId="77777777" w:rsidR="00C91693" w:rsidRPr="00C168C5" w:rsidRDefault="00C91693" w:rsidP="00C91693">
      <w:pPr>
        <w:rPr>
          <w:szCs w:val="22"/>
          <w:lang w:val="es-ES_tradnl"/>
        </w:rPr>
      </w:pPr>
      <w:r w:rsidRPr="00C168C5">
        <w:rPr>
          <w:szCs w:val="22"/>
          <w:lang w:val="es-ES_tradnl"/>
        </w:rPr>
        <w:br w:type="page"/>
      </w:r>
    </w:p>
    <w:tbl>
      <w:tblPr>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700"/>
        <w:gridCol w:w="3285"/>
        <w:gridCol w:w="963"/>
      </w:tblGrid>
      <w:tr w:rsidR="00C91693" w:rsidRPr="00C168C5" w14:paraId="25E078D8" w14:textId="77777777" w:rsidTr="00943F48">
        <w:trPr>
          <w:trHeight w:val="616"/>
          <w:tblHeader/>
        </w:trPr>
        <w:tc>
          <w:tcPr>
            <w:tcW w:w="2700" w:type="dxa"/>
            <w:tcBorders>
              <w:bottom w:val="single" w:sz="4" w:space="0" w:color="auto"/>
            </w:tcBorders>
            <w:shd w:val="clear" w:color="auto" w:fill="auto"/>
          </w:tcPr>
          <w:p w14:paraId="7C16C6EA" w14:textId="16A6F873" w:rsidR="00C91693" w:rsidRPr="00C168C5" w:rsidRDefault="00D56998" w:rsidP="00243943">
            <w:pPr>
              <w:pStyle w:val="Heading3"/>
              <w:rPr>
                <w:szCs w:val="22"/>
                <w:lang w:val="es-ES_tradnl"/>
              </w:rPr>
            </w:pPr>
            <w:r w:rsidRPr="00C168C5">
              <w:rPr>
                <w:szCs w:val="22"/>
                <w:lang w:val="es-ES_tradnl"/>
              </w:rPr>
              <w:lastRenderedPageBreak/>
              <w:t>Objetivos del proyecto</w:t>
            </w:r>
          </w:p>
        </w:tc>
        <w:tc>
          <w:tcPr>
            <w:tcW w:w="2700" w:type="dxa"/>
            <w:shd w:val="clear" w:color="auto" w:fill="auto"/>
          </w:tcPr>
          <w:p w14:paraId="7F8A20BB" w14:textId="4612BCDA" w:rsidR="00D56998" w:rsidRPr="00C168C5" w:rsidRDefault="00D56998" w:rsidP="00BC6B9F">
            <w:pPr>
              <w:keepNext/>
              <w:spacing w:before="240" w:after="60"/>
              <w:outlineLvl w:val="2"/>
              <w:rPr>
                <w:szCs w:val="22"/>
                <w:u w:val="single"/>
                <w:lang w:val="es-ES_tradnl"/>
              </w:rPr>
            </w:pPr>
            <w:r w:rsidRPr="00C168C5">
              <w:rPr>
                <w:szCs w:val="22"/>
                <w:u w:val="single"/>
                <w:lang w:val="es-ES_tradnl"/>
              </w:rPr>
              <w:t>Indicadores d</w:t>
            </w:r>
            <w:r w:rsidR="00BC6B9F" w:rsidRPr="00C168C5">
              <w:rPr>
                <w:szCs w:val="22"/>
                <w:u w:val="single"/>
                <w:lang w:val="es-ES_tradnl"/>
              </w:rPr>
              <w:t>e cumplimiento de los objetivos</w:t>
            </w:r>
            <w:r w:rsidR="00BC6B9F" w:rsidRPr="00C168C5">
              <w:rPr>
                <w:szCs w:val="22"/>
                <w:lang w:val="es-ES_tradnl"/>
              </w:rPr>
              <w:t xml:space="preserve"> </w:t>
            </w:r>
            <w:r w:rsidRPr="00C168C5">
              <w:rPr>
                <w:szCs w:val="22"/>
                <w:lang w:val="es-ES_tradnl"/>
              </w:rPr>
              <w:t>(Indicadores de resultado)</w:t>
            </w:r>
          </w:p>
          <w:p w14:paraId="3C93C966" w14:textId="77777777" w:rsidR="00C91693" w:rsidRPr="00C168C5" w:rsidRDefault="00C91693" w:rsidP="00D56998">
            <w:pPr>
              <w:autoSpaceDE w:val="0"/>
              <w:autoSpaceDN w:val="0"/>
              <w:adjustRightInd w:val="0"/>
              <w:rPr>
                <w:szCs w:val="22"/>
                <w:lang w:val="es-ES_tradnl"/>
              </w:rPr>
            </w:pPr>
          </w:p>
        </w:tc>
        <w:tc>
          <w:tcPr>
            <w:tcW w:w="3285" w:type="dxa"/>
            <w:shd w:val="clear" w:color="auto" w:fill="auto"/>
          </w:tcPr>
          <w:p w14:paraId="0CA220EE" w14:textId="667FFFBD" w:rsidR="00C91693" w:rsidRPr="00C168C5" w:rsidRDefault="00D56998" w:rsidP="00243943">
            <w:pPr>
              <w:pStyle w:val="Heading3"/>
              <w:rPr>
                <w:szCs w:val="22"/>
                <w:lang w:val="es-ES_tradnl"/>
              </w:rPr>
            </w:pPr>
            <w:r w:rsidRPr="00C168C5">
              <w:rPr>
                <w:szCs w:val="22"/>
                <w:lang w:val="es-ES_tradnl"/>
              </w:rPr>
              <w:t>Datos sobre el rendimiento</w:t>
            </w:r>
          </w:p>
        </w:tc>
        <w:tc>
          <w:tcPr>
            <w:tcW w:w="963" w:type="dxa"/>
            <w:shd w:val="clear" w:color="auto" w:fill="auto"/>
          </w:tcPr>
          <w:p w14:paraId="42D5F9E4" w14:textId="2180773B" w:rsidR="00C91693" w:rsidRPr="00C168C5" w:rsidRDefault="00943F48" w:rsidP="00243943">
            <w:pPr>
              <w:pStyle w:val="Heading3"/>
              <w:rPr>
                <w:szCs w:val="22"/>
                <w:lang w:val="es-ES_tradnl"/>
              </w:rPr>
            </w:pPr>
            <w:r w:rsidRPr="00C168C5">
              <w:rPr>
                <w:szCs w:val="22"/>
                <w:lang w:val="es-ES_tradnl"/>
              </w:rPr>
              <w:t>Clave de colores</w:t>
            </w:r>
          </w:p>
        </w:tc>
      </w:tr>
      <w:tr w:rsidR="00C91693" w:rsidRPr="00C168C5" w14:paraId="11DF1EDF" w14:textId="77777777" w:rsidTr="00943F48">
        <w:trPr>
          <w:trHeight w:val="509"/>
        </w:trPr>
        <w:tc>
          <w:tcPr>
            <w:tcW w:w="2700" w:type="dxa"/>
          </w:tcPr>
          <w:p w14:paraId="2F88C838" w14:textId="77777777" w:rsidR="00C91693" w:rsidRPr="00C168C5" w:rsidRDefault="00C91693" w:rsidP="00243943">
            <w:pPr>
              <w:rPr>
                <w:bCs/>
                <w:szCs w:val="22"/>
                <w:lang w:val="es-ES_tradnl"/>
              </w:rPr>
            </w:pPr>
          </w:p>
          <w:p w14:paraId="2D75C657" w14:textId="134C63F7" w:rsidR="00C91693" w:rsidRPr="00C168C5" w:rsidRDefault="00943F48" w:rsidP="00243943">
            <w:pPr>
              <w:rPr>
                <w:szCs w:val="22"/>
                <w:lang w:val="es-ES_tradnl"/>
              </w:rPr>
            </w:pPr>
            <w:r w:rsidRPr="00C168C5">
              <w:rPr>
                <w:szCs w:val="22"/>
                <w:lang w:val="es-ES_tradnl"/>
              </w:rPr>
              <w:t xml:space="preserve">Contribuir a que se haga mayor uso del sistema de P.I. para la financiación, producción y distribución de obras audiovisuales </w:t>
            </w:r>
          </w:p>
          <w:p w14:paraId="1A46C1B6" w14:textId="77777777" w:rsidR="00C91693" w:rsidRPr="00C168C5" w:rsidRDefault="00C91693" w:rsidP="00243943">
            <w:pPr>
              <w:rPr>
                <w:bCs/>
                <w:szCs w:val="22"/>
                <w:lang w:val="es-ES_tradnl"/>
              </w:rPr>
            </w:pPr>
          </w:p>
        </w:tc>
        <w:tc>
          <w:tcPr>
            <w:tcW w:w="2700" w:type="dxa"/>
            <w:shd w:val="clear" w:color="auto" w:fill="auto"/>
          </w:tcPr>
          <w:p w14:paraId="27822F3F" w14:textId="77777777" w:rsidR="00C91693" w:rsidRPr="00C168C5" w:rsidRDefault="00C91693" w:rsidP="00243943">
            <w:pPr>
              <w:rPr>
                <w:bCs/>
                <w:szCs w:val="22"/>
                <w:lang w:val="es-ES_tradnl"/>
              </w:rPr>
            </w:pPr>
          </w:p>
          <w:p w14:paraId="6BCF2395" w14:textId="77777777" w:rsidR="00A246B7" w:rsidRPr="00C168C5" w:rsidRDefault="00A246B7" w:rsidP="00A246B7">
            <w:pPr>
              <w:rPr>
                <w:bCs/>
                <w:szCs w:val="22"/>
                <w:lang w:val="es-ES_tradnl"/>
              </w:rPr>
            </w:pPr>
            <w:r w:rsidRPr="00C168C5">
              <w:rPr>
                <w:bCs/>
                <w:szCs w:val="22"/>
                <w:lang w:val="es-ES_tradnl"/>
              </w:rPr>
              <w:t>Los participantes hacen un uso más intenso de las competencias adquiridas para la financiación, producción y distribución de obras audiovisuales (por confirmar mediante un cuestionario de evaluación que se enviará a los participantes aproximadamente seis meses después de que haya concluido la capacitación).</w:t>
            </w:r>
          </w:p>
          <w:p w14:paraId="0494FD79" w14:textId="77777777" w:rsidR="00A246B7" w:rsidRPr="00C168C5" w:rsidRDefault="00A246B7" w:rsidP="00A246B7">
            <w:pPr>
              <w:rPr>
                <w:bCs/>
                <w:szCs w:val="22"/>
                <w:lang w:val="es-ES_tradnl"/>
              </w:rPr>
            </w:pPr>
          </w:p>
          <w:p w14:paraId="62CCC5A0" w14:textId="77777777" w:rsidR="00A246B7" w:rsidRPr="00C168C5" w:rsidRDefault="00A246B7" w:rsidP="00A246B7">
            <w:pPr>
              <w:rPr>
                <w:bCs/>
                <w:szCs w:val="22"/>
                <w:lang w:val="es-ES_tradnl"/>
              </w:rPr>
            </w:pPr>
            <w:r w:rsidRPr="00C168C5">
              <w:rPr>
                <w:bCs/>
                <w:szCs w:val="22"/>
                <w:lang w:val="es-ES_tradnl"/>
              </w:rPr>
              <w:t>Aumento del número de transacciones relacionadas con la P.I. en el sector audiovisual, en el ámbito de la producción y la distribución.</w:t>
            </w:r>
          </w:p>
          <w:p w14:paraId="64C66D94" w14:textId="47E0E634" w:rsidR="00A246B7" w:rsidRPr="00C168C5" w:rsidRDefault="00A246B7" w:rsidP="00A246B7">
            <w:pPr>
              <w:rPr>
                <w:bCs/>
                <w:szCs w:val="22"/>
                <w:lang w:val="es-ES_tradnl"/>
              </w:rPr>
            </w:pPr>
            <w:r w:rsidRPr="00C168C5">
              <w:rPr>
                <w:bCs/>
                <w:szCs w:val="22"/>
                <w:lang w:val="es-ES_tradnl"/>
              </w:rPr>
              <w:t xml:space="preserve">(La referencia de base se determinará en el documento de antecedentes). </w:t>
            </w:r>
          </w:p>
          <w:p w14:paraId="2B66BA88" w14:textId="77777777" w:rsidR="00A246B7" w:rsidRPr="00C168C5" w:rsidRDefault="00A246B7" w:rsidP="00A246B7">
            <w:pPr>
              <w:rPr>
                <w:bCs/>
                <w:szCs w:val="22"/>
                <w:lang w:val="es-ES_tradnl"/>
              </w:rPr>
            </w:pPr>
          </w:p>
          <w:p w14:paraId="1F0EBF3C" w14:textId="77777777" w:rsidR="00A246B7" w:rsidRPr="00C168C5" w:rsidRDefault="00A246B7" w:rsidP="00A246B7">
            <w:pPr>
              <w:rPr>
                <w:bCs/>
                <w:szCs w:val="22"/>
                <w:lang w:val="es-ES_tradnl"/>
              </w:rPr>
            </w:pPr>
            <w:r w:rsidRPr="00C168C5">
              <w:rPr>
                <w:bCs/>
                <w:szCs w:val="22"/>
                <w:lang w:val="es-ES_tradnl"/>
              </w:rPr>
              <w:t>Aumento de los canales legítimos de venta de derechos sobre películas africanas.</w:t>
            </w:r>
          </w:p>
          <w:p w14:paraId="32CC19CC" w14:textId="5CD67428" w:rsidR="00C91693" w:rsidRPr="00C168C5" w:rsidRDefault="00A246B7" w:rsidP="00A246B7">
            <w:pPr>
              <w:rPr>
                <w:szCs w:val="22"/>
                <w:lang w:val="es-ES_tradnl"/>
              </w:rPr>
            </w:pPr>
            <w:r w:rsidRPr="00C168C5">
              <w:rPr>
                <w:bCs/>
                <w:szCs w:val="22"/>
                <w:lang w:val="es-ES_tradnl"/>
              </w:rPr>
              <w:t>(La referencia de base se determinará en el documento de antecedentes).</w:t>
            </w:r>
          </w:p>
        </w:tc>
        <w:tc>
          <w:tcPr>
            <w:tcW w:w="3285" w:type="dxa"/>
            <w:shd w:val="clear" w:color="auto" w:fill="auto"/>
          </w:tcPr>
          <w:p w14:paraId="5B067BDA" w14:textId="77777777" w:rsidR="00C91693" w:rsidRPr="00C168C5" w:rsidRDefault="00C91693" w:rsidP="00243943">
            <w:pPr>
              <w:rPr>
                <w:szCs w:val="22"/>
                <w:lang w:val="es-ES_tradnl"/>
              </w:rPr>
            </w:pPr>
          </w:p>
          <w:p w14:paraId="65612F1E" w14:textId="56590FEC" w:rsidR="001E1362" w:rsidRPr="00C168C5" w:rsidRDefault="001E1362" w:rsidP="00243943">
            <w:pPr>
              <w:rPr>
                <w:iCs/>
                <w:szCs w:val="22"/>
                <w:lang w:val="es-ES_tradnl"/>
              </w:rPr>
            </w:pPr>
            <w:r w:rsidRPr="00C168C5">
              <w:rPr>
                <w:iCs/>
                <w:szCs w:val="22"/>
                <w:lang w:val="es-ES_tradnl"/>
              </w:rPr>
              <w:t xml:space="preserve">Profesionales cinematográficos  se han referido a que </w:t>
            </w:r>
            <w:r w:rsidR="00DD7DB0" w:rsidRPr="00C168C5">
              <w:rPr>
                <w:iCs/>
                <w:szCs w:val="22"/>
                <w:lang w:val="es-ES_tradnl"/>
              </w:rPr>
              <w:t xml:space="preserve">han aumentado </w:t>
            </w:r>
            <w:r w:rsidRPr="00C168C5">
              <w:rPr>
                <w:iCs/>
                <w:szCs w:val="22"/>
                <w:lang w:val="es-ES_tradnl"/>
              </w:rPr>
              <w:t>los contratos escritos en el sector gracias a la formación recibida.  Lo mismo puede decirse de los juristas que, gracias a la formación, son capaces de incorporar la contratación audiovisual en su ámbito de trabajo.</w:t>
            </w:r>
          </w:p>
          <w:p w14:paraId="44BC121A" w14:textId="77777777" w:rsidR="00C91693" w:rsidRPr="00C168C5" w:rsidRDefault="00C91693" w:rsidP="00243943">
            <w:pPr>
              <w:rPr>
                <w:szCs w:val="22"/>
                <w:lang w:val="es-ES_tradnl"/>
              </w:rPr>
            </w:pPr>
          </w:p>
          <w:p w14:paraId="7E0F4A8E" w14:textId="77777777" w:rsidR="00C91693" w:rsidRPr="00C168C5" w:rsidRDefault="00C91693" w:rsidP="00243943">
            <w:pPr>
              <w:rPr>
                <w:szCs w:val="22"/>
                <w:lang w:val="es-ES_tradnl"/>
              </w:rPr>
            </w:pPr>
          </w:p>
          <w:p w14:paraId="2BAC24FF" w14:textId="77777777" w:rsidR="00C91693" w:rsidRPr="00C168C5" w:rsidRDefault="00C91693" w:rsidP="00243943">
            <w:pPr>
              <w:rPr>
                <w:szCs w:val="22"/>
                <w:lang w:val="es-ES_tradnl"/>
              </w:rPr>
            </w:pPr>
          </w:p>
          <w:p w14:paraId="06140469" w14:textId="77777777" w:rsidR="00C91693" w:rsidRPr="00C168C5" w:rsidRDefault="00C91693" w:rsidP="00243943">
            <w:pPr>
              <w:rPr>
                <w:szCs w:val="22"/>
                <w:lang w:val="es-ES_tradnl"/>
              </w:rPr>
            </w:pPr>
          </w:p>
          <w:p w14:paraId="150CF5AB" w14:textId="77777777" w:rsidR="001E1362" w:rsidRPr="00C168C5" w:rsidRDefault="001E1362" w:rsidP="00243943">
            <w:pPr>
              <w:rPr>
                <w:szCs w:val="22"/>
                <w:lang w:val="es-ES_tradnl"/>
              </w:rPr>
            </w:pPr>
          </w:p>
          <w:p w14:paraId="2D396C20" w14:textId="77777777" w:rsidR="001E1362" w:rsidRPr="00C168C5" w:rsidRDefault="001E1362" w:rsidP="00243943">
            <w:pPr>
              <w:rPr>
                <w:szCs w:val="22"/>
                <w:lang w:val="es-ES_tradnl"/>
              </w:rPr>
            </w:pPr>
          </w:p>
          <w:p w14:paraId="35E03976" w14:textId="2F371FEF" w:rsidR="00C91693" w:rsidRPr="00C168C5" w:rsidRDefault="00826E09" w:rsidP="00243943">
            <w:pPr>
              <w:rPr>
                <w:szCs w:val="22"/>
                <w:lang w:val="es-ES_tradnl"/>
              </w:rPr>
            </w:pPr>
            <w:r w:rsidRPr="00C168C5">
              <w:rPr>
                <w:szCs w:val="22"/>
                <w:lang w:val="es-ES_tradnl"/>
              </w:rPr>
              <w:t>Es demasiado pronto para suministrar materiales</w:t>
            </w:r>
          </w:p>
          <w:p w14:paraId="76092B32" w14:textId="77777777" w:rsidR="00C91693" w:rsidRPr="00C168C5" w:rsidRDefault="00C91693" w:rsidP="00243943">
            <w:pPr>
              <w:rPr>
                <w:szCs w:val="22"/>
                <w:lang w:val="es-ES_tradnl"/>
              </w:rPr>
            </w:pPr>
          </w:p>
          <w:p w14:paraId="58CB1A5E" w14:textId="77777777" w:rsidR="00C91693" w:rsidRPr="00C168C5" w:rsidRDefault="00C91693" w:rsidP="00243943">
            <w:pPr>
              <w:rPr>
                <w:szCs w:val="22"/>
                <w:lang w:val="es-ES_tradnl"/>
              </w:rPr>
            </w:pPr>
          </w:p>
          <w:p w14:paraId="02BF7613" w14:textId="77777777" w:rsidR="00C91693" w:rsidRPr="00C168C5" w:rsidRDefault="00C91693" w:rsidP="00243943">
            <w:pPr>
              <w:rPr>
                <w:szCs w:val="22"/>
                <w:lang w:val="es-ES_tradnl"/>
              </w:rPr>
            </w:pPr>
          </w:p>
          <w:p w14:paraId="062155ED" w14:textId="77777777" w:rsidR="00C91693" w:rsidRPr="00C168C5" w:rsidRDefault="00C91693" w:rsidP="00243943">
            <w:pPr>
              <w:rPr>
                <w:szCs w:val="22"/>
                <w:lang w:val="es-ES_tradnl"/>
              </w:rPr>
            </w:pPr>
          </w:p>
          <w:p w14:paraId="47EA2038" w14:textId="77777777" w:rsidR="00C91693" w:rsidRPr="00C168C5" w:rsidRDefault="00C91693" w:rsidP="00243943">
            <w:pPr>
              <w:rPr>
                <w:szCs w:val="22"/>
                <w:lang w:val="es-ES_tradnl"/>
              </w:rPr>
            </w:pPr>
          </w:p>
          <w:p w14:paraId="7BE2DAE0" w14:textId="77777777" w:rsidR="00C91693" w:rsidRPr="00C168C5" w:rsidRDefault="00C91693" w:rsidP="00243943">
            <w:pPr>
              <w:rPr>
                <w:szCs w:val="22"/>
                <w:lang w:val="es-ES_tradnl"/>
              </w:rPr>
            </w:pPr>
          </w:p>
          <w:p w14:paraId="48F3AC6D" w14:textId="77777777" w:rsidR="00C91693" w:rsidRPr="00C168C5" w:rsidRDefault="00C91693" w:rsidP="00243943">
            <w:pPr>
              <w:rPr>
                <w:szCs w:val="22"/>
                <w:lang w:val="es-ES_tradnl"/>
              </w:rPr>
            </w:pPr>
          </w:p>
          <w:p w14:paraId="0EF5DAA6" w14:textId="77777777" w:rsidR="001E1362" w:rsidRPr="00C168C5" w:rsidRDefault="001E1362" w:rsidP="00243943">
            <w:pPr>
              <w:rPr>
                <w:szCs w:val="22"/>
                <w:lang w:val="es-ES_tradnl"/>
              </w:rPr>
            </w:pPr>
          </w:p>
          <w:p w14:paraId="08D1CFAD" w14:textId="77777777" w:rsidR="001E1362" w:rsidRPr="00C168C5" w:rsidRDefault="001E1362" w:rsidP="00243943">
            <w:pPr>
              <w:rPr>
                <w:szCs w:val="22"/>
                <w:lang w:val="es-ES_tradnl"/>
              </w:rPr>
            </w:pPr>
          </w:p>
          <w:p w14:paraId="7418CA41" w14:textId="77777777" w:rsidR="001E1362" w:rsidRPr="00C168C5" w:rsidRDefault="001E1362" w:rsidP="00243943">
            <w:pPr>
              <w:rPr>
                <w:szCs w:val="22"/>
                <w:lang w:val="es-ES_tradnl"/>
              </w:rPr>
            </w:pPr>
          </w:p>
          <w:p w14:paraId="49114F9A" w14:textId="3C68BD30" w:rsidR="00C91693" w:rsidRPr="00C168C5" w:rsidRDefault="00826E09" w:rsidP="00243943">
            <w:pPr>
              <w:rPr>
                <w:szCs w:val="22"/>
                <w:lang w:val="es-ES_tradnl"/>
              </w:rPr>
            </w:pPr>
            <w:r w:rsidRPr="00C168C5">
              <w:rPr>
                <w:szCs w:val="22"/>
                <w:lang w:val="es-ES_tradnl"/>
              </w:rPr>
              <w:t>Es demasiado pronto para suministrar materiales</w:t>
            </w:r>
          </w:p>
          <w:p w14:paraId="3827B29E" w14:textId="77777777" w:rsidR="00C91693" w:rsidRPr="00C168C5" w:rsidRDefault="00C91693" w:rsidP="00243943">
            <w:pPr>
              <w:rPr>
                <w:szCs w:val="22"/>
                <w:lang w:val="es-ES_tradnl"/>
              </w:rPr>
            </w:pPr>
          </w:p>
          <w:p w14:paraId="65FC31E9" w14:textId="77777777" w:rsidR="00C91693" w:rsidRPr="00C168C5" w:rsidRDefault="00C91693" w:rsidP="00243943">
            <w:pPr>
              <w:rPr>
                <w:szCs w:val="22"/>
                <w:lang w:val="es-ES_tradnl"/>
              </w:rPr>
            </w:pPr>
          </w:p>
          <w:p w14:paraId="1713A1AC" w14:textId="77777777" w:rsidR="00C91693" w:rsidRPr="00C168C5" w:rsidRDefault="00C91693" w:rsidP="00243943">
            <w:pPr>
              <w:rPr>
                <w:szCs w:val="22"/>
                <w:lang w:val="es-ES_tradnl"/>
              </w:rPr>
            </w:pPr>
          </w:p>
          <w:p w14:paraId="672DF7C8" w14:textId="77777777" w:rsidR="00C91693" w:rsidRPr="00C168C5" w:rsidRDefault="00C91693" w:rsidP="00243943">
            <w:pPr>
              <w:rPr>
                <w:szCs w:val="22"/>
                <w:lang w:val="es-ES_tradnl"/>
              </w:rPr>
            </w:pPr>
          </w:p>
          <w:p w14:paraId="6987AB9D" w14:textId="77777777" w:rsidR="00C91693" w:rsidRPr="00C168C5" w:rsidRDefault="00C91693" w:rsidP="00243943">
            <w:pPr>
              <w:rPr>
                <w:szCs w:val="22"/>
                <w:lang w:val="es-ES_tradnl"/>
              </w:rPr>
            </w:pPr>
          </w:p>
          <w:p w14:paraId="14CF9ED3" w14:textId="77777777" w:rsidR="00C91693" w:rsidRPr="00C168C5" w:rsidRDefault="00C91693" w:rsidP="00243943">
            <w:pPr>
              <w:rPr>
                <w:szCs w:val="22"/>
                <w:lang w:val="es-ES_tradnl"/>
              </w:rPr>
            </w:pPr>
          </w:p>
        </w:tc>
        <w:tc>
          <w:tcPr>
            <w:tcW w:w="963" w:type="dxa"/>
            <w:shd w:val="clear" w:color="auto" w:fill="auto"/>
          </w:tcPr>
          <w:p w14:paraId="7C0CB0A2" w14:textId="77777777" w:rsidR="00C91693" w:rsidRPr="00C168C5" w:rsidRDefault="00C91693" w:rsidP="00243943">
            <w:pPr>
              <w:rPr>
                <w:szCs w:val="22"/>
                <w:lang w:val="es-ES_tradnl"/>
              </w:rPr>
            </w:pPr>
          </w:p>
          <w:p w14:paraId="0DE12899" w14:textId="77777777" w:rsidR="00C91693" w:rsidRPr="00C168C5" w:rsidRDefault="00C91693" w:rsidP="00243943">
            <w:pPr>
              <w:rPr>
                <w:szCs w:val="22"/>
                <w:lang w:val="es-ES_tradnl"/>
              </w:rPr>
            </w:pPr>
            <w:r w:rsidRPr="00C168C5">
              <w:rPr>
                <w:szCs w:val="22"/>
                <w:lang w:val="es-ES_tradnl"/>
              </w:rPr>
              <w:t>***</w:t>
            </w:r>
          </w:p>
        </w:tc>
      </w:tr>
      <w:tr w:rsidR="00C91693" w:rsidRPr="00C168C5" w14:paraId="32DAD716" w14:textId="77777777" w:rsidTr="00943F48">
        <w:trPr>
          <w:trHeight w:val="509"/>
        </w:trPr>
        <w:tc>
          <w:tcPr>
            <w:tcW w:w="2700" w:type="dxa"/>
          </w:tcPr>
          <w:p w14:paraId="37B007B6" w14:textId="77777777" w:rsidR="00C91693" w:rsidRPr="00C168C5" w:rsidRDefault="00C91693" w:rsidP="00243943">
            <w:pPr>
              <w:rPr>
                <w:bCs/>
                <w:szCs w:val="22"/>
                <w:lang w:val="es-ES_tradnl"/>
              </w:rPr>
            </w:pPr>
          </w:p>
          <w:p w14:paraId="0CF772C4" w14:textId="1627AE7E" w:rsidR="00C91693" w:rsidRPr="00C168C5" w:rsidRDefault="001E1362" w:rsidP="00243943">
            <w:pPr>
              <w:rPr>
                <w:bCs/>
                <w:szCs w:val="22"/>
                <w:lang w:val="es-ES_tradnl"/>
              </w:rPr>
            </w:pPr>
            <w:r w:rsidRPr="00C168C5">
              <w:rPr>
                <w:bCs/>
                <w:szCs w:val="22"/>
                <w:lang w:val="es-ES_tradnl"/>
              </w:rPr>
              <w:t xml:space="preserve">Fomentar el desarrollo de un marco </w:t>
            </w:r>
            <w:r w:rsidR="00FB71FF" w:rsidRPr="00C168C5">
              <w:rPr>
                <w:bCs/>
                <w:szCs w:val="22"/>
                <w:lang w:val="es-ES_tradnl"/>
              </w:rPr>
              <w:t xml:space="preserve">y una infraestructura eficaces y equilibrados para el ejercicio y la gestión de las transacciones basadas en derechos de P.I. en el sector </w:t>
            </w:r>
            <w:r w:rsidR="00C91693" w:rsidRPr="00C168C5">
              <w:rPr>
                <w:bCs/>
                <w:szCs w:val="22"/>
                <w:lang w:val="es-ES_tradnl"/>
              </w:rPr>
              <w:t>audiovisual</w:t>
            </w:r>
          </w:p>
          <w:p w14:paraId="0BFA709E" w14:textId="77777777" w:rsidR="00C91693" w:rsidRPr="00C168C5" w:rsidRDefault="00C91693" w:rsidP="00243943">
            <w:pPr>
              <w:rPr>
                <w:szCs w:val="22"/>
                <w:lang w:val="es-ES_tradnl"/>
              </w:rPr>
            </w:pPr>
          </w:p>
        </w:tc>
        <w:tc>
          <w:tcPr>
            <w:tcW w:w="2700" w:type="dxa"/>
            <w:shd w:val="clear" w:color="auto" w:fill="auto"/>
          </w:tcPr>
          <w:p w14:paraId="21BF25B5" w14:textId="77777777" w:rsidR="00C91693" w:rsidRPr="00C168C5" w:rsidRDefault="00C91693" w:rsidP="00243943">
            <w:pPr>
              <w:rPr>
                <w:szCs w:val="22"/>
                <w:lang w:val="es-ES_tradnl"/>
              </w:rPr>
            </w:pPr>
          </w:p>
          <w:p w14:paraId="4196A858" w14:textId="068FBA49" w:rsidR="00C91693" w:rsidRPr="00C168C5" w:rsidRDefault="002F7060" w:rsidP="002F7060">
            <w:pPr>
              <w:rPr>
                <w:bCs/>
                <w:szCs w:val="22"/>
                <w:lang w:val="es-ES_tradnl"/>
              </w:rPr>
            </w:pPr>
            <w:r w:rsidRPr="00C168C5">
              <w:rPr>
                <w:bCs/>
                <w:szCs w:val="22"/>
                <w:lang w:val="es-ES_tradnl"/>
              </w:rPr>
              <w:t>Aumento del número de transacciones basa</w:t>
            </w:r>
            <w:r w:rsidR="0029754F" w:rsidRPr="00C168C5">
              <w:rPr>
                <w:bCs/>
                <w:szCs w:val="22"/>
                <w:lang w:val="es-ES_tradnl"/>
              </w:rPr>
              <w:t>das en P.I. para la concesión de</w:t>
            </w:r>
            <w:r w:rsidRPr="00C168C5">
              <w:rPr>
                <w:bCs/>
                <w:szCs w:val="22"/>
                <w:lang w:val="es-ES_tradnl"/>
              </w:rPr>
              <w:t xml:space="preserve"> licencia</w:t>
            </w:r>
            <w:r w:rsidR="0029754F" w:rsidRPr="00C168C5">
              <w:rPr>
                <w:bCs/>
                <w:szCs w:val="22"/>
                <w:lang w:val="es-ES_tradnl"/>
              </w:rPr>
              <w:t>s</w:t>
            </w:r>
            <w:r w:rsidRPr="00C168C5">
              <w:rPr>
                <w:bCs/>
                <w:szCs w:val="22"/>
                <w:lang w:val="es-ES_tradnl"/>
              </w:rPr>
              <w:t xml:space="preserve"> de derechos au</w:t>
            </w:r>
            <w:r w:rsidR="0029754F" w:rsidRPr="00C168C5">
              <w:rPr>
                <w:bCs/>
                <w:szCs w:val="22"/>
                <w:lang w:val="es-ES_tradnl"/>
              </w:rPr>
              <w:t>diovisuales mediante negociaciones</w:t>
            </w:r>
            <w:r w:rsidRPr="00C168C5">
              <w:rPr>
                <w:bCs/>
                <w:szCs w:val="22"/>
                <w:lang w:val="es-ES_tradnl"/>
              </w:rPr>
              <w:t xml:space="preserve"> colectiva</w:t>
            </w:r>
            <w:r w:rsidR="0029754F" w:rsidRPr="00C168C5">
              <w:rPr>
                <w:bCs/>
                <w:szCs w:val="22"/>
                <w:lang w:val="es-ES_tradnl"/>
              </w:rPr>
              <w:t>s</w:t>
            </w:r>
            <w:r w:rsidRPr="00C168C5">
              <w:rPr>
                <w:bCs/>
                <w:szCs w:val="22"/>
                <w:lang w:val="es-ES_tradnl"/>
              </w:rPr>
              <w:t xml:space="preserve"> y </w:t>
            </w:r>
            <w:r w:rsidR="0029754F" w:rsidRPr="00C168C5">
              <w:rPr>
                <w:bCs/>
                <w:szCs w:val="22"/>
                <w:lang w:val="es-ES_tradnl"/>
              </w:rPr>
              <w:t xml:space="preserve">prácticas de </w:t>
            </w:r>
            <w:r w:rsidRPr="00C168C5">
              <w:rPr>
                <w:bCs/>
                <w:szCs w:val="22"/>
                <w:lang w:val="es-ES_tradnl"/>
              </w:rPr>
              <w:t>concesión de licencias colectivas y aplicación de directrices.  (La referencia de ba</w:t>
            </w:r>
            <w:r w:rsidR="0029754F" w:rsidRPr="00C168C5">
              <w:rPr>
                <w:bCs/>
                <w:szCs w:val="22"/>
                <w:lang w:val="es-ES_tradnl"/>
              </w:rPr>
              <w:t>se se determinará en el estudio</w:t>
            </w:r>
            <w:r w:rsidRPr="00C168C5">
              <w:rPr>
                <w:bCs/>
                <w:szCs w:val="22"/>
                <w:lang w:val="es-ES_tradnl"/>
              </w:rPr>
              <w:t>)</w:t>
            </w:r>
            <w:r w:rsidR="0029754F" w:rsidRPr="00C168C5">
              <w:rPr>
                <w:bCs/>
                <w:szCs w:val="22"/>
                <w:lang w:val="es-ES_tradnl"/>
              </w:rPr>
              <w:t>.</w:t>
            </w:r>
          </w:p>
          <w:p w14:paraId="62956333" w14:textId="77777777" w:rsidR="002F7060" w:rsidRPr="00C168C5" w:rsidRDefault="002F7060" w:rsidP="002F7060">
            <w:pPr>
              <w:rPr>
                <w:bCs/>
                <w:szCs w:val="22"/>
                <w:lang w:val="es-ES_tradnl"/>
              </w:rPr>
            </w:pPr>
          </w:p>
          <w:p w14:paraId="505E5975" w14:textId="77777777" w:rsidR="00C91693" w:rsidRPr="00C168C5" w:rsidRDefault="0086028D" w:rsidP="0086028D">
            <w:pPr>
              <w:rPr>
                <w:bCs/>
                <w:szCs w:val="22"/>
                <w:lang w:val="es-ES_tradnl"/>
              </w:rPr>
            </w:pPr>
            <w:r w:rsidRPr="00C168C5">
              <w:rPr>
                <w:bCs/>
                <w:szCs w:val="22"/>
                <w:lang w:val="es-ES_tradnl"/>
              </w:rPr>
              <w:lastRenderedPageBreak/>
              <w:t>Desarrollo y aumento de una infraestructura de concesión de licencias sobre derechos audiovisuales que sea compatible con las normas internacionales, en particular, mediante organismos de gestión colectiva.  (La referencia de base se determinará en el estudio).</w:t>
            </w:r>
          </w:p>
          <w:p w14:paraId="4E9AB8D7" w14:textId="77777777" w:rsidR="00637D4D" w:rsidRPr="00C168C5" w:rsidRDefault="00637D4D" w:rsidP="0086028D">
            <w:pPr>
              <w:rPr>
                <w:bCs/>
                <w:szCs w:val="22"/>
                <w:lang w:val="es-ES_tradnl"/>
              </w:rPr>
            </w:pPr>
          </w:p>
          <w:p w14:paraId="20B1FA0E" w14:textId="77777777" w:rsidR="00637D4D" w:rsidRPr="00C168C5" w:rsidRDefault="00637D4D" w:rsidP="00637D4D">
            <w:pPr>
              <w:rPr>
                <w:bCs/>
                <w:szCs w:val="22"/>
                <w:lang w:val="es-ES_tradnl"/>
              </w:rPr>
            </w:pPr>
            <w:r w:rsidRPr="00C168C5">
              <w:rPr>
                <w:bCs/>
                <w:szCs w:val="22"/>
                <w:lang w:val="es-ES_tradnl"/>
              </w:rPr>
              <w:t>Puesta en marcha progresiva de instrumentos y normas comerciales adecuados para la gestión de las obras audiovisuales compatibles con las normas internacionales.</w:t>
            </w:r>
          </w:p>
          <w:p w14:paraId="47C87E6B" w14:textId="2D8A6468" w:rsidR="00637D4D" w:rsidRPr="00C168C5" w:rsidRDefault="00637D4D" w:rsidP="00637D4D">
            <w:pPr>
              <w:rPr>
                <w:bCs/>
                <w:szCs w:val="22"/>
                <w:lang w:val="es-ES_tradnl"/>
              </w:rPr>
            </w:pPr>
            <w:r w:rsidRPr="00C168C5">
              <w:rPr>
                <w:bCs/>
                <w:szCs w:val="22"/>
                <w:lang w:val="es-ES_tradnl"/>
              </w:rPr>
              <w:t xml:space="preserve">(La referencia de base se determinará </w:t>
            </w:r>
            <w:r w:rsidR="0029754F" w:rsidRPr="00C168C5">
              <w:rPr>
                <w:bCs/>
                <w:szCs w:val="22"/>
                <w:lang w:val="es-ES_tradnl"/>
              </w:rPr>
              <w:t>en el documento de antecedentes</w:t>
            </w:r>
            <w:r w:rsidRPr="00C168C5">
              <w:rPr>
                <w:bCs/>
                <w:szCs w:val="22"/>
                <w:lang w:val="es-ES_tradnl"/>
              </w:rPr>
              <w:t>)</w:t>
            </w:r>
            <w:r w:rsidR="0029754F" w:rsidRPr="00C168C5">
              <w:rPr>
                <w:bCs/>
                <w:szCs w:val="22"/>
                <w:lang w:val="es-ES_tradnl"/>
              </w:rPr>
              <w:t>.</w:t>
            </w:r>
          </w:p>
        </w:tc>
        <w:tc>
          <w:tcPr>
            <w:tcW w:w="3285" w:type="dxa"/>
            <w:shd w:val="clear" w:color="auto" w:fill="auto"/>
          </w:tcPr>
          <w:p w14:paraId="71A6B1EC" w14:textId="77777777" w:rsidR="00C91693" w:rsidRPr="00C168C5" w:rsidRDefault="00C91693" w:rsidP="00243943">
            <w:pPr>
              <w:rPr>
                <w:szCs w:val="22"/>
                <w:lang w:val="es-ES_tradnl"/>
              </w:rPr>
            </w:pPr>
          </w:p>
          <w:p w14:paraId="67F7225D" w14:textId="77777777" w:rsidR="002F7060" w:rsidRPr="00C168C5" w:rsidRDefault="002F7060" w:rsidP="002F7060">
            <w:pPr>
              <w:rPr>
                <w:szCs w:val="22"/>
                <w:lang w:val="es-ES_tradnl"/>
              </w:rPr>
            </w:pPr>
            <w:r w:rsidRPr="00C168C5">
              <w:rPr>
                <w:szCs w:val="22"/>
                <w:lang w:val="es-ES_tradnl"/>
              </w:rPr>
              <w:t>Es demasiado pronto para suministrar materiales</w:t>
            </w:r>
          </w:p>
          <w:p w14:paraId="05DC4267" w14:textId="77777777" w:rsidR="00C91693" w:rsidRPr="00C168C5" w:rsidRDefault="00C91693" w:rsidP="00243943">
            <w:pPr>
              <w:rPr>
                <w:szCs w:val="22"/>
                <w:lang w:val="es-ES_tradnl"/>
              </w:rPr>
            </w:pPr>
          </w:p>
          <w:p w14:paraId="6DEC1FF7" w14:textId="77777777" w:rsidR="00C91693" w:rsidRPr="00C168C5" w:rsidRDefault="00C91693" w:rsidP="00243943">
            <w:pPr>
              <w:rPr>
                <w:szCs w:val="22"/>
                <w:lang w:val="es-ES_tradnl"/>
              </w:rPr>
            </w:pPr>
          </w:p>
          <w:p w14:paraId="16932990" w14:textId="77777777" w:rsidR="00C91693" w:rsidRPr="00C168C5" w:rsidRDefault="00C91693" w:rsidP="00243943">
            <w:pPr>
              <w:rPr>
                <w:szCs w:val="22"/>
                <w:lang w:val="es-ES_tradnl"/>
              </w:rPr>
            </w:pPr>
          </w:p>
          <w:p w14:paraId="26AE4345" w14:textId="77777777" w:rsidR="00C91693" w:rsidRPr="00C168C5" w:rsidRDefault="00C91693" w:rsidP="00243943">
            <w:pPr>
              <w:rPr>
                <w:szCs w:val="22"/>
                <w:lang w:val="es-ES_tradnl"/>
              </w:rPr>
            </w:pPr>
          </w:p>
          <w:p w14:paraId="06576C43" w14:textId="77777777" w:rsidR="00C91693" w:rsidRPr="00C168C5" w:rsidRDefault="00C91693" w:rsidP="00243943">
            <w:pPr>
              <w:rPr>
                <w:szCs w:val="22"/>
                <w:lang w:val="es-ES_tradnl"/>
              </w:rPr>
            </w:pPr>
          </w:p>
          <w:p w14:paraId="62E0F0AC" w14:textId="77777777" w:rsidR="00C91693" w:rsidRPr="00C168C5" w:rsidRDefault="00C91693" w:rsidP="00243943">
            <w:pPr>
              <w:rPr>
                <w:szCs w:val="22"/>
                <w:lang w:val="es-ES_tradnl"/>
              </w:rPr>
            </w:pPr>
          </w:p>
          <w:p w14:paraId="6A7DE860" w14:textId="77777777" w:rsidR="00C91693" w:rsidRPr="00C168C5" w:rsidRDefault="00C91693" w:rsidP="00243943">
            <w:pPr>
              <w:rPr>
                <w:szCs w:val="22"/>
                <w:lang w:val="es-ES_tradnl"/>
              </w:rPr>
            </w:pPr>
          </w:p>
          <w:p w14:paraId="7B48884F" w14:textId="77777777" w:rsidR="00C91693" w:rsidRPr="00C168C5" w:rsidRDefault="00C91693" w:rsidP="00243943">
            <w:pPr>
              <w:rPr>
                <w:szCs w:val="22"/>
                <w:lang w:val="es-ES_tradnl"/>
              </w:rPr>
            </w:pPr>
          </w:p>
          <w:p w14:paraId="28A22BF2" w14:textId="77777777" w:rsidR="00C91693" w:rsidRPr="00C168C5" w:rsidRDefault="00C91693" w:rsidP="00243943">
            <w:pPr>
              <w:rPr>
                <w:szCs w:val="22"/>
                <w:lang w:val="es-ES_tradnl"/>
              </w:rPr>
            </w:pPr>
          </w:p>
          <w:p w14:paraId="707CB675" w14:textId="77777777" w:rsidR="00C91693" w:rsidRPr="00C168C5" w:rsidRDefault="00C91693" w:rsidP="00243943">
            <w:pPr>
              <w:rPr>
                <w:szCs w:val="22"/>
                <w:lang w:val="es-ES_tradnl"/>
              </w:rPr>
            </w:pPr>
          </w:p>
          <w:p w14:paraId="7B7094A5" w14:textId="77777777" w:rsidR="00C91693" w:rsidRPr="00C168C5" w:rsidRDefault="00C91693" w:rsidP="00243943">
            <w:pPr>
              <w:rPr>
                <w:szCs w:val="22"/>
                <w:lang w:val="es-ES_tradnl"/>
              </w:rPr>
            </w:pPr>
          </w:p>
          <w:p w14:paraId="668517EB" w14:textId="77AAF8E6" w:rsidR="00C91693" w:rsidRPr="00C168C5" w:rsidRDefault="0086028D" w:rsidP="00243943">
            <w:pPr>
              <w:rPr>
                <w:szCs w:val="22"/>
                <w:lang w:val="es-ES_tradnl"/>
              </w:rPr>
            </w:pPr>
            <w:r w:rsidRPr="00C168C5">
              <w:rPr>
                <w:szCs w:val="22"/>
                <w:lang w:val="es-ES_tradnl"/>
              </w:rPr>
              <w:lastRenderedPageBreak/>
              <w:t xml:space="preserve">Equipo técnico en curso para </w:t>
            </w:r>
            <w:r w:rsidR="00637D4D" w:rsidRPr="00C168C5">
              <w:rPr>
                <w:szCs w:val="22"/>
                <w:lang w:val="es-ES_tradnl"/>
              </w:rPr>
              <w:t xml:space="preserve">crear nuevos organismos de gestión colectiva en </w:t>
            </w:r>
            <w:r w:rsidR="00C91693" w:rsidRPr="00C168C5">
              <w:rPr>
                <w:szCs w:val="22"/>
                <w:lang w:val="es-ES_tradnl"/>
              </w:rPr>
              <w:t>Kenya</w:t>
            </w:r>
          </w:p>
          <w:p w14:paraId="1AF385D7" w14:textId="77777777" w:rsidR="00C91693" w:rsidRPr="00C168C5" w:rsidRDefault="00C91693" w:rsidP="00243943">
            <w:pPr>
              <w:rPr>
                <w:szCs w:val="22"/>
                <w:lang w:val="es-ES_tradnl"/>
              </w:rPr>
            </w:pPr>
          </w:p>
          <w:p w14:paraId="0B623910" w14:textId="77777777" w:rsidR="00C91693" w:rsidRPr="00C168C5" w:rsidRDefault="00C91693" w:rsidP="00243943">
            <w:pPr>
              <w:rPr>
                <w:szCs w:val="22"/>
                <w:lang w:val="es-ES_tradnl"/>
              </w:rPr>
            </w:pPr>
          </w:p>
          <w:p w14:paraId="29EDAE01" w14:textId="3D9DF64D" w:rsidR="00C91693" w:rsidRPr="00C168C5" w:rsidRDefault="0029754F" w:rsidP="00243943">
            <w:pPr>
              <w:rPr>
                <w:szCs w:val="22"/>
                <w:lang w:val="es-ES_tradnl"/>
              </w:rPr>
            </w:pPr>
            <w:r w:rsidRPr="00C168C5">
              <w:rPr>
                <w:szCs w:val="22"/>
                <w:lang w:val="es-ES_tradnl"/>
              </w:rPr>
              <w:t xml:space="preserve">Mayor capacidad </w:t>
            </w:r>
            <w:r w:rsidR="00637D4D" w:rsidRPr="00C168C5">
              <w:rPr>
                <w:szCs w:val="22"/>
                <w:lang w:val="es-ES_tradnl"/>
              </w:rPr>
              <w:t>en</w:t>
            </w:r>
            <w:r w:rsidR="00C91693" w:rsidRPr="00C168C5">
              <w:rPr>
                <w:szCs w:val="22"/>
                <w:lang w:val="es-ES_tradnl"/>
              </w:rPr>
              <w:t xml:space="preserve"> Burkina Faso</w:t>
            </w:r>
          </w:p>
          <w:p w14:paraId="1E3918FC" w14:textId="77777777" w:rsidR="00C91693" w:rsidRPr="00C168C5" w:rsidRDefault="00C91693" w:rsidP="00243943">
            <w:pPr>
              <w:rPr>
                <w:szCs w:val="22"/>
                <w:lang w:val="es-ES_tradnl"/>
              </w:rPr>
            </w:pPr>
          </w:p>
          <w:p w14:paraId="0F802D01" w14:textId="77777777" w:rsidR="00C91693" w:rsidRPr="00C168C5" w:rsidRDefault="00C91693" w:rsidP="00243943">
            <w:pPr>
              <w:rPr>
                <w:szCs w:val="22"/>
                <w:lang w:val="es-ES_tradnl"/>
              </w:rPr>
            </w:pPr>
          </w:p>
          <w:p w14:paraId="434B2E58" w14:textId="1BBE65F1" w:rsidR="00C91693" w:rsidRPr="00C168C5" w:rsidRDefault="0029754F" w:rsidP="00243943">
            <w:pPr>
              <w:rPr>
                <w:iCs/>
                <w:szCs w:val="22"/>
                <w:lang w:val="es-ES_tradnl"/>
              </w:rPr>
            </w:pPr>
            <w:r w:rsidRPr="00C168C5">
              <w:rPr>
                <w:iCs/>
                <w:szCs w:val="22"/>
                <w:lang w:val="es-ES_tradnl"/>
              </w:rPr>
              <w:t xml:space="preserve">En Senegal se ha pospuesto la </w:t>
            </w:r>
            <w:r w:rsidR="00C40834" w:rsidRPr="00C168C5">
              <w:rPr>
                <w:iCs/>
                <w:szCs w:val="22"/>
                <w:lang w:val="es-ES_tradnl"/>
              </w:rPr>
              <w:t xml:space="preserve">publicación de los decretos presidenciales que aprueban la creación de nuevos organismos de gestión colectiva firmados el 10 de abril de 2015.  Se está brindando apoyo a la nueva infraestructura. </w:t>
            </w:r>
          </w:p>
          <w:p w14:paraId="363DBB8A" w14:textId="73414636" w:rsidR="00C91693" w:rsidRPr="00C168C5" w:rsidRDefault="00C91693" w:rsidP="00243943">
            <w:pPr>
              <w:rPr>
                <w:szCs w:val="22"/>
                <w:lang w:val="es-ES_tradnl"/>
              </w:rPr>
            </w:pPr>
          </w:p>
        </w:tc>
        <w:tc>
          <w:tcPr>
            <w:tcW w:w="963" w:type="dxa"/>
            <w:shd w:val="clear" w:color="auto" w:fill="auto"/>
          </w:tcPr>
          <w:p w14:paraId="7950613D" w14:textId="77777777" w:rsidR="00C91693" w:rsidRPr="00C168C5" w:rsidRDefault="00C91693" w:rsidP="00243943">
            <w:pPr>
              <w:rPr>
                <w:szCs w:val="22"/>
                <w:lang w:val="es-ES_tradnl"/>
              </w:rPr>
            </w:pPr>
          </w:p>
          <w:p w14:paraId="1BAF65A3" w14:textId="77777777" w:rsidR="00C91693" w:rsidRPr="00C168C5" w:rsidRDefault="00C91693" w:rsidP="00243943">
            <w:pPr>
              <w:rPr>
                <w:szCs w:val="22"/>
                <w:lang w:val="es-ES_tradnl"/>
              </w:rPr>
            </w:pPr>
            <w:r w:rsidRPr="00C168C5">
              <w:rPr>
                <w:szCs w:val="22"/>
                <w:lang w:val="es-ES_tradnl"/>
              </w:rPr>
              <w:t>***</w:t>
            </w:r>
          </w:p>
        </w:tc>
      </w:tr>
    </w:tbl>
    <w:p w14:paraId="107A3BAA" w14:textId="77777777" w:rsidR="00C91693" w:rsidRPr="00C168C5" w:rsidRDefault="00C91693" w:rsidP="00C91693">
      <w:pPr>
        <w:pStyle w:val="Endofdocument-Annex"/>
        <w:rPr>
          <w:lang w:val="es-ES_tradnl"/>
        </w:rPr>
      </w:pPr>
    </w:p>
    <w:p w14:paraId="3C4FA5FA" w14:textId="77777777" w:rsidR="00C91693" w:rsidRPr="00C168C5" w:rsidRDefault="00C91693" w:rsidP="00C91693">
      <w:pPr>
        <w:pStyle w:val="Endofdocument-Annex"/>
        <w:rPr>
          <w:lang w:val="es-ES_tradnl"/>
        </w:rPr>
      </w:pPr>
    </w:p>
    <w:p w14:paraId="569F2AA8" w14:textId="77777777" w:rsidR="00C91693" w:rsidRPr="00C168C5" w:rsidRDefault="00C91693" w:rsidP="00C91693">
      <w:pPr>
        <w:pStyle w:val="Endofdocument-Annex"/>
        <w:rPr>
          <w:lang w:val="es-ES_tradnl"/>
        </w:rPr>
      </w:pPr>
    </w:p>
    <w:p w14:paraId="333449C5" w14:textId="77777777" w:rsidR="00C91693" w:rsidRPr="00C168C5" w:rsidRDefault="00C91693" w:rsidP="00C91693">
      <w:pPr>
        <w:pStyle w:val="Endofdocument-Annex"/>
        <w:rPr>
          <w:lang w:val="es-ES_tradnl"/>
        </w:rPr>
      </w:pPr>
      <w:r w:rsidRPr="00C168C5">
        <w:rPr>
          <w:lang w:val="es-ES_tradnl"/>
        </w:rPr>
        <w:t>[</w:t>
      </w:r>
      <w:r w:rsidR="00BA42C9" w:rsidRPr="00C168C5">
        <w:rPr>
          <w:lang w:val="es-ES_tradnl"/>
        </w:rPr>
        <w:t>Sigue el Anexo II</w:t>
      </w:r>
      <w:r w:rsidRPr="00C168C5">
        <w:rPr>
          <w:lang w:val="es-ES_tradnl"/>
        </w:rPr>
        <w:t>]</w:t>
      </w:r>
    </w:p>
    <w:p w14:paraId="77FEE321" w14:textId="77777777" w:rsidR="00C91693" w:rsidRPr="00C168C5" w:rsidRDefault="00C91693" w:rsidP="00C91693">
      <w:pPr>
        <w:rPr>
          <w:szCs w:val="22"/>
          <w:lang w:val="es-ES_tradnl"/>
        </w:rPr>
      </w:pPr>
    </w:p>
    <w:p w14:paraId="085C5DA8" w14:textId="77777777" w:rsidR="00C91693" w:rsidRPr="00C168C5" w:rsidRDefault="00C91693" w:rsidP="00C91693">
      <w:pPr>
        <w:rPr>
          <w:szCs w:val="22"/>
          <w:lang w:val="es-ES_tradnl"/>
        </w:rPr>
      </w:pPr>
    </w:p>
    <w:p w14:paraId="5A81A276" w14:textId="77777777" w:rsidR="00C91693" w:rsidRPr="00C168C5" w:rsidRDefault="00C91693" w:rsidP="00C91693">
      <w:pPr>
        <w:rPr>
          <w:szCs w:val="22"/>
          <w:lang w:val="es-ES_tradnl"/>
        </w:rPr>
        <w:sectPr w:rsidR="00C91693" w:rsidRPr="00C168C5" w:rsidSect="00243943">
          <w:headerReference w:type="default" r:id="rId12"/>
          <w:headerReference w:type="first" r:id="rId13"/>
          <w:pgSz w:w="11907" w:h="16840" w:code="9"/>
          <w:pgMar w:top="994" w:right="1411" w:bottom="993" w:left="1411" w:header="504" w:footer="576" w:gutter="0"/>
          <w:pgNumType w:start="1"/>
          <w:cols w:space="720"/>
          <w:titlePg/>
          <w:docGrid w:linePitch="299"/>
        </w:sectPr>
      </w:pPr>
    </w:p>
    <w:tbl>
      <w:tblPr>
        <w:tblpPr w:leftFromText="180" w:rightFromText="180" w:vertAnchor="text" w:horzAnchor="margin" w:tblpY="10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6930"/>
      </w:tblGrid>
      <w:tr w:rsidR="00C91693" w:rsidRPr="00C168C5" w14:paraId="23EABC39" w14:textId="77777777" w:rsidTr="00243943">
        <w:trPr>
          <w:trHeight w:val="432"/>
        </w:trPr>
        <w:tc>
          <w:tcPr>
            <w:tcW w:w="9288" w:type="dxa"/>
            <w:gridSpan w:val="2"/>
            <w:shd w:val="clear" w:color="auto" w:fill="auto"/>
            <w:vAlign w:val="center"/>
          </w:tcPr>
          <w:p w14:paraId="3A427E0E" w14:textId="63A28F18" w:rsidR="00C91693" w:rsidRPr="00C168C5" w:rsidRDefault="00045EFC" w:rsidP="00243943">
            <w:pPr>
              <w:rPr>
                <w:bCs/>
                <w:iCs/>
                <w:szCs w:val="22"/>
                <w:lang w:val="es-ES_tradnl"/>
              </w:rPr>
            </w:pPr>
            <w:r w:rsidRPr="00C168C5">
              <w:rPr>
                <w:rFonts w:eastAsia="Times New Roman"/>
                <w:lang w:val="es-ES_tradnl" w:eastAsia="en-US"/>
              </w:rPr>
              <w:lastRenderedPageBreak/>
              <w:t>RESUMEN DEL PROYECTO</w:t>
            </w:r>
          </w:p>
        </w:tc>
      </w:tr>
      <w:tr w:rsidR="00C91693" w:rsidRPr="00C168C5" w14:paraId="7DFE1563" w14:textId="77777777" w:rsidTr="00243943">
        <w:trPr>
          <w:trHeight w:val="496"/>
        </w:trPr>
        <w:tc>
          <w:tcPr>
            <w:tcW w:w="2358" w:type="dxa"/>
            <w:shd w:val="clear" w:color="auto" w:fill="auto"/>
          </w:tcPr>
          <w:p w14:paraId="7F43A813" w14:textId="77777777" w:rsidR="00C91693" w:rsidRPr="00C168C5" w:rsidRDefault="00C91693" w:rsidP="00243943">
            <w:pPr>
              <w:rPr>
                <w:bCs/>
                <w:szCs w:val="22"/>
                <w:u w:val="single"/>
                <w:lang w:val="es-ES_tradnl"/>
              </w:rPr>
            </w:pPr>
          </w:p>
          <w:p w14:paraId="6193EB25" w14:textId="1261F89D" w:rsidR="00C91693" w:rsidRPr="00C168C5" w:rsidRDefault="00045EFC" w:rsidP="00243943">
            <w:pPr>
              <w:rPr>
                <w:bCs/>
                <w:szCs w:val="22"/>
                <w:u w:val="single"/>
                <w:lang w:val="es-ES_tradnl"/>
              </w:rPr>
            </w:pPr>
            <w:r w:rsidRPr="00C168C5">
              <w:rPr>
                <w:u w:val="single"/>
                <w:lang w:val="es-ES_tradnl"/>
              </w:rPr>
              <w:t>Código del proyecto</w:t>
            </w:r>
          </w:p>
        </w:tc>
        <w:tc>
          <w:tcPr>
            <w:tcW w:w="6930" w:type="dxa"/>
            <w:shd w:val="clear" w:color="auto" w:fill="auto"/>
            <w:vAlign w:val="center"/>
          </w:tcPr>
          <w:p w14:paraId="02B0C93B" w14:textId="77777777" w:rsidR="00C91693" w:rsidRPr="00C168C5" w:rsidRDefault="00C91693" w:rsidP="00243943">
            <w:pPr>
              <w:rPr>
                <w:i/>
                <w:szCs w:val="22"/>
                <w:lang w:val="es-ES_tradnl"/>
              </w:rPr>
            </w:pPr>
          </w:p>
          <w:p w14:paraId="5324874B" w14:textId="77777777" w:rsidR="00C91693" w:rsidRPr="00C168C5" w:rsidRDefault="00C91693" w:rsidP="00243943">
            <w:pPr>
              <w:rPr>
                <w:szCs w:val="22"/>
                <w:lang w:val="es-ES_tradnl"/>
              </w:rPr>
            </w:pPr>
            <w:r w:rsidRPr="00C168C5">
              <w:rPr>
                <w:szCs w:val="22"/>
                <w:lang w:val="es-ES_tradnl"/>
              </w:rPr>
              <w:t>DA_4_10_02</w:t>
            </w:r>
          </w:p>
          <w:p w14:paraId="3B671E31" w14:textId="77777777" w:rsidR="00C91693" w:rsidRPr="00C168C5" w:rsidRDefault="00C91693" w:rsidP="00243943">
            <w:pPr>
              <w:rPr>
                <w:szCs w:val="22"/>
                <w:lang w:val="es-ES_tradnl"/>
              </w:rPr>
            </w:pPr>
          </w:p>
        </w:tc>
      </w:tr>
      <w:tr w:rsidR="00C91693" w:rsidRPr="00C168C5" w14:paraId="633D762A" w14:textId="77777777" w:rsidTr="00243943">
        <w:trPr>
          <w:trHeight w:val="404"/>
        </w:trPr>
        <w:tc>
          <w:tcPr>
            <w:tcW w:w="2358" w:type="dxa"/>
            <w:shd w:val="clear" w:color="auto" w:fill="auto"/>
          </w:tcPr>
          <w:p w14:paraId="17878422" w14:textId="77777777" w:rsidR="00C91693" w:rsidRPr="00C168C5" w:rsidRDefault="00C91693" w:rsidP="00243943">
            <w:pPr>
              <w:rPr>
                <w:bCs/>
                <w:szCs w:val="22"/>
                <w:u w:val="single"/>
                <w:lang w:val="es-ES_tradnl"/>
              </w:rPr>
            </w:pPr>
          </w:p>
          <w:p w14:paraId="17D66BB9" w14:textId="3D7B6841" w:rsidR="00C91693" w:rsidRPr="00C168C5" w:rsidRDefault="00045EFC" w:rsidP="00045EFC">
            <w:pPr>
              <w:rPr>
                <w:szCs w:val="22"/>
                <w:u w:val="single"/>
                <w:lang w:val="es-ES_tradnl"/>
              </w:rPr>
            </w:pPr>
            <w:r w:rsidRPr="00C168C5">
              <w:rPr>
                <w:szCs w:val="22"/>
                <w:u w:val="single"/>
                <w:lang w:val="es-ES_tradnl"/>
              </w:rPr>
              <w:t>Título</w:t>
            </w:r>
          </w:p>
        </w:tc>
        <w:tc>
          <w:tcPr>
            <w:tcW w:w="6930" w:type="dxa"/>
            <w:shd w:val="clear" w:color="auto" w:fill="auto"/>
            <w:vAlign w:val="center"/>
          </w:tcPr>
          <w:p w14:paraId="17EF5A85" w14:textId="77777777" w:rsidR="00C91693" w:rsidRPr="00C168C5" w:rsidRDefault="00C91693" w:rsidP="00243943">
            <w:pPr>
              <w:rPr>
                <w:szCs w:val="22"/>
                <w:lang w:val="es-ES_tradnl"/>
              </w:rPr>
            </w:pPr>
          </w:p>
          <w:p w14:paraId="3EED06C2" w14:textId="3125D282" w:rsidR="00C91693" w:rsidRPr="00C168C5" w:rsidRDefault="00045EFC" w:rsidP="00045EFC">
            <w:pPr>
              <w:rPr>
                <w:rFonts w:eastAsia="Malgun Gothic"/>
                <w:i/>
                <w:kern w:val="2"/>
                <w:lang w:val="es-ES_tradnl" w:eastAsia="ko-KR"/>
              </w:rPr>
            </w:pPr>
            <w:r w:rsidRPr="00C168C5">
              <w:rPr>
                <w:rFonts w:eastAsia="Malgun Gothic"/>
                <w:i/>
                <w:kern w:val="2"/>
                <w:lang w:val="es-ES_tradnl" w:eastAsia="ko-KR"/>
              </w:rPr>
              <w:t>Proyecto piloto sobre la propiedad intelectual (P.I.) y la gestión de diseños para fomentar las actividades comerciales en los países en desarrollo y los</w:t>
            </w:r>
            <w:r w:rsidR="00C135D5" w:rsidRPr="00C168C5">
              <w:rPr>
                <w:rFonts w:eastAsia="Malgun Gothic"/>
                <w:i/>
                <w:kern w:val="2"/>
                <w:lang w:val="es-ES_tradnl" w:eastAsia="ko-KR"/>
              </w:rPr>
              <w:t xml:space="preserve"> países menos adelantados (PMA)</w:t>
            </w:r>
          </w:p>
          <w:p w14:paraId="789E12A0" w14:textId="6A078E5A" w:rsidR="00045EFC" w:rsidRPr="00C168C5" w:rsidRDefault="00045EFC" w:rsidP="00045EFC">
            <w:pPr>
              <w:rPr>
                <w:iCs/>
                <w:szCs w:val="22"/>
                <w:lang w:val="es-ES_tradnl"/>
              </w:rPr>
            </w:pPr>
          </w:p>
        </w:tc>
      </w:tr>
      <w:tr w:rsidR="00C91693" w:rsidRPr="00C168C5" w14:paraId="03C9A770" w14:textId="77777777" w:rsidTr="00243943">
        <w:tc>
          <w:tcPr>
            <w:tcW w:w="2358" w:type="dxa"/>
            <w:shd w:val="clear" w:color="auto" w:fill="auto"/>
          </w:tcPr>
          <w:p w14:paraId="0CD9893F" w14:textId="77777777" w:rsidR="00045EFC" w:rsidRPr="00C168C5" w:rsidRDefault="00045EFC" w:rsidP="00045EFC">
            <w:pPr>
              <w:pStyle w:val="Heading3"/>
              <w:rPr>
                <w:lang w:val="es-ES_tradnl"/>
              </w:rPr>
            </w:pPr>
            <w:r w:rsidRPr="00C168C5">
              <w:rPr>
                <w:lang w:val="es-ES_tradnl"/>
              </w:rPr>
              <w:t>Recomendación de la Agenda para el Desarrollo</w:t>
            </w:r>
          </w:p>
          <w:p w14:paraId="44340EB3" w14:textId="77777777" w:rsidR="00C91693" w:rsidRPr="00C168C5" w:rsidRDefault="00C91693" w:rsidP="00045EFC">
            <w:pPr>
              <w:rPr>
                <w:szCs w:val="22"/>
                <w:lang w:val="es-ES_tradnl"/>
              </w:rPr>
            </w:pPr>
          </w:p>
        </w:tc>
        <w:tc>
          <w:tcPr>
            <w:tcW w:w="6930" w:type="dxa"/>
            <w:shd w:val="clear" w:color="auto" w:fill="auto"/>
          </w:tcPr>
          <w:p w14:paraId="1C24C2F2" w14:textId="77777777" w:rsidR="00C91693" w:rsidRPr="00C168C5" w:rsidRDefault="00C91693" w:rsidP="00243943">
            <w:pPr>
              <w:rPr>
                <w:i/>
                <w:szCs w:val="22"/>
                <w:lang w:val="es-ES_tradnl"/>
              </w:rPr>
            </w:pPr>
          </w:p>
          <w:p w14:paraId="3076E7F5" w14:textId="7341FFAE" w:rsidR="00045EFC" w:rsidRPr="00C168C5" w:rsidRDefault="00045EFC" w:rsidP="00045EFC">
            <w:pPr>
              <w:rPr>
                <w:rFonts w:eastAsia="Malgun Gothic"/>
                <w:kern w:val="2"/>
                <w:lang w:val="es-ES_tradnl" w:eastAsia="ko-KR"/>
              </w:rPr>
            </w:pPr>
            <w:r w:rsidRPr="00C168C5">
              <w:rPr>
                <w:rFonts w:eastAsia="Malgun Gothic"/>
                <w:i/>
                <w:kern w:val="2"/>
                <w:lang w:val="es-ES_tradnl" w:eastAsia="ko-KR"/>
              </w:rPr>
              <w:t>Recomendación 4:</w:t>
            </w:r>
            <w:r w:rsidRPr="00C168C5">
              <w:rPr>
                <w:rFonts w:eastAsia="Malgun Gothic"/>
                <w:kern w:val="2"/>
                <w:lang w:val="es-ES_tradnl" w:eastAsia="ko-KR"/>
              </w:rPr>
              <w:t xml:space="preserve">  Destacar, en particular, las necesidades de las </w:t>
            </w:r>
            <w:r w:rsidR="00C135D5" w:rsidRPr="00C168C5">
              <w:rPr>
                <w:rFonts w:eastAsia="Malgun Gothic"/>
                <w:kern w:val="2"/>
                <w:lang w:val="es-ES_tradnl" w:eastAsia="ko-KR"/>
              </w:rPr>
              <w:t>pequeñas y medianas empresas</w:t>
            </w:r>
            <w:r w:rsidRPr="00C168C5">
              <w:rPr>
                <w:rFonts w:eastAsia="Malgun Gothic"/>
                <w:kern w:val="2"/>
                <w:lang w:val="es-ES_tradnl" w:eastAsia="ko-KR"/>
              </w:rPr>
              <w:t xml:space="preserve"> y las instituciones de investigación científica, así como las industrias culturales, y asistir a los Estados miembros, cuando éstos lo soliciten, en el establecimiento de estrategias nacionales adecuadas en el campo de la P.I.</w:t>
            </w:r>
          </w:p>
          <w:p w14:paraId="5CAD691C" w14:textId="77777777" w:rsidR="00045EFC" w:rsidRPr="00C168C5" w:rsidRDefault="00045EFC" w:rsidP="00045EFC">
            <w:pPr>
              <w:rPr>
                <w:rFonts w:eastAsia="Malgun Gothic"/>
                <w:kern w:val="2"/>
                <w:lang w:val="es-ES_tradnl" w:eastAsia="ko-KR"/>
              </w:rPr>
            </w:pPr>
          </w:p>
          <w:p w14:paraId="2368CA24" w14:textId="3E5470E8" w:rsidR="00C91693" w:rsidRPr="00C168C5" w:rsidRDefault="00045EFC" w:rsidP="00045EFC">
            <w:pPr>
              <w:rPr>
                <w:szCs w:val="22"/>
                <w:lang w:val="es-ES_tradnl"/>
              </w:rPr>
            </w:pPr>
            <w:r w:rsidRPr="00C168C5">
              <w:rPr>
                <w:rFonts w:eastAsia="Malgun Gothic"/>
                <w:i/>
                <w:kern w:val="2"/>
                <w:lang w:val="es-ES_tradnl" w:eastAsia="ko-KR"/>
              </w:rPr>
              <w:t>Recomendación 10:</w:t>
            </w:r>
            <w:r w:rsidRPr="00C168C5">
              <w:rPr>
                <w:rFonts w:eastAsia="Malgun Gothic"/>
                <w:kern w:val="2"/>
                <w:lang w:val="es-ES_tradnl" w:eastAsia="ko-KR"/>
              </w:rPr>
              <w:t xml:space="preserve">  Ayudar a los Estados miembros a fomentar y mejorar la capacidad de las instituciones nacionales de P.I. mediante el desarrollo de la infraestructura y de otros servicios, para que dichas instituciones sean más eficaces y lograr un equilibrio adecuado entre la protección de</w:t>
            </w:r>
            <w:r w:rsidR="00C135D5" w:rsidRPr="00C168C5">
              <w:rPr>
                <w:rFonts w:eastAsia="Malgun Gothic"/>
                <w:kern w:val="2"/>
                <w:lang w:val="es-ES_tradnl" w:eastAsia="ko-KR"/>
              </w:rPr>
              <w:t xml:space="preserve"> la P.I. y el interés público. </w:t>
            </w:r>
            <w:r w:rsidRPr="00C168C5">
              <w:rPr>
                <w:rFonts w:eastAsia="Malgun Gothic"/>
                <w:kern w:val="2"/>
                <w:lang w:val="es-ES_tradnl" w:eastAsia="ko-KR"/>
              </w:rPr>
              <w:t xml:space="preserve"> Este tipo de asistencia técnica debe beneficiar también a las organizaciones regionales y subregionales de P.I.</w:t>
            </w:r>
          </w:p>
          <w:p w14:paraId="061F8F50" w14:textId="77777777" w:rsidR="00C91693" w:rsidRPr="00C168C5" w:rsidRDefault="00C91693" w:rsidP="00243943">
            <w:pPr>
              <w:rPr>
                <w:szCs w:val="22"/>
                <w:lang w:val="es-ES_tradnl"/>
              </w:rPr>
            </w:pPr>
          </w:p>
        </w:tc>
      </w:tr>
      <w:tr w:rsidR="00C91693" w:rsidRPr="00C168C5" w14:paraId="75AFBBB3" w14:textId="77777777" w:rsidTr="00243943">
        <w:tc>
          <w:tcPr>
            <w:tcW w:w="2358" w:type="dxa"/>
            <w:shd w:val="clear" w:color="auto" w:fill="auto"/>
          </w:tcPr>
          <w:p w14:paraId="6A293014" w14:textId="77777777" w:rsidR="00C91693" w:rsidRPr="00C168C5" w:rsidRDefault="00C91693" w:rsidP="00243943">
            <w:pPr>
              <w:rPr>
                <w:bCs/>
                <w:szCs w:val="22"/>
                <w:u w:val="single"/>
                <w:lang w:val="es-ES_tradnl"/>
              </w:rPr>
            </w:pPr>
          </w:p>
          <w:p w14:paraId="4926588A" w14:textId="7257F9B9" w:rsidR="00C91693" w:rsidRPr="00C168C5" w:rsidRDefault="00045EFC" w:rsidP="00243943">
            <w:pPr>
              <w:rPr>
                <w:bCs/>
                <w:szCs w:val="22"/>
                <w:u w:val="single"/>
                <w:lang w:val="es-ES_tradnl"/>
              </w:rPr>
            </w:pPr>
            <w:r w:rsidRPr="00C168C5">
              <w:rPr>
                <w:u w:val="single"/>
                <w:lang w:val="es-ES_tradnl"/>
              </w:rPr>
              <w:t>Presupuesto del proyecto</w:t>
            </w:r>
          </w:p>
          <w:p w14:paraId="5F1F87D6" w14:textId="77777777" w:rsidR="00C91693" w:rsidRPr="00C168C5" w:rsidRDefault="00C91693" w:rsidP="00243943">
            <w:pPr>
              <w:rPr>
                <w:szCs w:val="22"/>
                <w:lang w:val="es-ES_tradnl"/>
              </w:rPr>
            </w:pPr>
          </w:p>
        </w:tc>
        <w:tc>
          <w:tcPr>
            <w:tcW w:w="6930" w:type="dxa"/>
            <w:shd w:val="clear" w:color="auto" w:fill="auto"/>
          </w:tcPr>
          <w:p w14:paraId="57AB178C" w14:textId="77777777" w:rsidR="00C91693" w:rsidRPr="00C168C5" w:rsidRDefault="00C91693" w:rsidP="00243943">
            <w:pPr>
              <w:rPr>
                <w:szCs w:val="22"/>
                <w:lang w:val="es-ES_tradnl"/>
              </w:rPr>
            </w:pPr>
          </w:p>
          <w:p w14:paraId="59B34AE5" w14:textId="64C7E1AE" w:rsidR="00C91693" w:rsidRPr="00C168C5" w:rsidRDefault="00C91693" w:rsidP="00243943">
            <w:pPr>
              <w:rPr>
                <w:szCs w:val="22"/>
                <w:lang w:val="es-ES_tradnl"/>
              </w:rPr>
            </w:pPr>
            <w:r w:rsidRPr="00C168C5">
              <w:rPr>
                <w:szCs w:val="22"/>
                <w:lang w:val="es-ES_tradnl"/>
              </w:rPr>
              <w:t xml:space="preserve">Total </w:t>
            </w:r>
            <w:r w:rsidR="006952E7" w:rsidRPr="00C168C5">
              <w:rPr>
                <w:szCs w:val="22"/>
                <w:lang w:val="es-ES_tradnl"/>
              </w:rPr>
              <w:t xml:space="preserve">de gastos no relativos al personal </w:t>
            </w:r>
            <w:r w:rsidR="00FA001E" w:rsidRPr="00C168C5">
              <w:rPr>
                <w:szCs w:val="22"/>
                <w:lang w:val="es-ES_tradnl"/>
              </w:rPr>
              <w:t>para el proyecto:  250.</w:t>
            </w:r>
            <w:r w:rsidRPr="00C168C5">
              <w:rPr>
                <w:szCs w:val="22"/>
                <w:lang w:val="es-ES_tradnl"/>
              </w:rPr>
              <w:t xml:space="preserve">000 </w:t>
            </w:r>
            <w:r w:rsidR="00C135D5" w:rsidRPr="00C168C5">
              <w:rPr>
                <w:szCs w:val="22"/>
                <w:lang w:val="es-ES_tradnl"/>
              </w:rPr>
              <w:t>francos suizos</w:t>
            </w:r>
          </w:p>
          <w:p w14:paraId="4E4D28C1" w14:textId="77777777" w:rsidR="00C91693" w:rsidRPr="00C168C5" w:rsidRDefault="00C91693" w:rsidP="00243943">
            <w:pPr>
              <w:rPr>
                <w:szCs w:val="22"/>
                <w:lang w:val="es-ES_tradnl"/>
              </w:rPr>
            </w:pPr>
          </w:p>
          <w:p w14:paraId="01214DBB" w14:textId="3111EB43" w:rsidR="00C91693" w:rsidRPr="00C168C5" w:rsidRDefault="00FA001E" w:rsidP="00FA001E">
            <w:pPr>
              <w:rPr>
                <w:szCs w:val="22"/>
                <w:lang w:val="es-ES_tradnl"/>
              </w:rPr>
            </w:pPr>
            <w:r w:rsidRPr="00C168C5">
              <w:rPr>
                <w:szCs w:val="22"/>
                <w:lang w:val="es-ES_tradnl"/>
              </w:rPr>
              <w:t>Estimación de los recursos humanos necesarios</w:t>
            </w:r>
            <w:r w:rsidR="00C91693" w:rsidRPr="00C168C5">
              <w:rPr>
                <w:szCs w:val="22"/>
                <w:lang w:val="es-ES_tradnl"/>
              </w:rPr>
              <w:t xml:space="preserve">:  </w:t>
            </w:r>
            <w:r w:rsidRPr="00C168C5">
              <w:rPr>
                <w:szCs w:val="22"/>
                <w:lang w:val="es-ES_tradnl"/>
              </w:rPr>
              <w:t xml:space="preserve">Un administrador de proyecto de nivel </w:t>
            </w:r>
            <w:r w:rsidR="00C91693" w:rsidRPr="00C168C5">
              <w:rPr>
                <w:szCs w:val="22"/>
                <w:lang w:val="es-ES_tradnl"/>
              </w:rPr>
              <w:t xml:space="preserve">P2 - P3 </w:t>
            </w:r>
            <w:r w:rsidRPr="00C168C5">
              <w:rPr>
                <w:szCs w:val="22"/>
                <w:lang w:val="es-ES_tradnl"/>
              </w:rPr>
              <w:t>(237.</w:t>
            </w:r>
            <w:r w:rsidR="00C91693" w:rsidRPr="00C168C5">
              <w:rPr>
                <w:szCs w:val="22"/>
                <w:lang w:val="es-ES_tradnl"/>
              </w:rPr>
              <w:t>000</w:t>
            </w:r>
            <w:r w:rsidRPr="00C168C5">
              <w:rPr>
                <w:szCs w:val="22"/>
                <w:lang w:val="es-ES_tradnl"/>
              </w:rPr>
              <w:t xml:space="preserve"> francos suizos</w:t>
            </w:r>
            <w:r w:rsidR="00C91693" w:rsidRPr="00C168C5">
              <w:rPr>
                <w:szCs w:val="22"/>
                <w:lang w:val="es-ES_tradnl"/>
              </w:rPr>
              <w:t>)</w:t>
            </w:r>
          </w:p>
        </w:tc>
      </w:tr>
      <w:tr w:rsidR="00C91693" w:rsidRPr="00C168C5" w14:paraId="659E766B" w14:textId="77777777" w:rsidTr="00243943">
        <w:tc>
          <w:tcPr>
            <w:tcW w:w="2358" w:type="dxa"/>
            <w:shd w:val="clear" w:color="auto" w:fill="auto"/>
          </w:tcPr>
          <w:p w14:paraId="71C0A7C7" w14:textId="77777777" w:rsidR="00C91693" w:rsidRPr="00C168C5" w:rsidRDefault="00C91693" w:rsidP="00243943">
            <w:pPr>
              <w:rPr>
                <w:bCs/>
                <w:szCs w:val="22"/>
                <w:u w:val="single"/>
                <w:lang w:val="es-ES_tradnl"/>
              </w:rPr>
            </w:pPr>
          </w:p>
          <w:p w14:paraId="06F17C4D" w14:textId="02EDA70E" w:rsidR="00C91693" w:rsidRPr="00C168C5" w:rsidRDefault="00FA001E" w:rsidP="00FA001E">
            <w:pPr>
              <w:rPr>
                <w:bCs/>
                <w:szCs w:val="22"/>
                <w:u w:val="single"/>
                <w:lang w:val="es-ES_tradnl"/>
              </w:rPr>
            </w:pPr>
            <w:r w:rsidRPr="00C168C5">
              <w:rPr>
                <w:bCs/>
                <w:szCs w:val="22"/>
                <w:u w:val="single"/>
                <w:lang w:val="es-ES_tradnl"/>
              </w:rPr>
              <w:t>Fecha de inicio del proyecto</w:t>
            </w:r>
          </w:p>
        </w:tc>
        <w:tc>
          <w:tcPr>
            <w:tcW w:w="6930" w:type="dxa"/>
            <w:shd w:val="clear" w:color="auto" w:fill="auto"/>
          </w:tcPr>
          <w:p w14:paraId="793A44F3" w14:textId="77777777" w:rsidR="00C91693" w:rsidRPr="00C168C5" w:rsidRDefault="00C91693" w:rsidP="00243943">
            <w:pPr>
              <w:rPr>
                <w:szCs w:val="22"/>
                <w:lang w:val="es-ES_tradnl"/>
              </w:rPr>
            </w:pPr>
          </w:p>
          <w:p w14:paraId="4B741A35" w14:textId="55D48420" w:rsidR="00C91693" w:rsidRPr="00C168C5" w:rsidRDefault="00FA001E" w:rsidP="00243943">
            <w:pPr>
              <w:rPr>
                <w:szCs w:val="22"/>
                <w:lang w:val="es-ES_tradnl"/>
              </w:rPr>
            </w:pPr>
            <w:r w:rsidRPr="00C168C5">
              <w:rPr>
                <w:szCs w:val="22"/>
                <w:lang w:val="es-ES_tradnl"/>
              </w:rPr>
              <w:t>1 de abril de</w:t>
            </w:r>
            <w:r w:rsidR="00C91693" w:rsidRPr="00C168C5">
              <w:rPr>
                <w:szCs w:val="22"/>
                <w:lang w:val="es-ES_tradnl"/>
              </w:rPr>
              <w:t xml:space="preserve"> 2014</w:t>
            </w:r>
          </w:p>
          <w:p w14:paraId="401E4DE1" w14:textId="77777777" w:rsidR="00C91693" w:rsidRPr="00C168C5" w:rsidRDefault="00C91693" w:rsidP="00243943">
            <w:pPr>
              <w:rPr>
                <w:szCs w:val="22"/>
                <w:lang w:val="es-ES_tradnl"/>
              </w:rPr>
            </w:pPr>
          </w:p>
        </w:tc>
      </w:tr>
      <w:tr w:rsidR="00C91693" w:rsidRPr="00C168C5" w14:paraId="02FCE727" w14:textId="77777777" w:rsidTr="00243943">
        <w:tc>
          <w:tcPr>
            <w:tcW w:w="2358" w:type="dxa"/>
            <w:shd w:val="clear" w:color="auto" w:fill="auto"/>
          </w:tcPr>
          <w:p w14:paraId="0B31E43B" w14:textId="77777777" w:rsidR="00C91693" w:rsidRPr="00C168C5" w:rsidRDefault="00C91693" w:rsidP="00243943">
            <w:pPr>
              <w:rPr>
                <w:bCs/>
                <w:szCs w:val="22"/>
                <w:u w:val="single"/>
                <w:lang w:val="es-ES_tradnl"/>
              </w:rPr>
            </w:pPr>
          </w:p>
          <w:p w14:paraId="140D5A7E" w14:textId="2FFFF014" w:rsidR="00C91693" w:rsidRPr="00C168C5" w:rsidRDefault="00FA001E" w:rsidP="00FA001E">
            <w:pPr>
              <w:rPr>
                <w:bCs/>
                <w:szCs w:val="22"/>
                <w:u w:val="single"/>
                <w:lang w:val="es-ES_tradnl"/>
              </w:rPr>
            </w:pPr>
            <w:r w:rsidRPr="00C168C5">
              <w:rPr>
                <w:bCs/>
                <w:szCs w:val="22"/>
                <w:u w:val="single"/>
                <w:lang w:val="es-ES_tradnl"/>
              </w:rPr>
              <w:t>Duración del proyecto</w:t>
            </w:r>
          </w:p>
        </w:tc>
        <w:tc>
          <w:tcPr>
            <w:tcW w:w="6930" w:type="dxa"/>
            <w:shd w:val="clear" w:color="auto" w:fill="auto"/>
          </w:tcPr>
          <w:p w14:paraId="5F5549F2" w14:textId="77777777" w:rsidR="00C91693" w:rsidRPr="00C168C5" w:rsidRDefault="00C91693" w:rsidP="00243943">
            <w:pPr>
              <w:rPr>
                <w:szCs w:val="22"/>
                <w:lang w:val="es-ES_tradnl"/>
              </w:rPr>
            </w:pPr>
          </w:p>
          <w:p w14:paraId="6602AF44" w14:textId="7AA86AF5" w:rsidR="00C91693" w:rsidRPr="00C168C5" w:rsidRDefault="00C91693" w:rsidP="00243943">
            <w:pPr>
              <w:rPr>
                <w:szCs w:val="22"/>
                <w:lang w:val="es-ES_tradnl"/>
              </w:rPr>
            </w:pPr>
            <w:r w:rsidRPr="00C168C5">
              <w:rPr>
                <w:szCs w:val="22"/>
                <w:lang w:val="es-ES_tradnl"/>
              </w:rPr>
              <w:t>24 m</w:t>
            </w:r>
            <w:r w:rsidR="00FA001E" w:rsidRPr="00C168C5">
              <w:rPr>
                <w:szCs w:val="22"/>
                <w:lang w:val="es-ES_tradnl"/>
              </w:rPr>
              <w:t>eses</w:t>
            </w:r>
          </w:p>
          <w:p w14:paraId="100AA231" w14:textId="77777777" w:rsidR="00C91693" w:rsidRPr="00C168C5" w:rsidRDefault="00C91693" w:rsidP="00243943">
            <w:pPr>
              <w:rPr>
                <w:szCs w:val="22"/>
                <w:lang w:val="es-ES_tradnl"/>
              </w:rPr>
            </w:pPr>
          </w:p>
        </w:tc>
      </w:tr>
      <w:tr w:rsidR="00C91693" w:rsidRPr="00C168C5" w14:paraId="0F7B5F16" w14:textId="77777777" w:rsidTr="00243943">
        <w:tc>
          <w:tcPr>
            <w:tcW w:w="2358" w:type="dxa"/>
            <w:shd w:val="clear" w:color="auto" w:fill="auto"/>
          </w:tcPr>
          <w:p w14:paraId="3B3C833B" w14:textId="093F1EF3" w:rsidR="00C91693" w:rsidRPr="00C168C5" w:rsidRDefault="00C91693" w:rsidP="00243943">
            <w:pPr>
              <w:rPr>
                <w:bCs/>
                <w:szCs w:val="22"/>
                <w:u w:val="single"/>
                <w:lang w:val="es-ES_tradnl"/>
              </w:rPr>
            </w:pPr>
          </w:p>
          <w:p w14:paraId="3A9535D6" w14:textId="5E70874B" w:rsidR="00C91693" w:rsidRPr="00C168C5" w:rsidRDefault="00C526A3" w:rsidP="00243943">
            <w:pPr>
              <w:rPr>
                <w:bCs/>
                <w:szCs w:val="22"/>
                <w:u w:val="single"/>
                <w:lang w:val="es-ES_tradnl"/>
              </w:rPr>
            </w:pPr>
            <w:r w:rsidRPr="00C168C5">
              <w:rPr>
                <w:bCs/>
                <w:szCs w:val="22"/>
                <w:u w:val="single"/>
                <w:lang w:val="es-ES_tradnl"/>
              </w:rPr>
              <w:t>Principales sectores de la OMPI interesados y vínculos con los programas de la Organización</w:t>
            </w:r>
          </w:p>
          <w:p w14:paraId="1B8353E4" w14:textId="661479E5" w:rsidR="00C526A3" w:rsidRPr="00C168C5" w:rsidRDefault="00C526A3" w:rsidP="00243943">
            <w:pPr>
              <w:rPr>
                <w:bCs/>
                <w:szCs w:val="22"/>
                <w:u w:val="single"/>
                <w:lang w:val="es-ES_tradnl"/>
              </w:rPr>
            </w:pPr>
          </w:p>
        </w:tc>
        <w:tc>
          <w:tcPr>
            <w:tcW w:w="6930" w:type="dxa"/>
            <w:shd w:val="clear" w:color="auto" w:fill="auto"/>
          </w:tcPr>
          <w:p w14:paraId="18361A10" w14:textId="77777777" w:rsidR="00C91693" w:rsidRPr="00C168C5" w:rsidRDefault="00C91693" w:rsidP="00243943">
            <w:pPr>
              <w:rPr>
                <w:szCs w:val="22"/>
                <w:lang w:val="es-ES_tradnl"/>
              </w:rPr>
            </w:pPr>
          </w:p>
          <w:p w14:paraId="6E928F2F" w14:textId="5592F956" w:rsidR="00C91693" w:rsidRPr="00C168C5" w:rsidRDefault="00C91693" w:rsidP="00243943">
            <w:pPr>
              <w:rPr>
                <w:szCs w:val="22"/>
                <w:lang w:val="es-ES_tradnl"/>
              </w:rPr>
            </w:pPr>
            <w:r w:rsidRPr="00C168C5">
              <w:rPr>
                <w:szCs w:val="22"/>
                <w:lang w:val="es-ES_tradnl"/>
              </w:rPr>
              <w:t>Program</w:t>
            </w:r>
            <w:r w:rsidR="00C526A3" w:rsidRPr="00C168C5">
              <w:rPr>
                <w:szCs w:val="22"/>
                <w:lang w:val="es-ES_tradnl"/>
              </w:rPr>
              <w:t>a</w:t>
            </w:r>
            <w:r w:rsidRPr="00C168C5">
              <w:rPr>
                <w:szCs w:val="22"/>
                <w:lang w:val="es-ES_tradnl"/>
              </w:rPr>
              <w:t xml:space="preserve"> 2</w:t>
            </w:r>
          </w:p>
          <w:p w14:paraId="078BE0D5" w14:textId="77777777" w:rsidR="00C91693" w:rsidRPr="00C168C5" w:rsidRDefault="00C91693" w:rsidP="00243943">
            <w:pPr>
              <w:rPr>
                <w:szCs w:val="22"/>
                <w:lang w:val="es-ES_tradnl"/>
              </w:rPr>
            </w:pPr>
          </w:p>
          <w:p w14:paraId="1C3D0E71" w14:textId="3BB8F02A" w:rsidR="00C91693" w:rsidRPr="00C168C5" w:rsidRDefault="00C526A3" w:rsidP="00243943">
            <w:pPr>
              <w:rPr>
                <w:szCs w:val="22"/>
                <w:lang w:val="es-ES_tradnl"/>
              </w:rPr>
            </w:pPr>
            <w:r w:rsidRPr="00C168C5">
              <w:rPr>
                <w:szCs w:val="22"/>
                <w:lang w:val="es-ES_tradnl"/>
              </w:rPr>
              <w:t xml:space="preserve">Vínculos con los programas </w:t>
            </w:r>
            <w:r w:rsidR="00C91693" w:rsidRPr="00C168C5">
              <w:rPr>
                <w:szCs w:val="22"/>
                <w:lang w:val="es-ES_tradnl"/>
              </w:rPr>
              <w:t>2, 9, 30</w:t>
            </w:r>
            <w:r w:rsidR="004754A1" w:rsidRPr="00C168C5">
              <w:rPr>
                <w:szCs w:val="22"/>
                <w:lang w:val="es-ES_tradnl"/>
              </w:rPr>
              <w:t xml:space="preserve"> y 31 de la OMPI</w:t>
            </w:r>
          </w:p>
          <w:p w14:paraId="6D5FCE54" w14:textId="77777777" w:rsidR="00C91693" w:rsidRPr="00C168C5" w:rsidRDefault="00C91693" w:rsidP="00243943">
            <w:pPr>
              <w:rPr>
                <w:szCs w:val="22"/>
                <w:lang w:val="es-ES_tradnl"/>
              </w:rPr>
            </w:pPr>
          </w:p>
        </w:tc>
      </w:tr>
      <w:tr w:rsidR="00C91693" w:rsidRPr="00C168C5" w14:paraId="3E8F687A" w14:textId="77777777" w:rsidTr="00243943">
        <w:trPr>
          <w:trHeight w:val="1074"/>
        </w:trPr>
        <w:tc>
          <w:tcPr>
            <w:tcW w:w="2358" w:type="dxa"/>
            <w:tcBorders>
              <w:bottom w:val="single" w:sz="4" w:space="0" w:color="auto"/>
            </w:tcBorders>
            <w:shd w:val="clear" w:color="auto" w:fill="auto"/>
          </w:tcPr>
          <w:p w14:paraId="0AFB7822" w14:textId="1229E30B" w:rsidR="00C91693" w:rsidRPr="00C168C5" w:rsidRDefault="00C91693" w:rsidP="00C526A3">
            <w:pPr>
              <w:rPr>
                <w:bCs/>
                <w:szCs w:val="22"/>
                <w:u w:val="single"/>
                <w:lang w:val="es-ES_tradnl"/>
              </w:rPr>
            </w:pPr>
            <w:r w:rsidRPr="00C168C5">
              <w:rPr>
                <w:bCs/>
                <w:szCs w:val="22"/>
                <w:u w:val="single"/>
                <w:lang w:val="es-ES_tradnl"/>
              </w:rPr>
              <w:t>Br</w:t>
            </w:r>
            <w:r w:rsidR="00C526A3" w:rsidRPr="00C168C5">
              <w:rPr>
                <w:bCs/>
                <w:szCs w:val="22"/>
                <w:u w:val="single"/>
                <w:lang w:val="es-ES_tradnl"/>
              </w:rPr>
              <w:t>eve descripción del proyecto</w:t>
            </w:r>
          </w:p>
        </w:tc>
        <w:tc>
          <w:tcPr>
            <w:tcW w:w="6930" w:type="dxa"/>
            <w:shd w:val="clear" w:color="auto" w:fill="auto"/>
          </w:tcPr>
          <w:p w14:paraId="492EAB2E" w14:textId="1B5C717D" w:rsidR="00493B1D" w:rsidRPr="00C168C5" w:rsidRDefault="00493B1D" w:rsidP="00493B1D">
            <w:pPr>
              <w:rPr>
                <w:rFonts w:eastAsia="Malgun Gothic"/>
                <w:kern w:val="2"/>
                <w:lang w:val="es-ES_tradnl" w:eastAsia="ko-KR"/>
              </w:rPr>
            </w:pPr>
            <w:r w:rsidRPr="00C168C5">
              <w:rPr>
                <w:rFonts w:eastAsia="Malgun Gothic"/>
                <w:kern w:val="2"/>
                <w:lang w:val="es-ES_tradnl" w:eastAsia="ko-KR"/>
              </w:rPr>
              <w:t>La finalida</w:t>
            </w:r>
            <w:r w:rsidR="008C6A0A">
              <w:rPr>
                <w:rFonts w:eastAsia="Malgun Gothic"/>
                <w:kern w:val="2"/>
                <w:lang w:val="es-ES_tradnl" w:eastAsia="ko-KR"/>
              </w:rPr>
              <w:t xml:space="preserve">d del proyecto es apoyar a las </w:t>
            </w:r>
            <w:r w:rsidR="000A424D">
              <w:rPr>
                <w:rFonts w:eastAsia="Malgun Gothic"/>
                <w:kern w:val="2"/>
                <w:lang w:val="es-ES_tradnl" w:eastAsia="ko-KR"/>
              </w:rPr>
              <w:t>pymes</w:t>
            </w:r>
            <w:r w:rsidRPr="00C168C5">
              <w:rPr>
                <w:rFonts w:eastAsia="Malgun Gothic"/>
                <w:kern w:val="2"/>
                <w:lang w:val="es-ES_tradnl" w:eastAsia="ko-KR"/>
              </w:rPr>
              <w:t xml:space="preserve">, entidades que participan activamente en la creación y comercialización de los diseños, en la utilización del sistema de P.I. y en la elaboración de estrategias que incentiven la inversión en el diseño. </w:t>
            </w:r>
          </w:p>
          <w:p w14:paraId="1E69EA84" w14:textId="77777777" w:rsidR="00493B1D" w:rsidRPr="00C168C5" w:rsidRDefault="00493B1D" w:rsidP="00493B1D">
            <w:pPr>
              <w:rPr>
                <w:rFonts w:eastAsia="Malgun Gothic"/>
                <w:kern w:val="2"/>
                <w:lang w:val="es-ES_tradnl" w:eastAsia="ko-KR"/>
              </w:rPr>
            </w:pPr>
          </w:p>
          <w:p w14:paraId="60568585" w14:textId="299F08C2" w:rsidR="00493B1D" w:rsidRPr="00C168C5" w:rsidRDefault="00493B1D" w:rsidP="00493B1D">
            <w:pPr>
              <w:rPr>
                <w:rFonts w:eastAsia="Malgun Gothic"/>
                <w:kern w:val="2"/>
                <w:lang w:val="es-ES_tradnl" w:eastAsia="ko-KR"/>
              </w:rPr>
            </w:pPr>
            <w:r w:rsidRPr="00C168C5">
              <w:rPr>
                <w:rFonts w:eastAsia="Malgun Gothic"/>
                <w:kern w:val="2"/>
                <w:lang w:val="es-ES_tradnl" w:eastAsia="ko-KR"/>
              </w:rPr>
              <w:t xml:space="preserve">En el marco del proyecto, y mediante una estrecha cooperación con las principales instituciones de los países participantes, </w:t>
            </w:r>
            <w:r w:rsidR="000A424D">
              <w:rPr>
                <w:rFonts w:eastAsia="Malgun Gothic"/>
                <w:kern w:val="2"/>
                <w:lang w:val="es-ES_tradnl" w:eastAsia="ko-KR"/>
              </w:rPr>
              <w:t xml:space="preserve">se </w:t>
            </w:r>
            <w:r w:rsidR="00BB3243" w:rsidRPr="00C168C5">
              <w:rPr>
                <w:rFonts w:eastAsia="Malgun Gothic"/>
                <w:kern w:val="2"/>
                <w:lang w:val="es-ES_tradnl" w:eastAsia="ko-KR"/>
              </w:rPr>
              <w:t>fomenta</w:t>
            </w:r>
            <w:r w:rsidRPr="00C168C5">
              <w:rPr>
                <w:rFonts w:eastAsia="Malgun Gothic"/>
                <w:kern w:val="2"/>
                <w:lang w:val="es-ES_tradnl" w:eastAsia="ko-KR"/>
              </w:rPr>
              <w:t xml:space="preserve"> la utilización estratégica, entre las </w:t>
            </w:r>
            <w:r w:rsidR="000A424D">
              <w:rPr>
                <w:rFonts w:eastAsia="Malgun Gothic"/>
                <w:kern w:val="2"/>
                <w:lang w:val="es-ES_tradnl" w:eastAsia="ko-KR"/>
              </w:rPr>
              <w:t>pymes</w:t>
            </w:r>
            <w:r w:rsidRPr="00C168C5">
              <w:rPr>
                <w:rFonts w:eastAsia="Malgun Gothic"/>
                <w:kern w:val="2"/>
                <w:lang w:val="es-ES_tradnl" w:eastAsia="ko-KR"/>
              </w:rPr>
              <w:t xml:space="preserve"> de tales países, de los derechos de P.I., en particular, los derechos sobre los diseños industriales, potenciando así un enfoque dinámico de la protección de los diseños en los mercados nacionales y de exportación.</w:t>
            </w:r>
          </w:p>
          <w:p w14:paraId="724D28AA" w14:textId="77777777" w:rsidR="00493B1D" w:rsidRPr="00C168C5" w:rsidRDefault="00493B1D" w:rsidP="00493B1D">
            <w:pPr>
              <w:rPr>
                <w:rFonts w:eastAsia="Malgun Gothic"/>
                <w:kern w:val="2"/>
                <w:lang w:val="es-ES_tradnl" w:eastAsia="ko-KR"/>
              </w:rPr>
            </w:pPr>
          </w:p>
          <w:p w14:paraId="2ADEC099" w14:textId="151DEA70" w:rsidR="00C91693" w:rsidRPr="00C168C5" w:rsidRDefault="00493B1D" w:rsidP="00493B1D">
            <w:pPr>
              <w:rPr>
                <w:szCs w:val="22"/>
                <w:lang w:val="es-ES_tradnl"/>
              </w:rPr>
            </w:pPr>
            <w:r w:rsidRPr="00C168C5">
              <w:rPr>
                <w:rFonts w:eastAsia="Malgun Gothic"/>
                <w:kern w:val="2"/>
                <w:lang w:val="es-ES_tradnl" w:eastAsia="ko-KR"/>
              </w:rPr>
              <w:t>El proyecto se basa en una propuesta presentada por la República de Corea en la undécima sesión del CDIP (documento CDIP/11/7).</w:t>
            </w:r>
          </w:p>
        </w:tc>
      </w:tr>
    </w:tbl>
    <w:p w14:paraId="1EA7E152" w14:textId="77777777" w:rsidR="00C91693" w:rsidRPr="00C168C5" w:rsidRDefault="00C91693" w:rsidP="00C91693">
      <w:pPr>
        <w:rPr>
          <w:lang w:val="es-ES_tradnl"/>
        </w:rPr>
      </w:pPr>
      <w:r w:rsidRPr="00C168C5">
        <w:rPr>
          <w:lang w:val="es-ES_tradnl"/>
        </w:rPr>
        <w:lastRenderedPageBreak/>
        <w:br w:type="page"/>
      </w:r>
    </w:p>
    <w:tbl>
      <w:tblPr>
        <w:tblpPr w:leftFromText="180" w:rightFromText="180" w:vertAnchor="page" w:horzAnchor="margin" w:tblpY="1065"/>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6930"/>
      </w:tblGrid>
      <w:tr w:rsidR="00C91693" w:rsidRPr="00C168C5" w14:paraId="3B3F54D8" w14:textId="77777777" w:rsidTr="00243943">
        <w:trPr>
          <w:trHeight w:val="1156"/>
        </w:trPr>
        <w:tc>
          <w:tcPr>
            <w:tcW w:w="2358" w:type="dxa"/>
            <w:tcBorders>
              <w:top w:val="single" w:sz="4" w:space="0" w:color="auto"/>
              <w:left w:val="single" w:sz="4" w:space="0" w:color="auto"/>
              <w:bottom w:val="single" w:sz="4" w:space="0" w:color="auto"/>
              <w:right w:val="single" w:sz="4" w:space="0" w:color="auto"/>
            </w:tcBorders>
            <w:shd w:val="clear" w:color="auto" w:fill="auto"/>
          </w:tcPr>
          <w:p w14:paraId="297BC7D4" w14:textId="77777777" w:rsidR="00C91693" w:rsidRPr="00C168C5" w:rsidRDefault="00C91693" w:rsidP="00243943">
            <w:pPr>
              <w:rPr>
                <w:bCs/>
                <w:szCs w:val="22"/>
                <w:u w:val="single"/>
                <w:lang w:val="es-ES_tradnl"/>
              </w:rPr>
            </w:pPr>
          </w:p>
          <w:p w14:paraId="0502DE7A" w14:textId="46043076" w:rsidR="00C91693" w:rsidRPr="00C168C5" w:rsidRDefault="00B91C61" w:rsidP="00B91C61">
            <w:pPr>
              <w:rPr>
                <w:bCs/>
                <w:szCs w:val="22"/>
                <w:u w:val="single"/>
                <w:lang w:val="es-ES_tradnl"/>
              </w:rPr>
            </w:pPr>
            <w:r w:rsidRPr="00C168C5">
              <w:rPr>
                <w:bCs/>
                <w:szCs w:val="22"/>
                <w:u w:val="single"/>
                <w:lang w:val="es-ES_tradnl"/>
              </w:rPr>
              <w:t>Dir</w:t>
            </w:r>
            <w:r w:rsidR="004754A1" w:rsidRPr="00C168C5">
              <w:rPr>
                <w:bCs/>
                <w:szCs w:val="22"/>
                <w:u w:val="single"/>
                <w:lang w:val="es-ES_tradnl"/>
              </w:rPr>
              <w:t>ector del p</w:t>
            </w:r>
            <w:r w:rsidRPr="00C168C5">
              <w:rPr>
                <w:bCs/>
                <w:szCs w:val="22"/>
                <w:u w:val="single"/>
                <w:lang w:val="es-ES_tradnl"/>
              </w:rPr>
              <w:t>royecto</w:t>
            </w:r>
          </w:p>
        </w:tc>
        <w:tc>
          <w:tcPr>
            <w:tcW w:w="6930" w:type="dxa"/>
            <w:tcBorders>
              <w:left w:val="single" w:sz="4" w:space="0" w:color="auto"/>
            </w:tcBorders>
            <w:vAlign w:val="center"/>
          </w:tcPr>
          <w:p w14:paraId="3036A406" w14:textId="3EED009B" w:rsidR="00C91693" w:rsidRPr="00C168C5" w:rsidRDefault="00404C0D" w:rsidP="00404C0D">
            <w:pPr>
              <w:rPr>
                <w:szCs w:val="22"/>
                <w:lang w:val="es-ES_tradnl"/>
              </w:rPr>
            </w:pPr>
            <w:r w:rsidRPr="00C168C5">
              <w:rPr>
                <w:iCs/>
                <w:lang w:val="es-ES_tradnl"/>
              </w:rPr>
              <w:t>Sr. Marcus Höpperger</w:t>
            </w:r>
            <w:r w:rsidRPr="00C168C5">
              <w:rPr>
                <w:sz w:val="16"/>
                <w:szCs w:val="16"/>
                <w:lang w:val="es-ES_tradnl"/>
              </w:rPr>
              <w:t xml:space="preserve">, </w:t>
            </w:r>
            <w:r w:rsidRPr="00C168C5">
              <w:rPr>
                <w:iCs/>
                <w:lang w:val="es-ES_tradnl"/>
              </w:rPr>
              <w:t>Director, División de Derecho y Asesoramiento Legislat</w:t>
            </w:r>
            <w:r w:rsidR="00E63736" w:rsidRPr="00C168C5">
              <w:rPr>
                <w:iCs/>
                <w:lang w:val="es-ES_tradnl"/>
              </w:rPr>
              <w:t>ivo, Sector de Marcas y Diseños</w:t>
            </w:r>
          </w:p>
        </w:tc>
      </w:tr>
      <w:tr w:rsidR="00C91693" w:rsidRPr="00C168C5" w14:paraId="4A3C0AF8" w14:textId="77777777" w:rsidTr="00243943">
        <w:trPr>
          <w:trHeight w:val="1408"/>
        </w:trPr>
        <w:tc>
          <w:tcPr>
            <w:tcW w:w="2358" w:type="dxa"/>
            <w:tcBorders>
              <w:top w:val="single" w:sz="4" w:space="0" w:color="auto"/>
            </w:tcBorders>
            <w:shd w:val="clear" w:color="auto" w:fill="auto"/>
          </w:tcPr>
          <w:p w14:paraId="07A6B412" w14:textId="77777777" w:rsidR="00C91693" w:rsidRPr="00C168C5" w:rsidRDefault="00C91693" w:rsidP="00243943">
            <w:pPr>
              <w:rPr>
                <w:bCs/>
                <w:szCs w:val="22"/>
                <w:u w:val="single"/>
                <w:lang w:val="es-ES_tradnl"/>
              </w:rPr>
            </w:pPr>
          </w:p>
          <w:p w14:paraId="187439EE" w14:textId="59CFF13A" w:rsidR="00C91693" w:rsidRPr="00C168C5" w:rsidDel="00196374" w:rsidRDefault="009418A2" w:rsidP="009418A2">
            <w:pPr>
              <w:rPr>
                <w:bCs/>
                <w:szCs w:val="22"/>
                <w:u w:val="single"/>
                <w:lang w:val="es-ES_tradnl"/>
              </w:rPr>
            </w:pPr>
            <w:r w:rsidRPr="00C168C5">
              <w:rPr>
                <w:u w:val="single"/>
                <w:lang w:val="es-ES_tradnl"/>
              </w:rPr>
              <w:t>Vínculos con los resultados previstos en el presupuesto por prog</w:t>
            </w:r>
            <w:r w:rsidR="00E7169C" w:rsidRPr="00C168C5">
              <w:rPr>
                <w:u w:val="single"/>
                <w:lang w:val="es-ES_tradnl"/>
              </w:rPr>
              <w:t>ramas 2014/15</w:t>
            </w:r>
          </w:p>
        </w:tc>
        <w:tc>
          <w:tcPr>
            <w:tcW w:w="6930" w:type="dxa"/>
            <w:tcBorders>
              <w:bottom w:val="single" w:sz="4" w:space="0" w:color="auto"/>
            </w:tcBorders>
          </w:tcPr>
          <w:p w14:paraId="3DDF2AD7" w14:textId="77777777" w:rsidR="00C91693" w:rsidRPr="00C168C5" w:rsidRDefault="00C91693" w:rsidP="00243943">
            <w:pPr>
              <w:rPr>
                <w:i/>
                <w:szCs w:val="22"/>
                <w:lang w:val="es-ES_tradnl"/>
              </w:rPr>
            </w:pPr>
          </w:p>
          <w:p w14:paraId="41E2F9D8" w14:textId="1BE74C7C" w:rsidR="009418A2" w:rsidRPr="00C168C5" w:rsidRDefault="009418A2" w:rsidP="009418A2">
            <w:pPr>
              <w:rPr>
                <w:rFonts w:eastAsia="Malgun Gothic"/>
                <w:kern w:val="2"/>
                <w:lang w:val="es-ES_tradnl" w:eastAsia="ko-KR"/>
              </w:rPr>
            </w:pPr>
            <w:r w:rsidRPr="00C168C5">
              <w:rPr>
                <w:rFonts w:eastAsia="Malgun Gothic"/>
                <w:i/>
                <w:kern w:val="2"/>
                <w:lang w:val="es-ES_tradnl" w:eastAsia="ko-KR"/>
              </w:rPr>
              <w:t>Resultado previsto III.2</w:t>
            </w:r>
            <w:r w:rsidRPr="00C168C5">
              <w:rPr>
                <w:rFonts w:eastAsia="Malgun Gothic"/>
                <w:kern w:val="2"/>
                <w:lang w:val="es-ES_tradnl" w:eastAsia="ko-KR"/>
              </w:rPr>
              <w:t>.  Mejora de las capacidades en el ámbito de los recursos humanos para hacer frente al amplio espectro de exigencias que supone la utilización eficaz de la P.I. en aras del desarrollo en los países en desarrollo, PMA y paí</w:t>
            </w:r>
            <w:r w:rsidR="00901411" w:rsidRPr="00C168C5">
              <w:rPr>
                <w:rFonts w:eastAsia="Malgun Gothic"/>
                <w:kern w:val="2"/>
                <w:lang w:val="es-ES_tradnl" w:eastAsia="ko-KR"/>
              </w:rPr>
              <w:t>ses con economías en transición</w:t>
            </w:r>
          </w:p>
          <w:p w14:paraId="55C38E6F" w14:textId="77777777" w:rsidR="00C91693" w:rsidRPr="00C168C5" w:rsidDel="00196374" w:rsidRDefault="00C91693" w:rsidP="009418A2">
            <w:pPr>
              <w:rPr>
                <w:iCs/>
                <w:szCs w:val="22"/>
                <w:lang w:val="es-ES_tradnl"/>
              </w:rPr>
            </w:pPr>
          </w:p>
        </w:tc>
      </w:tr>
      <w:tr w:rsidR="00C91693" w:rsidRPr="00C168C5" w14:paraId="29726801" w14:textId="77777777" w:rsidTr="00243943">
        <w:trPr>
          <w:trHeight w:val="7193"/>
        </w:trPr>
        <w:tc>
          <w:tcPr>
            <w:tcW w:w="2358" w:type="dxa"/>
            <w:shd w:val="clear" w:color="auto" w:fill="auto"/>
          </w:tcPr>
          <w:p w14:paraId="62E24887" w14:textId="77777777" w:rsidR="000C570B" w:rsidRPr="00C168C5" w:rsidRDefault="000C570B" w:rsidP="000C570B">
            <w:pPr>
              <w:pStyle w:val="Heading3"/>
              <w:rPr>
                <w:lang w:val="es-ES_tradnl"/>
              </w:rPr>
            </w:pPr>
            <w:r w:rsidRPr="00C168C5">
              <w:rPr>
                <w:lang w:val="es-ES_tradnl"/>
              </w:rPr>
              <w:t>Progreso en la ejecución del proyecto</w:t>
            </w:r>
          </w:p>
          <w:p w14:paraId="6B8A5307" w14:textId="77777777" w:rsidR="00C91693" w:rsidRPr="00C168C5" w:rsidRDefault="00C91693" w:rsidP="00243943">
            <w:pPr>
              <w:rPr>
                <w:szCs w:val="22"/>
                <w:lang w:val="es-ES_tradnl"/>
              </w:rPr>
            </w:pPr>
          </w:p>
          <w:p w14:paraId="34A02583" w14:textId="58DBCC52" w:rsidR="00C91693" w:rsidRPr="00C168C5" w:rsidRDefault="00C91693" w:rsidP="00243943">
            <w:pPr>
              <w:rPr>
                <w:iCs/>
                <w:szCs w:val="22"/>
                <w:lang w:val="es-ES_tradnl"/>
              </w:rPr>
            </w:pPr>
            <w:r w:rsidRPr="00C168C5">
              <w:rPr>
                <w:iCs/>
                <w:szCs w:val="22"/>
                <w:lang w:val="es-ES_tradnl"/>
              </w:rPr>
              <w:t>(</w:t>
            </w:r>
            <w:r w:rsidR="00054E18" w:rsidRPr="00C168C5">
              <w:rPr>
                <w:iCs/>
                <w:szCs w:val="22"/>
                <w:lang w:val="es-ES_tradnl"/>
              </w:rPr>
              <w:t xml:space="preserve">Véase el </w:t>
            </w:r>
            <w:r w:rsidRPr="00C168C5">
              <w:rPr>
                <w:iCs/>
                <w:szCs w:val="22"/>
                <w:lang w:val="es-ES_tradnl"/>
              </w:rPr>
              <w:t>A</w:t>
            </w:r>
            <w:r w:rsidR="00ED1966" w:rsidRPr="00C168C5">
              <w:rPr>
                <w:iCs/>
                <w:szCs w:val="22"/>
                <w:lang w:val="es-ES_tradnl"/>
              </w:rPr>
              <w:t>péndice</w:t>
            </w:r>
            <w:r w:rsidRPr="00C168C5">
              <w:rPr>
                <w:iCs/>
                <w:szCs w:val="22"/>
                <w:lang w:val="es-ES_tradnl"/>
              </w:rPr>
              <w:t xml:space="preserve"> I – </w:t>
            </w:r>
            <w:r w:rsidR="00564761" w:rsidRPr="00C168C5">
              <w:rPr>
                <w:iCs/>
                <w:szCs w:val="22"/>
                <w:lang w:val="es-ES_tradnl"/>
              </w:rPr>
              <w:t>panorámica</w:t>
            </w:r>
            <w:r w:rsidR="00ED1966" w:rsidRPr="00C168C5">
              <w:rPr>
                <w:iCs/>
                <w:szCs w:val="22"/>
                <w:lang w:val="es-ES_tradnl"/>
              </w:rPr>
              <w:t xml:space="preserve"> general del proyecto</w:t>
            </w:r>
            <w:r w:rsidRPr="00C168C5">
              <w:rPr>
                <w:iCs/>
                <w:szCs w:val="22"/>
                <w:lang w:val="es-ES_tradnl"/>
              </w:rPr>
              <w:t>)</w:t>
            </w:r>
          </w:p>
          <w:p w14:paraId="7ECBD0B4" w14:textId="77777777" w:rsidR="00C91693" w:rsidRPr="00C168C5" w:rsidRDefault="00C91693" w:rsidP="00243943">
            <w:pPr>
              <w:rPr>
                <w:szCs w:val="22"/>
                <w:lang w:val="es-ES_tradnl"/>
              </w:rPr>
            </w:pPr>
          </w:p>
        </w:tc>
        <w:tc>
          <w:tcPr>
            <w:tcW w:w="6930" w:type="dxa"/>
            <w:tcBorders>
              <w:bottom w:val="single" w:sz="4" w:space="0" w:color="auto"/>
            </w:tcBorders>
          </w:tcPr>
          <w:p w14:paraId="6C12797B" w14:textId="77777777" w:rsidR="00C91693" w:rsidRPr="00C168C5" w:rsidRDefault="00C91693" w:rsidP="00243943">
            <w:pPr>
              <w:rPr>
                <w:szCs w:val="22"/>
                <w:u w:val="single"/>
                <w:lang w:val="es-ES_tradnl"/>
              </w:rPr>
            </w:pPr>
          </w:p>
          <w:p w14:paraId="1BCB59B3" w14:textId="0DCB5AE4" w:rsidR="00C91693" w:rsidRPr="00C168C5" w:rsidRDefault="00497FCA" w:rsidP="00243943">
            <w:pPr>
              <w:rPr>
                <w:szCs w:val="22"/>
                <w:u w:val="single"/>
                <w:lang w:val="es-ES_tradnl"/>
              </w:rPr>
            </w:pPr>
            <w:r w:rsidRPr="00C168C5">
              <w:rPr>
                <w:szCs w:val="22"/>
                <w:u w:val="single"/>
                <w:lang w:val="es-ES_tradnl"/>
              </w:rPr>
              <w:t>Miembros del equipo del proyecto</w:t>
            </w:r>
          </w:p>
          <w:p w14:paraId="633CDECC" w14:textId="77777777" w:rsidR="00C91693" w:rsidRPr="00C168C5" w:rsidRDefault="00C91693" w:rsidP="00243943">
            <w:pPr>
              <w:rPr>
                <w:szCs w:val="22"/>
                <w:u w:val="single"/>
                <w:lang w:val="es-ES_tradnl"/>
              </w:rPr>
            </w:pPr>
          </w:p>
          <w:p w14:paraId="313C2FD9" w14:textId="288193E0" w:rsidR="00C91693" w:rsidRPr="00C168C5" w:rsidRDefault="00497FCA" w:rsidP="00243943">
            <w:pPr>
              <w:rPr>
                <w:i/>
                <w:szCs w:val="22"/>
                <w:lang w:val="es-ES_tradnl"/>
              </w:rPr>
            </w:pPr>
            <w:r w:rsidRPr="00C168C5">
              <w:rPr>
                <w:i/>
                <w:szCs w:val="22"/>
                <w:lang w:val="es-ES_tradnl"/>
              </w:rPr>
              <w:t>El proyecto trabaja en estrecha colaboración con el organismo nacional de coordinación para cada país piloto</w:t>
            </w:r>
            <w:r w:rsidR="00C91693" w:rsidRPr="00C168C5">
              <w:rPr>
                <w:i/>
                <w:szCs w:val="22"/>
                <w:lang w:val="es-ES_tradnl"/>
              </w:rPr>
              <w:t xml:space="preserve">, </w:t>
            </w:r>
            <w:r w:rsidRPr="00C168C5">
              <w:rPr>
                <w:i/>
                <w:szCs w:val="22"/>
                <w:lang w:val="es-ES_tradnl"/>
              </w:rPr>
              <w:t xml:space="preserve">es decir, el Instituto Nacional de Propiedad Intelectual </w:t>
            </w:r>
            <w:r w:rsidR="00C91693" w:rsidRPr="00C168C5">
              <w:rPr>
                <w:i/>
                <w:szCs w:val="22"/>
                <w:lang w:val="es-ES_tradnl"/>
              </w:rPr>
              <w:t>(INPI)</w:t>
            </w:r>
            <w:r w:rsidRPr="00C168C5">
              <w:rPr>
                <w:i/>
                <w:szCs w:val="22"/>
                <w:lang w:val="es-ES_tradnl"/>
              </w:rPr>
              <w:t xml:space="preserve"> de</w:t>
            </w:r>
            <w:r w:rsidR="00C91693" w:rsidRPr="00C168C5">
              <w:rPr>
                <w:i/>
                <w:szCs w:val="22"/>
                <w:lang w:val="es-ES_tradnl"/>
              </w:rPr>
              <w:t xml:space="preserve"> Argentina</w:t>
            </w:r>
            <w:r w:rsidRPr="00C168C5">
              <w:rPr>
                <w:i/>
                <w:szCs w:val="22"/>
                <w:lang w:val="es-ES_tradnl"/>
              </w:rPr>
              <w:t xml:space="preserve"> y</w:t>
            </w:r>
            <w:r w:rsidR="0084239A" w:rsidRPr="00C168C5">
              <w:rPr>
                <w:i/>
                <w:szCs w:val="22"/>
                <w:lang w:val="es-ES_tradnl"/>
              </w:rPr>
              <w:t xml:space="preserve"> la Oficina Marroquí de </w:t>
            </w:r>
            <w:r w:rsidR="00080878" w:rsidRPr="00C168C5">
              <w:rPr>
                <w:i/>
                <w:szCs w:val="22"/>
                <w:lang w:val="es-ES_tradnl"/>
              </w:rPr>
              <w:t>Propiedad</w:t>
            </w:r>
            <w:r w:rsidR="0084239A" w:rsidRPr="00C168C5">
              <w:rPr>
                <w:i/>
                <w:szCs w:val="22"/>
                <w:lang w:val="es-ES_tradnl"/>
              </w:rPr>
              <w:t xml:space="preserve"> Industrial y Comercial</w:t>
            </w:r>
            <w:r w:rsidR="00C91693" w:rsidRPr="00C168C5">
              <w:rPr>
                <w:i/>
                <w:szCs w:val="22"/>
                <w:lang w:val="es-ES_tradnl"/>
              </w:rPr>
              <w:t xml:space="preserve"> (OMPIC). </w:t>
            </w:r>
            <w:r w:rsidR="00DB3E4A" w:rsidRPr="00C168C5">
              <w:rPr>
                <w:i/>
                <w:szCs w:val="22"/>
                <w:lang w:val="es-ES_tradnl"/>
              </w:rPr>
              <w:t xml:space="preserve"> </w:t>
            </w:r>
            <w:r w:rsidR="0084239A" w:rsidRPr="00C168C5">
              <w:rPr>
                <w:i/>
                <w:szCs w:val="22"/>
                <w:lang w:val="es-ES_tradnl"/>
              </w:rPr>
              <w:t xml:space="preserve">Cada organismo </w:t>
            </w:r>
            <w:r w:rsidR="007F6742" w:rsidRPr="00C168C5">
              <w:rPr>
                <w:i/>
                <w:szCs w:val="22"/>
                <w:lang w:val="es-ES_tradnl"/>
              </w:rPr>
              <w:t>coordinador ha</w:t>
            </w:r>
            <w:r w:rsidR="0084239A" w:rsidRPr="00C168C5">
              <w:rPr>
                <w:i/>
                <w:szCs w:val="22"/>
                <w:lang w:val="es-ES_tradnl"/>
              </w:rPr>
              <w:t xml:space="preserve"> nombrado un comité directivo y un equipo encargado de este proyecto piloto</w:t>
            </w:r>
            <w:r w:rsidR="00C91693" w:rsidRPr="00C168C5">
              <w:rPr>
                <w:i/>
                <w:szCs w:val="22"/>
                <w:lang w:val="es-ES_tradnl"/>
              </w:rPr>
              <w:t>.</w:t>
            </w:r>
          </w:p>
          <w:p w14:paraId="6D045559" w14:textId="77777777" w:rsidR="00C91693" w:rsidRPr="00C168C5" w:rsidRDefault="00C91693" w:rsidP="00243943">
            <w:pPr>
              <w:rPr>
                <w:szCs w:val="22"/>
                <w:lang w:val="es-ES_tradnl"/>
              </w:rPr>
            </w:pPr>
          </w:p>
          <w:p w14:paraId="5A4B160A" w14:textId="6FB9977E" w:rsidR="00C91693" w:rsidRPr="00C168C5" w:rsidRDefault="00C91693" w:rsidP="00243943">
            <w:pPr>
              <w:rPr>
                <w:szCs w:val="22"/>
                <w:lang w:val="es-ES_tradnl"/>
              </w:rPr>
            </w:pPr>
            <w:r w:rsidRPr="00C168C5">
              <w:rPr>
                <w:szCs w:val="22"/>
                <w:lang w:val="es-ES_tradnl"/>
              </w:rPr>
              <w:t>1.</w:t>
            </w:r>
            <w:r w:rsidRPr="00C168C5">
              <w:rPr>
                <w:szCs w:val="22"/>
                <w:lang w:val="es-ES_tradnl"/>
              </w:rPr>
              <w:tab/>
            </w:r>
            <w:r w:rsidR="00C46E14" w:rsidRPr="00C168C5">
              <w:rPr>
                <w:szCs w:val="22"/>
                <w:lang w:val="es-ES_tradnl"/>
              </w:rPr>
              <w:t>Se han designado a los coordinadores de proyecto de país que asisten en la planificación, ejecución y seguimiento de las actividades del proyecto en ambos países</w:t>
            </w:r>
            <w:r w:rsidRPr="00C168C5">
              <w:rPr>
                <w:szCs w:val="22"/>
                <w:lang w:val="es-ES_tradnl"/>
              </w:rPr>
              <w:t xml:space="preserve">.  </w:t>
            </w:r>
          </w:p>
          <w:p w14:paraId="0D996E41" w14:textId="77777777" w:rsidR="00C91693" w:rsidRPr="00C168C5" w:rsidRDefault="00C91693" w:rsidP="00243943">
            <w:pPr>
              <w:rPr>
                <w:szCs w:val="22"/>
                <w:lang w:val="es-ES_tradnl"/>
              </w:rPr>
            </w:pPr>
          </w:p>
          <w:p w14:paraId="52276750" w14:textId="3C0C657D" w:rsidR="00C91693" w:rsidRPr="00C168C5" w:rsidRDefault="00C91693" w:rsidP="00243943">
            <w:pPr>
              <w:rPr>
                <w:szCs w:val="22"/>
                <w:lang w:val="es-ES_tradnl"/>
              </w:rPr>
            </w:pPr>
            <w:r w:rsidRPr="00C168C5">
              <w:rPr>
                <w:szCs w:val="22"/>
                <w:lang w:val="es-ES_tradnl"/>
              </w:rPr>
              <w:t>2.</w:t>
            </w:r>
            <w:r w:rsidRPr="00C168C5">
              <w:rPr>
                <w:szCs w:val="22"/>
                <w:lang w:val="es-ES_tradnl"/>
              </w:rPr>
              <w:tab/>
            </w:r>
            <w:r w:rsidR="00E861AA" w:rsidRPr="00C168C5">
              <w:rPr>
                <w:szCs w:val="22"/>
                <w:lang w:val="es-ES_tradnl"/>
              </w:rPr>
              <w:t>Se ha</w:t>
            </w:r>
            <w:r w:rsidR="00167ACF" w:rsidRPr="00C168C5">
              <w:rPr>
                <w:szCs w:val="22"/>
                <w:lang w:val="es-ES_tradnl"/>
              </w:rPr>
              <w:t>n</w:t>
            </w:r>
            <w:r w:rsidR="00E861AA" w:rsidRPr="00C168C5">
              <w:rPr>
                <w:szCs w:val="22"/>
                <w:lang w:val="es-ES_tradnl"/>
              </w:rPr>
              <w:t xml:space="preserve"> nombrado dos equipos nacionales de ocho expertos nacionales cualificados en total</w:t>
            </w:r>
            <w:r w:rsidRPr="00C168C5">
              <w:rPr>
                <w:szCs w:val="22"/>
                <w:lang w:val="es-ES_tradnl"/>
              </w:rPr>
              <w:t>,</w:t>
            </w:r>
            <w:r w:rsidR="00E861AA" w:rsidRPr="00C168C5">
              <w:rPr>
                <w:szCs w:val="22"/>
                <w:lang w:val="es-ES_tradnl"/>
              </w:rPr>
              <w:t xml:space="preserve"> con conocimientos técnicos en materia de </w:t>
            </w:r>
            <w:r w:rsidR="006B1643" w:rsidRPr="00C168C5">
              <w:rPr>
                <w:szCs w:val="22"/>
                <w:lang w:val="es-ES_tradnl"/>
              </w:rPr>
              <w:t>diseños</w:t>
            </w:r>
            <w:r w:rsidR="00E861AA" w:rsidRPr="00C168C5">
              <w:rPr>
                <w:szCs w:val="22"/>
                <w:lang w:val="es-ES_tradnl"/>
              </w:rPr>
              <w:t xml:space="preserve"> y </w:t>
            </w:r>
            <w:r w:rsidR="00167ACF" w:rsidRPr="00C168C5">
              <w:rPr>
                <w:szCs w:val="22"/>
                <w:lang w:val="es-ES_tradnl"/>
              </w:rPr>
              <w:t xml:space="preserve">la legislación conexa con el fin de apoyar a las </w:t>
            </w:r>
            <w:r w:rsidR="000A424D">
              <w:rPr>
                <w:szCs w:val="22"/>
                <w:lang w:val="es-ES_tradnl"/>
              </w:rPr>
              <w:t>pymes</w:t>
            </w:r>
            <w:r w:rsidR="00167ACF" w:rsidRPr="00C168C5">
              <w:rPr>
                <w:szCs w:val="22"/>
                <w:lang w:val="es-ES_tradnl"/>
              </w:rPr>
              <w:t xml:space="preserve"> beneficiarias</w:t>
            </w:r>
            <w:r w:rsidR="00596E33" w:rsidRPr="00C168C5">
              <w:rPr>
                <w:szCs w:val="22"/>
                <w:lang w:val="es-ES_tradnl"/>
              </w:rPr>
              <w:t xml:space="preserve"> a elaborar estrategias adaptadas de protección de diseños con que fomentar sus actividades comerciales y a concebir el proceso de solicitud</w:t>
            </w:r>
            <w:r w:rsidR="003A6CDD" w:rsidRPr="00C168C5">
              <w:rPr>
                <w:szCs w:val="22"/>
                <w:lang w:val="es-ES_tradnl"/>
              </w:rPr>
              <w:t>.</w:t>
            </w:r>
            <w:r w:rsidRPr="00C168C5">
              <w:rPr>
                <w:szCs w:val="22"/>
                <w:lang w:val="es-ES_tradnl"/>
              </w:rPr>
              <w:t xml:space="preserve">  </w:t>
            </w:r>
            <w:r w:rsidR="00596E33" w:rsidRPr="00C168C5">
              <w:rPr>
                <w:szCs w:val="22"/>
                <w:lang w:val="es-ES_tradnl"/>
              </w:rPr>
              <w:t xml:space="preserve">Uno de los expertos </w:t>
            </w:r>
            <w:r w:rsidR="00862263" w:rsidRPr="00C168C5">
              <w:rPr>
                <w:szCs w:val="22"/>
                <w:lang w:val="es-ES_tradnl"/>
              </w:rPr>
              <w:t>fue contratado específicamente para centrarse en la metodología y las herramientas creadas y empleadas en el proyecto piloto</w:t>
            </w:r>
            <w:r w:rsidRPr="00C168C5">
              <w:rPr>
                <w:szCs w:val="22"/>
                <w:lang w:val="es-ES_tradnl"/>
              </w:rPr>
              <w:t>.</w:t>
            </w:r>
          </w:p>
          <w:p w14:paraId="4CB34EA4" w14:textId="77777777" w:rsidR="00C91693" w:rsidRPr="00C168C5" w:rsidRDefault="00C91693" w:rsidP="00243943">
            <w:pPr>
              <w:rPr>
                <w:szCs w:val="22"/>
                <w:lang w:val="es-ES_tradnl"/>
              </w:rPr>
            </w:pPr>
          </w:p>
          <w:p w14:paraId="15DCB69B" w14:textId="10815C52" w:rsidR="00C91693" w:rsidRPr="00C168C5" w:rsidRDefault="003F6592" w:rsidP="00243943">
            <w:pPr>
              <w:rPr>
                <w:szCs w:val="22"/>
                <w:u w:val="single"/>
                <w:lang w:val="es-ES_tradnl"/>
              </w:rPr>
            </w:pPr>
            <w:r w:rsidRPr="00C168C5">
              <w:rPr>
                <w:szCs w:val="22"/>
                <w:u w:val="single"/>
                <w:lang w:val="es-ES_tradnl"/>
              </w:rPr>
              <w:t xml:space="preserve">Etapa inicial </w:t>
            </w:r>
          </w:p>
          <w:p w14:paraId="4F5627A8" w14:textId="77777777" w:rsidR="00C91693" w:rsidRPr="00C168C5" w:rsidRDefault="00C91693" w:rsidP="00243943">
            <w:pPr>
              <w:rPr>
                <w:szCs w:val="22"/>
                <w:u w:val="single"/>
                <w:lang w:val="es-ES_tradnl"/>
              </w:rPr>
            </w:pPr>
          </w:p>
          <w:p w14:paraId="373C3F95" w14:textId="4DBF769A" w:rsidR="00C91693" w:rsidRPr="00C168C5" w:rsidRDefault="00C91693" w:rsidP="00243943">
            <w:pPr>
              <w:rPr>
                <w:szCs w:val="22"/>
                <w:lang w:val="es-ES_tradnl"/>
              </w:rPr>
            </w:pPr>
            <w:r w:rsidRPr="00C168C5">
              <w:rPr>
                <w:szCs w:val="22"/>
                <w:lang w:val="es-ES_tradnl"/>
              </w:rPr>
              <w:t>3.</w:t>
            </w:r>
            <w:r w:rsidRPr="00C168C5">
              <w:rPr>
                <w:szCs w:val="22"/>
                <w:lang w:val="es-ES_tradnl"/>
              </w:rPr>
              <w:tab/>
            </w:r>
            <w:r w:rsidR="004D3F47" w:rsidRPr="00C168C5">
              <w:rPr>
                <w:i/>
                <w:szCs w:val="22"/>
                <w:lang w:val="es-ES_tradnl"/>
              </w:rPr>
              <w:t>Concepción del proyecto</w:t>
            </w:r>
          </w:p>
          <w:p w14:paraId="1D601205" w14:textId="77777777" w:rsidR="00C91693" w:rsidRPr="00C168C5" w:rsidRDefault="00C91693" w:rsidP="00243943">
            <w:pPr>
              <w:ind w:left="540"/>
              <w:rPr>
                <w:szCs w:val="22"/>
                <w:lang w:val="es-ES_tradnl"/>
              </w:rPr>
            </w:pPr>
          </w:p>
          <w:p w14:paraId="09A009F5" w14:textId="0D7EA270" w:rsidR="00C91693" w:rsidRPr="00C168C5" w:rsidRDefault="00E74BAF" w:rsidP="00243943">
            <w:pPr>
              <w:rPr>
                <w:szCs w:val="22"/>
                <w:lang w:val="es-ES_tradnl"/>
              </w:rPr>
            </w:pPr>
            <w:r w:rsidRPr="00C168C5">
              <w:rPr>
                <w:szCs w:val="22"/>
                <w:lang w:val="es-ES_tradnl"/>
              </w:rPr>
              <w:t>En la fase inicial, la Secretaría y los comité</w:t>
            </w:r>
            <w:r w:rsidR="00AF6736" w:rsidRPr="00C168C5">
              <w:rPr>
                <w:szCs w:val="22"/>
                <w:lang w:val="es-ES_tradnl"/>
              </w:rPr>
              <w:t xml:space="preserve">s directivos de cada organismo </w:t>
            </w:r>
            <w:r w:rsidRPr="00C168C5">
              <w:rPr>
                <w:szCs w:val="22"/>
                <w:lang w:val="es-ES_tradnl"/>
              </w:rPr>
              <w:t>coordinador llegaron a un acuerdo sobre el informe de “decla</w:t>
            </w:r>
            <w:r w:rsidR="00AF6736" w:rsidRPr="00C168C5">
              <w:rPr>
                <w:szCs w:val="22"/>
                <w:lang w:val="es-ES_tradnl"/>
              </w:rPr>
              <w:t>ración de alcance del proyecto”</w:t>
            </w:r>
            <w:r w:rsidR="00C91693" w:rsidRPr="00C168C5">
              <w:rPr>
                <w:szCs w:val="22"/>
                <w:lang w:val="es-ES_tradnl"/>
              </w:rPr>
              <w:t xml:space="preserve">.  </w:t>
            </w:r>
            <w:r w:rsidR="00316526" w:rsidRPr="00C168C5">
              <w:rPr>
                <w:szCs w:val="22"/>
                <w:lang w:val="es-ES_tradnl"/>
              </w:rPr>
              <w:t>Ha quedado</w:t>
            </w:r>
            <w:r w:rsidR="004E4861" w:rsidRPr="00C168C5">
              <w:rPr>
                <w:szCs w:val="22"/>
                <w:lang w:val="es-ES_tradnl"/>
              </w:rPr>
              <w:t xml:space="preserve"> garantizada la</w:t>
            </w:r>
            <w:r w:rsidR="001F78F7" w:rsidRPr="00C168C5">
              <w:rPr>
                <w:szCs w:val="22"/>
                <w:lang w:val="es-ES_tradnl"/>
              </w:rPr>
              <w:t xml:space="preserve"> pertinencia del proyecto para cada contexto </w:t>
            </w:r>
            <w:r w:rsidR="004E4861" w:rsidRPr="00C168C5">
              <w:rPr>
                <w:szCs w:val="22"/>
                <w:lang w:val="es-ES_tradnl"/>
              </w:rPr>
              <w:t>de cada país con su estrategia nacional de desarrollo de la P.I</w:t>
            </w:r>
            <w:r w:rsidR="00C91693" w:rsidRPr="00C168C5">
              <w:rPr>
                <w:szCs w:val="22"/>
                <w:lang w:val="es-ES_tradnl"/>
              </w:rPr>
              <w:t xml:space="preserve">.  </w:t>
            </w:r>
            <w:r w:rsidR="00316526" w:rsidRPr="00C168C5">
              <w:rPr>
                <w:szCs w:val="22"/>
                <w:lang w:val="es-ES_tradnl"/>
              </w:rPr>
              <w:t>Se han preparado otros tres documentos básicos para guiar la ejecución del proyecto</w:t>
            </w:r>
            <w:r w:rsidR="00C91693" w:rsidRPr="00C168C5">
              <w:rPr>
                <w:szCs w:val="22"/>
                <w:lang w:val="es-ES_tradnl"/>
              </w:rPr>
              <w:t>.</w:t>
            </w:r>
            <w:r w:rsidR="00316526" w:rsidRPr="00C168C5">
              <w:rPr>
                <w:szCs w:val="22"/>
                <w:lang w:val="es-ES_tradnl"/>
              </w:rPr>
              <w:t xml:space="preserve">  Estos son:  </w:t>
            </w:r>
            <w:r w:rsidR="00C91693" w:rsidRPr="00C168C5">
              <w:rPr>
                <w:szCs w:val="22"/>
                <w:lang w:val="es-ES_tradnl"/>
              </w:rPr>
              <w:t xml:space="preserve">a) </w:t>
            </w:r>
            <w:r w:rsidR="00AF6736" w:rsidRPr="00C168C5">
              <w:rPr>
                <w:szCs w:val="22"/>
                <w:lang w:val="es-ES_tradnl"/>
              </w:rPr>
              <w:t xml:space="preserve">una </w:t>
            </w:r>
            <w:r w:rsidR="00316526" w:rsidRPr="00C168C5">
              <w:rPr>
                <w:i/>
                <w:szCs w:val="22"/>
                <w:lang w:val="es-ES_tradnl"/>
              </w:rPr>
              <w:t xml:space="preserve">estrategia </w:t>
            </w:r>
            <w:r w:rsidR="00525DD7" w:rsidRPr="00C168C5">
              <w:rPr>
                <w:i/>
                <w:szCs w:val="22"/>
                <w:lang w:val="es-ES_tradnl"/>
              </w:rPr>
              <w:t>nacional</w:t>
            </w:r>
            <w:r w:rsidR="00316526" w:rsidRPr="00C168C5">
              <w:rPr>
                <w:i/>
                <w:szCs w:val="22"/>
                <w:lang w:val="es-ES_tradnl"/>
              </w:rPr>
              <w:t xml:space="preserve"> de protección de diseños</w:t>
            </w:r>
            <w:r w:rsidR="00C91693" w:rsidRPr="00C168C5">
              <w:rPr>
                <w:szCs w:val="22"/>
                <w:lang w:val="es-ES_tradnl"/>
              </w:rPr>
              <w:t xml:space="preserve">; </w:t>
            </w:r>
            <w:r w:rsidR="00316526" w:rsidRPr="00C168C5">
              <w:rPr>
                <w:szCs w:val="22"/>
                <w:lang w:val="es-ES_tradnl"/>
              </w:rPr>
              <w:t xml:space="preserve"> </w:t>
            </w:r>
            <w:r w:rsidR="00C91693" w:rsidRPr="00C168C5">
              <w:rPr>
                <w:szCs w:val="22"/>
                <w:lang w:val="es-ES_tradnl"/>
              </w:rPr>
              <w:t xml:space="preserve">b) </w:t>
            </w:r>
            <w:r w:rsidR="00316526" w:rsidRPr="00C168C5">
              <w:rPr>
                <w:szCs w:val="22"/>
                <w:lang w:val="es-ES_tradnl"/>
              </w:rPr>
              <w:t xml:space="preserve">un </w:t>
            </w:r>
            <w:r w:rsidR="00316526" w:rsidRPr="00C168C5">
              <w:rPr>
                <w:i/>
                <w:szCs w:val="22"/>
                <w:lang w:val="es-ES_tradnl"/>
              </w:rPr>
              <w:t>plan de divulgación</w:t>
            </w:r>
            <w:r w:rsidR="00316526" w:rsidRPr="00C168C5">
              <w:rPr>
                <w:szCs w:val="22"/>
                <w:lang w:val="es-ES_tradnl"/>
              </w:rPr>
              <w:t>, que determina los sectores de l</w:t>
            </w:r>
            <w:r w:rsidR="00AF6736" w:rsidRPr="00C168C5">
              <w:rPr>
                <w:szCs w:val="22"/>
                <w:lang w:val="es-ES_tradnl"/>
              </w:rPr>
              <w:t>a industria clave, considerados</w:t>
            </w:r>
            <w:r w:rsidR="00C91693" w:rsidRPr="00C168C5">
              <w:rPr>
                <w:szCs w:val="22"/>
                <w:lang w:val="es-ES_tradnl"/>
              </w:rPr>
              <w:t xml:space="preserve"> </w:t>
            </w:r>
            <w:r w:rsidR="00316526" w:rsidRPr="00C168C5">
              <w:rPr>
                <w:szCs w:val="22"/>
                <w:lang w:val="es-ES_tradnl"/>
              </w:rPr>
              <w:t xml:space="preserve">de importancia estratégica para el desarrollo económico nacional y empleado como base para seleccionar las </w:t>
            </w:r>
            <w:r w:rsidR="000A424D">
              <w:rPr>
                <w:szCs w:val="22"/>
                <w:lang w:val="es-ES_tradnl"/>
              </w:rPr>
              <w:t>pymes</w:t>
            </w:r>
            <w:r w:rsidR="00316526" w:rsidRPr="00C168C5">
              <w:rPr>
                <w:szCs w:val="22"/>
                <w:lang w:val="es-ES_tradnl"/>
              </w:rPr>
              <w:t xml:space="preserve"> beneficiarias;  y </w:t>
            </w:r>
            <w:r w:rsidR="00C91693" w:rsidRPr="00C168C5">
              <w:rPr>
                <w:szCs w:val="22"/>
                <w:lang w:val="es-ES_tradnl"/>
              </w:rPr>
              <w:t xml:space="preserve">c) </w:t>
            </w:r>
            <w:r w:rsidR="00316526" w:rsidRPr="00C168C5">
              <w:rPr>
                <w:szCs w:val="22"/>
                <w:lang w:val="es-ES_tradnl"/>
              </w:rPr>
              <w:t xml:space="preserve">una </w:t>
            </w:r>
            <w:r w:rsidR="00316526" w:rsidRPr="00C168C5">
              <w:rPr>
                <w:i/>
                <w:szCs w:val="22"/>
                <w:lang w:val="es-ES_tradnl"/>
              </w:rPr>
              <w:t>estra</w:t>
            </w:r>
            <w:r w:rsidR="009C666E" w:rsidRPr="00C168C5">
              <w:rPr>
                <w:i/>
                <w:szCs w:val="22"/>
                <w:lang w:val="es-ES_tradnl"/>
              </w:rPr>
              <w:t>t</w:t>
            </w:r>
            <w:r w:rsidR="00316526" w:rsidRPr="00C168C5">
              <w:rPr>
                <w:i/>
                <w:szCs w:val="22"/>
                <w:lang w:val="es-ES_tradnl"/>
              </w:rPr>
              <w:t xml:space="preserve">egia </w:t>
            </w:r>
            <w:r w:rsidR="009C666E" w:rsidRPr="00C168C5">
              <w:rPr>
                <w:i/>
                <w:szCs w:val="22"/>
                <w:lang w:val="es-ES_tradnl"/>
              </w:rPr>
              <w:t>de salida</w:t>
            </w:r>
            <w:r w:rsidR="00316526" w:rsidRPr="00C168C5">
              <w:rPr>
                <w:szCs w:val="22"/>
                <w:lang w:val="es-ES_tradnl"/>
              </w:rPr>
              <w:t>, que, aunque no prevista en el documento inicial sobre el proyecto, recibe mucha atención y también se emplea para definir las partes interesadas clave que deben participar en el proyecto piloto y a largo plazo</w:t>
            </w:r>
            <w:r w:rsidR="00C91693" w:rsidRPr="00C168C5">
              <w:rPr>
                <w:szCs w:val="22"/>
                <w:lang w:val="es-ES_tradnl"/>
              </w:rPr>
              <w:t xml:space="preserve">.  </w:t>
            </w:r>
            <w:r w:rsidR="00316526" w:rsidRPr="00C168C5">
              <w:rPr>
                <w:szCs w:val="22"/>
                <w:lang w:val="es-ES_tradnl"/>
              </w:rPr>
              <w:t>Los riesgos se identifican y administran con frecuencia desde el inicio del proyecto piloto</w:t>
            </w:r>
            <w:r w:rsidR="00C91693" w:rsidRPr="00C168C5">
              <w:rPr>
                <w:szCs w:val="22"/>
                <w:lang w:val="es-ES_tradnl"/>
              </w:rPr>
              <w:t xml:space="preserve">.  </w:t>
            </w:r>
            <w:r w:rsidR="00316526" w:rsidRPr="00C168C5">
              <w:rPr>
                <w:szCs w:val="22"/>
                <w:lang w:val="es-ES_tradnl"/>
              </w:rPr>
              <w:t xml:space="preserve">Su documento </w:t>
            </w:r>
            <w:r w:rsidR="009A4F67" w:rsidRPr="00C168C5">
              <w:rPr>
                <w:szCs w:val="22"/>
                <w:lang w:val="es-ES_tradnl"/>
              </w:rPr>
              <w:t xml:space="preserve">sobre </w:t>
            </w:r>
            <w:r w:rsidR="00B662F6" w:rsidRPr="00C168C5">
              <w:rPr>
                <w:szCs w:val="22"/>
                <w:lang w:val="es-ES_tradnl"/>
              </w:rPr>
              <w:t xml:space="preserve">el </w:t>
            </w:r>
            <w:r w:rsidR="009A4F67" w:rsidRPr="00C168C5">
              <w:rPr>
                <w:szCs w:val="22"/>
                <w:lang w:val="es-ES_tradnl"/>
              </w:rPr>
              <w:t>alcance presenta en primer lugar un análisis de riesgos y las medidas con que paliarlos</w:t>
            </w:r>
            <w:r w:rsidR="00C91693" w:rsidRPr="00C168C5">
              <w:rPr>
                <w:szCs w:val="22"/>
                <w:lang w:val="es-ES_tradnl"/>
              </w:rPr>
              <w:t>.  </w:t>
            </w:r>
          </w:p>
          <w:p w14:paraId="5BAAC20F" w14:textId="77777777" w:rsidR="00C91693" w:rsidRPr="00C168C5" w:rsidRDefault="00C91693" w:rsidP="00243943">
            <w:pPr>
              <w:rPr>
                <w:szCs w:val="22"/>
                <w:lang w:val="es-ES_tradnl"/>
              </w:rPr>
            </w:pPr>
          </w:p>
          <w:p w14:paraId="40E3B348" w14:textId="4DACCA9F" w:rsidR="00C91693" w:rsidRPr="00C168C5" w:rsidRDefault="00C91693" w:rsidP="00243943">
            <w:pPr>
              <w:rPr>
                <w:szCs w:val="22"/>
                <w:lang w:val="es-ES_tradnl"/>
              </w:rPr>
            </w:pPr>
            <w:r w:rsidRPr="00C168C5">
              <w:rPr>
                <w:szCs w:val="22"/>
                <w:lang w:val="es-ES_tradnl"/>
              </w:rPr>
              <w:lastRenderedPageBreak/>
              <w:t>4.</w:t>
            </w:r>
            <w:r w:rsidRPr="00C168C5">
              <w:rPr>
                <w:szCs w:val="22"/>
                <w:lang w:val="es-ES_tradnl"/>
              </w:rPr>
              <w:tab/>
            </w:r>
            <w:r w:rsidR="001E09A4" w:rsidRPr="00C168C5">
              <w:rPr>
                <w:i/>
                <w:szCs w:val="22"/>
                <w:lang w:val="es-ES_tradnl"/>
              </w:rPr>
              <w:t>Estudios de viabilidad</w:t>
            </w:r>
          </w:p>
          <w:p w14:paraId="7A61B854" w14:textId="77777777" w:rsidR="00C91693" w:rsidRPr="00C168C5" w:rsidRDefault="00C91693" w:rsidP="00243943">
            <w:pPr>
              <w:rPr>
                <w:szCs w:val="22"/>
                <w:lang w:val="es-ES_tradnl"/>
              </w:rPr>
            </w:pPr>
          </w:p>
          <w:p w14:paraId="11E9734B" w14:textId="6D521B2B" w:rsidR="00C91693" w:rsidRPr="00C168C5" w:rsidRDefault="001E09A4" w:rsidP="00243943">
            <w:pPr>
              <w:rPr>
                <w:szCs w:val="22"/>
                <w:lang w:val="es-ES_tradnl"/>
              </w:rPr>
            </w:pPr>
            <w:r w:rsidRPr="00C168C5">
              <w:rPr>
                <w:szCs w:val="22"/>
                <w:lang w:val="es-ES_tradnl"/>
              </w:rPr>
              <w:t xml:space="preserve">Se </w:t>
            </w:r>
            <w:r w:rsidR="00C168C5" w:rsidRPr="00C168C5">
              <w:rPr>
                <w:szCs w:val="22"/>
                <w:lang w:val="es-ES_tradnl"/>
              </w:rPr>
              <w:t>han</w:t>
            </w:r>
            <w:r w:rsidR="00B662F6" w:rsidRPr="00C168C5">
              <w:rPr>
                <w:szCs w:val="22"/>
                <w:lang w:val="es-ES_tradnl"/>
              </w:rPr>
              <w:t xml:space="preserve"> llevado a </w:t>
            </w:r>
            <w:r w:rsidRPr="00C168C5">
              <w:rPr>
                <w:szCs w:val="22"/>
                <w:lang w:val="es-ES_tradnl"/>
              </w:rPr>
              <w:t>cabo estudios de viabilidad en ambos países, con preguntas dirigidas a los organismos coordinadores</w:t>
            </w:r>
            <w:r w:rsidR="00C91693" w:rsidRPr="00C168C5">
              <w:rPr>
                <w:szCs w:val="22"/>
                <w:lang w:val="es-ES_tradnl"/>
              </w:rPr>
              <w:t xml:space="preserve">.  </w:t>
            </w:r>
            <w:r w:rsidRPr="00C168C5">
              <w:rPr>
                <w:szCs w:val="22"/>
                <w:lang w:val="es-ES_tradnl"/>
              </w:rPr>
              <w:t xml:space="preserve">Se </w:t>
            </w:r>
            <w:r w:rsidR="00B662F6" w:rsidRPr="00C168C5">
              <w:rPr>
                <w:szCs w:val="22"/>
                <w:lang w:val="es-ES_tradnl"/>
              </w:rPr>
              <w:t>ha enviado</w:t>
            </w:r>
            <w:r w:rsidRPr="00C168C5">
              <w:rPr>
                <w:szCs w:val="22"/>
                <w:lang w:val="es-ES_tradnl"/>
              </w:rPr>
              <w:t xml:space="preserve"> una encuesta a más de 2.000 </w:t>
            </w:r>
            <w:r w:rsidR="00E335F9">
              <w:rPr>
                <w:szCs w:val="22"/>
                <w:lang w:val="es-ES_tradnl"/>
              </w:rPr>
              <w:t>pymes</w:t>
            </w:r>
            <w:r w:rsidRPr="00C168C5">
              <w:rPr>
                <w:szCs w:val="22"/>
                <w:lang w:val="es-ES_tradnl"/>
              </w:rPr>
              <w:t xml:space="preserve"> para evaluar sus necesidades, expectativas e intereses sobre el proyecto</w:t>
            </w:r>
            <w:r w:rsidR="00C91693" w:rsidRPr="00C168C5">
              <w:rPr>
                <w:szCs w:val="22"/>
                <w:lang w:val="es-ES_tradnl"/>
              </w:rPr>
              <w:t xml:space="preserve">.  </w:t>
            </w:r>
            <w:r w:rsidR="00B662F6" w:rsidRPr="00C168C5">
              <w:rPr>
                <w:szCs w:val="22"/>
                <w:lang w:val="es-ES_tradnl"/>
              </w:rPr>
              <w:t>Han respondido</w:t>
            </w:r>
            <w:r w:rsidRPr="00C168C5">
              <w:rPr>
                <w:szCs w:val="22"/>
                <w:lang w:val="es-ES_tradnl"/>
              </w:rPr>
              <w:t xml:space="preserve"> unas </w:t>
            </w:r>
            <w:r w:rsidR="00C91693" w:rsidRPr="00C168C5">
              <w:rPr>
                <w:szCs w:val="22"/>
                <w:lang w:val="es-ES_tradnl"/>
              </w:rPr>
              <w:t xml:space="preserve">90 </w:t>
            </w:r>
            <w:r w:rsidR="00E335F9">
              <w:rPr>
                <w:szCs w:val="22"/>
                <w:lang w:val="es-ES_tradnl"/>
              </w:rPr>
              <w:t>pymes</w:t>
            </w:r>
            <w:r w:rsidRPr="00C168C5">
              <w:rPr>
                <w:szCs w:val="22"/>
                <w:lang w:val="es-ES_tradnl"/>
              </w:rPr>
              <w:t xml:space="preserve"> argentinas y 249 marroquíes</w:t>
            </w:r>
            <w:r w:rsidR="00B662F6" w:rsidRPr="00C168C5">
              <w:rPr>
                <w:szCs w:val="22"/>
                <w:lang w:val="es-ES_tradnl"/>
              </w:rPr>
              <w:t>.</w:t>
            </w:r>
            <w:r w:rsidR="00C91693" w:rsidRPr="00C168C5">
              <w:rPr>
                <w:szCs w:val="22"/>
                <w:lang w:val="es-ES_tradnl"/>
              </w:rPr>
              <w:t xml:space="preserve"> </w:t>
            </w:r>
          </w:p>
          <w:p w14:paraId="43F8B2A0" w14:textId="77777777" w:rsidR="00C91693" w:rsidRPr="00C168C5" w:rsidRDefault="00C91693" w:rsidP="00243943">
            <w:pPr>
              <w:rPr>
                <w:szCs w:val="22"/>
                <w:lang w:val="es-ES_tradnl"/>
              </w:rPr>
            </w:pPr>
          </w:p>
          <w:p w14:paraId="36E98EAD" w14:textId="2DDF9289" w:rsidR="00C91693" w:rsidRPr="00C168C5" w:rsidRDefault="00F27941" w:rsidP="00243943">
            <w:pPr>
              <w:rPr>
                <w:szCs w:val="22"/>
                <w:u w:val="single"/>
                <w:lang w:val="es-ES_tradnl"/>
              </w:rPr>
            </w:pPr>
            <w:r w:rsidRPr="00C168C5">
              <w:rPr>
                <w:szCs w:val="22"/>
                <w:u w:val="single"/>
                <w:lang w:val="es-ES_tradnl"/>
              </w:rPr>
              <w:t>Divu</w:t>
            </w:r>
            <w:r w:rsidR="00B662F6" w:rsidRPr="00C168C5">
              <w:rPr>
                <w:szCs w:val="22"/>
                <w:u w:val="single"/>
                <w:lang w:val="es-ES_tradnl"/>
              </w:rPr>
              <w:t>lgación y ejecución del proyecto</w:t>
            </w:r>
          </w:p>
          <w:p w14:paraId="39134190" w14:textId="77777777" w:rsidR="00C91693" w:rsidRPr="00C168C5" w:rsidRDefault="00C91693" w:rsidP="00243943">
            <w:pPr>
              <w:rPr>
                <w:szCs w:val="22"/>
                <w:lang w:val="es-ES_tradnl"/>
              </w:rPr>
            </w:pPr>
          </w:p>
          <w:p w14:paraId="32C70C6D" w14:textId="1E22A190" w:rsidR="00C91693" w:rsidRPr="00C168C5" w:rsidRDefault="00F27941" w:rsidP="00243943">
            <w:pPr>
              <w:rPr>
                <w:i/>
                <w:szCs w:val="22"/>
                <w:lang w:val="es-ES_tradnl"/>
              </w:rPr>
            </w:pPr>
            <w:r w:rsidRPr="00C168C5">
              <w:rPr>
                <w:i/>
                <w:szCs w:val="22"/>
                <w:lang w:val="es-ES_tradnl"/>
              </w:rPr>
              <w:t>Actos de lanzamiento del proyecto en el país</w:t>
            </w:r>
          </w:p>
          <w:p w14:paraId="193486A5" w14:textId="77777777" w:rsidR="00C91693" w:rsidRPr="00C168C5" w:rsidRDefault="00C91693" w:rsidP="00243943">
            <w:pPr>
              <w:rPr>
                <w:szCs w:val="22"/>
                <w:lang w:val="es-ES_tradnl"/>
              </w:rPr>
            </w:pPr>
          </w:p>
          <w:p w14:paraId="0F1E21A4" w14:textId="77777777" w:rsidR="00C91693" w:rsidRPr="00C168C5" w:rsidRDefault="00C91693" w:rsidP="00243943">
            <w:pPr>
              <w:rPr>
                <w:szCs w:val="22"/>
                <w:lang w:val="es-ES_tradnl"/>
              </w:rPr>
            </w:pPr>
            <w:r w:rsidRPr="00C168C5">
              <w:rPr>
                <w:szCs w:val="22"/>
                <w:lang w:val="es-ES_tradnl"/>
              </w:rPr>
              <w:t>5.</w:t>
            </w:r>
            <w:r w:rsidRPr="00C168C5">
              <w:rPr>
                <w:szCs w:val="22"/>
                <w:lang w:val="es-ES_tradnl"/>
              </w:rPr>
              <w:tab/>
            </w:r>
            <w:r w:rsidRPr="00C168C5">
              <w:rPr>
                <w:i/>
                <w:szCs w:val="22"/>
                <w:lang w:val="es-ES_tradnl"/>
              </w:rPr>
              <w:t>Argentina</w:t>
            </w:r>
          </w:p>
          <w:p w14:paraId="11FD3ED0" w14:textId="77777777" w:rsidR="00C91693" w:rsidRPr="00C168C5" w:rsidRDefault="00C91693" w:rsidP="00243943">
            <w:pPr>
              <w:rPr>
                <w:szCs w:val="22"/>
                <w:lang w:val="es-ES_tradnl"/>
              </w:rPr>
            </w:pPr>
          </w:p>
          <w:p w14:paraId="3B5F67D0" w14:textId="1E46C01D" w:rsidR="00C91693" w:rsidRPr="00C168C5" w:rsidRDefault="009C666E" w:rsidP="00243943">
            <w:pPr>
              <w:rPr>
                <w:szCs w:val="22"/>
                <w:lang w:val="es-ES_tradnl"/>
              </w:rPr>
            </w:pPr>
            <w:r w:rsidRPr="00C168C5">
              <w:rPr>
                <w:szCs w:val="22"/>
                <w:lang w:val="es-ES_tradnl"/>
              </w:rPr>
              <w:t xml:space="preserve">Con el proyecto se organizó los días 3 y 4 de septiembre de 2014 un simposio internacional sobre la protección de diseños industriales en </w:t>
            </w:r>
            <w:r w:rsidR="00C91693" w:rsidRPr="00C168C5">
              <w:rPr>
                <w:szCs w:val="22"/>
                <w:lang w:val="es-ES_tradnl"/>
              </w:rPr>
              <w:t>Buenos Aires,</w:t>
            </w:r>
            <w:r w:rsidRPr="00C168C5">
              <w:rPr>
                <w:szCs w:val="22"/>
                <w:lang w:val="es-ES_tradnl"/>
              </w:rPr>
              <w:t xml:space="preserve"> con la participación de representantes de los poderes públicos y empresas que hacen un uso intensivo de los diseños</w:t>
            </w:r>
            <w:r w:rsidR="00C91693" w:rsidRPr="00C168C5">
              <w:rPr>
                <w:szCs w:val="22"/>
                <w:lang w:val="es-ES_tradnl"/>
              </w:rPr>
              <w:t xml:space="preserve"> (</w:t>
            </w:r>
            <w:r w:rsidRPr="00C168C5">
              <w:rPr>
                <w:szCs w:val="22"/>
                <w:lang w:val="es-ES_tradnl"/>
              </w:rPr>
              <w:t>de Argentina, Europa y los Estados Unidos</w:t>
            </w:r>
            <w:r w:rsidR="00C91693" w:rsidRPr="00C168C5">
              <w:rPr>
                <w:szCs w:val="22"/>
                <w:lang w:val="es-ES_tradnl"/>
              </w:rPr>
              <w:t xml:space="preserve">).      </w:t>
            </w:r>
          </w:p>
          <w:p w14:paraId="561E5D85" w14:textId="77777777" w:rsidR="00C91693" w:rsidRPr="00C168C5" w:rsidRDefault="00C91693" w:rsidP="00243943">
            <w:pPr>
              <w:rPr>
                <w:szCs w:val="22"/>
                <w:lang w:val="es-ES_tradnl"/>
              </w:rPr>
            </w:pPr>
          </w:p>
          <w:p w14:paraId="65F691AE" w14:textId="691B966B" w:rsidR="00C91693" w:rsidRPr="00C168C5" w:rsidRDefault="00443BD9" w:rsidP="00243943">
            <w:pPr>
              <w:rPr>
                <w:szCs w:val="22"/>
                <w:lang w:val="es-ES_tradnl"/>
              </w:rPr>
            </w:pPr>
            <w:r w:rsidRPr="00C168C5">
              <w:rPr>
                <w:szCs w:val="22"/>
                <w:lang w:val="es-ES_tradnl"/>
              </w:rPr>
              <w:t xml:space="preserve">En ello consistió el lanzamiento de la actividad en </w:t>
            </w:r>
            <w:r w:rsidR="00C91693" w:rsidRPr="00C168C5">
              <w:rPr>
                <w:szCs w:val="22"/>
                <w:lang w:val="es-ES_tradnl"/>
              </w:rPr>
              <w:t>Argentina</w:t>
            </w:r>
            <w:r w:rsidRPr="00C168C5">
              <w:rPr>
                <w:szCs w:val="22"/>
                <w:lang w:val="es-ES_tradnl"/>
              </w:rPr>
              <w:t>, que constituyó a la vez el primer acto de divulgación</w:t>
            </w:r>
            <w:r w:rsidR="00C91693" w:rsidRPr="00C168C5">
              <w:rPr>
                <w:szCs w:val="22"/>
                <w:lang w:val="es-ES_tradnl"/>
              </w:rPr>
              <w:t xml:space="preserve">.  </w:t>
            </w:r>
            <w:r w:rsidRPr="00C168C5">
              <w:rPr>
                <w:szCs w:val="22"/>
                <w:lang w:val="es-ES_tradnl"/>
              </w:rPr>
              <w:t xml:space="preserve">La OMPI y la </w:t>
            </w:r>
            <w:r w:rsidR="00C91693" w:rsidRPr="00C168C5">
              <w:rPr>
                <w:szCs w:val="22"/>
                <w:lang w:val="es-ES_tradnl"/>
              </w:rPr>
              <w:t xml:space="preserve">INPI </w:t>
            </w:r>
            <w:r w:rsidRPr="00C168C5">
              <w:rPr>
                <w:szCs w:val="22"/>
                <w:lang w:val="es-ES_tradnl"/>
              </w:rPr>
              <w:t xml:space="preserve">presentaron el proyecto piloto a los </w:t>
            </w:r>
            <w:r w:rsidR="00C91693" w:rsidRPr="00C168C5">
              <w:rPr>
                <w:szCs w:val="22"/>
                <w:lang w:val="es-ES_tradnl"/>
              </w:rPr>
              <w:t>153 participant</w:t>
            </w:r>
            <w:r w:rsidRPr="00C168C5">
              <w:rPr>
                <w:szCs w:val="22"/>
                <w:lang w:val="es-ES_tradnl"/>
              </w:rPr>
              <w:t>e</w:t>
            </w:r>
            <w:r w:rsidR="00C91693" w:rsidRPr="00C168C5">
              <w:rPr>
                <w:szCs w:val="22"/>
                <w:lang w:val="es-ES_tradnl"/>
              </w:rPr>
              <w:t>s</w:t>
            </w:r>
            <w:r w:rsidRPr="00C168C5">
              <w:rPr>
                <w:szCs w:val="22"/>
                <w:lang w:val="es-ES_tradnl"/>
              </w:rPr>
              <w:t xml:space="preserve">, entre los cuales se encontraban 70 </w:t>
            </w:r>
            <w:r w:rsidR="00E335F9">
              <w:rPr>
                <w:szCs w:val="22"/>
                <w:lang w:val="es-ES_tradnl"/>
              </w:rPr>
              <w:t>pymes</w:t>
            </w:r>
            <w:r w:rsidR="00C91693" w:rsidRPr="00C168C5">
              <w:rPr>
                <w:szCs w:val="22"/>
                <w:lang w:val="es-ES_tradnl"/>
              </w:rPr>
              <w:t xml:space="preserve">.  </w:t>
            </w:r>
            <w:r w:rsidRPr="00C168C5">
              <w:rPr>
                <w:szCs w:val="22"/>
                <w:lang w:val="es-ES_tradnl"/>
              </w:rPr>
              <w:t>El simposio concitó gran apoyo de las autoridades argentinas</w:t>
            </w:r>
            <w:r w:rsidR="00C91693" w:rsidRPr="00C168C5">
              <w:rPr>
                <w:szCs w:val="22"/>
                <w:lang w:val="es-ES_tradnl"/>
              </w:rPr>
              <w:t>,</w:t>
            </w:r>
            <w:r w:rsidR="005D162A" w:rsidRPr="00C168C5">
              <w:rPr>
                <w:szCs w:val="22"/>
                <w:lang w:val="es-ES_tradnl"/>
              </w:rPr>
              <w:t xml:space="preserve"> como prueba la presencia de la Ministra </w:t>
            </w:r>
            <w:r w:rsidRPr="00C168C5">
              <w:rPr>
                <w:szCs w:val="22"/>
                <w:lang w:val="es-ES_tradnl"/>
              </w:rPr>
              <w:t>de Industria</w:t>
            </w:r>
            <w:r w:rsidR="00C91693" w:rsidRPr="00C168C5">
              <w:rPr>
                <w:szCs w:val="22"/>
                <w:lang w:val="es-ES_tradnl"/>
              </w:rPr>
              <w:t xml:space="preserve">.  </w:t>
            </w:r>
            <w:r w:rsidRPr="00C168C5">
              <w:rPr>
                <w:szCs w:val="22"/>
                <w:lang w:val="es-ES_tradnl"/>
              </w:rPr>
              <w:t xml:space="preserve">La encuesta de satisfacción muestra que, de los </w:t>
            </w:r>
            <w:r w:rsidR="00C91693" w:rsidRPr="00C168C5">
              <w:rPr>
                <w:szCs w:val="22"/>
                <w:lang w:val="es-ES_tradnl"/>
              </w:rPr>
              <w:t xml:space="preserve">81 </w:t>
            </w:r>
            <w:r w:rsidRPr="00C168C5">
              <w:rPr>
                <w:szCs w:val="22"/>
                <w:lang w:val="es-ES_tradnl"/>
              </w:rPr>
              <w:t>encuestados</w:t>
            </w:r>
            <w:r w:rsidR="00C91693" w:rsidRPr="00C168C5">
              <w:rPr>
                <w:szCs w:val="22"/>
                <w:lang w:val="es-ES_tradnl"/>
              </w:rPr>
              <w:t xml:space="preserve">, 100% </w:t>
            </w:r>
            <w:r w:rsidRPr="00C168C5">
              <w:rPr>
                <w:szCs w:val="22"/>
                <w:lang w:val="es-ES_tradnl"/>
              </w:rPr>
              <w:t>clasificaron el evento como útil para el propósito concreto de utilizar el sistema de P.I. para la protección de diseños</w:t>
            </w:r>
            <w:r w:rsidR="00C91693" w:rsidRPr="00C168C5">
              <w:rPr>
                <w:szCs w:val="22"/>
                <w:lang w:val="es-ES_tradnl"/>
              </w:rPr>
              <w:t>,</w:t>
            </w:r>
            <w:r w:rsidRPr="00C168C5">
              <w:rPr>
                <w:szCs w:val="22"/>
                <w:lang w:val="es-ES_tradnl"/>
              </w:rPr>
              <w:t xml:space="preserve"> y un </w:t>
            </w:r>
            <w:r w:rsidR="00C91693" w:rsidRPr="00C168C5">
              <w:rPr>
                <w:szCs w:val="22"/>
                <w:lang w:val="es-ES_tradnl"/>
              </w:rPr>
              <w:t xml:space="preserve">83 % </w:t>
            </w:r>
            <w:r w:rsidRPr="00C168C5">
              <w:rPr>
                <w:szCs w:val="22"/>
                <w:lang w:val="es-ES_tradnl"/>
              </w:rPr>
              <w:t>manifestó su interés en participar en el proyecto</w:t>
            </w:r>
            <w:r w:rsidR="00C91693" w:rsidRPr="00C168C5">
              <w:rPr>
                <w:szCs w:val="22"/>
                <w:lang w:val="es-ES_tradnl"/>
              </w:rPr>
              <w:t>.</w:t>
            </w:r>
          </w:p>
          <w:p w14:paraId="3F3F9C4C" w14:textId="77777777" w:rsidR="00C91693" w:rsidRPr="00C168C5" w:rsidRDefault="00C91693" w:rsidP="00243943">
            <w:pPr>
              <w:rPr>
                <w:szCs w:val="22"/>
                <w:lang w:val="es-ES_tradnl"/>
              </w:rPr>
            </w:pPr>
          </w:p>
          <w:p w14:paraId="065BF285" w14:textId="7E735DBC" w:rsidR="00C91693" w:rsidRPr="00C168C5" w:rsidRDefault="00C91693" w:rsidP="00243943">
            <w:pPr>
              <w:rPr>
                <w:i/>
                <w:szCs w:val="22"/>
                <w:lang w:val="es-ES_tradnl"/>
              </w:rPr>
            </w:pPr>
            <w:r w:rsidRPr="00C168C5">
              <w:rPr>
                <w:i/>
                <w:szCs w:val="22"/>
                <w:lang w:val="es-ES_tradnl"/>
              </w:rPr>
              <w:t>6.</w:t>
            </w:r>
            <w:r w:rsidRPr="00C168C5">
              <w:rPr>
                <w:i/>
                <w:szCs w:val="22"/>
                <w:lang w:val="es-ES_tradnl"/>
              </w:rPr>
              <w:tab/>
              <w:t>M</w:t>
            </w:r>
            <w:r w:rsidR="00E31F8D" w:rsidRPr="00C168C5">
              <w:rPr>
                <w:i/>
                <w:szCs w:val="22"/>
                <w:lang w:val="es-ES_tradnl"/>
              </w:rPr>
              <w:t>arruecos</w:t>
            </w:r>
          </w:p>
          <w:p w14:paraId="107382CE" w14:textId="77777777" w:rsidR="00C91693" w:rsidRPr="00C168C5" w:rsidRDefault="00C91693" w:rsidP="00243943">
            <w:pPr>
              <w:ind w:left="540"/>
              <w:rPr>
                <w:i/>
                <w:szCs w:val="22"/>
                <w:lang w:val="es-ES_tradnl"/>
              </w:rPr>
            </w:pPr>
          </w:p>
          <w:p w14:paraId="3A6DCBF0" w14:textId="2C617A96" w:rsidR="00C91693" w:rsidRPr="00C168C5" w:rsidRDefault="00CA0716" w:rsidP="00243943">
            <w:pPr>
              <w:rPr>
                <w:szCs w:val="22"/>
                <w:lang w:val="es-ES_tradnl"/>
              </w:rPr>
            </w:pPr>
            <w:r w:rsidRPr="00C168C5">
              <w:rPr>
                <w:szCs w:val="22"/>
                <w:lang w:val="es-ES_tradnl"/>
              </w:rPr>
              <w:t xml:space="preserve">El 15 de octubre de </w:t>
            </w:r>
            <w:r w:rsidR="00C91693" w:rsidRPr="00C168C5">
              <w:rPr>
                <w:szCs w:val="22"/>
                <w:lang w:val="es-ES_tradnl"/>
              </w:rPr>
              <w:t xml:space="preserve">2014, </w:t>
            </w:r>
            <w:r w:rsidRPr="00C168C5">
              <w:rPr>
                <w:szCs w:val="22"/>
                <w:lang w:val="es-ES_tradnl"/>
              </w:rPr>
              <w:t xml:space="preserve">la OMPI y la </w:t>
            </w:r>
            <w:r w:rsidR="00C91693" w:rsidRPr="00C168C5">
              <w:rPr>
                <w:szCs w:val="22"/>
                <w:lang w:val="es-ES_tradnl"/>
              </w:rPr>
              <w:t>OMPIC</w:t>
            </w:r>
            <w:r w:rsidR="00E63736" w:rsidRPr="00C168C5">
              <w:rPr>
                <w:szCs w:val="22"/>
                <w:lang w:val="es-ES_tradnl"/>
              </w:rPr>
              <w:t xml:space="preserve"> (Oficina de Marruecos de la Propiedad Intelectual y C</w:t>
            </w:r>
            <w:r w:rsidRPr="00C168C5">
              <w:rPr>
                <w:szCs w:val="22"/>
                <w:lang w:val="es-ES_tradnl"/>
              </w:rPr>
              <w:t xml:space="preserve">omercial) presentaron el proyecto piloto en una conferencia en </w:t>
            </w:r>
            <w:r w:rsidR="00C91693" w:rsidRPr="00C168C5">
              <w:rPr>
                <w:szCs w:val="22"/>
                <w:lang w:val="es-ES_tradnl"/>
              </w:rPr>
              <w:t xml:space="preserve">Casablanca </w:t>
            </w:r>
            <w:r w:rsidRPr="00C168C5">
              <w:rPr>
                <w:szCs w:val="22"/>
                <w:lang w:val="es-ES_tradnl"/>
              </w:rPr>
              <w:t xml:space="preserve">a diseñadores y </w:t>
            </w:r>
            <w:r w:rsidR="00E335F9">
              <w:rPr>
                <w:szCs w:val="22"/>
                <w:lang w:val="es-ES_tradnl"/>
              </w:rPr>
              <w:t>pymes</w:t>
            </w:r>
            <w:r w:rsidRPr="00C168C5">
              <w:rPr>
                <w:szCs w:val="22"/>
                <w:lang w:val="es-ES_tradnl"/>
              </w:rPr>
              <w:t xml:space="preserve"> potencialmente beneficiarias.  El proyecto también se presentó durante una mesa redonda celebrada el 16 de octubre de 2014</w:t>
            </w:r>
            <w:r w:rsidR="00C91693" w:rsidRPr="00C168C5">
              <w:rPr>
                <w:szCs w:val="22"/>
                <w:lang w:val="es-ES_tradnl"/>
              </w:rPr>
              <w:t>,</w:t>
            </w:r>
            <w:r w:rsidR="00A936CC" w:rsidRPr="00C168C5">
              <w:rPr>
                <w:szCs w:val="22"/>
                <w:lang w:val="es-ES_tradnl"/>
              </w:rPr>
              <w:t xml:space="preserve"> que contó con participantes del Ministerio de Industria</w:t>
            </w:r>
            <w:r w:rsidR="00C91693" w:rsidRPr="00C168C5">
              <w:rPr>
                <w:szCs w:val="22"/>
                <w:lang w:val="es-ES_tradnl"/>
              </w:rPr>
              <w:t>,</w:t>
            </w:r>
            <w:r w:rsidR="004A7F93" w:rsidRPr="00C168C5">
              <w:rPr>
                <w:szCs w:val="22"/>
                <w:lang w:val="es-ES_tradnl"/>
              </w:rPr>
              <w:t xml:space="preserve"> Comercio, In</w:t>
            </w:r>
            <w:r w:rsidR="00954B6E" w:rsidRPr="00C168C5">
              <w:rPr>
                <w:szCs w:val="22"/>
                <w:lang w:val="es-ES_tradnl"/>
              </w:rPr>
              <w:t xml:space="preserve">versión y Economía Digital, el </w:t>
            </w:r>
            <w:r w:rsidR="004A7F93" w:rsidRPr="00C168C5">
              <w:rPr>
                <w:szCs w:val="22"/>
                <w:lang w:val="es-ES_tradnl"/>
              </w:rPr>
              <w:t xml:space="preserve">Ministerio de </w:t>
            </w:r>
            <w:r w:rsidR="00954B6E" w:rsidRPr="00C168C5">
              <w:rPr>
                <w:szCs w:val="22"/>
                <w:lang w:val="es-ES_tradnl"/>
              </w:rPr>
              <w:t>Artesanía, Economía  y Solidaridad Social;  la Federación de Cámaras de Comercio, Industria y Servicios; escuelas y otras partes interesadas de las principales industrias</w:t>
            </w:r>
            <w:r w:rsidR="00C91693" w:rsidRPr="00C168C5">
              <w:rPr>
                <w:szCs w:val="22"/>
                <w:lang w:val="es-ES_tradnl"/>
              </w:rPr>
              <w:t xml:space="preserve">.  </w:t>
            </w:r>
            <w:r w:rsidR="00954B6E" w:rsidRPr="00C168C5">
              <w:rPr>
                <w:szCs w:val="22"/>
                <w:lang w:val="es-ES_tradnl"/>
              </w:rPr>
              <w:t xml:space="preserve">Todos los participantes se mostraron partidarios de </w:t>
            </w:r>
            <w:r w:rsidR="00D60F76" w:rsidRPr="00C168C5">
              <w:rPr>
                <w:szCs w:val="22"/>
                <w:lang w:val="es-ES_tradnl"/>
              </w:rPr>
              <w:t>comprometerse con el proyecto y de animar</w:t>
            </w:r>
            <w:r w:rsidR="001141DB">
              <w:rPr>
                <w:szCs w:val="22"/>
                <w:lang w:val="es-ES_tradnl"/>
              </w:rPr>
              <w:t xml:space="preserve"> </w:t>
            </w:r>
            <w:r w:rsidR="00D60F76" w:rsidRPr="00C168C5">
              <w:rPr>
                <w:szCs w:val="22"/>
                <w:lang w:val="es-ES_tradnl"/>
              </w:rPr>
              <w:t xml:space="preserve">a su red de </w:t>
            </w:r>
            <w:r w:rsidR="00E335F9">
              <w:rPr>
                <w:szCs w:val="22"/>
                <w:lang w:val="es-ES_tradnl"/>
              </w:rPr>
              <w:t>pymes</w:t>
            </w:r>
            <w:r w:rsidR="00D60F76" w:rsidRPr="00C168C5">
              <w:rPr>
                <w:szCs w:val="22"/>
                <w:lang w:val="es-ES_tradnl"/>
              </w:rPr>
              <w:t xml:space="preserve"> a participar en el mismo</w:t>
            </w:r>
            <w:r w:rsidR="00C91693" w:rsidRPr="00C168C5">
              <w:rPr>
                <w:szCs w:val="22"/>
                <w:lang w:val="es-ES_tradnl"/>
              </w:rPr>
              <w:t>.</w:t>
            </w:r>
          </w:p>
          <w:p w14:paraId="21358B62" w14:textId="77777777" w:rsidR="00C91693" w:rsidRPr="00C168C5" w:rsidRDefault="00C91693" w:rsidP="00243943">
            <w:pPr>
              <w:rPr>
                <w:szCs w:val="22"/>
                <w:lang w:val="es-ES_tradnl"/>
              </w:rPr>
            </w:pPr>
          </w:p>
          <w:p w14:paraId="1E30F63C" w14:textId="522B2526" w:rsidR="00C91693" w:rsidRPr="00C168C5" w:rsidRDefault="00303C2B" w:rsidP="00243943">
            <w:pPr>
              <w:rPr>
                <w:iCs/>
                <w:szCs w:val="22"/>
                <w:lang w:val="es-ES_tradnl"/>
              </w:rPr>
            </w:pPr>
            <w:r w:rsidRPr="00C168C5">
              <w:rPr>
                <w:iCs/>
                <w:szCs w:val="22"/>
                <w:lang w:val="es-ES_tradnl"/>
              </w:rPr>
              <w:t xml:space="preserve">En ambos países los actos de lanzamiento y las actividades de promoción </w:t>
            </w:r>
            <w:r w:rsidR="00080878" w:rsidRPr="00C168C5">
              <w:rPr>
                <w:iCs/>
                <w:szCs w:val="22"/>
                <w:lang w:val="es-ES_tradnl"/>
              </w:rPr>
              <w:t>contribuyendo</w:t>
            </w:r>
            <w:r w:rsidRPr="00C168C5">
              <w:rPr>
                <w:iCs/>
                <w:szCs w:val="22"/>
                <w:lang w:val="es-ES_tradnl"/>
              </w:rPr>
              <w:t xml:space="preserve"> a una mayor toma de conciencia sobre la protección de los diseños industriales, que permitió llegar a </w:t>
            </w:r>
            <w:r w:rsidR="00E335F9">
              <w:rPr>
                <w:iCs/>
                <w:szCs w:val="22"/>
                <w:lang w:val="es-ES_tradnl"/>
              </w:rPr>
              <w:t>pymes</w:t>
            </w:r>
            <w:r w:rsidRPr="00C168C5">
              <w:rPr>
                <w:iCs/>
                <w:szCs w:val="22"/>
                <w:lang w:val="es-ES_tradnl"/>
              </w:rPr>
              <w:t xml:space="preserve"> </w:t>
            </w:r>
            <w:r w:rsidR="00B420A8">
              <w:rPr>
                <w:iCs/>
                <w:szCs w:val="22"/>
                <w:lang w:val="es-ES_tradnl"/>
              </w:rPr>
              <w:t xml:space="preserve">que podrían beneficiarse del proyecto </w:t>
            </w:r>
            <w:r w:rsidR="000609BC" w:rsidRPr="00C168C5">
              <w:rPr>
                <w:iCs/>
                <w:szCs w:val="22"/>
                <w:lang w:val="es-ES_tradnl"/>
              </w:rPr>
              <w:t xml:space="preserve">y </w:t>
            </w:r>
            <w:r w:rsidR="00B420A8">
              <w:rPr>
                <w:iCs/>
                <w:szCs w:val="22"/>
                <w:lang w:val="es-ES_tradnl"/>
              </w:rPr>
              <w:t xml:space="preserve">a </w:t>
            </w:r>
            <w:r w:rsidR="000609BC" w:rsidRPr="00C168C5">
              <w:rPr>
                <w:iCs/>
                <w:szCs w:val="22"/>
                <w:lang w:val="es-ES_tradnl"/>
              </w:rPr>
              <w:t>asociados institucionales clave.</w:t>
            </w:r>
          </w:p>
          <w:p w14:paraId="57632826" w14:textId="77777777" w:rsidR="00C91693" w:rsidRPr="00C168C5" w:rsidRDefault="00C91693" w:rsidP="00243943">
            <w:pPr>
              <w:rPr>
                <w:szCs w:val="22"/>
                <w:lang w:val="es-ES_tradnl"/>
              </w:rPr>
            </w:pPr>
          </w:p>
          <w:p w14:paraId="1208172B" w14:textId="01A3C53A" w:rsidR="00C91693" w:rsidRPr="00C168C5" w:rsidRDefault="00C91693" w:rsidP="00243943">
            <w:pPr>
              <w:rPr>
                <w:i/>
                <w:szCs w:val="22"/>
                <w:lang w:val="es-ES_tradnl"/>
              </w:rPr>
            </w:pPr>
            <w:r w:rsidRPr="00C168C5">
              <w:rPr>
                <w:i/>
                <w:szCs w:val="22"/>
                <w:lang w:val="es-ES_tradnl"/>
              </w:rPr>
              <w:t>7.</w:t>
            </w:r>
            <w:r w:rsidRPr="00C168C5">
              <w:rPr>
                <w:i/>
                <w:szCs w:val="22"/>
                <w:lang w:val="es-ES_tradnl"/>
              </w:rPr>
              <w:tab/>
            </w:r>
            <w:r w:rsidR="0004670F" w:rsidRPr="00C168C5">
              <w:rPr>
                <w:i/>
                <w:szCs w:val="22"/>
                <w:lang w:val="es-ES_tradnl"/>
              </w:rPr>
              <w:t xml:space="preserve">Selección de las </w:t>
            </w:r>
            <w:r w:rsidR="00E335F9">
              <w:rPr>
                <w:i/>
                <w:szCs w:val="22"/>
                <w:lang w:val="es-ES_tradnl"/>
              </w:rPr>
              <w:t>pymes</w:t>
            </w:r>
            <w:r w:rsidRPr="00C168C5">
              <w:rPr>
                <w:i/>
                <w:szCs w:val="22"/>
                <w:lang w:val="es-ES_tradnl"/>
              </w:rPr>
              <w:t xml:space="preserve"> </w:t>
            </w:r>
          </w:p>
          <w:p w14:paraId="5B6D8C89" w14:textId="77777777" w:rsidR="00C91693" w:rsidRPr="00C168C5" w:rsidRDefault="00C91693" w:rsidP="00243943">
            <w:pPr>
              <w:rPr>
                <w:i/>
                <w:szCs w:val="22"/>
                <w:lang w:val="es-ES_tradnl"/>
              </w:rPr>
            </w:pPr>
          </w:p>
          <w:p w14:paraId="14B53B4A" w14:textId="621A343D" w:rsidR="00C91693" w:rsidRPr="00C168C5" w:rsidRDefault="00E84651" w:rsidP="00243943">
            <w:pPr>
              <w:rPr>
                <w:szCs w:val="22"/>
                <w:lang w:val="es-ES_tradnl"/>
              </w:rPr>
            </w:pPr>
            <w:r w:rsidRPr="00C168C5">
              <w:rPr>
                <w:szCs w:val="22"/>
                <w:lang w:val="es-ES_tradnl"/>
              </w:rPr>
              <w:t xml:space="preserve">Además de la divulgación a </w:t>
            </w:r>
            <w:r w:rsidR="00C91693" w:rsidRPr="00C168C5">
              <w:rPr>
                <w:szCs w:val="22"/>
                <w:lang w:val="es-ES_tradnl"/>
              </w:rPr>
              <w:t>1</w:t>
            </w:r>
            <w:r w:rsidRPr="00C168C5">
              <w:rPr>
                <w:szCs w:val="22"/>
                <w:lang w:val="es-ES_tradnl"/>
              </w:rPr>
              <w:t>.</w:t>
            </w:r>
            <w:r w:rsidR="00C91693" w:rsidRPr="00C168C5">
              <w:rPr>
                <w:szCs w:val="22"/>
                <w:lang w:val="es-ES_tradnl"/>
              </w:rPr>
              <w:t xml:space="preserve">600 </w:t>
            </w:r>
            <w:r w:rsidR="00E335F9">
              <w:rPr>
                <w:szCs w:val="22"/>
                <w:lang w:val="es-ES_tradnl"/>
              </w:rPr>
              <w:t>pymes</w:t>
            </w:r>
            <w:r w:rsidRPr="00C168C5">
              <w:rPr>
                <w:szCs w:val="22"/>
                <w:lang w:val="es-ES_tradnl"/>
              </w:rPr>
              <w:t xml:space="preserve"> de </w:t>
            </w:r>
            <w:r w:rsidR="00C91693" w:rsidRPr="00C168C5">
              <w:rPr>
                <w:szCs w:val="22"/>
                <w:lang w:val="es-ES_tradnl"/>
              </w:rPr>
              <w:t xml:space="preserve">Argentina </w:t>
            </w:r>
            <w:r w:rsidRPr="00C168C5">
              <w:rPr>
                <w:szCs w:val="22"/>
                <w:lang w:val="es-ES_tradnl"/>
              </w:rPr>
              <w:t>y 2.000 de Marruecos</w:t>
            </w:r>
            <w:r w:rsidR="00C91693" w:rsidRPr="00C168C5">
              <w:rPr>
                <w:szCs w:val="22"/>
                <w:lang w:val="es-ES_tradnl"/>
              </w:rPr>
              <w:t xml:space="preserve">, </w:t>
            </w:r>
            <w:r w:rsidR="007D41BF" w:rsidRPr="00C168C5">
              <w:rPr>
                <w:szCs w:val="22"/>
                <w:lang w:val="es-ES_tradnl"/>
              </w:rPr>
              <w:t>basadas en las solicitudes</w:t>
            </w:r>
            <w:r w:rsidR="00C91693" w:rsidRPr="00C168C5">
              <w:rPr>
                <w:szCs w:val="22"/>
                <w:lang w:val="es-ES_tradnl"/>
              </w:rPr>
              <w:t>,</w:t>
            </w:r>
            <w:r w:rsidR="007D41BF" w:rsidRPr="00C168C5">
              <w:rPr>
                <w:szCs w:val="22"/>
                <w:lang w:val="es-ES_tradnl"/>
              </w:rPr>
              <w:t xml:space="preserve"> con criterios bien definidos y rigor en el proceso, se seleccionaron </w:t>
            </w:r>
            <w:r w:rsidR="00C91693" w:rsidRPr="00C168C5">
              <w:rPr>
                <w:i/>
                <w:szCs w:val="22"/>
                <w:lang w:val="es-ES_tradnl"/>
              </w:rPr>
              <w:t>68</w:t>
            </w:r>
            <w:r w:rsidR="007D41BF" w:rsidRPr="00C168C5">
              <w:rPr>
                <w:i/>
                <w:szCs w:val="22"/>
                <w:lang w:val="es-ES_tradnl"/>
              </w:rPr>
              <w:t xml:space="preserve"> </w:t>
            </w:r>
            <w:r w:rsidR="00E335F9">
              <w:rPr>
                <w:i/>
                <w:szCs w:val="22"/>
                <w:lang w:val="es-ES_tradnl"/>
              </w:rPr>
              <w:t>pymes</w:t>
            </w:r>
            <w:r w:rsidR="007D41BF" w:rsidRPr="00C168C5">
              <w:rPr>
                <w:i/>
                <w:szCs w:val="22"/>
                <w:lang w:val="es-ES_tradnl"/>
              </w:rPr>
              <w:t xml:space="preserve"> beneficiarias, 42 de </w:t>
            </w:r>
            <w:r w:rsidR="007D41BF" w:rsidRPr="00C168C5">
              <w:rPr>
                <w:i/>
                <w:szCs w:val="22"/>
                <w:lang w:val="es-ES_tradnl"/>
              </w:rPr>
              <w:lastRenderedPageBreak/>
              <w:t xml:space="preserve">las cuales procedían de </w:t>
            </w:r>
            <w:r w:rsidR="00C91693" w:rsidRPr="00C168C5">
              <w:rPr>
                <w:i/>
                <w:szCs w:val="22"/>
                <w:lang w:val="es-ES_tradnl"/>
              </w:rPr>
              <w:t>Argentina</w:t>
            </w:r>
            <w:r w:rsidR="007D41BF" w:rsidRPr="00C168C5">
              <w:rPr>
                <w:i/>
                <w:szCs w:val="22"/>
                <w:lang w:val="es-ES_tradnl"/>
              </w:rPr>
              <w:t xml:space="preserve"> y </w:t>
            </w:r>
            <w:r w:rsidR="00C91693" w:rsidRPr="00C168C5">
              <w:rPr>
                <w:i/>
                <w:szCs w:val="22"/>
                <w:lang w:val="es-ES_tradnl"/>
              </w:rPr>
              <w:t xml:space="preserve">26 </w:t>
            </w:r>
            <w:r w:rsidR="007D41BF" w:rsidRPr="00C168C5">
              <w:rPr>
                <w:i/>
                <w:szCs w:val="22"/>
                <w:lang w:val="es-ES_tradnl"/>
              </w:rPr>
              <w:t>de Marruecos</w:t>
            </w:r>
            <w:r w:rsidR="00C91693" w:rsidRPr="00C168C5">
              <w:rPr>
                <w:szCs w:val="22"/>
                <w:lang w:val="es-ES_tradnl"/>
              </w:rPr>
              <w:t xml:space="preserve">.   </w:t>
            </w:r>
          </w:p>
          <w:p w14:paraId="07B03F5B" w14:textId="77777777" w:rsidR="00C91693" w:rsidRPr="00C168C5" w:rsidRDefault="00C91693" w:rsidP="00243943">
            <w:pPr>
              <w:rPr>
                <w:szCs w:val="22"/>
                <w:lang w:val="es-ES_tradnl"/>
              </w:rPr>
            </w:pPr>
          </w:p>
          <w:p w14:paraId="0F7B45C0" w14:textId="4A647871" w:rsidR="00C91693" w:rsidRPr="00C168C5" w:rsidRDefault="00C91693" w:rsidP="00243943">
            <w:pPr>
              <w:rPr>
                <w:i/>
                <w:szCs w:val="22"/>
                <w:lang w:val="es-ES_tradnl"/>
              </w:rPr>
            </w:pPr>
            <w:r w:rsidRPr="00C168C5">
              <w:rPr>
                <w:i/>
                <w:szCs w:val="22"/>
                <w:lang w:val="es-ES_tradnl"/>
              </w:rPr>
              <w:t>8.</w:t>
            </w:r>
            <w:r w:rsidRPr="00C168C5">
              <w:rPr>
                <w:i/>
                <w:szCs w:val="22"/>
                <w:lang w:val="es-ES_tradnl"/>
              </w:rPr>
              <w:tab/>
              <w:t>Promo</w:t>
            </w:r>
            <w:r w:rsidR="0004670F" w:rsidRPr="00C168C5">
              <w:rPr>
                <w:i/>
                <w:szCs w:val="22"/>
                <w:lang w:val="es-ES_tradnl"/>
              </w:rPr>
              <w:t xml:space="preserve">ción y </w:t>
            </w:r>
            <w:r w:rsidR="007D41BF" w:rsidRPr="00C168C5">
              <w:rPr>
                <w:i/>
                <w:szCs w:val="22"/>
                <w:lang w:val="es-ES_tradnl"/>
              </w:rPr>
              <w:t>concientización</w:t>
            </w:r>
          </w:p>
          <w:p w14:paraId="072F995D" w14:textId="77777777" w:rsidR="00C91693" w:rsidRPr="00C168C5" w:rsidRDefault="00C91693" w:rsidP="00243943">
            <w:pPr>
              <w:rPr>
                <w:i/>
                <w:szCs w:val="22"/>
                <w:lang w:val="es-ES_tradnl"/>
              </w:rPr>
            </w:pPr>
          </w:p>
          <w:p w14:paraId="3BFE4FCD" w14:textId="7B223249" w:rsidR="00C91693" w:rsidRPr="00C168C5" w:rsidRDefault="00F90EEF" w:rsidP="00243943">
            <w:pPr>
              <w:rPr>
                <w:szCs w:val="22"/>
                <w:lang w:val="es-ES_tradnl"/>
              </w:rPr>
            </w:pPr>
            <w:r w:rsidRPr="00C168C5">
              <w:rPr>
                <w:szCs w:val="22"/>
                <w:lang w:val="es-ES_tradnl"/>
              </w:rPr>
              <w:t>En ambos países s</w:t>
            </w:r>
            <w:r w:rsidR="007D41BF" w:rsidRPr="00C168C5">
              <w:rPr>
                <w:szCs w:val="22"/>
                <w:lang w:val="es-ES_tradnl"/>
              </w:rPr>
              <w:t>e prepararon</w:t>
            </w:r>
            <w:r w:rsidR="007D41BF" w:rsidRPr="00C168C5">
              <w:rPr>
                <w:i/>
                <w:szCs w:val="22"/>
                <w:lang w:val="es-ES_tradnl"/>
              </w:rPr>
              <w:t xml:space="preserve"> folletos de promoción </w:t>
            </w:r>
            <w:r w:rsidR="002E44F5" w:rsidRPr="00C168C5">
              <w:rPr>
                <w:szCs w:val="22"/>
                <w:lang w:val="es-ES_tradnl"/>
              </w:rPr>
              <w:t>que se distribuyeron ampliamente en ambos países</w:t>
            </w:r>
            <w:r w:rsidR="00C91693" w:rsidRPr="00C168C5">
              <w:rPr>
                <w:szCs w:val="22"/>
                <w:lang w:val="es-ES_tradnl"/>
              </w:rPr>
              <w:t xml:space="preserve">.  </w:t>
            </w:r>
            <w:r w:rsidR="002E44F5" w:rsidRPr="00C168C5">
              <w:rPr>
                <w:szCs w:val="22"/>
                <w:lang w:val="es-ES_tradnl"/>
              </w:rPr>
              <w:t xml:space="preserve">Especialmente para la </w:t>
            </w:r>
            <w:r w:rsidR="00080878" w:rsidRPr="00C168C5">
              <w:rPr>
                <w:szCs w:val="22"/>
                <w:lang w:val="es-ES_tradnl"/>
              </w:rPr>
              <w:t>ocasión</w:t>
            </w:r>
            <w:r w:rsidR="002E44F5" w:rsidRPr="00C168C5">
              <w:rPr>
                <w:szCs w:val="22"/>
                <w:lang w:val="es-ES_tradnl"/>
              </w:rPr>
              <w:t xml:space="preserve"> se crearon logo</w:t>
            </w:r>
            <w:r w:rsidRPr="00C168C5">
              <w:rPr>
                <w:szCs w:val="22"/>
                <w:lang w:val="es-ES_tradnl"/>
              </w:rPr>
              <w:t>tipos y los nombres de programa</w:t>
            </w:r>
            <w:r w:rsidR="00C91693" w:rsidRPr="00C168C5">
              <w:rPr>
                <w:szCs w:val="22"/>
                <w:lang w:val="es-ES_tradnl"/>
              </w:rPr>
              <w:t xml:space="preserve"> “DiseñAr” </w:t>
            </w:r>
            <w:r w:rsidR="002E44F5" w:rsidRPr="00C168C5">
              <w:rPr>
                <w:szCs w:val="22"/>
                <w:lang w:val="es-ES_tradnl"/>
              </w:rPr>
              <w:t xml:space="preserve">y </w:t>
            </w:r>
            <w:r w:rsidR="00C91693" w:rsidRPr="00C168C5">
              <w:rPr>
                <w:szCs w:val="22"/>
                <w:lang w:val="es-ES_tradnl"/>
              </w:rPr>
              <w:t>“Na</w:t>
            </w:r>
            <w:r w:rsidR="00C91693" w:rsidRPr="00C168C5">
              <w:rPr>
                <w:i/>
                <w:szCs w:val="22"/>
                <w:lang w:val="es-ES_tradnl"/>
              </w:rPr>
              <w:t>ma</w:t>
            </w:r>
            <w:r w:rsidR="002E44F5" w:rsidRPr="00C168C5">
              <w:rPr>
                <w:szCs w:val="22"/>
                <w:lang w:val="es-ES_tradnl"/>
              </w:rPr>
              <w:t xml:space="preserve">dij”, que contribuyen a </w:t>
            </w:r>
            <w:r w:rsidR="00080878" w:rsidRPr="00C168C5">
              <w:rPr>
                <w:szCs w:val="22"/>
                <w:lang w:val="es-ES_tradnl"/>
              </w:rPr>
              <w:t>realzar</w:t>
            </w:r>
            <w:r w:rsidR="002E44F5" w:rsidRPr="00C168C5">
              <w:rPr>
                <w:szCs w:val="22"/>
                <w:lang w:val="es-ES_tradnl"/>
              </w:rPr>
              <w:t xml:space="preserve"> la identidad nacional del </w:t>
            </w:r>
            <w:r w:rsidR="00080878" w:rsidRPr="00C168C5">
              <w:rPr>
                <w:szCs w:val="22"/>
                <w:lang w:val="es-ES_tradnl"/>
              </w:rPr>
              <w:t>programa</w:t>
            </w:r>
            <w:r w:rsidR="002E44F5" w:rsidRPr="00C168C5">
              <w:rPr>
                <w:szCs w:val="22"/>
                <w:lang w:val="es-ES_tradnl"/>
              </w:rPr>
              <w:t xml:space="preserve"> y a </w:t>
            </w:r>
            <w:r w:rsidRPr="00C168C5">
              <w:rPr>
                <w:szCs w:val="22"/>
                <w:lang w:val="es-ES_tradnl"/>
              </w:rPr>
              <w:t>su sostenibilidad en</w:t>
            </w:r>
            <w:r w:rsidR="00C91693" w:rsidRPr="00C168C5">
              <w:rPr>
                <w:szCs w:val="22"/>
                <w:lang w:val="es-ES_tradnl"/>
              </w:rPr>
              <w:t xml:space="preserve"> Argentina </w:t>
            </w:r>
            <w:r w:rsidRPr="00C168C5">
              <w:rPr>
                <w:szCs w:val="22"/>
                <w:lang w:val="es-ES_tradnl"/>
              </w:rPr>
              <w:t>y Marruecos</w:t>
            </w:r>
            <w:r w:rsidR="00C91693" w:rsidRPr="00C168C5">
              <w:rPr>
                <w:szCs w:val="22"/>
                <w:lang w:val="es-ES_tradnl"/>
              </w:rPr>
              <w:t>.</w:t>
            </w:r>
            <w:r w:rsidRPr="00C168C5">
              <w:rPr>
                <w:szCs w:val="22"/>
                <w:lang w:val="es-ES_tradnl"/>
              </w:rPr>
              <w:t xml:space="preserve">  Están disponibles las </w:t>
            </w:r>
            <w:r w:rsidRPr="00C168C5">
              <w:rPr>
                <w:i/>
                <w:szCs w:val="22"/>
                <w:lang w:val="es-ES_tradnl"/>
              </w:rPr>
              <w:t>páginas web</w:t>
            </w:r>
            <w:r w:rsidRPr="00C168C5">
              <w:rPr>
                <w:szCs w:val="22"/>
                <w:lang w:val="es-ES_tradnl"/>
              </w:rPr>
              <w:t xml:space="preserve"> del proyecto piloto</w:t>
            </w:r>
            <w:r w:rsidR="00C91693" w:rsidRPr="00C168C5">
              <w:rPr>
                <w:iCs/>
                <w:szCs w:val="22"/>
                <w:lang w:val="es-ES_tradnl"/>
              </w:rPr>
              <w:t xml:space="preserve"> </w:t>
            </w:r>
            <w:r w:rsidRPr="00C168C5">
              <w:rPr>
                <w:iCs/>
                <w:szCs w:val="22"/>
                <w:lang w:val="es-ES_tradnl"/>
              </w:rPr>
              <w:t>en ambos sitios web de los organismos coordinadores</w:t>
            </w:r>
            <w:r w:rsidR="00C91693" w:rsidRPr="00C168C5">
              <w:rPr>
                <w:iCs/>
                <w:szCs w:val="22"/>
                <w:lang w:val="es-ES_tradnl"/>
              </w:rPr>
              <w:t xml:space="preserve">.  </w:t>
            </w:r>
            <w:r w:rsidRPr="00C168C5">
              <w:rPr>
                <w:iCs/>
                <w:szCs w:val="22"/>
                <w:lang w:val="es-ES_tradnl"/>
              </w:rPr>
              <w:t>Los sitios web de la INPI y la OMPIC también se hacen eco de estos eventos</w:t>
            </w:r>
            <w:r w:rsidR="00C91693" w:rsidRPr="00C168C5">
              <w:rPr>
                <w:szCs w:val="22"/>
                <w:lang w:val="es-ES_tradnl"/>
              </w:rPr>
              <w:t xml:space="preserve">.  </w:t>
            </w:r>
            <w:r w:rsidRPr="00C168C5">
              <w:rPr>
                <w:szCs w:val="22"/>
                <w:lang w:val="es-ES_tradnl"/>
              </w:rPr>
              <w:t xml:space="preserve">También se están preparando </w:t>
            </w:r>
            <w:r w:rsidRPr="004D183B">
              <w:rPr>
                <w:szCs w:val="22"/>
                <w:lang w:val="es-ES_tradnl"/>
              </w:rPr>
              <w:t>esló</w:t>
            </w:r>
            <w:r w:rsidR="00C91693" w:rsidRPr="004D183B">
              <w:rPr>
                <w:szCs w:val="22"/>
                <w:lang w:val="es-ES_tradnl"/>
              </w:rPr>
              <w:t>gan</w:t>
            </w:r>
            <w:r w:rsidRPr="004D183B">
              <w:rPr>
                <w:szCs w:val="22"/>
                <w:lang w:val="es-ES_tradnl"/>
              </w:rPr>
              <w:t>es</w:t>
            </w:r>
            <w:r w:rsidRPr="00C168C5">
              <w:rPr>
                <w:szCs w:val="22"/>
                <w:lang w:val="es-ES_tradnl"/>
              </w:rPr>
              <w:t xml:space="preserve"> y un </w:t>
            </w:r>
            <w:r w:rsidRPr="00C168C5">
              <w:rPr>
                <w:i/>
                <w:szCs w:val="22"/>
                <w:lang w:val="es-ES_tradnl"/>
              </w:rPr>
              <w:t>vídeo promocional</w:t>
            </w:r>
            <w:r w:rsidRPr="00C168C5">
              <w:rPr>
                <w:szCs w:val="22"/>
                <w:lang w:val="es-ES_tradnl"/>
              </w:rPr>
              <w:t xml:space="preserve"> en los dos países para fomentar la toma de conciencia sobre la protección de diseños</w:t>
            </w:r>
            <w:r w:rsidR="00FF6835" w:rsidRPr="00C168C5">
              <w:rPr>
                <w:szCs w:val="22"/>
                <w:lang w:val="es-ES_tradnl"/>
              </w:rPr>
              <w:t xml:space="preserve"> y comunicar la información sobre el programa a mayor público</w:t>
            </w:r>
            <w:r w:rsidR="00C91693" w:rsidRPr="00C168C5">
              <w:rPr>
                <w:szCs w:val="22"/>
                <w:lang w:val="es-ES_tradnl"/>
              </w:rPr>
              <w:t xml:space="preserve">.  </w:t>
            </w:r>
          </w:p>
          <w:p w14:paraId="2648471D" w14:textId="77777777" w:rsidR="00C91693" w:rsidRPr="00C168C5" w:rsidRDefault="00C91693" w:rsidP="00243943">
            <w:pPr>
              <w:rPr>
                <w:i/>
                <w:szCs w:val="22"/>
                <w:lang w:val="es-ES_tradnl"/>
              </w:rPr>
            </w:pPr>
          </w:p>
          <w:p w14:paraId="3DDCDCA2" w14:textId="5813175B" w:rsidR="00C91693" w:rsidRPr="00C168C5" w:rsidRDefault="00C91693" w:rsidP="00243943">
            <w:pPr>
              <w:rPr>
                <w:i/>
                <w:szCs w:val="22"/>
                <w:lang w:val="es-ES_tradnl"/>
              </w:rPr>
            </w:pPr>
            <w:r w:rsidRPr="00C168C5">
              <w:rPr>
                <w:i/>
                <w:szCs w:val="22"/>
                <w:lang w:val="es-ES_tradnl"/>
              </w:rPr>
              <w:t>9.</w:t>
            </w:r>
            <w:r w:rsidRPr="00C168C5">
              <w:rPr>
                <w:i/>
                <w:szCs w:val="22"/>
                <w:lang w:val="es-ES_tradnl"/>
              </w:rPr>
              <w:tab/>
              <w:t>Met</w:t>
            </w:r>
            <w:r w:rsidR="00391D69" w:rsidRPr="00C168C5">
              <w:rPr>
                <w:i/>
                <w:szCs w:val="22"/>
                <w:lang w:val="es-ES_tradnl"/>
              </w:rPr>
              <w:t xml:space="preserve">odología y herramientas </w:t>
            </w:r>
          </w:p>
          <w:p w14:paraId="5D08F610" w14:textId="77777777" w:rsidR="00C91693" w:rsidRPr="00C168C5" w:rsidRDefault="00C91693" w:rsidP="00243943">
            <w:pPr>
              <w:rPr>
                <w:i/>
                <w:szCs w:val="22"/>
                <w:lang w:val="es-ES_tradnl"/>
              </w:rPr>
            </w:pPr>
          </w:p>
          <w:p w14:paraId="3BD49B08" w14:textId="65FBF535" w:rsidR="00C91693" w:rsidRPr="00C168C5" w:rsidRDefault="00391D69" w:rsidP="00243943">
            <w:pPr>
              <w:rPr>
                <w:i/>
                <w:iCs/>
                <w:szCs w:val="22"/>
                <w:lang w:val="es-ES_tradnl"/>
              </w:rPr>
            </w:pPr>
            <w:r w:rsidRPr="00C168C5">
              <w:rPr>
                <w:iCs/>
                <w:szCs w:val="22"/>
                <w:lang w:val="es-ES_tradnl"/>
              </w:rPr>
              <w:t xml:space="preserve">Con el fin de suministrar una metodología clara a los expertos nacionales y así recopilar datos de forma sistemática y facilitar su estudio comparativo entre países piloto, </w:t>
            </w:r>
            <w:r w:rsidR="00AA3FB4" w:rsidRPr="00C168C5">
              <w:rPr>
                <w:iCs/>
                <w:szCs w:val="22"/>
                <w:lang w:val="es-ES_tradnl"/>
              </w:rPr>
              <w:t>el proyecto piloto elaboró</w:t>
            </w:r>
            <w:r w:rsidRPr="00C168C5">
              <w:rPr>
                <w:iCs/>
                <w:szCs w:val="22"/>
                <w:lang w:val="es-ES_tradnl"/>
              </w:rPr>
              <w:t xml:space="preserve"> herramientas adaptadas</w:t>
            </w:r>
            <w:r w:rsidR="00C91693" w:rsidRPr="00C168C5">
              <w:rPr>
                <w:iCs/>
                <w:szCs w:val="22"/>
                <w:lang w:val="es-ES_tradnl"/>
              </w:rPr>
              <w:t>,</w:t>
            </w:r>
            <w:r w:rsidR="009C1ED5" w:rsidRPr="00C168C5">
              <w:rPr>
                <w:iCs/>
                <w:szCs w:val="22"/>
                <w:lang w:val="es-ES_tradnl"/>
              </w:rPr>
              <w:t xml:space="preserve"> incluida la </w:t>
            </w:r>
            <w:r w:rsidR="00AA3FB4" w:rsidRPr="00C168C5">
              <w:rPr>
                <w:iCs/>
                <w:szCs w:val="22"/>
                <w:lang w:val="es-ES_tradnl"/>
              </w:rPr>
              <w:t>“</w:t>
            </w:r>
            <w:r w:rsidR="00AA3FB4" w:rsidRPr="00C168C5">
              <w:rPr>
                <w:i/>
                <w:iCs/>
                <w:szCs w:val="22"/>
                <w:lang w:val="es-ES_tradnl"/>
              </w:rPr>
              <w:t xml:space="preserve">protección estratégica de los diseños en cinco </w:t>
            </w:r>
            <w:r w:rsidR="00C91693" w:rsidRPr="00C168C5">
              <w:rPr>
                <w:i/>
                <w:iCs/>
                <w:szCs w:val="22"/>
                <w:lang w:val="es-ES_tradnl"/>
              </w:rPr>
              <w:t>(5) </w:t>
            </w:r>
            <w:r w:rsidR="00AA3FB4" w:rsidRPr="00C168C5">
              <w:rPr>
                <w:i/>
                <w:iCs/>
                <w:szCs w:val="22"/>
                <w:lang w:val="es-ES_tradnl"/>
              </w:rPr>
              <w:t>pasos”</w:t>
            </w:r>
            <w:r w:rsidR="00AA3FB4" w:rsidRPr="00C168C5">
              <w:rPr>
                <w:iCs/>
                <w:szCs w:val="22"/>
                <w:lang w:val="es-ES_tradnl"/>
              </w:rPr>
              <w:t xml:space="preserve"> preparada por la Secretaría</w:t>
            </w:r>
            <w:r w:rsidR="00C91693" w:rsidRPr="00C168C5">
              <w:rPr>
                <w:iCs/>
                <w:szCs w:val="22"/>
                <w:lang w:val="es-ES_tradnl"/>
              </w:rPr>
              <w:t xml:space="preserve">.  </w:t>
            </w:r>
            <w:r w:rsidR="00AA3FB4" w:rsidRPr="00C168C5">
              <w:rPr>
                <w:iCs/>
                <w:szCs w:val="22"/>
                <w:lang w:val="es-ES_tradnl"/>
              </w:rPr>
              <w:t>Para idear esas herramientas</w:t>
            </w:r>
            <w:r w:rsidR="009C1ED5" w:rsidRPr="00C168C5">
              <w:rPr>
                <w:iCs/>
                <w:szCs w:val="22"/>
                <w:lang w:val="es-ES_tradnl"/>
              </w:rPr>
              <w:t>,</w:t>
            </w:r>
            <w:r w:rsidR="00AA3FB4" w:rsidRPr="00C168C5">
              <w:rPr>
                <w:iCs/>
                <w:szCs w:val="22"/>
                <w:lang w:val="es-ES_tradnl"/>
              </w:rPr>
              <w:t xml:space="preserve"> expertos de dentro y fuera de la OMPI han colaborado e intercambiado conocimientos y se han examinado los útiles actuales de P.I</w:t>
            </w:r>
            <w:r w:rsidR="00C91693" w:rsidRPr="00C168C5">
              <w:rPr>
                <w:iCs/>
                <w:szCs w:val="22"/>
                <w:lang w:val="es-ES_tradnl"/>
              </w:rPr>
              <w:t xml:space="preserve">.  </w:t>
            </w:r>
            <w:r w:rsidR="00C91693" w:rsidRPr="00C168C5">
              <w:rPr>
                <w:szCs w:val="22"/>
                <w:lang w:val="es-ES_tradnl"/>
              </w:rPr>
              <w:t xml:space="preserve"> </w:t>
            </w:r>
          </w:p>
          <w:p w14:paraId="664C45DD" w14:textId="77777777" w:rsidR="00C91693" w:rsidRPr="00C168C5" w:rsidRDefault="00C91693" w:rsidP="00243943">
            <w:pPr>
              <w:rPr>
                <w:szCs w:val="22"/>
                <w:lang w:val="es-ES_tradnl"/>
              </w:rPr>
            </w:pPr>
          </w:p>
          <w:p w14:paraId="172125D3" w14:textId="35DB89E0" w:rsidR="00C91693" w:rsidRPr="00C168C5" w:rsidRDefault="00D11CDE" w:rsidP="00243943">
            <w:pPr>
              <w:rPr>
                <w:i/>
                <w:szCs w:val="22"/>
                <w:lang w:val="es-ES_tradnl"/>
              </w:rPr>
            </w:pPr>
            <w:r w:rsidRPr="00C168C5">
              <w:rPr>
                <w:i/>
                <w:szCs w:val="22"/>
                <w:lang w:val="es-ES_tradnl"/>
              </w:rPr>
              <w:t>Fo</w:t>
            </w:r>
            <w:r w:rsidR="009C1ED5" w:rsidRPr="00C168C5">
              <w:rPr>
                <w:i/>
                <w:szCs w:val="22"/>
                <w:lang w:val="es-ES_tradnl"/>
              </w:rPr>
              <w:t xml:space="preserve">rtalecimiento de capacidades y </w:t>
            </w:r>
            <w:r w:rsidRPr="00C168C5">
              <w:rPr>
                <w:i/>
                <w:szCs w:val="22"/>
                <w:lang w:val="es-ES_tradnl"/>
              </w:rPr>
              <w:t>a</w:t>
            </w:r>
            <w:r w:rsidR="009C1ED5" w:rsidRPr="00C168C5">
              <w:rPr>
                <w:i/>
                <w:szCs w:val="22"/>
                <w:lang w:val="es-ES_tradnl"/>
              </w:rPr>
              <w:t>ctos de presentación</w:t>
            </w:r>
            <w:r w:rsidR="00AC12A5" w:rsidRPr="00C168C5">
              <w:rPr>
                <w:i/>
                <w:szCs w:val="22"/>
                <w:lang w:val="es-ES_tradnl"/>
              </w:rPr>
              <w:t xml:space="preserve"> del proyecto</w:t>
            </w:r>
          </w:p>
          <w:p w14:paraId="6DB4D0C3" w14:textId="77777777" w:rsidR="00C91693" w:rsidRPr="00C168C5" w:rsidRDefault="00C91693" w:rsidP="00243943">
            <w:pPr>
              <w:rPr>
                <w:szCs w:val="22"/>
                <w:lang w:val="es-ES_tradnl"/>
              </w:rPr>
            </w:pPr>
          </w:p>
          <w:p w14:paraId="4CB9C31F" w14:textId="77777777" w:rsidR="00C91693" w:rsidRPr="00C168C5" w:rsidRDefault="00C91693" w:rsidP="00243943">
            <w:pPr>
              <w:rPr>
                <w:i/>
                <w:szCs w:val="22"/>
                <w:lang w:val="es-ES_tradnl"/>
              </w:rPr>
            </w:pPr>
            <w:r w:rsidRPr="00C168C5">
              <w:rPr>
                <w:i/>
                <w:szCs w:val="22"/>
                <w:lang w:val="es-ES_tradnl"/>
              </w:rPr>
              <w:t>10.</w:t>
            </w:r>
            <w:r w:rsidRPr="00C168C5">
              <w:rPr>
                <w:i/>
                <w:szCs w:val="22"/>
                <w:lang w:val="es-ES_tradnl"/>
              </w:rPr>
              <w:tab/>
              <w:t xml:space="preserve">Argentina </w:t>
            </w:r>
          </w:p>
          <w:p w14:paraId="0D7F66E3" w14:textId="77777777" w:rsidR="00C91693" w:rsidRPr="00C168C5" w:rsidRDefault="00C91693" w:rsidP="00243943">
            <w:pPr>
              <w:rPr>
                <w:i/>
                <w:szCs w:val="22"/>
                <w:lang w:val="es-ES_tradnl"/>
              </w:rPr>
            </w:pPr>
          </w:p>
          <w:p w14:paraId="6B9AD825" w14:textId="750021DE" w:rsidR="00C91693" w:rsidRPr="00C168C5" w:rsidRDefault="00D11CDE" w:rsidP="00243943">
            <w:pPr>
              <w:rPr>
                <w:szCs w:val="22"/>
                <w:lang w:val="es-ES_tradnl"/>
              </w:rPr>
            </w:pPr>
            <w:r w:rsidRPr="00C168C5">
              <w:rPr>
                <w:szCs w:val="22"/>
                <w:lang w:val="es-ES_tradnl"/>
              </w:rPr>
              <w:t>A raíz de los talleres de Argentina sobre fortalecimiento de capacidad</w:t>
            </w:r>
            <w:r w:rsidR="00EE7B01" w:rsidRPr="00C168C5">
              <w:rPr>
                <w:szCs w:val="22"/>
                <w:lang w:val="es-ES_tradnl"/>
              </w:rPr>
              <w:t>es</w:t>
            </w:r>
            <w:r w:rsidRPr="00C168C5">
              <w:rPr>
                <w:szCs w:val="22"/>
                <w:lang w:val="es-ES_tradnl"/>
              </w:rPr>
              <w:t xml:space="preserve"> para expertos nacionales</w:t>
            </w:r>
            <w:r w:rsidR="00C91693" w:rsidRPr="00C168C5">
              <w:rPr>
                <w:szCs w:val="22"/>
                <w:lang w:val="es-ES_tradnl"/>
              </w:rPr>
              <w:t xml:space="preserve">, </w:t>
            </w:r>
            <w:r w:rsidRPr="00C168C5">
              <w:rPr>
                <w:szCs w:val="22"/>
                <w:lang w:val="es-ES_tradnl"/>
              </w:rPr>
              <w:t xml:space="preserve">se celebró </w:t>
            </w:r>
            <w:r w:rsidR="0006207A" w:rsidRPr="00C168C5">
              <w:rPr>
                <w:szCs w:val="22"/>
                <w:lang w:val="es-ES_tradnl"/>
              </w:rPr>
              <w:t xml:space="preserve">el 7 </w:t>
            </w:r>
            <w:r w:rsidR="00080878" w:rsidRPr="00C168C5">
              <w:rPr>
                <w:szCs w:val="22"/>
                <w:lang w:val="es-ES_tradnl"/>
              </w:rPr>
              <w:t>de abril</w:t>
            </w:r>
            <w:r w:rsidR="0006207A" w:rsidRPr="00C168C5">
              <w:rPr>
                <w:szCs w:val="22"/>
                <w:lang w:val="es-ES_tradnl"/>
              </w:rPr>
              <w:t xml:space="preserve"> de 2015 </w:t>
            </w:r>
            <w:r w:rsidRPr="00C168C5">
              <w:rPr>
                <w:szCs w:val="22"/>
                <w:lang w:val="es-ES_tradnl"/>
              </w:rPr>
              <w:t xml:space="preserve">un acto de </w:t>
            </w:r>
            <w:r w:rsidR="00B2564D">
              <w:rPr>
                <w:szCs w:val="22"/>
                <w:lang w:val="es-ES_tradnl"/>
              </w:rPr>
              <w:t>lanzamiento</w:t>
            </w:r>
            <w:r w:rsidR="0006207A" w:rsidRPr="00C168C5">
              <w:rPr>
                <w:szCs w:val="22"/>
                <w:lang w:val="es-ES_tradnl"/>
              </w:rPr>
              <w:t xml:space="preserve"> del proyecto en Buenos Aires ante unos </w:t>
            </w:r>
            <w:r w:rsidR="00C91693" w:rsidRPr="00C168C5">
              <w:rPr>
                <w:szCs w:val="22"/>
                <w:lang w:val="es-ES_tradnl"/>
              </w:rPr>
              <w:t xml:space="preserve">70 </w:t>
            </w:r>
            <w:r w:rsidR="0006207A" w:rsidRPr="00C168C5">
              <w:rPr>
                <w:szCs w:val="22"/>
                <w:lang w:val="es-ES_tradnl"/>
              </w:rPr>
              <w:t>participantes</w:t>
            </w:r>
            <w:r w:rsidR="00C91693" w:rsidRPr="00C168C5">
              <w:rPr>
                <w:szCs w:val="22"/>
                <w:lang w:val="es-ES_tradnl"/>
              </w:rPr>
              <w:t xml:space="preserve">.  </w:t>
            </w:r>
            <w:r w:rsidR="0041719F" w:rsidRPr="00C168C5">
              <w:rPr>
                <w:szCs w:val="22"/>
                <w:lang w:val="es-ES_tradnl"/>
              </w:rPr>
              <w:t xml:space="preserve">El acto fue inaugurado por </w:t>
            </w:r>
            <w:r w:rsidR="005D162A" w:rsidRPr="00C168C5">
              <w:rPr>
                <w:szCs w:val="22"/>
                <w:lang w:val="es-ES_tradnl"/>
              </w:rPr>
              <w:t>la Ministra de</w:t>
            </w:r>
            <w:r w:rsidR="0041719F" w:rsidRPr="00C168C5">
              <w:rPr>
                <w:szCs w:val="22"/>
                <w:lang w:val="es-ES_tradnl"/>
              </w:rPr>
              <w:t xml:space="preserve"> </w:t>
            </w:r>
            <w:r w:rsidR="00080878" w:rsidRPr="00C168C5">
              <w:rPr>
                <w:szCs w:val="22"/>
                <w:lang w:val="es-ES_tradnl"/>
              </w:rPr>
              <w:t>Industria</w:t>
            </w:r>
            <w:r w:rsidR="0041719F" w:rsidRPr="00C168C5">
              <w:rPr>
                <w:szCs w:val="22"/>
                <w:lang w:val="es-ES_tradnl"/>
              </w:rPr>
              <w:t xml:space="preserve"> y el Presidente de la</w:t>
            </w:r>
            <w:r w:rsidR="00C91693" w:rsidRPr="00C168C5">
              <w:rPr>
                <w:szCs w:val="22"/>
                <w:lang w:val="es-ES_tradnl"/>
              </w:rPr>
              <w:t xml:space="preserve"> INPI.  </w:t>
            </w:r>
            <w:r w:rsidR="0041719F" w:rsidRPr="00C168C5">
              <w:rPr>
                <w:szCs w:val="22"/>
                <w:lang w:val="es-ES_tradnl"/>
              </w:rPr>
              <w:t>La Secretaría de la OMPI estuvo representada por un funcionario que pronunció un mensaje mediante vídeo</w:t>
            </w:r>
            <w:r w:rsidR="00C91693" w:rsidRPr="00C168C5">
              <w:rPr>
                <w:szCs w:val="22"/>
                <w:lang w:val="es-ES_tradnl"/>
              </w:rPr>
              <w:t xml:space="preserve">.  </w:t>
            </w:r>
            <w:r w:rsidR="0041719F" w:rsidRPr="00C168C5">
              <w:rPr>
                <w:szCs w:val="22"/>
                <w:lang w:val="es-ES_tradnl"/>
              </w:rPr>
              <w:t xml:space="preserve">El programa incorporaba </w:t>
            </w:r>
            <w:r w:rsidR="00E20503">
              <w:rPr>
                <w:szCs w:val="22"/>
                <w:lang w:val="es-ES_tradnl"/>
              </w:rPr>
              <w:t xml:space="preserve">un prediagnóstico </w:t>
            </w:r>
            <w:r w:rsidR="0041719F" w:rsidRPr="00C168C5">
              <w:rPr>
                <w:szCs w:val="22"/>
                <w:lang w:val="es-ES_tradnl"/>
              </w:rPr>
              <w:t xml:space="preserve">con </w:t>
            </w:r>
            <w:r w:rsidR="00080878" w:rsidRPr="00C168C5">
              <w:rPr>
                <w:szCs w:val="22"/>
                <w:lang w:val="es-ES_tradnl"/>
              </w:rPr>
              <w:t>diversas</w:t>
            </w:r>
            <w:r w:rsidR="0041719F" w:rsidRPr="00C168C5">
              <w:rPr>
                <w:szCs w:val="22"/>
                <w:lang w:val="es-ES_tradnl"/>
              </w:rPr>
              <w:t xml:space="preserve"> </w:t>
            </w:r>
            <w:r w:rsidR="00CB022B" w:rsidRPr="00C168C5">
              <w:rPr>
                <w:szCs w:val="22"/>
                <w:lang w:val="es-ES_tradnl"/>
              </w:rPr>
              <w:t>carpetas</w:t>
            </w:r>
            <w:r w:rsidR="0041719F" w:rsidRPr="00C168C5">
              <w:rPr>
                <w:szCs w:val="22"/>
                <w:lang w:val="es-ES_tradnl"/>
              </w:rPr>
              <w:t xml:space="preserve"> en materia de diseños para cada </w:t>
            </w:r>
            <w:r w:rsidR="008838BA" w:rsidRPr="00C168C5">
              <w:rPr>
                <w:szCs w:val="22"/>
                <w:lang w:val="es-ES_tradnl"/>
              </w:rPr>
              <w:t>Pyme</w:t>
            </w:r>
            <w:r w:rsidR="0041719F" w:rsidRPr="00C168C5">
              <w:rPr>
                <w:szCs w:val="22"/>
                <w:lang w:val="es-ES_tradnl"/>
              </w:rPr>
              <w:t xml:space="preserve"> beneficiaria</w:t>
            </w:r>
            <w:r w:rsidR="00C91693" w:rsidRPr="00C168C5">
              <w:rPr>
                <w:szCs w:val="22"/>
                <w:lang w:val="es-ES_tradnl"/>
              </w:rPr>
              <w:t>,</w:t>
            </w:r>
            <w:r w:rsidR="0041719F" w:rsidRPr="00C168C5">
              <w:rPr>
                <w:szCs w:val="22"/>
                <w:lang w:val="es-ES_tradnl"/>
              </w:rPr>
              <w:t xml:space="preserve"> contando con el apoyo de expertos nacionales</w:t>
            </w:r>
            <w:r w:rsidR="00C91693" w:rsidRPr="00C168C5">
              <w:rPr>
                <w:szCs w:val="22"/>
                <w:lang w:val="es-ES_tradnl"/>
              </w:rPr>
              <w:t xml:space="preserve">.  </w:t>
            </w:r>
            <w:r w:rsidR="0041719F" w:rsidRPr="00C168C5">
              <w:rPr>
                <w:szCs w:val="22"/>
                <w:lang w:val="es-ES_tradnl"/>
              </w:rPr>
              <w:t xml:space="preserve">La encuesta muestra una tasa general de satisfacción sobre este acto del </w:t>
            </w:r>
            <w:r w:rsidR="00C91693" w:rsidRPr="00C168C5">
              <w:rPr>
                <w:szCs w:val="22"/>
                <w:lang w:val="es-ES_tradnl"/>
              </w:rPr>
              <w:t>95%,</w:t>
            </w:r>
            <w:r w:rsidR="00080878" w:rsidRPr="00C168C5">
              <w:rPr>
                <w:szCs w:val="22"/>
                <w:lang w:val="es-ES_tradnl"/>
              </w:rPr>
              <w:t xml:space="preserve"> y las </w:t>
            </w:r>
            <w:r w:rsidR="000A424D">
              <w:rPr>
                <w:szCs w:val="22"/>
                <w:lang w:val="es-ES_tradnl"/>
              </w:rPr>
              <w:t>pymes</w:t>
            </w:r>
            <w:r w:rsidR="0041719F" w:rsidRPr="00C168C5">
              <w:rPr>
                <w:szCs w:val="22"/>
                <w:lang w:val="es-ES_tradnl"/>
              </w:rPr>
              <w:t xml:space="preserve"> cifraron la utilidad del proyecto piloto para su propia empresa en un </w:t>
            </w:r>
            <w:r w:rsidR="00C91693" w:rsidRPr="00C168C5">
              <w:rPr>
                <w:szCs w:val="22"/>
                <w:lang w:val="es-ES_tradnl"/>
              </w:rPr>
              <w:t xml:space="preserve">89%.  </w:t>
            </w:r>
          </w:p>
          <w:p w14:paraId="2E6300CC" w14:textId="77777777" w:rsidR="00C91693" w:rsidRPr="00C168C5" w:rsidRDefault="00C91693" w:rsidP="00243943">
            <w:pPr>
              <w:rPr>
                <w:szCs w:val="22"/>
                <w:lang w:val="es-ES_tradnl"/>
              </w:rPr>
            </w:pPr>
          </w:p>
          <w:p w14:paraId="2722679B" w14:textId="55414622" w:rsidR="00C91693" w:rsidRPr="00C168C5" w:rsidRDefault="00C91693" w:rsidP="00243943">
            <w:pPr>
              <w:rPr>
                <w:i/>
                <w:szCs w:val="22"/>
                <w:lang w:val="es-ES_tradnl"/>
              </w:rPr>
            </w:pPr>
            <w:r w:rsidRPr="00C168C5">
              <w:rPr>
                <w:szCs w:val="22"/>
                <w:lang w:val="es-ES_tradnl"/>
              </w:rPr>
              <w:t>11.</w:t>
            </w:r>
            <w:r w:rsidRPr="00C168C5">
              <w:rPr>
                <w:szCs w:val="22"/>
                <w:lang w:val="es-ES_tradnl"/>
              </w:rPr>
              <w:tab/>
            </w:r>
            <w:r w:rsidRPr="00C168C5">
              <w:rPr>
                <w:i/>
                <w:szCs w:val="22"/>
                <w:lang w:val="es-ES_tradnl"/>
              </w:rPr>
              <w:t>M</w:t>
            </w:r>
            <w:r w:rsidR="0041719F" w:rsidRPr="00C168C5">
              <w:rPr>
                <w:i/>
                <w:szCs w:val="22"/>
                <w:lang w:val="es-ES_tradnl"/>
              </w:rPr>
              <w:t>arruecos</w:t>
            </w:r>
            <w:r w:rsidRPr="00C168C5">
              <w:rPr>
                <w:i/>
                <w:szCs w:val="22"/>
                <w:lang w:val="es-ES_tradnl"/>
              </w:rPr>
              <w:t xml:space="preserve"> </w:t>
            </w:r>
          </w:p>
          <w:p w14:paraId="6DED6273" w14:textId="77777777" w:rsidR="00C91693" w:rsidRPr="00C168C5" w:rsidRDefault="00C91693" w:rsidP="00243943">
            <w:pPr>
              <w:rPr>
                <w:szCs w:val="22"/>
                <w:lang w:val="es-ES_tradnl"/>
              </w:rPr>
            </w:pPr>
          </w:p>
          <w:p w14:paraId="46E6B802" w14:textId="59D8D16F" w:rsidR="00C91693" w:rsidRPr="00C168C5" w:rsidRDefault="00150C04" w:rsidP="00243943">
            <w:pPr>
              <w:rPr>
                <w:szCs w:val="22"/>
                <w:lang w:val="es-ES_tradnl"/>
              </w:rPr>
            </w:pPr>
            <w:r w:rsidRPr="00C168C5">
              <w:rPr>
                <w:szCs w:val="22"/>
                <w:lang w:val="es-ES_tradnl"/>
              </w:rPr>
              <w:t>En Casablanca la OMPI llevó a cabo un taller de fortalecimiento de capacidad el 31 de marzo de 2015 y un acto de lanzamiento del proyecto</w:t>
            </w:r>
            <w:r w:rsidR="00DF7C95" w:rsidRPr="00C168C5">
              <w:rPr>
                <w:szCs w:val="22"/>
                <w:lang w:val="es-ES_tradnl"/>
              </w:rPr>
              <w:t xml:space="preserve"> el 1 de abril de </w:t>
            </w:r>
            <w:r w:rsidR="00C91693" w:rsidRPr="00C168C5">
              <w:rPr>
                <w:szCs w:val="22"/>
                <w:lang w:val="es-ES_tradnl"/>
              </w:rPr>
              <w:t xml:space="preserve">2015.  </w:t>
            </w:r>
            <w:r w:rsidR="00DF7C95" w:rsidRPr="00C168C5">
              <w:rPr>
                <w:szCs w:val="22"/>
                <w:lang w:val="es-ES_tradnl"/>
              </w:rPr>
              <w:t xml:space="preserve">Se consiguió el objetivo de preparar a los miembros del comité directivo nacional y a los miembros nacionales para la ejecución satisfactoria del proyecto piloto y se ha logrado la sinergia necesaria entre participantes y </w:t>
            </w:r>
            <w:r w:rsidR="00E335F9">
              <w:rPr>
                <w:szCs w:val="22"/>
                <w:lang w:val="es-ES_tradnl"/>
              </w:rPr>
              <w:t>pymes</w:t>
            </w:r>
            <w:r w:rsidR="00DF7C95" w:rsidRPr="00C168C5">
              <w:rPr>
                <w:szCs w:val="22"/>
                <w:lang w:val="es-ES_tradnl"/>
              </w:rPr>
              <w:t xml:space="preserve"> beneficiarias. </w:t>
            </w:r>
            <w:r w:rsidR="00C91693" w:rsidRPr="00C168C5">
              <w:rPr>
                <w:szCs w:val="22"/>
                <w:lang w:val="es-ES_tradnl"/>
              </w:rPr>
              <w:t xml:space="preserve"> </w:t>
            </w:r>
            <w:r w:rsidR="008465E9" w:rsidRPr="00C168C5">
              <w:rPr>
                <w:szCs w:val="22"/>
                <w:lang w:val="es-ES_tradnl"/>
              </w:rPr>
              <w:t>Las partes</w:t>
            </w:r>
            <w:r w:rsidR="005D162A" w:rsidRPr="00C168C5">
              <w:rPr>
                <w:szCs w:val="22"/>
                <w:lang w:val="es-ES_tradnl"/>
              </w:rPr>
              <w:t xml:space="preserve"> interesadas clave de las instituciones</w:t>
            </w:r>
            <w:r w:rsidR="008465E9" w:rsidRPr="00C168C5">
              <w:rPr>
                <w:szCs w:val="22"/>
                <w:lang w:val="es-ES_tradnl"/>
              </w:rPr>
              <w:t xml:space="preserve"> y los representantes de las </w:t>
            </w:r>
            <w:r w:rsidR="00E335F9">
              <w:rPr>
                <w:szCs w:val="22"/>
                <w:lang w:val="es-ES_tradnl"/>
              </w:rPr>
              <w:t>pymes</w:t>
            </w:r>
            <w:r w:rsidR="008465E9" w:rsidRPr="00C168C5">
              <w:rPr>
                <w:szCs w:val="22"/>
                <w:lang w:val="es-ES_tradnl"/>
              </w:rPr>
              <w:t xml:space="preserve"> confirmaron su sólido interés en participar y aprovechar este empeño conjunto nacional e </w:t>
            </w:r>
            <w:r w:rsidR="008465E9" w:rsidRPr="00C168C5">
              <w:rPr>
                <w:szCs w:val="22"/>
                <w:lang w:val="es-ES_tradnl"/>
              </w:rPr>
              <w:lastRenderedPageBreak/>
              <w:t>internacional</w:t>
            </w:r>
            <w:r w:rsidR="004C1A11" w:rsidRPr="00C168C5">
              <w:rPr>
                <w:szCs w:val="22"/>
                <w:lang w:val="es-ES_tradnl"/>
              </w:rPr>
              <w:t xml:space="preserve">, que pasa por un intercambio periódico de buenas prácticas entre Marruecos y </w:t>
            </w:r>
            <w:r w:rsidR="00C91693" w:rsidRPr="00C168C5">
              <w:rPr>
                <w:szCs w:val="22"/>
                <w:lang w:val="es-ES_tradnl"/>
              </w:rPr>
              <w:t xml:space="preserve">Argentina.  </w:t>
            </w:r>
          </w:p>
          <w:p w14:paraId="1C2E03AA" w14:textId="77777777" w:rsidR="00C91693" w:rsidRPr="00C168C5" w:rsidRDefault="00C91693" w:rsidP="00243943">
            <w:pPr>
              <w:rPr>
                <w:szCs w:val="22"/>
                <w:lang w:val="es-ES_tradnl"/>
              </w:rPr>
            </w:pPr>
          </w:p>
          <w:p w14:paraId="2C4F498E" w14:textId="47253DCF" w:rsidR="00C91693" w:rsidRPr="00C168C5" w:rsidRDefault="00C91693" w:rsidP="00243943">
            <w:pPr>
              <w:rPr>
                <w:i/>
                <w:szCs w:val="22"/>
                <w:lang w:val="es-ES_tradnl"/>
              </w:rPr>
            </w:pPr>
            <w:r w:rsidRPr="00C168C5">
              <w:rPr>
                <w:i/>
                <w:szCs w:val="22"/>
                <w:lang w:val="es-ES_tradnl"/>
              </w:rPr>
              <w:t>12.</w:t>
            </w:r>
            <w:r w:rsidRPr="00C168C5">
              <w:rPr>
                <w:i/>
                <w:szCs w:val="22"/>
                <w:lang w:val="es-ES_tradnl"/>
              </w:rPr>
              <w:tab/>
              <w:t>P</w:t>
            </w:r>
            <w:r w:rsidR="005341FD" w:rsidRPr="00C168C5">
              <w:rPr>
                <w:i/>
                <w:szCs w:val="22"/>
                <w:lang w:val="es-ES_tradnl"/>
              </w:rPr>
              <w:t>lataformas de alianza público-privada</w:t>
            </w:r>
          </w:p>
          <w:p w14:paraId="78C59A49" w14:textId="77777777" w:rsidR="00C91693" w:rsidRPr="00C168C5" w:rsidRDefault="00C91693" w:rsidP="00243943">
            <w:pPr>
              <w:ind w:left="540"/>
              <w:rPr>
                <w:szCs w:val="22"/>
                <w:lang w:val="es-ES_tradnl"/>
              </w:rPr>
            </w:pPr>
          </w:p>
          <w:p w14:paraId="49FEBEE9" w14:textId="12DFE174" w:rsidR="00C91693" w:rsidRPr="00C168C5" w:rsidRDefault="00867D40" w:rsidP="00243943">
            <w:pPr>
              <w:rPr>
                <w:szCs w:val="22"/>
                <w:lang w:val="es-ES_tradnl"/>
              </w:rPr>
            </w:pPr>
            <w:r w:rsidRPr="00C168C5">
              <w:rPr>
                <w:szCs w:val="22"/>
                <w:lang w:val="es-ES_tradnl"/>
              </w:rPr>
              <w:t>L</w:t>
            </w:r>
            <w:r w:rsidR="006F3E1A" w:rsidRPr="00C168C5">
              <w:rPr>
                <w:szCs w:val="22"/>
                <w:lang w:val="es-ES_tradnl"/>
              </w:rPr>
              <w:t>as</w:t>
            </w:r>
            <w:r w:rsidR="006F3E1A" w:rsidRPr="00C168C5">
              <w:rPr>
                <w:i/>
                <w:szCs w:val="22"/>
                <w:lang w:val="es-ES_tradnl"/>
              </w:rPr>
              <w:t xml:space="preserve"> partes</w:t>
            </w:r>
            <w:r w:rsidR="005D162A" w:rsidRPr="00C168C5">
              <w:rPr>
                <w:i/>
                <w:szCs w:val="22"/>
                <w:lang w:val="es-ES_tradnl"/>
              </w:rPr>
              <w:t xml:space="preserve"> interesadas clave de las instituciones</w:t>
            </w:r>
            <w:r w:rsidR="006F3E1A" w:rsidRPr="00C168C5">
              <w:rPr>
                <w:i/>
                <w:szCs w:val="22"/>
                <w:lang w:val="es-ES_tradnl"/>
              </w:rPr>
              <w:t xml:space="preserve"> </w:t>
            </w:r>
            <w:r w:rsidR="006F3E1A" w:rsidRPr="00C168C5">
              <w:rPr>
                <w:szCs w:val="22"/>
                <w:lang w:val="es-ES_tradnl"/>
              </w:rPr>
              <w:t>para el proyecto</w:t>
            </w:r>
            <w:r w:rsidRPr="00C168C5">
              <w:rPr>
                <w:szCs w:val="22"/>
                <w:lang w:val="es-ES_tradnl"/>
              </w:rPr>
              <w:t xml:space="preserve">, incluidos </w:t>
            </w:r>
            <w:r w:rsidR="00142AED" w:rsidRPr="00C168C5">
              <w:rPr>
                <w:szCs w:val="22"/>
                <w:lang w:val="es-ES_tradnl"/>
              </w:rPr>
              <w:t xml:space="preserve">los </w:t>
            </w:r>
            <w:r w:rsidRPr="00C168C5">
              <w:rPr>
                <w:szCs w:val="22"/>
                <w:lang w:val="es-ES_tradnl"/>
              </w:rPr>
              <w:t>ministerios, ahora forman parte de la junta asesora argentina y del comité directivo nacional del proyecto marroquí</w:t>
            </w:r>
            <w:r w:rsidR="00C91693" w:rsidRPr="00C168C5">
              <w:rPr>
                <w:szCs w:val="22"/>
                <w:lang w:val="es-ES_tradnl"/>
              </w:rPr>
              <w:t xml:space="preserve">.  </w:t>
            </w:r>
            <w:r w:rsidRPr="00C168C5">
              <w:rPr>
                <w:szCs w:val="22"/>
                <w:lang w:val="es-ES_tradnl"/>
              </w:rPr>
              <w:t xml:space="preserve">En Marruecos se está tramitando la firma de la carta de la “red </w:t>
            </w:r>
            <w:r w:rsidR="00C91693" w:rsidRPr="00C168C5">
              <w:rPr>
                <w:szCs w:val="22"/>
                <w:lang w:val="es-ES_tradnl"/>
              </w:rPr>
              <w:t>Namadij</w:t>
            </w:r>
            <w:r w:rsidRPr="00C168C5">
              <w:rPr>
                <w:szCs w:val="22"/>
                <w:lang w:val="es-ES_tradnl"/>
              </w:rPr>
              <w:t>”</w:t>
            </w:r>
            <w:r w:rsidR="00C91693" w:rsidRPr="00C168C5">
              <w:rPr>
                <w:szCs w:val="22"/>
                <w:lang w:val="es-ES_tradnl"/>
              </w:rPr>
              <w:t xml:space="preserve">.  </w:t>
            </w:r>
            <w:r w:rsidRPr="00C168C5">
              <w:rPr>
                <w:szCs w:val="22"/>
                <w:lang w:val="es-ES_tradnl"/>
              </w:rPr>
              <w:t>En Argentina</w:t>
            </w:r>
            <w:r w:rsidR="00C91693" w:rsidRPr="00C168C5">
              <w:rPr>
                <w:szCs w:val="22"/>
                <w:lang w:val="es-ES_tradnl"/>
              </w:rPr>
              <w:t xml:space="preserve">, </w:t>
            </w:r>
            <w:r w:rsidRPr="00C168C5">
              <w:rPr>
                <w:szCs w:val="22"/>
                <w:lang w:val="es-ES_tradnl"/>
              </w:rPr>
              <w:t>ya se firmó el acta constitutiva en presencia de</w:t>
            </w:r>
            <w:r w:rsidR="005D162A" w:rsidRPr="00C168C5">
              <w:rPr>
                <w:szCs w:val="22"/>
                <w:lang w:val="es-ES_tradnl"/>
              </w:rPr>
              <w:t xml:space="preserve"> </w:t>
            </w:r>
            <w:r w:rsidRPr="00C168C5">
              <w:rPr>
                <w:szCs w:val="22"/>
                <w:lang w:val="es-ES_tradnl"/>
              </w:rPr>
              <w:t>l</w:t>
            </w:r>
            <w:r w:rsidR="005D162A" w:rsidRPr="00C168C5">
              <w:rPr>
                <w:szCs w:val="22"/>
                <w:lang w:val="es-ES_tradnl"/>
              </w:rPr>
              <w:t>a Ministra</w:t>
            </w:r>
            <w:r w:rsidRPr="00C168C5">
              <w:rPr>
                <w:szCs w:val="22"/>
                <w:lang w:val="es-ES_tradnl"/>
              </w:rPr>
              <w:t xml:space="preserve"> de Industria</w:t>
            </w:r>
            <w:r w:rsidR="00C91693" w:rsidRPr="00C168C5">
              <w:rPr>
                <w:szCs w:val="22"/>
                <w:lang w:val="es-ES_tradnl"/>
              </w:rPr>
              <w:t xml:space="preserve">, Débora Giorgi, </w:t>
            </w:r>
            <w:r w:rsidR="005D162A" w:rsidRPr="00C168C5">
              <w:rPr>
                <w:szCs w:val="22"/>
                <w:lang w:val="es-ES_tradnl"/>
              </w:rPr>
              <w:t>la cual brindó su apoyo activo al proyecto piloto y participó en dos actos del DiseñAr, con cobertura mediática</w:t>
            </w:r>
            <w:r w:rsidR="00C91693" w:rsidRPr="00C168C5">
              <w:rPr>
                <w:szCs w:val="22"/>
                <w:lang w:val="es-ES_tradnl"/>
              </w:rPr>
              <w:t xml:space="preserve">.  </w:t>
            </w:r>
            <w:r w:rsidR="005D162A" w:rsidRPr="00C168C5">
              <w:rPr>
                <w:szCs w:val="22"/>
                <w:lang w:val="es-ES_tradnl"/>
              </w:rPr>
              <w:t xml:space="preserve">A raíz de los efectos positivos que surtió el programa, que en Argentina arrancó el 7 de abril de </w:t>
            </w:r>
            <w:r w:rsidR="00C91693" w:rsidRPr="00C168C5">
              <w:rPr>
                <w:szCs w:val="22"/>
                <w:lang w:val="es-ES_tradnl"/>
              </w:rPr>
              <w:t xml:space="preserve">2015, </w:t>
            </w:r>
            <w:r w:rsidR="005D162A" w:rsidRPr="00C168C5">
              <w:rPr>
                <w:szCs w:val="22"/>
                <w:lang w:val="es-ES_tradnl"/>
              </w:rPr>
              <w:t xml:space="preserve">se invitó </w:t>
            </w:r>
            <w:r w:rsidR="00330FAA" w:rsidRPr="00C168C5">
              <w:rPr>
                <w:szCs w:val="22"/>
                <w:lang w:val="es-ES_tradnl"/>
              </w:rPr>
              <w:t xml:space="preserve">a una reunión </w:t>
            </w:r>
            <w:r w:rsidR="005D162A" w:rsidRPr="00C168C5">
              <w:rPr>
                <w:szCs w:val="22"/>
                <w:lang w:val="es-ES_tradnl"/>
              </w:rPr>
              <w:t xml:space="preserve">al comité directivo del proyecto del organismo coordinador </w:t>
            </w:r>
            <w:r w:rsidR="00330FAA" w:rsidRPr="00C168C5">
              <w:rPr>
                <w:szCs w:val="22"/>
                <w:lang w:val="es-ES_tradnl"/>
              </w:rPr>
              <w:t xml:space="preserve">con el fin de presentar el programa </w:t>
            </w:r>
            <w:r w:rsidR="00C91693" w:rsidRPr="00C168C5">
              <w:rPr>
                <w:szCs w:val="22"/>
                <w:lang w:val="es-ES_tradnl"/>
              </w:rPr>
              <w:t xml:space="preserve">DiseñAr </w:t>
            </w:r>
            <w:r w:rsidR="00330FAA" w:rsidRPr="00C168C5">
              <w:rPr>
                <w:szCs w:val="22"/>
                <w:lang w:val="es-ES_tradnl"/>
              </w:rPr>
              <w:t xml:space="preserve"> a los funcionarios nacionales del </w:t>
            </w:r>
            <w:r w:rsidR="00C91693" w:rsidRPr="00C168C5">
              <w:rPr>
                <w:i/>
                <w:szCs w:val="22"/>
                <w:lang w:val="es-ES_tradnl"/>
              </w:rPr>
              <w:t>Minist</w:t>
            </w:r>
            <w:r w:rsidR="00330FAA" w:rsidRPr="00C168C5">
              <w:rPr>
                <w:i/>
                <w:szCs w:val="22"/>
                <w:lang w:val="es-ES_tradnl"/>
              </w:rPr>
              <w:t>erio de Industria</w:t>
            </w:r>
            <w:r w:rsidR="00C91693" w:rsidRPr="00C168C5">
              <w:rPr>
                <w:szCs w:val="22"/>
                <w:lang w:val="es-ES_tradnl"/>
              </w:rPr>
              <w:t>.</w:t>
            </w:r>
          </w:p>
          <w:p w14:paraId="4CEEBD12" w14:textId="77777777" w:rsidR="00C91693" w:rsidRPr="00C168C5" w:rsidRDefault="00C91693" w:rsidP="00243943">
            <w:pPr>
              <w:rPr>
                <w:szCs w:val="22"/>
                <w:lang w:val="es-ES_tradnl"/>
              </w:rPr>
            </w:pPr>
          </w:p>
          <w:p w14:paraId="7DD83FDD" w14:textId="478CF887" w:rsidR="00C91693" w:rsidRPr="00C168C5" w:rsidRDefault="00C91693" w:rsidP="00243943">
            <w:pPr>
              <w:rPr>
                <w:i/>
                <w:szCs w:val="22"/>
                <w:lang w:val="es-ES_tradnl"/>
              </w:rPr>
            </w:pPr>
            <w:r w:rsidRPr="00C168C5">
              <w:rPr>
                <w:i/>
                <w:szCs w:val="22"/>
                <w:lang w:val="es-ES_tradnl"/>
              </w:rPr>
              <w:t>13.</w:t>
            </w:r>
            <w:r w:rsidRPr="00C168C5">
              <w:rPr>
                <w:i/>
                <w:szCs w:val="22"/>
                <w:lang w:val="es-ES_tradnl"/>
              </w:rPr>
              <w:tab/>
            </w:r>
            <w:r w:rsidR="00080878" w:rsidRPr="00C168C5">
              <w:rPr>
                <w:i/>
                <w:szCs w:val="22"/>
                <w:lang w:val="es-ES_tradnl"/>
              </w:rPr>
              <w:t>Asistencia técnica</w:t>
            </w:r>
            <w:r w:rsidRPr="00C168C5">
              <w:rPr>
                <w:i/>
                <w:szCs w:val="22"/>
                <w:lang w:val="es-ES_tradnl"/>
              </w:rPr>
              <w:t xml:space="preserve"> </w:t>
            </w:r>
          </w:p>
          <w:p w14:paraId="6C1709CD" w14:textId="77777777" w:rsidR="00C91693" w:rsidRPr="00C168C5" w:rsidRDefault="00C91693" w:rsidP="00243943">
            <w:pPr>
              <w:rPr>
                <w:i/>
                <w:szCs w:val="22"/>
                <w:lang w:val="es-ES_tradnl"/>
              </w:rPr>
            </w:pPr>
          </w:p>
          <w:p w14:paraId="4ADFFBE0" w14:textId="7EC8CADB" w:rsidR="00C91693" w:rsidRPr="00C168C5" w:rsidRDefault="00080878" w:rsidP="00243943">
            <w:pPr>
              <w:rPr>
                <w:szCs w:val="22"/>
                <w:lang w:val="es-ES_tradnl"/>
              </w:rPr>
            </w:pPr>
            <w:r w:rsidRPr="00C168C5">
              <w:rPr>
                <w:szCs w:val="22"/>
                <w:lang w:val="es-ES_tradnl"/>
              </w:rPr>
              <w:t xml:space="preserve">Los expertos nacionales </w:t>
            </w:r>
            <w:r w:rsidR="00ED5869" w:rsidRPr="00C168C5">
              <w:rPr>
                <w:szCs w:val="22"/>
                <w:lang w:val="es-ES_tradnl"/>
              </w:rPr>
              <w:t xml:space="preserve">están brindando su apoyo a las </w:t>
            </w:r>
            <w:r w:rsidR="00E335F9">
              <w:rPr>
                <w:szCs w:val="22"/>
                <w:lang w:val="es-ES_tradnl"/>
              </w:rPr>
              <w:t>pymes</w:t>
            </w:r>
            <w:r w:rsidRPr="00C168C5">
              <w:rPr>
                <w:szCs w:val="22"/>
                <w:lang w:val="es-ES_tradnl"/>
              </w:rPr>
              <w:t xml:space="preserve"> beneficiarias </w:t>
            </w:r>
            <w:r w:rsidR="00ED5869" w:rsidRPr="00C168C5">
              <w:rPr>
                <w:szCs w:val="22"/>
                <w:lang w:val="es-ES_tradnl"/>
              </w:rPr>
              <w:t xml:space="preserve">ideando </w:t>
            </w:r>
            <w:r w:rsidRPr="00C168C5">
              <w:rPr>
                <w:szCs w:val="22"/>
                <w:lang w:val="es-ES_tradnl"/>
              </w:rPr>
              <w:t>el análisis de las carpetas y orientándoles en una estrategia adaptada de protección de diseños</w:t>
            </w:r>
            <w:r w:rsidR="00C91693" w:rsidRPr="00C168C5">
              <w:rPr>
                <w:szCs w:val="22"/>
                <w:lang w:val="es-ES_tradnl"/>
              </w:rPr>
              <w:t>.</w:t>
            </w:r>
            <w:r w:rsidRPr="00C168C5">
              <w:rPr>
                <w:szCs w:val="22"/>
                <w:lang w:val="es-ES_tradnl"/>
              </w:rPr>
              <w:t xml:space="preserve">  Los equi</w:t>
            </w:r>
            <w:r w:rsidR="00ED5869" w:rsidRPr="00C168C5">
              <w:rPr>
                <w:szCs w:val="22"/>
                <w:lang w:val="es-ES_tradnl"/>
              </w:rPr>
              <w:t>pos de expertos</w:t>
            </w:r>
            <w:r w:rsidRPr="00C168C5">
              <w:rPr>
                <w:szCs w:val="22"/>
                <w:lang w:val="es-ES_tradnl"/>
              </w:rPr>
              <w:t xml:space="preserve"> de</w:t>
            </w:r>
            <w:r w:rsidR="00ED5869" w:rsidRPr="00C168C5">
              <w:rPr>
                <w:szCs w:val="22"/>
                <w:lang w:val="es-ES_tradnl"/>
              </w:rPr>
              <w:t xml:space="preserve"> ambos países han visitado las </w:t>
            </w:r>
            <w:r w:rsidR="00E335F9">
              <w:rPr>
                <w:szCs w:val="22"/>
                <w:lang w:val="es-ES_tradnl"/>
              </w:rPr>
              <w:t>pymes</w:t>
            </w:r>
            <w:r w:rsidRPr="00C168C5">
              <w:rPr>
                <w:szCs w:val="22"/>
                <w:lang w:val="es-ES_tradnl"/>
              </w:rPr>
              <w:t xml:space="preserve"> beneficiarias y han mantenido reuniones de toma de conciencia</w:t>
            </w:r>
            <w:r w:rsidR="00ED5869" w:rsidRPr="00C168C5">
              <w:rPr>
                <w:i/>
                <w:szCs w:val="22"/>
                <w:lang w:val="es-ES_tradnl"/>
              </w:rPr>
              <w:t xml:space="preserve"> y e</w:t>
            </w:r>
            <w:r w:rsidR="00E20503">
              <w:rPr>
                <w:i/>
                <w:szCs w:val="22"/>
                <w:lang w:val="es-ES_tradnl"/>
              </w:rPr>
              <w:t>ntrevistas de pre</w:t>
            </w:r>
            <w:r w:rsidRPr="00C168C5">
              <w:rPr>
                <w:i/>
                <w:szCs w:val="22"/>
                <w:lang w:val="es-ES_tradnl"/>
              </w:rPr>
              <w:t>diagnóstico y diagnóstico</w:t>
            </w:r>
            <w:r w:rsidR="00C91693" w:rsidRPr="00C168C5">
              <w:rPr>
                <w:szCs w:val="22"/>
                <w:lang w:val="es-ES_tradnl"/>
              </w:rPr>
              <w:t xml:space="preserve">.  </w:t>
            </w:r>
            <w:r w:rsidRPr="00C168C5">
              <w:rPr>
                <w:szCs w:val="22"/>
                <w:lang w:val="es-ES_tradnl"/>
              </w:rPr>
              <w:t>Ya se han presentado a la Secretaría los informes de prediagnóstico y la primera serie de informes de diagnóstico</w:t>
            </w:r>
            <w:r w:rsidR="00C91693" w:rsidRPr="00C168C5">
              <w:rPr>
                <w:szCs w:val="22"/>
                <w:lang w:val="es-ES_tradnl"/>
              </w:rPr>
              <w:t>.</w:t>
            </w:r>
          </w:p>
          <w:p w14:paraId="0DCEAAB4" w14:textId="77777777" w:rsidR="00C91693" w:rsidRPr="00C168C5" w:rsidRDefault="00C91693" w:rsidP="00243943">
            <w:pPr>
              <w:rPr>
                <w:i/>
                <w:szCs w:val="22"/>
                <w:lang w:val="es-ES_tradnl"/>
              </w:rPr>
            </w:pPr>
          </w:p>
          <w:p w14:paraId="4C776533" w14:textId="17915E5C" w:rsidR="00C91693" w:rsidRPr="00C168C5" w:rsidRDefault="00C91693" w:rsidP="00243943">
            <w:pPr>
              <w:rPr>
                <w:i/>
                <w:szCs w:val="22"/>
                <w:lang w:val="es-ES_tradnl"/>
              </w:rPr>
            </w:pPr>
            <w:r w:rsidRPr="00C168C5">
              <w:rPr>
                <w:i/>
                <w:szCs w:val="22"/>
                <w:lang w:val="es-ES_tradnl"/>
              </w:rPr>
              <w:t>14.</w:t>
            </w:r>
            <w:r w:rsidRPr="00C168C5">
              <w:rPr>
                <w:i/>
                <w:szCs w:val="22"/>
                <w:lang w:val="es-ES_tradnl"/>
              </w:rPr>
              <w:tab/>
            </w:r>
            <w:r w:rsidR="00944484" w:rsidRPr="00C168C5">
              <w:rPr>
                <w:i/>
                <w:szCs w:val="22"/>
                <w:lang w:val="es-ES_tradnl"/>
              </w:rPr>
              <w:t>Intercambio de conocimientos</w:t>
            </w:r>
            <w:r w:rsidRPr="00C168C5">
              <w:rPr>
                <w:i/>
                <w:szCs w:val="22"/>
                <w:lang w:val="es-ES_tradnl"/>
              </w:rPr>
              <w:t xml:space="preserve"> </w:t>
            </w:r>
          </w:p>
          <w:p w14:paraId="1B723D02" w14:textId="77777777" w:rsidR="00C91693" w:rsidRPr="00C168C5" w:rsidRDefault="00C91693" w:rsidP="00243943">
            <w:pPr>
              <w:rPr>
                <w:i/>
                <w:szCs w:val="22"/>
                <w:lang w:val="es-ES_tradnl"/>
              </w:rPr>
            </w:pPr>
          </w:p>
          <w:p w14:paraId="089B2349" w14:textId="562CC9B3" w:rsidR="00C91693" w:rsidRPr="00C168C5" w:rsidRDefault="00944484" w:rsidP="00243943">
            <w:pPr>
              <w:rPr>
                <w:szCs w:val="22"/>
                <w:lang w:val="es-ES_tradnl"/>
              </w:rPr>
            </w:pPr>
            <w:r w:rsidRPr="00C168C5">
              <w:rPr>
                <w:szCs w:val="22"/>
                <w:lang w:val="es-ES_tradnl"/>
              </w:rPr>
              <w:t xml:space="preserve">Se ha elaborado y </w:t>
            </w:r>
            <w:r w:rsidR="00080878" w:rsidRPr="00C168C5">
              <w:rPr>
                <w:szCs w:val="22"/>
                <w:lang w:val="es-ES_tradnl"/>
              </w:rPr>
              <w:t>mejorado</w:t>
            </w:r>
            <w:r w:rsidRPr="00C168C5">
              <w:rPr>
                <w:szCs w:val="22"/>
                <w:lang w:val="es-ES_tradnl"/>
              </w:rPr>
              <w:t xml:space="preserve"> el </w:t>
            </w:r>
            <w:r w:rsidRPr="00C168C5">
              <w:rPr>
                <w:i/>
                <w:szCs w:val="22"/>
                <w:lang w:val="es-ES_tradnl"/>
              </w:rPr>
              <w:t xml:space="preserve">material de formación, </w:t>
            </w:r>
            <w:r w:rsidR="005818EC" w:rsidRPr="00C168C5">
              <w:rPr>
                <w:i/>
                <w:szCs w:val="22"/>
                <w:lang w:val="es-ES_tradnl"/>
              </w:rPr>
              <w:t xml:space="preserve">las </w:t>
            </w:r>
            <w:r w:rsidRPr="00C168C5">
              <w:rPr>
                <w:i/>
                <w:szCs w:val="22"/>
                <w:lang w:val="es-ES_tradnl"/>
              </w:rPr>
              <w:t xml:space="preserve">directrices y </w:t>
            </w:r>
            <w:r w:rsidR="005818EC" w:rsidRPr="00C168C5">
              <w:rPr>
                <w:i/>
                <w:szCs w:val="22"/>
                <w:lang w:val="es-ES_tradnl"/>
              </w:rPr>
              <w:t xml:space="preserve">las </w:t>
            </w:r>
            <w:r w:rsidRPr="00C168C5">
              <w:rPr>
                <w:i/>
                <w:szCs w:val="22"/>
                <w:lang w:val="es-ES_tradnl"/>
              </w:rPr>
              <w:t>herramientas</w:t>
            </w:r>
            <w:r w:rsidR="00C91693" w:rsidRPr="00C168C5">
              <w:rPr>
                <w:szCs w:val="22"/>
                <w:lang w:val="es-ES_tradnl"/>
              </w:rPr>
              <w:t xml:space="preserve">.  </w:t>
            </w:r>
            <w:r w:rsidR="00E92FFE" w:rsidRPr="00C168C5">
              <w:rPr>
                <w:szCs w:val="22"/>
                <w:lang w:val="es-ES_tradnl"/>
              </w:rPr>
              <w:t>Se está preparando un manual de buenas prácticas que en 2016 servirá de referencia para los países piloto y otros Estados miembros interesados</w:t>
            </w:r>
            <w:r w:rsidR="00C91693" w:rsidRPr="00C168C5">
              <w:rPr>
                <w:szCs w:val="22"/>
                <w:lang w:val="es-ES_tradnl"/>
              </w:rPr>
              <w:t>.</w:t>
            </w:r>
          </w:p>
          <w:p w14:paraId="42A56BC8" w14:textId="77777777" w:rsidR="00C91693" w:rsidRPr="00C168C5" w:rsidRDefault="00C91693" w:rsidP="00243943">
            <w:pPr>
              <w:rPr>
                <w:szCs w:val="22"/>
                <w:lang w:val="es-ES_tradnl"/>
              </w:rPr>
            </w:pPr>
          </w:p>
          <w:p w14:paraId="5F249D57" w14:textId="6109C2A7" w:rsidR="00C91693" w:rsidRPr="00C168C5" w:rsidRDefault="00E92FFE" w:rsidP="00243943">
            <w:pPr>
              <w:rPr>
                <w:szCs w:val="22"/>
                <w:lang w:val="es-ES_tradnl"/>
              </w:rPr>
            </w:pPr>
            <w:r w:rsidRPr="00C168C5">
              <w:rPr>
                <w:szCs w:val="22"/>
                <w:lang w:val="es-ES_tradnl"/>
              </w:rPr>
              <w:t xml:space="preserve">La Secretaría ha sido muy activa transfiriendo buenas prácticas entre ambos </w:t>
            </w:r>
            <w:r w:rsidR="00080878" w:rsidRPr="00C168C5">
              <w:rPr>
                <w:szCs w:val="22"/>
                <w:lang w:val="es-ES_tradnl"/>
              </w:rPr>
              <w:t>países</w:t>
            </w:r>
            <w:r w:rsidRPr="00C168C5">
              <w:rPr>
                <w:szCs w:val="22"/>
                <w:lang w:val="es-ES_tradnl"/>
              </w:rPr>
              <w:t xml:space="preserve"> piloto a lo largo de la ejecución del proyecto</w:t>
            </w:r>
            <w:r w:rsidR="00C91693" w:rsidRPr="00C168C5">
              <w:rPr>
                <w:szCs w:val="22"/>
                <w:lang w:val="es-ES_tradnl"/>
              </w:rPr>
              <w:t>.</w:t>
            </w:r>
            <w:r w:rsidRPr="00C168C5">
              <w:rPr>
                <w:szCs w:val="22"/>
                <w:lang w:val="es-ES_tradnl"/>
              </w:rPr>
              <w:t xml:space="preserve"> </w:t>
            </w:r>
            <w:r w:rsidR="00C91693" w:rsidRPr="00C168C5">
              <w:rPr>
                <w:szCs w:val="22"/>
                <w:lang w:val="es-ES_tradnl"/>
              </w:rPr>
              <w:t xml:space="preserve"> </w:t>
            </w:r>
            <w:r w:rsidRPr="00C168C5">
              <w:rPr>
                <w:szCs w:val="22"/>
                <w:lang w:val="es-ES_tradnl"/>
              </w:rPr>
              <w:t>Se han previsto actividades de intercambio de conocimientos a escala nacional e internacional durante la última etapa del proyecto</w:t>
            </w:r>
            <w:r w:rsidR="00C91693" w:rsidRPr="00C168C5">
              <w:rPr>
                <w:szCs w:val="22"/>
                <w:lang w:val="es-ES_tradnl"/>
              </w:rPr>
              <w:t xml:space="preserve">. </w:t>
            </w:r>
          </w:p>
          <w:p w14:paraId="1AB4E99A" w14:textId="77777777" w:rsidR="00C91693" w:rsidRPr="00C168C5" w:rsidRDefault="00C91693" w:rsidP="00243943">
            <w:pPr>
              <w:rPr>
                <w:szCs w:val="22"/>
                <w:lang w:val="es-ES_tradnl"/>
              </w:rPr>
            </w:pPr>
          </w:p>
        </w:tc>
      </w:tr>
      <w:tr w:rsidR="00C91693" w:rsidRPr="00C168C5" w14:paraId="0E27BC64" w14:textId="77777777" w:rsidTr="00243943">
        <w:trPr>
          <w:trHeight w:val="2238"/>
        </w:trPr>
        <w:tc>
          <w:tcPr>
            <w:tcW w:w="2358" w:type="dxa"/>
            <w:shd w:val="clear" w:color="auto" w:fill="auto"/>
          </w:tcPr>
          <w:p w14:paraId="250CA48A" w14:textId="203121C3" w:rsidR="00C91693" w:rsidRPr="00C168C5" w:rsidRDefault="00C91693" w:rsidP="00243943">
            <w:pPr>
              <w:rPr>
                <w:szCs w:val="22"/>
                <w:lang w:val="es-ES_tradnl"/>
              </w:rPr>
            </w:pPr>
          </w:p>
          <w:p w14:paraId="7111021E" w14:textId="1CC24F45" w:rsidR="00C91693" w:rsidRPr="00C168C5" w:rsidRDefault="00E92FFE" w:rsidP="00243943">
            <w:pPr>
              <w:rPr>
                <w:szCs w:val="22"/>
                <w:u w:val="single"/>
                <w:lang w:val="es-ES_tradnl"/>
              </w:rPr>
            </w:pPr>
            <w:r w:rsidRPr="00C168C5">
              <w:rPr>
                <w:bCs/>
                <w:szCs w:val="22"/>
                <w:u w:val="single"/>
                <w:lang w:val="es-ES_tradnl"/>
              </w:rPr>
              <w:t>Ejemplos de logros/Efectos y enseñanzas extraídas</w:t>
            </w:r>
          </w:p>
        </w:tc>
        <w:tc>
          <w:tcPr>
            <w:tcW w:w="6930" w:type="dxa"/>
            <w:tcBorders>
              <w:top w:val="single" w:sz="4" w:space="0" w:color="auto"/>
            </w:tcBorders>
          </w:tcPr>
          <w:p w14:paraId="348B3DBF" w14:textId="77777777" w:rsidR="00C91693" w:rsidRPr="00C168C5" w:rsidRDefault="00C91693" w:rsidP="00243943">
            <w:pPr>
              <w:rPr>
                <w:iCs/>
                <w:szCs w:val="22"/>
                <w:lang w:val="es-ES_tradnl"/>
              </w:rPr>
            </w:pPr>
          </w:p>
          <w:p w14:paraId="5CCCA42C" w14:textId="505AD265" w:rsidR="00C91693" w:rsidRPr="00C168C5" w:rsidRDefault="00E92FFE" w:rsidP="00243943">
            <w:pPr>
              <w:rPr>
                <w:iCs/>
                <w:szCs w:val="22"/>
                <w:lang w:val="es-ES_tradnl"/>
              </w:rPr>
            </w:pPr>
            <w:r w:rsidRPr="00C168C5">
              <w:rPr>
                <w:iCs/>
                <w:szCs w:val="22"/>
                <w:lang w:val="es-ES_tradnl"/>
              </w:rPr>
              <w:t xml:space="preserve">Para </w:t>
            </w:r>
            <w:r w:rsidR="00275848" w:rsidRPr="00C168C5">
              <w:rPr>
                <w:iCs/>
                <w:szCs w:val="22"/>
                <w:lang w:val="es-ES_tradnl"/>
              </w:rPr>
              <w:t xml:space="preserve">lograr </w:t>
            </w:r>
            <w:r w:rsidRPr="00C168C5">
              <w:rPr>
                <w:iCs/>
                <w:szCs w:val="22"/>
                <w:lang w:val="es-ES_tradnl"/>
              </w:rPr>
              <w:t>la pertinencia, eficacia, eficiencia</w:t>
            </w:r>
            <w:r w:rsidR="00752566" w:rsidRPr="00C168C5">
              <w:rPr>
                <w:iCs/>
                <w:szCs w:val="22"/>
                <w:lang w:val="es-ES_tradnl"/>
              </w:rPr>
              <w:t xml:space="preserve"> y sostenibilidad del proyecto en ambos países, resultó muy útil contar con una sólida </w:t>
            </w:r>
            <w:r w:rsidR="00AE01A0" w:rsidRPr="00C168C5">
              <w:rPr>
                <w:i/>
                <w:iCs/>
                <w:szCs w:val="22"/>
                <w:lang w:val="es-ES_tradnl"/>
              </w:rPr>
              <w:t>metodología y herramientas de</w:t>
            </w:r>
            <w:r w:rsidR="00752566" w:rsidRPr="00C168C5">
              <w:rPr>
                <w:i/>
                <w:iCs/>
                <w:szCs w:val="22"/>
                <w:lang w:val="es-ES_tradnl"/>
              </w:rPr>
              <w:t xml:space="preserve"> gestión de proyectos</w:t>
            </w:r>
            <w:r w:rsidR="00752566" w:rsidRPr="00C168C5">
              <w:rPr>
                <w:iCs/>
                <w:szCs w:val="22"/>
                <w:lang w:val="es-ES_tradnl"/>
              </w:rPr>
              <w:t xml:space="preserve">, </w:t>
            </w:r>
            <w:r w:rsidR="00080878" w:rsidRPr="00C168C5">
              <w:rPr>
                <w:iCs/>
                <w:szCs w:val="22"/>
                <w:lang w:val="es-ES_tradnl"/>
              </w:rPr>
              <w:t>incluido</w:t>
            </w:r>
            <w:r w:rsidR="00AE01A0" w:rsidRPr="00C168C5">
              <w:rPr>
                <w:iCs/>
                <w:szCs w:val="22"/>
                <w:lang w:val="es-ES_tradnl"/>
              </w:rPr>
              <w:t xml:space="preserve"> el arduo trabajo realizado en la fase inicial con la d</w:t>
            </w:r>
            <w:r w:rsidR="00752566" w:rsidRPr="00C168C5">
              <w:rPr>
                <w:iCs/>
                <w:szCs w:val="22"/>
                <w:lang w:val="es-ES_tradnl"/>
              </w:rPr>
              <w:t>eclaración de alcance del proyecto y la estrategia de salida</w:t>
            </w:r>
            <w:r w:rsidR="00C91693" w:rsidRPr="00C168C5">
              <w:rPr>
                <w:iCs/>
                <w:szCs w:val="22"/>
                <w:lang w:val="es-ES_tradnl"/>
              </w:rPr>
              <w:t>.</w:t>
            </w:r>
          </w:p>
          <w:p w14:paraId="31C31962" w14:textId="77777777" w:rsidR="00C91693" w:rsidRPr="00C168C5" w:rsidRDefault="00C91693" w:rsidP="00243943">
            <w:pPr>
              <w:rPr>
                <w:iCs/>
                <w:szCs w:val="22"/>
                <w:lang w:val="es-ES_tradnl"/>
              </w:rPr>
            </w:pPr>
          </w:p>
          <w:p w14:paraId="24B17F92" w14:textId="3FE3687B" w:rsidR="00C91693" w:rsidRPr="00C168C5" w:rsidRDefault="00AE01A0" w:rsidP="00243943">
            <w:pPr>
              <w:rPr>
                <w:iCs/>
                <w:szCs w:val="22"/>
                <w:lang w:val="es-ES_tradnl"/>
              </w:rPr>
            </w:pPr>
            <w:r w:rsidRPr="00C168C5">
              <w:rPr>
                <w:iCs/>
                <w:szCs w:val="22"/>
                <w:lang w:val="es-ES_tradnl"/>
              </w:rPr>
              <w:t xml:space="preserve">Fueron esenciales para el éxito del proyecto </w:t>
            </w:r>
            <w:r w:rsidRPr="00C168C5">
              <w:rPr>
                <w:i/>
                <w:iCs/>
                <w:szCs w:val="22"/>
                <w:lang w:val="es-ES_tradnl"/>
              </w:rPr>
              <w:t>l</w:t>
            </w:r>
            <w:r w:rsidR="00752566" w:rsidRPr="00C168C5">
              <w:rPr>
                <w:i/>
                <w:iCs/>
                <w:szCs w:val="22"/>
                <w:lang w:val="es-ES_tradnl"/>
              </w:rPr>
              <w:t>os conocimientos</w:t>
            </w:r>
            <w:r w:rsidR="00C33F82" w:rsidRPr="00C168C5">
              <w:rPr>
                <w:i/>
                <w:iCs/>
                <w:szCs w:val="22"/>
                <w:lang w:val="es-ES_tradnl"/>
              </w:rPr>
              <w:t xml:space="preserve"> especializados en gestión de cambios </w:t>
            </w:r>
            <w:r w:rsidR="00C33F82" w:rsidRPr="00C168C5">
              <w:rPr>
                <w:iCs/>
                <w:szCs w:val="22"/>
                <w:lang w:val="es-ES_tradnl"/>
              </w:rPr>
              <w:t xml:space="preserve">y un enfoque </w:t>
            </w:r>
            <w:r w:rsidR="00E949FF" w:rsidRPr="00C168C5">
              <w:rPr>
                <w:iCs/>
                <w:szCs w:val="22"/>
                <w:lang w:val="es-ES_tradnl"/>
              </w:rPr>
              <w:t xml:space="preserve">sostenible en la concepción y el seguimiento del </w:t>
            </w:r>
            <w:r w:rsidRPr="00C168C5">
              <w:rPr>
                <w:iCs/>
                <w:szCs w:val="22"/>
                <w:lang w:val="es-ES_tradnl"/>
              </w:rPr>
              <w:t>mismo</w:t>
            </w:r>
            <w:r w:rsidR="00C91693" w:rsidRPr="00C168C5">
              <w:rPr>
                <w:iCs/>
                <w:szCs w:val="22"/>
                <w:lang w:val="es-ES_tradnl"/>
              </w:rPr>
              <w:t xml:space="preserve">.  </w:t>
            </w:r>
            <w:r w:rsidRPr="00C168C5">
              <w:rPr>
                <w:iCs/>
                <w:szCs w:val="22"/>
                <w:lang w:val="es-ES_tradnl"/>
              </w:rPr>
              <w:t>Igualmente</w:t>
            </w:r>
            <w:r w:rsidR="00E949FF" w:rsidRPr="00C168C5">
              <w:rPr>
                <w:iCs/>
                <w:szCs w:val="22"/>
                <w:lang w:val="es-ES_tradnl"/>
              </w:rPr>
              <w:t xml:space="preserve">, fue necesario combinar los conocimientos en materia de diseño con la legislación conexa para asistir con eficacia a las </w:t>
            </w:r>
            <w:r w:rsidR="00E335F9">
              <w:rPr>
                <w:iCs/>
                <w:szCs w:val="22"/>
                <w:lang w:val="es-ES_tradnl"/>
              </w:rPr>
              <w:t>pymes</w:t>
            </w:r>
            <w:r w:rsidR="00E949FF" w:rsidRPr="00C168C5">
              <w:rPr>
                <w:iCs/>
                <w:szCs w:val="22"/>
                <w:lang w:val="es-ES_tradnl"/>
              </w:rPr>
              <w:t xml:space="preserve"> beneficiarias</w:t>
            </w:r>
            <w:r w:rsidR="00C91693" w:rsidRPr="00C168C5">
              <w:rPr>
                <w:iCs/>
                <w:szCs w:val="22"/>
                <w:lang w:val="es-ES_tradnl"/>
              </w:rPr>
              <w:t>.</w:t>
            </w:r>
          </w:p>
          <w:p w14:paraId="4877DC01" w14:textId="77777777" w:rsidR="00C91693" w:rsidRPr="00C168C5" w:rsidRDefault="00C91693" w:rsidP="00243943">
            <w:pPr>
              <w:rPr>
                <w:iCs/>
                <w:szCs w:val="22"/>
                <w:lang w:val="es-ES_tradnl"/>
              </w:rPr>
            </w:pPr>
          </w:p>
          <w:p w14:paraId="393FF5A5" w14:textId="3DCDCA02" w:rsidR="00C91693" w:rsidRPr="00C168C5" w:rsidRDefault="00297F35" w:rsidP="00243943">
            <w:pPr>
              <w:rPr>
                <w:szCs w:val="22"/>
                <w:lang w:val="es-ES_tradnl"/>
              </w:rPr>
            </w:pPr>
            <w:r w:rsidRPr="00C168C5">
              <w:rPr>
                <w:szCs w:val="22"/>
                <w:lang w:val="es-ES_tradnl"/>
              </w:rPr>
              <w:t xml:space="preserve">Se ha integrado a las partes interesadas </w:t>
            </w:r>
            <w:r w:rsidR="00AE01A0" w:rsidRPr="00C168C5">
              <w:rPr>
                <w:szCs w:val="22"/>
                <w:lang w:val="es-ES_tradnl"/>
              </w:rPr>
              <w:t xml:space="preserve"> acertadamente </w:t>
            </w:r>
            <w:r w:rsidRPr="00C168C5">
              <w:rPr>
                <w:szCs w:val="22"/>
                <w:lang w:val="es-ES_tradnl"/>
              </w:rPr>
              <w:t xml:space="preserve">en el país.  </w:t>
            </w:r>
            <w:r w:rsidR="00E44F7B" w:rsidRPr="00C168C5">
              <w:rPr>
                <w:szCs w:val="22"/>
                <w:lang w:val="es-ES_tradnl"/>
              </w:rPr>
              <w:t xml:space="preserve">Constituyen una </w:t>
            </w:r>
            <w:r w:rsidR="00E44F7B" w:rsidRPr="00C168C5">
              <w:rPr>
                <w:i/>
                <w:szCs w:val="22"/>
                <w:lang w:val="es-ES_tradnl"/>
              </w:rPr>
              <w:t>plataforma de alianza público-privada</w:t>
            </w:r>
            <w:r w:rsidR="00E44F7B" w:rsidRPr="00C168C5">
              <w:rPr>
                <w:szCs w:val="22"/>
                <w:lang w:val="es-ES_tradnl"/>
              </w:rPr>
              <w:t xml:space="preserve"> que apoya el </w:t>
            </w:r>
            <w:r w:rsidR="00E44F7B" w:rsidRPr="00C168C5">
              <w:rPr>
                <w:szCs w:val="22"/>
                <w:lang w:val="es-ES_tradnl"/>
              </w:rPr>
              <w:lastRenderedPageBreak/>
              <w:t xml:space="preserve">proyecto piloto y asiste de forma sostenible y coordinada a las </w:t>
            </w:r>
            <w:r w:rsidR="00E335F9">
              <w:rPr>
                <w:szCs w:val="22"/>
                <w:lang w:val="es-ES_tradnl"/>
              </w:rPr>
              <w:t>pymes</w:t>
            </w:r>
            <w:r w:rsidR="00E44F7B" w:rsidRPr="00C168C5">
              <w:rPr>
                <w:szCs w:val="22"/>
                <w:lang w:val="es-ES_tradnl"/>
              </w:rPr>
              <w:t xml:space="preserve"> que hacen un uso intensivo de los diseños</w:t>
            </w:r>
            <w:r w:rsidR="00C91693" w:rsidRPr="00C168C5">
              <w:rPr>
                <w:szCs w:val="22"/>
                <w:lang w:val="es-ES_tradnl"/>
              </w:rPr>
              <w:t xml:space="preserve">.   </w:t>
            </w:r>
          </w:p>
          <w:p w14:paraId="65BF8844" w14:textId="77777777" w:rsidR="00C91693" w:rsidRPr="00C168C5" w:rsidRDefault="00C91693" w:rsidP="00243943">
            <w:pPr>
              <w:rPr>
                <w:i/>
                <w:szCs w:val="22"/>
                <w:lang w:val="es-ES_tradnl"/>
              </w:rPr>
            </w:pPr>
          </w:p>
          <w:p w14:paraId="7FDB83EC" w14:textId="212048BF" w:rsidR="00C91693" w:rsidRPr="00C168C5" w:rsidRDefault="00854BB5" w:rsidP="00243943">
            <w:pPr>
              <w:rPr>
                <w:szCs w:val="22"/>
                <w:lang w:val="es-ES_tradnl"/>
              </w:rPr>
            </w:pPr>
            <w:r w:rsidRPr="00C168C5">
              <w:rPr>
                <w:szCs w:val="22"/>
                <w:lang w:val="es-ES_tradnl"/>
              </w:rPr>
              <w:t xml:space="preserve">Con el proyecto piloto se han elaborado </w:t>
            </w:r>
            <w:r w:rsidRPr="00C168C5">
              <w:rPr>
                <w:i/>
                <w:szCs w:val="22"/>
                <w:lang w:val="es-ES_tradnl"/>
              </w:rPr>
              <w:t>herramientas adaptadas para la protección de diseños</w:t>
            </w:r>
            <w:r w:rsidR="00C91693" w:rsidRPr="00C168C5">
              <w:rPr>
                <w:szCs w:val="22"/>
                <w:lang w:val="es-ES_tradnl"/>
              </w:rPr>
              <w:t xml:space="preserve">, </w:t>
            </w:r>
            <w:r w:rsidR="00E20503">
              <w:rPr>
                <w:szCs w:val="22"/>
                <w:lang w:val="es-ES_tradnl"/>
              </w:rPr>
              <w:t xml:space="preserve">lo </w:t>
            </w:r>
            <w:r w:rsidR="00D51658" w:rsidRPr="00C168C5">
              <w:rPr>
                <w:szCs w:val="22"/>
                <w:lang w:val="es-ES_tradnl"/>
              </w:rPr>
              <w:t>que entraña la coordinación interna y externa de la OMPI con expertos cualificados.</w:t>
            </w:r>
          </w:p>
          <w:p w14:paraId="2360F22B" w14:textId="77777777" w:rsidR="00C91693" w:rsidRPr="00C168C5" w:rsidRDefault="00C91693" w:rsidP="00243943">
            <w:pPr>
              <w:rPr>
                <w:iCs/>
                <w:szCs w:val="22"/>
                <w:lang w:val="es-ES_tradnl"/>
              </w:rPr>
            </w:pPr>
          </w:p>
          <w:p w14:paraId="2ECAB3C8" w14:textId="6672F9AF" w:rsidR="00C91693" w:rsidRPr="00C168C5" w:rsidRDefault="00CF22D5" w:rsidP="00243943">
            <w:pPr>
              <w:rPr>
                <w:iCs/>
                <w:szCs w:val="22"/>
                <w:lang w:val="es-ES_tradnl"/>
              </w:rPr>
            </w:pPr>
            <w:r w:rsidRPr="00C168C5">
              <w:rPr>
                <w:szCs w:val="22"/>
                <w:lang w:val="es-ES_tradnl"/>
              </w:rPr>
              <w:t xml:space="preserve">La Secretaría ha sido muy activa </w:t>
            </w:r>
            <w:r w:rsidRPr="00C168C5">
              <w:rPr>
                <w:i/>
                <w:szCs w:val="22"/>
                <w:lang w:val="es-ES_tradnl"/>
              </w:rPr>
              <w:t>transfiriendo buenas prácticas</w:t>
            </w:r>
            <w:r w:rsidRPr="00C168C5">
              <w:rPr>
                <w:szCs w:val="22"/>
                <w:lang w:val="es-ES_tradnl"/>
              </w:rPr>
              <w:t xml:space="preserve"> entre ambos </w:t>
            </w:r>
            <w:r w:rsidR="00080878" w:rsidRPr="00C168C5">
              <w:rPr>
                <w:szCs w:val="22"/>
                <w:lang w:val="es-ES_tradnl"/>
              </w:rPr>
              <w:t>países</w:t>
            </w:r>
            <w:r w:rsidRPr="00C168C5">
              <w:rPr>
                <w:szCs w:val="22"/>
                <w:lang w:val="es-ES_tradnl"/>
              </w:rPr>
              <w:t xml:space="preserve"> a lo largo de la ejecución del proyecto.</w:t>
            </w:r>
            <w:r w:rsidRPr="00C168C5">
              <w:rPr>
                <w:iCs/>
                <w:szCs w:val="22"/>
                <w:lang w:val="es-ES_tradnl"/>
              </w:rPr>
              <w:t xml:space="preserve"> </w:t>
            </w:r>
            <w:r w:rsidR="00C91693" w:rsidRPr="00C168C5">
              <w:rPr>
                <w:iCs/>
                <w:szCs w:val="22"/>
                <w:lang w:val="es-ES_tradnl"/>
              </w:rPr>
              <w:t xml:space="preserve"> </w:t>
            </w:r>
            <w:r w:rsidR="002F5CD8" w:rsidRPr="00C168C5">
              <w:rPr>
                <w:iCs/>
                <w:szCs w:val="22"/>
                <w:lang w:val="es-ES_tradnl"/>
              </w:rPr>
              <w:t>Se definen las buenas prácticas, se perfeccionan periódicamente las herramientas y metodologías a la luz de la experiencia acumulada en el proyecto piloto</w:t>
            </w:r>
            <w:r w:rsidR="00C91693" w:rsidRPr="00C168C5">
              <w:rPr>
                <w:iCs/>
                <w:szCs w:val="22"/>
                <w:lang w:val="es-ES_tradnl"/>
              </w:rPr>
              <w:t>.</w:t>
            </w:r>
            <w:r w:rsidR="002F5CD8" w:rsidRPr="00C168C5">
              <w:rPr>
                <w:iCs/>
                <w:szCs w:val="22"/>
                <w:lang w:val="es-ES_tradnl"/>
              </w:rPr>
              <w:t xml:space="preserve"> </w:t>
            </w:r>
            <w:r w:rsidR="00C91693" w:rsidRPr="00C168C5">
              <w:rPr>
                <w:iCs/>
                <w:szCs w:val="22"/>
                <w:lang w:val="es-ES_tradnl"/>
              </w:rPr>
              <w:t xml:space="preserve"> </w:t>
            </w:r>
            <w:r w:rsidR="00125F82" w:rsidRPr="00C168C5">
              <w:rPr>
                <w:iCs/>
                <w:szCs w:val="22"/>
                <w:lang w:val="es-ES_tradnl"/>
              </w:rPr>
              <w:t>En la</w:t>
            </w:r>
            <w:r w:rsidR="002F5CD8" w:rsidRPr="00C168C5">
              <w:rPr>
                <w:iCs/>
                <w:szCs w:val="22"/>
                <w:lang w:val="es-ES_tradnl"/>
              </w:rPr>
              <w:t xml:space="preserve"> etapa final la OMPI y la INPI publicarán el manual de buenas prácticas DiseñAr.</w:t>
            </w:r>
            <w:r w:rsidR="00C91693" w:rsidRPr="00C168C5">
              <w:rPr>
                <w:iCs/>
                <w:szCs w:val="22"/>
                <w:lang w:val="es-ES_tradnl"/>
              </w:rPr>
              <w:t xml:space="preserve"> </w:t>
            </w:r>
            <w:r w:rsidR="002F5CD8" w:rsidRPr="00C168C5">
              <w:rPr>
                <w:iCs/>
                <w:szCs w:val="22"/>
                <w:lang w:val="es-ES_tradnl"/>
              </w:rPr>
              <w:t xml:space="preserve"> Con él se ayudará a los países piloto a revisar la próxima edición de los programas </w:t>
            </w:r>
            <w:r w:rsidR="00C91693" w:rsidRPr="00C168C5">
              <w:rPr>
                <w:iCs/>
                <w:szCs w:val="22"/>
                <w:lang w:val="es-ES_tradnl"/>
              </w:rPr>
              <w:t>DiseñAr</w:t>
            </w:r>
            <w:r w:rsidR="002F5CD8" w:rsidRPr="00C168C5">
              <w:rPr>
                <w:iCs/>
                <w:szCs w:val="22"/>
                <w:lang w:val="es-ES_tradnl"/>
              </w:rPr>
              <w:t xml:space="preserve"> y</w:t>
            </w:r>
            <w:r w:rsidR="00C91693" w:rsidRPr="00C168C5">
              <w:rPr>
                <w:iCs/>
                <w:szCs w:val="22"/>
                <w:lang w:val="es-ES_tradnl"/>
              </w:rPr>
              <w:t xml:space="preserve"> Na</w:t>
            </w:r>
            <w:r w:rsidR="00C91693" w:rsidRPr="00C168C5">
              <w:rPr>
                <w:i/>
                <w:iCs/>
                <w:szCs w:val="22"/>
                <w:lang w:val="es-ES_tradnl"/>
              </w:rPr>
              <w:t>ma</w:t>
            </w:r>
            <w:r w:rsidR="00C91693" w:rsidRPr="00C168C5">
              <w:rPr>
                <w:iCs/>
                <w:szCs w:val="22"/>
                <w:lang w:val="es-ES_tradnl"/>
              </w:rPr>
              <w:t xml:space="preserve">dij </w:t>
            </w:r>
            <w:r w:rsidR="002F5CD8" w:rsidRPr="00C168C5">
              <w:rPr>
                <w:iCs/>
                <w:szCs w:val="22"/>
                <w:lang w:val="es-ES_tradnl"/>
              </w:rPr>
              <w:t>para</w:t>
            </w:r>
            <w:r w:rsidR="00C91693" w:rsidRPr="00C168C5">
              <w:rPr>
                <w:iCs/>
                <w:szCs w:val="22"/>
                <w:lang w:val="es-ES_tradnl"/>
              </w:rPr>
              <w:t xml:space="preserve"> 2016</w:t>
            </w:r>
            <w:r w:rsidR="002F5CD8" w:rsidRPr="00C168C5">
              <w:rPr>
                <w:iCs/>
                <w:szCs w:val="22"/>
                <w:lang w:val="es-ES_tradnl"/>
              </w:rPr>
              <w:t xml:space="preserve"> y a otros países interesados, si acaso se reproduce </w:t>
            </w:r>
            <w:r w:rsidR="000873F9" w:rsidRPr="00C168C5">
              <w:rPr>
                <w:iCs/>
                <w:szCs w:val="22"/>
                <w:lang w:val="es-ES_tradnl"/>
              </w:rPr>
              <w:t xml:space="preserve">después </w:t>
            </w:r>
            <w:r w:rsidR="002F5CD8" w:rsidRPr="00C168C5">
              <w:rPr>
                <w:iCs/>
                <w:szCs w:val="22"/>
                <w:lang w:val="es-ES_tradnl"/>
              </w:rPr>
              <w:t>el proyecto en otros lugares</w:t>
            </w:r>
            <w:r w:rsidR="00C91693" w:rsidRPr="00C168C5">
              <w:rPr>
                <w:iCs/>
                <w:szCs w:val="22"/>
                <w:lang w:val="es-ES_tradnl"/>
              </w:rPr>
              <w:t xml:space="preserve">.  </w:t>
            </w:r>
            <w:r w:rsidR="000873F9" w:rsidRPr="00C168C5">
              <w:rPr>
                <w:iCs/>
                <w:szCs w:val="22"/>
                <w:lang w:val="es-ES_tradnl"/>
              </w:rPr>
              <w:t xml:space="preserve">Para su última etapa también se prevén actividades de intercambio nacional </w:t>
            </w:r>
            <w:r w:rsidR="00125F82" w:rsidRPr="00C168C5">
              <w:rPr>
                <w:iCs/>
                <w:szCs w:val="22"/>
                <w:lang w:val="es-ES_tradnl"/>
              </w:rPr>
              <w:t>e internacional de conocimientos.</w:t>
            </w:r>
            <w:r w:rsidR="00C91693" w:rsidRPr="00C168C5">
              <w:rPr>
                <w:iCs/>
                <w:szCs w:val="22"/>
                <w:lang w:val="es-ES_tradnl"/>
              </w:rPr>
              <w:t xml:space="preserve"> </w:t>
            </w:r>
          </w:p>
          <w:p w14:paraId="315FD740" w14:textId="77777777" w:rsidR="00C91693" w:rsidRPr="00C168C5" w:rsidRDefault="00C91693" w:rsidP="00243943">
            <w:pPr>
              <w:rPr>
                <w:iCs/>
                <w:szCs w:val="22"/>
                <w:lang w:val="es-ES_tradnl"/>
              </w:rPr>
            </w:pPr>
          </w:p>
          <w:p w14:paraId="44D172B0" w14:textId="5CE8B40E" w:rsidR="00C91693" w:rsidRPr="00C168C5" w:rsidRDefault="00AA5D3E" w:rsidP="00243943">
            <w:pPr>
              <w:rPr>
                <w:szCs w:val="22"/>
                <w:lang w:val="es-ES_tradnl"/>
              </w:rPr>
            </w:pPr>
            <w:r w:rsidRPr="00C168C5">
              <w:rPr>
                <w:szCs w:val="22"/>
                <w:lang w:val="es-ES_tradnl"/>
              </w:rPr>
              <w:t xml:space="preserve">El proyecto piloto incorpora aspectos de la </w:t>
            </w:r>
            <w:r w:rsidRPr="00C168C5">
              <w:rPr>
                <w:i/>
                <w:szCs w:val="22"/>
                <w:lang w:val="es-ES_tradnl"/>
              </w:rPr>
              <w:t>igualdad de género</w:t>
            </w:r>
            <w:r w:rsidR="00C91693" w:rsidRPr="00C168C5">
              <w:rPr>
                <w:szCs w:val="22"/>
                <w:lang w:val="es-ES_tradnl"/>
              </w:rPr>
              <w:t xml:space="preserve">.  </w:t>
            </w:r>
            <w:r w:rsidRPr="00C168C5">
              <w:rPr>
                <w:szCs w:val="22"/>
                <w:lang w:val="es-ES_tradnl"/>
              </w:rPr>
              <w:t xml:space="preserve">Por ejemplo, la asociación de mujeres empresarias de Marruecos forma parte del comité directivo </w:t>
            </w:r>
            <w:r w:rsidR="00903C90" w:rsidRPr="00C168C5">
              <w:rPr>
                <w:szCs w:val="22"/>
                <w:lang w:val="es-ES_tradnl"/>
              </w:rPr>
              <w:t xml:space="preserve">marroquí </w:t>
            </w:r>
            <w:r w:rsidRPr="00C168C5">
              <w:rPr>
                <w:szCs w:val="22"/>
                <w:lang w:val="es-ES_tradnl"/>
              </w:rPr>
              <w:t>del pro</w:t>
            </w:r>
            <w:r w:rsidR="00903C90" w:rsidRPr="00C168C5">
              <w:rPr>
                <w:szCs w:val="22"/>
                <w:lang w:val="es-ES_tradnl"/>
              </w:rPr>
              <w:t>yecto</w:t>
            </w:r>
            <w:r w:rsidR="00C91693" w:rsidRPr="00C168C5">
              <w:rPr>
                <w:szCs w:val="22"/>
                <w:lang w:val="es-ES_tradnl"/>
              </w:rPr>
              <w:t xml:space="preserve">.  </w:t>
            </w:r>
            <w:r w:rsidR="00903C90" w:rsidRPr="00C168C5">
              <w:rPr>
                <w:szCs w:val="22"/>
                <w:lang w:val="es-ES_tradnl"/>
              </w:rPr>
              <w:t>En enero y abril de 2015 se ha mencionado el proyecto como una buena práctica</w:t>
            </w:r>
            <w:r w:rsidR="00E06267" w:rsidRPr="00C168C5">
              <w:rPr>
                <w:szCs w:val="22"/>
                <w:lang w:val="es-ES_tradnl"/>
              </w:rPr>
              <w:t xml:space="preserve"> </w:t>
            </w:r>
            <w:r w:rsidR="004861B7" w:rsidRPr="00C168C5">
              <w:rPr>
                <w:szCs w:val="22"/>
                <w:lang w:val="es-ES_tradnl"/>
              </w:rPr>
              <w:t>l</w:t>
            </w:r>
            <w:r w:rsidR="00E06267" w:rsidRPr="00C168C5">
              <w:rPr>
                <w:szCs w:val="22"/>
                <w:lang w:val="es-ES_tradnl"/>
              </w:rPr>
              <w:t>a</w:t>
            </w:r>
            <w:r w:rsidR="004861B7" w:rsidRPr="00C168C5">
              <w:rPr>
                <w:szCs w:val="22"/>
                <w:lang w:val="es-ES_tradnl"/>
              </w:rPr>
              <w:t xml:space="preserve"> coordinador</w:t>
            </w:r>
            <w:r w:rsidR="00E06267" w:rsidRPr="00C168C5">
              <w:rPr>
                <w:szCs w:val="22"/>
                <w:lang w:val="es-ES_tradnl"/>
              </w:rPr>
              <w:t>a de</w:t>
            </w:r>
            <w:r w:rsidR="004861B7" w:rsidRPr="00C168C5">
              <w:rPr>
                <w:szCs w:val="22"/>
                <w:lang w:val="es-ES_tradnl"/>
              </w:rPr>
              <w:t xml:space="preserve"> cuestiones de género de la OMPI</w:t>
            </w:r>
            <w:r w:rsidR="00C91693" w:rsidRPr="00C168C5">
              <w:rPr>
                <w:szCs w:val="22"/>
                <w:lang w:val="es-ES_tradnl"/>
              </w:rPr>
              <w:t>.</w:t>
            </w:r>
          </w:p>
          <w:p w14:paraId="3229ABDF" w14:textId="77777777" w:rsidR="00C91693" w:rsidRPr="00C168C5" w:rsidRDefault="00C91693" w:rsidP="00243943">
            <w:pPr>
              <w:rPr>
                <w:szCs w:val="22"/>
                <w:lang w:val="es-ES_tradnl"/>
              </w:rPr>
            </w:pPr>
          </w:p>
          <w:p w14:paraId="03B34D00" w14:textId="718600D6" w:rsidR="00C91693" w:rsidRPr="00C168C5" w:rsidRDefault="004861B7" w:rsidP="00243943">
            <w:pPr>
              <w:rPr>
                <w:szCs w:val="22"/>
                <w:lang w:val="es-ES_tradnl"/>
              </w:rPr>
            </w:pPr>
            <w:r w:rsidRPr="00C168C5">
              <w:rPr>
                <w:szCs w:val="22"/>
                <w:lang w:val="es-ES_tradnl"/>
              </w:rPr>
              <w:t xml:space="preserve">A la luz de la importancia </w:t>
            </w:r>
            <w:r w:rsidR="00113BCF">
              <w:rPr>
                <w:szCs w:val="22"/>
                <w:lang w:val="es-ES_tradnl"/>
              </w:rPr>
              <w:t>que</w:t>
            </w:r>
            <w:r w:rsidRPr="00C168C5">
              <w:rPr>
                <w:szCs w:val="22"/>
                <w:lang w:val="es-ES_tradnl"/>
              </w:rPr>
              <w:t xml:space="preserve"> reviste la </w:t>
            </w:r>
            <w:r w:rsidRPr="00C168C5">
              <w:rPr>
                <w:i/>
                <w:szCs w:val="22"/>
                <w:lang w:val="es-ES_tradnl"/>
              </w:rPr>
              <w:t>evaluación de las repercusiones</w:t>
            </w:r>
            <w:r w:rsidR="00C91693" w:rsidRPr="00C168C5">
              <w:rPr>
                <w:szCs w:val="22"/>
                <w:lang w:val="es-ES_tradnl"/>
              </w:rPr>
              <w:t>,</w:t>
            </w:r>
            <w:r w:rsidRPr="00C168C5">
              <w:rPr>
                <w:szCs w:val="22"/>
                <w:lang w:val="es-ES_tradnl"/>
              </w:rPr>
              <w:t xml:space="preserve"> una vez finalice del proyecto piloto, la declaración de alcance del proyecto de ambos países piloto prevé que el organismo coordinador evalúe y comparta las conclusiones con la Secretaría</w:t>
            </w:r>
            <w:r w:rsidR="00C91693" w:rsidRPr="00C168C5">
              <w:rPr>
                <w:szCs w:val="22"/>
                <w:lang w:val="es-ES_tradnl"/>
              </w:rPr>
              <w:t>.</w:t>
            </w:r>
          </w:p>
          <w:p w14:paraId="109DBB51" w14:textId="77777777" w:rsidR="00C91693" w:rsidRPr="00C168C5" w:rsidRDefault="00C91693" w:rsidP="00243943">
            <w:pPr>
              <w:rPr>
                <w:szCs w:val="22"/>
                <w:lang w:val="es-ES_tradnl"/>
              </w:rPr>
            </w:pPr>
          </w:p>
        </w:tc>
      </w:tr>
      <w:tr w:rsidR="00C91693" w:rsidRPr="00C168C5" w14:paraId="752E4AE3" w14:textId="77777777" w:rsidTr="00243943">
        <w:trPr>
          <w:trHeight w:val="888"/>
        </w:trPr>
        <w:tc>
          <w:tcPr>
            <w:tcW w:w="2358" w:type="dxa"/>
            <w:shd w:val="clear" w:color="auto" w:fill="auto"/>
          </w:tcPr>
          <w:p w14:paraId="2572F104" w14:textId="77777777" w:rsidR="00C91693" w:rsidRPr="00C168C5" w:rsidRDefault="00C91693" w:rsidP="00243943">
            <w:pPr>
              <w:rPr>
                <w:szCs w:val="22"/>
                <w:lang w:val="es-ES_tradnl"/>
              </w:rPr>
            </w:pPr>
          </w:p>
          <w:p w14:paraId="4594F221" w14:textId="18DA9F48" w:rsidR="00C91693" w:rsidRPr="00C168C5" w:rsidRDefault="004861B7" w:rsidP="004861B7">
            <w:pPr>
              <w:rPr>
                <w:szCs w:val="22"/>
                <w:u w:val="single"/>
                <w:lang w:val="es-ES_tradnl"/>
              </w:rPr>
            </w:pPr>
            <w:r w:rsidRPr="00C168C5">
              <w:rPr>
                <w:bCs/>
                <w:szCs w:val="22"/>
                <w:u w:val="single"/>
                <w:lang w:val="es-ES_tradnl"/>
              </w:rPr>
              <w:t>Riesgos y medidas paliativas</w:t>
            </w:r>
            <w:r w:rsidRPr="00C168C5">
              <w:rPr>
                <w:szCs w:val="22"/>
                <w:u w:val="single"/>
                <w:lang w:val="es-ES_tradnl"/>
              </w:rPr>
              <w:t xml:space="preserve"> </w:t>
            </w:r>
          </w:p>
        </w:tc>
        <w:tc>
          <w:tcPr>
            <w:tcW w:w="6930" w:type="dxa"/>
          </w:tcPr>
          <w:p w14:paraId="7E19C75B" w14:textId="77777777" w:rsidR="00C91693" w:rsidRPr="00C168C5" w:rsidRDefault="00C91693" w:rsidP="00243943">
            <w:pPr>
              <w:rPr>
                <w:iCs/>
                <w:szCs w:val="22"/>
                <w:lang w:val="es-ES_tradnl"/>
              </w:rPr>
            </w:pPr>
          </w:p>
          <w:p w14:paraId="45C5D105" w14:textId="30B7C97B" w:rsidR="004B0B0A" w:rsidRPr="00C168C5" w:rsidRDefault="004B0B0A" w:rsidP="004B0B0A">
            <w:pPr>
              <w:rPr>
                <w:iCs/>
                <w:lang w:val="es-ES_tradnl"/>
              </w:rPr>
            </w:pPr>
            <w:r w:rsidRPr="00C168C5">
              <w:rPr>
                <w:iCs/>
                <w:lang w:val="es-ES_tradnl"/>
              </w:rPr>
              <w:t xml:space="preserve">La evaluación de los riesgos y el análisis de las medidas paliativas fueron esenciales para asegurar que el proyecto tuviera una base sólida.  Los principales riesgos definidos fueron los siguientes:  </w:t>
            </w:r>
          </w:p>
          <w:p w14:paraId="50F08D8C" w14:textId="77777777" w:rsidR="004B0B0A" w:rsidRPr="00C168C5" w:rsidRDefault="004B0B0A" w:rsidP="004B0B0A">
            <w:pPr>
              <w:rPr>
                <w:iCs/>
                <w:lang w:val="es-ES_tradnl"/>
              </w:rPr>
            </w:pPr>
          </w:p>
          <w:p w14:paraId="377320CE" w14:textId="50A5EF48" w:rsidR="004B0B0A" w:rsidRPr="00C168C5" w:rsidRDefault="004B0B0A" w:rsidP="00903EA9">
            <w:pPr>
              <w:numPr>
                <w:ilvl w:val="0"/>
                <w:numId w:val="14"/>
              </w:numPr>
              <w:rPr>
                <w:iCs/>
                <w:lang w:val="es-ES_tradnl"/>
              </w:rPr>
            </w:pPr>
            <w:r w:rsidRPr="00C168C5">
              <w:rPr>
                <w:iCs/>
                <w:lang w:val="es-ES_tradnl"/>
              </w:rPr>
              <w:t xml:space="preserve">Factores externos (como la adaptación del marco jurídico de la P.I. de los países a las necesidades de las </w:t>
            </w:r>
            <w:r w:rsidR="00E335F9">
              <w:rPr>
                <w:iCs/>
                <w:lang w:val="es-ES_tradnl"/>
              </w:rPr>
              <w:t>pymes</w:t>
            </w:r>
            <w:r w:rsidRPr="00C168C5">
              <w:rPr>
                <w:iCs/>
                <w:lang w:val="es-ES_tradnl"/>
              </w:rPr>
              <w:t xml:space="preserve">, los principales factores que desalentaban la inversión de las </w:t>
            </w:r>
            <w:r w:rsidR="00E335F9">
              <w:rPr>
                <w:iCs/>
                <w:lang w:val="es-ES_tradnl"/>
              </w:rPr>
              <w:t>pymes</w:t>
            </w:r>
            <w:r w:rsidRPr="00C168C5">
              <w:rPr>
                <w:iCs/>
                <w:lang w:val="es-ES_tradnl"/>
              </w:rPr>
              <w:t xml:space="preserve"> en la protección de los diseños industriales); </w:t>
            </w:r>
          </w:p>
          <w:p w14:paraId="56BE5CB8" w14:textId="77777777" w:rsidR="004B0B0A" w:rsidRPr="00C168C5" w:rsidRDefault="004B0B0A" w:rsidP="00903EA9">
            <w:pPr>
              <w:numPr>
                <w:ilvl w:val="0"/>
                <w:numId w:val="14"/>
              </w:numPr>
              <w:rPr>
                <w:iCs/>
                <w:lang w:val="es-ES_tradnl"/>
              </w:rPr>
            </w:pPr>
            <w:r w:rsidRPr="00C168C5">
              <w:rPr>
                <w:iCs/>
                <w:lang w:val="es-ES_tradnl"/>
              </w:rPr>
              <w:t xml:space="preserve">Un alcance demasiado amplio y/o la superación del  presupuesto; </w:t>
            </w:r>
          </w:p>
          <w:p w14:paraId="5FF7EF89" w14:textId="77777777" w:rsidR="004B0B0A" w:rsidRPr="00C168C5" w:rsidRDefault="004B0B0A" w:rsidP="00903EA9">
            <w:pPr>
              <w:numPr>
                <w:ilvl w:val="0"/>
                <w:numId w:val="14"/>
              </w:numPr>
              <w:rPr>
                <w:iCs/>
                <w:lang w:val="es-ES_tradnl"/>
              </w:rPr>
            </w:pPr>
            <w:r w:rsidRPr="00C168C5">
              <w:rPr>
                <w:iCs/>
                <w:lang w:val="es-ES_tradnl"/>
              </w:rPr>
              <w:t xml:space="preserve">La incapacidad de lograr una coordinación eficaz y de llegar a un acuerdo sobre el alcance del proyecto, las funciones y responsabilidades; </w:t>
            </w:r>
          </w:p>
          <w:p w14:paraId="45AD3BCD" w14:textId="77777777" w:rsidR="004B0B0A" w:rsidRPr="00C168C5" w:rsidRDefault="004B0B0A" w:rsidP="00903EA9">
            <w:pPr>
              <w:numPr>
                <w:ilvl w:val="0"/>
                <w:numId w:val="14"/>
              </w:numPr>
              <w:rPr>
                <w:iCs/>
                <w:lang w:val="es-ES_tradnl"/>
              </w:rPr>
            </w:pPr>
            <w:r w:rsidRPr="00C168C5">
              <w:rPr>
                <w:iCs/>
                <w:lang w:val="es-ES_tradnl"/>
              </w:rPr>
              <w:t>La imposibilidad de garantizar que el proyecto logre resultados sostenibles, habida cuenta de la estrategia de salida.</w:t>
            </w:r>
          </w:p>
          <w:p w14:paraId="15B95086" w14:textId="18583617" w:rsidR="004B0B0A" w:rsidRPr="00C168C5" w:rsidRDefault="004B0B0A" w:rsidP="00903EA9">
            <w:pPr>
              <w:numPr>
                <w:ilvl w:val="0"/>
                <w:numId w:val="14"/>
              </w:numPr>
              <w:rPr>
                <w:iCs/>
                <w:lang w:val="es-ES_tradnl"/>
              </w:rPr>
            </w:pPr>
            <w:r w:rsidRPr="00C168C5">
              <w:rPr>
                <w:iCs/>
                <w:lang w:val="es-ES_tradnl"/>
              </w:rPr>
              <w:t xml:space="preserve">La resistencia que oponen </w:t>
            </w:r>
            <w:r w:rsidR="008838BA" w:rsidRPr="00C168C5">
              <w:rPr>
                <w:iCs/>
                <w:lang w:val="es-ES_tradnl"/>
              </w:rPr>
              <w:t>los repr</w:t>
            </w:r>
            <w:r w:rsidR="00E06267" w:rsidRPr="00C168C5">
              <w:rPr>
                <w:iCs/>
                <w:lang w:val="es-ES_tradnl"/>
              </w:rPr>
              <w:t xml:space="preserve">esentantes de las </w:t>
            </w:r>
            <w:r w:rsidR="00E335F9">
              <w:rPr>
                <w:iCs/>
                <w:lang w:val="es-ES_tradnl"/>
              </w:rPr>
              <w:t>pymes</w:t>
            </w:r>
            <w:r w:rsidR="004D2FE6" w:rsidRPr="00C168C5">
              <w:rPr>
                <w:iCs/>
                <w:lang w:val="es-ES_tradnl"/>
              </w:rPr>
              <w:t xml:space="preserve"> a emplear las herramientas de P.I. y la falta de confianza en el ordenamiento jurídico.</w:t>
            </w:r>
          </w:p>
          <w:p w14:paraId="21DC09EE" w14:textId="77777777" w:rsidR="004B0B0A" w:rsidRPr="00C168C5" w:rsidRDefault="004B0B0A" w:rsidP="004B0B0A">
            <w:pPr>
              <w:rPr>
                <w:iCs/>
                <w:lang w:val="es-ES_tradnl"/>
              </w:rPr>
            </w:pPr>
          </w:p>
          <w:p w14:paraId="1175BCDD" w14:textId="04AA2692" w:rsidR="004B0B0A" w:rsidRPr="00C168C5" w:rsidRDefault="004B0B0A" w:rsidP="004B0B0A">
            <w:pPr>
              <w:rPr>
                <w:iCs/>
                <w:lang w:val="es-ES_tradnl"/>
              </w:rPr>
            </w:pPr>
            <w:r w:rsidRPr="00C168C5">
              <w:rPr>
                <w:iCs/>
                <w:lang w:val="es-ES_tradnl"/>
              </w:rPr>
              <w:t>Los riesgos se gestionan periódicamente y se examinan en estrecha</w:t>
            </w:r>
            <w:r w:rsidR="004D2FE6" w:rsidRPr="00C168C5">
              <w:rPr>
                <w:iCs/>
                <w:lang w:val="es-ES_tradnl"/>
              </w:rPr>
              <w:t xml:space="preserve"> colaboración con los organismos coordinadores de ambos países</w:t>
            </w:r>
            <w:r w:rsidRPr="00C168C5">
              <w:rPr>
                <w:iCs/>
                <w:lang w:val="es-ES_tradnl"/>
              </w:rPr>
              <w:t>.</w:t>
            </w:r>
          </w:p>
          <w:p w14:paraId="5701A546" w14:textId="77777777" w:rsidR="00C91693" w:rsidRPr="00C168C5" w:rsidRDefault="00C91693" w:rsidP="004D2FE6">
            <w:pPr>
              <w:rPr>
                <w:iCs/>
                <w:szCs w:val="22"/>
                <w:lang w:val="es-ES_tradnl"/>
              </w:rPr>
            </w:pPr>
          </w:p>
        </w:tc>
      </w:tr>
      <w:tr w:rsidR="00C91693" w:rsidRPr="00C168C5" w14:paraId="3E743801" w14:textId="77777777" w:rsidTr="00243943">
        <w:trPr>
          <w:trHeight w:val="901"/>
        </w:trPr>
        <w:tc>
          <w:tcPr>
            <w:tcW w:w="2358" w:type="dxa"/>
            <w:shd w:val="clear" w:color="auto" w:fill="auto"/>
          </w:tcPr>
          <w:p w14:paraId="0BFBEC37" w14:textId="77777777" w:rsidR="00C91693" w:rsidRPr="00C168C5" w:rsidRDefault="00C91693" w:rsidP="00243943">
            <w:pPr>
              <w:rPr>
                <w:bCs/>
                <w:szCs w:val="22"/>
                <w:u w:val="single"/>
                <w:lang w:val="es-ES_tradnl"/>
              </w:rPr>
            </w:pPr>
          </w:p>
          <w:p w14:paraId="5AA1B64C" w14:textId="2342509C" w:rsidR="00C91693" w:rsidRPr="00C168C5" w:rsidRDefault="002F5B0D" w:rsidP="00243943">
            <w:pPr>
              <w:rPr>
                <w:bCs/>
                <w:szCs w:val="22"/>
                <w:u w:val="single"/>
                <w:lang w:val="es-ES_tradnl"/>
              </w:rPr>
            </w:pPr>
            <w:r w:rsidRPr="00C168C5">
              <w:rPr>
                <w:bCs/>
                <w:szCs w:val="22"/>
                <w:u w:val="single"/>
                <w:lang w:val="es-ES_tradnl"/>
              </w:rPr>
              <w:t>Cuestiones que requieren atención inmediata</w:t>
            </w:r>
          </w:p>
          <w:p w14:paraId="08DB63EB" w14:textId="77777777" w:rsidR="00C91693" w:rsidRPr="00C168C5" w:rsidRDefault="00C91693" w:rsidP="00243943">
            <w:pPr>
              <w:rPr>
                <w:bCs/>
                <w:szCs w:val="22"/>
                <w:u w:val="single"/>
                <w:lang w:val="es-ES_tradnl"/>
              </w:rPr>
            </w:pPr>
          </w:p>
        </w:tc>
        <w:tc>
          <w:tcPr>
            <w:tcW w:w="6930" w:type="dxa"/>
          </w:tcPr>
          <w:p w14:paraId="6394EDD5" w14:textId="77777777" w:rsidR="00C91693" w:rsidRPr="00C168C5" w:rsidRDefault="00C91693" w:rsidP="00243943">
            <w:pPr>
              <w:rPr>
                <w:iCs/>
                <w:szCs w:val="22"/>
                <w:lang w:val="es-ES_tradnl"/>
              </w:rPr>
            </w:pPr>
          </w:p>
          <w:p w14:paraId="6374FECF" w14:textId="4EBD07CF" w:rsidR="00C91693" w:rsidRPr="00C168C5" w:rsidRDefault="002F5B0D" w:rsidP="00243943">
            <w:pPr>
              <w:rPr>
                <w:iCs/>
                <w:szCs w:val="22"/>
                <w:lang w:val="es-ES_tradnl"/>
              </w:rPr>
            </w:pPr>
            <w:r w:rsidRPr="00C168C5">
              <w:rPr>
                <w:iCs/>
                <w:szCs w:val="22"/>
                <w:lang w:val="es-ES_tradnl"/>
              </w:rPr>
              <w:t>Cabe observar que</w:t>
            </w:r>
            <w:r w:rsidR="00AB2C5C" w:rsidRPr="00C168C5">
              <w:rPr>
                <w:iCs/>
                <w:szCs w:val="22"/>
                <w:lang w:val="es-ES_tradnl"/>
              </w:rPr>
              <w:t xml:space="preserve"> debería</w:t>
            </w:r>
            <w:r w:rsidRPr="00C168C5">
              <w:rPr>
                <w:iCs/>
                <w:szCs w:val="22"/>
                <w:lang w:val="es-ES_tradnl"/>
              </w:rPr>
              <w:t xml:space="preserve"> </w:t>
            </w:r>
            <w:r w:rsidR="00AB2C5C" w:rsidRPr="00C168C5">
              <w:rPr>
                <w:iCs/>
                <w:szCs w:val="22"/>
                <w:lang w:val="es-ES_tradnl"/>
              </w:rPr>
              <w:t xml:space="preserve">prorrogarse </w:t>
            </w:r>
            <w:r w:rsidRPr="00C168C5">
              <w:rPr>
                <w:iCs/>
                <w:szCs w:val="22"/>
                <w:lang w:val="es-ES_tradnl"/>
              </w:rPr>
              <w:t xml:space="preserve">el proyecto piloto </w:t>
            </w:r>
            <w:r w:rsidR="00AB2C5C" w:rsidRPr="00C168C5">
              <w:rPr>
                <w:iCs/>
                <w:szCs w:val="22"/>
                <w:lang w:val="es-ES_tradnl"/>
              </w:rPr>
              <w:t>hasta el 14 de mayo de 2016 por las razones mencionadas anteriormente en el calendario de ejecución.</w:t>
            </w:r>
          </w:p>
          <w:p w14:paraId="1A6043C3" w14:textId="77777777" w:rsidR="00C91693" w:rsidRPr="00C168C5" w:rsidRDefault="00C91693" w:rsidP="00243943">
            <w:pPr>
              <w:rPr>
                <w:iCs/>
                <w:szCs w:val="22"/>
                <w:lang w:val="es-ES_tradnl"/>
              </w:rPr>
            </w:pPr>
          </w:p>
          <w:p w14:paraId="7A144D47" w14:textId="042B9903" w:rsidR="00C91693" w:rsidRPr="00C168C5" w:rsidRDefault="00322EB7" w:rsidP="00243943">
            <w:pPr>
              <w:rPr>
                <w:iCs/>
                <w:szCs w:val="22"/>
                <w:lang w:val="es-ES_tradnl"/>
              </w:rPr>
            </w:pPr>
            <w:r w:rsidRPr="00C168C5">
              <w:rPr>
                <w:iCs/>
                <w:szCs w:val="22"/>
                <w:lang w:val="es-ES_tradnl"/>
              </w:rPr>
              <w:t>En la actualidad no existe otra cuestión que requiera atención inmediata</w:t>
            </w:r>
            <w:r w:rsidR="00C91693" w:rsidRPr="00C168C5">
              <w:rPr>
                <w:iCs/>
                <w:szCs w:val="22"/>
                <w:lang w:val="es-ES_tradnl"/>
              </w:rPr>
              <w:t>.</w:t>
            </w:r>
          </w:p>
          <w:p w14:paraId="77E59AE5" w14:textId="77777777" w:rsidR="00C91693" w:rsidRPr="00C168C5" w:rsidRDefault="00C91693" w:rsidP="00243943">
            <w:pPr>
              <w:rPr>
                <w:iCs/>
                <w:szCs w:val="22"/>
                <w:lang w:val="es-ES_tradnl"/>
              </w:rPr>
            </w:pPr>
          </w:p>
        </w:tc>
      </w:tr>
      <w:tr w:rsidR="00C91693" w:rsidRPr="00C168C5" w14:paraId="68DF5EE6" w14:textId="77777777" w:rsidTr="00243943">
        <w:trPr>
          <w:trHeight w:val="1081"/>
        </w:trPr>
        <w:tc>
          <w:tcPr>
            <w:tcW w:w="2358" w:type="dxa"/>
            <w:shd w:val="clear" w:color="auto" w:fill="auto"/>
          </w:tcPr>
          <w:p w14:paraId="0B955F19" w14:textId="77777777" w:rsidR="00C91693" w:rsidRPr="00C168C5" w:rsidRDefault="00C91693" w:rsidP="00243943">
            <w:pPr>
              <w:rPr>
                <w:bCs/>
                <w:szCs w:val="22"/>
                <w:u w:val="single"/>
                <w:lang w:val="es-ES_tradnl"/>
              </w:rPr>
            </w:pPr>
          </w:p>
          <w:p w14:paraId="7C6E08A9" w14:textId="22317F89" w:rsidR="00C91693" w:rsidRPr="00C168C5" w:rsidRDefault="00080878" w:rsidP="00322EB7">
            <w:pPr>
              <w:rPr>
                <w:bCs/>
                <w:szCs w:val="22"/>
                <w:u w:val="single"/>
                <w:lang w:val="es-ES_tradnl"/>
              </w:rPr>
            </w:pPr>
            <w:r w:rsidRPr="00C168C5">
              <w:rPr>
                <w:bCs/>
                <w:szCs w:val="22"/>
                <w:u w:val="single"/>
                <w:lang w:val="es-ES_tradnl"/>
              </w:rPr>
              <w:t>Siguientes</w:t>
            </w:r>
            <w:r w:rsidR="00322EB7" w:rsidRPr="00C168C5">
              <w:rPr>
                <w:bCs/>
                <w:szCs w:val="22"/>
                <w:u w:val="single"/>
                <w:lang w:val="es-ES_tradnl"/>
              </w:rPr>
              <w:t xml:space="preserve"> pasos</w:t>
            </w:r>
          </w:p>
        </w:tc>
        <w:tc>
          <w:tcPr>
            <w:tcW w:w="6930" w:type="dxa"/>
          </w:tcPr>
          <w:p w14:paraId="244F3FA5" w14:textId="77777777" w:rsidR="00C91693" w:rsidRPr="00C168C5" w:rsidRDefault="00C91693" w:rsidP="00243943">
            <w:pPr>
              <w:rPr>
                <w:iCs/>
                <w:szCs w:val="22"/>
                <w:lang w:val="es-ES_tradnl"/>
              </w:rPr>
            </w:pPr>
          </w:p>
          <w:p w14:paraId="5DC3426D" w14:textId="5D328DD7" w:rsidR="00C91693" w:rsidRPr="00C168C5" w:rsidRDefault="00322EB7" w:rsidP="00903EA9">
            <w:pPr>
              <w:numPr>
                <w:ilvl w:val="0"/>
                <w:numId w:val="15"/>
              </w:numPr>
              <w:ind w:left="0" w:firstLine="0"/>
              <w:rPr>
                <w:szCs w:val="22"/>
                <w:lang w:val="es-ES_tradnl"/>
              </w:rPr>
            </w:pPr>
            <w:r w:rsidRPr="00C168C5">
              <w:rPr>
                <w:szCs w:val="22"/>
                <w:lang w:val="es-ES_tradnl"/>
              </w:rPr>
              <w:t xml:space="preserve">El paso siguiente consistirá en documentar toda estrategia adaptada en materia de protección de diseños que se proponga a las </w:t>
            </w:r>
            <w:r w:rsidR="00E335F9">
              <w:rPr>
                <w:szCs w:val="22"/>
                <w:lang w:val="es-ES_tradnl"/>
              </w:rPr>
              <w:t>pymes</w:t>
            </w:r>
            <w:r w:rsidRPr="00C168C5">
              <w:rPr>
                <w:szCs w:val="22"/>
                <w:lang w:val="es-ES_tradnl"/>
              </w:rPr>
              <w:t xml:space="preserve"> beneficiarias para ayudarles en el registro de diseños, con el apoyo de expertos nacionales</w:t>
            </w:r>
            <w:r w:rsidR="00C91693" w:rsidRPr="00C168C5">
              <w:rPr>
                <w:szCs w:val="22"/>
                <w:lang w:val="es-ES_tradnl"/>
              </w:rPr>
              <w:t xml:space="preserve">.  </w:t>
            </w:r>
            <w:r w:rsidRPr="00C168C5">
              <w:rPr>
                <w:szCs w:val="22"/>
                <w:lang w:val="es-ES_tradnl"/>
              </w:rPr>
              <w:t>Durante la última etapa del proyecto piloto se presentarán informes finales y se</w:t>
            </w:r>
            <w:r w:rsidR="00C5027D" w:rsidRPr="00C168C5">
              <w:rPr>
                <w:szCs w:val="22"/>
                <w:lang w:val="es-ES_tradnl"/>
              </w:rPr>
              <w:t xml:space="preserve"> realizará un análisis de </w:t>
            </w:r>
            <w:r w:rsidR="00EC48A5" w:rsidRPr="00C168C5">
              <w:rPr>
                <w:szCs w:val="22"/>
                <w:lang w:val="es-ES_tradnl"/>
              </w:rPr>
              <w:t xml:space="preserve">los </w:t>
            </w:r>
            <w:r w:rsidRPr="00C168C5">
              <w:rPr>
                <w:szCs w:val="22"/>
                <w:lang w:val="es-ES_tradnl"/>
              </w:rPr>
              <w:t>datos</w:t>
            </w:r>
            <w:r w:rsidR="00C91693" w:rsidRPr="00C168C5">
              <w:rPr>
                <w:szCs w:val="22"/>
                <w:lang w:val="es-ES_tradnl"/>
              </w:rPr>
              <w:t>.</w:t>
            </w:r>
          </w:p>
          <w:p w14:paraId="26D843BD" w14:textId="77777777" w:rsidR="00C91693" w:rsidRPr="00C168C5" w:rsidRDefault="00C91693" w:rsidP="00243943">
            <w:pPr>
              <w:rPr>
                <w:szCs w:val="22"/>
                <w:lang w:val="es-ES_tradnl"/>
              </w:rPr>
            </w:pPr>
          </w:p>
          <w:p w14:paraId="51AB71F7" w14:textId="0DD78787" w:rsidR="00C91693" w:rsidRPr="00C168C5" w:rsidRDefault="00EC48A5" w:rsidP="00903EA9">
            <w:pPr>
              <w:numPr>
                <w:ilvl w:val="0"/>
                <w:numId w:val="15"/>
              </w:numPr>
              <w:ind w:left="0" w:firstLine="0"/>
              <w:rPr>
                <w:szCs w:val="22"/>
                <w:lang w:val="es-ES_tradnl"/>
              </w:rPr>
            </w:pPr>
            <w:r w:rsidRPr="00C168C5">
              <w:rPr>
                <w:szCs w:val="22"/>
                <w:lang w:val="es-ES_tradnl"/>
              </w:rPr>
              <w:t>Se prevé la producción de vídeos promocionales para avanzar más en la toma de conciencia sobre la protección de diseños y comunicar al gran público la información sobre el programa de ambos países</w:t>
            </w:r>
            <w:r w:rsidR="00C91693" w:rsidRPr="00C168C5">
              <w:rPr>
                <w:szCs w:val="22"/>
                <w:lang w:val="es-ES_tradnl"/>
              </w:rPr>
              <w:t>.</w:t>
            </w:r>
          </w:p>
          <w:p w14:paraId="393FF56F" w14:textId="77777777" w:rsidR="00C91693" w:rsidRPr="00C168C5" w:rsidRDefault="00C91693" w:rsidP="00243943">
            <w:pPr>
              <w:rPr>
                <w:szCs w:val="22"/>
                <w:lang w:val="es-ES_tradnl"/>
              </w:rPr>
            </w:pPr>
          </w:p>
          <w:p w14:paraId="65B781F5" w14:textId="49712924" w:rsidR="00C91693" w:rsidRPr="00C168C5" w:rsidRDefault="00667A66" w:rsidP="00903EA9">
            <w:pPr>
              <w:numPr>
                <w:ilvl w:val="0"/>
                <w:numId w:val="15"/>
              </w:numPr>
              <w:ind w:left="0" w:firstLine="0"/>
              <w:rPr>
                <w:szCs w:val="22"/>
                <w:lang w:val="es-ES_tradnl"/>
              </w:rPr>
            </w:pPr>
            <w:r w:rsidRPr="00C168C5">
              <w:rPr>
                <w:szCs w:val="22"/>
                <w:lang w:val="es-ES_tradnl"/>
              </w:rPr>
              <w:t xml:space="preserve">Durante </w:t>
            </w:r>
            <w:r w:rsidR="00E47249" w:rsidRPr="00C168C5">
              <w:rPr>
                <w:szCs w:val="22"/>
                <w:lang w:val="es-ES_tradnl"/>
              </w:rPr>
              <w:t>la</w:t>
            </w:r>
            <w:r w:rsidRPr="00C168C5">
              <w:rPr>
                <w:szCs w:val="22"/>
                <w:lang w:val="es-ES_tradnl"/>
              </w:rPr>
              <w:t xml:space="preserve"> </w:t>
            </w:r>
            <w:r w:rsidR="00AF242D" w:rsidRPr="00C168C5">
              <w:rPr>
                <w:szCs w:val="22"/>
                <w:lang w:val="es-ES_tradnl"/>
              </w:rPr>
              <w:t xml:space="preserve">trigésima cuarta </w:t>
            </w:r>
            <w:r w:rsidRPr="00C168C5">
              <w:rPr>
                <w:szCs w:val="22"/>
                <w:lang w:val="es-ES_tradnl"/>
              </w:rPr>
              <w:t xml:space="preserve">sesión del </w:t>
            </w:r>
            <w:r w:rsidR="00C91693" w:rsidRPr="00C168C5">
              <w:rPr>
                <w:szCs w:val="22"/>
                <w:lang w:val="es-ES_tradnl"/>
              </w:rPr>
              <w:t xml:space="preserve">SCT </w:t>
            </w:r>
            <w:r w:rsidRPr="00C168C5">
              <w:rPr>
                <w:szCs w:val="22"/>
                <w:lang w:val="es-ES_tradnl"/>
              </w:rPr>
              <w:t>se organizará un acto paralelo de presentación a los Estados miembros del proyecto piloto sobre diseños</w:t>
            </w:r>
            <w:r w:rsidR="00C91693" w:rsidRPr="00C168C5">
              <w:rPr>
                <w:szCs w:val="22"/>
                <w:lang w:val="es-ES_tradnl"/>
              </w:rPr>
              <w:t xml:space="preserve">.  </w:t>
            </w:r>
            <w:r w:rsidRPr="00C168C5">
              <w:rPr>
                <w:szCs w:val="22"/>
                <w:lang w:val="es-ES_tradnl"/>
              </w:rPr>
              <w:t xml:space="preserve">El mismo día se inaugurará una breve exposición de diseños argentino-marroquíes.  </w:t>
            </w:r>
            <w:r w:rsidR="00080878" w:rsidRPr="00C168C5">
              <w:rPr>
                <w:szCs w:val="22"/>
                <w:lang w:val="es-ES_tradnl"/>
              </w:rPr>
              <w:t>Igualmente</w:t>
            </w:r>
            <w:r w:rsidRPr="00C168C5">
              <w:rPr>
                <w:szCs w:val="22"/>
                <w:lang w:val="es-ES_tradnl"/>
              </w:rPr>
              <w:t xml:space="preserve"> se prevé un taller de intercambio de </w:t>
            </w:r>
            <w:r w:rsidR="00080878" w:rsidRPr="00C168C5">
              <w:rPr>
                <w:szCs w:val="22"/>
                <w:lang w:val="es-ES_tradnl"/>
              </w:rPr>
              <w:t>conocimientos</w:t>
            </w:r>
            <w:r w:rsidRPr="00C168C5">
              <w:rPr>
                <w:szCs w:val="22"/>
                <w:lang w:val="es-ES_tradnl"/>
              </w:rPr>
              <w:t xml:space="preserve"> entre ambos países piloto</w:t>
            </w:r>
            <w:r w:rsidR="00C91693" w:rsidRPr="00C168C5">
              <w:rPr>
                <w:szCs w:val="22"/>
                <w:lang w:val="es-ES_tradnl"/>
              </w:rPr>
              <w:t>.</w:t>
            </w:r>
          </w:p>
          <w:p w14:paraId="4C017DA7" w14:textId="77777777" w:rsidR="00C91693" w:rsidRPr="00C168C5" w:rsidRDefault="00C91693" w:rsidP="00243943">
            <w:pPr>
              <w:rPr>
                <w:szCs w:val="22"/>
                <w:lang w:val="es-ES_tradnl"/>
              </w:rPr>
            </w:pPr>
          </w:p>
          <w:p w14:paraId="703E4DDA" w14:textId="750E1E6A" w:rsidR="00C91693" w:rsidRPr="00C168C5" w:rsidRDefault="00040767" w:rsidP="00903EA9">
            <w:pPr>
              <w:numPr>
                <w:ilvl w:val="0"/>
                <w:numId w:val="15"/>
              </w:numPr>
              <w:ind w:left="0" w:firstLine="0"/>
              <w:rPr>
                <w:szCs w:val="22"/>
                <w:lang w:val="es-ES_tradnl"/>
              </w:rPr>
            </w:pPr>
            <w:r w:rsidRPr="00C168C5">
              <w:rPr>
                <w:szCs w:val="22"/>
                <w:lang w:val="es-ES_tradnl"/>
              </w:rPr>
              <w:t xml:space="preserve">Para la próxima edición del programa DiseñAr </w:t>
            </w:r>
            <w:r w:rsidR="00AF242D" w:rsidRPr="00C168C5">
              <w:rPr>
                <w:szCs w:val="22"/>
                <w:lang w:val="es-ES_tradnl"/>
              </w:rPr>
              <w:t xml:space="preserve">de </w:t>
            </w:r>
            <w:r w:rsidRPr="00C168C5">
              <w:rPr>
                <w:szCs w:val="22"/>
                <w:lang w:val="es-ES_tradnl"/>
              </w:rPr>
              <w:t>2016, se hará una publicación sobre éste</w:t>
            </w:r>
            <w:r w:rsidR="00C91693" w:rsidRPr="00C168C5">
              <w:rPr>
                <w:szCs w:val="22"/>
                <w:lang w:val="es-ES_tradnl"/>
              </w:rPr>
              <w:t>,</w:t>
            </w:r>
            <w:r w:rsidRPr="00C168C5">
              <w:rPr>
                <w:szCs w:val="22"/>
                <w:lang w:val="es-ES_tradnl"/>
              </w:rPr>
              <w:t xml:space="preserve"> las buenas prácticas y los siguientes pasos</w:t>
            </w:r>
            <w:r w:rsidR="00C91693" w:rsidRPr="00C168C5">
              <w:rPr>
                <w:szCs w:val="22"/>
                <w:lang w:val="es-ES_tradnl"/>
              </w:rPr>
              <w:t>.</w:t>
            </w:r>
          </w:p>
          <w:p w14:paraId="213D8A66" w14:textId="77777777" w:rsidR="00C91693" w:rsidRPr="00C168C5" w:rsidRDefault="00C91693" w:rsidP="00243943">
            <w:pPr>
              <w:rPr>
                <w:szCs w:val="22"/>
                <w:lang w:val="es-ES_tradnl"/>
              </w:rPr>
            </w:pPr>
          </w:p>
          <w:p w14:paraId="50F33B9A" w14:textId="61A8807E" w:rsidR="00C91693" w:rsidRPr="00C168C5" w:rsidRDefault="000B16D8" w:rsidP="00903EA9">
            <w:pPr>
              <w:numPr>
                <w:ilvl w:val="0"/>
                <w:numId w:val="15"/>
              </w:numPr>
              <w:ind w:left="0" w:firstLine="0"/>
              <w:rPr>
                <w:szCs w:val="22"/>
                <w:lang w:val="es-ES_tradnl"/>
              </w:rPr>
            </w:pPr>
            <w:r w:rsidRPr="00C168C5">
              <w:rPr>
                <w:szCs w:val="22"/>
                <w:lang w:val="es-ES_tradnl"/>
              </w:rPr>
              <w:t xml:space="preserve">En la etapa final del proyecto se organizarán en ambos países talleres de fortalecimiento de capacidades para las </w:t>
            </w:r>
            <w:r w:rsidR="00E335F9">
              <w:rPr>
                <w:szCs w:val="22"/>
                <w:lang w:val="es-ES_tradnl"/>
              </w:rPr>
              <w:t>pymes</w:t>
            </w:r>
            <w:r w:rsidRPr="00C168C5">
              <w:rPr>
                <w:szCs w:val="22"/>
                <w:lang w:val="es-ES_tradnl"/>
              </w:rPr>
              <w:t xml:space="preserve"> beneficiarias</w:t>
            </w:r>
            <w:r w:rsidR="00C91693" w:rsidRPr="00C168C5">
              <w:rPr>
                <w:szCs w:val="22"/>
                <w:lang w:val="es-ES_tradnl"/>
              </w:rPr>
              <w:t>.</w:t>
            </w:r>
          </w:p>
          <w:p w14:paraId="1E4266E7" w14:textId="77777777" w:rsidR="00C91693" w:rsidRPr="00C168C5" w:rsidRDefault="00C91693" w:rsidP="00243943">
            <w:pPr>
              <w:rPr>
                <w:szCs w:val="22"/>
                <w:lang w:val="es-ES_tradnl"/>
              </w:rPr>
            </w:pPr>
          </w:p>
          <w:p w14:paraId="74726B3B" w14:textId="6955FA7E" w:rsidR="00C91693" w:rsidRPr="00C168C5" w:rsidRDefault="00B52588" w:rsidP="00903EA9">
            <w:pPr>
              <w:numPr>
                <w:ilvl w:val="0"/>
                <w:numId w:val="15"/>
              </w:numPr>
              <w:ind w:left="0" w:firstLine="0"/>
              <w:rPr>
                <w:szCs w:val="22"/>
                <w:lang w:val="es-ES_tradnl"/>
              </w:rPr>
            </w:pPr>
            <w:r w:rsidRPr="00C168C5">
              <w:rPr>
                <w:szCs w:val="22"/>
                <w:lang w:val="es-ES_tradnl"/>
              </w:rPr>
              <w:t>Se celebrará en ambos países un acto final del proyecto piloto, en que se intercambiarán experiencias entre las empresas beneficiarias</w:t>
            </w:r>
            <w:r w:rsidR="00C91693" w:rsidRPr="00C168C5">
              <w:rPr>
                <w:szCs w:val="22"/>
                <w:lang w:val="es-ES_tradnl"/>
              </w:rPr>
              <w:t>.</w:t>
            </w:r>
          </w:p>
          <w:p w14:paraId="6488A2EE" w14:textId="77777777" w:rsidR="00C91693" w:rsidRPr="00C168C5" w:rsidRDefault="00C91693" w:rsidP="00243943">
            <w:pPr>
              <w:rPr>
                <w:szCs w:val="22"/>
                <w:lang w:val="es-ES_tradnl"/>
              </w:rPr>
            </w:pPr>
          </w:p>
        </w:tc>
      </w:tr>
      <w:tr w:rsidR="00C91693" w:rsidRPr="00C168C5" w14:paraId="365FD3D9" w14:textId="77777777" w:rsidTr="00243943">
        <w:trPr>
          <w:trHeight w:val="1407"/>
        </w:trPr>
        <w:tc>
          <w:tcPr>
            <w:tcW w:w="2358" w:type="dxa"/>
            <w:shd w:val="clear" w:color="auto" w:fill="auto"/>
          </w:tcPr>
          <w:p w14:paraId="5C48809C" w14:textId="77777777" w:rsidR="00C91693" w:rsidRPr="00C168C5" w:rsidRDefault="00C91693" w:rsidP="00243943">
            <w:pPr>
              <w:rPr>
                <w:bCs/>
                <w:szCs w:val="22"/>
                <w:u w:val="single"/>
                <w:lang w:val="es-ES_tradnl"/>
              </w:rPr>
            </w:pPr>
          </w:p>
          <w:p w14:paraId="647ABF74" w14:textId="256A593B" w:rsidR="00C91693" w:rsidRPr="00C168C5" w:rsidRDefault="001A7948" w:rsidP="00243943">
            <w:pPr>
              <w:rPr>
                <w:bCs/>
                <w:szCs w:val="22"/>
                <w:u w:val="single"/>
                <w:lang w:val="es-ES_tradnl"/>
              </w:rPr>
            </w:pPr>
            <w:r w:rsidRPr="00C168C5">
              <w:rPr>
                <w:bCs/>
                <w:szCs w:val="22"/>
                <w:u w:val="single"/>
                <w:lang w:val="es-ES_tradnl"/>
              </w:rPr>
              <w:t xml:space="preserve">Calendario de ejecución </w:t>
            </w:r>
            <w:r w:rsidR="00C91693" w:rsidRPr="00C168C5">
              <w:rPr>
                <w:bCs/>
                <w:szCs w:val="22"/>
                <w:u w:val="single"/>
                <w:lang w:val="es-ES_tradnl"/>
              </w:rPr>
              <w:t>(</w:t>
            </w:r>
            <w:r w:rsidRPr="00C168C5">
              <w:rPr>
                <w:bCs/>
                <w:szCs w:val="22"/>
                <w:u w:val="single"/>
                <w:lang w:val="es-ES_tradnl"/>
              </w:rPr>
              <w:t>para los siguientes pasos anteriormente mencionados</w:t>
            </w:r>
            <w:r w:rsidR="00C91693" w:rsidRPr="00C168C5">
              <w:rPr>
                <w:bCs/>
                <w:szCs w:val="22"/>
                <w:u w:val="single"/>
                <w:lang w:val="es-ES_tradnl"/>
              </w:rPr>
              <w:t>)</w:t>
            </w:r>
          </w:p>
          <w:p w14:paraId="540FBCBA" w14:textId="77777777" w:rsidR="00C91693" w:rsidRPr="00C168C5" w:rsidRDefault="00C91693" w:rsidP="00243943">
            <w:pPr>
              <w:rPr>
                <w:bCs/>
                <w:szCs w:val="22"/>
                <w:u w:val="single"/>
                <w:lang w:val="es-ES_tradnl"/>
              </w:rPr>
            </w:pPr>
          </w:p>
        </w:tc>
        <w:tc>
          <w:tcPr>
            <w:tcW w:w="6930" w:type="dxa"/>
          </w:tcPr>
          <w:p w14:paraId="7AC80183" w14:textId="77777777" w:rsidR="00C91693" w:rsidRPr="00C168C5" w:rsidRDefault="00C91693" w:rsidP="00243943">
            <w:pPr>
              <w:rPr>
                <w:iCs/>
                <w:szCs w:val="22"/>
                <w:lang w:val="es-ES_tradnl"/>
              </w:rPr>
            </w:pPr>
          </w:p>
          <w:p w14:paraId="65EEE58A" w14:textId="34794C32" w:rsidR="00C91693" w:rsidRPr="00C168C5" w:rsidRDefault="00F7575D" w:rsidP="00243943">
            <w:pPr>
              <w:rPr>
                <w:iCs/>
                <w:szCs w:val="22"/>
                <w:lang w:val="es-ES_tradnl"/>
              </w:rPr>
            </w:pPr>
            <w:r w:rsidRPr="00C168C5">
              <w:rPr>
                <w:iCs/>
                <w:szCs w:val="22"/>
                <w:lang w:val="es-ES_tradnl"/>
              </w:rPr>
              <w:t>1 de julio de 2015</w:t>
            </w:r>
            <w:r w:rsidR="00C91693" w:rsidRPr="00C168C5">
              <w:rPr>
                <w:iCs/>
                <w:szCs w:val="22"/>
                <w:lang w:val="es-ES_tradnl"/>
              </w:rPr>
              <w:t xml:space="preserve"> – </w:t>
            </w:r>
            <w:r w:rsidRPr="00C168C5">
              <w:rPr>
                <w:iCs/>
                <w:szCs w:val="22"/>
                <w:lang w:val="es-ES_tradnl"/>
              </w:rPr>
              <w:t>14 de mayo de</w:t>
            </w:r>
            <w:r w:rsidR="00C91693" w:rsidRPr="00C168C5">
              <w:rPr>
                <w:iCs/>
                <w:szCs w:val="22"/>
                <w:lang w:val="es-ES_tradnl"/>
              </w:rPr>
              <w:t xml:space="preserve"> 2016. </w:t>
            </w:r>
            <w:r w:rsidR="0078188C" w:rsidRPr="00C168C5">
              <w:rPr>
                <w:iCs/>
                <w:szCs w:val="22"/>
                <w:lang w:val="es-ES_tradnl"/>
              </w:rPr>
              <w:t xml:space="preserve"> Este proyecto piloto de dos años comenzó en abril de 2015</w:t>
            </w:r>
            <w:r w:rsidR="00C91693" w:rsidRPr="00C168C5">
              <w:rPr>
                <w:iCs/>
                <w:szCs w:val="22"/>
                <w:lang w:val="es-ES_tradnl"/>
              </w:rPr>
              <w:t xml:space="preserve"> </w:t>
            </w:r>
            <w:r w:rsidR="0078188C" w:rsidRPr="00C168C5">
              <w:rPr>
                <w:iCs/>
                <w:szCs w:val="22"/>
                <w:lang w:val="es-ES_tradnl"/>
              </w:rPr>
              <w:t xml:space="preserve">en lugar de en enero del mismo año, ya que resultaba esencial contar con un </w:t>
            </w:r>
            <w:r w:rsidR="00DF48EC" w:rsidRPr="00C168C5">
              <w:rPr>
                <w:iCs/>
                <w:szCs w:val="22"/>
                <w:lang w:val="es-ES_tradnl"/>
              </w:rPr>
              <w:t xml:space="preserve"> sólido </w:t>
            </w:r>
            <w:r w:rsidR="0078188C" w:rsidRPr="00C168C5">
              <w:rPr>
                <w:iCs/>
                <w:szCs w:val="22"/>
                <w:lang w:val="es-ES_tradnl"/>
              </w:rPr>
              <w:t>proceso de contratación de su director, basado en criterios de selección</w:t>
            </w:r>
            <w:r w:rsidR="00C91693" w:rsidRPr="00C168C5">
              <w:rPr>
                <w:iCs/>
                <w:szCs w:val="22"/>
                <w:lang w:val="es-ES_tradnl"/>
              </w:rPr>
              <w:t xml:space="preserve">.  </w:t>
            </w:r>
            <w:r w:rsidR="0078188C" w:rsidRPr="00C168C5">
              <w:rPr>
                <w:iCs/>
                <w:szCs w:val="22"/>
                <w:lang w:val="es-ES_tradnl"/>
              </w:rPr>
              <w:t xml:space="preserve"> Además, </w:t>
            </w:r>
            <w:r w:rsidR="00B307E3" w:rsidRPr="00C168C5">
              <w:rPr>
                <w:iCs/>
                <w:szCs w:val="22"/>
                <w:lang w:val="es-ES_tradnl"/>
              </w:rPr>
              <w:t xml:space="preserve">con el fin de paliar los riesgos asociados a la ejecución de la estrategia de salida, es </w:t>
            </w:r>
            <w:r w:rsidR="00EA06A2">
              <w:rPr>
                <w:iCs/>
                <w:szCs w:val="22"/>
                <w:lang w:val="es-ES_tradnl"/>
              </w:rPr>
              <w:t>importante</w:t>
            </w:r>
            <w:r w:rsidR="00B307E3" w:rsidRPr="00C168C5">
              <w:rPr>
                <w:iCs/>
                <w:szCs w:val="22"/>
                <w:lang w:val="es-ES_tradnl"/>
              </w:rPr>
              <w:t xml:space="preserve"> que la OMPI continúe aportando a ambos países su</w:t>
            </w:r>
            <w:r w:rsidR="00DF48EC" w:rsidRPr="00C168C5">
              <w:rPr>
                <w:iCs/>
                <w:szCs w:val="22"/>
                <w:lang w:val="es-ES_tradnl"/>
              </w:rPr>
              <w:t xml:space="preserve"> asistencia técnica durante esa</w:t>
            </w:r>
            <w:r w:rsidR="00B307E3" w:rsidRPr="00C168C5">
              <w:rPr>
                <w:iCs/>
                <w:szCs w:val="22"/>
                <w:lang w:val="es-ES_tradnl"/>
              </w:rPr>
              <w:t xml:space="preserve"> fase decisiva</w:t>
            </w:r>
            <w:r w:rsidR="00C91693" w:rsidRPr="00C168C5">
              <w:rPr>
                <w:iCs/>
                <w:szCs w:val="22"/>
                <w:lang w:val="es-ES_tradnl"/>
              </w:rPr>
              <w:t>,</w:t>
            </w:r>
            <w:r w:rsidR="00B307E3" w:rsidRPr="00C168C5">
              <w:rPr>
                <w:iCs/>
                <w:szCs w:val="22"/>
                <w:lang w:val="es-ES_tradnl"/>
              </w:rPr>
              <w:t xml:space="preserve"> con el fin de asegurar sus efectos a largo plazo</w:t>
            </w:r>
            <w:r w:rsidR="00C91693" w:rsidRPr="00C168C5">
              <w:rPr>
                <w:iCs/>
                <w:szCs w:val="22"/>
                <w:lang w:val="es-ES_tradnl"/>
              </w:rPr>
              <w:t xml:space="preserve">.  </w:t>
            </w:r>
            <w:r w:rsidR="00B307E3" w:rsidRPr="00C168C5">
              <w:rPr>
                <w:iCs/>
                <w:szCs w:val="22"/>
                <w:lang w:val="es-ES_tradnl"/>
              </w:rPr>
              <w:t>Por último, será importante aprovechar la contribución que haga el director del proyecto piloto a la evacuación independien</w:t>
            </w:r>
            <w:r w:rsidR="00DF48EC" w:rsidRPr="00C168C5">
              <w:rPr>
                <w:iCs/>
                <w:szCs w:val="22"/>
                <w:lang w:val="es-ES_tradnl"/>
              </w:rPr>
              <w:t>te del mismo prevista para 2016.</w:t>
            </w:r>
          </w:p>
          <w:p w14:paraId="18E8CF27" w14:textId="77777777" w:rsidR="00C91693" w:rsidRPr="00C168C5" w:rsidRDefault="00C91693" w:rsidP="00243943">
            <w:pPr>
              <w:rPr>
                <w:iCs/>
                <w:szCs w:val="22"/>
                <w:lang w:val="es-ES_tradnl"/>
              </w:rPr>
            </w:pPr>
          </w:p>
        </w:tc>
      </w:tr>
      <w:tr w:rsidR="00C91693" w:rsidRPr="00C168C5" w14:paraId="087254E0" w14:textId="77777777" w:rsidTr="00243943">
        <w:trPr>
          <w:trHeight w:val="848"/>
        </w:trPr>
        <w:tc>
          <w:tcPr>
            <w:tcW w:w="2358" w:type="dxa"/>
            <w:shd w:val="clear" w:color="auto" w:fill="auto"/>
          </w:tcPr>
          <w:p w14:paraId="154F0D04" w14:textId="77777777" w:rsidR="00C91693" w:rsidRPr="00C168C5" w:rsidRDefault="00C91693" w:rsidP="00243943">
            <w:pPr>
              <w:rPr>
                <w:bCs/>
                <w:szCs w:val="22"/>
                <w:u w:val="single"/>
                <w:lang w:val="es-ES_tradnl"/>
              </w:rPr>
            </w:pPr>
          </w:p>
          <w:p w14:paraId="36588635" w14:textId="49EB8CAB" w:rsidR="00C91693" w:rsidRPr="00C168C5" w:rsidRDefault="00EB0A96" w:rsidP="006F7557">
            <w:pPr>
              <w:rPr>
                <w:bCs/>
                <w:szCs w:val="22"/>
                <w:u w:val="single"/>
                <w:lang w:val="es-ES_tradnl"/>
              </w:rPr>
            </w:pPr>
            <w:r w:rsidRPr="00C168C5">
              <w:rPr>
                <w:rFonts w:eastAsia="Times New Roman"/>
                <w:szCs w:val="22"/>
                <w:u w:val="single"/>
                <w:lang w:val="es-ES_tradnl" w:eastAsia="en-US"/>
              </w:rPr>
              <w:t xml:space="preserve">Porcentaje de ejecución del proyecto </w:t>
            </w:r>
          </w:p>
        </w:tc>
        <w:tc>
          <w:tcPr>
            <w:tcW w:w="6930" w:type="dxa"/>
          </w:tcPr>
          <w:p w14:paraId="7D216BD4" w14:textId="77777777" w:rsidR="00C91693" w:rsidRPr="00C168C5" w:rsidRDefault="00C91693" w:rsidP="00243943">
            <w:pPr>
              <w:rPr>
                <w:lang w:val="es-ES_tradnl"/>
              </w:rPr>
            </w:pPr>
          </w:p>
          <w:p w14:paraId="5DBC2225" w14:textId="6C805941" w:rsidR="00C91693" w:rsidRPr="00C168C5" w:rsidRDefault="00EB0A96" w:rsidP="00243943">
            <w:pPr>
              <w:rPr>
                <w:iCs/>
                <w:szCs w:val="22"/>
                <w:lang w:val="es-ES_tradnl"/>
              </w:rPr>
            </w:pPr>
            <w:r w:rsidRPr="00C168C5">
              <w:rPr>
                <w:szCs w:val="22"/>
                <w:lang w:val="es-ES_tradnl"/>
              </w:rPr>
              <w:t xml:space="preserve">Porcentaje de utilización del presupuesto a finales de julio de 2015:  </w:t>
            </w:r>
            <w:r w:rsidR="00293BFD">
              <w:rPr>
                <w:lang w:val="es-ES_tradnl"/>
              </w:rPr>
              <w:t>35%</w:t>
            </w:r>
          </w:p>
          <w:p w14:paraId="1576C50E" w14:textId="77777777" w:rsidR="00C91693" w:rsidRPr="00C168C5" w:rsidRDefault="00C91693" w:rsidP="00243943">
            <w:pPr>
              <w:rPr>
                <w:iCs/>
                <w:szCs w:val="22"/>
                <w:lang w:val="es-ES_tradnl"/>
              </w:rPr>
            </w:pPr>
          </w:p>
        </w:tc>
      </w:tr>
      <w:tr w:rsidR="00C91693" w:rsidRPr="00C168C5" w14:paraId="016C1966" w14:textId="77777777" w:rsidTr="00514DA1">
        <w:trPr>
          <w:trHeight w:val="416"/>
        </w:trPr>
        <w:tc>
          <w:tcPr>
            <w:tcW w:w="2358" w:type="dxa"/>
            <w:shd w:val="clear" w:color="auto" w:fill="auto"/>
          </w:tcPr>
          <w:p w14:paraId="252EBDFD" w14:textId="77777777" w:rsidR="00C91693" w:rsidRPr="00C168C5" w:rsidRDefault="00C91693" w:rsidP="00243943">
            <w:pPr>
              <w:rPr>
                <w:bCs/>
                <w:szCs w:val="22"/>
                <w:u w:val="single"/>
                <w:lang w:val="es-ES_tradnl"/>
              </w:rPr>
            </w:pPr>
          </w:p>
          <w:p w14:paraId="0D3B579F" w14:textId="6DE37525" w:rsidR="00C91693" w:rsidRPr="00C168C5" w:rsidRDefault="00EB0A96" w:rsidP="00EB0A96">
            <w:pPr>
              <w:rPr>
                <w:bCs/>
                <w:szCs w:val="22"/>
                <w:u w:val="single"/>
                <w:lang w:val="es-ES_tradnl"/>
              </w:rPr>
            </w:pPr>
            <w:r w:rsidRPr="00C168C5">
              <w:rPr>
                <w:bCs/>
                <w:szCs w:val="22"/>
                <w:u w:val="single"/>
                <w:lang w:val="es-ES_tradnl"/>
              </w:rPr>
              <w:t>Informes/</w:t>
            </w:r>
            <w:r w:rsidR="00080878" w:rsidRPr="00C168C5">
              <w:rPr>
                <w:bCs/>
                <w:szCs w:val="22"/>
                <w:u w:val="single"/>
                <w:lang w:val="es-ES_tradnl"/>
              </w:rPr>
              <w:t>documentos</w:t>
            </w:r>
            <w:r w:rsidRPr="00C168C5">
              <w:rPr>
                <w:bCs/>
                <w:szCs w:val="22"/>
                <w:u w:val="single"/>
                <w:lang w:val="es-ES_tradnl"/>
              </w:rPr>
              <w:t xml:space="preserve"> previos</w:t>
            </w:r>
            <w:r w:rsidR="00C91693" w:rsidRPr="00C168C5">
              <w:rPr>
                <w:bCs/>
                <w:szCs w:val="22"/>
                <w:u w:val="single"/>
                <w:lang w:val="es-ES_tradnl"/>
              </w:rPr>
              <w:t xml:space="preserve"> </w:t>
            </w:r>
          </w:p>
        </w:tc>
        <w:tc>
          <w:tcPr>
            <w:tcW w:w="6930" w:type="dxa"/>
          </w:tcPr>
          <w:p w14:paraId="389D37E4" w14:textId="77777777" w:rsidR="00C91693" w:rsidRPr="00C168C5" w:rsidRDefault="00C91693" w:rsidP="00243943">
            <w:pPr>
              <w:rPr>
                <w:b/>
                <w:iCs/>
                <w:szCs w:val="22"/>
                <w:lang w:val="es-ES_tradnl"/>
              </w:rPr>
            </w:pPr>
          </w:p>
          <w:p w14:paraId="057C022D" w14:textId="787687EA" w:rsidR="00C91693" w:rsidRPr="00C168C5" w:rsidRDefault="00DF5B96" w:rsidP="00514DA1">
            <w:pPr>
              <w:rPr>
                <w:iCs/>
                <w:szCs w:val="22"/>
                <w:lang w:val="es-ES_tradnl"/>
              </w:rPr>
            </w:pPr>
            <w:r w:rsidRPr="00C168C5">
              <w:rPr>
                <w:iCs/>
                <w:szCs w:val="22"/>
                <w:lang w:val="es-ES_tradnl"/>
              </w:rPr>
              <w:t xml:space="preserve">El primer informe sobre la marcha del proyecto, contenido en el documento CDIP/14/2, Anexo VI, fue presentado en la </w:t>
            </w:r>
            <w:r w:rsidR="00073DFF">
              <w:rPr>
                <w:iCs/>
                <w:szCs w:val="22"/>
                <w:lang w:val="es-ES_tradnl"/>
              </w:rPr>
              <w:t>decimo</w:t>
            </w:r>
            <w:r w:rsidR="003F22F6" w:rsidRPr="00C168C5">
              <w:rPr>
                <w:iCs/>
                <w:szCs w:val="22"/>
                <w:lang w:val="es-ES_tradnl"/>
              </w:rPr>
              <w:t>cuarta</w:t>
            </w:r>
            <w:r w:rsidR="00514DA1" w:rsidRPr="00C168C5">
              <w:rPr>
                <w:iCs/>
                <w:szCs w:val="22"/>
                <w:lang w:val="es-ES_tradnl"/>
              </w:rPr>
              <w:t xml:space="preserve"> </w:t>
            </w:r>
            <w:r w:rsidRPr="00C168C5">
              <w:rPr>
                <w:iCs/>
                <w:szCs w:val="22"/>
                <w:lang w:val="es-ES_tradnl"/>
              </w:rPr>
              <w:t xml:space="preserve">sesión del CDIP, celebrada en noviembre de </w:t>
            </w:r>
            <w:r w:rsidR="00C91693" w:rsidRPr="00C168C5">
              <w:rPr>
                <w:iCs/>
                <w:szCs w:val="22"/>
                <w:lang w:val="es-ES_tradnl"/>
              </w:rPr>
              <w:t>2014.</w:t>
            </w:r>
          </w:p>
        </w:tc>
      </w:tr>
    </w:tbl>
    <w:p w14:paraId="2B170622" w14:textId="0BA629A0" w:rsidR="00C91693" w:rsidRPr="00C168C5" w:rsidRDefault="00C91693" w:rsidP="00C91693">
      <w:pPr>
        <w:rPr>
          <w:lang w:val="es-ES_tradnl"/>
        </w:rPr>
      </w:pPr>
    </w:p>
    <w:p w14:paraId="2D5317C1" w14:textId="1C4DDE0A" w:rsidR="00C91693" w:rsidRPr="00C168C5" w:rsidRDefault="002F7F90" w:rsidP="00C91693">
      <w:pPr>
        <w:rPr>
          <w:szCs w:val="22"/>
          <w:lang w:val="es-ES_tradnl"/>
        </w:rPr>
      </w:pPr>
      <w:r w:rsidRPr="00C168C5">
        <w:rPr>
          <w:rFonts w:eastAsia="Times New Roman"/>
          <w:lang w:val="es-ES_tradnl" w:eastAsia="en-US"/>
        </w:rPr>
        <w:t>EVALUACIÓN INTERNA DEL PROYECTO</w:t>
      </w:r>
      <w:r w:rsidRPr="00C168C5">
        <w:rPr>
          <w:szCs w:val="22"/>
          <w:lang w:val="es-ES_tradnl"/>
        </w:rPr>
        <w:t xml:space="preserve"> </w:t>
      </w:r>
    </w:p>
    <w:p w14:paraId="67C3178C" w14:textId="77777777" w:rsidR="00C91693" w:rsidRPr="00C168C5" w:rsidRDefault="00C91693" w:rsidP="00C91693">
      <w:pPr>
        <w:rPr>
          <w:szCs w:val="22"/>
          <w:lang w:val="es-ES_tradnl"/>
        </w:rPr>
      </w:pPr>
    </w:p>
    <w:p w14:paraId="426B428B" w14:textId="7029179C" w:rsidR="00C91693" w:rsidRPr="00C168C5" w:rsidRDefault="002F7F90" w:rsidP="00C91693">
      <w:pPr>
        <w:rPr>
          <w:rFonts w:eastAsia="Times New Roman"/>
          <w:lang w:val="es-ES_tradnl" w:eastAsia="en-US"/>
        </w:rPr>
      </w:pPr>
      <w:r w:rsidRPr="00C168C5">
        <w:rPr>
          <w:rFonts w:eastAsia="Times New Roman"/>
          <w:lang w:val="es-ES_tradnl" w:eastAsia="en-US"/>
        </w:rPr>
        <w:t>Clave de los colores</w:t>
      </w:r>
    </w:p>
    <w:p w14:paraId="27E4A737" w14:textId="77777777" w:rsidR="00C91693" w:rsidRPr="00C168C5" w:rsidRDefault="00C91693" w:rsidP="00C91693">
      <w:pPr>
        <w:rPr>
          <w:szCs w:val="22"/>
          <w:lang w:val="es-ES_tradnl"/>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965"/>
        <w:gridCol w:w="1727"/>
        <w:gridCol w:w="2563"/>
      </w:tblGrid>
      <w:tr w:rsidR="00C91693" w:rsidRPr="00C168C5" w14:paraId="20641654" w14:textId="77777777" w:rsidTr="00243943">
        <w:trPr>
          <w:trHeight w:val="469"/>
        </w:trPr>
        <w:tc>
          <w:tcPr>
            <w:tcW w:w="1416" w:type="dxa"/>
            <w:shd w:val="clear" w:color="auto" w:fill="auto"/>
            <w:vAlign w:val="center"/>
          </w:tcPr>
          <w:p w14:paraId="09EF9EDC" w14:textId="77777777" w:rsidR="00C91693" w:rsidRPr="00C168C5" w:rsidRDefault="00C91693" w:rsidP="00243943">
            <w:pPr>
              <w:rPr>
                <w:szCs w:val="22"/>
                <w:lang w:val="es-ES_tradnl"/>
              </w:rPr>
            </w:pPr>
            <w:r w:rsidRPr="00C168C5">
              <w:rPr>
                <w:szCs w:val="22"/>
                <w:lang w:val="es-ES_tradnl"/>
              </w:rPr>
              <w:t>****</w:t>
            </w:r>
          </w:p>
        </w:tc>
        <w:tc>
          <w:tcPr>
            <w:tcW w:w="1677" w:type="dxa"/>
            <w:shd w:val="clear" w:color="auto" w:fill="auto"/>
            <w:vAlign w:val="center"/>
          </w:tcPr>
          <w:p w14:paraId="48AE020A" w14:textId="77777777" w:rsidR="00C91693" w:rsidRPr="00C168C5" w:rsidRDefault="00C91693" w:rsidP="00243943">
            <w:pPr>
              <w:rPr>
                <w:szCs w:val="22"/>
                <w:lang w:val="es-ES_tradnl"/>
              </w:rPr>
            </w:pPr>
            <w:r w:rsidRPr="00C168C5">
              <w:rPr>
                <w:szCs w:val="22"/>
                <w:lang w:val="es-ES_tradnl"/>
              </w:rPr>
              <w:t>***</w:t>
            </w:r>
          </w:p>
        </w:tc>
        <w:tc>
          <w:tcPr>
            <w:tcW w:w="1965" w:type="dxa"/>
            <w:shd w:val="clear" w:color="auto" w:fill="auto"/>
            <w:vAlign w:val="center"/>
          </w:tcPr>
          <w:p w14:paraId="5691023D" w14:textId="77777777" w:rsidR="00C91693" w:rsidRPr="00C168C5" w:rsidRDefault="00C91693" w:rsidP="00243943">
            <w:pPr>
              <w:rPr>
                <w:szCs w:val="22"/>
                <w:lang w:val="es-ES_tradnl"/>
              </w:rPr>
            </w:pPr>
            <w:r w:rsidRPr="00C168C5">
              <w:rPr>
                <w:szCs w:val="22"/>
                <w:lang w:val="es-ES_tradnl"/>
              </w:rPr>
              <w:t>**</w:t>
            </w:r>
          </w:p>
        </w:tc>
        <w:tc>
          <w:tcPr>
            <w:tcW w:w="1727" w:type="dxa"/>
            <w:shd w:val="clear" w:color="auto" w:fill="auto"/>
            <w:vAlign w:val="center"/>
          </w:tcPr>
          <w:p w14:paraId="140FB860" w14:textId="199FBAAD" w:rsidR="00C91693" w:rsidRPr="00C168C5" w:rsidRDefault="002F7F90" w:rsidP="00243943">
            <w:pPr>
              <w:rPr>
                <w:szCs w:val="22"/>
                <w:lang w:val="es-ES_tradnl"/>
              </w:rPr>
            </w:pPr>
            <w:r w:rsidRPr="00C168C5">
              <w:rPr>
                <w:szCs w:val="22"/>
                <w:lang w:val="es-ES_tradnl"/>
              </w:rPr>
              <w:t>NA</w:t>
            </w:r>
          </w:p>
        </w:tc>
        <w:tc>
          <w:tcPr>
            <w:tcW w:w="2563" w:type="dxa"/>
            <w:shd w:val="clear" w:color="auto" w:fill="auto"/>
            <w:vAlign w:val="center"/>
          </w:tcPr>
          <w:p w14:paraId="3A210907" w14:textId="48E9B233" w:rsidR="00C91693" w:rsidRPr="00C168C5" w:rsidRDefault="00992489" w:rsidP="00243943">
            <w:pPr>
              <w:rPr>
                <w:szCs w:val="22"/>
                <w:lang w:val="es-ES_tradnl"/>
              </w:rPr>
            </w:pPr>
            <w:r w:rsidRPr="00C168C5">
              <w:rPr>
                <w:rFonts w:eastAsia="Times New Roman"/>
                <w:lang w:val="es-ES_tradnl" w:eastAsia="en-US"/>
              </w:rPr>
              <w:t>SE/AI</w:t>
            </w:r>
          </w:p>
        </w:tc>
      </w:tr>
      <w:tr w:rsidR="00C91693" w:rsidRPr="00C168C5" w14:paraId="2F47432D" w14:textId="77777777" w:rsidTr="00243943">
        <w:tc>
          <w:tcPr>
            <w:tcW w:w="1416" w:type="dxa"/>
            <w:shd w:val="clear" w:color="auto" w:fill="auto"/>
          </w:tcPr>
          <w:p w14:paraId="3AB9649D" w14:textId="4CD4FBED" w:rsidR="00C91693" w:rsidRPr="00C168C5" w:rsidRDefault="00B94897" w:rsidP="00B94897">
            <w:pPr>
              <w:rPr>
                <w:szCs w:val="22"/>
                <w:lang w:val="es-ES_tradnl"/>
              </w:rPr>
            </w:pPr>
            <w:r w:rsidRPr="00C168C5">
              <w:rPr>
                <w:rFonts w:eastAsia="Times New Roman"/>
                <w:lang w:val="es-ES_tradnl" w:eastAsia="en-US"/>
              </w:rPr>
              <w:t>Plenamente logrado</w:t>
            </w:r>
          </w:p>
        </w:tc>
        <w:tc>
          <w:tcPr>
            <w:tcW w:w="1677" w:type="dxa"/>
            <w:shd w:val="clear" w:color="auto" w:fill="auto"/>
          </w:tcPr>
          <w:p w14:paraId="7555BB8A" w14:textId="4D765A80" w:rsidR="00C91693" w:rsidRPr="00C168C5" w:rsidRDefault="00B94897" w:rsidP="00B94897">
            <w:pPr>
              <w:rPr>
                <w:szCs w:val="22"/>
                <w:lang w:val="es-ES_tradnl"/>
              </w:rPr>
            </w:pPr>
            <w:r w:rsidRPr="00C168C5">
              <w:rPr>
                <w:rFonts w:eastAsia="Times New Roman"/>
                <w:lang w:val="es-ES_tradnl" w:eastAsia="en-US"/>
              </w:rPr>
              <w:t>Avance notable</w:t>
            </w:r>
            <w:r w:rsidRPr="00C168C5">
              <w:rPr>
                <w:szCs w:val="22"/>
                <w:lang w:val="es-ES_tradnl"/>
              </w:rPr>
              <w:t xml:space="preserve"> </w:t>
            </w:r>
          </w:p>
        </w:tc>
        <w:tc>
          <w:tcPr>
            <w:tcW w:w="1965" w:type="dxa"/>
            <w:shd w:val="clear" w:color="auto" w:fill="auto"/>
          </w:tcPr>
          <w:p w14:paraId="75089B89" w14:textId="4DCE000D" w:rsidR="00C91693" w:rsidRPr="00C168C5" w:rsidRDefault="00B94897" w:rsidP="00B94897">
            <w:pPr>
              <w:rPr>
                <w:szCs w:val="22"/>
                <w:lang w:val="es-ES_tradnl"/>
              </w:rPr>
            </w:pPr>
            <w:r w:rsidRPr="00C168C5">
              <w:rPr>
                <w:szCs w:val="22"/>
                <w:lang w:val="es-ES_tradnl"/>
              </w:rPr>
              <w:t>Avance</w:t>
            </w:r>
          </w:p>
        </w:tc>
        <w:tc>
          <w:tcPr>
            <w:tcW w:w="1727" w:type="dxa"/>
            <w:shd w:val="clear" w:color="auto" w:fill="auto"/>
          </w:tcPr>
          <w:p w14:paraId="6643C117" w14:textId="3BB65B09" w:rsidR="00C91693" w:rsidRPr="00C168C5" w:rsidRDefault="00C91693" w:rsidP="00B94897">
            <w:pPr>
              <w:rPr>
                <w:szCs w:val="22"/>
                <w:lang w:val="es-ES_tradnl"/>
              </w:rPr>
            </w:pPr>
            <w:r w:rsidRPr="00C168C5">
              <w:rPr>
                <w:szCs w:val="22"/>
                <w:lang w:val="es-ES_tradnl"/>
              </w:rPr>
              <w:t>N</w:t>
            </w:r>
            <w:r w:rsidR="00B94897" w:rsidRPr="00C168C5">
              <w:rPr>
                <w:szCs w:val="22"/>
                <w:lang w:val="es-ES_tradnl"/>
              </w:rPr>
              <w:t>ingún avance</w:t>
            </w:r>
          </w:p>
        </w:tc>
        <w:tc>
          <w:tcPr>
            <w:tcW w:w="2563" w:type="dxa"/>
            <w:shd w:val="clear" w:color="auto" w:fill="auto"/>
          </w:tcPr>
          <w:p w14:paraId="505385F7" w14:textId="04046DBC" w:rsidR="00C91693" w:rsidRPr="00C168C5" w:rsidRDefault="00B94897" w:rsidP="00243943">
            <w:pPr>
              <w:rPr>
                <w:szCs w:val="22"/>
                <w:lang w:val="es-ES_tradnl"/>
              </w:rPr>
            </w:pPr>
            <w:r w:rsidRPr="00C168C5">
              <w:rPr>
                <w:rFonts w:eastAsia="Times New Roman"/>
                <w:lang w:val="es-ES_tradnl" w:eastAsia="en-US"/>
              </w:rPr>
              <w:t xml:space="preserve">Sin evaluar /actividad </w:t>
            </w:r>
            <w:r w:rsidR="00992489" w:rsidRPr="00C168C5">
              <w:rPr>
                <w:rFonts w:eastAsia="Times New Roman"/>
                <w:lang w:val="es-ES_tradnl" w:eastAsia="en-US"/>
              </w:rPr>
              <w:t>interrumpida</w:t>
            </w:r>
          </w:p>
        </w:tc>
      </w:tr>
    </w:tbl>
    <w:p w14:paraId="5BE8E525" w14:textId="77777777" w:rsidR="00C91693" w:rsidRPr="00C168C5" w:rsidRDefault="00C91693" w:rsidP="00C91693">
      <w:pPr>
        <w:rPr>
          <w:szCs w:val="22"/>
          <w:lang w:val="es-ES_tradnl"/>
        </w:rPr>
      </w:pPr>
    </w:p>
    <w:tbl>
      <w:tblPr>
        <w:tblW w:w="9360" w:type="dxa"/>
        <w:tblInd w:w="18" w:type="dxa"/>
        <w:tblLayout w:type="fixed"/>
        <w:tblLook w:val="01E0" w:firstRow="1" w:lastRow="1" w:firstColumn="1" w:lastColumn="1" w:noHBand="0" w:noVBand="0"/>
      </w:tblPr>
      <w:tblGrid>
        <w:gridCol w:w="2358"/>
        <w:gridCol w:w="2694"/>
        <w:gridCol w:w="3228"/>
        <w:gridCol w:w="1080"/>
      </w:tblGrid>
      <w:tr w:rsidR="00C91693" w:rsidRPr="00C168C5" w14:paraId="566432A2" w14:textId="77777777" w:rsidTr="00243943">
        <w:trPr>
          <w:trHeight w:val="616"/>
          <w:tblHeader/>
        </w:trPr>
        <w:tc>
          <w:tcPr>
            <w:tcW w:w="2358" w:type="dxa"/>
            <w:tcBorders>
              <w:top w:val="single" w:sz="2" w:space="0" w:color="000000"/>
              <w:left w:val="single" w:sz="2" w:space="0" w:color="000000"/>
              <w:bottom w:val="single" w:sz="2" w:space="0" w:color="000000"/>
              <w:right w:val="single" w:sz="2" w:space="0" w:color="000000"/>
            </w:tcBorders>
            <w:shd w:val="clear" w:color="auto" w:fill="auto"/>
          </w:tcPr>
          <w:p w14:paraId="10ABA771" w14:textId="77777777" w:rsidR="00C91693" w:rsidRPr="00C168C5" w:rsidRDefault="00C91693" w:rsidP="00243943">
            <w:pPr>
              <w:rPr>
                <w:bCs/>
                <w:szCs w:val="22"/>
                <w:u w:val="single"/>
                <w:lang w:val="es-ES_tradnl"/>
              </w:rPr>
            </w:pPr>
          </w:p>
          <w:p w14:paraId="24435C37" w14:textId="4C614D12" w:rsidR="00C91693" w:rsidRPr="00C168C5" w:rsidRDefault="00C91693" w:rsidP="00B94897">
            <w:pPr>
              <w:rPr>
                <w:szCs w:val="22"/>
                <w:lang w:val="es-ES_tradnl"/>
              </w:rPr>
            </w:pPr>
            <w:r w:rsidRPr="00C168C5">
              <w:rPr>
                <w:bCs/>
                <w:szCs w:val="22"/>
                <w:u w:val="single"/>
                <w:lang w:val="es-ES_tradnl"/>
              </w:rPr>
              <w:t>Pro</w:t>
            </w:r>
            <w:r w:rsidR="00B94897" w:rsidRPr="00C168C5">
              <w:rPr>
                <w:bCs/>
                <w:szCs w:val="22"/>
                <w:u w:val="single"/>
                <w:lang w:val="es-ES_tradnl"/>
              </w:rPr>
              <w:t>ductos del proyecto</w:t>
            </w:r>
            <w:r w:rsidRPr="00C168C5">
              <w:rPr>
                <w:szCs w:val="22"/>
                <w:vertAlign w:val="superscript"/>
                <w:lang w:val="es-ES_tradnl"/>
              </w:rPr>
              <w:footnoteReference w:id="2"/>
            </w:r>
            <w:r w:rsidRPr="00C168C5">
              <w:rPr>
                <w:szCs w:val="22"/>
                <w:lang w:val="es-ES_tradnl"/>
              </w:rPr>
              <w:t xml:space="preserve"> </w:t>
            </w:r>
            <w:r w:rsidRPr="00C168C5">
              <w:rPr>
                <w:szCs w:val="22"/>
                <w:lang w:val="es-ES_tradnl"/>
              </w:rPr>
              <w:br/>
              <w:t>(</w:t>
            </w:r>
            <w:r w:rsidR="00B94897" w:rsidRPr="00C168C5">
              <w:rPr>
                <w:szCs w:val="22"/>
                <w:lang w:val="es-ES_tradnl"/>
              </w:rPr>
              <w:t>Resultado previsto</w:t>
            </w:r>
            <w:r w:rsidRPr="00C168C5">
              <w:rPr>
                <w:szCs w:val="22"/>
                <w:lang w:val="es-ES_tradnl"/>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356C5E" w14:textId="77777777" w:rsidR="00C91693" w:rsidRPr="00C168C5" w:rsidRDefault="00C91693" w:rsidP="00243943">
            <w:pPr>
              <w:rPr>
                <w:bCs/>
                <w:szCs w:val="22"/>
                <w:u w:val="single"/>
                <w:lang w:val="es-ES_tradnl"/>
              </w:rPr>
            </w:pPr>
          </w:p>
          <w:p w14:paraId="47B20C68" w14:textId="77777777" w:rsidR="00B94897" w:rsidRPr="00C168C5" w:rsidRDefault="00B94897" w:rsidP="00B94897">
            <w:pPr>
              <w:rPr>
                <w:rFonts w:eastAsia="Times New Roman"/>
                <w:u w:val="single"/>
                <w:lang w:val="es-ES_tradnl" w:eastAsia="en-US"/>
              </w:rPr>
            </w:pPr>
            <w:r w:rsidRPr="00C168C5">
              <w:rPr>
                <w:rFonts w:eastAsia="Times New Roman"/>
                <w:u w:val="single"/>
                <w:lang w:val="es-ES_tradnl" w:eastAsia="en-US"/>
              </w:rPr>
              <w:t>Indicadores de obtención de resultados</w:t>
            </w:r>
          </w:p>
          <w:p w14:paraId="1492C52E" w14:textId="77777777" w:rsidR="00B94897" w:rsidRPr="00C168C5" w:rsidRDefault="00B94897" w:rsidP="00B94897">
            <w:pPr>
              <w:rPr>
                <w:rFonts w:eastAsia="Times New Roman"/>
                <w:lang w:val="es-ES_tradnl" w:eastAsia="en-US"/>
              </w:rPr>
            </w:pPr>
            <w:r w:rsidRPr="00C168C5">
              <w:rPr>
                <w:rFonts w:eastAsia="Times New Roman"/>
                <w:lang w:val="es-ES_tradnl" w:eastAsia="en-US"/>
              </w:rPr>
              <w:t>(Indicadores de producto)</w:t>
            </w:r>
          </w:p>
          <w:p w14:paraId="60C19EFA" w14:textId="77777777" w:rsidR="00C91693" w:rsidRPr="00C168C5" w:rsidRDefault="00C91693" w:rsidP="00B94897">
            <w:pPr>
              <w:rPr>
                <w:szCs w:val="22"/>
                <w:lang w:val="es-ES_tradnl"/>
              </w:rPr>
            </w:pPr>
          </w:p>
        </w:tc>
        <w:tc>
          <w:tcPr>
            <w:tcW w:w="3228" w:type="dxa"/>
            <w:tcBorders>
              <w:top w:val="single" w:sz="2" w:space="0" w:color="000000"/>
              <w:left w:val="single" w:sz="2" w:space="0" w:color="000000"/>
              <w:bottom w:val="single" w:sz="2" w:space="0" w:color="000000"/>
              <w:right w:val="single" w:sz="2" w:space="0" w:color="000000"/>
            </w:tcBorders>
            <w:shd w:val="clear" w:color="auto" w:fill="auto"/>
          </w:tcPr>
          <w:p w14:paraId="7EFCCF3B" w14:textId="77777777" w:rsidR="00C91693" w:rsidRPr="00C168C5" w:rsidRDefault="00C91693" w:rsidP="00243943">
            <w:pPr>
              <w:rPr>
                <w:bCs/>
                <w:szCs w:val="22"/>
                <w:u w:val="single"/>
                <w:lang w:val="es-ES_tradnl"/>
              </w:rPr>
            </w:pPr>
          </w:p>
          <w:p w14:paraId="43A718A6" w14:textId="2982C140" w:rsidR="00C91693" w:rsidRPr="00C168C5" w:rsidRDefault="00B94897" w:rsidP="00B94897">
            <w:pPr>
              <w:rPr>
                <w:bCs/>
                <w:szCs w:val="22"/>
                <w:u w:val="single"/>
                <w:lang w:val="es-ES_tradnl"/>
              </w:rPr>
            </w:pPr>
            <w:r w:rsidRPr="00C168C5">
              <w:rPr>
                <w:bCs/>
                <w:szCs w:val="26"/>
                <w:u w:val="single"/>
                <w:lang w:val="es-ES_tradnl" w:eastAsia="en-US"/>
              </w:rPr>
              <w:t>Datos sobre el rendimiento</w:t>
            </w:r>
            <w:r w:rsidRPr="00C168C5">
              <w:rPr>
                <w:bCs/>
                <w:szCs w:val="22"/>
                <w:u w:val="single"/>
                <w:lang w:val="es-ES_tradnl"/>
              </w:rPr>
              <w:t xml:space="preserve">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C6968D9" w14:textId="77777777" w:rsidR="00C91693" w:rsidRPr="00C168C5" w:rsidRDefault="00C91693" w:rsidP="00243943">
            <w:pPr>
              <w:rPr>
                <w:bCs/>
                <w:szCs w:val="22"/>
                <w:u w:val="single"/>
                <w:lang w:val="es-ES_tradnl"/>
              </w:rPr>
            </w:pPr>
          </w:p>
          <w:p w14:paraId="72E85726" w14:textId="34F0786E" w:rsidR="00C91693" w:rsidRPr="00C168C5" w:rsidRDefault="00B94897" w:rsidP="00243943">
            <w:pPr>
              <w:rPr>
                <w:bCs/>
                <w:szCs w:val="22"/>
                <w:u w:val="single"/>
                <w:lang w:val="es-ES_tradnl"/>
              </w:rPr>
            </w:pPr>
            <w:r w:rsidRPr="00C168C5">
              <w:rPr>
                <w:bCs/>
                <w:szCs w:val="26"/>
                <w:u w:val="single"/>
                <w:lang w:val="es-ES_tradnl" w:eastAsia="en-US"/>
              </w:rPr>
              <w:t>Clave de colores</w:t>
            </w:r>
          </w:p>
        </w:tc>
      </w:tr>
      <w:tr w:rsidR="00C91693" w:rsidRPr="00C168C5" w14:paraId="76D083F7" w14:textId="77777777" w:rsidTr="00243943">
        <w:trPr>
          <w:trHeight w:val="1235"/>
        </w:trPr>
        <w:tc>
          <w:tcPr>
            <w:tcW w:w="2358" w:type="dxa"/>
            <w:vMerge w:val="restart"/>
            <w:tcBorders>
              <w:top w:val="single" w:sz="2" w:space="0" w:color="000000"/>
              <w:left w:val="single" w:sz="2" w:space="0" w:color="000000"/>
              <w:bottom w:val="single" w:sz="2" w:space="0" w:color="000000"/>
              <w:right w:val="single" w:sz="4" w:space="0" w:color="auto"/>
            </w:tcBorders>
            <w:shd w:val="clear" w:color="auto" w:fill="auto"/>
          </w:tcPr>
          <w:p w14:paraId="5CF744FF" w14:textId="77777777" w:rsidR="00C91693" w:rsidRPr="00C168C5" w:rsidRDefault="00C91693" w:rsidP="00243943">
            <w:pPr>
              <w:rPr>
                <w:szCs w:val="22"/>
                <w:lang w:val="es-ES_tradnl"/>
              </w:rPr>
            </w:pPr>
          </w:p>
          <w:p w14:paraId="4B97EE81" w14:textId="77777777" w:rsidR="007C68C2" w:rsidRPr="00C168C5" w:rsidRDefault="007C68C2" w:rsidP="007C68C2">
            <w:pPr>
              <w:rPr>
                <w:rFonts w:eastAsia="Malgun Gothic"/>
                <w:kern w:val="2"/>
                <w:lang w:val="es-ES_tradnl" w:eastAsia="ko-KR"/>
              </w:rPr>
            </w:pPr>
            <w:r w:rsidRPr="00C168C5">
              <w:rPr>
                <w:rFonts w:eastAsia="Malgun Gothic"/>
                <w:kern w:val="2"/>
                <w:lang w:val="es-ES_tradnl" w:eastAsia="ko-KR"/>
              </w:rPr>
              <w:t>Países participantes seleccionados</w:t>
            </w:r>
          </w:p>
          <w:p w14:paraId="151EC3CE" w14:textId="234993FC" w:rsidR="00C91693" w:rsidRPr="00C168C5" w:rsidRDefault="007C68C2" w:rsidP="007C68C2">
            <w:pPr>
              <w:rPr>
                <w:b/>
                <w:szCs w:val="22"/>
                <w:lang w:val="es-ES_tradnl"/>
              </w:rPr>
            </w:pPr>
            <w:r w:rsidRPr="00C168C5">
              <w:rPr>
                <w:rFonts w:eastAsia="Malgun Gothic"/>
                <w:kern w:val="2"/>
                <w:lang w:val="es-ES_tradnl" w:eastAsia="ko-KR"/>
              </w:rPr>
              <w:t>Establecimiento del mecanismo de protección de derechos de P.I. en el ámbito de los diseños en pro de las empresas de diseño, a escala nacional</w:t>
            </w:r>
          </w:p>
        </w:tc>
        <w:tc>
          <w:tcPr>
            <w:tcW w:w="2694" w:type="dxa"/>
            <w:tcBorders>
              <w:top w:val="single" w:sz="2" w:space="0" w:color="000000"/>
              <w:left w:val="single" w:sz="4" w:space="0" w:color="auto"/>
              <w:bottom w:val="single" w:sz="4" w:space="0" w:color="auto"/>
              <w:right w:val="single" w:sz="2" w:space="0" w:color="000000"/>
            </w:tcBorders>
            <w:shd w:val="clear" w:color="auto" w:fill="auto"/>
          </w:tcPr>
          <w:p w14:paraId="584A6F28" w14:textId="77777777" w:rsidR="00C91693" w:rsidRPr="00C168C5" w:rsidRDefault="00C91693" w:rsidP="00243943">
            <w:pPr>
              <w:rPr>
                <w:szCs w:val="22"/>
                <w:lang w:val="es-ES_tradnl"/>
              </w:rPr>
            </w:pPr>
          </w:p>
          <w:p w14:paraId="531C06A3" w14:textId="5B7F1B6F" w:rsidR="007C68C2" w:rsidRPr="00C168C5" w:rsidRDefault="007C68C2" w:rsidP="007C68C2">
            <w:pPr>
              <w:rPr>
                <w:rFonts w:eastAsia="Malgun Gothic"/>
                <w:kern w:val="2"/>
                <w:lang w:val="es-ES_tradnl" w:eastAsia="ko-KR"/>
              </w:rPr>
            </w:pPr>
            <w:r w:rsidRPr="00C168C5">
              <w:rPr>
                <w:rFonts w:eastAsia="Malgun Gothic"/>
                <w:kern w:val="2"/>
                <w:lang w:val="es-ES_tradnl" w:eastAsia="ko-KR"/>
              </w:rPr>
              <w:t>Dos países seleccionados (decisión bas</w:t>
            </w:r>
            <w:r w:rsidR="003415C6">
              <w:rPr>
                <w:rFonts w:eastAsia="Malgun Gothic"/>
                <w:kern w:val="2"/>
                <w:lang w:val="es-ES_tradnl" w:eastAsia="ko-KR"/>
              </w:rPr>
              <w:t>ada en criterios de selección)</w:t>
            </w:r>
          </w:p>
          <w:p w14:paraId="3A9729A6" w14:textId="1FDF430D" w:rsidR="00C91693" w:rsidRPr="00C168C5" w:rsidRDefault="00C91693" w:rsidP="00243943">
            <w:pPr>
              <w:rPr>
                <w:szCs w:val="22"/>
                <w:lang w:val="es-ES_tradnl"/>
              </w:rPr>
            </w:pP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259028" w14:textId="77777777" w:rsidR="00C91693" w:rsidRPr="00C168C5" w:rsidRDefault="00C91693" w:rsidP="00243943">
            <w:pPr>
              <w:rPr>
                <w:szCs w:val="22"/>
                <w:lang w:val="es-ES_tradnl"/>
              </w:rPr>
            </w:pPr>
          </w:p>
          <w:p w14:paraId="401839FB" w14:textId="3302E4B0" w:rsidR="00C91693" w:rsidRPr="00C168C5" w:rsidRDefault="000E39D1" w:rsidP="00243943">
            <w:pPr>
              <w:rPr>
                <w:szCs w:val="22"/>
                <w:lang w:val="es-ES_tradnl"/>
              </w:rPr>
            </w:pPr>
            <w:r w:rsidRPr="00C168C5">
              <w:rPr>
                <w:szCs w:val="22"/>
                <w:lang w:val="es-ES_tradnl"/>
              </w:rPr>
              <w:t>Dos países, a saber, Marruecos y</w:t>
            </w:r>
            <w:r w:rsidR="00C91693" w:rsidRPr="00C168C5">
              <w:rPr>
                <w:szCs w:val="22"/>
                <w:lang w:val="es-ES_tradnl"/>
              </w:rPr>
              <w:t xml:space="preserve"> Argentina,</w:t>
            </w:r>
            <w:r w:rsidRPr="00C168C5">
              <w:rPr>
                <w:szCs w:val="22"/>
                <w:lang w:val="es-ES_tradnl"/>
              </w:rPr>
              <w:t xml:space="preserve"> han sido seleccionados</w:t>
            </w:r>
            <w:r w:rsidR="00C91693" w:rsidRPr="00C168C5">
              <w:rPr>
                <w:szCs w:val="22"/>
                <w:lang w:val="es-ES_tradnl"/>
              </w:rPr>
              <w:t xml:space="preserve"> </w:t>
            </w:r>
            <w:r w:rsidRPr="00C168C5">
              <w:rPr>
                <w:szCs w:val="22"/>
                <w:lang w:val="es-ES_tradnl"/>
              </w:rPr>
              <w:t>en base a los criterios de selección</w:t>
            </w:r>
            <w:r w:rsidR="00C91693" w:rsidRPr="00C168C5">
              <w:rPr>
                <w:szCs w:val="22"/>
                <w:lang w:val="es-ES_tradnl"/>
              </w:rPr>
              <w:t>.</w:t>
            </w:r>
          </w:p>
          <w:p w14:paraId="7C7517CA" w14:textId="77777777" w:rsidR="00C91693" w:rsidRPr="00C168C5" w:rsidRDefault="00C91693" w:rsidP="00243943">
            <w:pPr>
              <w:rPr>
                <w:szCs w:val="22"/>
                <w:lang w:val="es-ES_tradn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1E96C5" w14:textId="77777777" w:rsidR="00C91693" w:rsidRPr="00C168C5" w:rsidRDefault="00C91693" w:rsidP="00243943">
            <w:pPr>
              <w:rPr>
                <w:szCs w:val="22"/>
                <w:lang w:val="es-ES_tradnl"/>
              </w:rPr>
            </w:pPr>
            <w:r w:rsidRPr="00C168C5">
              <w:rPr>
                <w:szCs w:val="22"/>
                <w:lang w:val="es-ES_tradnl"/>
              </w:rPr>
              <w:t>****</w:t>
            </w:r>
          </w:p>
          <w:p w14:paraId="378ADD1B" w14:textId="77777777" w:rsidR="00C91693" w:rsidRPr="00C168C5" w:rsidRDefault="00C91693" w:rsidP="00243943">
            <w:pPr>
              <w:rPr>
                <w:szCs w:val="22"/>
                <w:lang w:val="es-ES_tradnl"/>
              </w:rPr>
            </w:pPr>
          </w:p>
          <w:p w14:paraId="655130F8" w14:textId="77777777" w:rsidR="00C91693" w:rsidRPr="00C168C5" w:rsidRDefault="00C91693" w:rsidP="00243943">
            <w:pPr>
              <w:rPr>
                <w:szCs w:val="22"/>
                <w:lang w:val="es-ES_tradnl"/>
              </w:rPr>
            </w:pPr>
          </w:p>
        </w:tc>
      </w:tr>
      <w:tr w:rsidR="00C91693" w:rsidRPr="00C168C5" w14:paraId="5E7B2360" w14:textId="77777777" w:rsidTr="00243943">
        <w:trPr>
          <w:trHeight w:val="1288"/>
        </w:trPr>
        <w:tc>
          <w:tcPr>
            <w:tcW w:w="2358" w:type="dxa"/>
            <w:vMerge/>
            <w:tcBorders>
              <w:left w:val="single" w:sz="2" w:space="0" w:color="000000"/>
              <w:bottom w:val="single" w:sz="2" w:space="0" w:color="000000"/>
              <w:right w:val="single" w:sz="4" w:space="0" w:color="auto"/>
            </w:tcBorders>
            <w:shd w:val="clear" w:color="auto" w:fill="auto"/>
          </w:tcPr>
          <w:p w14:paraId="38638DD2" w14:textId="77777777" w:rsidR="00C91693" w:rsidRPr="00C168C5" w:rsidRDefault="00C91693" w:rsidP="00243943">
            <w:pPr>
              <w:rPr>
                <w:bCs/>
                <w:szCs w:val="22"/>
                <w:lang w:val="es-ES_tradnl"/>
              </w:rPr>
            </w:pPr>
          </w:p>
        </w:tc>
        <w:tc>
          <w:tcPr>
            <w:tcW w:w="2694" w:type="dxa"/>
            <w:tcBorders>
              <w:top w:val="single" w:sz="4" w:space="0" w:color="auto"/>
              <w:left w:val="single" w:sz="4" w:space="0" w:color="auto"/>
              <w:bottom w:val="single" w:sz="4" w:space="0" w:color="auto"/>
              <w:right w:val="single" w:sz="2" w:space="0" w:color="000000"/>
            </w:tcBorders>
            <w:shd w:val="clear" w:color="auto" w:fill="auto"/>
          </w:tcPr>
          <w:p w14:paraId="5E448B20" w14:textId="77777777" w:rsidR="00C91693" w:rsidRPr="00C168C5" w:rsidRDefault="00C91693" w:rsidP="00243943">
            <w:pPr>
              <w:tabs>
                <w:tab w:val="num" w:pos="1134"/>
              </w:tabs>
              <w:rPr>
                <w:szCs w:val="22"/>
                <w:lang w:val="es-ES_tradnl"/>
              </w:rPr>
            </w:pPr>
          </w:p>
          <w:p w14:paraId="069A42AA" w14:textId="508FB262" w:rsidR="00C91693" w:rsidRPr="00C168C5" w:rsidRDefault="00A96BC7" w:rsidP="00903EA9">
            <w:pPr>
              <w:numPr>
                <w:ilvl w:val="1"/>
                <w:numId w:val="9"/>
              </w:numPr>
              <w:tabs>
                <w:tab w:val="num" w:pos="567"/>
              </w:tabs>
              <w:ind w:left="0"/>
              <w:rPr>
                <w:szCs w:val="22"/>
                <w:lang w:val="es-ES_tradnl"/>
              </w:rPr>
            </w:pPr>
            <w:r w:rsidRPr="00C168C5">
              <w:rPr>
                <w:rFonts w:eastAsia="Malgun Gothic"/>
                <w:kern w:val="2"/>
                <w:lang w:val="es-ES_tradnl" w:eastAsia="ko-KR"/>
              </w:rPr>
              <w:t>E</w:t>
            </w:r>
            <w:r w:rsidR="00075C60" w:rsidRPr="00C168C5">
              <w:rPr>
                <w:rFonts w:eastAsia="Malgun Gothic"/>
                <w:kern w:val="2"/>
                <w:lang w:val="es-ES_tradnl" w:eastAsia="ko-KR"/>
              </w:rPr>
              <w:t>laboración de un proyecto de estrategia nacional de protección de los diseños y formulación de observaciones por la OMPI</w:t>
            </w:r>
            <w:r w:rsidR="00C91693" w:rsidRPr="00C168C5">
              <w:rPr>
                <w:szCs w:val="22"/>
                <w:lang w:val="es-ES_tradnl"/>
              </w:rPr>
              <w:t>;</w:t>
            </w:r>
          </w:p>
          <w:p w14:paraId="66FC26C8" w14:textId="77777777" w:rsidR="00C91693" w:rsidRPr="00C168C5" w:rsidRDefault="00C91693" w:rsidP="00243943">
            <w:pPr>
              <w:tabs>
                <w:tab w:val="num" w:pos="1134"/>
              </w:tabs>
              <w:rPr>
                <w:szCs w:val="22"/>
                <w:lang w:val="es-ES_tradnl"/>
              </w:rPr>
            </w:pPr>
          </w:p>
          <w:p w14:paraId="36E42BA4" w14:textId="56ED1642" w:rsidR="00C91693" w:rsidRPr="00C168C5" w:rsidRDefault="00687916" w:rsidP="00903EA9">
            <w:pPr>
              <w:numPr>
                <w:ilvl w:val="1"/>
                <w:numId w:val="9"/>
              </w:numPr>
              <w:tabs>
                <w:tab w:val="num" w:pos="567"/>
              </w:tabs>
              <w:ind w:left="0"/>
              <w:rPr>
                <w:szCs w:val="22"/>
                <w:lang w:val="es-ES_tradnl"/>
              </w:rPr>
            </w:pPr>
            <w:r w:rsidRPr="00C168C5">
              <w:rPr>
                <w:rFonts w:eastAsia="Malgun Gothic"/>
                <w:kern w:val="2"/>
                <w:lang w:val="es-ES_tradnl" w:eastAsia="ko-KR"/>
              </w:rPr>
              <w:t>S</w:t>
            </w:r>
            <w:r w:rsidR="00075C60" w:rsidRPr="00C168C5">
              <w:rPr>
                <w:rFonts w:eastAsia="Malgun Gothic"/>
                <w:kern w:val="2"/>
                <w:lang w:val="es-ES_tradnl" w:eastAsia="ko-KR"/>
              </w:rPr>
              <w:t xml:space="preserve">elección de los directores nacionales del proyecto y de los organismos </w:t>
            </w:r>
            <w:r w:rsidRPr="00C168C5">
              <w:rPr>
                <w:rFonts w:eastAsia="Malgun Gothic"/>
                <w:kern w:val="2"/>
                <w:lang w:val="es-ES_tradnl" w:eastAsia="ko-KR"/>
              </w:rPr>
              <w:t xml:space="preserve">coordinadores </w:t>
            </w:r>
            <w:r w:rsidR="00075C60" w:rsidRPr="00C168C5">
              <w:rPr>
                <w:rFonts w:eastAsia="Malgun Gothic"/>
                <w:kern w:val="2"/>
                <w:lang w:val="es-ES_tradnl" w:eastAsia="ko-KR"/>
              </w:rPr>
              <w:t>nacionales, en base a criterios de selección definidos</w:t>
            </w:r>
            <w:r w:rsidR="00C91693" w:rsidRPr="00C168C5">
              <w:rPr>
                <w:szCs w:val="22"/>
                <w:lang w:val="es-ES_tradnl"/>
              </w:rPr>
              <w:t xml:space="preserve">;  </w:t>
            </w:r>
            <w:r w:rsidR="00075C60" w:rsidRPr="00C168C5">
              <w:rPr>
                <w:szCs w:val="22"/>
                <w:lang w:val="es-ES_tradnl"/>
              </w:rPr>
              <w:t>y</w:t>
            </w:r>
          </w:p>
          <w:p w14:paraId="6A6AFEA1" w14:textId="77777777" w:rsidR="00C91693" w:rsidRPr="00C168C5" w:rsidRDefault="00C91693" w:rsidP="00243943">
            <w:pPr>
              <w:rPr>
                <w:szCs w:val="22"/>
                <w:lang w:val="es-ES_tradnl"/>
              </w:rPr>
            </w:pPr>
          </w:p>
          <w:p w14:paraId="04453002" w14:textId="24E4EBF1" w:rsidR="00C91693" w:rsidRPr="00C168C5" w:rsidRDefault="00075C60" w:rsidP="00903EA9">
            <w:pPr>
              <w:numPr>
                <w:ilvl w:val="1"/>
                <w:numId w:val="9"/>
              </w:numPr>
              <w:tabs>
                <w:tab w:val="num" w:pos="567"/>
              </w:tabs>
              <w:ind w:left="0"/>
              <w:rPr>
                <w:szCs w:val="22"/>
                <w:lang w:val="es-ES_tradnl"/>
              </w:rPr>
            </w:pPr>
            <w:r w:rsidRPr="00C168C5">
              <w:rPr>
                <w:rFonts w:eastAsia="Malgun Gothic"/>
                <w:kern w:val="2"/>
                <w:lang w:val="es-ES_tradnl" w:eastAsia="ko-KR"/>
              </w:rPr>
              <w:t>Expertos nacionales que ayuden, de ser necesario, a elaborar planes de protección de los diseños, identificados.</w:t>
            </w:r>
          </w:p>
        </w:tc>
        <w:tc>
          <w:tcPr>
            <w:tcW w:w="3228" w:type="dxa"/>
            <w:tcBorders>
              <w:top w:val="single" w:sz="2" w:space="0" w:color="000000"/>
              <w:left w:val="single" w:sz="2" w:space="0" w:color="000000"/>
              <w:bottom w:val="single" w:sz="2" w:space="0" w:color="000000"/>
              <w:right w:val="single" w:sz="2" w:space="0" w:color="000000"/>
            </w:tcBorders>
            <w:shd w:val="clear" w:color="auto" w:fill="auto"/>
          </w:tcPr>
          <w:p w14:paraId="6D4F6C61" w14:textId="77777777" w:rsidR="00C91693" w:rsidRPr="00C168C5" w:rsidRDefault="00C91693" w:rsidP="00243943">
            <w:pPr>
              <w:rPr>
                <w:szCs w:val="22"/>
                <w:lang w:val="es-ES_tradnl"/>
              </w:rPr>
            </w:pPr>
          </w:p>
          <w:p w14:paraId="1AFDB329" w14:textId="2D1ADA20" w:rsidR="00C91693" w:rsidRPr="00C168C5" w:rsidRDefault="00075C60" w:rsidP="00903EA9">
            <w:pPr>
              <w:numPr>
                <w:ilvl w:val="0"/>
                <w:numId w:val="12"/>
              </w:numPr>
              <w:rPr>
                <w:szCs w:val="22"/>
                <w:lang w:val="es-ES_tradnl"/>
              </w:rPr>
            </w:pPr>
            <w:r w:rsidRPr="00C168C5">
              <w:rPr>
                <w:szCs w:val="22"/>
                <w:lang w:val="es-ES_tradnl"/>
              </w:rPr>
              <w:t>Se elaboró la estrategia nacional de protección de los diseños</w:t>
            </w:r>
            <w:r w:rsidR="00CF7258" w:rsidRPr="00C168C5">
              <w:rPr>
                <w:szCs w:val="22"/>
                <w:lang w:val="es-ES_tradnl"/>
              </w:rPr>
              <w:t xml:space="preserve"> y la OMPI </w:t>
            </w:r>
            <w:r w:rsidR="00080878" w:rsidRPr="00C168C5">
              <w:rPr>
                <w:szCs w:val="22"/>
                <w:lang w:val="es-ES_tradnl"/>
              </w:rPr>
              <w:t>formuló</w:t>
            </w:r>
            <w:r w:rsidR="00CF7258" w:rsidRPr="00C168C5">
              <w:rPr>
                <w:szCs w:val="22"/>
                <w:lang w:val="es-ES_tradnl"/>
              </w:rPr>
              <w:t xml:space="preserve"> observaciones</w:t>
            </w:r>
            <w:r w:rsidR="00C91693" w:rsidRPr="00C168C5">
              <w:rPr>
                <w:szCs w:val="22"/>
                <w:lang w:val="es-ES_tradnl"/>
              </w:rPr>
              <w:t>;</w:t>
            </w:r>
          </w:p>
          <w:p w14:paraId="11CEF15B" w14:textId="77777777" w:rsidR="00C91693" w:rsidRPr="00C168C5" w:rsidRDefault="00C91693" w:rsidP="00243943">
            <w:pPr>
              <w:rPr>
                <w:szCs w:val="22"/>
                <w:lang w:val="es-ES_tradnl"/>
              </w:rPr>
            </w:pPr>
          </w:p>
          <w:p w14:paraId="4B0DF225" w14:textId="3BD4271C" w:rsidR="00C91693" w:rsidRPr="00C168C5" w:rsidRDefault="00340540" w:rsidP="00903EA9">
            <w:pPr>
              <w:numPr>
                <w:ilvl w:val="0"/>
                <w:numId w:val="12"/>
              </w:numPr>
              <w:rPr>
                <w:szCs w:val="22"/>
                <w:lang w:val="es-ES_tradnl"/>
              </w:rPr>
            </w:pPr>
            <w:r w:rsidRPr="00C168C5">
              <w:rPr>
                <w:szCs w:val="22"/>
                <w:lang w:val="es-ES_tradnl"/>
              </w:rPr>
              <w:t xml:space="preserve">Se han designado los organismos de coordinación y los coordinadores o subcoordinadores nacionales en ambos países en base a criterios de selección; </w:t>
            </w:r>
            <w:r w:rsidR="00C91693" w:rsidRPr="00C168C5">
              <w:rPr>
                <w:szCs w:val="22"/>
                <w:lang w:val="es-ES_tradnl"/>
              </w:rPr>
              <w:t xml:space="preserve"> </w:t>
            </w:r>
            <w:r w:rsidRPr="00C168C5">
              <w:rPr>
                <w:szCs w:val="22"/>
                <w:lang w:val="es-ES_tradnl"/>
              </w:rPr>
              <w:t>y</w:t>
            </w:r>
          </w:p>
          <w:p w14:paraId="710F5738" w14:textId="77777777" w:rsidR="00C91693" w:rsidRPr="00C168C5" w:rsidRDefault="00C91693" w:rsidP="00243943">
            <w:pPr>
              <w:rPr>
                <w:szCs w:val="22"/>
                <w:lang w:val="es-ES_tradnl"/>
              </w:rPr>
            </w:pPr>
          </w:p>
          <w:p w14:paraId="7492011E" w14:textId="7A2ED9EF" w:rsidR="00C91693" w:rsidRPr="00C168C5" w:rsidRDefault="00D020AC" w:rsidP="00903EA9">
            <w:pPr>
              <w:numPr>
                <w:ilvl w:val="0"/>
                <w:numId w:val="12"/>
              </w:numPr>
              <w:rPr>
                <w:szCs w:val="22"/>
                <w:lang w:val="es-ES_tradnl"/>
              </w:rPr>
            </w:pPr>
            <w:r w:rsidRPr="00C168C5">
              <w:rPr>
                <w:szCs w:val="22"/>
                <w:lang w:val="es-ES_tradnl"/>
              </w:rPr>
              <w:t>Se han designado ocho expertos nacionales para ayudar en la formulación de planes individuales de protección de diseños</w:t>
            </w:r>
            <w:r w:rsidR="00C91693" w:rsidRPr="00C168C5">
              <w:rPr>
                <w:szCs w:val="22"/>
                <w:lang w:val="es-ES_tradnl"/>
              </w:rPr>
              <w:t>.</w:t>
            </w: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41CCD1" w14:textId="17015EAF" w:rsidR="00C91693" w:rsidRPr="00C168C5" w:rsidRDefault="00C91693" w:rsidP="00243943">
            <w:pPr>
              <w:rPr>
                <w:szCs w:val="22"/>
                <w:lang w:val="es-ES_tradnl"/>
              </w:rPr>
            </w:pPr>
            <w:r w:rsidRPr="00C168C5">
              <w:rPr>
                <w:szCs w:val="22"/>
                <w:lang w:val="es-ES_tradnl"/>
              </w:rPr>
              <w:t>a) ****</w:t>
            </w:r>
          </w:p>
          <w:p w14:paraId="175B3D94" w14:textId="77777777" w:rsidR="00C91693" w:rsidRPr="00C168C5" w:rsidRDefault="00C91693" w:rsidP="00243943">
            <w:pPr>
              <w:rPr>
                <w:szCs w:val="22"/>
                <w:lang w:val="es-ES_tradnl"/>
              </w:rPr>
            </w:pPr>
          </w:p>
          <w:p w14:paraId="22560D77" w14:textId="77777777" w:rsidR="00C91693" w:rsidRPr="00C168C5" w:rsidRDefault="00C91693" w:rsidP="00243943">
            <w:pPr>
              <w:rPr>
                <w:szCs w:val="22"/>
                <w:lang w:val="es-ES_tradnl"/>
              </w:rPr>
            </w:pPr>
          </w:p>
          <w:p w14:paraId="5A4F58A2" w14:textId="77777777" w:rsidR="00C91693" w:rsidRPr="00C168C5" w:rsidRDefault="00C91693" w:rsidP="00243943">
            <w:pPr>
              <w:rPr>
                <w:szCs w:val="22"/>
                <w:lang w:val="es-ES_tradnl"/>
              </w:rPr>
            </w:pPr>
          </w:p>
          <w:p w14:paraId="310826DA" w14:textId="77777777" w:rsidR="00C91693" w:rsidRPr="00C168C5" w:rsidRDefault="00C91693" w:rsidP="00243943">
            <w:pPr>
              <w:rPr>
                <w:szCs w:val="22"/>
                <w:lang w:val="es-ES_tradnl"/>
              </w:rPr>
            </w:pPr>
          </w:p>
          <w:p w14:paraId="20C75788" w14:textId="77777777" w:rsidR="00C91693" w:rsidRPr="00C168C5" w:rsidRDefault="00C91693" w:rsidP="00243943">
            <w:pPr>
              <w:rPr>
                <w:szCs w:val="22"/>
                <w:lang w:val="es-ES_tradnl"/>
              </w:rPr>
            </w:pPr>
          </w:p>
          <w:p w14:paraId="1A75CA2F" w14:textId="2A9A19A5" w:rsidR="00C91693" w:rsidRPr="00C168C5" w:rsidRDefault="00C91693" w:rsidP="00243943">
            <w:pPr>
              <w:rPr>
                <w:szCs w:val="22"/>
                <w:lang w:val="es-ES_tradnl"/>
              </w:rPr>
            </w:pPr>
            <w:r w:rsidRPr="00C168C5">
              <w:rPr>
                <w:szCs w:val="22"/>
                <w:lang w:val="es-ES_tradnl"/>
              </w:rPr>
              <w:t>b) ****</w:t>
            </w:r>
          </w:p>
          <w:p w14:paraId="33DA3562" w14:textId="77777777" w:rsidR="00C91693" w:rsidRPr="00C168C5" w:rsidRDefault="00C91693" w:rsidP="00243943">
            <w:pPr>
              <w:rPr>
                <w:szCs w:val="22"/>
                <w:lang w:val="es-ES_tradnl"/>
              </w:rPr>
            </w:pPr>
          </w:p>
          <w:p w14:paraId="553EAEF1" w14:textId="77777777" w:rsidR="00C91693" w:rsidRPr="00C168C5" w:rsidRDefault="00C91693" w:rsidP="00243943">
            <w:pPr>
              <w:rPr>
                <w:szCs w:val="22"/>
                <w:lang w:val="es-ES_tradnl"/>
              </w:rPr>
            </w:pPr>
          </w:p>
          <w:p w14:paraId="60CA322F" w14:textId="77777777" w:rsidR="00C91693" w:rsidRPr="00C168C5" w:rsidRDefault="00C91693" w:rsidP="00243943">
            <w:pPr>
              <w:rPr>
                <w:szCs w:val="22"/>
                <w:lang w:val="es-ES_tradnl"/>
              </w:rPr>
            </w:pPr>
          </w:p>
          <w:p w14:paraId="47F41EB9" w14:textId="77777777" w:rsidR="00C91693" w:rsidRPr="00C168C5" w:rsidRDefault="00C91693" w:rsidP="00243943">
            <w:pPr>
              <w:rPr>
                <w:szCs w:val="22"/>
                <w:lang w:val="es-ES_tradnl"/>
              </w:rPr>
            </w:pPr>
          </w:p>
          <w:p w14:paraId="7B4B7D63" w14:textId="77777777" w:rsidR="00C91693" w:rsidRPr="00C168C5" w:rsidRDefault="00C91693" w:rsidP="00243943">
            <w:pPr>
              <w:rPr>
                <w:szCs w:val="22"/>
                <w:lang w:val="es-ES_tradnl"/>
              </w:rPr>
            </w:pPr>
          </w:p>
          <w:p w14:paraId="1A164B88" w14:textId="74D6A003" w:rsidR="00C91693" w:rsidRPr="00C168C5" w:rsidRDefault="00C91693" w:rsidP="00243943">
            <w:pPr>
              <w:rPr>
                <w:szCs w:val="22"/>
                <w:lang w:val="es-ES_tradnl"/>
              </w:rPr>
            </w:pPr>
            <w:r w:rsidRPr="00C168C5">
              <w:rPr>
                <w:szCs w:val="22"/>
                <w:lang w:val="es-ES_tradnl"/>
              </w:rPr>
              <w:t>c) ****</w:t>
            </w:r>
          </w:p>
          <w:p w14:paraId="645C70F4" w14:textId="77777777" w:rsidR="00C91693" w:rsidRPr="00C168C5" w:rsidRDefault="00C91693" w:rsidP="00243943">
            <w:pPr>
              <w:rPr>
                <w:szCs w:val="22"/>
                <w:lang w:val="es-ES_tradnl"/>
              </w:rPr>
            </w:pPr>
          </w:p>
          <w:p w14:paraId="49662498" w14:textId="77777777" w:rsidR="00C91693" w:rsidRPr="00C168C5" w:rsidRDefault="00C91693" w:rsidP="00243943">
            <w:pPr>
              <w:rPr>
                <w:szCs w:val="22"/>
                <w:lang w:val="es-ES_tradnl"/>
              </w:rPr>
            </w:pPr>
          </w:p>
          <w:p w14:paraId="6E96C0E5" w14:textId="77777777" w:rsidR="00C91693" w:rsidRPr="00C168C5" w:rsidRDefault="00C91693" w:rsidP="00243943">
            <w:pPr>
              <w:rPr>
                <w:szCs w:val="22"/>
                <w:lang w:val="es-ES_tradnl"/>
              </w:rPr>
            </w:pPr>
          </w:p>
          <w:p w14:paraId="2872FDB0" w14:textId="77777777" w:rsidR="00C91693" w:rsidRPr="00C168C5" w:rsidRDefault="00C91693" w:rsidP="00243943">
            <w:pPr>
              <w:rPr>
                <w:szCs w:val="22"/>
                <w:lang w:val="es-ES_tradnl"/>
              </w:rPr>
            </w:pPr>
          </w:p>
        </w:tc>
      </w:tr>
      <w:tr w:rsidR="00C91693" w:rsidRPr="00C168C5" w14:paraId="73F494A9" w14:textId="77777777" w:rsidTr="00243943">
        <w:trPr>
          <w:trHeight w:val="1126"/>
        </w:trPr>
        <w:tc>
          <w:tcPr>
            <w:tcW w:w="2358" w:type="dxa"/>
            <w:tcBorders>
              <w:top w:val="single" w:sz="2" w:space="0" w:color="000000"/>
              <w:left w:val="single" w:sz="2" w:space="0" w:color="000000"/>
              <w:bottom w:val="single" w:sz="2" w:space="0" w:color="000000"/>
              <w:right w:val="single" w:sz="4" w:space="0" w:color="auto"/>
            </w:tcBorders>
            <w:shd w:val="clear" w:color="auto" w:fill="auto"/>
          </w:tcPr>
          <w:p w14:paraId="3508FCEE" w14:textId="77777777" w:rsidR="00C91693" w:rsidRPr="00C168C5" w:rsidRDefault="00C91693" w:rsidP="00243943">
            <w:pPr>
              <w:rPr>
                <w:szCs w:val="22"/>
                <w:lang w:val="es-ES_tradnl"/>
              </w:rPr>
            </w:pPr>
          </w:p>
          <w:p w14:paraId="2A280F48" w14:textId="77777777" w:rsidR="00D020AC" w:rsidRPr="00C168C5" w:rsidRDefault="00D020AC" w:rsidP="00D020AC">
            <w:pPr>
              <w:rPr>
                <w:rFonts w:eastAsia="Malgun Gothic"/>
                <w:kern w:val="2"/>
                <w:lang w:val="es-ES_tradnl" w:eastAsia="ko-KR"/>
              </w:rPr>
            </w:pPr>
            <w:r w:rsidRPr="00C168C5">
              <w:rPr>
                <w:rFonts w:eastAsia="Malgun Gothic"/>
                <w:kern w:val="2"/>
                <w:lang w:val="es-ES_tradnl" w:eastAsia="ko-KR"/>
              </w:rPr>
              <w:t>Plan de divulgación a escala nacional elaborado</w:t>
            </w:r>
          </w:p>
          <w:p w14:paraId="34DC153F" w14:textId="7E1BF8E6" w:rsidR="00C91693" w:rsidRPr="00C168C5" w:rsidRDefault="00C91693" w:rsidP="00243943">
            <w:pPr>
              <w:rPr>
                <w:szCs w:val="22"/>
                <w:lang w:val="es-ES_tradnl"/>
              </w:rPr>
            </w:pPr>
          </w:p>
          <w:p w14:paraId="7A27E31B" w14:textId="77777777" w:rsidR="00C91693" w:rsidRPr="00C168C5" w:rsidRDefault="00C91693" w:rsidP="00243943">
            <w:pPr>
              <w:rPr>
                <w:szCs w:val="22"/>
                <w:lang w:val="es-ES_tradnl"/>
              </w:rPr>
            </w:pPr>
          </w:p>
          <w:p w14:paraId="67407F1D" w14:textId="77777777" w:rsidR="00C91693" w:rsidRPr="00C168C5" w:rsidRDefault="00C91693" w:rsidP="00243943">
            <w:pPr>
              <w:rPr>
                <w:szCs w:val="22"/>
                <w:lang w:val="es-ES_tradnl"/>
              </w:rPr>
            </w:pPr>
          </w:p>
        </w:tc>
        <w:tc>
          <w:tcPr>
            <w:tcW w:w="2694" w:type="dxa"/>
            <w:tcBorders>
              <w:top w:val="single" w:sz="4" w:space="0" w:color="auto"/>
              <w:left w:val="single" w:sz="4" w:space="0" w:color="auto"/>
              <w:bottom w:val="single" w:sz="4" w:space="0" w:color="auto"/>
              <w:right w:val="single" w:sz="2" w:space="0" w:color="000000"/>
            </w:tcBorders>
            <w:shd w:val="clear" w:color="auto" w:fill="auto"/>
          </w:tcPr>
          <w:p w14:paraId="30596290" w14:textId="77777777" w:rsidR="00C91693" w:rsidRPr="00C168C5" w:rsidRDefault="00C91693" w:rsidP="00243943">
            <w:pPr>
              <w:rPr>
                <w:szCs w:val="22"/>
                <w:lang w:val="es-ES_tradnl"/>
              </w:rPr>
            </w:pPr>
          </w:p>
          <w:p w14:paraId="7026FEC8" w14:textId="48D2C214" w:rsidR="00C91693" w:rsidRPr="00C168C5" w:rsidRDefault="00F17FD8" w:rsidP="00903EA9">
            <w:pPr>
              <w:numPr>
                <w:ilvl w:val="1"/>
                <w:numId w:val="11"/>
              </w:numPr>
              <w:tabs>
                <w:tab w:val="clear" w:pos="1701"/>
                <w:tab w:val="num" w:pos="601"/>
              </w:tabs>
              <w:ind w:left="0"/>
              <w:rPr>
                <w:szCs w:val="22"/>
                <w:lang w:val="es-ES_tradnl"/>
              </w:rPr>
            </w:pPr>
            <w:r w:rsidRPr="00C168C5">
              <w:rPr>
                <w:szCs w:val="22"/>
                <w:lang w:val="es-ES_tradnl"/>
              </w:rPr>
              <w:t>Elaboración de la estrategia de divulgación en estrecha colaboración con los organismos coordinadores</w:t>
            </w:r>
            <w:r w:rsidR="00C91693" w:rsidRPr="00C168C5">
              <w:rPr>
                <w:szCs w:val="22"/>
                <w:lang w:val="es-ES_tradnl"/>
              </w:rPr>
              <w:t>;</w:t>
            </w:r>
          </w:p>
          <w:p w14:paraId="23094202" w14:textId="77777777" w:rsidR="00C91693" w:rsidRPr="00C168C5" w:rsidRDefault="00C91693" w:rsidP="00243943">
            <w:pPr>
              <w:rPr>
                <w:szCs w:val="22"/>
                <w:lang w:val="es-ES_tradnl"/>
              </w:rPr>
            </w:pPr>
          </w:p>
          <w:p w14:paraId="35360A3D" w14:textId="35C709EE" w:rsidR="00C91693" w:rsidRPr="00C168C5" w:rsidRDefault="00F17FD8" w:rsidP="00903EA9">
            <w:pPr>
              <w:numPr>
                <w:ilvl w:val="1"/>
                <w:numId w:val="11"/>
              </w:numPr>
              <w:tabs>
                <w:tab w:val="clear" w:pos="1701"/>
                <w:tab w:val="num" w:pos="601"/>
              </w:tabs>
              <w:ind w:left="0"/>
              <w:rPr>
                <w:szCs w:val="22"/>
                <w:lang w:val="es-ES_tradnl"/>
              </w:rPr>
            </w:pPr>
            <w:r w:rsidRPr="00C168C5">
              <w:rPr>
                <w:rFonts w:eastAsia="Malgun Gothic"/>
                <w:kern w:val="2"/>
                <w:lang w:val="es-ES_tradnl" w:eastAsia="ko-KR"/>
              </w:rPr>
              <w:t>Selección de una o varias empresas dedicadas a la creación de diseños originales por cada país participante (decisión basada en criterios de selección).</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3392E2" w14:textId="77777777" w:rsidR="00C91693" w:rsidRPr="00C168C5" w:rsidRDefault="00C91693" w:rsidP="00243943">
            <w:pPr>
              <w:rPr>
                <w:szCs w:val="22"/>
                <w:lang w:val="es-ES_tradnl"/>
              </w:rPr>
            </w:pPr>
          </w:p>
          <w:p w14:paraId="40AD3E30" w14:textId="6E2A0372" w:rsidR="00F17FD8" w:rsidRPr="00C168C5" w:rsidRDefault="00F17FD8" w:rsidP="00903EA9">
            <w:pPr>
              <w:numPr>
                <w:ilvl w:val="0"/>
                <w:numId w:val="13"/>
              </w:numPr>
              <w:rPr>
                <w:szCs w:val="22"/>
                <w:lang w:val="es-ES_tradnl"/>
              </w:rPr>
            </w:pPr>
            <w:r w:rsidRPr="00C168C5">
              <w:rPr>
                <w:szCs w:val="22"/>
                <w:lang w:val="es-ES_tradnl"/>
              </w:rPr>
              <w:t>Las estrategias de divulgación se han elaborado en estrecha colaboración con ambos organismos coordinadores</w:t>
            </w:r>
            <w:r w:rsidR="00C91693" w:rsidRPr="00C168C5">
              <w:rPr>
                <w:szCs w:val="22"/>
                <w:lang w:val="es-ES_tradnl"/>
              </w:rPr>
              <w:t>;</w:t>
            </w:r>
          </w:p>
          <w:p w14:paraId="5CD323C6" w14:textId="77777777" w:rsidR="00F17FD8" w:rsidRPr="00C168C5" w:rsidRDefault="00F17FD8" w:rsidP="00F17FD8">
            <w:pPr>
              <w:rPr>
                <w:szCs w:val="22"/>
                <w:lang w:val="es-ES_tradnl"/>
              </w:rPr>
            </w:pPr>
          </w:p>
          <w:p w14:paraId="140767FD" w14:textId="2AC0792A" w:rsidR="00C91693" w:rsidRPr="00C168C5" w:rsidRDefault="00F17FD8" w:rsidP="00903EA9">
            <w:pPr>
              <w:numPr>
                <w:ilvl w:val="0"/>
                <w:numId w:val="13"/>
              </w:numPr>
              <w:rPr>
                <w:szCs w:val="22"/>
                <w:lang w:val="es-ES_tradnl"/>
              </w:rPr>
            </w:pPr>
            <w:r w:rsidRPr="00C168C5">
              <w:rPr>
                <w:szCs w:val="22"/>
                <w:lang w:val="es-ES_tradnl"/>
              </w:rPr>
              <w:t xml:space="preserve">Se ha seleccionado un total de </w:t>
            </w:r>
            <w:r w:rsidR="00C91693" w:rsidRPr="00C168C5">
              <w:rPr>
                <w:szCs w:val="22"/>
                <w:lang w:val="es-ES_tradnl"/>
              </w:rPr>
              <w:t>68</w:t>
            </w:r>
            <w:r w:rsidRPr="00C168C5">
              <w:rPr>
                <w:szCs w:val="22"/>
                <w:lang w:val="es-ES_tradnl"/>
              </w:rPr>
              <w:t xml:space="preserve"> empresas beneficiarias </w:t>
            </w:r>
            <w:r w:rsidR="00C91693" w:rsidRPr="00C168C5">
              <w:rPr>
                <w:szCs w:val="22"/>
                <w:lang w:val="es-ES_tradnl"/>
              </w:rPr>
              <w:t xml:space="preserve">(42 </w:t>
            </w:r>
            <w:r w:rsidRPr="00C168C5">
              <w:rPr>
                <w:szCs w:val="22"/>
                <w:lang w:val="es-ES_tradnl"/>
              </w:rPr>
              <w:t xml:space="preserve">de </w:t>
            </w:r>
            <w:r w:rsidR="00C91693" w:rsidRPr="00C168C5">
              <w:rPr>
                <w:szCs w:val="22"/>
                <w:lang w:val="es-ES_tradnl"/>
              </w:rPr>
              <w:t xml:space="preserve">Argentina </w:t>
            </w:r>
            <w:r w:rsidRPr="00C168C5">
              <w:rPr>
                <w:szCs w:val="22"/>
                <w:lang w:val="es-ES_tradnl"/>
              </w:rPr>
              <w:t xml:space="preserve">y </w:t>
            </w:r>
            <w:r w:rsidR="00C91693" w:rsidRPr="00C168C5">
              <w:rPr>
                <w:szCs w:val="22"/>
                <w:lang w:val="es-ES_tradnl"/>
              </w:rPr>
              <w:t xml:space="preserve">26 </w:t>
            </w:r>
            <w:r w:rsidRPr="00C168C5">
              <w:rPr>
                <w:szCs w:val="22"/>
                <w:lang w:val="es-ES_tradnl"/>
              </w:rPr>
              <w:t>de Marruecos</w:t>
            </w:r>
            <w:r w:rsidR="00C91693" w:rsidRPr="00C168C5">
              <w:rPr>
                <w:szCs w:val="22"/>
                <w:lang w:val="es-ES_tradnl"/>
              </w:rPr>
              <w:t xml:space="preserve">) – </w:t>
            </w:r>
            <w:r w:rsidRPr="00C168C5">
              <w:rPr>
                <w:szCs w:val="22"/>
                <w:lang w:val="es-ES_tradnl"/>
              </w:rPr>
              <w:t>basado en criterios de selección</w:t>
            </w:r>
            <w:r w:rsidR="00C91693" w:rsidRPr="00C168C5">
              <w:rPr>
                <w:szCs w:val="22"/>
                <w:lang w:val="es-ES_tradnl"/>
              </w:rPr>
              <w:t>.</w:t>
            </w:r>
          </w:p>
          <w:p w14:paraId="7B2D1F29" w14:textId="77777777" w:rsidR="00C91693" w:rsidRPr="00C168C5" w:rsidRDefault="00C91693" w:rsidP="00243943">
            <w:pPr>
              <w:rPr>
                <w:szCs w:val="22"/>
                <w:lang w:val="es-ES_tradn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D116853" w14:textId="77777777" w:rsidR="00C91693" w:rsidRPr="00C168C5" w:rsidRDefault="00C91693" w:rsidP="00243943">
            <w:pPr>
              <w:rPr>
                <w:szCs w:val="22"/>
                <w:lang w:val="es-ES_tradnl"/>
              </w:rPr>
            </w:pPr>
          </w:p>
          <w:p w14:paraId="6FDBF883" w14:textId="34F51620" w:rsidR="00C91693" w:rsidRPr="00C168C5" w:rsidRDefault="00C91693" w:rsidP="00243943">
            <w:pPr>
              <w:rPr>
                <w:szCs w:val="22"/>
                <w:lang w:val="es-ES_tradnl"/>
              </w:rPr>
            </w:pPr>
            <w:r w:rsidRPr="00C168C5">
              <w:rPr>
                <w:szCs w:val="22"/>
                <w:lang w:val="es-ES_tradnl"/>
              </w:rPr>
              <w:t>a) ****</w:t>
            </w:r>
          </w:p>
          <w:p w14:paraId="64D9BAEA" w14:textId="77777777" w:rsidR="00C91693" w:rsidRPr="00C168C5" w:rsidRDefault="00C91693" w:rsidP="00243943">
            <w:pPr>
              <w:rPr>
                <w:szCs w:val="22"/>
                <w:lang w:val="es-ES_tradnl"/>
              </w:rPr>
            </w:pPr>
          </w:p>
          <w:p w14:paraId="0FE490A2" w14:textId="77777777" w:rsidR="00C91693" w:rsidRPr="00C168C5" w:rsidRDefault="00C91693" w:rsidP="00243943">
            <w:pPr>
              <w:rPr>
                <w:szCs w:val="22"/>
                <w:lang w:val="es-ES_tradnl"/>
              </w:rPr>
            </w:pPr>
          </w:p>
          <w:p w14:paraId="4E8D405C" w14:textId="77777777" w:rsidR="00C91693" w:rsidRPr="00C168C5" w:rsidRDefault="00C91693" w:rsidP="00243943">
            <w:pPr>
              <w:rPr>
                <w:szCs w:val="22"/>
                <w:lang w:val="es-ES_tradnl"/>
              </w:rPr>
            </w:pPr>
          </w:p>
          <w:p w14:paraId="1BEAFB64" w14:textId="77777777" w:rsidR="00C91693" w:rsidRPr="00C168C5" w:rsidRDefault="00C91693" w:rsidP="00243943">
            <w:pPr>
              <w:rPr>
                <w:szCs w:val="22"/>
                <w:lang w:val="es-ES_tradnl"/>
              </w:rPr>
            </w:pPr>
          </w:p>
          <w:p w14:paraId="20BAE95F" w14:textId="395EA99C" w:rsidR="00C91693" w:rsidRPr="00C168C5" w:rsidRDefault="00C91693" w:rsidP="00243943">
            <w:pPr>
              <w:rPr>
                <w:szCs w:val="22"/>
                <w:lang w:val="es-ES_tradnl"/>
              </w:rPr>
            </w:pPr>
            <w:r w:rsidRPr="00C168C5">
              <w:rPr>
                <w:szCs w:val="22"/>
                <w:lang w:val="es-ES_tradnl"/>
              </w:rPr>
              <w:t>b) ****</w:t>
            </w:r>
          </w:p>
          <w:p w14:paraId="3D97A446" w14:textId="77777777" w:rsidR="00C91693" w:rsidRPr="00C168C5" w:rsidRDefault="00C91693" w:rsidP="00243943">
            <w:pPr>
              <w:rPr>
                <w:szCs w:val="22"/>
                <w:lang w:val="es-ES_tradnl"/>
              </w:rPr>
            </w:pPr>
          </w:p>
          <w:p w14:paraId="7D85E532" w14:textId="77777777" w:rsidR="00C91693" w:rsidRPr="00C168C5" w:rsidRDefault="00C91693" w:rsidP="00243943">
            <w:pPr>
              <w:rPr>
                <w:szCs w:val="22"/>
                <w:lang w:val="es-ES_tradnl"/>
              </w:rPr>
            </w:pPr>
          </w:p>
          <w:p w14:paraId="14B6B237" w14:textId="77777777" w:rsidR="00C91693" w:rsidRPr="00C168C5" w:rsidRDefault="00C91693" w:rsidP="00243943">
            <w:pPr>
              <w:rPr>
                <w:szCs w:val="22"/>
                <w:lang w:val="es-ES_tradnl"/>
              </w:rPr>
            </w:pPr>
          </w:p>
          <w:p w14:paraId="3FDFB5FB" w14:textId="77777777" w:rsidR="00C91693" w:rsidRPr="00C168C5" w:rsidRDefault="00C91693" w:rsidP="00243943">
            <w:pPr>
              <w:rPr>
                <w:szCs w:val="22"/>
                <w:lang w:val="es-ES_tradnl"/>
              </w:rPr>
            </w:pPr>
          </w:p>
          <w:p w14:paraId="04553B66" w14:textId="77777777" w:rsidR="00C91693" w:rsidRPr="00C168C5" w:rsidRDefault="00C91693" w:rsidP="00243943">
            <w:pPr>
              <w:rPr>
                <w:szCs w:val="22"/>
                <w:lang w:val="es-ES_tradnl"/>
              </w:rPr>
            </w:pPr>
          </w:p>
          <w:p w14:paraId="54D46A08" w14:textId="77777777" w:rsidR="00C91693" w:rsidRPr="00C168C5" w:rsidRDefault="00C91693" w:rsidP="00243943">
            <w:pPr>
              <w:rPr>
                <w:szCs w:val="22"/>
                <w:lang w:val="es-ES_tradnl"/>
              </w:rPr>
            </w:pPr>
          </w:p>
        </w:tc>
      </w:tr>
      <w:tr w:rsidR="00C91693" w:rsidRPr="00C168C5" w14:paraId="1320EFFF" w14:textId="77777777" w:rsidTr="00243943">
        <w:trPr>
          <w:trHeight w:val="3844"/>
        </w:trPr>
        <w:tc>
          <w:tcPr>
            <w:tcW w:w="2358" w:type="dxa"/>
            <w:tcBorders>
              <w:top w:val="single" w:sz="2" w:space="0" w:color="000000"/>
              <w:left w:val="single" w:sz="2" w:space="0" w:color="000000"/>
              <w:bottom w:val="single" w:sz="2" w:space="0" w:color="000000"/>
              <w:right w:val="single" w:sz="4" w:space="0" w:color="auto"/>
            </w:tcBorders>
            <w:shd w:val="clear" w:color="auto" w:fill="auto"/>
          </w:tcPr>
          <w:p w14:paraId="08F81CD8" w14:textId="77777777" w:rsidR="00C91693" w:rsidRPr="00C168C5" w:rsidRDefault="00C91693" w:rsidP="00243943">
            <w:pPr>
              <w:rPr>
                <w:szCs w:val="22"/>
                <w:lang w:val="es-ES_tradnl"/>
              </w:rPr>
            </w:pPr>
          </w:p>
          <w:p w14:paraId="69CEC703" w14:textId="77777777" w:rsidR="00ED5BA5" w:rsidRPr="00C168C5" w:rsidRDefault="00ED5BA5" w:rsidP="00ED5BA5">
            <w:pPr>
              <w:rPr>
                <w:rFonts w:eastAsia="Malgun Gothic"/>
                <w:kern w:val="2"/>
                <w:lang w:val="es-ES_tradnl" w:eastAsia="ko-KR"/>
              </w:rPr>
            </w:pPr>
            <w:r w:rsidRPr="00C168C5">
              <w:rPr>
                <w:rFonts w:eastAsia="Malgun Gothic"/>
                <w:kern w:val="2"/>
                <w:lang w:val="es-ES_tradnl" w:eastAsia="ko-KR"/>
              </w:rPr>
              <w:t>Elaboración de un plan de protección de los diseños en colaboración con el sector empresarial</w:t>
            </w:r>
          </w:p>
          <w:p w14:paraId="31775147" w14:textId="0FEFC3F7" w:rsidR="00C91693" w:rsidRPr="00C168C5" w:rsidRDefault="00C91693" w:rsidP="00243943">
            <w:pPr>
              <w:rPr>
                <w:szCs w:val="22"/>
                <w:lang w:val="es-ES_tradnl"/>
              </w:rPr>
            </w:pPr>
          </w:p>
          <w:p w14:paraId="4975DD38" w14:textId="77777777" w:rsidR="00C91693" w:rsidRPr="00C168C5" w:rsidRDefault="00C91693" w:rsidP="00243943">
            <w:pPr>
              <w:rPr>
                <w:szCs w:val="22"/>
                <w:lang w:val="es-ES_tradnl"/>
              </w:rPr>
            </w:pPr>
          </w:p>
          <w:p w14:paraId="49B491AC" w14:textId="77777777" w:rsidR="00C91693" w:rsidRPr="00C168C5" w:rsidRDefault="00C91693" w:rsidP="00243943">
            <w:pPr>
              <w:rPr>
                <w:szCs w:val="22"/>
                <w:lang w:val="es-ES_tradnl"/>
              </w:rPr>
            </w:pPr>
          </w:p>
        </w:tc>
        <w:tc>
          <w:tcPr>
            <w:tcW w:w="2694" w:type="dxa"/>
            <w:tcBorders>
              <w:top w:val="single" w:sz="4" w:space="0" w:color="auto"/>
              <w:left w:val="single" w:sz="4" w:space="0" w:color="auto"/>
              <w:bottom w:val="single" w:sz="6" w:space="0" w:color="000000"/>
              <w:right w:val="single" w:sz="2" w:space="0" w:color="000000"/>
            </w:tcBorders>
            <w:shd w:val="clear" w:color="auto" w:fill="auto"/>
          </w:tcPr>
          <w:p w14:paraId="2F4555A4" w14:textId="77777777" w:rsidR="00C91693" w:rsidRPr="00C168C5" w:rsidRDefault="00C91693" w:rsidP="00243943">
            <w:pPr>
              <w:tabs>
                <w:tab w:val="num" w:pos="1701"/>
              </w:tabs>
              <w:rPr>
                <w:szCs w:val="22"/>
                <w:lang w:val="es-ES_tradnl"/>
              </w:rPr>
            </w:pPr>
          </w:p>
          <w:p w14:paraId="11F34C79" w14:textId="6833BC33" w:rsidR="00C91693" w:rsidRPr="00C168C5" w:rsidRDefault="00ED5BA5" w:rsidP="00903EA9">
            <w:pPr>
              <w:numPr>
                <w:ilvl w:val="1"/>
                <w:numId w:val="13"/>
              </w:numPr>
              <w:tabs>
                <w:tab w:val="clear" w:pos="1134"/>
                <w:tab w:val="num" w:pos="601"/>
              </w:tabs>
              <w:ind w:left="0"/>
              <w:rPr>
                <w:szCs w:val="22"/>
                <w:lang w:val="es-ES_tradnl"/>
              </w:rPr>
            </w:pPr>
            <w:r w:rsidRPr="00C168C5">
              <w:rPr>
                <w:rFonts w:eastAsia="Malgun Gothic"/>
                <w:kern w:val="2"/>
                <w:lang w:val="es-ES_tradnl" w:eastAsia="ko-KR"/>
              </w:rPr>
              <w:t>Elaboración de un plan de protección de los diseños en estrecha colaboración con determinadas empresas;  y</w:t>
            </w:r>
          </w:p>
          <w:p w14:paraId="3DC973E8" w14:textId="77777777" w:rsidR="00C91693" w:rsidRPr="00C168C5" w:rsidRDefault="00C91693" w:rsidP="00243943">
            <w:pPr>
              <w:rPr>
                <w:szCs w:val="22"/>
                <w:lang w:val="es-ES_tradnl"/>
              </w:rPr>
            </w:pPr>
          </w:p>
          <w:p w14:paraId="74705CBA" w14:textId="687BAB0F" w:rsidR="00C91693" w:rsidRPr="00C168C5" w:rsidRDefault="00ED5BA5" w:rsidP="00903EA9">
            <w:pPr>
              <w:numPr>
                <w:ilvl w:val="1"/>
                <w:numId w:val="13"/>
              </w:numPr>
              <w:tabs>
                <w:tab w:val="clear" w:pos="1134"/>
                <w:tab w:val="num" w:pos="601"/>
              </w:tabs>
              <w:ind w:left="0"/>
              <w:rPr>
                <w:szCs w:val="22"/>
                <w:lang w:val="es-ES_tradnl"/>
              </w:rPr>
            </w:pPr>
            <w:r w:rsidRPr="00C168C5">
              <w:rPr>
                <w:rFonts w:eastAsia="Malgun Gothic"/>
                <w:kern w:val="2"/>
                <w:lang w:val="es-ES_tradnl" w:eastAsia="ko-KR"/>
              </w:rPr>
              <w:t>Número e importancia de los diseños por empresa que podrían ser objeto de una estrategia de protección de diseños (selección efectuada con la ayuda del experto o expertos nacionales).</w:t>
            </w:r>
          </w:p>
          <w:p w14:paraId="15A2366C" w14:textId="77777777" w:rsidR="00C91693" w:rsidRPr="00C168C5" w:rsidRDefault="00C91693" w:rsidP="00243943">
            <w:pPr>
              <w:tabs>
                <w:tab w:val="num" w:pos="1701"/>
              </w:tabs>
              <w:rPr>
                <w:szCs w:val="22"/>
                <w:lang w:val="es-ES_tradnl"/>
              </w:rPr>
            </w:pPr>
          </w:p>
        </w:tc>
        <w:tc>
          <w:tcPr>
            <w:tcW w:w="3228" w:type="dxa"/>
            <w:tcBorders>
              <w:top w:val="single" w:sz="2" w:space="0" w:color="000000"/>
              <w:left w:val="single" w:sz="2" w:space="0" w:color="000000"/>
              <w:bottom w:val="single" w:sz="2" w:space="0" w:color="000000"/>
              <w:right w:val="single" w:sz="2" w:space="0" w:color="000000"/>
            </w:tcBorders>
            <w:shd w:val="clear" w:color="auto" w:fill="auto"/>
          </w:tcPr>
          <w:p w14:paraId="0B0E819D" w14:textId="77777777" w:rsidR="00C91693" w:rsidRPr="00C168C5" w:rsidRDefault="00C91693" w:rsidP="00243943">
            <w:pPr>
              <w:rPr>
                <w:szCs w:val="22"/>
                <w:lang w:val="es-ES_tradnl"/>
              </w:rPr>
            </w:pPr>
          </w:p>
          <w:p w14:paraId="2B88761F" w14:textId="77777777" w:rsidR="002F4AC7" w:rsidRPr="00C168C5" w:rsidRDefault="002F4AC7" w:rsidP="00903EA9">
            <w:pPr>
              <w:numPr>
                <w:ilvl w:val="0"/>
                <w:numId w:val="25"/>
              </w:numPr>
              <w:rPr>
                <w:szCs w:val="22"/>
                <w:lang w:val="es-ES_tradnl"/>
              </w:rPr>
            </w:pPr>
            <w:r w:rsidRPr="00C168C5">
              <w:rPr>
                <w:szCs w:val="22"/>
                <w:lang w:val="es-ES_tradnl"/>
              </w:rPr>
              <w:t>Se están elaborando los planes de protección de los diseños en estrecha colaboración con determinadas empresas, con la ayuda de expertos nacionales</w:t>
            </w:r>
            <w:r w:rsidR="00C91693" w:rsidRPr="00C168C5">
              <w:rPr>
                <w:szCs w:val="22"/>
                <w:lang w:val="es-ES_tradnl"/>
              </w:rPr>
              <w:t>;</w:t>
            </w:r>
          </w:p>
          <w:p w14:paraId="7BE83565" w14:textId="77777777" w:rsidR="002F4AC7" w:rsidRPr="00C168C5" w:rsidRDefault="002F4AC7" w:rsidP="002F4AC7">
            <w:pPr>
              <w:rPr>
                <w:szCs w:val="22"/>
                <w:lang w:val="es-ES_tradnl"/>
              </w:rPr>
            </w:pPr>
          </w:p>
          <w:p w14:paraId="2799B197" w14:textId="01DE606A" w:rsidR="00C91693" w:rsidRPr="00C168C5" w:rsidRDefault="002F4AC7" w:rsidP="00903EA9">
            <w:pPr>
              <w:numPr>
                <w:ilvl w:val="0"/>
                <w:numId w:val="25"/>
              </w:numPr>
              <w:rPr>
                <w:szCs w:val="22"/>
                <w:lang w:val="es-ES_tradnl"/>
              </w:rPr>
            </w:pPr>
            <w:r w:rsidRPr="00C168C5">
              <w:rPr>
                <w:iCs/>
                <w:szCs w:val="22"/>
                <w:lang w:val="es-ES_tradnl"/>
              </w:rPr>
              <w:t>Es demasiado pronto para suministrar materiales</w:t>
            </w:r>
            <w:r w:rsidR="00C91693" w:rsidRPr="00C168C5">
              <w:rPr>
                <w:iCs/>
                <w:szCs w:val="22"/>
                <w:lang w:val="es-ES_tradnl"/>
              </w:rPr>
              <w:t xml:space="preserve"> </w:t>
            </w:r>
          </w:p>
          <w:p w14:paraId="4E3EB5B6" w14:textId="77777777" w:rsidR="00C91693" w:rsidRPr="00C168C5" w:rsidRDefault="00C91693" w:rsidP="00243943">
            <w:pPr>
              <w:rPr>
                <w:iCs/>
                <w:szCs w:val="22"/>
                <w:lang w:val="es-ES_tradnl"/>
              </w:rPr>
            </w:pPr>
          </w:p>
          <w:p w14:paraId="56CDE85F" w14:textId="77267F60" w:rsidR="00C91693" w:rsidRPr="00C168C5" w:rsidRDefault="009C32BB" w:rsidP="00243943">
            <w:pPr>
              <w:rPr>
                <w:iCs/>
                <w:szCs w:val="22"/>
                <w:lang w:val="es-ES_tradnl"/>
              </w:rPr>
            </w:pPr>
            <w:r w:rsidRPr="00C168C5">
              <w:rPr>
                <w:iCs/>
                <w:szCs w:val="22"/>
                <w:lang w:val="es-ES_tradnl"/>
              </w:rPr>
              <w:t>Se están analizando las carpetas</w:t>
            </w:r>
            <w:r w:rsidR="002924C9" w:rsidRPr="00C168C5">
              <w:rPr>
                <w:iCs/>
                <w:szCs w:val="22"/>
                <w:lang w:val="es-ES_tradnl"/>
              </w:rPr>
              <w:t xml:space="preserve"> de los diseños</w:t>
            </w:r>
            <w:r w:rsidR="00C91693" w:rsidRPr="00C168C5">
              <w:rPr>
                <w:iCs/>
                <w:szCs w:val="22"/>
                <w:lang w:val="es-ES_tradnl"/>
              </w:rPr>
              <w:t xml:space="preserve"> (</w:t>
            </w:r>
            <w:r w:rsidR="002924C9" w:rsidRPr="00C168C5">
              <w:rPr>
                <w:iCs/>
                <w:szCs w:val="22"/>
                <w:lang w:val="es-ES_tradnl"/>
              </w:rPr>
              <w:t>con la ayuda de expertos nacionales en ambos países</w:t>
            </w:r>
            <w:r w:rsidR="00C91693" w:rsidRPr="00C168C5">
              <w:rPr>
                <w:iCs/>
                <w:szCs w:val="22"/>
                <w:lang w:val="es-ES_tradnl"/>
              </w:rPr>
              <w:t>).</w:t>
            </w:r>
          </w:p>
          <w:p w14:paraId="34587BE0" w14:textId="77777777" w:rsidR="00C91693" w:rsidRPr="00C168C5" w:rsidRDefault="00C91693" w:rsidP="00243943">
            <w:pPr>
              <w:rPr>
                <w:szCs w:val="22"/>
                <w:lang w:val="es-ES_tradn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95016A" w14:textId="77777777" w:rsidR="00C91693" w:rsidRPr="00C168C5" w:rsidRDefault="00C91693" w:rsidP="00243943">
            <w:pPr>
              <w:rPr>
                <w:szCs w:val="22"/>
                <w:lang w:val="es-ES_tradnl"/>
              </w:rPr>
            </w:pPr>
          </w:p>
          <w:p w14:paraId="0C640C76" w14:textId="7F9D934B" w:rsidR="00C91693" w:rsidRPr="00C168C5" w:rsidRDefault="00C91693" w:rsidP="00243943">
            <w:pPr>
              <w:rPr>
                <w:szCs w:val="22"/>
                <w:lang w:val="es-ES_tradnl"/>
              </w:rPr>
            </w:pPr>
            <w:r w:rsidRPr="00C168C5">
              <w:rPr>
                <w:szCs w:val="22"/>
                <w:lang w:val="es-ES_tradnl"/>
              </w:rPr>
              <w:t>a) ***</w:t>
            </w:r>
          </w:p>
          <w:p w14:paraId="753ED33F" w14:textId="77777777" w:rsidR="00C91693" w:rsidRPr="00C168C5" w:rsidRDefault="00C91693" w:rsidP="00243943">
            <w:pPr>
              <w:rPr>
                <w:szCs w:val="22"/>
                <w:lang w:val="es-ES_tradnl"/>
              </w:rPr>
            </w:pPr>
          </w:p>
          <w:p w14:paraId="063B0390" w14:textId="77777777" w:rsidR="00C91693" w:rsidRPr="00C168C5" w:rsidRDefault="00C91693" w:rsidP="00243943">
            <w:pPr>
              <w:rPr>
                <w:szCs w:val="22"/>
                <w:lang w:val="es-ES_tradnl"/>
              </w:rPr>
            </w:pPr>
          </w:p>
          <w:p w14:paraId="21045F8A" w14:textId="77777777" w:rsidR="00C91693" w:rsidRPr="00C168C5" w:rsidRDefault="00C91693" w:rsidP="00243943">
            <w:pPr>
              <w:rPr>
                <w:szCs w:val="22"/>
                <w:lang w:val="es-ES_tradnl"/>
              </w:rPr>
            </w:pPr>
          </w:p>
          <w:p w14:paraId="3FD1FBC3" w14:textId="77777777" w:rsidR="00C91693" w:rsidRPr="00C168C5" w:rsidRDefault="00C91693" w:rsidP="00243943">
            <w:pPr>
              <w:rPr>
                <w:szCs w:val="22"/>
                <w:lang w:val="es-ES_tradnl"/>
              </w:rPr>
            </w:pPr>
          </w:p>
          <w:p w14:paraId="75B43E61" w14:textId="77777777" w:rsidR="00C91693" w:rsidRPr="00C168C5" w:rsidRDefault="00C91693" w:rsidP="00243943">
            <w:pPr>
              <w:rPr>
                <w:szCs w:val="22"/>
                <w:lang w:val="es-ES_tradnl"/>
              </w:rPr>
            </w:pPr>
          </w:p>
          <w:p w14:paraId="1ECA0793" w14:textId="5B28AB57" w:rsidR="00C91693" w:rsidRPr="00C168C5" w:rsidRDefault="00C91693" w:rsidP="00243943">
            <w:pPr>
              <w:rPr>
                <w:szCs w:val="22"/>
                <w:lang w:val="es-ES_tradnl"/>
              </w:rPr>
            </w:pPr>
            <w:r w:rsidRPr="00C168C5">
              <w:rPr>
                <w:szCs w:val="22"/>
                <w:lang w:val="es-ES_tradnl"/>
              </w:rPr>
              <w:t>b) **</w:t>
            </w:r>
          </w:p>
          <w:p w14:paraId="47916174" w14:textId="77777777" w:rsidR="00C91693" w:rsidRPr="00C168C5" w:rsidRDefault="00C91693" w:rsidP="00243943">
            <w:pPr>
              <w:rPr>
                <w:szCs w:val="22"/>
                <w:lang w:val="es-ES_tradnl"/>
              </w:rPr>
            </w:pPr>
          </w:p>
          <w:p w14:paraId="2F546AD2" w14:textId="77777777" w:rsidR="00C91693" w:rsidRPr="00C168C5" w:rsidRDefault="00C91693" w:rsidP="00243943">
            <w:pPr>
              <w:rPr>
                <w:szCs w:val="22"/>
                <w:lang w:val="es-ES_tradnl"/>
              </w:rPr>
            </w:pPr>
          </w:p>
          <w:p w14:paraId="5492BF4C" w14:textId="77777777" w:rsidR="00C91693" w:rsidRPr="00C168C5" w:rsidRDefault="00C91693" w:rsidP="00243943">
            <w:pPr>
              <w:rPr>
                <w:szCs w:val="22"/>
                <w:lang w:val="es-ES_tradnl"/>
              </w:rPr>
            </w:pPr>
          </w:p>
          <w:p w14:paraId="1CC1AB9D" w14:textId="77777777" w:rsidR="00C91693" w:rsidRPr="00C168C5" w:rsidRDefault="00C91693" w:rsidP="00243943">
            <w:pPr>
              <w:rPr>
                <w:szCs w:val="22"/>
                <w:lang w:val="es-ES_tradnl"/>
              </w:rPr>
            </w:pPr>
          </w:p>
          <w:p w14:paraId="4CE17A2E" w14:textId="77777777" w:rsidR="00C91693" w:rsidRPr="00C168C5" w:rsidRDefault="00C91693" w:rsidP="00243943">
            <w:pPr>
              <w:rPr>
                <w:szCs w:val="22"/>
                <w:lang w:val="es-ES_tradnl"/>
              </w:rPr>
            </w:pPr>
          </w:p>
          <w:p w14:paraId="01190FE1" w14:textId="77777777" w:rsidR="00C91693" w:rsidRPr="00C168C5" w:rsidRDefault="00C91693" w:rsidP="00243943">
            <w:pPr>
              <w:rPr>
                <w:szCs w:val="22"/>
                <w:lang w:val="es-ES_tradnl"/>
              </w:rPr>
            </w:pPr>
          </w:p>
          <w:p w14:paraId="3982E40F" w14:textId="77777777" w:rsidR="00C91693" w:rsidRPr="00C168C5" w:rsidRDefault="00C91693" w:rsidP="00243943">
            <w:pPr>
              <w:rPr>
                <w:szCs w:val="22"/>
                <w:lang w:val="es-ES_tradnl"/>
              </w:rPr>
            </w:pPr>
          </w:p>
          <w:p w14:paraId="6D73EB90" w14:textId="77777777" w:rsidR="00C91693" w:rsidRPr="00C168C5" w:rsidRDefault="00C91693" w:rsidP="00243943">
            <w:pPr>
              <w:rPr>
                <w:szCs w:val="22"/>
                <w:lang w:val="es-ES_tradnl"/>
              </w:rPr>
            </w:pPr>
          </w:p>
        </w:tc>
      </w:tr>
      <w:tr w:rsidR="00C91693" w:rsidRPr="00C168C5" w14:paraId="33C8D5E5" w14:textId="77777777" w:rsidTr="00243943">
        <w:trPr>
          <w:trHeight w:val="2152"/>
        </w:trPr>
        <w:tc>
          <w:tcPr>
            <w:tcW w:w="2358" w:type="dxa"/>
            <w:tcBorders>
              <w:top w:val="single" w:sz="2" w:space="0" w:color="000000"/>
              <w:left w:val="single" w:sz="2" w:space="0" w:color="000000"/>
              <w:bottom w:val="single" w:sz="2" w:space="0" w:color="000000"/>
              <w:right w:val="single" w:sz="4" w:space="0" w:color="auto"/>
            </w:tcBorders>
            <w:shd w:val="clear" w:color="auto" w:fill="auto"/>
          </w:tcPr>
          <w:p w14:paraId="71A3C6B3" w14:textId="77777777" w:rsidR="00C91693" w:rsidRPr="00C168C5" w:rsidRDefault="00C91693" w:rsidP="00243943">
            <w:pPr>
              <w:rPr>
                <w:szCs w:val="22"/>
                <w:lang w:val="es-ES_tradnl"/>
              </w:rPr>
            </w:pPr>
          </w:p>
          <w:p w14:paraId="330AC2A8" w14:textId="6809E8D3" w:rsidR="00C91693" w:rsidRPr="00C168C5" w:rsidRDefault="002924C9" w:rsidP="00243943">
            <w:pPr>
              <w:rPr>
                <w:szCs w:val="22"/>
                <w:lang w:val="es-ES_tradnl"/>
              </w:rPr>
            </w:pPr>
            <w:r w:rsidRPr="00C168C5">
              <w:rPr>
                <w:rFonts w:eastAsia="Malgun Gothic"/>
                <w:kern w:val="2"/>
                <w:lang w:val="es-ES_tradnl" w:eastAsia="ko-KR"/>
              </w:rPr>
              <w:t>Aplicación de una protección preventiva de los diseños mediante los debidos mecanismos de protección en los mercados nacionales y, en su caso, internacionales</w:t>
            </w:r>
          </w:p>
          <w:p w14:paraId="3EDA63CC" w14:textId="77777777" w:rsidR="00C91693" w:rsidRPr="00C168C5" w:rsidRDefault="00C91693" w:rsidP="00243943">
            <w:pPr>
              <w:rPr>
                <w:szCs w:val="22"/>
                <w:lang w:val="es-ES_tradnl"/>
              </w:rPr>
            </w:pPr>
          </w:p>
        </w:tc>
        <w:tc>
          <w:tcPr>
            <w:tcW w:w="2694" w:type="dxa"/>
            <w:tcBorders>
              <w:top w:val="single" w:sz="6" w:space="0" w:color="000000"/>
              <w:left w:val="single" w:sz="4" w:space="0" w:color="auto"/>
              <w:bottom w:val="single" w:sz="4" w:space="0" w:color="auto"/>
              <w:right w:val="single" w:sz="4" w:space="0" w:color="auto"/>
            </w:tcBorders>
            <w:shd w:val="clear" w:color="auto" w:fill="auto"/>
          </w:tcPr>
          <w:p w14:paraId="5B336EDC" w14:textId="77777777" w:rsidR="00C91693" w:rsidRPr="00C168C5" w:rsidRDefault="00C91693" w:rsidP="00243943">
            <w:pPr>
              <w:rPr>
                <w:szCs w:val="22"/>
                <w:lang w:val="es-ES_tradnl"/>
              </w:rPr>
            </w:pPr>
          </w:p>
          <w:p w14:paraId="5F30E163" w14:textId="326A4D08" w:rsidR="00C91693" w:rsidRPr="00C168C5" w:rsidRDefault="002924C9" w:rsidP="00243943">
            <w:pPr>
              <w:rPr>
                <w:szCs w:val="22"/>
                <w:lang w:val="es-ES_tradnl"/>
              </w:rPr>
            </w:pPr>
            <w:r w:rsidRPr="00C168C5">
              <w:rPr>
                <w:rFonts w:eastAsia="Malgun Gothic"/>
                <w:kern w:val="2"/>
                <w:lang w:val="es-ES_tradnl" w:eastAsia="ko-KR"/>
              </w:rPr>
              <w:t>Número de solicitudes de registro de diseños iniciadas o presentadas o número de otros títulos de protección jurídica obtenidos</w:t>
            </w:r>
          </w:p>
          <w:p w14:paraId="71436948" w14:textId="77777777" w:rsidR="00C91693" w:rsidRPr="00C168C5" w:rsidRDefault="00C91693" w:rsidP="00243943">
            <w:pPr>
              <w:rPr>
                <w:szCs w:val="22"/>
                <w:lang w:val="es-ES_tradnl"/>
              </w:rPr>
            </w:pPr>
          </w:p>
        </w:tc>
        <w:tc>
          <w:tcPr>
            <w:tcW w:w="3228" w:type="dxa"/>
            <w:tcBorders>
              <w:top w:val="single" w:sz="2" w:space="0" w:color="000000"/>
              <w:left w:val="single" w:sz="4" w:space="0" w:color="auto"/>
              <w:bottom w:val="single" w:sz="2" w:space="0" w:color="000000"/>
              <w:right w:val="single" w:sz="2" w:space="0" w:color="000000"/>
            </w:tcBorders>
            <w:shd w:val="clear" w:color="auto" w:fill="auto"/>
            <w:vAlign w:val="center"/>
          </w:tcPr>
          <w:p w14:paraId="1DFE8748" w14:textId="77777777" w:rsidR="002924C9" w:rsidRPr="00C168C5" w:rsidRDefault="002924C9" w:rsidP="002924C9">
            <w:pPr>
              <w:rPr>
                <w:szCs w:val="22"/>
                <w:lang w:val="es-ES_tradnl"/>
              </w:rPr>
            </w:pPr>
            <w:r w:rsidRPr="00C168C5">
              <w:rPr>
                <w:iCs/>
                <w:szCs w:val="22"/>
                <w:lang w:val="es-ES_tradnl"/>
              </w:rPr>
              <w:t xml:space="preserve">Es demasiado pronto para suministrar materiales </w:t>
            </w:r>
          </w:p>
          <w:p w14:paraId="422AD296" w14:textId="0CF13EAF" w:rsidR="00C91693" w:rsidRPr="00C168C5" w:rsidRDefault="00C91693" w:rsidP="00243943">
            <w:pPr>
              <w:rPr>
                <w:iCs/>
                <w:szCs w:val="22"/>
                <w:lang w:val="es-ES_tradnl"/>
              </w:rPr>
            </w:pPr>
          </w:p>
          <w:p w14:paraId="744971F6" w14:textId="3319F496" w:rsidR="00C91693" w:rsidRPr="00C168C5" w:rsidRDefault="002924C9" w:rsidP="00243943">
            <w:pPr>
              <w:rPr>
                <w:iCs/>
                <w:szCs w:val="22"/>
                <w:lang w:val="es-ES_tradnl"/>
              </w:rPr>
            </w:pPr>
            <w:r w:rsidRPr="00C168C5">
              <w:rPr>
                <w:iCs/>
                <w:szCs w:val="22"/>
                <w:lang w:val="es-ES_tradnl"/>
              </w:rPr>
              <w:t xml:space="preserve">Ya se han iniciado algunas </w:t>
            </w:r>
            <w:r w:rsidR="003A1B1D" w:rsidRPr="00C168C5">
              <w:rPr>
                <w:iCs/>
                <w:szCs w:val="22"/>
                <w:lang w:val="es-ES_tradnl"/>
              </w:rPr>
              <w:t>solicitudes para diseños</w:t>
            </w:r>
          </w:p>
          <w:p w14:paraId="40A5E493" w14:textId="77777777" w:rsidR="00C91693" w:rsidRPr="00C168C5" w:rsidRDefault="00C91693" w:rsidP="00243943">
            <w:pPr>
              <w:rPr>
                <w:iCs/>
                <w:szCs w:val="22"/>
                <w:lang w:val="es-ES_tradnl"/>
              </w:rPr>
            </w:pPr>
          </w:p>
          <w:p w14:paraId="373EBF22" w14:textId="77777777" w:rsidR="00C91693" w:rsidRPr="00C168C5" w:rsidRDefault="00C91693" w:rsidP="00243943">
            <w:pPr>
              <w:rPr>
                <w:szCs w:val="22"/>
                <w:lang w:val="es-ES_tradnl"/>
              </w:rPr>
            </w:pPr>
          </w:p>
          <w:p w14:paraId="7D374C1F" w14:textId="77777777" w:rsidR="00C91693" w:rsidRPr="00C168C5" w:rsidRDefault="00C91693" w:rsidP="00243943">
            <w:pPr>
              <w:rPr>
                <w:szCs w:val="22"/>
                <w:lang w:val="es-ES_tradnl"/>
              </w:rPr>
            </w:pPr>
          </w:p>
          <w:p w14:paraId="4D703A1F" w14:textId="77777777" w:rsidR="00C91693" w:rsidRPr="00C168C5" w:rsidRDefault="00C91693" w:rsidP="00243943">
            <w:pPr>
              <w:rPr>
                <w:szCs w:val="22"/>
                <w:lang w:val="es-ES_tradn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7290A6" w14:textId="77777777" w:rsidR="00C91693" w:rsidRPr="00C168C5" w:rsidRDefault="00C91693" w:rsidP="00243943">
            <w:pPr>
              <w:rPr>
                <w:szCs w:val="22"/>
                <w:lang w:val="es-ES_tradnl"/>
              </w:rPr>
            </w:pPr>
            <w:r w:rsidRPr="00C168C5">
              <w:rPr>
                <w:szCs w:val="22"/>
                <w:lang w:val="es-ES_tradnl"/>
              </w:rPr>
              <w:t>**</w:t>
            </w:r>
          </w:p>
          <w:p w14:paraId="772424E4" w14:textId="77777777" w:rsidR="00C91693" w:rsidRPr="00C168C5" w:rsidRDefault="00C91693" w:rsidP="00243943">
            <w:pPr>
              <w:rPr>
                <w:szCs w:val="22"/>
                <w:lang w:val="es-ES_tradnl"/>
              </w:rPr>
            </w:pPr>
          </w:p>
          <w:p w14:paraId="40A830F2" w14:textId="77777777" w:rsidR="00C91693" w:rsidRPr="00C168C5" w:rsidRDefault="00C91693" w:rsidP="00243943">
            <w:pPr>
              <w:rPr>
                <w:szCs w:val="22"/>
                <w:lang w:val="es-ES_tradnl"/>
              </w:rPr>
            </w:pPr>
          </w:p>
          <w:p w14:paraId="0F6A7FF8" w14:textId="77777777" w:rsidR="00C91693" w:rsidRPr="00C168C5" w:rsidRDefault="00C91693" w:rsidP="00243943">
            <w:pPr>
              <w:rPr>
                <w:szCs w:val="22"/>
                <w:lang w:val="es-ES_tradnl"/>
              </w:rPr>
            </w:pPr>
          </w:p>
          <w:p w14:paraId="03BC0E96" w14:textId="77777777" w:rsidR="00C91693" w:rsidRPr="00C168C5" w:rsidRDefault="00C91693" w:rsidP="00243943">
            <w:pPr>
              <w:rPr>
                <w:szCs w:val="22"/>
                <w:lang w:val="es-ES_tradnl"/>
              </w:rPr>
            </w:pPr>
          </w:p>
          <w:p w14:paraId="60883A86" w14:textId="77777777" w:rsidR="00C91693" w:rsidRPr="00C168C5" w:rsidRDefault="00C91693" w:rsidP="00243943">
            <w:pPr>
              <w:rPr>
                <w:szCs w:val="22"/>
                <w:lang w:val="es-ES_tradnl"/>
              </w:rPr>
            </w:pPr>
          </w:p>
          <w:p w14:paraId="653A230F" w14:textId="77777777" w:rsidR="00C91693" w:rsidRPr="00C168C5" w:rsidRDefault="00C91693" w:rsidP="00243943">
            <w:pPr>
              <w:rPr>
                <w:szCs w:val="22"/>
                <w:lang w:val="es-ES_tradnl"/>
              </w:rPr>
            </w:pPr>
          </w:p>
          <w:p w14:paraId="025FE460" w14:textId="77777777" w:rsidR="00C91693" w:rsidRPr="00C168C5" w:rsidRDefault="00C91693" w:rsidP="00243943">
            <w:pPr>
              <w:rPr>
                <w:szCs w:val="22"/>
                <w:lang w:val="es-ES_tradnl"/>
              </w:rPr>
            </w:pPr>
          </w:p>
        </w:tc>
      </w:tr>
      <w:tr w:rsidR="00C91693" w:rsidRPr="00C168C5" w14:paraId="13557B2B" w14:textId="77777777" w:rsidTr="00243943">
        <w:trPr>
          <w:trHeight w:val="1288"/>
        </w:trPr>
        <w:tc>
          <w:tcPr>
            <w:tcW w:w="2358" w:type="dxa"/>
            <w:tcBorders>
              <w:left w:val="single" w:sz="2" w:space="0" w:color="000000"/>
              <w:bottom w:val="single" w:sz="2" w:space="0" w:color="000000"/>
              <w:right w:val="single" w:sz="4" w:space="0" w:color="auto"/>
            </w:tcBorders>
            <w:shd w:val="clear" w:color="auto" w:fill="auto"/>
          </w:tcPr>
          <w:p w14:paraId="3AC293AD" w14:textId="77777777" w:rsidR="00C91693" w:rsidRPr="00C168C5" w:rsidRDefault="00C91693" w:rsidP="00243943">
            <w:pPr>
              <w:rPr>
                <w:szCs w:val="22"/>
                <w:lang w:val="es-ES_tradnl"/>
              </w:rPr>
            </w:pPr>
          </w:p>
          <w:p w14:paraId="55A82A64" w14:textId="4BE95A53" w:rsidR="00C91693" w:rsidRPr="00C168C5" w:rsidRDefault="00254F32" w:rsidP="00254F32">
            <w:pPr>
              <w:rPr>
                <w:szCs w:val="22"/>
                <w:lang w:val="es-ES_tradnl"/>
              </w:rPr>
            </w:pPr>
            <w:r w:rsidRPr="00C168C5">
              <w:rPr>
                <w:rFonts w:eastAsia="Malgun Gothic"/>
                <w:kern w:val="2"/>
                <w:lang w:val="es-ES_tradnl" w:eastAsia="ko-KR"/>
              </w:rPr>
              <w:t>Difusión en los mercados nacionales e internacionales</w:t>
            </w:r>
          </w:p>
        </w:tc>
        <w:tc>
          <w:tcPr>
            <w:tcW w:w="2694" w:type="dxa"/>
            <w:tcBorders>
              <w:top w:val="single" w:sz="4" w:space="0" w:color="auto"/>
              <w:left w:val="single" w:sz="4" w:space="0" w:color="auto"/>
              <w:bottom w:val="single" w:sz="2" w:space="0" w:color="000000"/>
              <w:right w:val="single" w:sz="2" w:space="0" w:color="000000"/>
            </w:tcBorders>
            <w:shd w:val="clear" w:color="auto" w:fill="auto"/>
          </w:tcPr>
          <w:p w14:paraId="2F6F104D" w14:textId="77777777" w:rsidR="00C91693" w:rsidRPr="00C168C5" w:rsidRDefault="00C91693" w:rsidP="00243943">
            <w:pPr>
              <w:rPr>
                <w:szCs w:val="22"/>
                <w:lang w:val="es-ES_tradnl"/>
              </w:rPr>
            </w:pPr>
          </w:p>
          <w:p w14:paraId="52D128DF" w14:textId="6C6E7A1A" w:rsidR="00C91693" w:rsidRPr="00C168C5" w:rsidRDefault="00254F32" w:rsidP="00254F32">
            <w:pPr>
              <w:rPr>
                <w:szCs w:val="22"/>
                <w:lang w:val="es-ES_tradnl"/>
              </w:rPr>
            </w:pPr>
            <w:r w:rsidRPr="00C168C5">
              <w:rPr>
                <w:rFonts w:eastAsia="Malgun Gothic"/>
                <w:kern w:val="2"/>
                <w:lang w:val="es-ES_tradnl" w:eastAsia="ko-KR"/>
              </w:rPr>
              <w:t xml:space="preserve">Presencia de empresas participantes en ferias comerciales especializadas, en los planos nacional e internacional (además de </w:t>
            </w:r>
            <w:r w:rsidRPr="00C168C5">
              <w:rPr>
                <w:rFonts w:eastAsia="Malgun Gothic"/>
                <w:kern w:val="2"/>
                <w:lang w:val="es-ES_tradnl" w:eastAsia="ko-KR"/>
              </w:rPr>
              <w:lastRenderedPageBreak/>
              <w:t>divulgación mediante otros canales por determinar).</w:t>
            </w:r>
          </w:p>
        </w:tc>
        <w:tc>
          <w:tcPr>
            <w:tcW w:w="32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5E6727" w14:textId="5A39F22C" w:rsidR="00C91693" w:rsidRPr="00C168C5" w:rsidRDefault="00D21100" w:rsidP="00243943">
            <w:pPr>
              <w:rPr>
                <w:szCs w:val="22"/>
                <w:lang w:val="es-ES_tradnl"/>
              </w:rPr>
            </w:pPr>
            <w:r w:rsidRPr="00C168C5">
              <w:rPr>
                <w:szCs w:val="22"/>
                <w:lang w:val="es-ES_tradnl"/>
              </w:rPr>
              <w:lastRenderedPageBreak/>
              <w:t>Las empresas beneficiarias han participado o participarán en ferias</w:t>
            </w:r>
            <w:r w:rsidR="00C91693" w:rsidRPr="00C168C5">
              <w:rPr>
                <w:szCs w:val="22"/>
                <w:lang w:val="es-ES_tradnl"/>
              </w:rPr>
              <w:t xml:space="preserve">.  </w:t>
            </w:r>
            <w:r w:rsidRPr="00C168C5">
              <w:rPr>
                <w:szCs w:val="22"/>
                <w:lang w:val="es-ES_tradnl"/>
              </w:rPr>
              <w:t>Se les facilita información/asesoramiento para sus empresas</w:t>
            </w:r>
            <w:r w:rsidR="00C91693" w:rsidRPr="00C168C5">
              <w:rPr>
                <w:szCs w:val="22"/>
                <w:lang w:val="es-ES_tradnl"/>
              </w:rPr>
              <w:t>.</w:t>
            </w:r>
          </w:p>
          <w:p w14:paraId="77A8010E" w14:textId="77777777" w:rsidR="00C91693" w:rsidRPr="00C168C5" w:rsidRDefault="00C91693" w:rsidP="00243943">
            <w:pPr>
              <w:rPr>
                <w:szCs w:val="22"/>
                <w:lang w:val="es-ES_tradnl"/>
              </w:rPr>
            </w:pPr>
          </w:p>
          <w:p w14:paraId="033D77A4" w14:textId="77777777" w:rsidR="00C91693" w:rsidRPr="00C168C5" w:rsidRDefault="00C91693" w:rsidP="00243943">
            <w:pPr>
              <w:rPr>
                <w:szCs w:val="22"/>
                <w:lang w:val="es-ES_tradnl"/>
              </w:rPr>
            </w:pPr>
          </w:p>
          <w:p w14:paraId="6823844D" w14:textId="77777777" w:rsidR="00C91693" w:rsidRPr="00C168C5" w:rsidRDefault="00C91693" w:rsidP="00243943">
            <w:pPr>
              <w:rPr>
                <w:szCs w:val="22"/>
                <w:lang w:val="es-ES_tradn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359760E2" w14:textId="77777777" w:rsidR="00C91693" w:rsidRPr="00C168C5" w:rsidRDefault="00C91693" w:rsidP="00243943">
            <w:pPr>
              <w:rPr>
                <w:szCs w:val="22"/>
                <w:lang w:val="es-ES_tradnl"/>
              </w:rPr>
            </w:pPr>
          </w:p>
          <w:p w14:paraId="0B6C7F98" w14:textId="77777777" w:rsidR="00C91693" w:rsidRPr="00C168C5" w:rsidRDefault="00C91693" w:rsidP="00243943">
            <w:pPr>
              <w:rPr>
                <w:szCs w:val="22"/>
                <w:lang w:val="es-ES_tradnl"/>
              </w:rPr>
            </w:pPr>
            <w:r w:rsidRPr="00C168C5">
              <w:rPr>
                <w:szCs w:val="22"/>
                <w:lang w:val="es-ES_tradnl"/>
              </w:rPr>
              <w:t>***</w:t>
            </w:r>
          </w:p>
          <w:p w14:paraId="5C679441" w14:textId="77777777" w:rsidR="00C91693" w:rsidRPr="00C168C5" w:rsidRDefault="00C91693" w:rsidP="00243943">
            <w:pPr>
              <w:rPr>
                <w:szCs w:val="22"/>
                <w:lang w:val="es-ES_tradnl"/>
              </w:rPr>
            </w:pPr>
          </w:p>
          <w:p w14:paraId="0CAF57A2" w14:textId="77777777" w:rsidR="00C91693" w:rsidRPr="00C168C5" w:rsidRDefault="00C91693" w:rsidP="00243943">
            <w:pPr>
              <w:rPr>
                <w:szCs w:val="22"/>
                <w:lang w:val="es-ES_tradnl"/>
              </w:rPr>
            </w:pPr>
          </w:p>
          <w:p w14:paraId="3DC1A969" w14:textId="77777777" w:rsidR="00C91693" w:rsidRPr="00C168C5" w:rsidRDefault="00C91693" w:rsidP="00243943">
            <w:pPr>
              <w:rPr>
                <w:szCs w:val="22"/>
                <w:lang w:val="es-ES_tradnl"/>
              </w:rPr>
            </w:pPr>
          </w:p>
          <w:p w14:paraId="498CE687" w14:textId="77777777" w:rsidR="00C91693" w:rsidRPr="00C168C5" w:rsidRDefault="00C91693" w:rsidP="00243943">
            <w:pPr>
              <w:rPr>
                <w:szCs w:val="22"/>
                <w:lang w:val="es-ES_tradnl"/>
              </w:rPr>
            </w:pPr>
          </w:p>
          <w:p w14:paraId="3D74AA86" w14:textId="77777777" w:rsidR="00C91693" w:rsidRPr="00C168C5" w:rsidRDefault="00C91693" w:rsidP="00243943">
            <w:pPr>
              <w:rPr>
                <w:szCs w:val="22"/>
                <w:lang w:val="es-ES_tradnl"/>
              </w:rPr>
            </w:pPr>
          </w:p>
          <w:p w14:paraId="3FBEBC95" w14:textId="77777777" w:rsidR="00C91693" w:rsidRPr="00C168C5" w:rsidRDefault="00C91693" w:rsidP="00243943">
            <w:pPr>
              <w:rPr>
                <w:szCs w:val="22"/>
                <w:lang w:val="es-ES_tradnl"/>
              </w:rPr>
            </w:pPr>
          </w:p>
        </w:tc>
      </w:tr>
    </w:tbl>
    <w:p w14:paraId="5162EEB2" w14:textId="77777777" w:rsidR="00C91693" w:rsidRPr="00C168C5" w:rsidRDefault="00C91693" w:rsidP="00C91693">
      <w:pPr>
        <w:rPr>
          <w:szCs w:val="22"/>
          <w:lang w:val="es-ES_tradnl"/>
        </w:rPr>
      </w:pPr>
    </w:p>
    <w:p w14:paraId="5B6C06D8" w14:textId="77777777" w:rsidR="00C91693" w:rsidRPr="00C168C5" w:rsidRDefault="00C91693" w:rsidP="00C91693">
      <w:pPr>
        <w:rPr>
          <w:szCs w:val="22"/>
          <w:lang w:val="es-ES_tradnl"/>
        </w:rPr>
      </w:pPr>
      <w:r w:rsidRPr="00C168C5">
        <w:rPr>
          <w:szCs w:val="22"/>
          <w:lang w:val="es-ES_tradnl"/>
        </w:rPr>
        <w:br w:type="page"/>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772"/>
        <w:gridCol w:w="3150"/>
        <w:gridCol w:w="1080"/>
      </w:tblGrid>
      <w:tr w:rsidR="00C91693" w:rsidRPr="00C168C5" w14:paraId="58CFBEB6" w14:textId="77777777" w:rsidTr="00E024D3">
        <w:trPr>
          <w:trHeight w:val="616"/>
        </w:trPr>
        <w:tc>
          <w:tcPr>
            <w:tcW w:w="2376" w:type="dxa"/>
            <w:shd w:val="clear" w:color="auto" w:fill="auto"/>
          </w:tcPr>
          <w:p w14:paraId="5A4F60B0" w14:textId="77777777" w:rsidR="00C91693" w:rsidRPr="00C168C5" w:rsidRDefault="00C91693" w:rsidP="00243943">
            <w:pPr>
              <w:rPr>
                <w:bCs/>
                <w:szCs w:val="22"/>
                <w:u w:val="single"/>
                <w:lang w:val="es-ES_tradnl"/>
              </w:rPr>
            </w:pPr>
          </w:p>
          <w:p w14:paraId="323D2012" w14:textId="3B9633DF" w:rsidR="00C91693" w:rsidRPr="00C168C5" w:rsidRDefault="00650CEE" w:rsidP="00650CEE">
            <w:pPr>
              <w:rPr>
                <w:bCs/>
                <w:szCs w:val="22"/>
                <w:u w:val="single"/>
                <w:lang w:val="es-ES_tradnl"/>
              </w:rPr>
            </w:pPr>
            <w:r w:rsidRPr="00C168C5">
              <w:rPr>
                <w:bCs/>
                <w:szCs w:val="22"/>
                <w:u w:val="single"/>
                <w:lang w:val="es-ES_tradnl"/>
              </w:rPr>
              <w:t>Objetivos del proyecto</w:t>
            </w:r>
          </w:p>
        </w:tc>
        <w:tc>
          <w:tcPr>
            <w:tcW w:w="2772" w:type="dxa"/>
            <w:shd w:val="clear" w:color="auto" w:fill="auto"/>
          </w:tcPr>
          <w:p w14:paraId="6E042E19" w14:textId="77777777" w:rsidR="00C91693" w:rsidRPr="00C168C5" w:rsidRDefault="00C91693" w:rsidP="00243943">
            <w:pPr>
              <w:rPr>
                <w:bCs/>
                <w:szCs w:val="22"/>
                <w:u w:val="single"/>
                <w:lang w:val="es-ES_tradnl"/>
              </w:rPr>
            </w:pPr>
          </w:p>
          <w:p w14:paraId="5A0B8BB2" w14:textId="77777777" w:rsidR="00650CEE" w:rsidRPr="00C168C5" w:rsidRDefault="00650CEE" w:rsidP="00650CEE">
            <w:pPr>
              <w:autoSpaceDE w:val="0"/>
              <w:autoSpaceDN w:val="0"/>
              <w:adjustRightInd w:val="0"/>
              <w:rPr>
                <w:bCs/>
                <w:szCs w:val="22"/>
                <w:u w:val="single"/>
                <w:lang w:val="es-ES_tradnl"/>
              </w:rPr>
            </w:pPr>
            <w:r w:rsidRPr="00C168C5">
              <w:rPr>
                <w:bCs/>
                <w:szCs w:val="22"/>
                <w:u w:val="single"/>
                <w:lang w:val="es-ES_tradnl"/>
              </w:rPr>
              <w:t>Indicadores de cumplimiento de los objetivos</w:t>
            </w:r>
          </w:p>
          <w:p w14:paraId="35918598" w14:textId="4552239C" w:rsidR="00C91693" w:rsidRPr="00C168C5" w:rsidRDefault="00650CEE" w:rsidP="00650CEE">
            <w:pPr>
              <w:autoSpaceDE w:val="0"/>
              <w:autoSpaceDN w:val="0"/>
              <w:adjustRightInd w:val="0"/>
              <w:rPr>
                <w:bCs/>
                <w:szCs w:val="22"/>
                <w:u w:val="single"/>
                <w:lang w:val="es-ES_tradnl"/>
              </w:rPr>
            </w:pPr>
            <w:r w:rsidRPr="00C168C5">
              <w:rPr>
                <w:bCs/>
                <w:szCs w:val="22"/>
                <w:u w:val="single"/>
                <w:lang w:val="es-ES_tradnl"/>
              </w:rPr>
              <w:t>(Indicadores de resultado)</w:t>
            </w:r>
          </w:p>
          <w:p w14:paraId="2ABEF608" w14:textId="77777777" w:rsidR="00C91693" w:rsidRPr="00C168C5" w:rsidRDefault="00C91693" w:rsidP="00243943">
            <w:pPr>
              <w:rPr>
                <w:szCs w:val="22"/>
                <w:lang w:val="es-ES_tradnl"/>
              </w:rPr>
            </w:pPr>
          </w:p>
        </w:tc>
        <w:tc>
          <w:tcPr>
            <w:tcW w:w="3150" w:type="dxa"/>
            <w:shd w:val="clear" w:color="auto" w:fill="auto"/>
          </w:tcPr>
          <w:p w14:paraId="7AF15443" w14:textId="77777777" w:rsidR="00C91693" w:rsidRPr="00C168C5" w:rsidRDefault="00C91693" w:rsidP="00243943">
            <w:pPr>
              <w:rPr>
                <w:szCs w:val="22"/>
                <w:u w:val="single"/>
                <w:lang w:val="es-ES_tradnl"/>
              </w:rPr>
            </w:pPr>
          </w:p>
          <w:p w14:paraId="173A99DC" w14:textId="7DA98967" w:rsidR="00C91693" w:rsidRPr="00C168C5" w:rsidRDefault="00650CEE" w:rsidP="00650CEE">
            <w:pPr>
              <w:rPr>
                <w:bCs/>
                <w:szCs w:val="22"/>
                <w:u w:val="single"/>
                <w:lang w:val="es-ES_tradnl"/>
              </w:rPr>
            </w:pPr>
            <w:r w:rsidRPr="00C168C5">
              <w:rPr>
                <w:u w:val="single"/>
                <w:lang w:val="es-ES_tradnl"/>
              </w:rPr>
              <w:t>Datos sobre el rendimiento</w:t>
            </w:r>
          </w:p>
        </w:tc>
        <w:tc>
          <w:tcPr>
            <w:tcW w:w="1080" w:type="dxa"/>
            <w:shd w:val="clear" w:color="auto" w:fill="auto"/>
          </w:tcPr>
          <w:p w14:paraId="3E2D48CA" w14:textId="77777777" w:rsidR="00C91693" w:rsidRPr="00C168C5" w:rsidRDefault="00C91693" w:rsidP="00243943">
            <w:pPr>
              <w:rPr>
                <w:szCs w:val="22"/>
                <w:u w:val="single"/>
                <w:lang w:val="es-ES_tradnl"/>
              </w:rPr>
            </w:pPr>
          </w:p>
          <w:p w14:paraId="6A4E4C3D" w14:textId="4D348BDE" w:rsidR="00C91693" w:rsidRPr="00C168C5" w:rsidRDefault="00650CEE" w:rsidP="00243943">
            <w:pPr>
              <w:rPr>
                <w:bCs/>
                <w:szCs w:val="22"/>
                <w:u w:val="single"/>
                <w:lang w:val="es-ES_tradnl"/>
              </w:rPr>
            </w:pPr>
            <w:r w:rsidRPr="00C168C5">
              <w:rPr>
                <w:u w:val="single"/>
                <w:lang w:val="es-ES_tradnl"/>
              </w:rPr>
              <w:t>Clave de colores</w:t>
            </w:r>
          </w:p>
        </w:tc>
      </w:tr>
      <w:tr w:rsidR="00C91693" w:rsidRPr="00C168C5" w14:paraId="4A7C727C" w14:textId="77777777" w:rsidTr="00E024D3">
        <w:trPr>
          <w:trHeight w:val="1248"/>
        </w:trPr>
        <w:tc>
          <w:tcPr>
            <w:tcW w:w="2376" w:type="dxa"/>
            <w:shd w:val="clear" w:color="auto" w:fill="auto"/>
          </w:tcPr>
          <w:p w14:paraId="34D4444E" w14:textId="77777777" w:rsidR="00C91693" w:rsidRPr="00C168C5" w:rsidRDefault="00C91693" w:rsidP="00243943">
            <w:pPr>
              <w:rPr>
                <w:bCs/>
                <w:szCs w:val="22"/>
                <w:lang w:val="es-ES_tradnl"/>
              </w:rPr>
            </w:pPr>
          </w:p>
          <w:p w14:paraId="4E4D254C" w14:textId="408738B5" w:rsidR="00C91693" w:rsidRPr="00C168C5" w:rsidRDefault="00427C92" w:rsidP="00427C92">
            <w:pPr>
              <w:rPr>
                <w:bCs/>
                <w:szCs w:val="22"/>
                <w:lang w:val="es-ES_tradnl"/>
              </w:rPr>
            </w:pPr>
            <w:r w:rsidRPr="00C168C5">
              <w:rPr>
                <w:bCs/>
                <w:lang w:val="es-ES_tradnl"/>
              </w:rPr>
              <w:t xml:space="preserve">Contribuir al desarrollo comercial de las </w:t>
            </w:r>
            <w:r w:rsidR="00E335F9">
              <w:rPr>
                <w:bCs/>
                <w:lang w:val="es-ES_tradnl"/>
              </w:rPr>
              <w:t>pymes</w:t>
            </w:r>
            <w:r w:rsidRPr="00C168C5">
              <w:rPr>
                <w:bCs/>
                <w:lang w:val="es-ES_tradnl"/>
              </w:rPr>
              <w:t xml:space="preserve"> en los países participantes </w:t>
            </w:r>
            <w:r w:rsidRPr="00C168C5">
              <w:rPr>
                <w:bCs/>
                <w:i/>
                <w:lang w:val="es-ES_tradnl"/>
              </w:rPr>
              <w:t xml:space="preserve">incentivando la inversión en el diseño </w:t>
            </w:r>
            <w:r w:rsidRPr="00C168C5">
              <w:rPr>
                <w:bCs/>
                <w:lang w:val="es-ES_tradnl"/>
              </w:rPr>
              <w:t>mediante la utilización estratégica de los derechos de P.I., en particular la utilización activa de los debidos mecanismos de protección del diseño a los que hasta ahora no se daba aplicación.</w:t>
            </w:r>
          </w:p>
        </w:tc>
        <w:tc>
          <w:tcPr>
            <w:tcW w:w="2772" w:type="dxa"/>
            <w:shd w:val="clear" w:color="auto" w:fill="auto"/>
          </w:tcPr>
          <w:p w14:paraId="009CC0F6" w14:textId="77777777" w:rsidR="00C91693" w:rsidRPr="00C168C5" w:rsidRDefault="00C91693" w:rsidP="00243943">
            <w:pPr>
              <w:rPr>
                <w:szCs w:val="22"/>
                <w:lang w:val="es-ES_tradnl"/>
              </w:rPr>
            </w:pPr>
            <w:r w:rsidRPr="00C168C5">
              <w:rPr>
                <w:szCs w:val="22"/>
                <w:lang w:val="es-ES_tradnl"/>
              </w:rPr>
              <w:tab/>
            </w:r>
          </w:p>
          <w:p w14:paraId="4A619729" w14:textId="05165D0B" w:rsidR="00C91693" w:rsidRPr="00C168C5" w:rsidRDefault="005E270B" w:rsidP="00903EA9">
            <w:pPr>
              <w:numPr>
                <w:ilvl w:val="1"/>
                <w:numId w:val="10"/>
              </w:numPr>
              <w:tabs>
                <w:tab w:val="num" w:pos="560"/>
              </w:tabs>
              <w:ind w:left="0"/>
              <w:rPr>
                <w:szCs w:val="22"/>
                <w:lang w:val="es-ES_tradnl"/>
              </w:rPr>
            </w:pPr>
            <w:r w:rsidRPr="00C168C5">
              <w:rPr>
                <w:rFonts w:eastAsia="Malgun Gothic"/>
                <w:kern w:val="2"/>
                <w:lang w:val="es-ES_tradnl" w:eastAsia="ko-KR"/>
              </w:rPr>
              <w:t>Número de diseños protegidos (mediante su registro o por otros medios) por empresa (estimación que se efectuará en algún momento tras la ejecución del proyecto).</w:t>
            </w:r>
            <w:r w:rsidR="00C91693" w:rsidRPr="00C168C5">
              <w:rPr>
                <w:szCs w:val="22"/>
                <w:lang w:val="es-ES_tradnl"/>
              </w:rPr>
              <w:t xml:space="preserve"> </w:t>
            </w:r>
          </w:p>
          <w:p w14:paraId="1CF0E96F" w14:textId="77777777" w:rsidR="00C91693" w:rsidRPr="00C168C5" w:rsidRDefault="00C91693" w:rsidP="00243943">
            <w:pPr>
              <w:rPr>
                <w:szCs w:val="22"/>
                <w:lang w:val="es-ES_tradnl"/>
              </w:rPr>
            </w:pPr>
          </w:p>
          <w:p w14:paraId="010733B3" w14:textId="2B6A6530" w:rsidR="00C91693" w:rsidRPr="00C168C5" w:rsidRDefault="005E270B" w:rsidP="00903EA9">
            <w:pPr>
              <w:numPr>
                <w:ilvl w:val="1"/>
                <w:numId w:val="10"/>
              </w:numPr>
              <w:tabs>
                <w:tab w:val="num" w:pos="560"/>
              </w:tabs>
              <w:ind w:left="0"/>
              <w:rPr>
                <w:szCs w:val="22"/>
                <w:lang w:val="es-ES_tradnl"/>
              </w:rPr>
            </w:pPr>
            <w:r w:rsidRPr="00C168C5">
              <w:rPr>
                <w:rFonts w:eastAsia="Malgun Gothic"/>
                <w:kern w:val="2"/>
                <w:lang w:val="es-ES_tradnl" w:eastAsia="ko-KR"/>
              </w:rPr>
              <w:t xml:space="preserve">Número de </w:t>
            </w:r>
            <w:r w:rsidR="00E335F9">
              <w:rPr>
                <w:rFonts w:eastAsia="Malgun Gothic"/>
                <w:kern w:val="2"/>
                <w:lang w:val="es-ES_tradnl" w:eastAsia="ko-KR"/>
              </w:rPr>
              <w:t>pymes</w:t>
            </w:r>
            <w:r w:rsidRPr="00C168C5">
              <w:rPr>
                <w:rFonts w:eastAsia="Malgun Gothic"/>
                <w:kern w:val="2"/>
                <w:lang w:val="es-ES_tradnl" w:eastAsia="ko-KR"/>
              </w:rPr>
              <w:t xml:space="preserve"> que utilizan la protección de los diseños antes y después del proyecto (estimación que se efectuará en algún momento tras la ejecución del proyecto).</w:t>
            </w:r>
          </w:p>
          <w:p w14:paraId="0C571D17" w14:textId="77777777" w:rsidR="00C91693" w:rsidRPr="00C168C5" w:rsidRDefault="00C91693" w:rsidP="00243943">
            <w:pPr>
              <w:pStyle w:val="ListParagraph"/>
              <w:rPr>
                <w:szCs w:val="22"/>
                <w:lang w:val="es-ES_tradnl"/>
              </w:rPr>
            </w:pPr>
          </w:p>
          <w:p w14:paraId="0503C4A4" w14:textId="1A30D8D0" w:rsidR="00C91693" w:rsidRPr="00C168C5" w:rsidRDefault="005E270B" w:rsidP="00903EA9">
            <w:pPr>
              <w:numPr>
                <w:ilvl w:val="1"/>
                <w:numId w:val="10"/>
              </w:numPr>
              <w:tabs>
                <w:tab w:val="num" w:pos="560"/>
              </w:tabs>
              <w:ind w:left="0"/>
              <w:rPr>
                <w:szCs w:val="22"/>
                <w:lang w:val="es-ES_tradnl"/>
              </w:rPr>
            </w:pPr>
            <w:r w:rsidRPr="00C168C5">
              <w:rPr>
                <w:lang w:val="es-ES_tradnl"/>
              </w:rPr>
              <w:t>Grado de satisfacción de las empresas participantes con la aplicación del plan de protección de los diseños</w:t>
            </w:r>
            <w:r w:rsidR="00EC53AF" w:rsidRPr="00C168C5">
              <w:rPr>
                <w:lang w:val="es-ES_tradnl"/>
              </w:rPr>
              <w:t>/actividades del proyecto piloto.</w:t>
            </w:r>
          </w:p>
        </w:tc>
        <w:tc>
          <w:tcPr>
            <w:tcW w:w="3150" w:type="dxa"/>
            <w:shd w:val="clear" w:color="auto" w:fill="auto"/>
          </w:tcPr>
          <w:p w14:paraId="7C9B78EA" w14:textId="77777777" w:rsidR="00C91693" w:rsidRPr="00C168C5" w:rsidRDefault="00C91693" w:rsidP="00243943">
            <w:pPr>
              <w:rPr>
                <w:szCs w:val="22"/>
                <w:lang w:val="es-ES_tradnl"/>
              </w:rPr>
            </w:pPr>
          </w:p>
          <w:p w14:paraId="737AAD71" w14:textId="0B0559E1" w:rsidR="00C91693" w:rsidRPr="00C168C5" w:rsidRDefault="00E36BD7" w:rsidP="00903EA9">
            <w:pPr>
              <w:pStyle w:val="ListParagraph"/>
              <w:numPr>
                <w:ilvl w:val="0"/>
                <w:numId w:val="26"/>
              </w:numPr>
              <w:rPr>
                <w:i/>
                <w:szCs w:val="22"/>
                <w:lang w:val="es-ES_tradnl"/>
              </w:rPr>
            </w:pPr>
            <w:r w:rsidRPr="00C168C5">
              <w:rPr>
                <w:iCs/>
                <w:szCs w:val="22"/>
                <w:lang w:val="es-ES_tradnl"/>
              </w:rPr>
              <w:t>Es demasiado pro</w:t>
            </w:r>
            <w:r w:rsidR="00352E48" w:rsidRPr="00C168C5">
              <w:rPr>
                <w:iCs/>
                <w:szCs w:val="22"/>
                <w:lang w:val="es-ES_tradnl"/>
              </w:rPr>
              <w:t>nto para suministrar materiales</w:t>
            </w:r>
          </w:p>
          <w:p w14:paraId="445CB705" w14:textId="77777777" w:rsidR="00C91693" w:rsidRPr="00C168C5" w:rsidRDefault="00C91693" w:rsidP="00243943">
            <w:pPr>
              <w:rPr>
                <w:i/>
                <w:szCs w:val="22"/>
                <w:lang w:val="es-ES_tradnl"/>
              </w:rPr>
            </w:pPr>
          </w:p>
          <w:p w14:paraId="33E6151B" w14:textId="13854ACB" w:rsidR="00C91693" w:rsidRPr="00C168C5" w:rsidRDefault="00E36BD7" w:rsidP="00243943">
            <w:pPr>
              <w:rPr>
                <w:szCs w:val="22"/>
                <w:lang w:val="es-ES_tradnl"/>
              </w:rPr>
            </w:pPr>
            <w:r w:rsidRPr="00C168C5">
              <w:rPr>
                <w:szCs w:val="22"/>
                <w:lang w:val="es-ES_tradnl"/>
              </w:rPr>
              <w:t xml:space="preserve">Se medirán después de la fase de </w:t>
            </w:r>
            <w:r w:rsidR="00123B4E" w:rsidRPr="00C168C5">
              <w:rPr>
                <w:szCs w:val="22"/>
                <w:lang w:val="es-ES_tradnl"/>
              </w:rPr>
              <w:t>ejecución de los planes de protección de los diseños que se llevarán a cabo el próximo semestre y tras la ejecución del proyecto</w:t>
            </w:r>
            <w:r w:rsidR="00C91693" w:rsidRPr="00C168C5">
              <w:rPr>
                <w:szCs w:val="22"/>
                <w:lang w:val="es-ES_tradnl"/>
              </w:rPr>
              <w:t>.</w:t>
            </w:r>
          </w:p>
          <w:p w14:paraId="1CC481EE" w14:textId="77777777" w:rsidR="00C91693" w:rsidRPr="00C168C5" w:rsidRDefault="00C91693" w:rsidP="00243943">
            <w:pPr>
              <w:rPr>
                <w:szCs w:val="22"/>
                <w:lang w:val="es-ES_tradnl"/>
              </w:rPr>
            </w:pPr>
          </w:p>
          <w:p w14:paraId="39B94820" w14:textId="6904C27F" w:rsidR="00C91693" w:rsidRPr="00C168C5" w:rsidRDefault="00430190" w:rsidP="00903EA9">
            <w:pPr>
              <w:pStyle w:val="ListParagraph"/>
              <w:numPr>
                <w:ilvl w:val="0"/>
                <w:numId w:val="26"/>
              </w:numPr>
              <w:rPr>
                <w:szCs w:val="22"/>
                <w:lang w:val="es-ES_tradnl"/>
              </w:rPr>
            </w:pPr>
            <w:r w:rsidRPr="00C168C5">
              <w:rPr>
                <w:szCs w:val="22"/>
                <w:lang w:val="es-ES_tradnl"/>
              </w:rPr>
              <w:t>Se han recopilado los d</w:t>
            </w:r>
            <w:r w:rsidR="00C91693" w:rsidRPr="00C168C5">
              <w:rPr>
                <w:szCs w:val="22"/>
                <w:lang w:val="es-ES_tradnl"/>
              </w:rPr>
              <w:t>at</w:t>
            </w:r>
            <w:r w:rsidRPr="00C168C5">
              <w:rPr>
                <w:szCs w:val="22"/>
                <w:lang w:val="es-ES_tradnl"/>
              </w:rPr>
              <w:t xml:space="preserve">os sobre el número de </w:t>
            </w:r>
            <w:r w:rsidR="00E335F9">
              <w:rPr>
                <w:szCs w:val="22"/>
                <w:lang w:val="es-ES_tradnl"/>
              </w:rPr>
              <w:t>pymes</w:t>
            </w:r>
            <w:r w:rsidRPr="00C168C5">
              <w:rPr>
                <w:szCs w:val="22"/>
                <w:lang w:val="es-ES_tradnl"/>
              </w:rPr>
              <w:t xml:space="preserve"> beneficiarias</w:t>
            </w:r>
            <w:r w:rsidR="00C91693" w:rsidRPr="00C168C5">
              <w:rPr>
                <w:szCs w:val="22"/>
                <w:lang w:val="es-ES_tradnl"/>
              </w:rPr>
              <w:t xml:space="preserve">.  </w:t>
            </w:r>
            <w:r w:rsidR="00B454F0" w:rsidRPr="00C168C5">
              <w:rPr>
                <w:szCs w:val="22"/>
                <w:lang w:val="es-ES_tradnl"/>
              </w:rPr>
              <w:t>La estimación de ese número después del proyecto también deberían realizarla los organismos coordinador</w:t>
            </w:r>
            <w:r w:rsidR="00352E48" w:rsidRPr="00C168C5">
              <w:rPr>
                <w:szCs w:val="22"/>
                <w:lang w:val="es-ES_tradnl"/>
              </w:rPr>
              <w:t xml:space="preserve">es cierto tiempo después de la </w:t>
            </w:r>
            <w:r w:rsidR="00B454F0" w:rsidRPr="00C168C5">
              <w:rPr>
                <w:szCs w:val="22"/>
                <w:lang w:val="es-ES_tradnl"/>
              </w:rPr>
              <w:t xml:space="preserve">finalización del proyecto piloto </w:t>
            </w:r>
            <w:r w:rsidR="00C91693" w:rsidRPr="00C168C5">
              <w:rPr>
                <w:szCs w:val="22"/>
                <w:lang w:val="es-ES_tradnl"/>
              </w:rPr>
              <w:t>(</w:t>
            </w:r>
            <w:r w:rsidR="00B454F0" w:rsidRPr="00C168C5">
              <w:rPr>
                <w:szCs w:val="22"/>
                <w:lang w:val="es-ES_tradnl"/>
              </w:rPr>
              <w:t>evaluación de</w:t>
            </w:r>
            <w:r w:rsidR="00352E48" w:rsidRPr="00C168C5">
              <w:rPr>
                <w:szCs w:val="22"/>
                <w:lang w:val="es-ES_tradnl"/>
              </w:rPr>
              <w:t xml:space="preserve"> efectos</w:t>
            </w:r>
            <w:r w:rsidR="00C91693" w:rsidRPr="00C168C5">
              <w:rPr>
                <w:szCs w:val="22"/>
                <w:lang w:val="es-ES_tradnl"/>
              </w:rPr>
              <w:t>).</w:t>
            </w:r>
          </w:p>
          <w:p w14:paraId="1410C41A" w14:textId="77777777" w:rsidR="00C91693" w:rsidRPr="00C168C5" w:rsidRDefault="00C91693" w:rsidP="00243943">
            <w:pPr>
              <w:pStyle w:val="ListParagraph"/>
              <w:ind w:left="0"/>
              <w:rPr>
                <w:szCs w:val="22"/>
                <w:lang w:val="es-ES_tradnl"/>
              </w:rPr>
            </w:pPr>
          </w:p>
          <w:p w14:paraId="623FD011" w14:textId="470F3F1D" w:rsidR="00C91693" w:rsidRPr="00C168C5" w:rsidRDefault="00B454F0" w:rsidP="00903EA9">
            <w:pPr>
              <w:pStyle w:val="ListParagraph"/>
              <w:numPr>
                <w:ilvl w:val="0"/>
                <w:numId w:val="26"/>
              </w:numPr>
              <w:rPr>
                <w:szCs w:val="22"/>
                <w:lang w:val="es-ES_tradnl"/>
              </w:rPr>
            </w:pPr>
            <w:r w:rsidRPr="00C168C5">
              <w:rPr>
                <w:szCs w:val="22"/>
                <w:lang w:val="es-ES_tradnl"/>
              </w:rPr>
              <w:t>Últimos datos</w:t>
            </w:r>
            <w:r w:rsidR="00C91693" w:rsidRPr="00C168C5">
              <w:rPr>
                <w:szCs w:val="22"/>
                <w:lang w:val="es-ES_tradnl"/>
              </w:rPr>
              <w:t xml:space="preserve">:  </w:t>
            </w:r>
            <w:r w:rsidRPr="00C168C5">
              <w:rPr>
                <w:iCs/>
                <w:szCs w:val="22"/>
                <w:lang w:val="es-ES_tradnl"/>
              </w:rPr>
              <w:t>Es demasiado pronto para suministrar materiales</w:t>
            </w:r>
            <w:r w:rsidR="00C91693" w:rsidRPr="00C168C5">
              <w:rPr>
                <w:szCs w:val="22"/>
                <w:lang w:val="es-ES_tradnl"/>
              </w:rPr>
              <w:t>.</w:t>
            </w:r>
          </w:p>
          <w:p w14:paraId="451E05F9" w14:textId="77777777" w:rsidR="00C91693" w:rsidRPr="00C168C5" w:rsidRDefault="00C91693" w:rsidP="00243943">
            <w:pPr>
              <w:rPr>
                <w:szCs w:val="22"/>
                <w:lang w:val="es-ES_tradnl"/>
              </w:rPr>
            </w:pPr>
          </w:p>
          <w:p w14:paraId="2BD80D95" w14:textId="11372CA7" w:rsidR="00C91693" w:rsidRPr="00C168C5" w:rsidRDefault="00B454F0" w:rsidP="00243943">
            <w:pPr>
              <w:rPr>
                <w:szCs w:val="22"/>
                <w:lang w:val="es-ES_tradnl"/>
              </w:rPr>
            </w:pPr>
            <w:r w:rsidRPr="00C168C5">
              <w:rPr>
                <w:szCs w:val="22"/>
                <w:lang w:val="es-ES_tradnl"/>
              </w:rPr>
              <w:t xml:space="preserve">Hasta ahora, </w:t>
            </w:r>
            <w:r w:rsidR="00F77DBA" w:rsidRPr="00C168C5">
              <w:rPr>
                <w:szCs w:val="22"/>
                <w:lang w:val="es-ES_tradnl"/>
              </w:rPr>
              <w:t xml:space="preserve">los resultados del </w:t>
            </w:r>
            <w:r w:rsidR="00AF48A5" w:rsidRPr="00C168C5">
              <w:rPr>
                <w:szCs w:val="22"/>
                <w:lang w:val="es-ES_tradnl"/>
              </w:rPr>
              <w:t xml:space="preserve">cuestionario y las opiniones recibidas sobre la satisfacción de las </w:t>
            </w:r>
            <w:r w:rsidR="00E335F9">
              <w:rPr>
                <w:szCs w:val="22"/>
                <w:lang w:val="es-ES_tradnl"/>
              </w:rPr>
              <w:t>pymes</w:t>
            </w:r>
            <w:r w:rsidR="00AF48A5" w:rsidRPr="00C168C5">
              <w:rPr>
                <w:szCs w:val="22"/>
                <w:lang w:val="es-ES_tradnl"/>
              </w:rPr>
              <w:t xml:space="preserve"> beneficiarias sobre las actividades del proyecto y su utilidad han sido muy po</w:t>
            </w:r>
            <w:r w:rsidR="00525DD7">
              <w:rPr>
                <w:szCs w:val="22"/>
                <w:lang w:val="es-ES_tradnl"/>
              </w:rPr>
              <w:t>sitivos</w:t>
            </w:r>
            <w:r w:rsidR="00AF48A5" w:rsidRPr="00C168C5">
              <w:rPr>
                <w:szCs w:val="22"/>
                <w:lang w:val="es-ES_tradnl"/>
              </w:rPr>
              <w:t xml:space="preserve"> en general</w:t>
            </w:r>
            <w:r w:rsidR="00C91693" w:rsidRPr="00C168C5">
              <w:rPr>
                <w:szCs w:val="22"/>
                <w:lang w:val="es-ES_tradnl"/>
              </w:rPr>
              <w:t>.</w:t>
            </w:r>
          </w:p>
          <w:p w14:paraId="1A8DC4BA" w14:textId="77777777" w:rsidR="00C91693" w:rsidRPr="00C168C5" w:rsidRDefault="00C91693" w:rsidP="00243943">
            <w:pPr>
              <w:rPr>
                <w:szCs w:val="22"/>
                <w:lang w:val="es-ES_tradnl"/>
              </w:rPr>
            </w:pPr>
          </w:p>
        </w:tc>
        <w:tc>
          <w:tcPr>
            <w:tcW w:w="1080" w:type="dxa"/>
            <w:shd w:val="clear" w:color="auto" w:fill="auto"/>
          </w:tcPr>
          <w:p w14:paraId="4BC0E4DE" w14:textId="77777777" w:rsidR="00C91693" w:rsidRPr="00C168C5" w:rsidRDefault="00C91693" w:rsidP="00243943">
            <w:pPr>
              <w:rPr>
                <w:szCs w:val="22"/>
                <w:lang w:val="es-ES_tradnl"/>
              </w:rPr>
            </w:pPr>
          </w:p>
          <w:p w14:paraId="4218F58F" w14:textId="117AF795" w:rsidR="00C91693" w:rsidRPr="00C168C5" w:rsidRDefault="00EC53AF" w:rsidP="00243943">
            <w:pPr>
              <w:rPr>
                <w:szCs w:val="22"/>
                <w:lang w:val="es-ES_tradnl"/>
              </w:rPr>
            </w:pPr>
            <w:r w:rsidRPr="00C168C5">
              <w:rPr>
                <w:szCs w:val="22"/>
                <w:lang w:val="es-ES_tradnl"/>
              </w:rPr>
              <w:t xml:space="preserve">a) </w:t>
            </w:r>
            <w:r w:rsidR="00992489" w:rsidRPr="00C168C5">
              <w:rPr>
                <w:rFonts w:eastAsia="Times New Roman"/>
                <w:lang w:val="es-ES_tradnl" w:eastAsia="en-US"/>
              </w:rPr>
              <w:t>SE/AI</w:t>
            </w:r>
          </w:p>
          <w:p w14:paraId="529151C7" w14:textId="77777777" w:rsidR="00C91693" w:rsidRPr="00C168C5" w:rsidRDefault="00C91693" w:rsidP="00243943">
            <w:pPr>
              <w:rPr>
                <w:szCs w:val="22"/>
                <w:lang w:val="es-ES_tradnl"/>
              </w:rPr>
            </w:pPr>
          </w:p>
          <w:p w14:paraId="2BFB2F89" w14:textId="77777777" w:rsidR="00C91693" w:rsidRPr="00C168C5" w:rsidRDefault="00C91693" w:rsidP="00243943">
            <w:pPr>
              <w:rPr>
                <w:szCs w:val="22"/>
                <w:lang w:val="es-ES_tradnl"/>
              </w:rPr>
            </w:pPr>
          </w:p>
          <w:p w14:paraId="5E5B785A" w14:textId="77777777" w:rsidR="00C91693" w:rsidRPr="00C168C5" w:rsidRDefault="00C91693" w:rsidP="00243943">
            <w:pPr>
              <w:rPr>
                <w:szCs w:val="22"/>
                <w:lang w:val="es-ES_tradnl"/>
              </w:rPr>
            </w:pPr>
          </w:p>
          <w:p w14:paraId="76250FE0" w14:textId="77777777" w:rsidR="00C91693" w:rsidRPr="00C168C5" w:rsidRDefault="00C91693" w:rsidP="00243943">
            <w:pPr>
              <w:rPr>
                <w:szCs w:val="22"/>
                <w:lang w:val="es-ES_tradnl"/>
              </w:rPr>
            </w:pPr>
          </w:p>
          <w:p w14:paraId="06DEF5E5" w14:textId="77777777" w:rsidR="00C91693" w:rsidRPr="00C168C5" w:rsidRDefault="00C91693" w:rsidP="00243943">
            <w:pPr>
              <w:rPr>
                <w:szCs w:val="22"/>
                <w:lang w:val="es-ES_tradnl"/>
              </w:rPr>
            </w:pPr>
          </w:p>
          <w:p w14:paraId="328C0CDD" w14:textId="77777777" w:rsidR="00C91693" w:rsidRPr="00C168C5" w:rsidRDefault="00C91693" w:rsidP="00243943">
            <w:pPr>
              <w:rPr>
                <w:szCs w:val="22"/>
                <w:lang w:val="es-ES_tradnl"/>
              </w:rPr>
            </w:pPr>
          </w:p>
          <w:p w14:paraId="41D63661" w14:textId="77777777" w:rsidR="00C91693" w:rsidRPr="00C168C5" w:rsidRDefault="00C91693" w:rsidP="00243943">
            <w:pPr>
              <w:rPr>
                <w:szCs w:val="22"/>
                <w:lang w:val="es-ES_tradnl"/>
              </w:rPr>
            </w:pPr>
          </w:p>
          <w:p w14:paraId="51F0F4A3" w14:textId="77777777" w:rsidR="00C91693" w:rsidRPr="00C168C5" w:rsidRDefault="00C91693" w:rsidP="00243943">
            <w:pPr>
              <w:rPr>
                <w:szCs w:val="22"/>
                <w:lang w:val="es-ES_tradnl"/>
              </w:rPr>
            </w:pPr>
          </w:p>
          <w:p w14:paraId="23E60368" w14:textId="41A471E3" w:rsidR="00C91693" w:rsidRPr="00C168C5" w:rsidRDefault="00C91693" w:rsidP="00243943">
            <w:pPr>
              <w:rPr>
                <w:szCs w:val="22"/>
                <w:lang w:val="es-ES_tradnl"/>
              </w:rPr>
            </w:pPr>
            <w:r w:rsidRPr="00C168C5">
              <w:rPr>
                <w:szCs w:val="22"/>
                <w:lang w:val="es-ES_tradnl"/>
              </w:rPr>
              <w:t>b) ****</w:t>
            </w:r>
          </w:p>
          <w:p w14:paraId="4A1D7FBA" w14:textId="77777777" w:rsidR="00C91693" w:rsidRPr="00C168C5" w:rsidRDefault="00C91693" w:rsidP="00243943">
            <w:pPr>
              <w:rPr>
                <w:szCs w:val="22"/>
                <w:lang w:val="es-ES_tradnl"/>
              </w:rPr>
            </w:pPr>
          </w:p>
          <w:p w14:paraId="68B9DF54" w14:textId="77777777" w:rsidR="00C91693" w:rsidRPr="00C168C5" w:rsidRDefault="00C91693" w:rsidP="00243943">
            <w:pPr>
              <w:rPr>
                <w:szCs w:val="22"/>
                <w:lang w:val="es-ES_tradnl"/>
              </w:rPr>
            </w:pPr>
          </w:p>
          <w:p w14:paraId="3DB994C6" w14:textId="77777777" w:rsidR="00C91693" w:rsidRPr="00C168C5" w:rsidRDefault="00C91693" w:rsidP="00243943">
            <w:pPr>
              <w:rPr>
                <w:szCs w:val="22"/>
                <w:lang w:val="es-ES_tradnl"/>
              </w:rPr>
            </w:pPr>
          </w:p>
          <w:p w14:paraId="138D420E" w14:textId="77777777" w:rsidR="00C91693" w:rsidRPr="00C168C5" w:rsidRDefault="00C91693" w:rsidP="00243943">
            <w:pPr>
              <w:rPr>
                <w:szCs w:val="22"/>
                <w:lang w:val="es-ES_tradnl"/>
              </w:rPr>
            </w:pPr>
          </w:p>
          <w:p w14:paraId="2D2BC98F" w14:textId="77777777" w:rsidR="00C91693" w:rsidRPr="00C168C5" w:rsidRDefault="00C91693" w:rsidP="00243943">
            <w:pPr>
              <w:rPr>
                <w:szCs w:val="22"/>
                <w:lang w:val="es-ES_tradnl"/>
              </w:rPr>
            </w:pPr>
          </w:p>
          <w:p w14:paraId="03E04ED1" w14:textId="77777777" w:rsidR="00C91693" w:rsidRPr="00C168C5" w:rsidRDefault="00C91693" w:rsidP="00243943">
            <w:pPr>
              <w:rPr>
                <w:szCs w:val="22"/>
                <w:lang w:val="es-ES_tradnl"/>
              </w:rPr>
            </w:pPr>
          </w:p>
          <w:p w14:paraId="4F3C4F90" w14:textId="77777777" w:rsidR="00C91693" w:rsidRPr="00C168C5" w:rsidRDefault="00C91693" w:rsidP="00243943">
            <w:pPr>
              <w:rPr>
                <w:szCs w:val="22"/>
                <w:lang w:val="es-ES_tradnl"/>
              </w:rPr>
            </w:pPr>
          </w:p>
          <w:p w14:paraId="57C52486" w14:textId="77777777" w:rsidR="00C91693" w:rsidRPr="00C168C5" w:rsidRDefault="00C91693" w:rsidP="00243943">
            <w:pPr>
              <w:rPr>
                <w:szCs w:val="22"/>
                <w:lang w:val="es-ES_tradnl"/>
              </w:rPr>
            </w:pPr>
          </w:p>
          <w:p w14:paraId="41170105" w14:textId="5CB1DB45" w:rsidR="00C91693" w:rsidRPr="00C168C5" w:rsidRDefault="00C91693" w:rsidP="00243943">
            <w:pPr>
              <w:rPr>
                <w:szCs w:val="22"/>
                <w:lang w:val="es-ES_tradnl"/>
              </w:rPr>
            </w:pPr>
            <w:r w:rsidRPr="00C168C5">
              <w:rPr>
                <w:szCs w:val="22"/>
                <w:lang w:val="es-ES_tradnl"/>
              </w:rPr>
              <w:t>c) **</w:t>
            </w:r>
          </w:p>
          <w:p w14:paraId="2A8EFC94" w14:textId="77777777" w:rsidR="00C91693" w:rsidRPr="00C168C5" w:rsidRDefault="00C91693" w:rsidP="00243943">
            <w:pPr>
              <w:rPr>
                <w:szCs w:val="22"/>
                <w:lang w:val="es-ES_tradnl"/>
              </w:rPr>
            </w:pPr>
          </w:p>
        </w:tc>
      </w:tr>
      <w:tr w:rsidR="00C91693" w:rsidRPr="00C168C5" w14:paraId="25E00E1A" w14:textId="77777777" w:rsidTr="003415C6">
        <w:trPr>
          <w:trHeight w:val="1817"/>
        </w:trPr>
        <w:tc>
          <w:tcPr>
            <w:tcW w:w="2376" w:type="dxa"/>
            <w:shd w:val="clear" w:color="auto" w:fill="auto"/>
          </w:tcPr>
          <w:p w14:paraId="2340EC25" w14:textId="77777777" w:rsidR="00C91693" w:rsidRPr="00C168C5" w:rsidRDefault="00C91693" w:rsidP="00243943">
            <w:pPr>
              <w:rPr>
                <w:i/>
                <w:szCs w:val="22"/>
                <w:lang w:val="es-ES_tradnl"/>
              </w:rPr>
            </w:pPr>
          </w:p>
          <w:p w14:paraId="58EBBC01" w14:textId="60005AA4" w:rsidR="00C91693" w:rsidRPr="00C168C5" w:rsidRDefault="00CB0618" w:rsidP="00243943">
            <w:pPr>
              <w:rPr>
                <w:i/>
                <w:szCs w:val="22"/>
                <w:lang w:val="es-ES_tradnl"/>
              </w:rPr>
            </w:pPr>
            <w:r w:rsidRPr="00C168C5">
              <w:rPr>
                <w:rFonts w:eastAsia="Malgun Gothic"/>
                <w:bCs/>
                <w:i/>
                <w:kern w:val="2"/>
                <w:lang w:val="es-ES_tradnl" w:eastAsia="ko-KR"/>
              </w:rPr>
              <w:t xml:space="preserve">Mejorar las capacidades de las instituciones nacionales relacionadas con el diseño, incluidas las oficinas de P.I., </w:t>
            </w:r>
            <w:r w:rsidRPr="00C168C5">
              <w:rPr>
                <w:rFonts w:eastAsia="Malgun Gothic"/>
                <w:bCs/>
                <w:kern w:val="2"/>
                <w:lang w:val="es-ES_tradnl" w:eastAsia="ko-KR"/>
              </w:rPr>
              <w:t xml:space="preserve">fomentar el uso estratégico del sistema de P.I. en pro de las empresas creadoras de diseños, de suerte </w:t>
            </w:r>
            <w:r w:rsidRPr="00C168C5">
              <w:rPr>
                <w:rFonts w:eastAsia="Malgun Gothic"/>
                <w:bCs/>
                <w:kern w:val="2"/>
                <w:lang w:val="es-ES_tradnl" w:eastAsia="ko-KR"/>
              </w:rPr>
              <w:lastRenderedPageBreak/>
              <w:t xml:space="preserve">que </w:t>
            </w:r>
            <w:r w:rsidRPr="00C168C5">
              <w:rPr>
                <w:rFonts w:eastAsia="Malgun Gothic"/>
                <w:bCs/>
                <w:i/>
                <w:kern w:val="2"/>
                <w:lang w:val="es-ES_tradnl" w:eastAsia="ko-KR"/>
              </w:rPr>
              <w:t>se incremente la utilización de los mecanismos disponibles de protección de los diseños</w:t>
            </w:r>
            <w:r w:rsidR="00C91693" w:rsidRPr="00C168C5">
              <w:rPr>
                <w:i/>
                <w:szCs w:val="22"/>
                <w:lang w:val="es-ES_tradnl"/>
              </w:rPr>
              <w:t>.</w:t>
            </w:r>
          </w:p>
        </w:tc>
        <w:tc>
          <w:tcPr>
            <w:tcW w:w="2772" w:type="dxa"/>
            <w:shd w:val="clear" w:color="auto" w:fill="auto"/>
          </w:tcPr>
          <w:p w14:paraId="2DE85160" w14:textId="77777777" w:rsidR="00903EA9" w:rsidRPr="00C168C5" w:rsidRDefault="00903EA9" w:rsidP="00903EA9">
            <w:pPr>
              <w:tabs>
                <w:tab w:val="num" w:pos="1134"/>
              </w:tabs>
              <w:rPr>
                <w:szCs w:val="22"/>
                <w:lang w:val="es-ES_tradnl"/>
              </w:rPr>
            </w:pPr>
          </w:p>
          <w:p w14:paraId="01031716" w14:textId="77777777" w:rsidR="00903EA9" w:rsidRPr="00C168C5" w:rsidRDefault="00903EA9" w:rsidP="00903EA9">
            <w:pPr>
              <w:pStyle w:val="ListParagraph"/>
              <w:numPr>
                <w:ilvl w:val="0"/>
                <w:numId w:val="30"/>
              </w:numPr>
              <w:rPr>
                <w:szCs w:val="22"/>
                <w:lang w:val="es-ES_tradnl"/>
              </w:rPr>
            </w:pPr>
            <w:r w:rsidRPr="00C168C5">
              <w:rPr>
                <w:rFonts w:eastAsia="Malgun Gothic"/>
                <w:kern w:val="2"/>
                <w:lang w:val="es-ES_tradnl" w:eastAsia="ko-KR"/>
              </w:rPr>
              <w:t>Número y tipo de actividades de fortalecimiento de capacidades destinadas a las empresas de diseño efectuadas por la institución nacional en el ámbito del diseño</w:t>
            </w:r>
            <w:r w:rsidRPr="00C168C5">
              <w:rPr>
                <w:szCs w:val="22"/>
                <w:lang w:val="es-ES_tradnl"/>
              </w:rPr>
              <w:t>.</w:t>
            </w:r>
          </w:p>
          <w:p w14:paraId="6C688A83" w14:textId="77777777" w:rsidR="00903EA9" w:rsidRPr="00C168C5" w:rsidRDefault="00903EA9" w:rsidP="00903EA9">
            <w:pPr>
              <w:pStyle w:val="ListParagraph"/>
              <w:ind w:left="0"/>
              <w:rPr>
                <w:szCs w:val="22"/>
                <w:lang w:val="es-ES_tradnl"/>
              </w:rPr>
            </w:pPr>
          </w:p>
          <w:p w14:paraId="6F248E2E" w14:textId="4EE3FA4F" w:rsidR="00C91693" w:rsidRPr="00C168C5" w:rsidRDefault="00903EA9" w:rsidP="00903EA9">
            <w:pPr>
              <w:pStyle w:val="ListParagraph"/>
              <w:numPr>
                <w:ilvl w:val="0"/>
                <w:numId w:val="30"/>
              </w:numPr>
              <w:rPr>
                <w:szCs w:val="22"/>
                <w:lang w:val="es-ES_tradnl"/>
              </w:rPr>
            </w:pPr>
            <w:r w:rsidRPr="00C168C5">
              <w:rPr>
                <w:rFonts w:eastAsia="Malgun Gothic"/>
                <w:kern w:val="2"/>
                <w:lang w:val="es-ES_tradnl" w:eastAsia="ko-KR"/>
              </w:rPr>
              <w:t xml:space="preserve">Número y tipo de actividades promocionales a cargo de la institución nacional </w:t>
            </w:r>
            <w:r w:rsidRPr="00C168C5">
              <w:rPr>
                <w:rFonts w:eastAsia="Malgun Gothic"/>
                <w:kern w:val="2"/>
                <w:lang w:val="es-ES_tradnl" w:eastAsia="ko-KR"/>
              </w:rPr>
              <w:lastRenderedPageBreak/>
              <w:t>relacionada con el diseño</w:t>
            </w:r>
          </w:p>
        </w:tc>
        <w:tc>
          <w:tcPr>
            <w:tcW w:w="3150" w:type="dxa"/>
            <w:shd w:val="clear" w:color="auto" w:fill="auto"/>
          </w:tcPr>
          <w:p w14:paraId="686F7E22" w14:textId="77777777" w:rsidR="00C91693" w:rsidRPr="00C168C5" w:rsidRDefault="00C91693" w:rsidP="00243943">
            <w:pPr>
              <w:rPr>
                <w:szCs w:val="22"/>
                <w:lang w:val="es-ES_tradnl"/>
              </w:rPr>
            </w:pPr>
          </w:p>
        </w:tc>
        <w:tc>
          <w:tcPr>
            <w:tcW w:w="1080" w:type="dxa"/>
            <w:shd w:val="clear" w:color="auto" w:fill="auto"/>
          </w:tcPr>
          <w:p w14:paraId="1846CF45" w14:textId="77777777" w:rsidR="00C91693" w:rsidRPr="00C168C5" w:rsidRDefault="00C91693" w:rsidP="00243943">
            <w:pPr>
              <w:rPr>
                <w:szCs w:val="22"/>
                <w:lang w:val="es-ES_tradnl"/>
              </w:rPr>
            </w:pPr>
          </w:p>
          <w:p w14:paraId="6F8A59A3" w14:textId="1883D002" w:rsidR="00C91693" w:rsidRPr="00C168C5" w:rsidRDefault="00C91693" w:rsidP="00243943">
            <w:pPr>
              <w:rPr>
                <w:szCs w:val="22"/>
                <w:lang w:val="es-ES_tradnl"/>
              </w:rPr>
            </w:pPr>
            <w:r w:rsidRPr="00C168C5">
              <w:rPr>
                <w:szCs w:val="22"/>
                <w:lang w:val="es-ES_tradnl"/>
              </w:rPr>
              <w:t>a) ****</w:t>
            </w:r>
          </w:p>
          <w:p w14:paraId="299DBEAC" w14:textId="77777777" w:rsidR="00C91693" w:rsidRPr="00C168C5" w:rsidRDefault="00C91693" w:rsidP="00243943">
            <w:pPr>
              <w:rPr>
                <w:szCs w:val="22"/>
                <w:lang w:val="es-ES_tradnl"/>
              </w:rPr>
            </w:pPr>
          </w:p>
          <w:p w14:paraId="23A89B16" w14:textId="77777777" w:rsidR="00C91693" w:rsidRPr="00C168C5" w:rsidRDefault="00C91693" w:rsidP="00243943">
            <w:pPr>
              <w:rPr>
                <w:szCs w:val="22"/>
                <w:lang w:val="es-ES_tradnl"/>
              </w:rPr>
            </w:pPr>
          </w:p>
          <w:p w14:paraId="1652633A" w14:textId="77777777" w:rsidR="00C91693" w:rsidRPr="00C168C5" w:rsidRDefault="00C91693" w:rsidP="00243943">
            <w:pPr>
              <w:rPr>
                <w:szCs w:val="22"/>
                <w:lang w:val="es-ES_tradnl"/>
              </w:rPr>
            </w:pPr>
          </w:p>
          <w:p w14:paraId="71B55F71" w14:textId="77777777" w:rsidR="00C91693" w:rsidRPr="00C168C5" w:rsidRDefault="00C91693" w:rsidP="00243943">
            <w:pPr>
              <w:rPr>
                <w:szCs w:val="22"/>
                <w:lang w:val="es-ES_tradnl"/>
              </w:rPr>
            </w:pPr>
          </w:p>
          <w:p w14:paraId="561B54CE" w14:textId="77777777" w:rsidR="00C91693" w:rsidRPr="00C168C5" w:rsidRDefault="00C91693" w:rsidP="00243943">
            <w:pPr>
              <w:rPr>
                <w:szCs w:val="22"/>
                <w:lang w:val="es-ES_tradnl"/>
              </w:rPr>
            </w:pPr>
          </w:p>
          <w:p w14:paraId="71914C42" w14:textId="77777777" w:rsidR="00C91693" w:rsidRPr="00C168C5" w:rsidRDefault="00C91693" w:rsidP="00243943">
            <w:pPr>
              <w:rPr>
                <w:szCs w:val="22"/>
                <w:lang w:val="es-ES_tradnl"/>
              </w:rPr>
            </w:pPr>
          </w:p>
          <w:p w14:paraId="6E276F9E" w14:textId="77777777" w:rsidR="00C91693" w:rsidRPr="00C168C5" w:rsidRDefault="00C91693" w:rsidP="00243943">
            <w:pPr>
              <w:rPr>
                <w:szCs w:val="22"/>
                <w:lang w:val="es-ES_tradnl"/>
              </w:rPr>
            </w:pPr>
          </w:p>
          <w:p w14:paraId="79F1F31C" w14:textId="77777777" w:rsidR="00C91693" w:rsidRPr="00C168C5" w:rsidRDefault="00C91693" w:rsidP="00243943">
            <w:pPr>
              <w:rPr>
                <w:szCs w:val="22"/>
                <w:lang w:val="es-ES_tradnl"/>
              </w:rPr>
            </w:pPr>
          </w:p>
          <w:p w14:paraId="52087CF8" w14:textId="13CF92E7" w:rsidR="00C91693" w:rsidRPr="00C168C5" w:rsidRDefault="00C91693" w:rsidP="00243943">
            <w:pPr>
              <w:rPr>
                <w:szCs w:val="22"/>
                <w:lang w:val="es-ES_tradnl"/>
              </w:rPr>
            </w:pPr>
            <w:r w:rsidRPr="00C168C5">
              <w:rPr>
                <w:szCs w:val="22"/>
                <w:lang w:val="es-ES_tradnl"/>
              </w:rPr>
              <w:t>b) ****</w:t>
            </w:r>
          </w:p>
          <w:p w14:paraId="2AAF236A" w14:textId="77777777" w:rsidR="00C91693" w:rsidRPr="00C168C5" w:rsidRDefault="00C91693" w:rsidP="00243943">
            <w:pPr>
              <w:rPr>
                <w:szCs w:val="22"/>
                <w:lang w:val="es-ES_tradnl"/>
              </w:rPr>
            </w:pPr>
          </w:p>
          <w:p w14:paraId="1BEE73E0" w14:textId="77777777" w:rsidR="00C91693" w:rsidRPr="00C168C5" w:rsidRDefault="00C91693" w:rsidP="00243943">
            <w:pPr>
              <w:rPr>
                <w:szCs w:val="22"/>
                <w:lang w:val="es-ES_tradnl"/>
              </w:rPr>
            </w:pPr>
          </w:p>
        </w:tc>
      </w:tr>
    </w:tbl>
    <w:p w14:paraId="1F89B7FD" w14:textId="77777777" w:rsidR="00C91693" w:rsidRPr="00C168C5" w:rsidRDefault="00C91693" w:rsidP="00C91693">
      <w:pPr>
        <w:rPr>
          <w:szCs w:val="22"/>
          <w:lang w:val="es-ES_tradnl"/>
        </w:rPr>
      </w:pPr>
    </w:p>
    <w:p w14:paraId="016435C3" w14:textId="77777777" w:rsidR="00C91693" w:rsidRPr="00C168C5" w:rsidRDefault="00C91693" w:rsidP="00C91693">
      <w:pPr>
        <w:rPr>
          <w:szCs w:val="22"/>
          <w:lang w:val="es-ES_tradnl"/>
        </w:rPr>
        <w:sectPr w:rsidR="00C91693" w:rsidRPr="00C168C5" w:rsidSect="00243943">
          <w:headerReference w:type="default" r:id="rId14"/>
          <w:headerReference w:type="first" r:id="rId15"/>
          <w:footerReference w:type="first" r:id="rId16"/>
          <w:pgSz w:w="11907" w:h="16840" w:code="9"/>
          <w:pgMar w:top="2" w:right="1418" w:bottom="1440" w:left="1418" w:header="510" w:footer="1021" w:gutter="0"/>
          <w:pgNumType w:start="1"/>
          <w:cols w:space="720"/>
          <w:titlePg/>
          <w:docGrid w:linePitch="299"/>
        </w:sectPr>
      </w:pPr>
    </w:p>
    <w:p w14:paraId="7C6F2CF0" w14:textId="77777777" w:rsidR="00C91693" w:rsidRPr="00C168C5" w:rsidRDefault="00BA42C9" w:rsidP="00C91693">
      <w:pPr>
        <w:rPr>
          <w:szCs w:val="22"/>
          <w:lang w:val="es-ES_tradnl"/>
        </w:rPr>
      </w:pPr>
      <w:r w:rsidRPr="00C168C5">
        <w:rPr>
          <w:szCs w:val="22"/>
          <w:lang w:val="es-ES_tradnl"/>
        </w:rPr>
        <w:lastRenderedPageBreak/>
        <w:t>APÉNDICE</w:t>
      </w:r>
      <w:r w:rsidR="00C91693" w:rsidRPr="00C168C5">
        <w:rPr>
          <w:szCs w:val="22"/>
          <w:lang w:val="es-ES_tradnl"/>
        </w:rPr>
        <w:t xml:space="preserve"> I</w:t>
      </w:r>
    </w:p>
    <w:p w14:paraId="501BEEBF" w14:textId="77777777" w:rsidR="00C91693" w:rsidRPr="00C168C5" w:rsidRDefault="00C91693" w:rsidP="00C91693">
      <w:pPr>
        <w:rPr>
          <w:szCs w:val="22"/>
          <w:lang w:val="es-ES_tradnl"/>
        </w:rPr>
      </w:pPr>
      <w:r w:rsidRPr="00C168C5">
        <w:rPr>
          <w:szCs w:val="22"/>
          <w:lang w:val="es-ES_tradnl"/>
        </w:rPr>
        <w:t xml:space="preserve">  </w:t>
      </w:r>
    </w:p>
    <w:p w14:paraId="5AA2E8A1" w14:textId="687ACFD2" w:rsidR="00C91693" w:rsidRDefault="00236A30" w:rsidP="00C91693">
      <w:pPr>
        <w:rPr>
          <w:szCs w:val="22"/>
          <w:lang w:val="es-ES_tradnl"/>
        </w:rPr>
      </w:pPr>
      <w:r w:rsidRPr="00C168C5">
        <w:rPr>
          <w:szCs w:val="22"/>
          <w:lang w:val="es-ES_tradnl"/>
        </w:rPr>
        <w:t>Panorámica general y actos del proyecto piloto</w:t>
      </w:r>
      <w:r w:rsidR="00C91693" w:rsidRPr="00C168C5">
        <w:rPr>
          <w:szCs w:val="22"/>
          <w:lang w:val="es-ES_tradnl"/>
        </w:rPr>
        <w:t xml:space="preserve"> /2014_2016</w:t>
      </w:r>
    </w:p>
    <w:p w14:paraId="7281BF04" w14:textId="77777777" w:rsidR="00A0036A" w:rsidRPr="00C168C5" w:rsidRDefault="00A0036A" w:rsidP="00C91693">
      <w:pPr>
        <w:rPr>
          <w:szCs w:val="22"/>
          <w:lang w:val="es-ES_tradnl"/>
        </w:rPr>
      </w:pPr>
    </w:p>
    <w:p w14:paraId="12C8B5FE" w14:textId="33E258A2" w:rsidR="007C2678" w:rsidRPr="002E5493" w:rsidRDefault="007C2678" w:rsidP="007C2678">
      <w:pPr>
        <w:ind w:firstLine="720"/>
        <w:rPr>
          <w:b/>
          <w:lang w:val="fr-FR"/>
        </w:rPr>
      </w:pPr>
      <w:r w:rsidRPr="002E5493">
        <w:rPr>
          <w:b/>
          <w:lang w:val="fr-FR"/>
        </w:rPr>
        <w:t>2014</w:t>
      </w:r>
      <w:r w:rsidRPr="002E5493">
        <w:rPr>
          <w:b/>
          <w:lang w:val="fr-FR"/>
        </w:rPr>
        <w:tab/>
      </w:r>
      <w:r w:rsidRPr="002E5493">
        <w:rPr>
          <w:lang w:val="fr-FR"/>
        </w:rPr>
        <w:tab/>
      </w:r>
      <w:r w:rsidRPr="002E5493">
        <w:rPr>
          <w:lang w:val="fr-FR"/>
        </w:rPr>
        <w:tab/>
      </w:r>
      <w:r w:rsidRPr="002E5493">
        <w:rPr>
          <w:lang w:val="fr-FR"/>
        </w:rPr>
        <w:tab/>
      </w:r>
      <w:r w:rsidRPr="002E5493">
        <w:rPr>
          <w:lang w:val="fr-FR"/>
        </w:rPr>
        <w:tab/>
      </w:r>
      <w:r w:rsidRPr="002E5493">
        <w:rPr>
          <w:lang w:val="fr-FR"/>
        </w:rPr>
        <w:tab/>
      </w:r>
      <w:r w:rsidRPr="002E5493">
        <w:rPr>
          <w:lang w:val="fr-FR"/>
        </w:rPr>
        <w:tab/>
      </w:r>
      <w:r w:rsidRPr="002E5493">
        <w:rPr>
          <w:lang w:val="fr-FR"/>
        </w:rPr>
        <w:tab/>
      </w:r>
      <w:r w:rsidR="00A0036A" w:rsidRPr="002E5493">
        <w:rPr>
          <w:lang w:val="fr-FR"/>
        </w:rPr>
        <w:tab/>
      </w:r>
      <w:r w:rsidR="00A0036A" w:rsidRPr="002E5493">
        <w:rPr>
          <w:lang w:val="fr-FR"/>
        </w:rPr>
        <w:tab/>
      </w:r>
      <w:r w:rsidRPr="002E5493">
        <w:rPr>
          <w:b/>
          <w:lang w:val="fr-FR"/>
        </w:rPr>
        <w:t>2015</w:t>
      </w:r>
      <w:r w:rsidRPr="002E5493">
        <w:rPr>
          <w:lang w:val="fr-FR"/>
        </w:rPr>
        <w:tab/>
      </w:r>
      <w:r w:rsidRPr="002E5493">
        <w:rPr>
          <w:lang w:val="fr-FR"/>
        </w:rPr>
        <w:tab/>
      </w:r>
      <w:r w:rsidRPr="002E5493">
        <w:rPr>
          <w:lang w:val="fr-FR"/>
        </w:rPr>
        <w:tab/>
      </w:r>
      <w:r w:rsidRPr="002E5493">
        <w:rPr>
          <w:lang w:val="fr-FR"/>
        </w:rPr>
        <w:tab/>
      </w:r>
      <w:r w:rsidRPr="002E5493">
        <w:rPr>
          <w:lang w:val="fr-FR"/>
        </w:rPr>
        <w:tab/>
      </w:r>
      <w:r w:rsidRPr="002E5493">
        <w:rPr>
          <w:lang w:val="fr-FR"/>
        </w:rPr>
        <w:tab/>
      </w:r>
      <w:r w:rsidRPr="002E5493">
        <w:rPr>
          <w:lang w:val="fr-FR"/>
        </w:rPr>
        <w:tab/>
      </w:r>
      <w:r w:rsidRPr="002E5493">
        <w:rPr>
          <w:lang w:val="fr-FR"/>
        </w:rPr>
        <w:tab/>
      </w:r>
      <w:r w:rsidR="00A0036A" w:rsidRPr="002E5493">
        <w:rPr>
          <w:lang w:val="fr-FR"/>
        </w:rPr>
        <w:t xml:space="preserve">                </w:t>
      </w:r>
      <w:r w:rsidRPr="002E5493">
        <w:rPr>
          <w:b/>
          <w:lang w:val="fr-FR"/>
        </w:rPr>
        <w:t>2016</w:t>
      </w:r>
    </w:p>
    <w:p w14:paraId="7689E20E" w14:textId="77777777" w:rsidR="00A0036A" w:rsidRPr="002E5493" w:rsidRDefault="00A0036A" w:rsidP="007C2678">
      <w:pPr>
        <w:ind w:firstLine="720"/>
        <w:rPr>
          <w:lang w:val="fr-FR"/>
        </w:rPr>
      </w:pPr>
    </w:p>
    <w:p w14:paraId="38FA91F0" w14:textId="2F8E53B6" w:rsidR="007C2678" w:rsidRPr="002E5493" w:rsidRDefault="007C2678" w:rsidP="007C2678">
      <w:pPr>
        <w:ind w:firstLine="720"/>
        <w:rPr>
          <w:b/>
          <w:lang w:val="fr-FR"/>
        </w:rPr>
      </w:pPr>
      <w:r w:rsidRPr="002E5493">
        <w:rPr>
          <w:b/>
          <w:lang w:val="fr-FR"/>
        </w:rPr>
        <w:t>T1</w:t>
      </w:r>
      <w:r w:rsidRPr="002E5493">
        <w:rPr>
          <w:b/>
          <w:lang w:val="fr-FR"/>
        </w:rPr>
        <w:tab/>
      </w:r>
      <w:r w:rsidRPr="002E5493">
        <w:rPr>
          <w:b/>
          <w:lang w:val="fr-FR"/>
        </w:rPr>
        <w:tab/>
      </w:r>
      <w:r w:rsidR="00A0036A" w:rsidRPr="002E5493">
        <w:rPr>
          <w:b/>
          <w:lang w:val="fr-FR"/>
        </w:rPr>
        <w:t xml:space="preserve">           </w:t>
      </w:r>
      <w:r w:rsidRPr="002E5493">
        <w:rPr>
          <w:b/>
          <w:lang w:val="fr-FR"/>
        </w:rPr>
        <w:t>T2</w:t>
      </w:r>
      <w:r w:rsidRPr="002E5493">
        <w:rPr>
          <w:b/>
          <w:lang w:val="fr-FR"/>
        </w:rPr>
        <w:tab/>
      </w:r>
      <w:r w:rsidR="00A0036A" w:rsidRPr="002E5493">
        <w:rPr>
          <w:b/>
          <w:lang w:val="fr-FR"/>
        </w:rPr>
        <w:t xml:space="preserve">       </w:t>
      </w:r>
      <w:r w:rsidRPr="002E5493">
        <w:rPr>
          <w:b/>
          <w:lang w:val="fr-FR"/>
        </w:rPr>
        <w:tab/>
      </w:r>
      <w:r w:rsidR="00A0036A" w:rsidRPr="002E5493">
        <w:rPr>
          <w:b/>
          <w:lang w:val="fr-FR"/>
        </w:rPr>
        <w:t xml:space="preserve">   </w:t>
      </w:r>
      <w:r w:rsidRPr="002E5493">
        <w:rPr>
          <w:b/>
          <w:lang w:val="fr-FR"/>
        </w:rPr>
        <w:t xml:space="preserve">  </w:t>
      </w:r>
      <w:r w:rsidR="00A0036A" w:rsidRPr="002E5493">
        <w:rPr>
          <w:b/>
          <w:lang w:val="fr-FR"/>
        </w:rPr>
        <w:t xml:space="preserve">   </w:t>
      </w:r>
      <w:r w:rsidRPr="002E5493">
        <w:rPr>
          <w:b/>
          <w:lang w:val="fr-FR"/>
        </w:rPr>
        <w:t>T3</w:t>
      </w:r>
      <w:r w:rsidRPr="002E5493">
        <w:rPr>
          <w:b/>
          <w:lang w:val="fr-FR"/>
        </w:rPr>
        <w:tab/>
      </w:r>
      <w:r w:rsidR="00A0036A" w:rsidRPr="002E5493">
        <w:rPr>
          <w:b/>
          <w:lang w:val="fr-FR"/>
        </w:rPr>
        <w:t xml:space="preserve">       </w:t>
      </w:r>
      <w:r w:rsidRPr="002E5493">
        <w:rPr>
          <w:b/>
          <w:lang w:val="fr-FR"/>
        </w:rPr>
        <w:tab/>
      </w:r>
      <w:r w:rsidR="00A0036A" w:rsidRPr="002E5493">
        <w:rPr>
          <w:b/>
          <w:lang w:val="fr-FR"/>
        </w:rPr>
        <w:t xml:space="preserve">   </w:t>
      </w:r>
      <w:r w:rsidRPr="002E5493">
        <w:rPr>
          <w:b/>
          <w:lang w:val="fr-FR"/>
        </w:rPr>
        <w:t xml:space="preserve">  </w:t>
      </w:r>
      <w:r w:rsidR="00A0036A" w:rsidRPr="002E5493">
        <w:rPr>
          <w:b/>
          <w:lang w:val="fr-FR"/>
        </w:rPr>
        <w:t xml:space="preserve"> </w:t>
      </w:r>
      <w:r w:rsidRPr="002E5493">
        <w:rPr>
          <w:b/>
          <w:lang w:val="fr-FR"/>
        </w:rPr>
        <w:t>T4</w:t>
      </w:r>
      <w:r w:rsidRPr="002E5493">
        <w:rPr>
          <w:b/>
          <w:lang w:val="fr-FR"/>
        </w:rPr>
        <w:tab/>
      </w:r>
      <w:r w:rsidRPr="002E5493">
        <w:rPr>
          <w:b/>
          <w:lang w:val="fr-FR"/>
        </w:rPr>
        <w:tab/>
      </w:r>
      <w:r w:rsidR="00A0036A" w:rsidRPr="002E5493">
        <w:rPr>
          <w:b/>
          <w:lang w:val="fr-FR"/>
        </w:rPr>
        <w:t xml:space="preserve"> </w:t>
      </w:r>
      <w:r w:rsidRPr="002E5493">
        <w:rPr>
          <w:b/>
          <w:lang w:val="fr-FR"/>
        </w:rPr>
        <w:t>T1</w:t>
      </w:r>
      <w:r w:rsidRPr="002E5493">
        <w:rPr>
          <w:b/>
          <w:lang w:val="fr-FR"/>
        </w:rPr>
        <w:tab/>
      </w:r>
      <w:r w:rsidRPr="002E5493">
        <w:rPr>
          <w:b/>
          <w:lang w:val="fr-FR"/>
        </w:rPr>
        <w:tab/>
      </w:r>
      <w:r w:rsidR="00A0036A" w:rsidRPr="002E5493">
        <w:rPr>
          <w:b/>
          <w:lang w:val="fr-FR"/>
        </w:rPr>
        <w:t xml:space="preserve">        </w:t>
      </w:r>
      <w:r w:rsidRPr="002E5493">
        <w:rPr>
          <w:b/>
          <w:lang w:val="fr-FR"/>
        </w:rPr>
        <w:t>T2</w:t>
      </w:r>
      <w:r w:rsidRPr="002E5493">
        <w:rPr>
          <w:b/>
          <w:lang w:val="fr-FR"/>
        </w:rPr>
        <w:tab/>
      </w:r>
      <w:r w:rsidRPr="002E5493">
        <w:rPr>
          <w:b/>
          <w:lang w:val="fr-FR"/>
        </w:rPr>
        <w:tab/>
      </w:r>
      <w:r w:rsidR="00A0036A" w:rsidRPr="002E5493">
        <w:rPr>
          <w:b/>
          <w:lang w:val="fr-FR"/>
        </w:rPr>
        <w:t xml:space="preserve">    </w:t>
      </w:r>
      <w:r w:rsidRPr="002E5493">
        <w:rPr>
          <w:b/>
          <w:lang w:val="fr-FR"/>
        </w:rPr>
        <w:t>T3</w:t>
      </w:r>
      <w:r w:rsidRPr="002E5493">
        <w:rPr>
          <w:b/>
          <w:lang w:val="fr-FR"/>
        </w:rPr>
        <w:tab/>
      </w:r>
      <w:r w:rsidRPr="002E5493">
        <w:rPr>
          <w:b/>
          <w:lang w:val="fr-FR"/>
        </w:rPr>
        <w:tab/>
      </w:r>
      <w:r w:rsidR="00A0036A" w:rsidRPr="002E5493">
        <w:rPr>
          <w:b/>
          <w:lang w:val="fr-FR"/>
        </w:rPr>
        <w:t xml:space="preserve">        </w:t>
      </w:r>
      <w:r w:rsidRPr="002E5493">
        <w:rPr>
          <w:b/>
          <w:lang w:val="fr-FR"/>
        </w:rPr>
        <w:t>T4</w:t>
      </w:r>
      <w:r w:rsidRPr="002E5493">
        <w:rPr>
          <w:b/>
          <w:lang w:val="fr-FR"/>
        </w:rPr>
        <w:tab/>
      </w:r>
      <w:r w:rsidRPr="002E5493">
        <w:rPr>
          <w:b/>
          <w:lang w:val="fr-FR"/>
        </w:rPr>
        <w:tab/>
      </w:r>
      <w:r w:rsidR="00A0036A" w:rsidRPr="002E5493">
        <w:rPr>
          <w:b/>
          <w:lang w:val="fr-FR"/>
        </w:rPr>
        <w:t xml:space="preserve">    </w:t>
      </w:r>
      <w:r w:rsidRPr="002E5493">
        <w:rPr>
          <w:b/>
          <w:lang w:val="fr-FR"/>
        </w:rPr>
        <w:t>T1</w:t>
      </w:r>
      <w:r w:rsidRPr="002E5493">
        <w:rPr>
          <w:b/>
          <w:lang w:val="fr-FR"/>
        </w:rPr>
        <w:tab/>
      </w:r>
    </w:p>
    <w:p w14:paraId="7FBD74A8" w14:textId="77777777" w:rsidR="007C2678" w:rsidRPr="002E5493" w:rsidRDefault="007C2678" w:rsidP="007C2678">
      <w:pPr>
        <w:ind w:firstLine="720"/>
        <w:rPr>
          <w:b/>
          <w:lang w:val="fr-FR"/>
        </w:rPr>
      </w:pPr>
    </w:p>
    <w:p w14:paraId="22315462" w14:textId="77777777" w:rsidR="007C2678" w:rsidRPr="002E5493" w:rsidRDefault="007C2678" w:rsidP="007C2678">
      <w:pPr>
        <w:ind w:firstLine="720"/>
        <w:rPr>
          <w:b/>
          <w:lang w:val="fr-FR"/>
        </w:rPr>
      </w:pPr>
      <w:r w:rsidRPr="00C168C5">
        <w:rPr>
          <w:b/>
          <w:noProof/>
          <w:lang w:val="en-US" w:eastAsia="en-US"/>
        </w:rPr>
        <mc:AlternateContent>
          <mc:Choice Requires="wpg">
            <w:drawing>
              <wp:anchor distT="0" distB="0" distL="114300" distR="114300" simplePos="0" relativeHeight="251659264" behindDoc="0" locked="0" layoutInCell="1" allowOverlap="1" wp14:anchorId="7EF96B8C" wp14:editId="61D6279D">
                <wp:simplePos x="0" y="0"/>
                <wp:positionH relativeFrom="column">
                  <wp:posOffset>457200</wp:posOffset>
                </wp:positionH>
                <wp:positionV relativeFrom="paragraph">
                  <wp:posOffset>118110</wp:posOffset>
                </wp:positionV>
                <wp:extent cx="8524240" cy="3453130"/>
                <wp:effectExtent l="101600" t="76200" r="86360" b="128270"/>
                <wp:wrapNone/>
                <wp:docPr id="5" name="Group 5"/>
                <wp:cNvGraphicFramePr/>
                <a:graphic xmlns:a="http://schemas.openxmlformats.org/drawingml/2006/main">
                  <a:graphicData uri="http://schemas.microsoft.com/office/word/2010/wordprocessingGroup">
                    <wpg:wgp>
                      <wpg:cNvGrpSpPr/>
                      <wpg:grpSpPr>
                        <a:xfrm>
                          <a:off x="0" y="0"/>
                          <a:ext cx="8524240" cy="3453130"/>
                          <a:chOff x="0" y="-1"/>
                          <a:chExt cx="8524874" cy="2905126"/>
                        </a:xfrm>
                      </wpg:grpSpPr>
                      <wps:wsp>
                        <wps:cNvPr id="24" name="Straight Connector 24"/>
                        <wps:cNvCnPr/>
                        <wps:spPr>
                          <a:xfrm>
                            <a:off x="8172414" y="422430"/>
                            <a:ext cx="0" cy="157275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4848225" y="600075"/>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Rounded Rectangle 3"/>
                        <wps:cNvSpPr/>
                        <wps:spPr>
                          <a:xfrm>
                            <a:off x="1924051" y="1019175"/>
                            <a:ext cx="1866900" cy="781050"/>
                          </a:xfrm>
                          <a:prstGeom prst="roundRect">
                            <a:avLst/>
                          </a:prstGeom>
                          <a:solidFill>
                            <a:schemeClr val="accent5"/>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28C4B625" w14:textId="77777777" w:rsidR="00A3265D" w:rsidRDefault="00A3265D" w:rsidP="00A0036A">
                              <w:r>
                                <w:t>Simposio internacional sobre diseños industriales</w:t>
                              </w:r>
                              <w:r w:rsidRPr="006669B5">
                                <w:t xml:space="preserve">, </w:t>
                              </w:r>
                            </w:p>
                            <w:p w14:paraId="3CC37082" w14:textId="1D8C7CEA" w:rsidR="00A3265D" w:rsidRPr="003647A2" w:rsidRDefault="00A3265D" w:rsidP="00A0036A">
                              <w:pPr>
                                <w:rPr>
                                  <w:i/>
                                </w:rPr>
                              </w:pPr>
                              <w:r w:rsidRPr="003647A2">
                                <w:rPr>
                                  <w:i/>
                                </w:rPr>
                                <w:t>Buenos Aires</w:t>
                              </w:r>
                            </w:p>
                            <w:p w14:paraId="30BFF628" w14:textId="77777777" w:rsidR="00A3265D" w:rsidRPr="006669B5" w:rsidRDefault="00A3265D" w:rsidP="007C2678">
                              <w:pPr>
                                <w:jc w:val="center"/>
                              </w:pPr>
                            </w:p>
                            <w:p w14:paraId="4F532895" w14:textId="77777777" w:rsidR="00A3265D" w:rsidRPr="006669B5" w:rsidRDefault="00A3265D" w:rsidP="007C2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entagon 6"/>
                        <wps:cNvSpPr/>
                        <wps:spPr>
                          <a:xfrm>
                            <a:off x="0" y="0"/>
                            <a:ext cx="1781175" cy="600075"/>
                          </a:xfrm>
                          <a:prstGeom prst="homePlate">
                            <a:avLst/>
                          </a:prstGeom>
                          <a:solidFill>
                            <a:schemeClr val="tx2">
                              <a:lumMod val="40000"/>
                              <a:lumOff val="6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448C3FB" w14:textId="77777777" w:rsidR="00A3265D" w:rsidRDefault="00A3265D" w:rsidP="007C2678">
                              <w:pPr>
                                <w:jc w:val="center"/>
                              </w:pPr>
                              <w:r>
                                <w:t>Anteproyecto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hevron 7"/>
                        <wps:cNvSpPr/>
                        <wps:spPr>
                          <a:xfrm>
                            <a:off x="1533525" y="0"/>
                            <a:ext cx="1438275" cy="600075"/>
                          </a:xfrm>
                          <a:prstGeom prst="chevron">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36934495" w14:textId="77777777" w:rsidR="00A3265D" w:rsidRDefault="00A3265D" w:rsidP="007C2678">
                              <w:pPr>
                                <w:jc w:val="center"/>
                              </w:pPr>
                              <w:r>
                                <w:t>Etapa inicial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hevron 9"/>
                        <wps:cNvSpPr/>
                        <wps:spPr>
                          <a:xfrm>
                            <a:off x="2733675" y="0"/>
                            <a:ext cx="1895475" cy="600075"/>
                          </a:xfrm>
                          <a:prstGeom prst="chevron">
                            <a:avLst/>
                          </a:prstGeom>
                          <a:solidFill>
                            <a:schemeClr val="accent5"/>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ABADE25" w14:textId="77777777" w:rsidR="00A3265D" w:rsidRDefault="00A3265D" w:rsidP="007C2678">
                              <w:pPr>
                                <w:jc w:val="center"/>
                              </w:pPr>
                              <w:r>
                                <w:rPr>
                                  <w:b/>
                                  <w:i/>
                                </w:rPr>
                                <w:t>Actos de lanzamiento</w:t>
                              </w:r>
                              <w:r>
                                <w:t xml:space="preserve">          Divulgación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hevron 10"/>
                        <wps:cNvSpPr/>
                        <wps:spPr>
                          <a:xfrm>
                            <a:off x="4395162" y="9615"/>
                            <a:ext cx="2295525" cy="600075"/>
                          </a:xfrm>
                          <a:prstGeom prst="chevron">
                            <a:avLst/>
                          </a:prstGeom>
                          <a:solidFill>
                            <a:schemeClr val="accent5">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7DE91F5C" w14:textId="34086169" w:rsidR="00A3265D" w:rsidRPr="0032329D" w:rsidRDefault="00A3265D" w:rsidP="007C2678">
                              <w:pPr>
                                <w:jc w:val="center"/>
                                <w:rPr>
                                  <w:b/>
                                  <w:i/>
                                </w:rPr>
                              </w:pPr>
                              <w:r w:rsidRPr="0032329D">
                                <w:rPr>
                                  <w:b/>
                                  <w:i/>
                                </w:rPr>
                                <w:t xml:space="preserve">Actos de presentación </w:t>
                              </w:r>
                              <w:r w:rsidRPr="0032329D">
                                <w:t>Ejecución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hevron 11"/>
                        <wps:cNvSpPr/>
                        <wps:spPr>
                          <a:xfrm>
                            <a:off x="6400799" y="-1"/>
                            <a:ext cx="2124075" cy="682208"/>
                          </a:xfrm>
                          <a:prstGeom prst="chevron">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7364F82A" w14:textId="77777777" w:rsidR="00A3265D" w:rsidRPr="003647A2" w:rsidRDefault="00A3265D" w:rsidP="007C2678">
                              <w:pPr>
                                <w:jc w:val="center"/>
                                <w:rPr>
                                  <w:b/>
                                  <w:i/>
                                </w:rPr>
                              </w:pPr>
                              <w:r>
                                <w:rPr>
                                  <w:b/>
                                  <w:i/>
                                </w:rPr>
                                <w:t xml:space="preserve">Acto paralelo ante el SCT / Actos finales </w:t>
                              </w:r>
                              <w:r w:rsidRPr="003415C6">
                                <w:t>Etapa 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2057399" y="2124075"/>
                            <a:ext cx="2028825" cy="781050"/>
                          </a:xfrm>
                          <a:prstGeom prst="roundRect">
                            <a:avLst/>
                          </a:prstGeom>
                          <a:solidFill>
                            <a:schemeClr val="accent5"/>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03916B42" w14:textId="77777777" w:rsidR="00A3265D" w:rsidRPr="003647A2" w:rsidRDefault="00A3265D" w:rsidP="007C2678">
                              <w:pPr>
                                <w:jc w:val="center"/>
                                <w:rPr>
                                  <w:i/>
                                </w:rPr>
                              </w:pPr>
                              <w:r w:rsidRPr="003647A2">
                                <w:t>C</w:t>
                              </w:r>
                              <w:r>
                                <w:t xml:space="preserve">onferencia sobre protección de diseños industriales y mesa redonda, </w:t>
                              </w:r>
                              <w:r w:rsidRPr="003647A2">
                                <w:t xml:space="preserve"> </w:t>
                              </w:r>
                              <w:r w:rsidRPr="003647A2">
                                <w:rPr>
                                  <w:i/>
                                </w:rPr>
                                <w:t>Casablanca</w:t>
                              </w:r>
                            </w:p>
                            <w:p w14:paraId="7CCC6A29" w14:textId="77777777" w:rsidR="00A3265D" w:rsidRPr="006669B5" w:rsidRDefault="00A3265D" w:rsidP="007C2678">
                              <w:pPr>
                                <w:jc w:val="center"/>
                                <w:rPr>
                                  <w:u w:val="single"/>
                                </w:rPr>
                              </w:pPr>
                            </w:p>
                            <w:p w14:paraId="4911A706" w14:textId="77777777" w:rsidR="00A3265D" w:rsidRPr="006669B5" w:rsidRDefault="00A3265D" w:rsidP="007C2678">
                              <w:pPr>
                                <w:jc w:val="center"/>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a:off x="2857500" y="600053"/>
                            <a:ext cx="0" cy="4190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3048000" y="600053"/>
                            <a:ext cx="0" cy="41908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3048000" y="1800225"/>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Rounded Rectangle 18"/>
                        <wps:cNvSpPr/>
                        <wps:spPr>
                          <a:xfrm>
                            <a:off x="4371975" y="2124075"/>
                            <a:ext cx="1924050" cy="781050"/>
                          </a:xfrm>
                          <a:prstGeom prst="roundRect">
                            <a:avLst/>
                          </a:prstGeom>
                          <a:solidFill>
                            <a:schemeClr val="accent5">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5415C08" w14:textId="77777777" w:rsidR="00A3265D" w:rsidRPr="006669B5" w:rsidRDefault="00A3265D" w:rsidP="007C2678">
                              <w:r>
                                <w:t xml:space="preserve">Taller de fomento de capacidades y acto de presentación de </w:t>
                              </w:r>
                              <w:r w:rsidRPr="00C4020F">
                                <w:rPr>
                                  <w:i/>
                                </w:rPr>
                                <w:t>Namadij</w:t>
                              </w:r>
                              <w:r w:rsidRPr="006669B5">
                                <w:t xml:space="preserve">, </w:t>
                              </w:r>
                              <w:r w:rsidRPr="003647A2">
                                <w:rPr>
                                  <w:i/>
                                </w:rPr>
                                <w:t>Casablanca</w:t>
                              </w:r>
                            </w:p>
                            <w:p w14:paraId="77748A5A" w14:textId="77777777" w:rsidR="00A3265D" w:rsidRPr="006669B5" w:rsidRDefault="00A3265D" w:rsidP="007C2678">
                              <w:pPr>
                                <w:jc w:val="center"/>
                              </w:pPr>
                            </w:p>
                            <w:p w14:paraId="4CEC8AAB" w14:textId="77777777" w:rsidR="00A3265D" w:rsidRPr="006669B5" w:rsidRDefault="00A3265D" w:rsidP="007C2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6858519" y="2019378"/>
                            <a:ext cx="1447800" cy="874529"/>
                          </a:xfrm>
                          <a:prstGeom prst="roundRect">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29909239" w14:textId="77777777" w:rsidR="00A3265D" w:rsidRPr="003647A2" w:rsidRDefault="00A3265D" w:rsidP="007C2678">
                              <w:pPr>
                                <w:rPr>
                                  <w:i/>
                                </w:rPr>
                              </w:pPr>
                              <w:r>
                                <w:t xml:space="preserve">Actos finales e intercambio de conocimientos, </w:t>
                              </w:r>
                              <w:r>
                                <w:rPr>
                                  <w:i/>
                                </w:rPr>
                                <w:t>Buenos Aires y</w:t>
                              </w:r>
                              <w:r w:rsidRPr="003647A2">
                                <w:rPr>
                                  <w:i/>
                                </w:rPr>
                                <w:t xml:space="preserve"> Casablanca</w:t>
                              </w:r>
                            </w:p>
                            <w:p w14:paraId="2A464EDA" w14:textId="77777777" w:rsidR="00A3265D" w:rsidRPr="006669B5" w:rsidRDefault="00A3265D" w:rsidP="007C2678">
                              <w:pPr>
                                <w:jc w:val="center"/>
                              </w:pPr>
                            </w:p>
                            <w:p w14:paraId="664BD93C" w14:textId="77777777" w:rsidR="00A3265D" w:rsidRPr="006669B5" w:rsidRDefault="00A3265D" w:rsidP="007C2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a:off x="7000875" y="600075"/>
                            <a:ext cx="0" cy="504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4781550" y="600075"/>
                            <a:ext cx="0" cy="1524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Rounded Rectangle 17"/>
                        <wps:cNvSpPr/>
                        <wps:spPr>
                          <a:xfrm>
                            <a:off x="4191000" y="1019175"/>
                            <a:ext cx="1800225" cy="781050"/>
                          </a:xfrm>
                          <a:prstGeom prst="roundRect">
                            <a:avLst/>
                          </a:prstGeom>
                          <a:solidFill>
                            <a:schemeClr val="accent5">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06D9BD0D" w14:textId="47FF21C1" w:rsidR="00A3265D" w:rsidRPr="003647A2" w:rsidRDefault="00A3265D" w:rsidP="007C2678">
                              <w:pPr>
                                <w:rPr>
                                  <w:i/>
                                </w:rPr>
                              </w:pPr>
                              <w:r>
                                <w:rPr>
                                  <w:i/>
                                </w:rPr>
                                <w:t xml:space="preserve">Acto de presentación de </w:t>
                              </w:r>
                              <w:r w:rsidRPr="00C4020F">
                                <w:rPr>
                                  <w:i/>
                                </w:rPr>
                                <w:t>DiseñAr</w:t>
                              </w:r>
                              <w:r w:rsidRPr="006669B5">
                                <w:t xml:space="preserve"> </w:t>
                              </w:r>
                              <w:r>
                                <w:t>y</w:t>
                              </w:r>
                              <w:r w:rsidRPr="006669B5">
                                <w:t xml:space="preserve"> “</w:t>
                              </w:r>
                              <w:r w:rsidR="00E20503">
                                <w:t>taller de pre</w:t>
                              </w:r>
                              <w:r>
                                <w:t>diagnóstico</w:t>
                              </w:r>
                              <w:r w:rsidRPr="006669B5">
                                <w:t>”</w:t>
                              </w:r>
                              <w:r>
                                <w:t xml:space="preserve">, </w:t>
                              </w:r>
                              <w:r w:rsidRPr="003647A2">
                                <w:rPr>
                                  <w:i/>
                                </w:rPr>
                                <w:t>Buenos Aires</w:t>
                              </w:r>
                            </w:p>
                            <w:p w14:paraId="6A363E90" w14:textId="77777777" w:rsidR="00A3265D" w:rsidRPr="006669B5" w:rsidRDefault="00A3265D" w:rsidP="007C2678">
                              <w:pPr>
                                <w:jc w:val="center"/>
                              </w:pPr>
                            </w:p>
                            <w:p w14:paraId="3E0B05E9" w14:textId="77777777" w:rsidR="00A3265D" w:rsidRPr="006669B5" w:rsidRDefault="00A3265D" w:rsidP="007C2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6391115" y="769287"/>
                            <a:ext cx="2067714" cy="1057770"/>
                          </a:xfrm>
                          <a:prstGeom prst="roundRect">
                            <a:avLst>
                              <a:gd name="adj" fmla="val 26445"/>
                            </a:avLst>
                          </a:prstGeom>
                          <a:solidFill>
                            <a:schemeClr val="tx2">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7EE8F30" w14:textId="77777777" w:rsidR="00A3265D" w:rsidRPr="003647A2" w:rsidRDefault="00A3265D" w:rsidP="007C2678">
                              <w:pPr>
                                <w:rPr>
                                  <w:i/>
                                </w:rPr>
                              </w:pPr>
                              <w:r>
                                <w:t xml:space="preserve">Acto paralelo ante la 34ª sesión del SCT, Intercambio de conocimientos y exposición de diseños, </w:t>
                              </w:r>
                              <w:r w:rsidRPr="001941E3">
                                <w:rPr>
                                  <w:i/>
                                </w:rPr>
                                <w:t>Ginebra</w:t>
                              </w:r>
                            </w:p>
                            <w:p w14:paraId="25F81296" w14:textId="77777777" w:rsidR="00A3265D" w:rsidRPr="006669B5" w:rsidRDefault="00A3265D" w:rsidP="007C2678">
                              <w:pPr>
                                <w:jc w:val="center"/>
                              </w:pPr>
                            </w:p>
                            <w:p w14:paraId="38EDB86B" w14:textId="77777777" w:rsidR="00A3265D" w:rsidRPr="006669B5" w:rsidRDefault="00A3265D" w:rsidP="007C26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left:0;text-align:left;margin-left:36pt;margin-top:9.3pt;width:671.2pt;height:271.9pt;z-index:251659264;mso-width-relative:margin;mso-height-relative:margin" coordorigin="" coordsize="85248,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">
                <v:line id="Straight Connector 24" o:spid="_x0000_s1027" style="position:absolute;visibility:visible;mso-wrap-style:square" from="81724,4224" to="81724,19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xJsQAAADbAAAADwAAAGRycy9kb3ducmV2LnhtbESPUWvCQBCE3wv9D8cW+lYvjVU09RQR&#10;BGn7ou0PWHPbJJjbS+9Wjf31vYLg4zAz3zCzRe9adaIQG88GngcZKOLS24YrA1+f66cJqCjIFlvP&#10;ZOBCERbz+7sZFtafeUunnVQqQTgWaKAW6QqtY1mTwzjwHXHyvn1wKEmGStuA5wR3rc6zbKwdNpwW&#10;auxoVVN52B2dgZ/3j0287NtcxqPft0NYTqYyjMY8PvTLV1BCvdzC1/bGGshf4P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zEmxAAAANsAAAAPAAAAAAAAAAAA&#10;AAAAAKECAABkcnMvZG93bnJldi54bWxQSwUGAAAAAAQABAD5AAAAkgMAAAAA&#10;" strokecolor="#4579b8 [3044]"/>
                <v:line id="Straight Connector 20" o:spid="_x0000_s1028" style="position:absolute;visibility:visible;mso-wrap-style:square" from="48482,6000" to="48482,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3JcEAAADbAAAADwAAAGRycy9kb3ducmV2LnhtbERPzWrCQBC+F3yHZQRvdWNEsamriCCI&#10;7aW2DzDNTpNgdjbujhr79O6h0OPH979c965VVwqx8WxgMs5AEZfeNlwZ+PrcPS9ARUG22HomA3eK&#10;sF4NnpZYWH/jD7oepVIphGOBBmqRrtA6ljU5jGPfESfuxweHkmCotA14S+Gu1XmWzbXDhlNDjR1t&#10;aypPx4szcH5738f7d5vLfPZ7OIXN4kW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kDclwQAAANsAAAAPAAAAAAAAAAAAAAAA&#10;AKECAABkcnMvZG93bnJldi54bWxQSwUGAAAAAAQABAD5AAAAjwMAAAAA&#10;" strokecolor="#4579b8 [3044]"/>
                <v:roundrect id="Rounded Rectangle 3" o:spid="_x0000_s1029" style="position:absolute;left:19240;top:10191;width:18669;height:78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LXsMA&#10;AADaAAAADwAAAGRycy9kb3ducmV2LnhtbESPQWsCMRSE74L/ITyhF9HEVkRXo2ih1IM9VD14fGye&#10;u6ubl2WT1e2/bwTB4zAz3zCLVWtLcaPaF441jIYKBHHqTMGZhuPhazAF4QOywdIxafgjD6tlt7PA&#10;xLg7/9JtHzIRIewT1JCHUCVS+jQni37oKuLonV1tMURZZ9LUeI9wW8p3pSbSYsFxIceKPnNKr/vG&#10;ahjz7qra6vvndGpwVl42/ZHaNFq/9dr1HESgNrzCz/bWaPiAx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lLXsMAAADaAAAADwAAAAAAAAAAAAAAAACYAgAAZHJzL2Rv&#10;d25yZXYueG1sUEsFBgAAAAAEAAQA9QAAAIgDAAAAAA==&#10;" fillcolor="#4bacc6 [3208]" stroked="f" strokeweight="2pt">
                  <v:shadow on="t" color="black" opacity="20971f" offset="0,2.2pt"/>
                  <v:textbox>
                    <w:txbxContent>
                      <w:p w14:paraId="28C4B625" w14:textId="77777777" w:rsidR="00A3265D" w:rsidRDefault="00A3265D" w:rsidP="00A0036A">
                        <w:r>
                          <w:t>Simposio internacional sobre diseños industriales</w:t>
                        </w:r>
                        <w:r w:rsidRPr="006669B5">
                          <w:t xml:space="preserve">, </w:t>
                        </w:r>
                      </w:p>
                      <w:p w14:paraId="3CC37082" w14:textId="1D8C7CEA" w:rsidR="00A3265D" w:rsidRPr="003647A2" w:rsidRDefault="00A3265D" w:rsidP="00A0036A">
                        <w:pPr>
                          <w:rPr>
                            <w:i/>
                          </w:rPr>
                        </w:pPr>
                        <w:r w:rsidRPr="003647A2">
                          <w:rPr>
                            <w:i/>
                          </w:rPr>
                          <w:t>Buenos Aires</w:t>
                        </w:r>
                      </w:p>
                      <w:p w14:paraId="30BFF628" w14:textId="77777777" w:rsidR="00A3265D" w:rsidRPr="006669B5" w:rsidRDefault="00A3265D" w:rsidP="007C2678">
                        <w:pPr>
                          <w:jc w:val="center"/>
                        </w:pPr>
                      </w:p>
                      <w:p w14:paraId="4F532895" w14:textId="77777777" w:rsidR="00A3265D" w:rsidRPr="006669B5" w:rsidRDefault="00A3265D" w:rsidP="007C2678">
                        <w:pPr>
                          <w:jc w:val="center"/>
                        </w:pP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 o:spid="_x0000_s1030" type="#_x0000_t15" style="position:absolute;width:17811;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KMMEA&#10;AADaAAAADwAAAGRycy9kb3ducmV2LnhtbESP3YrCMBSE7wXfIRzBO00VEa1GEVEQFlf8uz80x7bY&#10;nNQm1u7bmwXBy2FmvmHmy8YUoqbK5ZYVDPoRCOLE6pxTBZfztjcB4TyyxsIyKfgjB8tFuzXHWNsX&#10;H6k++VQECLsYFWTel7GULsnIoOvbkjh4N1sZ9EFWqdQVvgLcFHIYRWNpMOewkGFJ64yS++lpFPyM&#10;drfysZ8+rhv5/MWzqw+jgVSq22lWMxCeGv8Nf9o7rWAM/1fCD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cCjDBAAAA2gAAAA8AAAAAAAAAAAAAAAAAmAIAAGRycy9kb3du&#10;cmV2LnhtbFBLBQYAAAAABAAEAPUAAACGAwAAAAA=&#10;" adj="17961" fillcolor="#8db3e2 [1311]" stroked="f" strokeweight="2pt">
                  <v:shadow on="t" color="black" opacity="20971f" offset="0,2.2pt"/>
                  <v:textbox>
                    <w:txbxContent>
                      <w:p w14:paraId="4448C3FB" w14:textId="77777777" w:rsidR="00A3265D" w:rsidRDefault="00A3265D" w:rsidP="007C2678">
                        <w:pPr>
                          <w:jc w:val="center"/>
                        </w:pPr>
                        <w:r>
                          <w:t>Anteproyecto</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 o:spid="_x0000_s1031" type="#_x0000_t55" style="position:absolute;left:15335;width:14383;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wt8QA&#10;AADaAAAADwAAAGRycy9kb3ducmV2LnhtbESPT2vCQBTE7wW/w/IKvdVNpNU2zSaIRehN1EJ7fGRf&#10;/tDs25hdTeqndwXB4zAzv2HSfDStOFHvGssK4mkEgriwuuFKwfd+/fwGwnlkja1lUvBPDvJs8pBi&#10;ou3AWzrtfCUChF2CCmrvu0RKV9Rk0E1tRxy80vYGfZB9JXWPQ4CbVs6iaC4NNhwWauxoVVPxtzsa&#10;BdujO5SNiT9fZ++bn98B48X5Za3U0+O4/ADhafT38K39pRUs4Hol3ACZ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V8LfEAAAA2gAAAA8AAAAAAAAAAAAAAAAAmAIAAGRycy9k&#10;b3ducmV2LnhtbFBLBQYAAAAABAAEAPUAAACJAwAAAAA=&#10;" adj="17094" fillcolor="#4f81bd [3204]" stroked="f" strokeweight="2pt">
                  <v:shadow on="t" color="black" opacity="20971f" offset="0,2.2pt"/>
                  <v:textbox>
                    <w:txbxContent>
                      <w:p w14:paraId="36934495" w14:textId="77777777" w:rsidR="00A3265D" w:rsidRDefault="00A3265D" w:rsidP="007C2678">
                        <w:pPr>
                          <w:jc w:val="center"/>
                        </w:pPr>
                        <w:r>
                          <w:t>Etapa inicial</w:t>
                        </w:r>
                      </w:p>
                    </w:txbxContent>
                  </v:textbox>
                </v:shape>
                <v:shape id="Chevron 9" o:spid="_x0000_s1032" type="#_x0000_t55" style="position:absolute;left:27336;width:18955;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0zXMQA&#10;AADaAAAADwAAAGRycy9kb3ducmV2LnhtbESPT2vCQBTE70K/w/IKvZlNhVSNrlKESpFe/IN6fGSf&#10;Seju25BdNfrpuwXB4zAzv2Gm884acaHW144VvCcpCOLC6ZpLBbvtV38EwgdkjcYxKbiRh/nspTfF&#10;XLsrr+myCaWIEPY5KqhCaHIpfVGRRZ+4hjh6J9daDFG2pdQtXiPcGjlI0w9psea4UGFDi4qK383Z&#10;KjgasxpkQ3NYZ/ef8z7bLxf2vlTq7bX7nIAI1IVn+NH+1grG8H8l3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NM1zEAAAA2gAAAA8AAAAAAAAAAAAAAAAAmAIAAGRycy9k&#10;b3ducmV2LnhtbFBLBQYAAAAABAAEAPUAAACJAwAAAAA=&#10;" adj="18181" fillcolor="#4bacc6 [3208]" stroked="f" strokeweight="2pt">
                  <v:shadow on="t" color="black" opacity="20971f" offset="0,2.2pt"/>
                  <v:textbox>
                    <w:txbxContent>
                      <w:p w14:paraId="4ABADE25" w14:textId="77777777" w:rsidR="00A3265D" w:rsidRDefault="00A3265D" w:rsidP="007C2678">
                        <w:pPr>
                          <w:jc w:val="center"/>
                        </w:pPr>
                        <w:r>
                          <w:rPr>
                            <w:b/>
                            <w:i/>
                          </w:rPr>
                          <w:t>Actos de lanzamiento</w:t>
                        </w:r>
                        <w:r>
                          <w:t xml:space="preserve">          Divulgación</w:t>
                        </w:r>
                      </w:p>
                    </w:txbxContent>
                  </v:textbox>
                </v:shape>
                <v:shape id="Chevron 10" o:spid="_x0000_s1033" type="#_x0000_t55" style="position:absolute;left:43951;top:96;width:22955;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yfMQA&#10;AADbAAAADwAAAGRycy9kb3ducmV2LnhtbESPQU/DMAyF70j7D5EncWPpODBUlk0wCWknYIMLN6vx&#10;mm6NUyWhKfx6fEDiZus9v/d5vZ18r0aKqQtsYLmoQBE3wXbcGvh4f765B5UyssU+MBn4pgTbzexq&#10;jbUNhQ80HnOrJIRTjQZczkOtdWoceUyLMBCLdgrRY5Y1ttpGLBLue31bVXfaY8fS4HCgnaPmcvzy&#10;BvQYz+3LU/ksq599Wp2Lc69vB2Ou59PjA6hMU/43/13vreALvfwiA+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GMnzEAAAA2wAAAA8AAAAAAAAAAAAAAAAAmAIAAGRycy9k&#10;b3ducmV2LnhtbFBLBQYAAAAABAAEAPUAAACJAwAAAAA=&#10;" adj="18777" fillcolor="#31849b [2408]" stroked="f" strokeweight="2pt">
                  <v:shadow on="t" color="black" opacity="20971f" offset="0,2.2pt"/>
                  <v:textbox>
                    <w:txbxContent>
                      <w:p w14:paraId="7DE91F5C" w14:textId="34086169" w:rsidR="00A3265D" w:rsidRPr="0032329D" w:rsidRDefault="00A3265D" w:rsidP="007C2678">
                        <w:pPr>
                          <w:jc w:val="center"/>
                          <w:rPr>
                            <w:b/>
                            <w:i/>
                          </w:rPr>
                        </w:pPr>
                        <w:r w:rsidRPr="0032329D">
                          <w:rPr>
                            <w:b/>
                            <w:i/>
                          </w:rPr>
                          <w:t xml:space="preserve">Actos de presentación </w:t>
                        </w:r>
                        <w:r w:rsidRPr="0032329D">
                          <w:t>Ejecución</w:t>
                        </w:r>
                      </w:p>
                    </w:txbxContent>
                  </v:textbox>
                </v:shape>
                <v:shape id="Chevron 11" o:spid="_x0000_s1034" type="#_x0000_t55" style="position:absolute;left:64007;width:21241;height:6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hG0sIA&#10;AADbAAAADwAAAGRycy9kb3ducmV2LnhtbERPS4vCMBC+C/sfwix4EU0VFKlGkRXBi4gPWPY2NLNt&#10;d5tJSaKt/nojCN7m43vOfNmaSlzJ+dKyguEgAUGcWV1yruB82vSnIHxA1lhZJgU38rBcfHTmmGrb&#10;8IGux5CLGMI+RQVFCHUqpc8KMugHtiaO3K91BkOELpfaYRPDTSVHSTKRBkuODQXW9FVQ9n+8GAWu&#10;N/7++buzK91Jj3e3fbNfb1dKdT/b1QxEoDa8xS/3Vsf5Q3j+E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EbSwgAAANsAAAAPAAAAAAAAAAAAAAAAAJgCAABkcnMvZG93&#10;bnJldi54bWxQSwUGAAAAAAQABAD1AAAAhwMAAAAA&#10;" adj="18131" fillcolor="#17365d [2415]" stroked="f" strokeweight="2pt">
                  <v:shadow on="t" color="black" opacity="20971f" offset="0,2.2pt"/>
                  <v:textbox>
                    <w:txbxContent>
                      <w:p w14:paraId="7364F82A" w14:textId="77777777" w:rsidR="00A3265D" w:rsidRPr="003647A2" w:rsidRDefault="00A3265D" w:rsidP="007C2678">
                        <w:pPr>
                          <w:jc w:val="center"/>
                          <w:rPr>
                            <w:b/>
                            <w:i/>
                          </w:rPr>
                        </w:pPr>
                        <w:r>
                          <w:rPr>
                            <w:b/>
                            <w:i/>
                          </w:rPr>
                          <w:t xml:space="preserve">Acto paralelo ante el SCT / Actos finales </w:t>
                        </w:r>
                        <w:r w:rsidRPr="003415C6">
                          <w:t>Etapa final</w:t>
                        </w:r>
                      </w:p>
                    </w:txbxContent>
                  </v:textbox>
                </v:shape>
                <v:roundrect id="Rounded Rectangle 13" o:spid="_x0000_s1035" style="position:absolute;left:20573;top:21240;width:20289;height:78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BxRsMA&#10;AADbAAAADwAAAGRycy9kb3ducmV2LnhtbERPTWvCQBC9F/wPywheSt1VS2nTbEQFsYd6MO3B45Cd&#10;JtHsbMhuNP57t1DobR7vc9LlYBtxoc7XjjXMpgoEceFMzaWG76/t0ysIH5ANNo5Jw408LLPRQ4qJ&#10;cVc+0CUPpYgh7BPUUIXQJlL6oiKLfupa4sj9uM5iiLArpenwGsNtI+dKvUiLNceGClvaVFSc895q&#10;eObPsxra3f547PGtOa0fZ2rdaz0ZD6t3EIGG8C/+c3+YOH8Bv7/EA2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BxRsMAAADbAAAADwAAAAAAAAAAAAAAAACYAgAAZHJzL2Rv&#10;d25yZXYueG1sUEsFBgAAAAAEAAQA9QAAAIgDAAAAAA==&#10;" fillcolor="#4bacc6 [3208]" stroked="f" strokeweight="2pt">
                  <v:shadow on="t" color="black" opacity="20971f" offset="0,2.2pt"/>
                  <v:textbox>
                    <w:txbxContent>
                      <w:p w14:paraId="03916B42" w14:textId="77777777" w:rsidR="00A3265D" w:rsidRPr="003647A2" w:rsidRDefault="00A3265D" w:rsidP="007C2678">
                        <w:pPr>
                          <w:jc w:val="center"/>
                          <w:rPr>
                            <w:i/>
                          </w:rPr>
                        </w:pPr>
                        <w:r w:rsidRPr="003647A2">
                          <w:t>C</w:t>
                        </w:r>
                        <w:r>
                          <w:t xml:space="preserve">onferencia sobre protección de diseños industriales y mesa redonda, </w:t>
                        </w:r>
                        <w:r w:rsidRPr="003647A2">
                          <w:t xml:space="preserve"> </w:t>
                        </w:r>
                        <w:r w:rsidRPr="003647A2">
                          <w:rPr>
                            <w:i/>
                          </w:rPr>
                          <w:t>Casablanca</w:t>
                        </w:r>
                      </w:p>
                      <w:p w14:paraId="7CCC6A29" w14:textId="77777777" w:rsidR="00A3265D" w:rsidRPr="006669B5" w:rsidRDefault="00A3265D" w:rsidP="007C2678">
                        <w:pPr>
                          <w:jc w:val="center"/>
                          <w:rPr>
                            <w:u w:val="single"/>
                          </w:rPr>
                        </w:pPr>
                      </w:p>
                      <w:p w14:paraId="4911A706" w14:textId="77777777" w:rsidR="00A3265D" w:rsidRPr="006669B5" w:rsidRDefault="00A3265D" w:rsidP="007C2678">
                        <w:pPr>
                          <w:jc w:val="center"/>
                          <w:rPr>
                            <w:u w:val="single"/>
                          </w:rPr>
                        </w:pPr>
                      </w:p>
                    </w:txbxContent>
                  </v:textbox>
                </v:roundrect>
                <v:line id="Straight Connector 14" o:spid="_x0000_s1036" style="position:absolute;visibility:visible;mso-wrap-style:square" from="28575,6000" to="28575,10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7m8IAAADbAAAADwAAAGRycy9kb3ducmV2LnhtbERPzWoCMRC+C32HMEJvmtW2oqtRRChI&#10;66W2DzBuxt3FzWSbjLr26Ruh0Nt8fL+zWHWuURcKsfZsYDTMQBEX3tZcGvj6fB1MQUVBtth4JgM3&#10;irBaPvQWmFt/5Q+67KVUKYRjjgYqkTbXOhYVOYxD3xIn7uiDQ0kwlNoGvKZw1+hxlk20w5pTQ4Ut&#10;bSoqTvuzM/D9vtvG26EZy+Tl5+0U1tOZPEVjHvvdeg5KqJN/8Z97a9P8Z7j/kg7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f7m8IAAADbAAAADwAAAAAAAAAAAAAA&#10;AAChAgAAZHJzL2Rvd25yZXYueG1sUEsFBgAAAAAEAAQA+QAAAJADAAAAAA==&#10;" strokecolor="#4579b8 [3044]"/>
                <v:line id="Straight Connector 15" o:spid="_x0000_s1037" style="position:absolute;visibility:visible;mso-wrap-style:square" from="30480,6000" to="30480,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teAMEAAADbAAAADwAAAGRycy9kb3ducmV2LnhtbERPzWoCMRC+F/oOYQrearaKoqtRRChI&#10;7aXqA4yb6e7iZrImU1379KZQ8DYf3+/Ml51r1IVCrD0beOtnoIgLb2suDRz2768TUFGQLTaeycCN&#10;IiwXz09zzK2/8hdddlKqFMIxRwOVSJtrHYuKHMa+b4kT9+2DQ0kwlNoGvKZw1+hBlo21w5pTQ4Ut&#10;rSsqTrsfZ+C8/dzE27EZyHj0+3EKq8lUhtGY3ku3moES6uQh/ndvbJo/gr9f0gF6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i14AwQAAANsAAAAPAAAAAAAAAAAAAAAA&#10;AKECAABkcnMvZG93bnJldi54bWxQSwUGAAAAAAQABAD5AAAAjwMAAAAA&#10;" strokecolor="#4579b8 [3044]"/>
                <v:line id="Straight Connector 16" o:spid="_x0000_s1038" style="position:absolute;visibility:visible;mso-wrap-style:square" from="30480,18002" to="30480,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Ad8EAAADbAAAADwAAAGRycy9kb3ducmV2LnhtbERPzWrCQBC+C32HZQq96aaWBhtdRQoF&#10;qV60fYBpdkyC2dl0d6rRp+8Kgrf5+H5ntuhdq44UYuPZwPMoA0VcettwZeD762M4ARUF2WLrmQyc&#10;KcJi/jCYYWH9ibd03EmlUgjHAg3UIl2hdSxrchhHviNO3N4Hh5JgqLQNeErhrtXjLMu1w4ZTQ40d&#10;vddUHnZ/zsDverOK5592LPnr5fMQlpM3eYnGPD32yykooV7u4pt7ZdP8HK6/pAP0/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cB3wQAAANsAAAAPAAAAAAAAAAAAAAAA&#10;AKECAABkcnMvZG93bnJldi54bWxQSwUGAAAAAAQABAD5AAAAjwMAAAAA&#10;" strokecolor="#4579b8 [3044]"/>
                <v:roundrect id="Rounded Rectangle 18" o:spid="_x0000_s1039" style="position:absolute;left:43719;top:21240;width:19241;height:78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sgcUA&#10;AADbAAAADwAAAGRycy9kb3ducmV2LnhtbESPT2vCQBDF70K/wzKCt7pR0JbUVaQoCHqphv65Ddlp&#10;NjQ7G7Krxn76zqHgbYb35r3fLFa9b9SFulgHNjAZZ6CIy2BrrgwUp+3jM6iYkC02gcnAjSKslg+D&#10;BeY2XPmNLsdUKQnhmKMBl1Kbax1LRx7jOLTEon2HzmOStau07fAq4b7R0yyba481S4PDll4dlT/H&#10;szewf6o+drf11+GXyyJtipl7/5w5Y0bDfv0CKlGf7ub/650VfIGVX2QA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qyBxQAAANsAAAAPAAAAAAAAAAAAAAAAAJgCAABkcnMv&#10;ZG93bnJldi54bWxQSwUGAAAAAAQABAD1AAAAigMAAAAA&#10;" fillcolor="#31849b [2408]" stroked="f" strokeweight="2pt">
                  <v:shadow on="t" color="black" opacity="20971f" offset="0,2.2pt"/>
                  <v:textbox>
                    <w:txbxContent>
                      <w:p w14:paraId="45415C08" w14:textId="77777777" w:rsidR="00A3265D" w:rsidRPr="006669B5" w:rsidRDefault="00A3265D" w:rsidP="007C2678">
                        <w:r>
                          <w:t xml:space="preserve">Taller de fomento de capacidades y acto de presentación de </w:t>
                        </w:r>
                        <w:r w:rsidRPr="00C4020F">
                          <w:rPr>
                            <w:i/>
                          </w:rPr>
                          <w:t>Namadij</w:t>
                        </w:r>
                        <w:r w:rsidRPr="006669B5">
                          <w:t xml:space="preserve">, </w:t>
                        </w:r>
                        <w:r w:rsidRPr="003647A2">
                          <w:rPr>
                            <w:i/>
                          </w:rPr>
                          <w:t>Casablanca</w:t>
                        </w:r>
                      </w:p>
                      <w:p w14:paraId="77748A5A" w14:textId="77777777" w:rsidR="00A3265D" w:rsidRPr="006669B5" w:rsidRDefault="00A3265D" w:rsidP="007C2678">
                        <w:pPr>
                          <w:jc w:val="center"/>
                        </w:pPr>
                      </w:p>
                      <w:p w14:paraId="4CEC8AAB" w14:textId="77777777" w:rsidR="00A3265D" w:rsidRPr="006669B5" w:rsidRDefault="00A3265D" w:rsidP="007C2678">
                        <w:pPr>
                          <w:jc w:val="center"/>
                        </w:pPr>
                      </w:p>
                    </w:txbxContent>
                  </v:textbox>
                </v:roundrect>
                <v:roundrect id="Rounded Rectangle 22" o:spid="_x0000_s1040" style="position:absolute;left:68585;top:20193;width:14478;height:87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dPsQA&#10;AADbAAAADwAAAGRycy9kb3ducmV2LnhtbESPQWvCQBSE74L/YXmCF6mbhCCSukoQSnvoxVTB4yP7&#10;TKLZtyG71dhf7wpCj8PMfMOsNoNpxZV611hWEM8jEMSl1Q1XCvY/H29LEM4ja2wtk4I7Odisx6MV&#10;ZtreeEfXwlciQNhlqKD2vsukdGVNBt3cdsTBO9neoA+yr6Tu8RbgppVJFC2kwYbDQo0dbWsqL8Wv&#10;UXD8o0Obp3F1tp/p0vhLOTstvpWaTob8HYSnwf+HX+0vrSBJ4Pkl/A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HT7EAAAA2wAAAA8AAAAAAAAAAAAAAAAAmAIAAGRycy9k&#10;b3ducmV2LnhtbFBLBQYAAAAABAAEAPUAAACJAwAAAAA=&#10;" fillcolor="#17365d [2415]" stroked="f" strokeweight="2pt">
                  <v:shadow on="t" color="black" opacity="20971f" offset="0,2.2pt"/>
                  <v:textbox>
                    <w:txbxContent>
                      <w:p w14:paraId="29909239" w14:textId="77777777" w:rsidR="00A3265D" w:rsidRPr="003647A2" w:rsidRDefault="00A3265D" w:rsidP="007C2678">
                        <w:pPr>
                          <w:rPr>
                            <w:i/>
                          </w:rPr>
                        </w:pPr>
                        <w:r>
                          <w:t xml:space="preserve">Actos finales e intercambio de conocimientos, </w:t>
                        </w:r>
                        <w:r>
                          <w:rPr>
                            <w:i/>
                          </w:rPr>
                          <w:t>Buenos Aires y</w:t>
                        </w:r>
                        <w:r w:rsidRPr="003647A2">
                          <w:rPr>
                            <w:i/>
                          </w:rPr>
                          <w:t xml:space="preserve"> Casablanca</w:t>
                        </w:r>
                      </w:p>
                      <w:p w14:paraId="2A464EDA" w14:textId="77777777" w:rsidR="00A3265D" w:rsidRPr="006669B5" w:rsidRDefault="00A3265D" w:rsidP="007C2678">
                        <w:pPr>
                          <w:jc w:val="center"/>
                        </w:pPr>
                      </w:p>
                      <w:p w14:paraId="664BD93C" w14:textId="77777777" w:rsidR="00A3265D" w:rsidRPr="006669B5" w:rsidRDefault="00A3265D" w:rsidP="007C2678">
                        <w:pPr>
                          <w:jc w:val="center"/>
                        </w:pPr>
                      </w:p>
                    </w:txbxContent>
                  </v:textbox>
                </v:roundrect>
                <v:line id="Straight Connector 23" o:spid="_x0000_s1041" style="position:absolute;visibility:visible;mso-wrap-style:square" from="70008,6000" to="70008,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KpUsQAAADbAAAADwAAAGRycy9kb3ducmV2LnhtbESPUWvCQBCE3wv9D8cW+lYvjSgaPUUK&#10;grR9qfoD1tw2Ceb20rtVY3+9Vyj4OMzMN8x82btWnSnExrOB10EGirj0tuHKwH63fpmAioJssfVM&#10;Bq4UYbl4fJhjYf2Fv+i8lUolCMcCDdQiXaF1LGtyGAe+I07etw8OJclQaRvwkuCu1XmWjbXDhtNC&#10;jR291VQetydn4OfjcxOvhzaX8ej3/RhWk6kMozHPT/1qBkqol3v4v72xBvIh/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qlSxAAAANsAAAAPAAAAAAAAAAAA&#10;AAAAAKECAABkcnMvZG93bnJldi54bWxQSwUGAAAAAAQABAD5AAAAkgMAAAAA&#10;" strokecolor="#4579b8 [3044]"/>
                <v:line id="Straight Connector 19" o:spid="_x0000_s1042" style="position:absolute;visibility:visible;mso-wrap-style:square" from="47815,6000" to="47815,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ZUBcEAAADbAAAADwAAAGRycy9kb3ducmV2LnhtbERPzWoCMRC+F3yHMEJvNaui6NYoUihI&#10;20vVBxg3093FzWRNRl379KZQ8DYf3+8sVp1r1IVCrD0bGA4yUMSFtzWXBva795cZqCjIFhvPZOBG&#10;EVbL3tMCc+uv/E2XrZQqhXDM0UAl0uZax6Iih3HgW+LE/fjgUBIMpbYBryncNXqUZVPtsObUUGFL&#10;bxUVx+3ZGTh9fm3i7dCMZDr5/TiG9Wwu42jMc79bv4IS6uQh/ndvbJo/h7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xlQFwQAAANsAAAAPAAAAAAAAAAAAAAAA&#10;AKECAABkcnMvZG93bnJldi54bWxQSwUGAAAAAAQABAD5AAAAjwMAAAAA&#10;" strokecolor="#4579b8 [3044]"/>
                <v:roundrect id="Rounded Rectangle 17" o:spid="_x0000_s1043" style="position:absolute;left:41910;top:10191;width:18002;height:78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0488MA&#10;AADbAAAADwAAAGRycy9kb3ducmV2LnhtbERPTWvCQBC9C/0PyxR6azYV1BJdgxQLQr1UQ9XbkB2z&#10;wexsyG5j7K/vFgre5vE+Z5EPthE9db52rOAlSUEQl07XXCko9u/PryB8QNbYOCYFN/KQLx9GC8y0&#10;u/In9btQiRjCPkMFJoQ2k9KXhiz6xLXEkTu7zmKIsKuk7vAaw20jx2k6lRZrjg0GW3ozVF5231bB&#10;x6w6bG6r0/aHyyKsi4n5Ok6MUk+Pw2oOItAQ7uJ/90bH+TP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0488MAAADbAAAADwAAAAAAAAAAAAAAAACYAgAAZHJzL2Rv&#10;d25yZXYueG1sUEsFBgAAAAAEAAQA9QAAAIgDAAAAAA==&#10;" fillcolor="#31849b [2408]" stroked="f" strokeweight="2pt">
                  <v:shadow on="t" color="black" opacity="20971f" offset="0,2.2pt"/>
                  <v:textbox>
                    <w:txbxContent>
                      <w:p w14:paraId="06D9BD0D" w14:textId="47FF21C1" w:rsidR="00A3265D" w:rsidRPr="003647A2" w:rsidRDefault="00A3265D" w:rsidP="007C2678">
                        <w:pPr>
                          <w:rPr>
                            <w:i/>
                          </w:rPr>
                        </w:pPr>
                        <w:r>
                          <w:rPr>
                            <w:i/>
                          </w:rPr>
                          <w:t xml:space="preserve">Acto de presentación de </w:t>
                        </w:r>
                        <w:r w:rsidRPr="00C4020F">
                          <w:rPr>
                            <w:i/>
                          </w:rPr>
                          <w:t>DiseñAr</w:t>
                        </w:r>
                        <w:r w:rsidRPr="006669B5">
                          <w:t xml:space="preserve"> </w:t>
                        </w:r>
                        <w:r>
                          <w:t>y</w:t>
                        </w:r>
                        <w:r w:rsidRPr="006669B5">
                          <w:t xml:space="preserve"> “</w:t>
                        </w:r>
                        <w:r w:rsidR="00E20503">
                          <w:t>taller de pre</w:t>
                        </w:r>
                        <w:r>
                          <w:t>diagnóstico</w:t>
                        </w:r>
                        <w:r w:rsidRPr="006669B5">
                          <w:t>”</w:t>
                        </w:r>
                        <w:r>
                          <w:t xml:space="preserve">, </w:t>
                        </w:r>
                        <w:r w:rsidRPr="003647A2">
                          <w:rPr>
                            <w:i/>
                          </w:rPr>
                          <w:t>Buenos Aires</w:t>
                        </w:r>
                      </w:p>
                      <w:p w14:paraId="6A363E90" w14:textId="77777777" w:rsidR="00A3265D" w:rsidRPr="006669B5" w:rsidRDefault="00A3265D" w:rsidP="007C2678">
                        <w:pPr>
                          <w:jc w:val="center"/>
                        </w:pPr>
                      </w:p>
                      <w:p w14:paraId="3E0B05E9" w14:textId="77777777" w:rsidR="00A3265D" w:rsidRPr="006669B5" w:rsidRDefault="00A3265D" w:rsidP="007C2678">
                        <w:pPr>
                          <w:jc w:val="center"/>
                        </w:pPr>
                      </w:p>
                    </w:txbxContent>
                  </v:textbox>
                </v:roundrect>
                <v:roundrect id="Rounded Rectangle 21" o:spid="_x0000_s1044" style="position:absolute;left:63911;top:7692;width:20677;height:10578;visibility:visible;mso-wrap-style:square;v-text-anchor:middle" arcsize="1733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mlicMA&#10;AADbAAAADwAAAGRycy9kb3ducmV2LnhtbESPQYvCMBSE78L+h/AWvGlqhSrVKCLILh5WtMvi8dk8&#10;22LzUpqo3X9vBMHjMDPfMPNlZ2pxo9ZVlhWMhhEI4tzqigsFv9lmMAXhPLLG2jIp+CcHy8VHb46p&#10;tnfe0+3gCxEg7FJUUHrfpFK6vCSDbmgb4uCdbWvQB9kWUrd4D3BTyziKEmmw4rBQYkPrkvLL4WoU&#10;jE/xTzG2mF+zydb8Hb8Su8NEqf5nt5qB8NT5d/jV/tYK4hE8v4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mlicMAAADbAAAADwAAAAAAAAAAAAAAAACYAgAAZHJzL2Rv&#10;d25yZXYueG1sUEsFBgAAAAAEAAQA9QAAAIgDAAAAAA==&#10;" fillcolor="#17365d [2415]" stroked="f" strokeweight="2pt">
                  <v:shadow on="t" color="black" opacity="20971f" offset="0,2.2pt"/>
                  <v:textbox>
                    <w:txbxContent>
                      <w:p w14:paraId="47EE8F30" w14:textId="77777777" w:rsidR="00A3265D" w:rsidRPr="003647A2" w:rsidRDefault="00A3265D" w:rsidP="007C2678">
                        <w:pPr>
                          <w:rPr>
                            <w:i/>
                          </w:rPr>
                        </w:pPr>
                        <w:r>
                          <w:t xml:space="preserve">Acto paralelo ante la 34ª sesión del SCT, Intercambio de conocimientos y exposición de diseños, </w:t>
                        </w:r>
                        <w:r w:rsidRPr="001941E3">
                          <w:rPr>
                            <w:i/>
                          </w:rPr>
                          <w:t>Ginebra</w:t>
                        </w:r>
                      </w:p>
                      <w:p w14:paraId="25F81296" w14:textId="77777777" w:rsidR="00A3265D" w:rsidRPr="006669B5" w:rsidRDefault="00A3265D" w:rsidP="007C2678">
                        <w:pPr>
                          <w:jc w:val="center"/>
                        </w:pPr>
                      </w:p>
                      <w:p w14:paraId="38EDB86B" w14:textId="77777777" w:rsidR="00A3265D" w:rsidRPr="006669B5" w:rsidRDefault="00A3265D" w:rsidP="007C2678">
                        <w:pPr>
                          <w:jc w:val="center"/>
                        </w:pPr>
                      </w:p>
                    </w:txbxContent>
                  </v:textbox>
                </v:roundrect>
              </v:group>
            </w:pict>
          </mc:Fallback>
        </mc:AlternateContent>
      </w:r>
    </w:p>
    <w:p w14:paraId="597EF71C" w14:textId="77777777" w:rsidR="007C2678" w:rsidRPr="002E5493" w:rsidRDefault="007C2678" w:rsidP="007C2678">
      <w:pPr>
        <w:ind w:firstLine="720"/>
        <w:rPr>
          <w:b/>
          <w:lang w:val="fr-FR"/>
        </w:rPr>
      </w:pPr>
    </w:p>
    <w:p w14:paraId="76DAE042" w14:textId="77777777" w:rsidR="007C2678" w:rsidRPr="002E5493" w:rsidRDefault="007C2678" w:rsidP="007C2678">
      <w:pPr>
        <w:ind w:firstLine="720"/>
        <w:rPr>
          <w:b/>
          <w:lang w:val="fr-FR"/>
        </w:rPr>
      </w:pPr>
    </w:p>
    <w:p w14:paraId="45DA442E" w14:textId="77777777" w:rsidR="007C2678" w:rsidRPr="002E5493" w:rsidRDefault="007C2678" w:rsidP="007C2678">
      <w:pPr>
        <w:ind w:firstLine="720"/>
        <w:rPr>
          <w:b/>
          <w:lang w:val="fr-FR"/>
        </w:rPr>
      </w:pPr>
    </w:p>
    <w:p w14:paraId="61766A75" w14:textId="77777777" w:rsidR="007C2678" w:rsidRPr="002E5493" w:rsidRDefault="007C2678" w:rsidP="007C2678">
      <w:pPr>
        <w:ind w:firstLine="720"/>
        <w:rPr>
          <w:b/>
          <w:lang w:val="fr-FR"/>
        </w:rPr>
      </w:pPr>
    </w:p>
    <w:p w14:paraId="16DEEADD" w14:textId="77777777" w:rsidR="007C2678" w:rsidRPr="002E5493" w:rsidRDefault="007C2678" w:rsidP="007C2678">
      <w:pPr>
        <w:ind w:firstLine="720"/>
        <w:rPr>
          <w:b/>
          <w:lang w:val="fr-FR"/>
        </w:rPr>
      </w:pPr>
    </w:p>
    <w:p w14:paraId="00E4EA65" w14:textId="77777777" w:rsidR="007C2678" w:rsidRPr="002E5493" w:rsidRDefault="007C2678" w:rsidP="007C2678">
      <w:pPr>
        <w:ind w:firstLine="720"/>
        <w:rPr>
          <w:b/>
          <w:lang w:val="fr-FR"/>
        </w:rPr>
      </w:pPr>
    </w:p>
    <w:p w14:paraId="6900CA74" w14:textId="77777777" w:rsidR="007C2678" w:rsidRPr="002E5493" w:rsidRDefault="007C2678" w:rsidP="007C2678">
      <w:pPr>
        <w:ind w:firstLine="720"/>
        <w:rPr>
          <w:b/>
          <w:lang w:val="fr-FR"/>
        </w:rPr>
      </w:pPr>
    </w:p>
    <w:p w14:paraId="5E63B2F6" w14:textId="77777777" w:rsidR="007C2678" w:rsidRPr="002E5493" w:rsidRDefault="007C2678" w:rsidP="007C2678">
      <w:pPr>
        <w:ind w:firstLine="720"/>
        <w:rPr>
          <w:b/>
          <w:lang w:val="fr-FR"/>
        </w:rPr>
      </w:pPr>
    </w:p>
    <w:p w14:paraId="31D55F1C" w14:textId="77777777" w:rsidR="007C2678" w:rsidRPr="002E5493" w:rsidRDefault="007C2678" w:rsidP="007C2678">
      <w:pPr>
        <w:ind w:firstLine="720"/>
        <w:rPr>
          <w:b/>
          <w:lang w:val="fr-FR"/>
        </w:rPr>
      </w:pPr>
    </w:p>
    <w:p w14:paraId="61AE838C" w14:textId="77777777" w:rsidR="007C2678" w:rsidRPr="002E5493" w:rsidRDefault="007C2678" w:rsidP="007C2678">
      <w:pPr>
        <w:ind w:left="4320"/>
        <w:rPr>
          <w:b/>
          <w:lang w:val="fr-FR"/>
        </w:rPr>
      </w:pPr>
    </w:p>
    <w:p w14:paraId="36C36120" w14:textId="77777777" w:rsidR="00C91693" w:rsidRPr="002E5493" w:rsidRDefault="00C91693" w:rsidP="00C91693">
      <w:pPr>
        <w:rPr>
          <w:szCs w:val="22"/>
          <w:lang w:val="fr-FR"/>
        </w:rPr>
      </w:pPr>
    </w:p>
    <w:p w14:paraId="33E24B4C" w14:textId="77777777" w:rsidR="007C2678" w:rsidRPr="002E5493" w:rsidRDefault="007C2678" w:rsidP="00C91693">
      <w:pPr>
        <w:jc w:val="right"/>
        <w:rPr>
          <w:rStyle w:val="Endofdocument-AnnexChar"/>
          <w:lang w:val="fr-FR"/>
        </w:rPr>
      </w:pPr>
    </w:p>
    <w:p w14:paraId="0B6F6CA4" w14:textId="77777777" w:rsidR="007C2678" w:rsidRPr="002E5493" w:rsidRDefault="007C2678" w:rsidP="00C91693">
      <w:pPr>
        <w:jc w:val="right"/>
        <w:rPr>
          <w:rStyle w:val="Endofdocument-AnnexChar"/>
          <w:lang w:val="fr-FR"/>
        </w:rPr>
      </w:pPr>
    </w:p>
    <w:p w14:paraId="4CA794BD" w14:textId="77777777" w:rsidR="007C2678" w:rsidRPr="002E5493" w:rsidRDefault="007C2678" w:rsidP="00C91693">
      <w:pPr>
        <w:jc w:val="right"/>
        <w:rPr>
          <w:rStyle w:val="Endofdocument-AnnexChar"/>
          <w:lang w:val="fr-FR"/>
        </w:rPr>
      </w:pPr>
    </w:p>
    <w:p w14:paraId="5401E33C" w14:textId="77777777" w:rsidR="007C2678" w:rsidRPr="002E5493" w:rsidRDefault="007C2678" w:rsidP="00C91693">
      <w:pPr>
        <w:jc w:val="right"/>
        <w:rPr>
          <w:rStyle w:val="Endofdocument-AnnexChar"/>
          <w:lang w:val="fr-FR"/>
        </w:rPr>
      </w:pPr>
    </w:p>
    <w:p w14:paraId="6777670F" w14:textId="77777777" w:rsidR="007C2678" w:rsidRPr="002E5493" w:rsidRDefault="007C2678" w:rsidP="00C91693">
      <w:pPr>
        <w:jc w:val="right"/>
        <w:rPr>
          <w:rStyle w:val="Endofdocument-AnnexChar"/>
          <w:lang w:val="fr-FR"/>
        </w:rPr>
      </w:pPr>
    </w:p>
    <w:p w14:paraId="6AB9AAB9" w14:textId="77777777" w:rsidR="007C2678" w:rsidRPr="002E5493" w:rsidRDefault="007C2678" w:rsidP="00C91693">
      <w:pPr>
        <w:jc w:val="right"/>
        <w:rPr>
          <w:rStyle w:val="Endofdocument-AnnexChar"/>
          <w:lang w:val="fr-FR"/>
        </w:rPr>
      </w:pPr>
    </w:p>
    <w:p w14:paraId="6FD77A35" w14:textId="77777777" w:rsidR="007C2678" w:rsidRPr="002E5493" w:rsidRDefault="007C2678" w:rsidP="00C91693">
      <w:pPr>
        <w:jc w:val="right"/>
        <w:rPr>
          <w:rStyle w:val="Endofdocument-AnnexChar"/>
          <w:lang w:val="fr-FR"/>
        </w:rPr>
      </w:pPr>
    </w:p>
    <w:p w14:paraId="38783EE3" w14:textId="77777777" w:rsidR="007C2678" w:rsidRPr="002E5493" w:rsidRDefault="007C2678" w:rsidP="00C91693">
      <w:pPr>
        <w:jc w:val="right"/>
        <w:rPr>
          <w:rStyle w:val="Endofdocument-AnnexChar"/>
          <w:lang w:val="fr-FR"/>
        </w:rPr>
      </w:pPr>
    </w:p>
    <w:p w14:paraId="78115936" w14:textId="77777777" w:rsidR="007C2678" w:rsidRPr="002E5493" w:rsidRDefault="007C2678" w:rsidP="00C91693">
      <w:pPr>
        <w:jc w:val="right"/>
        <w:rPr>
          <w:rStyle w:val="Endofdocument-AnnexChar"/>
          <w:lang w:val="fr-FR"/>
        </w:rPr>
      </w:pPr>
    </w:p>
    <w:p w14:paraId="4C986926" w14:textId="77777777" w:rsidR="007C2678" w:rsidRPr="002E5493" w:rsidRDefault="007C2678" w:rsidP="00C91693">
      <w:pPr>
        <w:jc w:val="right"/>
        <w:rPr>
          <w:rStyle w:val="Endofdocument-AnnexChar"/>
          <w:lang w:val="fr-FR"/>
        </w:rPr>
      </w:pPr>
    </w:p>
    <w:p w14:paraId="0E06AC73" w14:textId="77777777" w:rsidR="007C2678" w:rsidRPr="002E5493" w:rsidRDefault="007C2678" w:rsidP="00C91693">
      <w:pPr>
        <w:jc w:val="right"/>
        <w:rPr>
          <w:rStyle w:val="Endofdocument-AnnexChar"/>
          <w:lang w:val="fr-FR"/>
        </w:rPr>
      </w:pPr>
    </w:p>
    <w:p w14:paraId="311282DB" w14:textId="77777777" w:rsidR="007C2678" w:rsidRPr="002E5493" w:rsidRDefault="007C2678" w:rsidP="00C91693">
      <w:pPr>
        <w:jc w:val="right"/>
        <w:rPr>
          <w:rStyle w:val="Endofdocument-AnnexChar"/>
          <w:lang w:val="fr-FR"/>
        </w:rPr>
      </w:pPr>
    </w:p>
    <w:p w14:paraId="0071CD0A" w14:textId="5EADBD45" w:rsidR="00C91693" w:rsidRPr="002E5493" w:rsidRDefault="00C91693" w:rsidP="007C2678">
      <w:pPr>
        <w:jc w:val="right"/>
        <w:rPr>
          <w:rStyle w:val="Endofdocument-AnnexChar"/>
          <w:lang w:val="fr-FR"/>
        </w:rPr>
      </w:pPr>
      <w:r w:rsidRPr="002E5493">
        <w:rPr>
          <w:rStyle w:val="Endofdocument-AnnexChar"/>
          <w:lang w:val="fr-FR"/>
        </w:rPr>
        <w:t>[</w:t>
      </w:r>
      <w:r w:rsidR="00BA42C9" w:rsidRPr="002E5493">
        <w:rPr>
          <w:rStyle w:val="Endofdocument-AnnexChar"/>
          <w:lang w:val="fr-FR"/>
        </w:rPr>
        <w:t>Sigue el Anexo III</w:t>
      </w:r>
      <w:r w:rsidRPr="002E5493">
        <w:rPr>
          <w:rStyle w:val="Endofdocument-AnnexChar"/>
          <w:lang w:val="fr-FR"/>
        </w:rPr>
        <w:t>]</w:t>
      </w:r>
    </w:p>
    <w:p w14:paraId="28D3A5E4" w14:textId="77777777" w:rsidR="00C91693" w:rsidRPr="002E5493" w:rsidRDefault="00C91693" w:rsidP="00C91693">
      <w:pPr>
        <w:rPr>
          <w:szCs w:val="22"/>
          <w:lang w:val="fr-FR"/>
        </w:rPr>
      </w:pPr>
    </w:p>
    <w:p w14:paraId="5A8FEA94" w14:textId="77777777" w:rsidR="00C91693" w:rsidRPr="002E5493" w:rsidRDefault="00C91693" w:rsidP="00C91693">
      <w:pPr>
        <w:rPr>
          <w:szCs w:val="22"/>
          <w:lang w:val="fr-FR"/>
        </w:rPr>
        <w:sectPr w:rsidR="00C91693" w:rsidRPr="002E5493" w:rsidSect="00243943">
          <w:headerReference w:type="first" r:id="rId17"/>
          <w:footerReference w:type="first" r:id="rId18"/>
          <w:pgSz w:w="16840" w:h="11907" w:orient="landscape" w:code="9"/>
          <w:pgMar w:top="1418" w:right="1360" w:bottom="1418" w:left="1440" w:header="510" w:footer="1021" w:gutter="0"/>
          <w:cols w:space="720"/>
          <w:titlePg/>
          <w:docGrid w:linePitch="299"/>
        </w:sectPr>
      </w:pPr>
    </w:p>
    <w:tbl>
      <w:tblPr>
        <w:tblpPr w:leftFromText="180" w:rightFromText="180" w:vertAnchor="text" w:horzAnchor="margin" w:tblpY="10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0"/>
      </w:tblGrid>
      <w:tr w:rsidR="00C91693" w:rsidRPr="00C168C5" w14:paraId="1BD4B36E" w14:textId="77777777" w:rsidTr="00243943">
        <w:trPr>
          <w:trHeight w:val="432"/>
        </w:trPr>
        <w:tc>
          <w:tcPr>
            <w:tcW w:w="9288" w:type="dxa"/>
            <w:gridSpan w:val="2"/>
            <w:shd w:val="clear" w:color="auto" w:fill="auto"/>
            <w:vAlign w:val="center"/>
          </w:tcPr>
          <w:p w14:paraId="5E27116F" w14:textId="35271130" w:rsidR="00C91693" w:rsidRPr="00C168C5" w:rsidRDefault="00630D36" w:rsidP="00243943">
            <w:pPr>
              <w:rPr>
                <w:rFonts w:eastAsia="Times New Roman"/>
                <w:bCs/>
                <w:iCs/>
                <w:lang w:val="es-ES_tradnl" w:eastAsia="en-US"/>
              </w:rPr>
            </w:pPr>
            <w:r w:rsidRPr="00C168C5">
              <w:rPr>
                <w:szCs w:val="22"/>
                <w:lang w:val="es-ES_tradnl"/>
              </w:rPr>
              <w:lastRenderedPageBreak/>
              <w:t>RESUMEN DEL PROYECTO</w:t>
            </w:r>
          </w:p>
        </w:tc>
      </w:tr>
      <w:tr w:rsidR="00C91693" w:rsidRPr="00C168C5" w14:paraId="65F68281" w14:textId="77777777" w:rsidTr="00243943">
        <w:trPr>
          <w:trHeight w:val="496"/>
        </w:trPr>
        <w:tc>
          <w:tcPr>
            <w:tcW w:w="2088" w:type="dxa"/>
            <w:shd w:val="clear" w:color="auto" w:fill="auto"/>
          </w:tcPr>
          <w:p w14:paraId="54B0E9B0" w14:textId="77777777" w:rsidR="00630D36" w:rsidRPr="00C168C5" w:rsidRDefault="00630D36" w:rsidP="00243943">
            <w:pPr>
              <w:rPr>
                <w:rFonts w:eastAsia="Times New Roman"/>
                <w:bCs/>
                <w:u w:val="single"/>
                <w:lang w:val="es-ES_tradnl" w:eastAsia="en-US"/>
              </w:rPr>
            </w:pPr>
          </w:p>
          <w:p w14:paraId="3CB60BDF" w14:textId="1B7E9102" w:rsidR="00C91693" w:rsidRPr="00C168C5" w:rsidRDefault="00630D36" w:rsidP="00243943">
            <w:pPr>
              <w:rPr>
                <w:rFonts w:eastAsia="Times New Roman"/>
                <w:bCs/>
                <w:u w:val="single"/>
                <w:lang w:val="es-ES_tradnl" w:eastAsia="en-US"/>
              </w:rPr>
            </w:pPr>
            <w:r w:rsidRPr="00C168C5">
              <w:rPr>
                <w:szCs w:val="22"/>
                <w:u w:val="single"/>
                <w:lang w:val="es-ES_tradnl"/>
              </w:rPr>
              <w:t>Código del proyecto</w:t>
            </w:r>
          </w:p>
        </w:tc>
        <w:tc>
          <w:tcPr>
            <w:tcW w:w="7200" w:type="dxa"/>
            <w:shd w:val="clear" w:color="auto" w:fill="auto"/>
            <w:vAlign w:val="center"/>
          </w:tcPr>
          <w:p w14:paraId="2EF24533" w14:textId="77777777" w:rsidR="00C91693" w:rsidRPr="00C168C5" w:rsidRDefault="00C91693" w:rsidP="00243943">
            <w:pPr>
              <w:rPr>
                <w:rFonts w:eastAsia="Times New Roman"/>
                <w:lang w:val="es-ES_tradnl" w:eastAsia="en-US"/>
              </w:rPr>
            </w:pPr>
          </w:p>
          <w:p w14:paraId="1F55918B" w14:textId="77777777" w:rsidR="00C91693" w:rsidRPr="00C168C5" w:rsidRDefault="00C91693" w:rsidP="00243943">
            <w:pPr>
              <w:rPr>
                <w:rFonts w:eastAsia="Times New Roman"/>
                <w:lang w:val="es-ES_tradnl" w:eastAsia="en-US"/>
              </w:rPr>
            </w:pPr>
            <w:r w:rsidRPr="00C168C5">
              <w:rPr>
                <w:rFonts w:eastAsia="Times New Roman"/>
                <w:lang w:val="es-ES_tradnl" w:eastAsia="en-US"/>
              </w:rPr>
              <w:t>DA_19_30_31_03</w:t>
            </w:r>
          </w:p>
          <w:p w14:paraId="30BD3712" w14:textId="77777777" w:rsidR="00C91693" w:rsidRPr="00C168C5" w:rsidRDefault="00C91693" w:rsidP="00243943">
            <w:pPr>
              <w:rPr>
                <w:rFonts w:eastAsia="Times New Roman"/>
                <w:i/>
                <w:lang w:val="es-ES_tradnl" w:eastAsia="en-US"/>
              </w:rPr>
            </w:pPr>
          </w:p>
        </w:tc>
      </w:tr>
      <w:tr w:rsidR="00C91693" w:rsidRPr="00C168C5" w14:paraId="30726792" w14:textId="77777777" w:rsidTr="00243943">
        <w:trPr>
          <w:trHeight w:val="404"/>
        </w:trPr>
        <w:tc>
          <w:tcPr>
            <w:tcW w:w="2088" w:type="dxa"/>
            <w:shd w:val="clear" w:color="auto" w:fill="auto"/>
          </w:tcPr>
          <w:p w14:paraId="3CF98E51" w14:textId="77777777" w:rsidR="00C91693" w:rsidRPr="00C168C5" w:rsidRDefault="00C91693" w:rsidP="00243943">
            <w:pPr>
              <w:rPr>
                <w:rFonts w:eastAsia="Times New Roman"/>
                <w:bCs/>
                <w:u w:val="single"/>
                <w:lang w:val="es-ES_tradnl" w:eastAsia="en-US"/>
              </w:rPr>
            </w:pPr>
          </w:p>
          <w:p w14:paraId="4CD59224" w14:textId="37516F13" w:rsidR="00C91693" w:rsidRPr="00C168C5" w:rsidRDefault="00C91693" w:rsidP="00243943">
            <w:pPr>
              <w:rPr>
                <w:rFonts w:eastAsia="Times New Roman"/>
                <w:bCs/>
                <w:u w:val="single"/>
                <w:lang w:val="es-ES_tradnl" w:eastAsia="en-US"/>
              </w:rPr>
            </w:pPr>
            <w:r w:rsidRPr="00C168C5">
              <w:rPr>
                <w:rFonts w:eastAsia="Times New Roman"/>
                <w:bCs/>
                <w:u w:val="single"/>
                <w:lang w:val="es-ES_tradnl" w:eastAsia="en-US"/>
              </w:rPr>
              <w:t>T</w:t>
            </w:r>
            <w:r w:rsidR="00013BBD" w:rsidRPr="00C168C5">
              <w:rPr>
                <w:rFonts w:eastAsia="Times New Roman"/>
                <w:bCs/>
                <w:u w:val="single"/>
                <w:lang w:val="es-ES_tradnl" w:eastAsia="en-US"/>
              </w:rPr>
              <w:t>ítulo</w:t>
            </w:r>
          </w:p>
          <w:p w14:paraId="38544B51" w14:textId="77777777" w:rsidR="00C91693" w:rsidRPr="00C168C5" w:rsidRDefault="00C91693" w:rsidP="00243943">
            <w:pPr>
              <w:rPr>
                <w:rFonts w:eastAsia="Times New Roman"/>
                <w:lang w:val="es-ES_tradnl" w:eastAsia="en-US"/>
              </w:rPr>
            </w:pPr>
          </w:p>
        </w:tc>
        <w:tc>
          <w:tcPr>
            <w:tcW w:w="7200" w:type="dxa"/>
            <w:shd w:val="clear" w:color="auto" w:fill="auto"/>
            <w:vAlign w:val="center"/>
          </w:tcPr>
          <w:p w14:paraId="14DA2CE8" w14:textId="77777777" w:rsidR="00C91693" w:rsidRPr="00C168C5" w:rsidRDefault="00C91693" w:rsidP="00243943">
            <w:pPr>
              <w:rPr>
                <w:rFonts w:eastAsia="Times New Roman"/>
                <w:iCs/>
                <w:lang w:val="es-ES_tradnl" w:eastAsia="en-US"/>
              </w:rPr>
            </w:pPr>
          </w:p>
          <w:p w14:paraId="70494C9D" w14:textId="320B31C4" w:rsidR="00013BBD" w:rsidRPr="00C168C5" w:rsidRDefault="00013BBD" w:rsidP="00013BBD">
            <w:pPr>
              <w:rPr>
                <w:i/>
                <w:iCs/>
                <w:lang w:val="es-ES_tradnl"/>
              </w:rPr>
            </w:pPr>
            <w:r w:rsidRPr="00C168C5">
              <w:rPr>
                <w:i/>
                <w:iCs/>
                <w:lang w:val="es-ES_tradnl"/>
              </w:rPr>
              <w:t>Fortalecimiento de capacidades en el uso de información técnica y científica relativa a tecnologías apropiadas para solucionar determinados problemas de desarrollo – Fase II</w:t>
            </w:r>
          </w:p>
          <w:p w14:paraId="75754F5C" w14:textId="77777777" w:rsidR="00C91693" w:rsidRPr="00C168C5" w:rsidRDefault="00C91693" w:rsidP="00243943">
            <w:pPr>
              <w:rPr>
                <w:rFonts w:eastAsia="Times New Roman"/>
                <w:lang w:val="es-ES_tradnl" w:eastAsia="en-US"/>
              </w:rPr>
            </w:pPr>
          </w:p>
        </w:tc>
      </w:tr>
      <w:tr w:rsidR="00C91693" w:rsidRPr="00C168C5" w14:paraId="68FE9342" w14:textId="77777777" w:rsidTr="00243943">
        <w:tc>
          <w:tcPr>
            <w:tcW w:w="2088" w:type="dxa"/>
            <w:shd w:val="clear" w:color="auto" w:fill="auto"/>
          </w:tcPr>
          <w:p w14:paraId="6ED3DDE9" w14:textId="77777777" w:rsidR="00013BBD" w:rsidRPr="00C168C5" w:rsidRDefault="00013BBD" w:rsidP="00013BBD">
            <w:pPr>
              <w:pStyle w:val="Heading3"/>
              <w:rPr>
                <w:lang w:val="es-ES_tradnl"/>
              </w:rPr>
            </w:pPr>
            <w:r w:rsidRPr="00C168C5">
              <w:rPr>
                <w:lang w:val="es-ES_tradnl"/>
              </w:rPr>
              <w:t>Agenda para el Desarrollo</w:t>
            </w:r>
            <w:r w:rsidRPr="00C168C5">
              <w:rPr>
                <w:lang w:val="es-ES_tradnl"/>
              </w:rPr>
              <w:br/>
              <w:t>Recomendaciones</w:t>
            </w:r>
          </w:p>
          <w:p w14:paraId="2F6F7588" w14:textId="77777777" w:rsidR="00C91693" w:rsidRPr="00C168C5" w:rsidRDefault="00C91693" w:rsidP="00013BBD">
            <w:pPr>
              <w:rPr>
                <w:rFonts w:eastAsia="Times New Roman"/>
                <w:lang w:val="es-ES_tradnl" w:eastAsia="en-US"/>
              </w:rPr>
            </w:pPr>
          </w:p>
        </w:tc>
        <w:tc>
          <w:tcPr>
            <w:tcW w:w="7200" w:type="dxa"/>
            <w:shd w:val="clear" w:color="auto" w:fill="auto"/>
          </w:tcPr>
          <w:p w14:paraId="61FCA71D" w14:textId="77777777" w:rsidR="00C91693" w:rsidRPr="00C168C5" w:rsidRDefault="00C91693" w:rsidP="00243943">
            <w:pPr>
              <w:rPr>
                <w:rFonts w:eastAsia="Times New Roman"/>
                <w:lang w:val="es-ES_tradnl" w:eastAsia="en-US"/>
              </w:rPr>
            </w:pPr>
          </w:p>
          <w:p w14:paraId="5EA2CD87" w14:textId="77777777" w:rsidR="002F599D" w:rsidRPr="00C168C5" w:rsidRDefault="002F599D" w:rsidP="002F599D">
            <w:pPr>
              <w:rPr>
                <w:iCs/>
                <w:lang w:val="es-ES_tradnl"/>
              </w:rPr>
            </w:pPr>
            <w:r w:rsidRPr="00C168C5">
              <w:rPr>
                <w:i/>
                <w:iCs/>
                <w:lang w:val="es-ES_tradnl"/>
              </w:rPr>
              <w:t>Recomendación 19</w:t>
            </w:r>
            <w:r w:rsidRPr="00C168C5">
              <w:rPr>
                <w:iCs/>
                <w:lang w:val="es-ES_tradnl"/>
              </w:rPr>
              <w:t>:  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p w14:paraId="26B3B00D" w14:textId="77777777" w:rsidR="002F599D" w:rsidRPr="00C168C5" w:rsidRDefault="002F599D" w:rsidP="002F599D">
            <w:pPr>
              <w:rPr>
                <w:iCs/>
                <w:lang w:val="es-ES_tradnl"/>
              </w:rPr>
            </w:pPr>
          </w:p>
          <w:p w14:paraId="5675ADCD" w14:textId="77777777" w:rsidR="002F599D" w:rsidRPr="00C168C5" w:rsidRDefault="002F599D" w:rsidP="002F599D">
            <w:pPr>
              <w:rPr>
                <w:iCs/>
                <w:lang w:val="es-ES_tradnl"/>
              </w:rPr>
            </w:pPr>
            <w:r w:rsidRPr="00C168C5">
              <w:rPr>
                <w:i/>
                <w:iCs/>
                <w:lang w:val="es-ES_tradnl"/>
              </w:rPr>
              <w:t>Recomendación 30</w:t>
            </w:r>
            <w:r w:rsidRPr="00C168C5">
              <w:rPr>
                <w:iCs/>
                <w:lang w:val="es-ES_tradnl"/>
              </w:rPr>
              <w:t xml:space="preserve">:  </w:t>
            </w:r>
            <w:r w:rsidRPr="00C168C5">
              <w:rPr>
                <w:lang w:val="es-ES_tradnl"/>
              </w:rPr>
              <w:t xml:space="preserve"> </w:t>
            </w:r>
            <w:r w:rsidRPr="00C168C5">
              <w:rPr>
                <w:iCs/>
                <w:lang w:val="es-ES_tradnl"/>
              </w:rPr>
              <w:t>La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los países que lo solicitaron.</w:t>
            </w:r>
          </w:p>
          <w:p w14:paraId="7B996B75" w14:textId="77777777" w:rsidR="002F599D" w:rsidRPr="00C168C5" w:rsidRDefault="002F599D" w:rsidP="002F599D">
            <w:pPr>
              <w:rPr>
                <w:iCs/>
                <w:lang w:val="es-ES_tradnl"/>
              </w:rPr>
            </w:pPr>
          </w:p>
          <w:p w14:paraId="47BC6D7A" w14:textId="77777777" w:rsidR="002F599D" w:rsidRPr="00C168C5" w:rsidRDefault="002F599D" w:rsidP="002F599D">
            <w:pPr>
              <w:rPr>
                <w:iCs/>
                <w:lang w:val="es-ES_tradnl"/>
              </w:rPr>
            </w:pPr>
            <w:r w:rsidRPr="00C168C5">
              <w:rPr>
                <w:i/>
                <w:iCs/>
                <w:lang w:val="es-ES_tradnl"/>
              </w:rPr>
              <w:t>Recomendación 31</w:t>
            </w:r>
            <w:r w:rsidRPr="00C168C5">
              <w:rPr>
                <w:iCs/>
                <w:lang w:val="es-ES_tradnl"/>
              </w:rPr>
              <w:t>:  Emprender las iniciativas adoptadas por los Estados miembros que contribuyen a la transferencia de tecnología a los países en desarrollo, tales como solicitar a la OMPI que proporcione mejor acceso a la información publicada sobre patentes.</w:t>
            </w:r>
          </w:p>
          <w:p w14:paraId="0253EED8" w14:textId="77777777" w:rsidR="00C91693" w:rsidRPr="00C168C5" w:rsidRDefault="00C91693" w:rsidP="002F599D">
            <w:pPr>
              <w:rPr>
                <w:rFonts w:eastAsia="Times New Roman"/>
                <w:lang w:val="es-ES_tradnl" w:eastAsia="en-US"/>
              </w:rPr>
            </w:pPr>
          </w:p>
        </w:tc>
      </w:tr>
      <w:tr w:rsidR="00C91693" w:rsidRPr="00C168C5" w14:paraId="5ABCCAE9" w14:textId="77777777" w:rsidTr="00243943">
        <w:tc>
          <w:tcPr>
            <w:tcW w:w="2088" w:type="dxa"/>
            <w:shd w:val="clear" w:color="auto" w:fill="auto"/>
          </w:tcPr>
          <w:p w14:paraId="558B7491" w14:textId="77777777" w:rsidR="002F599D" w:rsidRPr="00C168C5" w:rsidRDefault="002F599D" w:rsidP="002F599D">
            <w:pPr>
              <w:pStyle w:val="Heading3"/>
              <w:rPr>
                <w:lang w:val="es-ES_tradnl"/>
              </w:rPr>
            </w:pPr>
            <w:r w:rsidRPr="00C168C5">
              <w:rPr>
                <w:lang w:val="es-ES_tradnl"/>
              </w:rPr>
              <w:t>Presupuesto del proyecto</w:t>
            </w:r>
          </w:p>
          <w:p w14:paraId="1746BA3F" w14:textId="77777777" w:rsidR="00C91693" w:rsidRPr="00C168C5" w:rsidRDefault="00C91693" w:rsidP="002F599D">
            <w:pPr>
              <w:rPr>
                <w:rFonts w:eastAsia="Times New Roman"/>
                <w:lang w:val="es-ES_tradnl" w:eastAsia="en-US"/>
              </w:rPr>
            </w:pPr>
          </w:p>
        </w:tc>
        <w:tc>
          <w:tcPr>
            <w:tcW w:w="7200" w:type="dxa"/>
            <w:shd w:val="clear" w:color="auto" w:fill="auto"/>
          </w:tcPr>
          <w:p w14:paraId="0F63AE6C" w14:textId="77777777" w:rsidR="00C91693" w:rsidRPr="00C168C5" w:rsidRDefault="00C91693" w:rsidP="00243943">
            <w:pPr>
              <w:rPr>
                <w:rFonts w:eastAsia="Times New Roman"/>
                <w:lang w:val="es-ES_tradnl" w:eastAsia="en-US"/>
              </w:rPr>
            </w:pPr>
          </w:p>
          <w:p w14:paraId="63C304D0" w14:textId="5AD1A5AB" w:rsidR="002F599D" w:rsidRPr="00C168C5" w:rsidRDefault="002F599D" w:rsidP="002F599D">
            <w:pPr>
              <w:rPr>
                <w:lang w:val="es-ES_tradnl"/>
              </w:rPr>
            </w:pPr>
            <w:r w:rsidRPr="00C168C5">
              <w:rPr>
                <w:lang w:val="es-ES_tradnl"/>
              </w:rPr>
              <w:t>Gastos no relativos al p</w:t>
            </w:r>
            <w:r w:rsidR="00915B8B" w:rsidRPr="00C168C5">
              <w:rPr>
                <w:lang w:val="es-ES_tradnl"/>
              </w:rPr>
              <w:t>ersonal: 200.000 francos suizos</w:t>
            </w:r>
          </w:p>
          <w:p w14:paraId="4B9C8D55" w14:textId="77777777" w:rsidR="002F599D" w:rsidRPr="00C168C5" w:rsidRDefault="002F599D" w:rsidP="002F599D">
            <w:pPr>
              <w:rPr>
                <w:lang w:val="es-ES_tradnl"/>
              </w:rPr>
            </w:pPr>
          </w:p>
          <w:p w14:paraId="4FE6D3B0" w14:textId="5E81B18E" w:rsidR="002F599D" w:rsidRPr="00C168C5" w:rsidRDefault="002F599D" w:rsidP="002F599D">
            <w:pPr>
              <w:rPr>
                <w:lang w:val="es-ES_tradnl"/>
              </w:rPr>
            </w:pPr>
            <w:r w:rsidRPr="00C168C5">
              <w:rPr>
                <w:lang w:val="es-ES_tradnl"/>
              </w:rPr>
              <w:t>Gastos de p</w:t>
            </w:r>
            <w:r w:rsidR="00915B8B" w:rsidRPr="00C168C5">
              <w:rPr>
                <w:lang w:val="es-ES_tradnl"/>
              </w:rPr>
              <w:t>ersonal: 267.792 francos suizos</w:t>
            </w:r>
          </w:p>
          <w:p w14:paraId="42A54E62" w14:textId="77777777" w:rsidR="00C91693" w:rsidRPr="00C168C5" w:rsidRDefault="00C91693" w:rsidP="002F599D">
            <w:pPr>
              <w:rPr>
                <w:rFonts w:eastAsia="Times New Roman"/>
                <w:lang w:val="es-ES_tradnl" w:eastAsia="en-US"/>
              </w:rPr>
            </w:pPr>
          </w:p>
        </w:tc>
      </w:tr>
      <w:tr w:rsidR="00C91693" w:rsidRPr="00C168C5" w14:paraId="634FFFF5" w14:textId="77777777" w:rsidTr="00243943">
        <w:tc>
          <w:tcPr>
            <w:tcW w:w="2088" w:type="dxa"/>
            <w:shd w:val="clear" w:color="auto" w:fill="auto"/>
          </w:tcPr>
          <w:p w14:paraId="17C12729" w14:textId="77777777" w:rsidR="00C91693" w:rsidRPr="00C168C5" w:rsidRDefault="00C91693" w:rsidP="00243943">
            <w:pPr>
              <w:rPr>
                <w:rFonts w:eastAsia="Times New Roman"/>
                <w:bCs/>
                <w:u w:val="single"/>
                <w:lang w:val="es-ES_tradnl" w:eastAsia="en-US"/>
              </w:rPr>
            </w:pPr>
          </w:p>
          <w:p w14:paraId="0FB81749" w14:textId="77777777" w:rsidR="00C91693" w:rsidRPr="00C168C5" w:rsidRDefault="002F599D" w:rsidP="00243943">
            <w:pPr>
              <w:rPr>
                <w:u w:val="single"/>
                <w:lang w:val="es-ES_tradnl"/>
              </w:rPr>
            </w:pPr>
            <w:r w:rsidRPr="00C168C5">
              <w:rPr>
                <w:u w:val="single"/>
                <w:lang w:val="es-ES_tradnl"/>
              </w:rPr>
              <w:t>Fecha de inicio del proyecto</w:t>
            </w:r>
          </w:p>
          <w:p w14:paraId="6808138D" w14:textId="307BE8D4" w:rsidR="00966267" w:rsidRPr="00C168C5" w:rsidRDefault="00966267" w:rsidP="00243943">
            <w:pPr>
              <w:rPr>
                <w:rFonts w:eastAsia="Times New Roman"/>
                <w:bCs/>
                <w:u w:val="single"/>
                <w:lang w:val="es-ES_tradnl" w:eastAsia="en-US"/>
              </w:rPr>
            </w:pPr>
          </w:p>
        </w:tc>
        <w:tc>
          <w:tcPr>
            <w:tcW w:w="7200" w:type="dxa"/>
            <w:shd w:val="clear" w:color="auto" w:fill="auto"/>
          </w:tcPr>
          <w:p w14:paraId="18E30940" w14:textId="77777777" w:rsidR="00C91693" w:rsidRPr="00C168C5" w:rsidRDefault="00C91693" w:rsidP="00243943">
            <w:pPr>
              <w:rPr>
                <w:rFonts w:eastAsia="Times New Roman"/>
                <w:lang w:val="es-ES_tradnl" w:eastAsia="en-US"/>
              </w:rPr>
            </w:pPr>
          </w:p>
          <w:p w14:paraId="58E6ADD9" w14:textId="3CD597D4" w:rsidR="00C91693" w:rsidRPr="00C168C5" w:rsidRDefault="002F599D" w:rsidP="00243943">
            <w:pPr>
              <w:rPr>
                <w:rFonts w:eastAsia="Times New Roman"/>
                <w:lang w:val="es-ES_tradnl" w:eastAsia="en-US"/>
              </w:rPr>
            </w:pPr>
            <w:r w:rsidRPr="00C168C5">
              <w:rPr>
                <w:rFonts w:eastAsia="Times New Roman"/>
                <w:lang w:val="es-ES_tradnl" w:eastAsia="en-US"/>
              </w:rPr>
              <w:t>Julio de</w:t>
            </w:r>
            <w:r w:rsidR="00C91693" w:rsidRPr="00C168C5">
              <w:rPr>
                <w:rFonts w:eastAsia="Times New Roman"/>
                <w:lang w:val="es-ES_tradnl" w:eastAsia="en-US"/>
              </w:rPr>
              <w:t xml:space="preserve"> 2014</w:t>
            </w:r>
          </w:p>
          <w:p w14:paraId="24A83041" w14:textId="77777777" w:rsidR="00C91693" w:rsidRPr="00C168C5" w:rsidRDefault="00C91693" w:rsidP="00243943">
            <w:pPr>
              <w:rPr>
                <w:rFonts w:eastAsia="Times New Roman"/>
                <w:lang w:val="es-ES_tradnl" w:eastAsia="en-US"/>
              </w:rPr>
            </w:pPr>
          </w:p>
        </w:tc>
      </w:tr>
      <w:tr w:rsidR="00C91693" w:rsidRPr="00C168C5" w14:paraId="1FDAF321" w14:textId="77777777" w:rsidTr="00243943">
        <w:tc>
          <w:tcPr>
            <w:tcW w:w="2088" w:type="dxa"/>
            <w:shd w:val="clear" w:color="auto" w:fill="auto"/>
          </w:tcPr>
          <w:p w14:paraId="0F1B4BC0" w14:textId="77777777" w:rsidR="00C91693" w:rsidRPr="00C168C5" w:rsidRDefault="00C91693" w:rsidP="00243943">
            <w:pPr>
              <w:rPr>
                <w:rFonts w:eastAsia="Times New Roman"/>
                <w:bCs/>
                <w:u w:val="single"/>
                <w:lang w:val="es-ES_tradnl" w:eastAsia="en-US"/>
              </w:rPr>
            </w:pPr>
          </w:p>
          <w:p w14:paraId="62952BA4" w14:textId="77777777" w:rsidR="00C91693" w:rsidRPr="00C168C5" w:rsidRDefault="00966267" w:rsidP="00243943">
            <w:pPr>
              <w:rPr>
                <w:u w:val="single"/>
                <w:lang w:val="es-ES_tradnl"/>
              </w:rPr>
            </w:pPr>
            <w:r w:rsidRPr="00C168C5">
              <w:rPr>
                <w:u w:val="single"/>
                <w:lang w:val="es-ES_tradnl"/>
              </w:rPr>
              <w:t>Duración del proyecto</w:t>
            </w:r>
          </w:p>
          <w:p w14:paraId="2535ADE3" w14:textId="63DE4F4D" w:rsidR="00966267" w:rsidRPr="00C168C5" w:rsidRDefault="00966267" w:rsidP="00243943">
            <w:pPr>
              <w:rPr>
                <w:rFonts w:eastAsia="Times New Roman"/>
                <w:bCs/>
                <w:u w:val="single"/>
                <w:lang w:val="es-ES_tradnl" w:eastAsia="en-US"/>
              </w:rPr>
            </w:pPr>
          </w:p>
        </w:tc>
        <w:tc>
          <w:tcPr>
            <w:tcW w:w="7200" w:type="dxa"/>
            <w:shd w:val="clear" w:color="auto" w:fill="auto"/>
          </w:tcPr>
          <w:p w14:paraId="175CAC98" w14:textId="77777777" w:rsidR="00C91693" w:rsidRPr="00C168C5" w:rsidRDefault="00C91693" w:rsidP="00243943">
            <w:pPr>
              <w:rPr>
                <w:rFonts w:eastAsia="Times New Roman"/>
                <w:lang w:val="es-ES_tradnl" w:eastAsia="en-US"/>
              </w:rPr>
            </w:pPr>
          </w:p>
          <w:p w14:paraId="5955EF80" w14:textId="5F384608" w:rsidR="00C91693" w:rsidRPr="00C168C5" w:rsidRDefault="00C91693" w:rsidP="00243943">
            <w:pPr>
              <w:rPr>
                <w:rFonts w:eastAsia="Times New Roman"/>
                <w:lang w:val="es-ES_tradnl" w:eastAsia="en-US"/>
              </w:rPr>
            </w:pPr>
            <w:r w:rsidRPr="00C168C5">
              <w:rPr>
                <w:rFonts w:eastAsia="Times New Roman"/>
                <w:lang w:val="es-ES_tradnl" w:eastAsia="en-US"/>
              </w:rPr>
              <w:t>36 m</w:t>
            </w:r>
            <w:r w:rsidR="00966267" w:rsidRPr="00C168C5">
              <w:rPr>
                <w:rFonts w:eastAsia="Times New Roman"/>
                <w:lang w:val="es-ES_tradnl" w:eastAsia="en-US"/>
              </w:rPr>
              <w:t>eses</w:t>
            </w:r>
          </w:p>
          <w:p w14:paraId="50D1E8C0" w14:textId="77777777" w:rsidR="00C91693" w:rsidRPr="00C168C5" w:rsidRDefault="00C91693" w:rsidP="00243943">
            <w:pPr>
              <w:rPr>
                <w:rFonts w:eastAsia="Times New Roman"/>
                <w:lang w:val="es-ES_tradnl" w:eastAsia="en-US"/>
              </w:rPr>
            </w:pPr>
          </w:p>
        </w:tc>
      </w:tr>
      <w:tr w:rsidR="00C91693" w:rsidRPr="00C168C5" w14:paraId="21CB5F76" w14:textId="77777777" w:rsidTr="00243943">
        <w:tc>
          <w:tcPr>
            <w:tcW w:w="2088" w:type="dxa"/>
            <w:shd w:val="clear" w:color="auto" w:fill="auto"/>
          </w:tcPr>
          <w:p w14:paraId="2DAE099D" w14:textId="77777777" w:rsidR="00C91693" w:rsidRPr="00C168C5" w:rsidRDefault="00C91693" w:rsidP="00243943">
            <w:pPr>
              <w:rPr>
                <w:rFonts w:eastAsia="Times New Roman"/>
                <w:bCs/>
                <w:u w:val="single"/>
                <w:lang w:val="es-ES_tradnl" w:eastAsia="en-US"/>
              </w:rPr>
            </w:pPr>
          </w:p>
          <w:p w14:paraId="307D7E6E" w14:textId="77777777" w:rsidR="00C91693" w:rsidRPr="00C168C5" w:rsidRDefault="00832D3A" w:rsidP="00832D3A">
            <w:pPr>
              <w:rPr>
                <w:rFonts w:eastAsia="Times New Roman"/>
                <w:bCs/>
                <w:u w:val="single"/>
                <w:lang w:val="es-ES_tradnl" w:eastAsia="en-US"/>
              </w:rPr>
            </w:pPr>
            <w:r w:rsidRPr="00C168C5">
              <w:rPr>
                <w:szCs w:val="22"/>
                <w:u w:val="single"/>
                <w:lang w:val="es-ES_tradnl"/>
              </w:rPr>
              <w:t>Principales sectores de la OMPI interesados y vínculos con los programas de la Organización</w:t>
            </w:r>
            <w:r w:rsidRPr="00C168C5">
              <w:rPr>
                <w:rFonts w:eastAsia="Times New Roman"/>
                <w:bCs/>
                <w:u w:val="single"/>
                <w:lang w:val="es-ES_tradnl" w:eastAsia="en-US"/>
              </w:rPr>
              <w:t xml:space="preserve"> </w:t>
            </w:r>
          </w:p>
          <w:p w14:paraId="08B39099" w14:textId="6ECC58F4" w:rsidR="00832D3A" w:rsidRPr="00C168C5" w:rsidRDefault="00832D3A" w:rsidP="00832D3A">
            <w:pPr>
              <w:rPr>
                <w:rFonts w:eastAsia="Times New Roman"/>
                <w:bCs/>
                <w:u w:val="single"/>
                <w:lang w:val="es-ES_tradnl" w:eastAsia="en-US"/>
              </w:rPr>
            </w:pPr>
          </w:p>
        </w:tc>
        <w:tc>
          <w:tcPr>
            <w:tcW w:w="7200" w:type="dxa"/>
            <w:shd w:val="clear" w:color="auto" w:fill="auto"/>
          </w:tcPr>
          <w:p w14:paraId="6BBEF8C6" w14:textId="77777777" w:rsidR="00C91693" w:rsidRPr="00C168C5" w:rsidRDefault="00C91693" w:rsidP="00243943">
            <w:pPr>
              <w:rPr>
                <w:rFonts w:eastAsia="Times New Roman"/>
                <w:lang w:val="es-ES_tradnl" w:eastAsia="en-US"/>
              </w:rPr>
            </w:pPr>
          </w:p>
          <w:p w14:paraId="185AB0CE" w14:textId="7E8156F8" w:rsidR="00C91693" w:rsidRPr="00C168C5" w:rsidRDefault="0021668A" w:rsidP="00243943">
            <w:pPr>
              <w:rPr>
                <w:rFonts w:eastAsia="Times New Roman"/>
                <w:lang w:val="es-ES_tradnl" w:eastAsia="en-US"/>
              </w:rPr>
            </w:pPr>
            <w:r w:rsidRPr="00C168C5">
              <w:rPr>
                <w:rFonts w:eastAsia="Times New Roman"/>
                <w:lang w:val="es-ES_tradnl" w:eastAsia="en-US"/>
              </w:rPr>
              <w:t xml:space="preserve">Sector de </w:t>
            </w:r>
            <w:r w:rsidR="00C91693" w:rsidRPr="00C168C5">
              <w:rPr>
                <w:rFonts w:eastAsia="Times New Roman"/>
                <w:lang w:val="es-ES_tradnl" w:eastAsia="en-US"/>
              </w:rPr>
              <w:t>De</w:t>
            </w:r>
            <w:r w:rsidRPr="00C168C5">
              <w:rPr>
                <w:rFonts w:eastAsia="Times New Roman"/>
                <w:lang w:val="es-ES_tradnl" w:eastAsia="en-US"/>
              </w:rPr>
              <w:t>sarrollo</w:t>
            </w:r>
            <w:r w:rsidR="00C91693" w:rsidRPr="00C168C5">
              <w:rPr>
                <w:rFonts w:eastAsia="Times New Roman"/>
                <w:lang w:val="es-ES_tradnl" w:eastAsia="en-US"/>
              </w:rPr>
              <w:t xml:space="preserve">, </w:t>
            </w:r>
            <w:r w:rsidRPr="00C168C5">
              <w:rPr>
                <w:rFonts w:eastAsia="Times New Roman"/>
                <w:lang w:val="es-ES_tradnl" w:eastAsia="en-US"/>
              </w:rPr>
              <w:t xml:space="preserve">Sector de </w:t>
            </w:r>
            <w:r w:rsidR="00C91693" w:rsidRPr="00C168C5">
              <w:rPr>
                <w:rFonts w:eastAsia="Times New Roman"/>
                <w:lang w:val="es-ES_tradnl" w:eastAsia="en-US"/>
              </w:rPr>
              <w:t>Patent</w:t>
            </w:r>
            <w:r w:rsidRPr="00C168C5">
              <w:rPr>
                <w:rFonts w:eastAsia="Times New Roman"/>
                <w:lang w:val="es-ES_tradnl" w:eastAsia="en-US"/>
              </w:rPr>
              <w:t>e</w:t>
            </w:r>
            <w:r w:rsidR="00C91693" w:rsidRPr="00C168C5">
              <w:rPr>
                <w:rFonts w:eastAsia="Times New Roman"/>
                <w:lang w:val="es-ES_tradnl" w:eastAsia="en-US"/>
              </w:rPr>
              <w:t>s</w:t>
            </w:r>
            <w:r w:rsidRPr="00C168C5">
              <w:rPr>
                <w:rFonts w:eastAsia="Times New Roman"/>
                <w:lang w:val="es-ES_tradnl" w:eastAsia="en-US"/>
              </w:rPr>
              <w:t xml:space="preserve"> y Tecnología y Sector de Cuestiones Mundiales</w:t>
            </w:r>
            <w:r w:rsidR="00C91693" w:rsidRPr="00C168C5">
              <w:rPr>
                <w:rFonts w:eastAsia="Times New Roman"/>
                <w:lang w:val="es-ES_tradnl" w:eastAsia="en-US"/>
              </w:rPr>
              <w:t>.</w:t>
            </w:r>
          </w:p>
          <w:p w14:paraId="6A3D7F76" w14:textId="77777777" w:rsidR="00C91693" w:rsidRPr="00C168C5" w:rsidRDefault="00C91693" w:rsidP="00243943">
            <w:pPr>
              <w:rPr>
                <w:rFonts w:eastAsia="Times New Roman"/>
                <w:lang w:val="es-ES_tradnl" w:eastAsia="en-US"/>
              </w:rPr>
            </w:pPr>
          </w:p>
          <w:p w14:paraId="544FCDA6" w14:textId="258B3AC7" w:rsidR="00C91693" w:rsidRPr="00C168C5" w:rsidRDefault="00080878" w:rsidP="00243943">
            <w:pPr>
              <w:rPr>
                <w:rFonts w:eastAsia="Times New Roman"/>
                <w:lang w:val="es-ES_tradnl" w:eastAsia="en-US"/>
              </w:rPr>
            </w:pPr>
            <w:r w:rsidRPr="00C168C5">
              <w:rPr>
                <w:rFonts w:eastAsia="Times New Roman"/>
                <w:lang w:val="es-ES_tradnl" w:eastAsia="en-US"/>
              </w:rPr>
              <w:t>Vínculos</w:t>
            </w:r>
            <w:r w:rsidR="0021668A" w:rsidRPr="00C168C5">
              <w:rPr>
                <w:rFonts w:eastAsia="Times New Roman"/>
                <w:lang w:val="es-ES_tradnl" w:eastAsia="en-US"/>
              </w:rPr>
              <w:t xml:space="preserve"> con los programas 1, 9, 14 y 18 de la OMPI</w:t>
            </w:r>
          </w:p>
          <w:p w14:paraId="149135D8" w14:textId="77777777" w:rsidR="00C91693" w:rsidRPr="00C168C5" w:rsidRDefault="00C91693" w:rsidP="00243943">
            <w:pPr>
              <w:rPr>
                <w:rFonts w:eastAsia="Times New Roman"/>
                <w:lang w:val="es-ES_tradnl" w:eastAsia="en-US"/>
              </w:rPr>
            </w:pPr>
          </w:p>
        </w:tc>
      </w:tr>
      <w:tr w:rsidR="00C91693" w:rsidRPr="00C168C5" w14:paraId="3D63E21B" w14:textId="77777777" w:rsidTr="00243943">
        <w:trPr>
          <w:trHeight w:val="1419"/>
        </w:trPr>
        <w:tc>
          <w:tcPr>
            <w:tcW w:w="2088" w:type="dxa"/>
            <w:shd w:val="clear" w:color="auto" w:fill="auto"/>
          </w:tcPr>
          <w:p w14:paraId="1219E9FE" w14:textId="77777777" w:rsidR="00C91693" w:rsidRPr="00C168C5" w:rsidRDefault="00C91693" w:rsidP="00243943">
            <w:pPr>
              <w:rPr>
                <w:rFonts w:eastAsia="Times New Roman"/>
                <w:bCs/>
                <w:u w:val="single"/>
                <w:lang w:val="es-ES_tradnl" w:eastAsia="en-US"/>
              </w:rPr>
            </w:pPr>
          </w:p>
          <w:p w14:paraId="07326AA0" w14:textId="0632590D" w:rsidR="00C91693" w:rsidRPr="00C168C5" w:rsidRDefault="00C91693" w:rsidP="001F1362">
            <w:pPr>
              <w:rPr>
                <w:rFonts w:eastAsia="Times New Roman"/>
                <w:bCs/>
                <w:u w:val="single"/>
                <w:lang w:val="es-ES_tradnl" w:eastAsia="en-US"/>
              </w:rPr>
            </w:pPr>
            <w:r w:rsidRPr="00C168C5">
              <w:rPr>
                <w:rFonts w:eastAsia="Times New Roman"/>
                <w:bCs/>
                <w:u w:val="single"/>
                <w:lang w:val="es-ES_tradnl" w:eastAsia="en-US"/>
              </w:rPr>
              <w:t>Br</w:t>
            </w:r>
            <w:r w:rsidR="001F1362" w:rsidRPr="00C168C5">
              <w:rPr>
                <w:rFonts w:eastAsia="Times New Roman"/>
                <w:bCs/>
                <w:u w:val="single"/>
                <w:lang w:val="es-ES_tradnl" w:eastAsia="en-US"/>
              </w:rPr>
              <w:t>eve descripción del proyecto</w:t>
            </w:r>
          </w:p>
        </w:tc>
        <w:tc>
          <w:tcPr>
            <w:tcW w:w="7200" w:type="dxa"/>
            <w:shd w:val="clear" w:color="auto" w:fill="auto"/>
          </w:tcPr>
          <w:p w14:paraId="34313C31" w14:textId="77777777" w:rsidR="00C91693" w:rsidRPr="00C168C5" w:rsidRDefault="00C91693" w:rsidP="00243943">
            <w:pPr>
              <w:rPr>
                <w:rFonts w:eastAsia="Times New Roman"/>
                <w:szCs w:val="22"/>
                <w:lang w:val="es-ES_tradnl" w:eastAsia="en-US"/>
              </w:rPr>
            </w:pPr>
          </w:p>
          <w:p w14:paraId="5FDEE2E4" w14:textId="637EFC2B" w:rsidR="00C91693" w:rsidRPr="00C168C5" w:rsidRDefault="00B94456" w:rsidP="00243943">
            <w:pPr>
              <w:rPr>
                <w:rFonts w:eastAsia="Times New Roman"/>
                <w:szCs w:val="22"/>
                <w:lang w:val="es-ES_tradnl" w:eastAsia="en-US"/>
              </w:rPr>
            </w:pPr>
            <w:r w:rsidRPr="00C168C5">
              <w:rPr>
                <w:rFonts w:eastAsia="Times New Roman"/>
                <w:szCs w:val="22"/>
                <w:lang w:val="es-ES_tradnl" w:eastAsia="en-US"/>
              </w:rPr>
              <w:t xml:space="preserve">En cumplimiento de </w:t>
            </w:r>
            <w:r w:rsidR="00333C8F" w:rsidRPr="00C168C5">
              <w:rPr>
                <w:rFonts w:eastAsia="Times New Roman"/>
                <w:szCs w:val="22"/>
                <w:lang w:val="es-ES_tradnl" w:eastAsia="en-US"/>
              </w:rPr>
              <w:t xml:space="preserve">los objetivos de la </w:t>
            </w:r>
            <w:r w:rsidR="00AC0D17" w:rsidRPr="00C168C5">
              <w:rPr>
                <w:rFonts w:eastAsia="Times New Roman"/>
                <w:szCs w:val="22"/>
                <w:lang w:val="es-ES_tradnl" w:eastAsia="en-US"/>
              </w:rPr>
              <w:t xml:space="preserve">primera etapa del proyecto, culminada en abril de </w:t>
            </w:r>
            <w:r w:rsidR="00C91693" w:rsidRPr="00C168C5">
              <w:rPr>
                <w:rFonts w:eastAsia="Times New Roman"/>
                <w:szCs w:val="22"/>
                <w:lang w:val="es-ES_tradnl" w:eastAsia="en-US"/>
              </w:rPr>
              <w:t xml:space="preserve">2013, </w:t>
            </w:r>
            <w:r w:rsidRPr="00C168C5">
              <w:rPr>
                <w:rFonts w:eastAsia="Times New Roman"/>
                <w:szCs w:val="22"/>
                <w:lang w:val="es-ES_tradnl" w:eastAsia="en-US"/>
              </w:rPr>
              <w:t xml:space="preserve">la segunda </w:t>
            </w:r>
            <w:r w:rsidR="00080878" w:rsidRPr="00C168C5">
              <w:rPr>
                <w:rFonts w:eastAsia="Times New Roman"/>
                <w:szCs w:val="22"/>
                <w:lang w:val="es-ES_tradnl" w:eastAsia="en-US"/>
              </w:rPr>
              <w:t>está</w:t>
            </w:r>
            <w:r w:rsidRPr="00C168C5">
              <w:rPr>
                <w:rFonts w:eastAsia="Times New Roman"/>
                <w:szCs w:val="22"/>
                <w:lang w:val="es-ES_tradnl" w:eastAsia="en-US"/>
              </w:rPr>
              <w:t xml:space="preserve"> concebida para contribuir a la capacidad nacional de los países menos adelantados (PMA)</w:t>
            </w:r>
            <w:r w:rsidR="00C91693" w:rsidRPr="00C168C5">
              <w:rPr>
                <w:rFonts w:eastAsia="Times New Roman"/>
                <w:szCs w:val="22"/>
                <w:lang w:val="es-ES_tradnl" w:eastAsia="en-US"/>
              </w:rPr>
              <w:t xml:space="preserve"> </w:t>
            </w:r>
            <w:r w:rsidR="00252E76" w:rsidRPr="00C168C5">
              <w:rPr>
                <w:rFonts w:eastAsia="Times New Roman"/>
                <w:szCs w:val="22"/>
                <w:lang w:val="es-ES_tradnl" w:eastAsia="en-US"/>
              </w:rPr>
              <w:t xml:space="preserve">en la gestión, administración y utilización de información técnica y científica a fin de consolidar sus bases tecnológicas apropiadas </w:t>
            </w:r>
            <w:r w:rsidR="000467BD" w:rsidRPr="00C168C5">
              <w:rPr>
                <w:rFonts w:eastAsia="Times New Roman"/>
                <w:szCs w:val="22"/>
                <w:lang w:val="es-ES_tradnl" w:eastAsia="en-US"/>
              </w:rPr>
              <w:t>y atender las necesidades de desarrollo identificadas a escala nacional, lo que a su vez facilitaría el crecimiento económico y contribuiría al alivio de la pobreza</w:t>
            </w:r>
            <w:r w:rsidR="00C91693" w:rsidRPr="00C168C5">
              <w:rPr>
                <w:rFonts w:eastAsia="Times New Roman"/>
                <w:szCs w:val="22"/>
                <w:lang w:val="es-ES_tradnl" w:eastAsia="en-US"/>
              </w:rPr>
              <w:t>.</w:t>
            </w:r>
          </w:p>
          <w:p w14:paraId="66561BAC" w14:textId="77777777" w:rsidR="00C91693" w:rsidRPr="00C168C5" w:rsidRDefault="00C91693" w:rsidP="00243943">
            <w:pPr>
              <w:rPr>
                <w:rFonts w:eastAsia="Times New Roman"/>
                <w:szCs w:val="22"/>
                <w:lang w:val="es-ES_tradnl" w:eastAsia="en-US"/>
              </w:rPr>
            </w:pPr>
          </w:p>
          <w:p w14:paraId="1070776B" w14:textId="1AD1F7E8" w:rsidR="00C91693" w:rsidRPr="00C168C5" w:rsidRDefault="00FB60C5" w:rsidP="00243943">
            <w:pPr>
              <w:rPr>
                <w:rFonts w:eastAsia="Times New Roman"/>
                <w:szCs w:val="22"/>
                <w:lang w:val="es-ES_tradnl" w:eastAsia="en-US"/>
              </w:rPr>
            </w:pPr>
            <w:r w:rsidRPr="00C168C5">
              <w:rPr>
                <w:rFonts w:eastAsia="Times New Roman"/>
                <w:szCs w:val="22"/>
                <w:lang w:val="es-ES_tradnl" w:eastAsia="en-US"/>
              </w:rPr>
              <w:t>Los aspectos clave del proyecto</w:t>
            </w:r>
            <w:r w:rsidR="00A4709D" w:rsidRPr="00C168C5">
              <w:rPr>
                <w:rFonts w:eastAsia="Times New Roman"/>
                <w:szCs w:val="22"/>
                <w:lang w:val="es-ES_tradnl" w:eastAsia="en-US"/>
              </w:rPr>
              <w:t xml:space="preserve"> entrañan la transferencia de conocimientos, la formación de capital humano, el fortalecimiento de capacidades tecnológicas y las </w:t>
            </w:r>
            <w:r w:rsidR="005E3445" w:rsidRPr="00C168C5">
              <w:rPr>
                <w:rFonts w:eastAsia="Times New Roman"/>
                <w:szCs w:val="22"/>
                <w:lang w:val="es-ES_tradnl" w:eastAsia="en-US"/>
              </w:rPr>
              <w:t>consecuencias sociales, culturales y de género que tiene el uso de las</w:t>
            </w:r>
            <w:r w:rsidR="00A4709D" w:rsidRPr="00C168C5">
              <w:rPr>
                <w:rFonts w:eastAsia="Times New Roman"/>
                <w:szCs w:val="22"/>
                <w:lang w:val="es-ES_tradnl" w:eastAsia="en-US"/>
              </w:rPr>
              <w:t xml:space="preserve"> tecnologías identificadas </w:t>
            </w:r>
            <w:r w:rsidR="005E3445" w:rsidRPr="00C168C5">
              <w:rPr>
                <w:rFonts w:eastAsia="Times New Roman"/>
                <w:szCs w:val="22"/>
                <w:lang w:val="es-ES_tradnl" w:eastAsia="en-US"/>
              </w:rPr>
              <w:t xml:space="preserve">mediante la </w:t>
            </w:r>
            <w:r w:rsidR="00080878" w:rsidRPr="00C168C5">
              <w:rPr>
                <w:rFonts w:eastAsia="Times New Roman"/>
                <w:szCs w:val="22"/>
                <w:lang w:val="es-ES_tradnl" w:eastAsia="en-US"/>
              </w:rPr>
              <w:t>interacción</w:t>
            </w:r>
            <w:r w:rsidR="005E3445" w:rsidRPr="00C168C5">
              <w:rPr>
                <w:rFonts w:eastAsia="Times New Roman"/>
                <w:szCs w:val="22"/>
                <w:lang w:val="es-ES_tradnl" w:eastAsia="en-US"/>
              </w:rPr>
              <w:t xml:space="preserve"> conjunta con un grupo de expertos nacionales y organizaciones coordinadoras de los países beneficiarios</w:t>
            </w:r>
            <w:r w:rsidR="00C91693" w:rsidRPr="00C168C5">
              <w:rPr>
                <w:rFonts w:eastAsia="Times New Roman"/>
                <w:szCs w:val="22"/>
                <w:lang w:val="es-ES_tradnl" w:eastAsia="en-US"/>
              </w:rPr>
              <w:t xml:space="preserve">. </w:t>
            </w:r>
          </w:p>
          <w:p w14:paraId="45A206DB" w14:textId="77777777" w:rsidR="00C91693" w:rsidRPr="00C168C5" w:rsidRDefault="00C91693" w:rsidP="00243943">
            <w:pPr>
              <w:rPr>
                <w:rFonts w:eastAsia="Times New Roman"/>
                <w:szCs w:val="22"/>
                <w:lang w:val="es-ES_tradnl" w:eastAsia="en-US"/>
              </w:rPr>
            </w:pPr>
          </w:p>
          <w:p w14:paraId="73EDE83B" w14:textId="301A00FA" w:rsidR="00C91693" w:rsidRPr="00C168C5" w:rsidRDefault="005E3445" w:rsidP="00243943">
            <w:pPr>
              <w:rPr>
                <w:rFonts w:eastAsia="Times New Roman"/>
                <w:szCs w:val="22"/>
                <w:lang w:val="es-ES_tradnl" w:eastAsia="en-US"/>
              </w:rPr>
            </w:pPr>
            <w:r w:rsidRPr="00C168C5">
              <w:rPr>
                <w:rFonts w:eastAsia="Times New Roman"/>
                <w:szCs w:val="22"/>
                <w:lang w:val="es-ES_tradnl" w:eastAsia="en-US"/>
              </w:rPr>
              <w:t>A la luz de lo indicado, los objeticos específicos del proyecto incluyen</w:t>
            </w:r>
            <w:r w:rsidR="00C91693" w:rsidRPr="00C168C5">
              <w:rPr>
                <w:rFonts w:eastAsia="Times New Roman"/>
                <w:szCs w:val="22"/>
                <w:lang w:val="es-ES_tradnl" w:eastAsia="en-US"/>
              </w:rPr>
              <w:t>:</w:t>
            </w:r>
          </w:p>
          <w:p w14:paraId="08F31620" w14:textId="77777777" w:rsidR="00C91693" w:rsidRPr="00C168C5" w:rsidRDefault="00C91693" w:rsidP="00243943">
            <w:pPr>
              <w:rPr>
                <w:rFonts w:eastAsia="Times New Roman"/>
                <w:szCs w:val="22"/>
                <w:lang w:val="es-ES_tradnl" w:eastAsia="en-US"/>
              </w:rPr>
            </w:pPr>
          </w:p>
          <w:p w14:paraId="4EBDC029" w14:textId="77777777" w:rsidR="004218E3" w:rsidRPr="00C168C5" w:rsidRDefault="004218E3" w:rsidP="004218E3">
            <w:pPr>
              <w:pStyle w:val="ONUME"/>
              <w:numPr>
                <w:ilvl w:val="1"/>
                <w:numId w:val="2"/>
              </w:numPr>
              <w:rPr>
                <w:lang w:val="es-ES_tradnl"/>
              </w:rPr>
            </w:pPr>
            <w:r w:rsidRPr="00C168C5">
              <w:rPr>
                <w:lang w:val="es-ES_tradnl"/>
              </w:rPr>
              <w:t>Facilitar una mayor utilización de información científica y técnica adecuada para atender las necesidades de objetivos de desarrollo identificadas a escala nacional;</w:t>
            </w:r>
          </w:p>
          <w:p w14:paraId="6081CC4B" w14:textId="77777777" w:rsidR="004218E3" w:rsidRPr="00C168C5" w:rsidRDefault="004218E3" w:rsidP="004218E3">
            <w:pPr>
              <w:pStyle w:val="ONUME"/>
              <w:numPr>
                <w:ilvl w:val="1"/>
                <w:numId w:val="2"/>
              </w:numPr>
              <w:rPr>
                <w:lang w:val="es-ES_tradnl"/>
              </w:rPr>
            </w:pPr>
            <w:r w:rsidRPr="00C168C5">
              <w:rPr>
                <w:lang w:val="es-ES_tradnl"/>
              </w:rPr>
              <w:t>Fortalecer las capacidades institucionales con miras a la utilización de la información técnica y científica para atender las necesidades identificadas;  y</w:t>
            </w:r>
          </w:p>
          <w:p w14:paraId="6E874C8F" w14:textId="44A71D68" w:rsidR="004218E3" w:rsidRPr="00C168C5" w:rsidRDefault="004218E3" w:rsidP="004218E3">
            <w:pPr>
              <w:pStyle w:val="ONUME"/>
              <w:numPr>
                <w:ilvl w:val="1"/>
                <w:numId w:val="2"/>
              </w:numPr>
              <w:rPr>
                <w:rFonts w:eastAsia="Malgun Gothic"/>
                <w:kern w:val="2"/>
                <w:lang w:val="es-ES_tradnl" w:eastAsia="ko-KR"/>
              </w:rPr>
            </w:pPr>
            <w:r w:rsidRPr="00C168C5">
              <w:rPr>
                <w:rFonts w:eastAsia="Malgun Gothic"/>
                <w:kern w:val="2"/>
                <w:lang w:val="es-ES_tradnl" w:eastAsia="ko-KR"/>
              </w:rPr>
              <w:t xml:space="preserve">Coordinar la </w:t>
            </w:r>
            <w:r w:rsidR="00EA06A2">
              <w:rPr>
                <w:rFonts w:eastAsia="Malgun Gothic"/>
                <w:kern w:val="2"/>
                <w:lang w:val="es-ES_tradnl" w:eastAsia="ko-KR"/>
              </w:rPr>
              <w:t>obtención</w:t>
            </w:r>
            <w:r w:rsidRPr="00C168C5">
              <w:rPr>
                <w:rFonts w:eastAsia="Malgun Gothic"/>
                <w:kern w:val="2"/>
                <w:lang w:val="es-ES_tradnl" w:eastAsia="ko-KR"/>
              </w:rPr>
              <w:t xml:space="preserve"> de información técnica y científica apropiada y suministrar los conocimientos técnicos apropiados en esas áreas de la técnica para aplicar esa tecnología de manera práctica y eficaz.</w:t>
            </w:r>
          </w:p>
          <w:p w14:paraId="5CEC487B" w14:textId="4CB5F8BC" w:rsidR="00C91693" w:rsidRPr="00C168C5" w:rsidRDefault="004218E3" w:rsidP="00243943">
            <w:pPr>
              <w:autoSpaceDE w:val="0"/>
              <w:autoSpaceDN w:val="0"/>
              <w:adjustRightInd w:val="0"/>
              <w:rPr>
                <w:rFonts w:eastAsia="Times New Roman"/>
                <w:color w:val="000000"/>
                <w:sz w:val="24"/>
                <w:szCs w:val="22"/>
                <w:lang w:val="es-ES_tradnl" w:eastAsia="en-US"/>
              </w:rPr>
            </w:pPr>
            <w:r w:rsidRPr="00C168C5">
              <w:rPr>
                <w:rFonts w:eastAsia="Times New Roman"/>
                <w:color w:val="000000"/>
                <w:szCs w:val="22"/>
                <w:lang w:val="es-ES_tradnl" w:eastAsia="en-US"/>
              </w:rPr>
              <w:t>Como este proyecto pretende aportar las soluciones tecnológicas adecuadas para identificar ámbitos de las necesidades en materia de desarrollo</w:t>
            </w:r>
            <w:r w:rsidR="00C91693" w:rsidRPr="00C168C5">
              <w:rPr>
                <w:rFonts w:eastAsia="Times New Roman"/>
                <w:color w:val="000000"/>
                <w:szCs w:val="22"/>
                <w:lang w:val="es-ES_tradnl" w:eastAsia="en-US"/>
              </w:rPr>
              <w:t xml:space="preserve"> </w:t>
            </w:r>
            <w:r w:rsidRPr="00C168C5">
              <w:rPr>
                <w:rFonts w:eastAsia="Times New Roman"/>
                <w:color w:val="000000"/>
                <w:szCs w:val="22"/>
                <w:lang w:val="es-ES_tradnl" w:eastAsia="en-US"/>
              </w:rPr>
              <w:t>a la luz de los planes de desarrollo nacional</w:t>
            </w:r>
            <w:r w:rsidR="00C91693" w:rsidRPr="00C168C5">
              <w:rPr>
                <w:rFonts w:eastAsia="Times New Roman"/>
                <w:color w:val="000000"/>
                <w:szCs w:val="22"/>
                <w:lang w:val="es-ES_tradnl" w:eastAsia="en-US"/>
              </w:rPr>
              <w:t xml:space="preserve">, </w:t>
            </w:r>
            <w:r w:rsidR="00691071" w:rsidRPr="00C168C5">
              <w:rPr>
                <w:rFonts w:eastAsia="Times New Roman"/>
                <w:color w:val="000000"/>
                <w:szCs w:val="22"/>
                <w:lang w:val="es-ES_tradnl" w:eastAsia="en-US"/>
              </w:rPr>
              <w:t>la estrategia de ejecución requiere la colaboración y participación de una gama de actores, personas individuales e instituciones de diversos sectores</w:t>
            </w:r>
            <w:r w:rsidR="00C91693" w:rsidRPr="00C168C5">
              <w:rPr>
                <w:rFonts w:eastAsia="Times New Roman"/>
                <w:color w:val="000000"/>
                <w:szCs w:val="22"/>
                <w:lang w:val="es-ES_tradnl" w:eastAsia="en-US"/>
              </w:rPr>
              <w:t xml:space="preserve">. </w:t>
            </w:r>
          </w:p>
          <w:p w14:paraId="6FA58ECB" w14:textId="77777777" w:rsidR="00C91693" w:rsidRPr="00C168C5" w:rsidRDefault="00C91693" w:rsidP="00243943">
            <w:pPr>
              <w:rPr>
                <w:rFonts w:eastAsia="Times New Roman"/>
                <w:lang w:val="es-ES_tradnl" w:eastAsia="en-US"/>
              </w:rPr>
            </w:pPr>
          </w:p>
        </w:tc>
      </w:tr>
    </w:tbl>
    <w:p w14:paraId="3BE5F010" w14:textId="77777777" w:rsidR="00C91693" w:rsidRPr="00C168C5" w:rsidRDefault="00C91693" w:rsidP="00C91693">
      <w:pPr>
        <w:rPr>
          <w:lang w:val="es-ES_tradnl"/>
        </w:rPr>
      </w:pPr>
    </w:p>
    <w:p w14:paraId="7F376FDF" w14:textId="77777777" w:rsidR="00C91693" w:rsidRPr="00C168C5" w:rsidRDefault="00C91693" w:rsidP="00C91693">
      <w:pPr>
        <w:rPr>
          <w:lang w:val="es-ES_tradnl"/>
        </w:rPr>
      </w:pPr>
      <w:r w:rsidRPr="00C168C5">
        <w:rPr>
          <w:lang w:val="es-ES_tradnl"/>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0"/>
      </w:tblGrid>
      <w:tr w:rsidR="00C91693" w:rsidRPr="00C168C5" w14:paraId="324FC591" w14:textId="77777777" w:rsidTr="00243943">
        <w:trPr>
          <w:trHeight w:val="484"/>
        </w:trPr>
        <w:tc>
          <w:tcPr>
            <w:tcW w:w="2088" w:type="dxa"/>
            <w:tcBorders>
              <w:top w:val="single" w:sz="4" w:space="0" w:color="auto"/>
            </w:tcBorders>
            <w:shd w:val="clear" w:color="auto" w:fill="auto"/>
          </w:tcPr>
          <w:p w14:paraId="0CCBCAF5" w14:textId="77777777" w:rsidR="00C91693" w:rsidRPr="00C168C5" w:rsidRDefault="00C91693" w:rsidP="00243943">
            <w:pPr>
              <w:rPr>
                <w:rFonts w:eastAsia="Times New Roman"/>
                <w:bCs/>
                <w:lang w:val="es-ES_tradnl" w:eastAsia="en-US"/>
              </w:rPr>
            </w:pPr>
          </w:p>
          <w:p w14:paraId="0135BFBF" w14:textId="68AF971E" w:rsidR="00C91693" w:rsidRPr="00C168C5" w:rsidRDefault="00850C51" w:rsidP="00A10E3A">
            <w:pPr>
              <w:rPr>
                <w:rFonts w:eastAsia="Times New Roman"/>
                <w:bCs/>
                <w:lang w:val="es-ES_tradnl" w:eastAsia="en-US"/>
              </w:rPr>
            </w:pPr>
            <w:r w:rsidRPr="00C168C5">
              <w:rPr>
                <w:bCs/>
                <w:szCs w:val="22"/>
                <w:u w:val="single"/>
                <w:lang w:val="es-ES_tradnl" w:eastAsia="en-US"/>
              </w:rPr>
              <w:t>Director del p</w:t>
            </w:r>
            <w:r w:rsidR="00A10E3A" w:rsidRPr="00C168C5">
              <w:rPr>
                <w:bCs/>
                <w:szCs w:val="22"/>
                <w:u w:val="single"/>
                <w:lang w:val="es-ES_tradnl" w:eastAsia="en-US"/>
              </w:rPr>
              <w:t>royecto</w:t>
            </w:r>
          </w:p>
        </w:tc>
        <w:tc>
          <w:tcPr>
            <w:tcW w:w="7200" w:type="dxa"/>
            <w:tcBorders>
              <w:top w:val="single" w:sz="4" w:space="0" w:color="auto"/>
            </w:tcBorders>
            <w:vAlign w:val="center"/>
          </w:tcPr>
          <w:p w14:paraId="0609B258" w14:textId="77777777" w:rsidR="00C91693" w:rsidRPr="00C168C5" w:rsidRDefault="00C91693" w:rsidP="00243943">
            <w:pPr>
              <w:rPr>
                <w:rFonts w:eastAsia="Times New Roman"/>
                <w:lang w:val="es-ES_tradnl" w:eastAsia="en-US"/>
              </w:rPr>
            </w:pPr>
          </w:p>
          <w:p w14:paraId="3D0B9709" w14:textId="41551181" w:rsidR="00C91693" w:rsidRPr="00C168C5" w:rsidRDefault="00A10E3A" w:rsidP="00243943">
            <w:pPr>
              <w:rPr>
                <w:rFonts w:eastAsia="Times New Roman"/>
                <w:lang w:val="es-ES_tradnl" w:eastAsia="en-US"/>
              </w:rPr>
            </w:pPr>
            <w:r w:rsidRPr="00C168C5">
              <w:rPr>
                <w:rFonts w:eastAsia="Times New Roman"/>
                <w:lang w:val="es-ES_tradnl" w:eastAsia="en-US"/>
              </w:rPr>
              <w:t>S</w:t>
            </w:r>
            <w:r w:rsidR="00C91693" w:rsidRPr="00C168C5">
              <w:rPr>
                <w:rFonts w:eastAsia="Times New Roman"/>
                <w:lang w:val="es-ES_tradnl" w:eastAsia="en-US"/>
              </w:rPr>
              <w:t>r. Kiflé Shenkoru</w:t>
            </w:r>
          </w:p>
          <w:p w14:paraId="00AE1B08" w14:textId="77777777" w:rsidR="00C91693" w:rsidRPr="00C168C5" w:rsidRDefault="00C91693" w:rsidP="00243943">
            <w:pPr>
              <w:rPr>
                <w:rFonts w:eastAsia="Times New Roman"/>
                <w:lang w:val="es-ES_tradnl" w:eastAsia="en-US"/>
              </w:rPr>
            </w:pPr>
          </w:p>
        </w:tc>
      </w:tr>
      <w:tr w:rsidR="00C91693" w:rsidRPr="00C168C5" w14:paraId="24AC86FD" w14:textId="77777777" w:rsidTr="00243943">
        <w:trPr>
          <w:trHeight w:val="1165"/>
        </w:trPr>
        <w:tc>
          <w:tcPr>
            <w:tcW w:w="2088" w:type="dxa"/>
            <w:shd w:val="clear" w:color="auto" w:fill="auto"/>
          </w:tcPr>
          <w:p w14:paraId="395B2657" w14:textId="77777777" w:rsidR="00C91693" w:rsidRPr="00C168C5" w:rsidRDefault="00C91693" w:rsidP="00243943">
            <w:pPr>
              <w:rPr>
                <w:rFonts w:eastAsia="Times New Roman"/>
                <w:bCs/>
                <w:u w:val="single"/>
                <w:lang w:val="es-ES_tradnl" w:eastAsia="en-US"/>
              </w:rPr>
            </w:pPr>
          </w:p>
          <w:p w14:paraId="78DAB4B3" w14:textId="48B28962" w:rsidR="00C91693" w:rsidRPr="00C168C5" w:rsidDel="00196374" w:rsidRDefault="00E7169C" w:rsidP="00243943">
            <w:pPr>
              <w:rPr>
                <w:rFonts w:eastAsia="Times New Roman"/>
                <w:bCs/>
                <w:u w:val="single"/>
                <w:lang w:val="es-ES_tradnl" w:eastAsia="en-US"/>
              </w:rPr>
            </w:pPr>
            <w:r w:rsidRPr="00C168C5">
              <w:rPr>
                <w:bCs/>
                <w:szCs w:val="22"/>
                <w:u w:val="single"/>
                <w:lang w:val="es-ES_tradnl" w:eastAsia="en-US"/>
              </w:rPr>
              <w:t>Vínculos con los resultados previstos en el presupuesto por programas</w:t>
            </w:r>
          </w:p>
        </w:tc>
        <w:tc>
          <w:tcPr>
            <w:tcW w:w="7200" w:type="dxa"/>
          </w:tcPr>
          <w:p w14:paraId="79533E7F" w14:textId="77777777" w:rsidR="00C91693" w:rsidRPr="00C168C5" w:rsidRDefault="00C91693" w:rsidP="00243943">
            <w:pPr>
              <w:rPr>
                <w:rFonts w:eastAsia="Times New Roman"/>
                <w:iCs/>
                <w:lang w:val="es-ES_tradnl" w:eastAsia="en-US"/>
              </w:rPr>
            </w:pPr>
          </w:p>
          <w:p w14:paraId="09917791" w14:textId="6695F749" w:rsidR="00C91693" w:rsidRPr="00C168C5" w:rsidRDefault="004F1FBC" w:rsidP="00243943">
            <w:pPr>
              <w:rPr>
                <w:rFonts w:eastAsia="Times New Roman"/>
                <w:lang w:val="es-ES_tradnl" w:eastAsia="en-US"/>
              </w:rPr>
            </w:pPr>
            <w:r w:rsidRPr="00C168C5">
              <w:rPr>
                <w:rFonts w:eastAsia="Times New Roman"/>
                <w:i/>
                <w:iCs/>
                <w:lang w:val="es-ES_tradnl" w:eastAsia="en-US"/>
              </w:rPr>
              <w:t xml:space="preserve">Meta estratégica </w:t>
            </w:r>
            <w:r w:rsidR="00C91693" w:rsidRPr="00C168C5">
              <w:rPr>
                <w:rFonts w:eastAsia="Times New Roman"/>
                <w:i/>
                <w:iCs/>
                <w:lang w:val="es-ES_tradnl" w:eastAsia="en-US"/>
              </w:rPr>
              <w:t>III</w:t>
            </w:r>
            <w:r w:rsidR="00C91693" w:rsidRPr="00C168C5">
              <w:rPr>
                <w:rFonts w:eastAsia="Times New Roman"/>
                <w:lang w:val="es-ES_tradnl" w:eastAsia="en-US"/>
              </w:rPr>
              <w:t xml:space="preserve">:  </w:t>
            </w:r>
            <w:r w:rsidRPr="00C168C5">
              <w:rPr>
                <w:rFonts w:eastAsia="Times New Roman"/>
                <w:lang w:val="es-ES_tradnl" w:eastAsia="en-US"/>
              </w:rPr>
              <w:t xml:space="preserve">Facilitar el uso de la P.I. para el desarrollo, </w:t>
            </w:r>
            <w:r w:rsidR="00C91693" w:rsidRPr="00C168C5">
              <w:rPr>
                <w:rFonts w:eastAsia="Times New Roman"/>
                <w:lang w:val="es-ES_tradnl" w:eastAsia="en-US"/>
              </w:rPr>
              <w:t>Program</w:t>
            </w:r>
            <w:r w:rsidRPr="00C168C5">
              <w:rPr>
                <w:rFonts w:eastAsia="Times New Roman"/>
                <w:lang w:val="es-ES_tradnl" w:eastAsia="en-US"/>
              </w:rPr>
              <w:t>a</w:t>
            </w:r>
            <w:r w:rsidR="00C91693" w:rsidRPr="00C168C5">
              <w:rPr>
                <w:rFonts w:eastAsia="Times New Roman"/>
                <w:lang w:val="es-ES_tradnl" w:eastAsia="en-US"/>
              </w:rPr>
              <w:t> 9.</w:t>
            </w:r>
          </w:p>
          <w:p w14:paraId="2CA498AB" w14:textId="77777777" w:rsidR="00C91693" w:rsidRPr="00C168C5" w:rsidRDefault="00C91693" w:rsidP="00243943">
            <w:pPr>
              <w:rPr>
                <w:rFonts w:eastAsia="Times New Roman"/>
                <w:i/>
                <w:iCs/>
                <w:lang w:val="es-ES_tradnl" w:eastAsia="en-US"/>
              </w:rPr>
            </w:pPr>
          </w:p>
          <w:p w14:paraId="191E1544" w14:textId="77777777" w:rsidR="004F1FBC" w:rsidRPr="00C168C5" w:rsidRDefault="004F1FBC" w:rsidP="004F1FBC">
            <w:pPr>
              <w:rPr>
                <w:iCs/>
                <w:lang w:val="es-ES_tradnl"/>
              </w:rPr>
            </w:pPr>
            <w:r w:rsidRPr="00C168C5">
              <w:rPr>
                <w:i/>
                <w:iCs/>
                <w:lang w:val="es-ES_tradnl"/>
              </w:rPr>
              <w:t>Resultado previsto III.2</w:t>
            </w:r>
            <w:r w:rsidRPr="00C168C5">
              <w:rPr>
                <w:iCs/>
                <w:lang w:val="es-ES_tradnl"/>
              </w:rPr>
              <w:t>.  Mejora de las capacidades en el ámbito de los recursos humanos para hacer frente al amplio espectro de exigencias que supone la utilización eficaz de la P.I. en aras del desarrollo en los países en desarrollo, PMA y países con economías en transición.</w:t>
            </w:r>
          </w:p>
          <w:p w14:paraId="2695278D" w14:textId="77777777" w:rsidR="00C91693" w:rsidRPr="00C168C5" w:rsidRDefault="00C91693" w:rsidP="00243943">
            <w:pPr>
              <w:rPr>
                <w:rFonts w:eastAsia="Times New Roman"/>
                <w:iCs/>
                <w:lang w:val="es-ES_tradnl" w:eastAsia="en-US"/>
              </w:rPr>
            </w:pPr>
          </w:p>
          <w:p w14:paraId="431B14C1" w14:textId="604DE601" w:rsidR="00C91693" w:rsidRPr="00C168C5" w:rsidRDefault="00C45330" w:rsidP="00243943">
            <w:pPr>
              <w:rPr>
                <w:rFonts w:eastAsia="Times New Roman"/>
                <w:iCs/>
                <w:lang w:val="es-ES_tradnl" w:eastAsia="en-US"/>
              </w:rPr>
            </w:pPr>
            <w:r w:rsidRPr="00C168C5">
              <w:rPr>
                <w:rFonts w:eastAsia="Times New Roman"/>
                <w:i/>
                <w:iCs/>
                <w:lang w:val="es-ES_tradnl" w:eastAsia="en-US"/>
              </w:rPr>
              <w:t>Resultado previsto</w:t>
            </w:r>
            <w:r w:rsidR="00C91693" w:rsidRPr="00C168C5">
              <w:rPr>
                <w:rFonts w:eastAsia="Times New Roman"/>
                <w:i/>
                <w:iCs/>
                <w:lang w:val="es-ES_tradnl" w:eastAsia="en-US"/>
              </w:rPr>
              <w:t xml:space="preserve"> III.4: </w:t>
            </w:r>
            <w:r w:rsidR="00C91693" w:rsidRPr="00C168C5">
              <w:rPr>
                <w:rFonts w:eastAsia="Times New Roman"/>
                <w:iCs/>
                <w:lang w:val="es-ES_tradnl" w:eastAsia="en-US"/>
              </w:rPr>
              <w:t xml:space="preserve"> </w:t>
            </w:r>
            <w:r w:rsidR="0071723B" w:rsidRPr="00C168C5">
              <w:rPr>
                <w:rFonts w:eastAsia="Times New Roman"/>
                <w:iCs/>
                <w:lang w:val="es-ES_tradnl" w:eastAsia="en-US"/>
              </w:rPr>
              <w:t>Fortalecimiento de mecanismos de cooperación y programas adaptados a las necesidades de los países e</w:t>
            </w:r>
            <w:r w:rsidR="00FA786B">
              <w:rPr>
                <w:rFonts w:eastAsia="Times New Roman"/>
                <w:iCs/>
                <w:lang w:val="es-ES_tradnl" w:eastAsia="en-US"/>
              </w:rPr>
              <w:t>n</w:t>
            </w:r>
            <w:r w:rsidR="0071723B" w:rsidRPr="00C168C5">
              <w:rPr>
                <w:rFonts w:eastAsia="Times New Roman"/>
                <w:iCs/>
                <w:lang w:val="es-ES_tradnl" w:eastAsia="en-US"/>
              </w:rPr>
              <w:t xml:space="preserve"> desarrollo y los PMA</w:t>
            </w:r>
            <w:r w:rsidR="00C91693" w:rsidRPr="00C168C5">
              <w:rPr>
                <w:rFonts w:eastAsia="Times New Roman"/>
                <w:iCs/>
                <w:lang w:val="es-ES_tradnl" w:eastAsia="en-US"/>
              </w:rPr>
              <w:t>.</w:t>
            </w:r>
          </w:p>
          <w:p w14:paraId="00F8035D" w14:textId="77777777" w:rsidR="00C91693" w:rsidRPr="00C168C5" w:rsidRDefault="00C91693" w:rsidP="00243943">
            <w:pPr>
              <w:rPr>
                <w:rFonts w:eastAsia="Times New Roman"/>
                <w:iCs/>
                <w:lang w:val="es-ES_tradnl" w:eastAsia="en-US"/>
              </w:rPr>
            </w:pPr>
          </w:p>
          <w:p w14:paraId="45A5B2B1" w14:textId="2FC35750" w:rsidR="00C91693" w:rsidRPr="00C168C5" w:rsidRDefault="0071723B" w:rsidP="00243943">
            <w:pPr>
              <w:rPr>
                <w:rFonts w:eastAsia="Times New Roman"/>
                <w:iCs/>
                <w:lang w:val="es-ES_tradnl" w:eastAsia="en-US"/>
              </w:rPr>
            </w:pPr>
            <w:r w:rsidRPr="00C168C5">
              <w:rPr>
                <w:rFonts w:eastAsia="Times New Roman"/>
                <w:i/>
                <w:iCs/>
                <w:lang w:val="es-ES_tradnl" w:eastAsia="en-US"/>
              </w:rPr>
              <w:t>Resultado previsto</w:t>
            </w:r>
            <w:r w:rsidR="00C91693" w:rsidRPr="00C168C5">
              <w:rPr>
                <w:rFonts w:eastAsia="Times New Roman"/>
                <w:i/>
                <w:iCs/>
                <w:lang w:val="es-ES_tradnl" w:eastAsia="en-US"/>
              </w:rPr>
              <w:t xml:space="preserve"> IV.2: </w:t>
            </w:r>
            <w:r w:rsidR="00C91693" w:rsidRPr="00C168C5">
              <w:rPr>
                <w:rFonts w:eastAsia="Times New Roman"/>
                <w:iCs/>
                <w:lang w:val="es-ES_tradnl" w:eastAsia="en-US"/>
              </w:rPr>
              <w:t xml:space="preserve"> </w:t>
            </w:r>
            <w:r w:rsidRPr="00C168C5">
              <w:rPr>
                <w:rFonts w:eastAsia="Times New Roman"/>
                <w:iCs/>
                <w:lang w:val="es-ES_tradnl" w:eastAsia="en-US"/>
              </w:rPr>
              <w:t>Mejora en el acceso a la información sobre P.I. y su utilización por las instituciones de P.I. y el público para fomentar la innovación y la creatividad</w:t>
            </w:r>
            <w:r w:rsidR="00C91693" w:rsidRPr="00C168C5">
              <w:rPr>
                <w:rFonts w:eastAsia="Times New Roman"/>
                <w:iCs/>
                <w:lang w:val="es-ES_tradnl" w:eastAsia="en-US"/>
              </w:rPr>
              <w:t>.</w:t>
            </w:r>
          </w:p>
          <w:p w14:paraId="00C51B14" w14:textId="77777777" w:rsidR="00C91693" w:rsidRPr="00C168C5" w:rsidDel="00196374" w:rsidRDefault="00C91693" w:rsidP="00243943">
            <w:pPr>
              <w:rPr>
                <w:rFonts w:eastAsia="Times New Roman"/>
                <w:iCs/>
                <w:lang w:val="es-ES_tradnl" w:eastAsia="en-US"/>
              </w:rPr>
            </w:pPr>
          </w:p>
        </w:tc>
      </w:tr>
      <w:tr w:rsidR="00C91693" w:rsidRPr="00C168C5" w14:paraId="2E575D7F" w14:textId="77777777" w:rsidTr="00243943">
        <w:trPr>
          <w:trHeight w:val="1735"/>
        </w:trPr>
        <w:tc>
          <w:tcPr>
            <w:tcW w:w="2088" w:type="dxa"/>
            <w:shd w:val="clear" w:color="auto" w:fill="auto"/>
          </w:tcPr>
          <w:p w14:paraId="13195EA8" w14:textId="2DB8BE5A" w:rsidR="00C91693" w:rsidRPr="00C168C5" w:rsidRDefault="0071723B" w:rsidP="00523FA9">
            <w:pPr>
              <w:pStyle w:val="Heading3"/>
              <w:keepNext w:val="0"/>
              <w:rPr>
                <w:lang w:val="es-ES_tradnl"/>
              </w:rPr>
            </w:pPr>
            <w:r w:rsidRPr="00C168C5">
              <w:rPr>
                <w:lang w:val="es-ES_tradnl"/>
              </w:rPr>
              <w:t>Progreso en la ejecución del proyecto</w:t>
            </w:r>
          </w:p>
        </w:tc>
        <w:tc>
          <w:tcPr>
            <w:tcW w:w="7200" w:type="dxa"/>
          </w:tcPr>
          <w:p w14:paraId="4F510EDC" w14:textId="77777777" w:rsidR="00C91693" w:rsidRPr="00C168C5" w:rsidRDefault="00C91693" w:rsidP="00243943">
            <w:pPr>
              <w:rPr>
                <w:rFonts w:eastAsia="Times New Roman"/>
                <w:lang w:val="es-ES_tradnl" w:eastAsia="en-US"/>
              </w:rPr>
            </w:pPr>
          </w:p>
          <w:p w14:paraId="73B3FC7A" w14:textId="183585E3" w:rsidR="00C91693" w:rsidRPr="00C168C5" w:rsidRDefault="00365F22" w:rsidP="00243943">
            <w:pPr>
              <w:rPr>
                <w:rFonts w:eastAsia="Times New Roman"/>
                <w:lang w:val="es-ES_tradnl" w:eastAsia="en-US"/>
              </w:rPr>
            </w:pPr>
            <w:r w:rsidRPr="00C168C5">
              <w:rPr>
                <w:rFonts w:eastAsia="Times New Roman"/>
                <w:lang w:val="es-ES_tradnl" w:eastAsia="en-US"/>
              </w:rPr>
              <w:t xml:space="preserve">La ejecución del proyecto se ha guiado con el documento </w:t>
            </w:r>
            <w:r w:rsidR="00C91693" w:rsidRPr="00C168C5">
              <w:rPr>
                <w:rFonts w:eastAsia="Times New Roman"/>
                <w:lang w:val="es-ES_tradnl" w:eastAsia="en-US"/>
              </w:rPr>
              <w:t>CDIP/13/9</w:t>
            </w:r>
            <w:r w:rsidRPr="00C168C5">
              <w:rPr>
                <w:rFonts w:eastAsia="Times New Roman"/>
                <w:lang w:val="es-ES_tradnl" w:eastAsia="en-US"/>
              </w:rPr>
              <w:t>, que introdujo una serie de a</w:t>
            </w:r>
            <w:r w:rsidR="0044068D" w:rsidRPr="00C168C5">
              <w:rPr>
                <w:rFonts w:eastAsia="Times New Roman"/>
                <w:lang w:val="es-ES_tradnl" w:eastAsia="en-US"/>
              </w:rPr>
              <w:t xml:space="preserve">ctividades en la </w:t>
            </w:r>
            <w:r w:rsidR="00A93CD5">
              <w:rPr>
                <w:rFonts w:eastAsia="Times New Roman"/>
                <w:lang w:val="es-ES_tradnl" w:eastAsia="en-US"/>
              </w:rPr>
              <w:t xml:space="preserve">ejecución </w:t>
            </w:r>
            <w:r w:rsidR="0044068D" w:rsidRPr="00C168C5">
              <w:rPr>
                <w:rFonts w:eastAsia="Times New Roman"/>
                <w:lang w:val="es-ES_tradnl" w:eastAsia="en-US"/>
              </w:rPr>
              <w:t xml:space="preserve">de la </w:t>
            </w:r>
            <w:r w:rsidRPr="00C168C5">
              <w:rPr>
                <w:rFonts w:eastAsia="Times New Roman"/>
                <w:lang w:val="es-ES_tradnl" w:eastAsia="en-US"/>
              </w:rPr>
              <w:t>fase</w:t>
            </w:r>
            <w:r w:rsidR="00C91693" w:rsidRPr="00C168C5">
              <w:rPr>
                <w:rFonts w:eastAsia="Times New Roman"/>
                <w:lang w:val="es-ES_tradnl" w:eastAsia="en-US"/>
              </w:rPr>
              <w:t xml:space="preserve"> II</w:t>
            </w:r>
            <w:r w:rsidRPr="00C168C5">
              <w:rPr>
                <w:rFonts w:eastAsia="Times New Roman"/>
                <w:lang w:val="es-ES_tradnl" w:eastAsia="en-US"/>
              </w:rPr>
              <w:t xml:space="preserve"> teniendo en cuenta las iniciativas que han emprendido todos los asociados del proyecto</w:t>
            </w:r>
            <w:r w:rsidR="00C91693" w:rsidRPr="00C168C5">
              <w:rPr>
                <w:rFonts w:eastAsia="Times New Roman"/>
                <w:lang w:val="es-ES_tradnl" w:eastAsia="en-US"/>
              </w:rPr>
              <w:t>.</w:t>
            </w:r>
          </w:p>
          <w:p w14:paraId="5AE9C1B7" w14:textId="77777777" w:rsidR="00C91693" w:rsidRPr="00C168C5" w:rsidRDefault="00C91693" w:rsidP="00243943">
            <w:pPr>
              <w:rPr>
                <w:rFonts w:eastAsia="Times New Roman"/>
                <w:lang w:val="es-ES_tradnl" w:eastAsia="en-US"/>
              </w:rPr>
            </w:pPr>
          </w:p>
          <w:p w14:paraId="54B96AD0" w14:textId="670C1C1C" w:rsidR="00C91693" w:rsidRPr="00C168C5" w:rsidRDefault="00104DAE" w:rsidP="00243943">
            <w:pPr>
              <w:rPr>
                <w:rFonts w:eastAsia="Times New Roman"/>
                <w:lang w:val="es-ES_tradnl" w:eastAsia="en-US"/>
              </w:rPr>
            </w:pPr>
            <w:r w:rsidRPr="00C168C5">
              <w:rPr>
                <w:rFonts w:eastAsia="Times New Roman"/>
                <w:lang w:val="es-ES_tradnl" w:eastAsia="en-US"/>
              </w:rPr>
              <w:t xml:space="preserve">La ejecución de la fase II del proyecto comenzó en julio de </w:t>
            </w:r>
            <w:r w:rsidR="00C91693" w:rsidRPr="00C168C5">
              <w:rPr>
                <w:rFonts w:eastAsia="Times New Roman"/>
                <w:lang w:val="es-ES_tradnl" w:eastAsia="en-US"/>
              </w:rPr>
              <w:t xml:space="preserve">2014 </w:t>
            </w:r>
            <w:r w:rsidR="00126F16" w:rsidRPr="00C168C5">
              <w:rPr>
                <w:rFonts w:eastAsia="Times New Roman"/>
                <w:lang w:val="es-ES_tradnl" w:eastAsia="en-US"/>
              </w:rPr>
              <w:t>con un proceso de consultas entre la Secretaría y una serie de Estados miembros PMA que habían expresado su interés en participar en el proyecto</w:t>
            </w:r>
            <w:r w:rsidR="00C91693" w:rsidRPr="00C168C5">
              <w:rPr>
                <w:rFonts w:eastAsia="Times New Roman"/>
                <w:lang w:val="es-ES_tradnl" w:eastAsia="en-US"/>
              </w:rPr>
              <w:t xml:space="preserve">.  </w:t>
            </w:r>
            <w:r w:rsidR="00126F16" w:rsidRPr="00C168C5">
              <w:rPr>
                <w:rFonts w:eastAsia="Times New Roman"/>
                <w:lang w:val="es-ES_tradnl" w:eastAsia="en-US"/>
              </w:rPr>
              <w:t xml:space="preserve">Esta primera </w:t>
            </w:r>
            <w:r w:rsidR="0044068D" w:rsidRPr="00C168C5">
              <w:rPr>
                <w:rFonts w:eastAsia="Times New Roman"/>
                <w:lang w:val="es-ES_tradnl" w:eastAsia="en-US"/>
              </w:rPr>
              <w:t>etapa</w:t>
            </w:r>
            <w:r w:rsidR="00126F16" w:rsidRPr="00C168C5">
              <w:rPr>
                <w:rFonts w:eastAsia="Times New Roman"/>
                <w:lang w:val="es-ES_tradnl" w:eastAsia="en-US"/>
              </w:rPr>
              <w:t xml:space="preserve"> de la ejecución ha conllevado </w:t>
            </w:r>
            <w:r w:rsidR="007A2E97" w:rsidRPr="00C168C5">
              <w:rPr>
                <w:rFonts w:eastAsia="Times New Roman"/>
                <w:lang w:val="es-ES_tradnl" w:eastAsia="en-US"/>
              </w:rPr>
              <w:t>la selección de los países participantes</w:t>
            </w:r>
            <w:r w:rsidR="00246C69" w:rsidRPr="00C168C5">
              <w:rPr>
                <w:rFonts w:eastAsia="Times New Roman"/>
                <w:lang w:val="es-ES_tradnl" w:eastAsia="en-US"/>
              </w:rPr>
              <w:t xml:space="preserve"> mediante criterios de s</w:t>
            </w:r>
            <w:r w:rsidR="00281AAF" w:rsidRPr="00C168C5">
              <w:rPr>
                <w:rFonts w:eastAsia="Times New Roman"/>
                <w:lang w:val="es-ES_tradnl" w:eastAsia="en-US"/>
              </w:rPr>
              <w:t>e</w:t>
            </w:r>
            <w:r w:rsidR="00246C69" w:rsidRPr="00C168C5">
              <w:rPr>
                <w:rFonts w:eastAsia="Times New Roman"/>
                <w:lang w:val="es-ES_tradnl" w:eastAsia="en-US"/>
              </w:rPr>
              <w:t>lecció</w:t>
            </w:r>
            <w:r w:rsidR="0044068D" w:rsidRPr="00C168C5">
              <w:rPr>
                <w:rFonts w:eastAsia="Times New Roman"/>
                <w:lang w:val="es-ES_tradnl" w:eastAsia="en-US"/>
              </w:rPr>
              <w:t xml:space="preserve">n claros y de amplio alcance y </w:t>
            </w:r>
            <w:r w:rsidR="00246C69" w:rsidRPr="00C168C5">
              <w:rPr>
                <w:rFonts w:eastAsia="Times New Roman"/>
                <w:lang w:val="es-ES_tradnl" w:eastAsia="en-US"/>
              </w:rPr>
              <w:t xml:space="preserve">pautas tales como </w:t>
            </w:r>
            <w:r w:rsidR="0044068D" w:rsidRPr="00C168C5">
              <w:rPr>
                <w:rFonts w:eastAsia="Times New Roman"/>
                <w:lang w:val="es-ES_tradnl" w:eastAsia="en-US"/>
              </w:rPr>
              <w:t xml:space="preserve">los </w:t>
            </w:r>
            <w:r w:rsidR="00246C69" w:rsidRPr="00C168C5">
              <w:rPr>
                <w:rFonts w:eastAsia="Times New Roman"/>
                <w:lang w:val="es-ES_tradnl" w:eastAsia="en-US"/>
              </w:rPr>
              <w:t xml:space="preserve">ámbitos de necesidades </w:t>
            </w:r>
            <w:r w:rsidR="00281AAF" w:rsidRPr="00C168C5">
              <w:rPr>
                <w:rFonts w:eastAsia="Times New Roman"/>
                <w:lang w:val="es-ES_tradnl" w:eastAsia="en-US"/>
              </w:rPr>
              <w:t xml:space="preserve">de desarrollo, </w:t>
            </w:r>
            <w:r w:rsidR="0044068D" w:rsidRPr="00C168C5">
              <w:rPr>
                <w:rFonts w:eastAsia="Times New Roman"/>
                <w:lang w:val="es-ES_tradnl" w:eastAsia="en-US"/>
              </w:rPr>
              <w:t xml:space="preserve">la </w:t>
            </w:r>
            <w:r w:rsidR="00281AAF" w:rsidRPr="00C168C5">
              <w:rPr>
                <w:rFonts w:eastAsia="Times New Roman"/>
                <w:lang w:val="es-ES_tradnl" w:eastAsia="en-US"/>
              </w:rPr>
              <w:t>pertinencia, la existencia de presupuesto y de expertos, etcétera, para que el proyecto lo impulse la demanda y sea sostenible</w:t>
            </w:r>
            <w:r w:rsidR="00C91693" w:rsidRPr="00C168C5">
              <w:rPr>
                <w:rFonts w:eastAsia="Times New Roman"/>
                <w:lang w:val="es-ES_tradnl" w:eastAsia="en-US"/>
              </w:rPr>
              <w:t xml:space="preserve">. </w:t>
            </w:r>
          </w:p>
          <w:p w14:paraId="68438587" w14:textId="77777777" w:rsidR="00C91693" w:rsidRPr="00C168C5" w:rsidRDefault="00C91693" w:rsidP="00243943">
            <w:pPr>
              <w:rPr>
                <w:rFonts w:eastAsia="Times New Roman"/>
                <w:lang w:val="es-ES_tradnl" w:eastAsia="en-US"/>
              </w:rPr>
            </w:pPr>
          </w:p>
          <w:p w14:paraId="01666F54" w14:textId="54C333A0" w:rsidR="00C91693" w:rsidRPr="00C168C5" w:rsidRDefault="00B84DCF" w:rsidP="00243943">
            <w:pPr>
              <w:rPr>
                <w:rFonts w:eastAsia="Times New Roman"/>
                <w:lang w:val="es-ES_tradnl" w:eastAsia="en-US"/>
              </w:rPr>
            </w:pPr>
            <w:r w:rsidRPr="00C168C5">
              <w:rPr>
                <w:rFonts w:eastAsia="Times New Roman"/>
                <w:lang w:val="es-ES_tradnl" w:eastAsia="en-US"/>
              </w:rPr>
              <w:t>La evaluación de las solicitudes escritas presentadas y las consultas sustantivas mantenidas con la</w:t>
            </w:r>
            <w:r w:rsidR="00BB67FF" w:rsidRPr="00C168C5">
              <w:rPr>
                <w:rFonts w:eastAsia="Times New Roman"/>
                <w:lang w:val="es-ES_tradnl" w:eastAsia="en-US"/>
              </w:rPr>
              <w:t>s autoridades nacionales condujeron</w:t>
            </w:r>
            <w:r w:rsidRPr="00C168C5">
              <w:rPr>
                <w:rFonts w:eastAsia="Times New Roman"/>
                <w:lang w:val="es-ES_tradnl" w:eastAsia="en-US"/>
              </w:rPr>
              <w:t xml:space="preserve"> a la selección de cuatro países beneficiarios para la fase II del proyecto </w:t>
            </w:r>
            <w:r w:rsidR="00C91693" w:rsidRPr="00C168C5">
              <w:rPr>
                <w:rFonts w:eastAsia="Times New Roman"/>
                <w:lang w:val="es-ES_tradnl" w:eastAsia="en-US"/>
              </w:rPr>
              <w:t xml:space="preserve">– </w:t>
            </w:r>
            <w:r w:rsidRPr="00C168C5">
              <w:rPr>
                <w:rFonts w:eastAsia="Times New Roman"/>
                <w:lang w:val="es-ES_tradnl" w:eastAsia="en-US"/>
              </w:rPr>
              <w:t xml:space="preserve">Etiopía, </w:t>
            </w:r>
            <w:r w:rsidR="00C91693" w:rsidRPr="00C168C5">
              <w:rPr>
                <w:rFonts w:eastAsia="Times New Roman"/>
                <w:lang w:val="es-ES_tradnl" w:eastAsia="en-US"/>
              </w:rPr>
              <w:t xml:space="preserve">Rwanda, Tanzania </w:t>
            </w:r>
            <w:r w:rsidRPr="00C168C5">
              <w:rPr>
                <w:rFonts w:eastAsia="Times New Roman"/>
                <w:lang w:val="es-ES_tradnl" w:eastAsia="en-US"/>
              </w:rPr>
              <w:t>y</w:t>
            </w:r>
            <w:r w:rsidR="00C91693" w:rsidRPr="00C168C5">
              <w:rPr>
                <w:rFonts w:eastAsia="Times New Roman"/>
                <w:lang w:val="es-ES_tradnl" w:eastAsia="en-US"/>
              </w:rPr>
              <w:t xml:space="preserve"> Uganda.</w:t>
            </w:r>
          </w:p>
          <w:p w14:paraId="51C9907A" w14:textId="77777777" w:rsidR="00C91693" w:rsidRPr="00C168C5" w:rsidRDefault="00C91693" w:rsidP="00243943">
            <w:pPr>
              <w:rPr>
                <w:rFonts w:eastAsia="Times New Roman"/>
                <w:lang w:val="es-ES_tradnl" w:eastAsia="en-US"/>
              </w:rPr>
            </w:pPr>
          </w:p>
          <w:p w14:paraId="3CB8838B" w14:textId="314C9FFF" w:rsidR="00C91693" w:rsidRPr="00C168C5" w:rsidRDefault="00BB67FF" w:rsidP="00243943">
            <w:pPr>
              <w:rPr>
                <w:rFonts w:eastAsia="Times New Roman"/>
                <w:lang w:val="es-ES_tradnl" w:eastAsia="en-US"/>
              </w:rPr>
            </w:pPr>
            <w:r w:rsidRPr="00C168C5">
              <w:rPr>
                <w:rFonts w:eastAsia="Times New Roman"/>
                <w:lang w:val="es-ES_tradnl" w:eastAsia="en-US"/>
              </w:rPr>
              <w:t>Con arreglo al</w:t>
            </w:r>
            <w:r w:rsidR="00B84DCF" w:rsidRPr="00C168C5">
              <w:rPr>
                <w:rFonts w:eastAsia="Times New Roman"/>
                <w:lang w:val="es-ES_tradnl" w:eastAsia="en-US"/>
              </w:rPr>
              <w:t xml:space="preserve"> documento del proyecto, </w:t>
            </w:r>
            <w:r w:rsidR="006877DB" w:rsidRPr="00C168C5">
              <w:rPr>
                <w:rFonts w:eastAsia="Times New Roman"/>
                <w:lang w:val="es-ES_tradnl" w:eastAsia="en-US"/>
              </w:rPr>
              <w:t xml:space="preserve">la siguiente </w:t>
            </w:r>
            <w:r w:rsidRPr="00C168C5">
              <w:rPr>
                <w:rFonts w:eastAsia="Times New Roman"/>
                <w:lang w:val="es-ES_tradnl" w:eastAsia="en-US"/>
              </w:rPr>
              <w:t xml:space="preserve">etapa de la ejecución consistía en </w:t>
            </w:r>
            <w:r w:rsidR="00721E4A" w:rsidRPr="00C168C5">
              <w:rPr>
                <w:rFonts w:eastAsia="Times New Roman"/>
                <w:lang w:val="es-ES_tradnl" w:eastAsia="en-US"/>
              </w:rPr>
              <w:t>la firma de un memorando de entendimiento entre los cuatro países beneficiarios y la OMPI</w:t>
            </w:r>
            <w:r w:rsidR="00C91693" w:rsidRPr="00C168C5">
              <w:rPr>
                <w:rFonts w:eastAsia="Times New Roman"/>
                <w:lang w:val="es-ES_tradnl" w:eastAsia="en-US"/>
              </w:rPr>
              <w:t xml:space="preserve">.  </w:t>
            </w:r>
            <w:r w:rsidR="00721E4A" w:rsidRPr="00C168C5">
              <w:rPr>
                <w:rFonts w:eastAsia="Times New Roman"/>
                <w:lang w:val="es-ES_tradnl" w:eastAsia="en-US"/>
              </w:rPr>
              <w:t>Esos memorandos definían el marco de cooperación destinado a la ejecuc</w:t>
            </w:r>
            <w:r w:rsidR="00DF241C" w:rsidRPr="00C168C5">
              <w:rPr>
                <w:rFonts w:eastAsia="Times New Roman"/>
                <w:lang w:val="es-ES_tradnl" w:eastAsia="en-US"/>
              </w:rPr>
              <w:t>ión cabal del proyecto del CDIP y</w:t>
            </w:r>
            <w:r w:rsidR="00721E4A" w:rsidRPr="00C168C5">
              <w:rPr>
                <w:rFonts w:eastAsia="Times New Roman"/>
                <w:lang w:val="es-ES_tradnl" w:eastAsia="en-US"/>
              </w:rPr>
              <w:t xml:space="preserve"> a una mejor coordinación</w:t>
            </w:r>
            <w:r w:rsidR="00DF241C" w:rsidRPr="00C168C5">
              <w:rPr>
                <w:rFonts w:eastAsia="Times New Roman"/>
                <w:lang w:val="es-ES_tradnl" w:eastAsia="en-US"/>
              </w:rPr>
              <w:t xml:space="preserve">, además de esclarecer las responsabilidades y </w:t>
            </w:r>
            <w:r w:rsidR="00080878" w:rsidRPr="00C168C5">
              <w:rPr>
                <w:rFonts w:eastAsia="Times New Roman"/>
                <w:lang w:val="es-ES_tradnl" w:eastAsia="en-US"/>
              </w:rPr>
              <w:t>obligaciones</w:t>
            </w:r>
            <w:r w:rsidR="00DF241C" w:rsidRPr="00C168C5">
              <w:rPr>
                <w:rFonts w:eastAsia="Times New Roman"/>
                <w:lang w:val="es-ES_tradnl" w:eastAsia="en-US"/>
              </w:rPr>
              <w:t xml:space="preserve"> tanto de los países beneficiarios como de la OMPI</w:t>
            </w:r>
            <w:r w:rsidR="00C91693" w:rsidRPr="00C168C5">
              <w:rPr>
                <w:rFonts w:eastAsia="Times New Roman"/>
                <w:lang w:val="es-ES_tradnl" w:eastAsia="en-US"/>
              </w:rPr>
              <w:t>.</w:t>
            </w:r>
          </w:p>
          <w:p w14:paraId="0D9B4E08" w14:textId="77777777" w:rsidR="00C91693" w:rsidRPr="00C168C5" w:rsidRDefault="00C91693" w:rsidP="00243943">
            <w:pPr>
              <w:rPr>
                <w:rFonts w:eastAsia="Times New Roman"/>
                <w:lang w:val="es-ES_tradnl" w:eastAsia="en-US"/>
              </w:rPr>
            </w:pPr>
          </w:p>
          <w:p w14:paraId="1A0D36EA" w14:textId="2DE54719" w:rsidR="00C91693" w:rsidRPr="00C168C5" w:rsidRDefault="00C91693" w:rsidP="00243943">
            <w:pPr>
              <w:rPr>
                <w:rFonts w:eastAsia="Times New Roman"/>
                <w:u w:val="single"/>
                <w:lang w:val="es-ES_tradnl" w:eastAsia="en-US"/>
              </w:rPr>
            </w:pPr>
            <w:r w:rsidRPr="00C168C5">
              <w:rPr>
                <w:rFonts w:eastAsia="Times New Roman"/>
                <w:u w:val="single"/>
                <w:lang w:val="es-ES_tradnl" w:eastAsia="en-US"/>
              </w:rPr>
              <w:t>Et</w:t>
            </w:r>
            <w:r w:rsidR="00CA47DB" w:rsidRPr="00C168C5">
              <w:rPr>
                <w:rFonts w:eastAsia="Times New Roman"/>
                <w:u w:val="single"/>
                <w:lang w:val="es-ES_tradnl" w:eastAsia="en-US"/>
              </w:rPr>
              <w:t xml:space="preserve">iopía </w:t>
            </w:r>
          </w:p>
          <w:p w14:paraId="1B9F1AB7" w14:textId="65B6FD97" w:rsidR="00C91693" w:rsidRPr="00C168C5" w:rsidRDefault="00CA47DB" w:rsidP="00243943">
            <w:pPr>
              <w:rPr>
                <w:rFonts w:eastAsia="Times New Roman"/>
                <w:lang w:val="es-ES_tradnl" w:eastAsia="en-US"/>
              </w:rPr>
            </w:pPr>
            <w:r w:rsidRPr="00C168C5">
              <w:rPr>
                <w:rFonts w:eastAsia="Times New Roman"/>
                <w:lang w:val="es-ES_tradnl" w:eastAsia="en-US"/>
              </w:rPr>
              <w:t xml:space="preserve">El proyecto arrancó en Etiopía con motivo </w:t>
            </w:r>
            <w:r w:rsidR="00AD5D37">
              <w:rPr>
                <w:rFonts w:eastAsia="Times New Roman"/>
                <w:lang w:val="es-ES_tradnl" w:eastAsia="en-US"/>
              </w:rPr>
              <w:t xml:space="preserve">de </w:t>
            </w:r>
            <w:r w:rsidRPr="00C168C5">
              <w:rPr>
                <w:rFonts w:eastAsia="Times New Roman"/>
                <w:lang w:val="es-ES_tradnl" w:eastAsia="en-US"/>
              </w:rPr>
              <w:t>una reunión de consulta nacional en</w:t>
            </w:r>
            <w:r w:rsidR="00C91693" w:rsidRPr="00C168C5">
              <w:rPr>
                <w:rFonts w:eastAsia="Times New Roman"/>
                <w:lang w:val="es-ES_tradnl" w:eastAsia="en-US"/>
              </w:rPr>
              <w:t xml:space="preserve"> Addis Ababa </w:t>
            </w:r>
            <w:r w:rsidRPr="00C168C5">
              <w:rPr>
                <w:rFonts w:eastAsia="Times New Roman"/>
                <w:lang w:val="es-ES_tradnl" w:eastAsia="en-US"/>
              </w:rPr>
              <w:t xml:space="preserve">organizada conjuntamente con la OMPI y la Oficina de la Propiedad Intelectual de Etiopía, en que se debatió y recomendó el proceso y </w:t>
            </w:r>
            <w:r w:rsidR="006877DB" w:rsidRPr="00C168C5">
              <w:rPr>
                <w:rFonts w:eastAsia="Times New Roman"/>
                <w:lang w:val="es-ES_tradnl" w:eastAsia="en-US"/>
              </w:rPr>
              <w:t xml:space="preserve">la </w:t>
            </w:r>
            <w:r w:rsidRPr="00C168C5">
              <w:rPr>
                <w:rFonts w:eastAsia="Times New Roman"/>
                <w:lang w:val="es-ES_tradnl" w:eastAsia="en-US"/>
              </w:rPr>
              <w:t xml:space="preserve">hoja de ruta que </w:t>
            </w:r>
            <w:r w:rsidR="00AD5D37">
              <w:rPr>
                <w:rFonts w:eastAsia="Times New Roman"/>
                <w:lang w:val="es-ES_tradnl" w:eastAsia="en-US"/>
              </w:rPr>
              <w:t xml:space="preserve">había que </w:t>
            </w:r>
            <w:r w:rsidRPr="00C168C5">
              <w:rPr>
                <w:rFonts w:eastAsia="Times New Roman"/>
                <w:lang w:val="es-ES_tradnl" w:eastAsia="en-US"/>
              </w:rPr>
              <w:t>seguir para ejecutar el proyecto en el país</w:t>
            </w:r>
            <w:r w:rsidR="00C91693" w:rsidRPr="00C168C5">
              <w:rPr>
                <w:rFonts w:eastAsia="Times New Roman"/>
                <w:lang w:val="es-ES_tradnl" w:eastAsia="en-US"/>
              </w:rPr>
              <w:t xml:space="preserve">.  </w:t>
            </w:r>
            <w:r w:rsidRPr="00C168C5">
              <w:rPr>
                <w:rFonts w:eastAsia="Times New Roman"/>
                <w:lang w:val="es-ES_tradnl" w:eastAsia="en-US"/>
              </w:rPr>
              <w:t xml:space="preserve">A dicha reunión asistieron encargados </w:t>
            </w:r>
            <w:r w:rsidRPr="00C168C5">
              <w:rPr>
                <w:rFonts w:eastAsia="Times New Roman"/>
                <w:lang w:val="es-ES_tradnl" w:eastAsia="en-US"/>
              </w:rPr>
              <w:lastRenderedPageBreak/>
              <w:t xml:space="preserve">de formular políticas, funcionarios </w:t>
            </w:r>
            <w:r w:rsidR="00080878" w:rsidRPr="00C168C5">
              <w:rPr>
                <w:rFonts w:eastAsia="Times New Roman"/>
                <w:lang w:val="es-ES_tradnl" w:eastAsia="en-US"/>
              </w:rPr>
              <w:t>gubernamentales y</w:t>
            </w:r>
            <w:r w:rsidRPr="00C168C5">
              <w:rPr>
                <w:rFonts w:eastAsia="Times New Roman"/>
                <w:lang w:val="es-ES_tradnl" w:eastAsia="en-US"/>
              </w:rPr>
              <w:t xml:space="preserve"> expertos nacionales e internacionales en esa tecnología.</w:t>
            </w:r>
            <w:r w:rsidR="00C91693" w:rsidRPr="00C168C5">
              <w:rPr>
                <w:rFonts w:eastAsia="Times New Roman"/>
                <w:lang w:val="es-ES_tradnl" w:eastAsia="en-US"/>
              </w:rPr>
              <w:t xml:space="preserve"> </w:t>
            </w:r>
          </w:p>
          <w:p w14:paraId="41D09EC5" w14:textId="77777777" w:rsidR="00C91693" w:rsidRPr="00C168C5" w:rsidRDefault="00C91693" w:rsidP="00243943">
            <w:pPr>
              <w:rPr>
                <w:rFonts w:eastAsia="Times New Roman"/>
                <w:lang w:val="es-ES_tradnl" w:eastAsia="en-US"/>
              </w:rPr>
            </w:pPr>
          </w:p>
          <w:p w14:paraId="7B67BF8F" w14:textId="3596C965" w:rsidR="00C91693" w:rsidRPr="00C168C5" w:rsidRDefault="006877DB" w:rsidP="00243943">
            <w:pPr>
              <w:rPr>
                <w:rFonts w:eastAsia="Times New Roman"/>
                <w:lang w:val="es-ES_tradnl" w:eastAsia="en-US"/>
              </w:rPr>
            </w:pPr>
            <w:r w:rsidRPr="00C168C5">
              <w:rPr>
                <w:rFonts w:eastAsia="Times New Roman"/>
                <w:lang w:val="es-ES_tradnl" w:eastAsia="en-US"/>
              </w:rPr>
              <w:t xml:space="preserve">En Etiopía, el producto clave en que culminó </w:t>
            </w:r>
            <w:r w:rsidR="005F0484" w:rsidRPr="00C168C5">
              <w:rPr>
                <w:rFonts w:eastAsia="Times New Roman"/>
                <w:lang w:val="es-ES_tradnl" w:eastAsia="en-US"/>
              </w:rPr>
              <w:t>el</w:t>
            </w:r>
            <w:r w:rsidR="00AE073C" w:rsidRPr="00C168C5">
              <w:rPr>
                <w:rFonts w:eastAsia="Times New Roman"/>
                <w:lang w:val="es-ES_tradnl" w:eastAsia="en-US"/>
              </w:rPr>
              <w:t xml:space="preserve"> proceso de consultas nacionales </w:t>
            </w:r>
            <w:r w:rsidRPr="00C168C5">
              <w:rPr>
                <w:rFonts w:eastAsia="Times New Roman"/>
                <w:lang w:val="es-ES_tradnl" w:eastAsia="en-US"/>
              </w:rPr>
              <w:t xml:space="preserve">es </w:t>
            </w:r>
            <w:r w:rsidR="005F0484" w:rsidRPr="00C168C5">
              <w:rPr>
                <w:rFonts w:eastAsia="Times New Roman"/>
                <w:lang w:val="es-ES_tradnl" w:eastAsia="en-US"/>
              </w:rPr>
              <w:t>la creación del grupo de expertos nacionales para coordinar la ejecución del proyecto.</w:t>
            </w:r>
          </w:p>
          <w:p w14:paraId="562CC28A" w14:textId="77777777" w:rsidR="00C91693" w:rsidRPr="00C168C5" w:rsidRDefault="00C91693" w:rsidP="00243943">
            <w:pPr>
              <w:rPr>
                <w:rFonts w:eastAsia="Times New Roman"/>
                <w:lang w:val="es-ES_tradnl" w:eastAsia="en-US"/>
              </w:rPr>
            </w:pPr>
          </w:p>
          <w:p w14:paraId="0E301010" w14:textId="766E87BE" w:rsidR="00C91693" w:rsidRPr="00C168C5" w:rsidRDefault="00BC40B0" w:rsidP="00243943">
            <w:pPr>
              <w:rPr>
                <w:rFonts w:eastAsia="Times New Roman"/>
                <w:lang w:val="es-ES_tradnl" w:eastAsia="en-US"/>
              </w:rPr>
            </w:pPr>
            <w:r w:rsidRPr="00C168C5">
              <w:rPr>
                <w:rFonts w:eastAsia="Times New Roman"/>
                <w:lang w:val="es-ES_tradnl" w:eastAsia="en-US"/>
              </w:rPr>
              <w:t>Además, se han designado consultores internacionales</w:t>
            </w:r>
            <w:r w:rsidR="006877DB" w:rsidRPr="00C168C5">
              <w:rPr>
                <w:rFonts w:eastAsia="Times New Roman"/>
                <w:lang w:val="es-ES_tradnl" w:eastAsia="en-US"/>
              </w:rPr>
              <w:t xml:space="preserve"> y nacionales y la Secretaría le</w:t>
            </w:r>
            <w:r w:rsidRPr="00C168C5">
              <w:rPr>
                <w:rFonts w:eastAsia="Times New Roman"/>
                <w:lang w:val="es-ES_tradnl" w:eastAsia="en-US"/>
              </w:rPr>
              <w:t>s está tramitando su contratación para ejecutar el proyecto</w:t>
            </w:r>
            <w:r w:rsidR="00C91693" w:rsidRPr="00C168C5">
              <w:rPr>
                <w:rFonts w:eastAsia="Times New Roman"/>
                <w:lang w:val="es-ES_tradnl" w:eastAsia="en-US"/>
              </w:rPr>
              <w:t xml:space="preserve">. </w:t>
            </w:r>
          </w:p>
          <w:p w14:paraId="64E4E6D0" w14:textId="77777777" w:rsidR="00C91693" w:rsidRPr="00C168C5" w:rsidRDefault="00C91693" w:rsidP="00243943">
            <w:pPr>
              <w:rPr>
                <w:rFonts w:eastAsia="Times New Roman"/>
                <w:lang w:val="es-ES_tradnl" w:eastAsia="en-US"/>
              </w:rPr>
            </w:pPr>
          </w:p>
          <w:p w14:paraId="3C77B1D3" w14:textId="61B63FF9" w:rsidR="00C91693" w:rsidRPr="00C168C5" w:rsidRDefault="00BC40B0" w:rsidP="00243943">
            <w:pPr>
              <w:rPr>
                <w:rFonts w:eastAsia="Times New Roman"/>
                <w:lang w:val="es-ES_tradnl" w:eastAsia="en-US"/>
              </w:rPr>
            </w:pPr>
            <w:r w:rsidRPr="00C168C5">
              <w:rPr>
                <w:rFonts w:eastAsia="Times New Roman"/>
                <w:lang w:val="es-ES_tradnl" w:eastAsia="en-US"/>
              </w:rPr>
              <w:t>El consultor nacional también es miembro del grupo de expertos nacionales y aporta una contribución considerable al plan de trabajo de dicho grupo garantizando a la vez la colaboración con el experto internacional</w:t>
            </w:r>
            <w:r w:rsidR="00C91693" w:rsidRPr="00C168C5">
              <w:rPr>
                <w:rFonts w:eastAsia="Times New Roman"/>
                <w:lang w:val="es-ES_tradnl" w:eastAsia="en-US"/>
              </w:rPr>
              <w:t xml:space="preserve">.  </w:t>
            </w:r>
            <w:r w:rsidR="00E039DF" w:rsidRPr="00C168C5">
              <w:rPr>
                <w:rFonts w:eastAsia="Times New Roman"/>
                <w:lang w:val="es-ES_tradnl" w:eastAsia="en-US"/>
              </w:rPr>
              <w:t xml:space="preserve">Éste </w:t>
            </w:r>
            <w:r w:rsidRPr="00C168C5">
              <w:rPr>
                <w:rFonts w:eastAsia="Times New Roman"/>
                <w:lang w:val="es-ES_tradnl" w:eastAsia="en-US"/>
              </w:rPr>
              <w:t xml:space="preserve">aporta los conocimientos técnicos y fomenta la capacidad para </w:t>
            </w:r>
            <w:r w:rsidR="00E039DF" w:rsidRPr="00C168C5">
              <w:rPr>
                <w:rFonts w:eastAsia="Times New Roman"/>
                <w:lang w:val="es-ES_tradnl" w:eastAsia="en-US"/>
              </w:rPr>
              <w:t>obtener la información técnica y científica apropiada y también suministra al grupo nacional la pericia necesaria en ámbitos</w:t>
            </w:r>
            <w:r w:rsidR="00C91693" w:rsidRPr="00C168C5">
              <w:rPr>
                <w:rFonts w:eastAsia="Times New Roman"/>
                <w:lang w:val="es-ES_tradnl" w:eastAsia="en-US"/>
              </w:rPr>
              <w:t xml:space="preserve"> </w:t>
            </w:r>
            <w:r w:rsidR="003B3E3B" w:rsidRPr="00C168C5">
              <w:rPr>
                <w:rFonts w:eastAsia="Times New Roman"/>
                <w:lang w:val="es-ES_tradnl" w:eastAsia="en-US"/>
              </w:rPr>
              <w:t>técnicos de búsqueda</w:t>
            </w:r>
            <w:r w:rsidR="00C91693" w:rsidRPr="00C168C5">
              <w:rPr>
                <w:rFonts w:eastAsia="Times New Roman"/>
                <w:lang w:val="es-ES_tradnl" w:eastAsia="en-US"/>
              </w:rPr>
              <w:t>.</w:t>
            </w:r>
          </w:p>
          <w:p w14:paraId="56EDB395" w14:textId="77777777" w:rsidR="00C91693" w:rsidRPr="00C168C5" w:rsidRDefault="00C91693" w:rsidP="00243943">
            <w:pPr>
              <w:rPr>
                <w:rFonts w:eastAsia="Times New Roman"/>
                <w:u w:val="single"/>
                <w:lang w:val="es-ES_tradnl" w:eastAsia="en-US"/>
              </w:rPr>
            </w:pPr>
          </w:p>
          <w:p w14:paraId="780F435A" w14:textId="77777777" w:rsidR="00C91693" w:rsidRPr="00C168C5" w:rsidRDefault="00C91693" w:rsidP="00243943">
            <w:pPr>
              <w:rPr>
                <w:rFonts w:eastAsia="Times New Roman"/>
                <w:u w:val="single"/>
                <w:lang w:val="es-ES_tradnl" w:eastAsia="en-US"/>
              </w:rPr>
            </w:pPr>
            <w:r w:rsidRPr="00C168C5">
              <w:rPr>
                <w:rFonts w:eastAsia="Times New Roman"/>
                <w:u w:val="single"/>
                <w:lang w:val="es-ES_tradnl" w:eastAsia="en-US"/>
              </w:rPr>
              <w:t xml:space="preserve">Rwanda </w:t>
            </w:r>
          </w:p>
          <w:p w14:paraId="7C97C6EF" w14:textId="08571AD3" w:rsidR="00C91693" w:rsidRPr="00C168C5" w:rsidRDefault="003B3E3B" w:rsidP="00243943">
            <w:pPr>
              <w:rPr>
                <w:rFonts w:eastAsia="Times New Roman"/>
                <w:lang w:val="es-ES_tradnl" w:eastAsia="en-US"/>
              </w:rPr>
            </w:pPr>
            <w:r w:rsidRPr="00C168C5">
              <w:rPr>
                <w:rFonts w:eastAsia="Times New Roman"/>
                <w:lang w:val="es-ES_tradnl" w:eastAsia="en-US"/>
              </w:rPr>
              <w:t xml:space="preserve">El proyecto </w:t>
            </w:r>
            <w:r w:rsidR="000E3712" w:rsidRPr="00C168C5">
              <w:rPr>
                <w:rFonts w:eastAsia="Times New Roman"/>
                <w:lang w:val="es-ES_tradnl" w:eastAsia="en-US"/>
              </w:rPr>
              <w:t xml:space="preserve">arrancará en </w:t>
            </w:r>
            <w:r w:rsidR="00C91693" w:rsidRPr="00C168C5">
              <w:rPr>
                <w:rFonts w:eastAsia="Times New Roman"/>
                <w:lang w:val="es-ES_tradnl" w:eastAsia="en-US"/>
              </w:rPr>
              <w:t xml:space="preserve">Rwanda </w:t>
            </w:r>
            <w:r w:rsidR="000E3712" w:rsidRPr="00C168C5">
              <w:rPr>
                <w:rFonts w:eastAsia="Times New Roman"/>
                <w:lang w:val="es-ES_tradnl" w:eastAsia="en-US"/>
              </w:rPr>
              <w:t xml:space="preserve">en septiembre, en una reunión de consulta nacional en </w:t>
            </w:r>
            <w:r w:rsidR="00C91693" w:rsidRPr="00C168C5">
              <w:rPr>
                <w:rFonts w:eastAsia="Times New Roman"/>
                <w:lang w:val="es-ES_tradnl" w:eastAsia="en-US"/>
              </w:rPr>
              <w:t xml:space="preserve">Kigali </w:t>
            </w:r>
            <w:r w:rsidR="000E3712" w:rsidRPr="00C168C5">
              <w:rPr>
                <w:rFonts w:eastAsia="Times New Roman"/>
                <w:lang w:val="es-ES_tradnl" w:eastAsia="en-US"/>
              </w:rPr>
              <w:t>que proporcionará una hoja de ruta para ejecutar el proyecto y crear el grupo de expertos nacionales</w:t>
            </w:r>
            <w:r w:rsidR="00C91693" w:rsidRPr="00C168C5">
              <w:rPr>
                <w:rFonts w:eastAsia="Times New Roman"/>
                <w:lang w:val="es-ES_tradnl" w:eastAsia="en-US"/>
              </w:rPr>
              <w:t xml:space="preserve">.  </w:t>
            </w:r>
            <w:r w:rsidR="00080878" w:rsidRPr="00C168C5">
              <w:rPr>
                <w:rFonts w:eastAsia="Times New Roman"/>
                <w:lang w:val="es-ES_tradnl" w:eastAsia="en-US"/>
              </w:rPr>
              <w:t>Actualmente</w:t>
            </w:r>
            <w:r w:rsidR="000E3712" w:rsidRPr="00C168C5">
              <w:rPr>
                <w:rFonts w:eastAsia="Times New Roman"/>
                <w:lang w:val="es-ES_tradnl" w:eastAsia="en-US"/>
              </w:rPr>
              <w:t xml:space="preserve"> se están designando los consultores nacionales e internacionales</w:t>
            </w:r>
            <w:r w:rsidR="00C91693" w:rsidRPr="00C168C5">
              <w:rPr>
                <w:rFonts w:eastAsia="Times New Roman"/>
                <w:lang w:val="es-ES_tradnl" w:eastAsia="en-US"/>
              </w:rPr>
              <w:t xml:space="preserve">. </w:t>
            </w:r>
          </w:p>
          <w:p w14:paraId="65B7A6BF" w14:textId="77777777" w:rsidR="00C91693" w:rsidRPr="00C168C5" w:rsidRDefault="00C91693" w:rsidP="00243943">
            <w:pPr>
              <w:rPr>
                <w:rFonts w:eastAsia="Times New Roman"/>
                <w:highlight w:val="yellow"/>
                <w:lang w:val="es-ES_tradnl" w:eastAsia="en-US"/>
              </w:rPr>
            </w:pPr>
          </w:p>
          <w:p w14:paraId="5184EB31" w14:textId="77777777" w:rsidR="00C91693" w:rsidRPr="00C168C5" w:rsidRDefault="00C91693" w:rsidP="00243943">
            <w:pPr>
              <w:rPr>
                <w:rFonts w:eastAsia="Times New Roman"/>
                <w:u w:val="single"/>
                <w:lang w:val="es-ES_tradnl" w:eastAsia="en-US"/>
              </w:rPr>
            </w:pPr>
            <w:r w:rsidRPr="00C168C5">
              <w:rPr>
                <w:rFonts w:eastAsia="Times New Roman"/>
                <w:u w:val="single"/>
                <w:lang w:val="es-ES_tradnl" w:eastAsia="en-US"/>
              </w:rPr>
              <w:t xml:space="preserve">Tanzania </w:t>
            </w:r>
          </w:p>
          <w:p w14:paraId="687756EE" w14:textId="454D9547" w:rsidR="00C91693" w:rsidRPr="00C168C5" w:rsidRDefault="000E3712" w:rsidP="00243943">
            <w:pPr>
              <w:rPr>
                <w:rFonts w:eastAsia="Times New Roman"/>
                <w:lang w:val="es-ES_tradnl" w:eastAsia="en-US"/>
              </w:rPr>
            </w:pPr>
            <w:r w:rsidRPr="00C168C5">
              <w:rPr>
                <w:rFonts w:eastAsia="Times New Roman"/>
                <w:lang w:val="es-ES_tradnl" w:eastAsia="en-US"/>
              </w:rPr>
              <w:t xml:space="preserve">El proyecto arrancó en una reunión de consulta nacional en </w:t>
            </w:r>
            <w:r w:rsidR="00C91693" w:rsidRPr="00C168C5">
              <w:rPr>
                <w:rFonts w:eastAsia="Times New Roman"/>
                <w:lang w:val="es-ES_tradnl" w:eastAsia="en-US"/>
              </w:rPr>
              <w:t xml:space="preserve">Dar es Salaam </w:t>
            </w:r>
            <w:r w:rsidRPr="00C168C5">
              <w:rPr>
                <w:rFonts w:eastAsia="Times New Roman"/>
                <w:lang w:val="es-ES_tradnl" w:eastAsia="en-US"/>
              </w:rPr>
              <w:t>el 24 de agosto de 2015, y</w:t>
            </w:r>
            <w:r w:rsidR="008C3B99" w:rsidRPr="00C168C5">
              <w:rPr>
                <w:rFonts w:eastAsia="Times New Roman"/>
                <w:lang w:val="es-ES_tradnl" w:eastAsia="en-US"/>
              </w:rPr>
              <w:t xml:space="preserve"> en la actualidad se están celebrando consultas para crear el grupo nacional de expertos</w:t>
            </w:r>
            <w:r w:rsidR="00C96F22" w:rsidRPr="00C168C5">
              <w:rPr>
                <w:rFonts w:eastAsia="Times New Roman"/>
                <w:lang w:val="es-ES_tradnl" w:eastAsia="en-US"/>
              </w:rPr>
              <w:t>.  T</w:t>
            </w:r>
            <w:r w:rsidR="008C3B99" w:rsidRPr="00C168C5">
              <w:rPr>
                <w:rFonts w:eastAsia="Times New Roman"/>
                <w:lang w:val="es-ES_tradnl" w:eastAsia="en-US"/>
              </w:rPr>
              <w:t>ambién se está tramitando la designación de los expertos nacionales e internacionales</w:t>
            </w:r>
            <w:r w:rsidR="00C91693" w:rsidRPr="00C168C5">
              <w:rPr>
                <w:rFonts w:eastAsia="Times New Roman"/>
                <w:lang w:val="es-ES_tradnl" w:eastAsia="en-US"/>
              </w:rPr>
              <w:t>.</w:t>
            </w:r>
          </w:p>
          <w:p w14:paraId="454ED123" w14:textId="77777777" w:rsidR="00C91693" w:rsidRPr="00C168C5" w:rsidRDefault="00C91693" w:rsidP="00243943">
            <w:pPr>
              <w:rPr>
                <w:rFonts w:eastAsia="Times New Roman"/>
                <w:highlight w:val="yellow"/>
                <w:lang w:val="es-ES_tradnl" w:eastAsia="en-US"/>
              </w:rPr>
            </w:pPr>
          </w:p>
          <w:p w14:paraId="7BB9FC09" w14:textId="77777777" w:rsidR="00C91693" w:rsidRPr="00C168C5" w:rsidRDefault="00C91693" w:rsidP="00243943">
            <w:pPr>
              <w:rPr>
                <w:rFonts w:eastAsia="Times New Roman"/>
                <w:u w:val="single"/>
                <w:lang w:val="es-ES_tradnl" w:eastAsia="en-US"/>
              </w:rPr>
            </w:pPr>
            <w:r w:rsidRPr="00C168C5">
              <w:rPr>
                <w:rFonts w:eastAsia="Times New Roman"/>
                <w:u w:val="single"/>
                <w:lang w:val="es-ES_tradnl" w:eastAsia="en-US"/>
              </w:rPr>
              <w:t xml:space="preserve">Uganda </w:t>
            </w:r>
          </w:p>
          <w:p w14:paraId="2906DAAF" w14:textId="20777CFA" w:rsidR="00C91693" w:rsidRPr="00C168C5" w:rsidRDefault="007070A1" w:rsidP="00243943">
            <w:pPr>
              <w:rPr>
                <w:rFonts w:eastAsia="Times New Roman"/>
                <w:lang w:val="es-ES_tradnl" w:eastAsia="en-US"/>
              </w:rPr>
            </w:pPr>
            <w:r w:rsidRPr="00C168C5">
              <w:rPr>
                <w:rFonts w:eastAsia="Times New Roman"/>
                <w:lang w:val="es-ES_tradnl" w:eastAsia="en-US"/>
              </w:rPr>
              <w:t>El proyecto arrancó</w:t>
            </w:r>
            <w:r w:rsidR="007622C4" w:rsidRPr="00C168C5">
              <w:rPr>
                <w:rFonts w:eastAsia="Times New Roman"/>
                <w:lang w:val="es-ES_tradnl" w:eastAsia="en-US"/>
              </w:rPr>
              <w:t xml:space="preserve"> en Kampala, Uganda, el 11 de agosto de 2015</w:t>
            </w:r>
            <w:r w:rsidRPr="00C168C5">
              <w:rPr>
                <w:rFonts w:eastAsia="Times New Roman"/>
                <w:lang w:val="es-ES_tradnl" w:eastAsia="en-US"/>
              </w:rPr>
              <w:t xml:space="preserve"> con una reunión nacional sobre la ejecución del proyecto de la OMPI sobre la Agenda para el Desarrollo</w:t>
            </w:r>
            <w:r w:rsidR="00C91693" w:rsidRPr="00C168C5">
              <w:rPr>
                <w:rFonts w:eastAsia="Times New Roman"/>
                <w:lang w:val="es-ES_tradnl" w:eastAsia="en-US"/>
              </w:rPr>
              <w:t xml:space="preserve">:  </w:t>
            </w:r>
            <w:r w:rsidRPr="00C168C5">
              <w:rPr>
                <w:rFonts w:eastAsia="Times New Roman"/>
                <w:lang w:val="es-ES_tradnl" w:eastAsia="en-US"/>
              </w:rPr>
              <w:t>el fortalecimiento de capacidades en el uso de la información técnica y científica relativa a tecnologías apropiadas para solucionar determinados problemas de desarrollo</w:t>
            </w:r>
            <w:r w:rsidR="00C91693" w:rsidRPr="00C168C5">
              <w:rPr>
                <w:rFonts w:eastAsia="Times New Roman"/>
                <w:lang w:val="es-ES_tradnl" w:eastAsia="en-US"/>
              </w:rPr>
              <w:t xml:space="preserve">.  </w:t>
            </w:r>
            <w:r w:rsidR="007622C4" w:rsidRPr="00C168C5">
              <w:rPr>
                <w:rFonts w:eastAsia="Times New Roman"/>
                <w:lang w:val="es-ES_tradnl" w:eastAsia="en-US"/>
              </w:rPr>
              <w:t>En la actualidad se están celebrando consultas para nombrar los consultores nacionales e internacionales.</w:t>
            </w:r>
          </w:p>
          <w:p w14:paraId="07003755" w14:textId="77777777" w:rsidR="00C91693" w:rsidRPr="00C168C5" w:rsidRDefault="00C91693" w:rsidP="00243943">
            <w:pPr>
              <w:rPr>
                <w:rFonts w:eastAsia="Times New Roman"/>
                <w:lang w:val="es-ES_tradnl" w:eastAsia="en-US"/>
              </w:rPr>
            </w:pPr>
          </w:p>
        </w:tc>
      </w:tr>
      <w:tr w:rsidR="00C91693" w:rsidRPr="00C168C5" w14:paraId="0025019A" w14:textId="77777777" w:rsidTr="00243943">
        <w:trPr>
          <w:trHeight w:val="1212"/>
        </w:trPr>
        <w:tc>
          <w:tcPr>
            <w:tcW w:w="2088" w:type="dxa"/>
            <w:shd w:val="clear" w:color="auto" w:fill="auto"/>
          </w:tcPr>
          <w:p w14:paraId="68AA8BA7" w14:textId="77777777" w:rsidR="00C91693" w:rsidRPr="00C168C5" w:rsidRDefault="00C91693" w:rsidP="00243943">
            <w:pPr>
              <w:rPr>
                <w:rFonts w:eastAsia="Times New Roman"/>
                <w:bCs/>
                <w:u w:val="single"/>
                <w:lang w:val="es-ES_tradnl" w:eastAsia="en-US"/>
              </w:rPr>
            </w:pPr>
          </w:p>
          <w:p w14:paraId="71BC808C" w14:textId="4CA75D09" w:rsidR="00C91693" w:rsidRPr="00C168C5" w:rsidRDefault="00AC5B2B" w:rsidP="00243943">
            <w:pPr>
              <w:rPr>
                <w:rFonts w:eastAsia="Times New Roman"/>
                <w:bCs/>
                <w:u w:val="single"/>
                <w:lang w:val="es-ES_tradnl" w:eastAsia="en-US"/>
              </w:rPr>
            </w:pPr>
            <w:r w:rsidRPr="00C168C5">
              <w:rPr>
                <w:lang w:val="es-ES_tradnl"/>
              </w:rPr>
              <w:t>Ejemplos de logros y efectos y enseñanzas extraídas</w:t>
            </w:r>
          </w:p>
        </w:tc>
        <w:tc>
          <w:tcPr>
            <w:tcW w:w="7200" w:type="dxa"/>
            <w:vAlign w:val="center"/>
          </w:tcPr>
          <w:p w14:paraId="679C76DD" w14:textId="77777777" w:rsidR="00C91693" w:rsidRPr="00C168C5" w:rsidRDefault="00C91693" w:rsidP="00243943">
            <w:pPr>
              <w:rPr>
                <w:rFonts w:eastAsia="Times New Roman"/>
                <w:iCs/>
                <w:lang w:val="es-ES_tradnl" w:eastAsia="en-US"/>
              </w:rPr>
            </w:pPr>
          </w:p>
          <w:p w14:paraId="7888EDCC" w14:textId="40172B75" w:rsidR="00C91693" w:rsidRPr="00C168C5" w:rsidRDefault="00444EAF" w:rsidP="00243943">
            <w:pPr>
              <w:rPr>
                <w:rFonts w:eastAsia="Times New Roman"/>
                <w:iCs/>
                <w:lang w:val="es-ES_tradnl" w:eastAsia="en-US"/>
              </w:rPr>
            </w:pPr>
            <w:r w:rsidRPr="00C168C5">
              <w:rPr>
                <w:rFonts w:eastAsia="Times New Roman"/>
                <w:iCs/>
                <w:lang w:val="es-ES_tradnl" w:eastAsia="en-US"/>
              </w:rPr>
              <w:t>El proyecto requiere el interés y la colaboración de todas las partes interesadas nacionales de los países beneficiarios y la gestión y seguimiento del proyecto a través de diferentes etapas de ejecución</w:t>
            </w:r>
            <w:r w:rsidR="00484319" w:rsidRPr="00C168C5">
              <w:rPr>
                <w:rFonts w:eastAsia="Times New Roman"/>
                <w:iCs/>
                <w:lang w:val="es-ES_tradnl" w:eastAsia="en-US"/>
              </w:rPr>
              <w:t xml:space="preserve"> y con aportes concretos</w:t>
            </w:r>
            <w:r w:rsidR="00C91693" w:rsidRPr="00C168C5">
              <w:rPr>
                <w:rFonts w:eastAsia="Times New Roman"/>
                <w:iCs/>
                <w:lang w:val="es-ES_tradnl" w:eastAsia="en-US"/>
              </w:rPr>
              <w:t xml:space="preserve">.  </w:t>
            </w:r>
            <w:r w:rsidR="00484319" w:rsidRPr="00C168C5">
              <w:rPr>
                <w:rFonts w:eastAsia="Times New Roman"/>
                <w:iCs/>
                <w:lang w:val="es-ES_tradnl" w:eastAsia="en-US"/>
              </w:rPr>
              <w:t>Los acu</w:t>
            </w:r>
            <w:r w:rsidR="00C96F22" w:rsidRPr="00C168C5">
              <w:rPr>
                <w:rFonts w:eastAsia="Times New Roman"/>
                <w:iCs/>
                <w:lang w:val="es-ES_tradnl" w:eastAsia="en-US"/>
              </w:rPr>
              <w:t xml:space="preserve">erdos de asociación firmados o </w:t>
            </w:r>
            <w:r w:rsidR="00C168C5">
              <w:rPr>
                <w:rFonts w:eastAsia="Times New Roman"/>
                <w:iCs/>
                <w:lang w:val="es-ES_tradnl" w:eastAsia="en-US"/>
              </w:rPr>
              <w:t>memora</w:t>
            </w:r>
            <w:r w:rsidR="00D263EB" w:rsidRPr="00C168C5">
              <w:rPr>
                <w:rFonts w:eastAsia="Times New Roman"/>
                <w:iCs/>
                <w:lang w:val="es-ES_tradnl" w:eastAsia="en-US"/>
              </w:rPr>
              <w:t>ndos</w:t>
            </w:r>
            <w:r w:rsidR="00484319" w:rsidRPr="00C168C5">
              <w:rPr>
                <w:rFonts w:eastAsia="Times New Roman"/>
                <w:iCs/>
                <w:lang w:val="es-ES_tradnl" w:eastAsia="en-US"/>
              </w:rPr>
              <w:t xml:space="preserve"> de entendimiento está</w:t>
            </w:r>
            <w:r w:rsidR="00C96F22" w:rsidRPr="00C168C5">
              <w:rPr>
                <w:rFonts w:eastAsia="Times New Roman"/>
                <w:iCs/>
                <w:lang w:val="es-ES_tradnl" w:eastAsia="en-US"/>
              </w:rPr>
              <w:t>n</w:t>
            </w:r>
            <w:r w:rsidR="00484319" w:rsidRPr="00C168C5">
              <w:rPr>
                <w:rFonts w:eastAsia="Times New Roman"/>
                <w:iCs/>
                <w:lang w:val="es-ES_tradnl" w:eastAsia="en-US"/>
              </w:rPr>
              <w:t xml:space="preserve"> concebidos para proporcionar una orientación clara sobre el papel que debe desempeñar </w:t>
            </w:r>
            <w:r w:rsidR="00080878" w:rsidRPr="00C168C5">
              <w:rPr>
                <w:rFonts w:eastAsia="Times New Roman"/>
                <w:iCs/>
                <w:lang w:val="es-ES_tradnl" w:eastAsia="en-US"/>
              </w:rPr>
              <w:t>cada</w:t>
            </w:r>
            <w:r w:rsidR="00484319" w:rsidRPr="00C168C5">
              <w:rPr>
                <w:rFonts w:eastAsia="Times New Roman"/>
                <w:iCs/>
                <w:lang w:val="es-ES_tradnl" w:eastAsia="en-US"/>
              </w:rPr>
              <w:t xml:space="preserve"> parte, junto con un calendario de ejecución específico</w:t>
            </w:r>
            <w:r w:rsidR="00C91693" w:rsidRPr="00C168C5">
              <w:rPr>
                <w:rFonts w:eastAsia="Times New Roman"/>
                <w:iCs/>
                <w:lang w:val="es-ES_tradnl" w:eastAsia="en-US"/>
              </w:rPr>
              <w:t>.</w:t>
            </w:r>
          </w:p>
          <w:p w14:paraId="3817B26E" w14:textId="77777777" w:rsidR="00C91693" w:rsidRPr="00C168C5" w:rsidRDefault="00C91693" w:rsidP="00243943">
            <w:pPr>
              <w:rPr>
                <w:rFonts w:eastAsia="Times New Roman"/>
                <w:iCs/>
                <w:lang w:val="es-ES_tradnl" w:eastAsia="en-US"/>
              </w:rPr>
            </w:pPr>
          </w:p>
        </w:tc>
      </w:tr>
      <w:tr w:rsidR="00C91693" w:rsidRPr="00C168C5" w14:paraId="171DA5BD" w14:textId="77777777" w:rsidTr="00243943">
        <w:trPr>
          <w:trHeight w:val="713"/>
        </w:trPr>
        <w:tc>
          <w:tcPr>
            <w:tcW w:w="2088" w:type="dxa"/>
            <w:tcBorders>
              <w:bottom w:val="single" w:sz="4" w:space="0" w:color="auto"/>
            </w:tcBorders>
            <w:shd w:val="clear" w:color="auto" w:fill="auto"/>
          </w:tcPr>
          <w:p w14:paraId="775057C1" w14:textId="77777777" w:rsidR="00484319" w:rsidRPr="00C168C5" w:rsidRDefault="00484319" w:rsidP="00484319">
            <w:pPr>
              <w:keepNext/>
              <w:spacing w:before="240" w:after="60"/>
              <w:outlineLvl w:val="2"/>
              <w:rPr>
                <w:bCs/>
                <w:szCs w:val="22"/>
                <w:u w:val="single"/>
                <w:lang w:val="es-ES_tradnl" w:eastAsia="en-US"/>
              </w:rPr>
            </w:pPr>
            <w:r w:rsidRPr="00C168C5">
              <w:rPr>
                <w:bCs/>
                <w:szCs w:val="22"/>
                <w:u w:val="single"/>
                <w:lang w:val="es-ES_tradnl" w:eastAsia="en-US"/>
              </w:rPr>
              <w:lastRenderedPageBreak/>
              <w:t>Riesgos y medidas paliativas</w:t>
            </w:r>
          </w:p>
          <w:p w14:paraId="7548AB35" w14:textId="34B3F87B" w:rsidR="00C91693" w:rsidRPr="00C168C5" w:rsidRDefault="00C91693" w:rsidP="00484319">
            <w:pPr>
              <w:rPr>
                <w:rFonts w:eastAsia="Times New Roman"/>
                <w:bCs/>
                <w:u w:val="single"/>
                <w:lang w:val="es-ES_tradnl" w:eastAsia="en-US"/>
              </w:rPr>
            </w:pPr>
          </w:p>
        </w:tc>
        <w:tc>
          <w:tcPr>
            <w:tcW w:w="7200" w:type="dxa"/>
            <w:tcBorders>
              <w:bottom w:val="single" w:sz="4" w:space="0" w:color="auto"/>
            </w:tcBorders>
          </w:tcPr>
          <w:p w14:paraId="7FDCF5DA" w14:textId="77777777" w:rsidR="00C91693" w:rsidRPr="00C168C5" w:rsidRDefault="00C91693" w:rsidP="00243943">
            <w:pPr>
              <w:rPr>
                <w:rFonts w:eastAsia="Times New Roman"/>
                <w:i/>
                <w:lang w:val="es-ES_tradnl" w:eastAsia="en-US"/>
              </w:rPr>
            </w:pPr>
          </w:p>
          <w:p w14:paraId="5AD0B816" w14:textId="103EC53B" w:rsidR="00C91693" w:rsidRPr="00C168C5" w:rsidRDefault="00C91693" w:rsidP="00243943">
            <w:pPr>
              <w:rPr>
                <w:rFonts w:eastAsia="Times New Roman"/>
                <w:iCs/>
                <w:lang w:val="es-ES_tradnl" w:eastAsia="en-US"/>
              </w:rPr>
            </w:pPr>
            <w:r w:rsidRPr="00C168C5">
              <w:rPr>
                <w:rFonts w:eastAsia="Times New Roman"/>
                <w:i/>
                <w:lang w:val="es-ES_tradnl" w:eastAsia="en-US"/>
              </w:rPr>
              <w:t>Ri</w:t>
            </w:r>
            <w:r w:rsidR="00D225CA" w:rsidRPr="00C168C5">
              <w:rPr>
                <w:rFonts w:eastAsia="Times New Roman"/>
                <w:i/>
                <w:lang w:val="es-ES_tradnl" w:eastAsia="en-US"/>
              </w:rPr>
              <w:t>esgo</w:t>
            </w:r>
            <w:r w:rsidRPr="00C168C5">
              <w:rPr>
                <w:rFonts w:eastAsia="Times New Roman"/>
                <w:iCs/>
                <w:lang w:val="es-ES_tradnl" w:eastAsia="en-US"/>
              </w:rPr>
              <w:t xml:space="preserve">:  </w:t>
            </w:r>
            <w:r w:rsidR="00484319" w:rsidRPr="00C168C5">
              <w:rPr>
                <w:rFonts w:eastAsia="Times New Roman"/>
                <w:iCs/>
                <w:lang w:val="es-ES_tradnl" w:eastAsia="en-US"/>
              </w:rPr>
              <w:t>El proyecto exige una coordinación considerable con toda una gama de asociados que puede dar lugar a retrasos en su ejecución</w:t>
            </w:r>
            <w:r w:rsidRPr="00C168C5">
              <w:rPr>
                <w:rFonts w:eastAsia="Times New Roman"/>
                <w:iCs/>
                <w:lang w:val="es-ES_tradnl" w:eastAsia="en-US"/>
              </w:rPr>
              <w:t xml:space="preserve">. </w:t>
            </w:r>
          </w:p>
          <w:p w14:paraId="143302A1" w14:textId="77777777" w:rsidR="00C91693" w:rsidRPr="00C168C5" w:rsidRDefault="00C91693" w:rsidP="00243943">
            <w:pPr>
              <w:rPr>
                <w:rFonts w:eastAsia="Times New Roman"/>
                <w:iCs/>
                <w:lang w:val="es-ES_tradnl" w:eastAsia="en-US"/>
              </w:rPr>
            </w:pPr>
          </w:p>
          <w:p w14:paraId="03F89DC7" w14:textId="52EE4255" w:rsidR="00C91693" w:rsidRPr="00C168C5" w:rsidRDefault="00D225CA" w:rsidP="00243943">
            <w:pPr>
              <w:rPr>
                <w:rFonts w:eastAsia="Times New Roman"/>
                <w:iCs/>
                <w:lang w:val="es-ES_tradnl" w:eastAsia="en-US"/>
              </w:rPr>
            </w:pPr>
            <w:r w:rsidRPr="00C168C5">
              <w:rPr>
                <w:rFonts w:eastAsia="Times New Roman"/>
                <w:i/>
                <w:lang w:val="es-ES_tradnl" w:eastAsia="en-US"/>
              </w:rPr>
              <w:t>Medidas paliativas</w:t>
            </w:r>
            <w:r w:rsidR="00280177" w:rsidRPr="00C168C5">
              <w:rPr>
                <w:rFonts w:eastAsia="Times New Roman"/>
                <w:lang w:val="es-ES_tradnl" w:eastAsia="en-US"/>
              </w:rPr>
              <w:t>:  E</w:t>
            </w:r>
            <w:r w:rsidRPr="00C168C5">
              <w:rPr>
                <w:rFonts w:eastAsia="Times New Roman"/>
                <w:lang w:val="es-ES_tradnl" w:eastAsia="en-US"/>
              </w:rPr>
              <w:t xml:space="preserve">ste riesgo se atenuará mediante la cuidada gestión y el seguimiento a lo largo de todo el proceso de ejecución, que incluye la asistencia organizativa general en la preparación de aportes concretos, como los </w:t>
            </w:r>
            <w:r w:rsidR="00C33369" w:rsidRPr="00C168C5">
              <w:rPr>
                <w:rFonts w:eastAsia="Times New Roman"/>
                <w:lang w:val="es-ES_tradnl" w:eastAsia="en-US"/>
              </w:rPr>
              <w:t>planes de actividades para aplicar la tecnología apropiada</w:t>
            </w:r>
            <w:r w:rsidR="00C91693" w:rsidRPr="00C168C5">
              <w:rPr>
                <w:rFonts w:eastAsia="Times New Roman"/>
                <w:iCs/>
                <w:lang w:val="es-ES_tradnl" w:eastAsia="en-US"/>
              </w:rPr>
              <w:t>.</w:t>
            </w:r>
          </w:p>
          <w:p w14:paraId="73C9931D" w14:textId="77777777" w:rsidR="00C91693" w:rsidRPr="00C168C5" w:rsidRDefault="00C91693" w:rsidP="00243943">
            <w:pPr>
              <w:rPr>
                <w:rFonts w:eastAsia="Times New Roman"/>
                <w:iCs/>
                <w:lang w:val="es-ES_tradnl" w:eastAsia="en-US"/>
              </w:rPr>
            </w:pPr>
          </w:p>
        </w:tc>
      </w:tr>
      <w:tr w:rsidR="00C91693" w:rsidRPr="00C168C5" w14:paraId="7D94DC1A" w14:textId="77777777" w:rsidTr="00243943">
        <w:trPr>
          <w:trHeight w:val="901"/>
        </w:trPr>
        <w:tc>
          <w:tcPr>
            <w:tcW w:w="2088" w:type="dxa"/>
            <w:shd w:val="clear" w:color="auto" w:fill="auto"/>
          </w:tcPr>
          <w:p w14:paraId="3B317A38" w14:textId="77777777" w:rsidR="00C33369" w:rsidRPr="00C168C5" w:rsidRDefault="00C33369" w:rsidP="00C33369">
            <w:pPr>
              <w:rPr>
                <w:rFonts w:eastAsia="Times New Roman"/>
                <w:bCs/>
                <w:u w:val="single"/>
                <w:lang w:val="es-ES_tradnl" w:eastAsia="en-US"/>
              </w:rPr>
            </w:pPr>
          </w:p>
          <w:p w14:paraId="742A883A" w14:textId="77777777" w:rsidR="00C91693" w:rsidRPr="00C168C5" w:rsidRDefault="00C33369" w:rsidP="00C33369">
            <w:pPr>
              <w:rPr>
                <w:rFonts w:eastAsia="Times New Roman"/>
                <w:bCs/>
                <w:szCs w:val="22"/>
                <w:u w:val="single"/>
                <w:lang w:val="es-ES_tradnl" w:eastAsia="en-US"/>
              </w:rPr>
            </w:pPr>
            <w:r w:rsidRPr="00C168C5">
              <w:rPr>
                <w:rFonts w:eastAsia="Times New Roman"/>
                <w:bCs/>
                <w:szCs w:val="22"/>
                <w:u w:val="single"/>
                <w:lang w:val="es-ES_tradnl" w:eastAsia="en-US"/>
              </w:rPr>
              <w:t>Cuestiones que requieren atención inmediata</w:t>
            </w:r>
          </w:p>
          <w:p w14:paraId="73E3EBEE" w14:textId="07F41E0C" w:rsidR="00C33369" w:rsidRPr="00C168C5" w:rsidRDefault="00C33369" w:rsidP="00C33369">
            <w:pPr>
              <w:rPr>
                <w:rFonts w:eastAsia="Times New Roman"/>
                <w:bCs/>
                <w:u w:val="single"/>
                <w:lang w:val="es-ES_tradnl" w:eastAsia="en-US"/>
              </w:rPr>
            </w:pPr>
          </w:p>
        </w:tc>
        <w:tc>
          <w:tcPr>
            <w:tcW w:w="7200" w:type="dxa"/>
          </w:tcPr>
          <w:p w14:paraId="09DEF5F6" w14:textId="77777777" w:rsidR="00C91693" w:rsidRPr="00C168C5" w:rsidRDefault="00C91693" w:rsidP="00243943">
            <w:pPr>
              <w:rPr>
                <w:rFonts w:eastAsia="Times New Roman"/>
                <w:iCs/>
                <w:lang w:val="es-ES_tradnl" w:eastAsia="en-US"/>
              </w:rPr>
            </w:pPr>
          </w:p>
          <w:p w14:paraId="498E9271" w14:textId="774CA944" w:rsidR="00C91693" w:rsidRPr="00C168C5" w:rsidRDefault="00992489" w:rsidP="00243943">
            <w:pPr>
              <w:rPr>
                <w:rFonts w:eastAsia="Times New Roman"/>
                <w:iCs/>
                <w:lang w:val="es-ES_tradnl" w:eastAsia="en-US"/>
              </w:rPr>
            </w:pPr>
            <w:r w:rsidRPr="00C168C5">
              <w:rPr>
                <w:szCs w:val="22"/>
                <w:lang w:val="es-ES_tradnl"/>
              </w:rPr>
              <w:t>SE/AI</w:t>
            </w:r>
          </w:p>
        </w:tc>
      </w:tr>
      <w:tr w:rsidR="00C91693" w:rsidRPr="00C168C5" w14:paraId="44C20AE1" w14:textId="77777777" w:rsidTr="008225F8">
        <w:trPr>
          <w:trHeight w:val="416"/>
        </w:trPr>
        <w:tc>
          <w:tcPr>
            <w:tcW w:w="2088" w:type="dxa"/>
            <w:shd w:val="clear" w:color="auto" w:fill="auto"/>
          </w:tcPr>
          <w:p w14:paraId="52CCD698" w14:textId="77777777" w:rsidR="00C91693" w:rsidRPr="00C168C5" w:rsidRDefault="00C91693" w:rsidP="00243943">
            <w:pPr>
              <w:rPr>
                <w:rFonts w:eastAsia="Times New Roman"/>
                <w:bCs/>
                <w:u w:val="single"/>
                <w:lang w:val="es-ES_tradnl" w:eastAsia="en-US"/>
              </w:rPr>
            </w:pPr>
          </w:p>
          <w:p w14:paraId="17515685" w14:textId="19EB775D" w:rsidR="00C91693" w:rsidRPr="00C168C5" w:rsidRDefault="00060BCC" w:rsidP="00060BCC">
            <w:pPr>
              <w:rPr>
                <w:rFonts w:eastAsia="Times New Roman"/>
                <w:bCs/>
                <w:u w:val="single"/>
                <w:lang w:val="es-ES_tradnl" w:eastAsia="en-US"/>
              </w:rPr>
            </w:pPr>
            <w:r w:rsidRPr="00C168C5">
              <w:rPr>
                <w:rFonts w:eastAsia="Times New Roman"/>
                <w:bCs/>
                <w:u w:val="single"/>
                <w:lang w:val="es-ES_tradnl" w:eastAsia="en-US"/>
              </w:rPr>
              <w:t>Siguientes pasos</w:t>
            </w:r>
          </w:p>
        </w:tc>
        <w:tc>
          <w:tcPr>
            <w:tcW w:w="7200" w:type="dxa"/>
          </w:tcPr>
          <w:p w14:paraId="2670E2DE" w14:textId="77777777" w:rsidR="00C91693" w:rsidRPr="00C168C5" w:rsidRDefault="00C91693" w:rsidP="00243943">
            <w:pPr>
              <w:rPr>
                <w:rFonts w:eastAsia="Times New Roman"/>
                <w:iCs/>
                <w:lang w:val="es-ES_tradnl" w:eastAsia="en-US"/>
              </w:rPr>
            </w:pPr>
          </w:p>
          <w:p w14:paraId="726917C6" w14:textId="28C571DC" w:rsidR="00C91693" w:rsidRPr="00C168C5" w:rsidRDefault="001B2AE3" w:rsidP="00280177">
            <w:pPr>
              <w:rPr>
                <w:rFonts w:eastAsia="Times New Roman"/>
                <w:iCs/>
                <w:lang w:val="es-ES_tradnl" w:eastAsia="en-US"/>
              </w:rPr>
            </w:pPr>
            <w:r w:rsidRPr="00C168C5">
              <w:rPr>
                <w:rFonts w:eastAsia="Times New Roman"/>
                <w:iCs/>
                <w:lang w:val="es-ES_tradnl" w:eastAsia="en-US"/>
              </w:rPr>
              <w:t>Los siguientes pasos consisten en finalizar las fases posteriores de la estrategia de ejecución en los cuatro países beneficiarios seleccionados</w:t>
            </w:r>
            <w:r w:rsidR="00C91693" w:rsidRPr="00C168C5">
              <w:rPr>
                <w:rFonts w:eastAsia="Times New Roman"/>
                <w:iCs/>
                <w:lang w:val="es-ES_tradnl" w:eastAsia="en-US"/>
              </w:rPr>
              <w:t xml:space="preserve">.  </w:t>
            </w:r>
            <w:r w:rsidRPr="00C168C5">
              <w:rPr>
                <w:rFonts w:eastAsia="Times New Roman"/>
                <w:iCs/>
                <w:lang w:val="es-ES_tradnl" w:eastAsia="en-US"/>
              </w:rPr>
              <w:t xml:space="preserve">Como ya se ha indicado anteriormente, la ejecución del proyecto se lleva a cabo en etapas análogas en todos los países del proyecto, y, por tanto, se hará </w:t>
            </w:r>
            <w:r w:rsidR="008225F8" w:rsidRPr="00C168C5">
              <w:rPr>
                <w:rFonts w:eastAsia="Times New Roman"/>
                <w:iCs/>
                <w:lang w:val="es-ES_tradnl" w:eastAsia="en-US"/>
              </w:rPr>
              <w:t xml:space="preserve">hincapié en </w:t>
            </w:r>
            <w:r w:rsidR="00280177" w:rsidRPr="00C168C5">
              <w:rPr>
                <w:rFonts w:eastAsia="Times New Roman"/>
                <w:iCs/>
                <w:lang w:val="es-ES_tradnl" w:eastAsia="en-US"/>
              </w:rPr>
              <w:t>la consecución de los productos</w:t>
            </w:r>
            <w:r w:rsidR="008225F8" w:rsidRPr="00C168C5">
              <w:rPr>
                <w:rFonts w:eastAsia="Times New Roman"/>
                <w:iCs/>
                <w:lang w:val="es-ES_tradnl" w:eastAsia="en-US"/>
              </w:rPr>
              <w:t xml:space="preserve"> clave, que pasan por la solicitud de búsqueda</w:t>
            </w:r>
            <w:r w:rsidR="00C91693" w:rsidRPr="00C168C5">
              <w:rPr>
                <w:rFonts w:eastAsia="Times New Roman"/>
                <w:iCs/>
                <w:lang w:val="es-ES_tradnl" w:eastAsia="en-US"/>
              </w:rPr>
              <w:t xml:space="preserve">, </w:t>
            </w:r>
            <w:r w:rsidR="008225F8" w:rsidRPr="00C168C5">
              <w:rPr>
                <w:rFonts w:eastAsia="Times New Roman"/>
                <w:iCs/>
                <w:lang w:val="es-ES_tradnl" w:eastAsia="en-US"/>
              </w:rPr>
              <w:t>el informe de búsqueda de patentes</w:t>
            </w:r>
            <w:r w:rsidR="00C91693" w:rsidRPr="00C168C5">
              <w:rPr>
                <w:rFonts w:eastAsia="Times New Roman"/>
                <w:iCs/>
                <w:lang w:val="es-ES_tradnl" w:eastAsia="en-US"/>
              </w:rPr>
              <w:t>,</w:t>
            </w:r>
            <w:r w:rsidR="008225F8" w:rsidRPr="00C168C5">
              <w:rPr>
                <w:rFonts w:eastAsia="Times New Roman"/>
                <w:iCs/>
                <w:lang w:val="es-ES_tradnl" w:eastAsia="en-US"/>
              </w:rPr>
              <w:t xml:space="preserve"> informes relativos al análisis de las tecnologías y planes de actividades para </w:t>
            </w:r>
            <w:r w:rsidR="00525DD7" w:rsidRPr="00C168C5">
              <w:rPr>
                <w:rFonts w:eastAsia="Times New Roman"/>
                <w:iCs/>
                <w:lang w:val="es-ES_tradnl" w:eastAsia="en-US"/>
              </w:rPr>
              <w:t>la</w:t>
            </w:r>
            <w:r w:rsidR="008225F8" w:rsidRPr="00C168C5">
              <w:rPr>
                <w:rFonts w:eastAsia="Times New Roman"/>
                <w:iCs/>
                <w:lang w:val="es-ES_tradnl" w:eastAsia="en-US"/>
              </w:rPr>
              <w:t xml:space="preserve"> ejecución y comercialización de la tecnología apropiada hallada</w:t>
            </w:r>
            <w:r w:rsidR="00C91693" w:rsidRPr="00C168C5">
              <w:rPr>
                <w:rFonts w:eastAsia="Times New Roman"/>
                <w:iCs/>
                <w:lang w:val="es-ES_tradnl" w:eastAsia="en-US"/>
              </w:rPr>
              <w:t xml:space="preserve">. </w:t>
            </w:r>
          </w:p>
        </w:tc>
      </w:tr>
      <w:tr w:rsidR="00C91693" w:rsidRPr="00C168C5" w14:paraId="27EF702D" w14:textId="77777777" w:rsidTr="00243943">
        <w:trPr>
          <w:trHeight w:val="1052"/>
        </w:trPr>
        <w:tc>
          <w:tcPr>
            <w:tcW w:w="2088" w:type="dxa"/>
            <w:shd w:val="clear" w:color="auto" w:fill="auto"/>
          </w:tcPr>
          <w:p w14:paraId="39C1179E" w14:textId="77777777" w:rsidR="00D9477B" w:rsidRPr="00C168C5" w:rsidRDefault="00D9477B" w:rsidP="00D9477B">
            <w:pPr>
              <w:keepNext/>
              <w:spacing w:before="240" w:after="60"/>
              <w:outlineLvl w:val="2"/>
              <w:rPr>
                <w:bCs/>
                <w:szCs w:val="26"/>
                <w:u w:val="single"/>
                <w:lang w:val="es-ES_tradnl" w:eastAsia="en-US"/>
              </w:rPr>
            </w:pPr>
            <w:r w:rsidRPr="00C168C5">
              <w:rPr>
                <w:bCs/>
                <w:szCs w:val="26"/>
                <w:u w:val="single"/>
                <w:lang w:val="es-ES_tradnl" w:eastAsia="en-US"/>
              </w:rPr>
              <w:t>Calendario de ejecución</w:t>
            </w:r>
          </w:p>
          <w:p w14:paraId="1791CEFA" w14:textId="3638BD40" w:rsidR="00C91693" w:rsidRPr="00C168C5" w:rsidRDefault="00C91693" w:rsidP="00243943">
            <w:pPr>
              <w:rPr>
                <w:rFonts w:eastAsia="Times New Roman"/>
                <w:bCs/>
                <w:highlight w:val="yellow"/>
                <w:u w:val="single"/>
                <w:lang w:val="es-ES_tradnl" w:eastAsia="en-US"/>
              </w:rPr>
            </w:pPr>
          </w:p>
        </w:tc>
        <w:tc>
          <w:tcPr>
            <w:tcW w:w="7200" w:type="dxa"/>
          </w:tcPr>
          <w:p w14:paraId="4FBE034B" w14:textId="77777777" w:rsidR="00C91693" w:rsidRPr="00C168C5" w:rsidRDefault="00C91693" w:rsidP="00243943">
            <w:pPr>
              <w:rPr>
                <w:rFonts w:eastAsia="Times New Roman"/>
                <w:iCs/>
                <w:lang w:val="es-ES_tradnl" w:eastAsia="en-US"/>
              </w:rPr>
            </w:pPr>
          </w:p>
          <w:p w14:paraId="4791301C" w14:textId="100BBFCE" w:rsidR="00C91693" w:rsidRPr="00C168C5" w:rsidRDefault="00D9477B" w:rsidP="00D9477B">
            <w:pPr>
              <w:rPr>
                <w:rFonts w:eastAsia="Times New Roman"/>
                <w:iCs/>
                <w:highlight w:val="yellow"/>
                <w:lang w:val="es-ES_tradnl" w:eastAsia="en-US"/>
              </w:rPr>
            </w:pPr>
            <w:r w:rsidRPr="00C168C5">
              <w:rPr>
                <w:iCs/>
                <w:lang w:val="es-ES_tradnl"/>
              </w:rPr>
              <w:t>El proyecto será ejecutado con arreglo al calendario aprobado</w:t>
            </w:r>
            <w:r w:rsidR="00C91693" w:rsidRPr="00C168C5">
              <w:rPr>
                <w:rFonts w:eastAsia="Times New Roman"/>
                <w:iCs/>
                <w:lang w:val="es-ES_tradnl" w:eastAsia="en-US"/>
              </w:rPr>
              <w:t>.</w:t>
            </w:r>
          </w:p>
        </w:tc>
      </w:tr>
      <w:tr w:rsidR="00C91693" w:rsidRPr="00C168C5" w14:paraId="0CFF7643" w14:textId="77777777" w:rsidTr="00243943">
        <w:trPr>
          <w:trHeight w:val="848"/>
        </w:trPr>
        <w:tc>
          <w:tcPr>
            <w:tcW w:w="2088" w:type="dxa"/>
            <w:shd w:val="clear" w:color="auto" w:fill="auto"/>
          </w:tcPr>
          <w:p w14:paraId="27AF2532" w14:textId="77777777" w:rsidR="00C91693" w:rsidRPr="00C168C5" w:rsidRDefault="00C91693" w:rsidP="00243943">
            <w:pPr>
              <w:rPr>
                <w:rFonts w:eastAsia="Times New Roman"/>
                <w:bCs/>
                <w:u w:val="single"/>
                <w:lang w:val="es-ES_tradnl" w:eastAsia="en-US"/>
              </w:rPr>
            </w:pPr>
          </w:p>
          <w:p w14:paraId="0532C782" w14:textId="61370A28" w:rsidR="00C91693" w:rsidRPr="00C168C5" w:rsidRDefault="00D9477B" w:rsidP="00243943">
            <w:pPr>
              <w:rPr>
                <w:rFonts w:eastAsia="Times New Roman"/>
                <w:bCs/>
                <w:u w:val="single"/>
                <w:lang w:val="es-ES_tradnl" w:eastAsia="en-US"/>
              </w:rPr>
            </w:pPr>
            <w:r w:rsidRPr="00C168C5">
              <w:rPr>
                <w:rFonts w:eastAsia="Times New Roman"/>
                <w:bCs/>
                <w:szCs w:val="22"/>
                <w:u w:val="single"/>
                <w:lang w:val="es-ES_tradnl" w:eastAsia="en-US"/>
              </w:rPr>
              <w:t xml:space="preserve">Porcentaje de ejecución del proyecto </w:t>
            </w:r>
          </w:p>
          <w:p w14:paraId="081C7FA0" w14:textId="77777777" w:rsidR="00C91693" w:rsidRPr="00C168C5" w:rsidRDefault="00C91693" w:rsidP="00243943">
            <w:pPr>
              <w:rPr>
                <w:rFonts w:eastAsia="Times New Roman"/>
                <w:bCs/>
                <w:highlight w:val="yellow"/>
                <w:u w:val="single"/>
                <w:lang w:val="es-ES_tradnl" w:eastAsia="en-US"/>
              </w:rPr>
            </w:pPr>
          </w:p>
        </w:tc>
        <w:tc>
          <w:tcPr>
            <w:tcW w:w="7200" w:type="dxa"/>
          </w:tcPr>
          <w:p w14:paraId="4858D5D8" w14:textId="77777777" w:rsidR="00C91693" w:rsidRPr="00C168C5" w:rsidRDefault="00C91693" w:rsidP="00243943">
            <w:pPr>
              <w:rPr>
                <w:lang w:val="es-ES_tradnl"/>
              </w:rPr>
            </w:pPr>
          </w:p>
          <w:p w14:paraId="1310AC91" w14:textId="77777777" w:rsidR="00C91693" w:rsidRPr="00C168C5" w:rsidRDefault="00C91693" w:rsidP="00243943">
            <w:pPr>
              <w:rPr>
                <w:lang w:val="es-ES_tradnl"/>
              </w:rPr>
            </w:pPr>
          </w:p>
          <w:p w14:paraId="1E5CA063" w14:textId="7830F053" w:rsidR="00D9477B" w:rsidRPr="00C168C5" w:rsidRDefault="00D9477B" w:rsidP="00D9477B">
            <w:pPr>
              <w:rPr>
                <w:szCs w:val="22"/>
                <w:lang w:val="es-ES_tradnl"/>
              </w:rPr>
            </w:pPr>
            <w:r w:rsidRPr="00C168C5">
              <w:rPr>
                <w:szCs w:val="22"/>
                <w:lang w:val="es-ES_tradnl"/>
              </w:rPr>
              <w:t>Porcentaje de utilización del presupuesto a finales de julio de 2015:  10%.</w:t>
            </w:r>
          </w:p>
          <w:p w14:paraId="30AD8CCE" w14:textId="77777777" w:rsidR="00C91693" w:rsidRPr="00C168C5" w:rsidRDefault="00C91693" w:rsidP="00243943">
            <w:pPr>
              <w:rPr>
                <w:rFonts w:eastAsia="Times New Roman"/>
                <w:iCs/>
                <w:highlight w:val="yellow"/>
                <w:lang w:val="es-ES_tradnl" w:eastAsia="en-US"/>
              </w:rPr>
            </w:pPr>
          </w:p>
        </w:tc>
      </w:tr>
      <w:tr w:rsidR="00C91693" w:rsidRPr="00C168C5" w14:paraId="43D62AB3" w14:textId="77777777" w:rsidTr="00243943">
        <w:trPr>
          <w:trHeight w:val="1268"/>
        </w:trPr>
        <w:tc>
          <w:tcPr>
            <w:tcW w:w="2088" w:type="dxa"/>
            <w:shd w:val="clear" w:color="auto" w:fill="auto"/>
          </w:tcPr>
          <w:p w14:paraId="3F688E07" w14:textId="77777777" w:rsidR="00C91693" w:rsidRPr="00C168C5" w:rsidRDefault="00C91693" w:rsidP="00243943">
            <w:pPr>
              <w:rPr>
                <w:rFonts w:eastAsia="Times New Roman"/>
                <w:bCs/>
                <w:u w:val="single"/>
                <w:lang w:val="es-ES_tradnl" w:eastAsia="en-US"/>
              </w:rPr>
            </w:pPr>
          </w:p>
          <w:p w14:paraId="2DB77DBE" w14:textId="77777777" w:rsidR="00D9477B" w:rsidRPr="00C168C5" w:rsidRDefault="00D9477B" w:rsidP="00D9477B">
            <w:pPr>
              <w:rPr>
                <w:rFonts w:eastAsia="Times New Roman"/>
                <w:bCs/>
                <w:u w:val="single"/>
                <w:lang w:val="es-ES_tradnl" w:eastAsia="en-US"/>
              </w:rPr>
            </w:pPr>
            <w:r w:rsidRPr="00C168C5">
              <w:rPr>
                <w:rFonts w:eastAsia="Times New Roman"/>
                <w:bCs/>
                <w:u w:val="single"/>
                <w:lang w:val="es-ES_tradnl" w:eastAsia="en-US"/>
              </w:rPr>
              <w:t>Informes/</w:t>
            </w:r>
          </w:p>
          <w:p w14:paraId="291D8A65" w14:textId="735FBABC" w:rsidR="00C91693" w:rsidRPr="00C168C5" w:rsidRDefault="00D9477B" w:rsidP="00D9477B">
            <w:pPr>
              <w:rPr>
                <w:rFonts w:eastAsia="Times New Roman"/>
                <w:bCs/>
                <w:highlight w:val="yellow"/>
                <w:lang w:val="es-ES_tradnl" w:eastAsia="en-US"/>
              </w:rPr>
            </w:pPr>
            <w:r w:rsidRPr="00C168C5">
              <w:rPr>
                <w:rFonts w:eastAsia="Times New Roman"/>
                <w:bCs/>
                <w:u w:val="single"/>
                <w:lang w:val="es-ES_tradnl" w:eastAsia="en-US"/>
              </w:rPr>
              <w:t>documentos previos</w:t>
            </w:r>
          </w:p>
        </w:tc>
        <w:tc>
          <w:tcPr>
            <w:tcW w:w="7200" w:type="dxa"/>
          </w:tcPr>
          <w:p w14:paraId="6D531516" w14:textId="77777777" w:rsidR="00C91693" w:rsidRPr="00C168C5" w:rsidRDefault="00C91693" w:rsidP="00243943">
            <w:pPr>
              <w:rPr>
                <w:rFonts w:eastAsia="Times New Roman"/>
                <w:iCs/>
                <w:lang w:val="es-ES_tradnl" w:eastAsia="en-US"/>
              </w:rPr>
            </w:pPr>
          </w:p>
          <w:p w14:paraId="532F9AB5" w14:textId="0DF1FC86" w:rsidR="00C91693" w:rsidRPr="00C168C5" w:rsidRDefault="00D9477B" w:rsidP="00243943">
            <w:pPr>
              <w:rPr>
                <w:rFonts w:eastAsia="Times New Roman"/>
                <w:iCs/>
                <w:lang w:val="es-ES_tradnl" w:eastAsia="en-US"/>
              </w:rPr>
            </w:pPr>
            <w:r w:rsidRPr="00C168C5">
              <w:rPr>
                <w:rFonts w:eastAsia="Times New Roman"/>
                <w:iCs/>
                <w:lang w:val="es-ES_tradnl" w:eastAsia="en-US"/>
              </w:rPr>
              <w:t xml:space="preserve">Este es el segundo informe sobre la marcha del proyecto que se presenta al </w:t>
            </w:r>
            <w:r w:rsidR="00C91693" w:rsidRPr="00C168C5">
              <w:rPr>
                <w:rFonts w:eastAsia="Times New Roman"/>
                <w:iCs/>
                <w:lang w:val="es-ES_tradnl" w:eastAsia="en-US"/>
              </w:rPr>
              <w:t>CDIP.</w:t>
            </w:r>
            <w:r w:rsidR="00C91693" w:rsidRPr="00C168C5">
              <w:rPr>
                <w:rFonts w:eastAsia="Times New Roman"/>
                <w:lang w:val="es-ES_tradnl" w:eastAsia="en-US"/>
              </w:rPr>
              <w:t xml:space="preserve">  </w:t>
            </w:r>
            <w:r w:rsidRPr="00C168C5">
              <w:rPr>
                <w:rFonts w:eastAsia="Times New Roman"/>
                <w:lang w:val="es-ES_tradnl" w:eastAsia="en-US"/>
              </w:rPr>
              <w:t xml:space="preserve">El primer informe sobre la marcha del proyecto, en el documento </w:t>
            </w:r>
            <w:r w:rsidR="00C91693" w:rsidRPr="00C168C5">
              <w:rPr>
                <w:rFonts w:eastAsia="Times New Roman"/>
                <w:iCs/>
                <w:lang w:val="es-ES_tradnl" w:eastAsia="en-US"/>
              </w:rPr>
              <w:t xml:space="preserve">CDIP/14/2, </w:t>
            </w:r>
            <w:r w:rsidR="00280177" w:rsidRPr="00C168C5">
              <w:rPr>
                <w:rFonts w:eastAsia="Times New Roman"/>
                <w:iCs/>
                <w:lang w:val="es-ES_tradnl" w:eastAsia="en-US"/>
              </w:rPr>
              <w:t xml:space="preserve">Anexo </w:t>
            </w:r>
            <w:r w:rsidR="0081574B" w:rsidRPr="00C168C5">
              <w:rPr>
                <w:rFonts w:eastAsia="Times New Roman"/>
                <w:iCs/>
                <w:lang w:val="es-ES_tradnl" w:eastAsia="en-US"/>
              </w:rPr>
              <w:t>VII</w:t>
            </w:r>
            <w:r w:rsidR="00C91693" w:rsidRPr="00C168C5">
              <w:rPr>
                <w:rFonts w:eastAsia="Times New Roman"/>
                <w:iCs/>
                <w:lang w:val="es-ES_tradnl" w:eastAsia="en-US"/>
              </w:rPr>
              <w:t xml:space="preserve">, </w:t>
            </w:r>
            <w:r w:rsidR="0081574B" w:rsidRPr="00C168C5">
              <w:rPr>
                <w:rFonts w:eastAsia="Times New Roman"/>
                <w:iCs/>
                <w:lang w:val="es-ES_tradnl" w:eastAsia="en-US"/>
              </w:rPr>
              <w:t xml:space="preserve">fue presentado al </w:t>
            </w:r>
            <w:r w:rsidR="00C91693" w:rsidRPr="00C168C5">
              <w:rPr>
                <w:rFonts w:eastAsia="Times New Roman"/>
                <w:iCs/>
                <w:lang w:val="es-ES_tradnl" w:eastAsia="en-US"/>
              </w:rPr>
              <w:t xml:space="preserve">CDIP </w:t>
            </w:r>
            <w:r w:rsidR="003A76C5" w:rsidRPr="00C168C5">
              <w:rPr>
                <w:rFonts w:eastAsia="Times New Roman"/>
                <w:iCs/>
                <w:lang w:val="es-ES_tradnl" w:eastAsia="en-US"/>
              </w:rPr>
              <w:t xml:space="preserve">en su </w:t>
            </w:r>
            <w:r w:rsidR="003F22F6" w:rsidRPr="00C168C5">
              <w:rPr>
                <w:rFonts w:eastAsia="Times New Roman"/>
                <w:iCs/>
                <w:lang w:val="es-ES_tradnl" w:eastAsia="en-US"/>
              </w:rPr>
              <w:t>d</w:t>
            </w:r>
            <w:r w:rsidR="00073DFF">
              <w:rPr>
                <w:rFonts w:eastAsia="Times New Roman"/>
                <w:iCs/>
                <w:lang w:val="es-ES_tradnl" w:eastAsia="en-US"/>
              </w:rPr>
              <w:t>ecimo</w:t>
            </w:r>
            <w:r w:rsidR="003F22F6" w:rsidRPr="00C168C5">
              <w:rPr>
                <w:rFonts w:eastAsia="Times New Roman"/>
                <w:iCs/>
                <w:lang w:val="es-ES_tradnl" w:eastAsia="en-US"/>
              </w:rPr>
              <w:t>cuarta</w:t>
            </w:r>
            <w:r w:rsidR="00AE7D30" w:rsidRPr="00C168C5">
              <w:rPr>
                <w:rFonts w:eastAsia="Times New Roman"/>
                <w:iCs/>
                <w:lang w:val="es-ES_tradnl" w:eastAsia="en-US"/>
              </w:rPr>
              <w:t xml:space="preserve"> sesión, celebrada en noviembre de </w:t>
            </w:r>
            <w:r w:rsidR="00C91693" w:rsidRPr="00C168C5">
              <w:rPr>
                <w:rFonts w:eastAsia="Times New Roman"/>
                <w:iCs/>
                <w:lang w:val="es-ES_tradnl" w:eastAsia="en-US"/>
              </w:rPr>
              <w:t xml:space="preserve">2014. </w:t>
            </w:r>
          </w:p>
          <w:p w14:paraId="644EF33C" w14:textId="77777777" w:rsidR="00C91693" w:rsidRPr="00C168C5" w:rsidRDefault="00C91693" w:rsidP="00243943">
            <w:pPr>
              <w:rPr>
                <w:rFonts w:eastAsia="Times New Roman"/>
                <w:iCs/>
                <w:highlight w:val="yellow"/>
                <w:lang w:val="es-ES_tradnl" w:eastAsia="en-US"/>
              </w:rPr>
            </w:pPr>
          </w:p>
        </w:tc>
      </w:tr>
    </w:tbl>
    <w:p w14:paraId="0A30F012" w14:textId="77777777" w:rsidR="00C91693" w:rsidRPr="00C168C5" w:rsidRDefault="00C91693" w:rsidP="00C91693">
      <w:pPr>
        <w:rPr>
          <w:rFonts w:eastAsia="Times New Roman"/>
          <w:lang w:val="es-ES_tradnl" w:eastAsia="en-US"/>
        </w:rPr>
      </w:pPr>
      <w:r w:rsidRPr="00C168C5">
        <w:rPr>
          <w:rFonts w:eastAsia="Times New Roman"/>
          <w:lang w:val="es-ES_tradnl" w:eastAsia="en-US"/>
        </w:rPr>
        <w:br w:type="page"/>
      </w:r>
    </w:p>
    <w:tbl>
      <w:tblPr>
        <w:tblW w:w="0" w:type="auto"/>
        <w:tblLook w:val="01E0" w:firstRow="1" w:lastRow="1" w:firstColumn="1" w:lastColumn="1" w:noHBand="0" w:noVBand="0"/>
      </w:tblPr>
      <w:tblGrid>
        <w:gridCol w:w="9287"/>
      </w:tblGrid>
      <w:tr w:rsidR="00C91693" w:rsidRPr="00C168C5" w14:paraId="68A29D6D" w14:textId="77777777" w:rsidTr="00243943">
        <w:trPr>
          <w:trHeight w:val="494"/>
        </w:trPr>
        <w:tc>
          <w:tcPr>
            <w:tcW w:w="9287" w:type="dxa"/>
            <w:vAlign w:val="center"/>
          </w:tcPr>
          <w:p w14:paraId="12768A41" w14:textId="7A641294" w:rsidR="00C91693" w:rsidRPr="00C168C5" w:rsidRDefault="00C91693" w:rsidP="00F52FE0">
            <w:pPr>
              <w:rPr>
                <w:rFonts w:eastAsia="Times New Roman"/>
                <w:lang w:val="es-ES_tradnl" w:eastAsia="en-US"/>
              </w:rPr>
            </w:pPr>
            <w:r w:rsidRPr="00C168C5">
              <w:rPr>
                <w:rFonts w:eastAsia="Times New Roman"/>
                <w:lang w:val="es-ES_tradnl" w:eastAsia="en-US"/>
              </w:rPr>
              <w:lastRenderedPageBreak/>
              <w:br w:type="page"/>
            </w:r>
            <w:r w:rsidR="00F52FE0" w:rsidRPr="00C168C5">
              <w:rPr>
                <w:rFonts w:eastAsia="Times New Roman"/>
                <w:szCs w:val="22"/>
                <w:lang w:val="es-ES_tradnl" w:eastAsia="en-US"/>
              </w:rPr>
              <w:t>EVALUACIÓN INTERNA DEL PROYECTO</w:t>
            </w:r>
          </w:p>
        </w:tc>
      </w:tr>
    </w:tbl>
    <w:p w14:paraId="417E592E" w14:textId="77777777" w:rsidR="00C91693" w:rsidRPr="00C168C5" w:rsidRDefault="00C91693" w:rsidP="00C91693">
      <w:pPr>
        <w:rPr>
          <w:rFonts w:eastAsia="Times New Roman"/>
          <w:lang w:val="es-ES_tradnl" w:eastAsia="en-US"/>
        </w:rPr>
      </w:pPr>
    </w:p>
    <w:p w14:paraId="516E9986" w14:textId="77777777" w:rsidR="00F52FE0" w:rsidRPr="00C168C5" w:rsidRDefault="00F52FE0" w:rsidP="00F52FE0">
      <w:pPr>
        <w:rPr>
          <w:rFonts w:eastAsia="Times New Roman"/>
          <w:szCs w:val="22"/>
          <w:lang w:val="es-ES_tradnl" w:eastAsia="en-US"/>
        </w:rPr>
      </w:pPr>
      <w:r w:rsidRPr="00C168C5">
        <w:rPr>
          <w:rFonts w:eastAsia="Times New Roman"/>
          <w:szCs w:val="22"/>
          <w:lang w:val="es-ES_tradnl" w:eastAsia="en-US"/>
        </w:rPr>
        <w:t>Clave de colores</w:t>
      </w:r>
    </w:p>
    <w:p w14:paraId="7B5C4F07" w14:textId="77777777" w:rsidR="00C91693" w:rsidRPr="00C168C5" w:rsidRDefault="00C91693" w:rsidP="00C91693">
      <w:pPr>
        <w:rPr>
          <w:rFonts w:eastAsia="Times New Roman"/>
          <w:lang w:val="es-ES_tradnl" w:eastAsia="en-US"/>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C91693" w:rsidRPr="00C168C5" w14:paraId="6A2FDFE1" w14:textId="77777777" w:rsidTr="00243943">
        <w:trPr>
          <w:trHeight w:val="469"/>
        </w:trPr>
        <w:tc>
          <w:tcPr>
            <w:tcW w:w="1416" w:type="dxa"/>
            <w:shd w:val="clear" w:color="auto" w:fill="auto"/>
            <w:vAlign w:val="center"/>
          </w:tcPr>
          <w:p w14:paraId="1F50BE66" w14:textId="77777777" w:rsidR="00C91693" w:rsidRPr="00C168C5" w:rsidRDefault="00C91693" w:rsidP="00243943">
            <w:pPr>
              <w:rPr>
                <w:rFonts w:eastAsia="Times New Roman"/>
                <w:lang w:val="es-ES_tradnl" w:eastAsia="en-US"/>
              </w:rPr>
            </w:pPr>
            <w:r w:rsidRPr="00C168C5">
              <w:rPr>
                <w:rFonts w:eastAsia="Times New Roman"/>
                <w:lang w:val="es-ES_tradnl" w:eastAsia="en-US"/>
              </w:rPr>
              <w:t>****</w:t>
            </w:r>
          </w:p>
        </w:tc>
        <w:tc>
          <w:tcPr>
            <w:tcW w:w="1677" w:type="dxa"/>
            <w:shd w:val="clear" w:color="auto" w:fill="auto"/>
            <w:vAlign w:val="center"/>
          </w:tcPr>
          <w:p w14:paraId="77A51675" w14:textId="77777777" w:rsidR="00C91693" w:rsidRPr="00C168C5" w:rsidRDefault="00C91693" w:rsidP="00243943">
            <w:pPr>
              <w:rPr>
                <w:rFonts w:eastAsia="Times New Roman"/>
                <w:lang w:val="es-ES_tradnl" w:eastAsia="en-US"/>
              </w:rPr>
            </w:pPr>
            <w:r w:rsidRPr="00C168C5">
              <w:rPr>
                <w:rFonts w:eastAsia="Times New Roman"/>
                <w:lang w:val="es-ES_tradnl" w:eastAsia="en-US"/>
              </w:rPr>
              <w:t>***</w:t>
            </w:r>
          </w:p>
        </w:tc>
        <w:tc>
          <w:tcPr>
            <w:tcW w:w="1797" w:type="dxa"/>
            <w:shd w:val="clear" w:color="auto" w:fill="auto"/>
            <w:vAlign w:val="center"/>
          </w:tcPr>
          <w:p w14:paraId="135B8AAE" w14:textId="77777777" w:rsidR="00C91693" w:rsidRPr="00C168C5" w:rsidRDefault="00C91693" w:rsidP="00243943">
            <w:pPr>
              <w:rPr>
                <w:rFonts w:eastAsia="Times New Roman"/>
                <w:lang w:val="es-ES_tradnl" w:eastAsia="en-US"/>
              </w:rPr>
            </w:pPr>
            <w:r w:rsidRPr="00C168C5">
              <w:rPr>
                <w:rFonts w:eastAsia="Times New Roman"/>
                <w:lang w:val="es-ES_tradnl" w:eastAsia="en-US"/>
              </w:rPr>
              <w:t>**</w:t>
            </w:r>
          </w:p>
        </w:tc>
        <w:tc>
          <w:tcPr>
            <w:tcW w:w="1895" w:type="dxa"/>
            <w:shd w:val="clear" w:color="auto" w:fill="auto"/>
            <w:vAlign w:val="center"/>
          </w:tcPr>
          <w:p w14:paraId="39E3F892" w14:textId="731F309A" w:rsidR="00C91693" w:rsidRPr="00C168C5" w:rsidRDefault="00F52FE0" w:rsidP="00243943">
            <w:pPr>
              <w:rPr>
                <w:rFonts w:eastAsia="Times New Roman"/>
                <w:lang w:val="es-ES_tradnl" w:eastAsia="en-US"/>
              </w:rPr>
            </w:pPr>
            <w:r w:rsidRPr="00C168C5">
              <w:rPr>
                <w:rFonts w:eastAsia="Times New Roman"/>
                <w:szCs w:val="22"/>
                <w:lang w:val="es-ES_tradnl" w:eastAsia="en-US"/>
              </w:rPr>
              <w:t>NA</w:t>
            </w:r>
          </w:p>
        </w:tc>
        <w:tc>
          <w:tcPr>
            <w:tcW w:w="2563" w:type="dxa"/>
            <w:shd w:val="clear" w:color="auto" w:fill="auto"/>
            <w:vAlign w:val="center"/>
          </w:tcPr>
          <w:p w14:paraId="79C3DE30" w14:textId="3F80ADB8" w:rsidR="00C91693" w:rsidRPr="00C168C5" w:rsidRDefault="00992489" w:rsidP="00243943">
            <w:pPr>
              <w:rPr>
                <w:rFonts w:eastAsia="Times New Roman"/>
                <w:lang w:val="es-ES_tradnl" w:eastAsia="en-US"/>
              </w:rPr>
            </w:pPr>
            <w:r w:rsidRPr="00C168C5">
              <w:rPr>
                <w:rFonts w:eastAsia="Times New Roman"/>
                <w:szCs w:val="22"/>
                <w:lang w:val="es-ES_tradnl" w:eastAsia="en-US"/>
              </w:rPr>
              <w:t>SE/AI</w:t>
            </w:r>
          </w:p>
        </w:tc>
      </w:tr>
      <w:tr w:rsidR="00C91693" w:rsidRPr="00C168C5" w14:paraId="4EF2674E" w14:textId="77777777" w:rsidTr="00243943">
        <w:tc>
          <w:tcPr>
            <w:tcW w:w="1416" w:type="dxa"/>
            <w:shd w:val="clear" w:color="auto" w:fill="auto"/>
          </w:tcPr>
          <w:p w14:paraId="49ACB219" w14:textId="12A997DE" w:rsidR="00C91693" w:rsidRPr="00C168C5" w:rsidRDefault="00F52FE0" w:rsidP="00243943">
            <w:pPr>
              <w:rPr>
                <w:rFonts w:eastAsia="Times New Roman"/>
                <w:lang w:val="es-ES_tradnl" w:eastAsia="en-US"/>
              </w:rPr>
            </w:pPr>
            <w:r w:rsidRPr="00C168C5">
              <w:rPr>
                <w:rFonts w:eastAsia="Times New Roman"/>
                <w:szCs w:val="22"/>
                <w:lang w:val="es-ES_tradnl" w:eastAsia="en-US"/>
              </w:rPr>
              <w:t>Plenamente logrado</w:t>
            </w:r>
          </w:p>
        </w:tc>
        <w:tc>
          <w:tcPr>
            <w:tcW w:w="1677" w:type="dxa"/>
            <w:shd w:val="clear" w:color="auto" w:fill="auto"/>
          </w:tcPr>
          <w:p w14:paraId="0139507D" w14:textId="7AED98CA" w:rsidR="00C91693" w:rsidRPr="00C168C5" w:rsidRDefault="00F52FE0" w:rsidP="00243943">
            <w:pPr>
              <w:rPr>
                <w:rFonts w:eastAsia="Times New Roman"/>
                <w:lang w:val="es-ES_tradnl" w:eastAsia="en-US"/>
              </w:rPr>
            </w:pPr>
            <w:r w:rsidRPr="00C168C5">
              <w:rPr>
                <w:rFonts w:eastAsia="Times New Roman"/>
                <w:szCs w:val="22"/>
                <w:lang w:val="es-ES_tradnl" w:eastAsia="en-US"/>
              </w:rPr>
              <w:t>Avance notable</w:t>
            </w:r>
          </w:p>
        </w:tc>
        <w:tc>
          <w:tcPr>
            <w:tcW w:w="1797" w:type="dxa"/>
            <w:shd w:val="clear" w:color="auto" w:fill="auto"/>
          </w:tcPr>
          <w:p w14:paraId="0ED17200" w14:textId="010C4064" w:rsidR="00C91693" w:rsidRPr="00C168C5" w:rsidRDefault="00F52FE0" w:rsidP="00243943">
            <w:pPr>
              <w:rPr>
                <w:rFonts w:eastAsia="Times New Roman"/>
                <w:lang w:val="es-ES_tradnl" w:eastAsia="en-US"/>
              </w:rPr>
            </w:pPr>
            <w:r w:rsidRPr="00C168C5">
              <w:rPr>
                <w:rFonts w:eastAsia="Times New Roman"/>
                <w:szCs w:val="22"/>
                <w:lang w:val="es-ES_tradnl" w:eastAsia="en-US"/>
              </w:rPr>
              <w:t>Avance</w:t>
            </w:r>
          </w:p>
        </w:tc>
        <w:tc>
          <w:tcPr>
            <w:tcW w:w="1895" w:type="dxa"/>
            <w:shd w:val="clear" w:color="auto" w:fill="auto"/>
          </w:tcPr>
          <w:p w14:paraId="140F3263" w14:textId="1AE922CD" w:rsidR="00C91693" w:rsidRPr="00C168C5" w:rsidRDefault="00F52FE0" w:rsidP="00243943">
            <w:pPr>
              <w:rPr>
                <w:rFonts w:eastAsia="Times New Roman"/>
                <w:lang w:val="es-ES_tradnl" w:eastAsia="en-US"/>
              </w:rPr>
            </w:pPr>
            <w:r w:rsidRPr="00C168C5">
              <w:rPr>
                <w:rFonts w:eastAsia="Times New Roman"/>
                <w:szCs w:val="22"/>
                <w:lang w:val="es-ES_tradnl" w:eastAsia="en-US"/>
              </w:rPr>
              <w:t>Ningún avance</w:t>
            </w:r>
          </w:p>
        </w:tc>
        <w:tc>
          <w:tcPr>
            <w:tcW w:w="2563" w:type="dxa"/>
            <w:shd w:val="clear" w:color="auto" w:fill="auto"/>
          </w:tcPr>
          <w:p w14:paraId="260CAA6A" w14:textId="4A6BE5F4" w:rsidR="00C91693" w:rsidRPr="00C168C5" w:rsidRDefault="00F52FE0" w:rsidP="00243943">
            <w:pPr>
              <w:rPr>
                <w:rFonts w:eastAsia="Times New Roman"/>
                <w:lang w:val="es-ES_tradnl" w:eastAsia="en-US"/>
              </w:rPr>
            </w:pPr>
            <w:r w:rsidRPr="00C168C5">
              <w:rPr>
                <w:rFonts w:eastAsia="Times New Roman"/>
                <w:szCs w:val="22"/>
                <w:lang w:val="es-ES_tradnl" w:eastAsia="en-US"/>
              </w:rPr>
              <w:t xml:space="preserve">Sin evaluar/actividad </w:t>
            </w:r>
            <w:r w:rsidR="00992489" w:rsidRPr="00C168C5">
              <w:rPr>
                <w:rFonts w:eastAsia="Times New Roman"/>
                <w:szCs w:val="22"/>
                <w:lang w:val="es-ES_tradnl" w:eastAsia="en-US"/>
              </w:rPr>
              <w:t>interrumpida</w:t>
            </w:r>
          </w:p>
        </w:tc>
      </w:tr>
    </w:tbl>
    <w:p w14:paraId="447205C6" w14:textId="77777777" w:rsidR="00C91693" w:rsidRPr="00C168C5" w:rsidRDefault="00C91693" w:rsidP="00C91693">
      <w:pPr>
        <w:rPr>
          <w:rFonts w:eastAsia="Times New Roman"/>
          <w:lang w:val="es-ES_tradnl" w:eastAsia="en-US"/>
        </w:rPr>
      </w:pPr>
    </w:p>
    <w:tbl>
      <w:tblPr>
        <w:tblW w:w="9412" w:type="dxa"/>
        <w:tblInd w:w="-34" w:type="dxa"/>
        <w:tblLayout w:type="fixed"/>
        <w:tblLook w:val="01E0" w:firstRow="1" w:lastRow="1" w:firstColumn="1" w:lastColumn="1" w:noHBand="0" w:noVBand="0"/>
      </w:tblPr>
      <w:tblGrid>
        <w:gridCol w:w="2410"/>
        <w:gridCol w:w="2694"/>
        <w:gridCol w:w="3228"/>
        <w:gridCol w:w="1080"/>
      </w:tblGrid>
      <w:tr w:rsidR="00C91693" w:rsidRPr="00C168C5" w14:paraId="15ADFA65" w14:textId="77777777" w:rsidTr="005F6C2B">
        <w:trPr>
          <w:trHeight w:val="616"/>
          <w:tblHeader/>
        </w:trPr>
        <w:tc>
          <w:tcPr>
            <w:tcW w:w="2410" w:type="dxa"/>
            <w:tcBorders>
              <w:top w:val="single" w:sz="2" w:space="0" w:color="000000"/>
              <w:left w:val="single" w:sz="2" w:space="0" w:color="000000"/>
              <w:bottom w:val="single" w:sz="2" w:space="0" w:color="000000"/>
              <w:right w:val="single" w:sz="4" w:space="0" w:color="auto"/>
            </w:tcBorders>
            <w:shd w:val="clear" w:color="auto" w:fill="auto"/>
          </w:tcPr>
          <w:p w14:paraId="65544469" w14:textId="77777777" w:rsidR="00C91693" w:rsidRPr="00C168C5" w:rsidRDefault="00C91693" w:rsidP="00243943">
            <w:pPr>
              <w:rPr>
                <w:rFonts w:eastAsia="Times New Roman"/>
                <w:bCs/>
                <w:u w:val="single"/>
                <w:lang w:val="es-ES_tradnl" w:eastAsia="en-US"/>
              </w:rPr>
            </w:pPr>
          </w:p>
          <w:p w14:paraId="6CD154EC" w14:textId="105373F0" w:rsidR="00C91693" w:rsidRPr="00C168C5" w:rsidRDefault="00F52FE0" w:rsidP="00243943">
            <w:pPr>
              <w:rPr>
                <w:rFonts w:eastAsia="Times New Roman"/>
                <w:lang w:val="es-ES_tradnl" w:eastAsia="en-US"/>
              </w:rPr>
            </w:pPr>
            <w:r w:rsidRPr="00C168C5">
              <w:rPr>
                <w:bCs/>
                <w:szCs w:val="22"/>
                <w:u w:val="single"/>
                <w:lang w:val="es-ES_tradnl" w:eastAsia="en-US"/>
              </w:rPr>
              <w:t>Productos del proyecto</w:t>
            </w:r>
            <w:r w:rsidRPr="00C168C5">
              <w:rPr>
                <w:rFonts w:eastAsia="Times New Roman"/>
                <w:szCs w:val="22"/>
                <w:vertAlign w:val="superscript"/>
                <w:lang w:val="es-ES_tradnl" w:eastAsia="en-US"/>
              </w:rPr>
              <w:footnoteReference w:id="3"/>
            </w:r>
            <w:r w:rsidRPr="00C168C5">
              <w:rPr>
                <w:rFonts w:eastAsia="Times New Roman"/>
                <w:szCs w:val="22"/>
                <w:lang w:val="es-ES_tradnl" w:eastAsia="en-US"/>
              </w:rPr>
              <w:t xml:space="preserve"> </w:t>
            </w:r>
            <w:r w:rsidRPr="00C168C5">
              <w:rPr>
                <w:rFonts w:eastAsia="Times New Roman"/>
                <w:szCs w:val="22"/>
                <w:lang w:val="es-ES_tradnl" w:eastAsia="en-US"/>
              </w:rPr>
              <w:br/>
              <w:t>(Resultado previsto)</w:t>
            </w:r>
          </w:p>
        </w:tc>
        <w:tc>
          <w:tcPr>
            <w:tcW w:w="2694" w:type="dxa"/>
            <w:tcBorders>
              <w:top w:val="single" w:sz="2" w:space="0" w:color="000000"/>
              <w:left w:val="single" w:sz="4" w:space="0" w:color="auto"/>
              <w:bottom w:val="single" w:sz="2" w:space="0" w:color="000000"/>
              <w:right w:val="single" w:sz="4" w:space="0" w:color="auto"/>
            </w:tcBorders>
            <w:shd w:val="clear" w:color="auto" w:fill="auto"/>
            <w:vAlign w:val="center"/>
          </w:tcPr>
          <w:p w14:paraId="35B3C757" w14:textId="77777777" w:rsidR="00C91693" w:rsidRPr="00C168C5" w:rsidRDefault="00C91693" w:rsidP="00243943">
            <w:pPr>
              <w:rPr>
                <w:rFonts w:eastAsia="Times New Roman"/>
                <w:bCs/>
                <w:u w:val="single"/>
                <w:lang w:val="es-ES_tradnl" w:eastAsia="en-US"/>
              </w:rPr>
            </w:pPr>
          </w:p>
          <w:p w14:paraId="26EA7ECE" w14:textId="77777777" w:rsidR="00E32940" w:rsidRPr="00C168C5" w:rsidRDefault="00E32940" w:rsidP="00E32940">
            <w:pPr>
              <w:rPr>
                <w:rFonts w:eastAsia="Times New Roman"/>
                <w:szCs w:val="22"/>
                <w:lang w:val="es-ES_tradnl" w:eastAsia="en-US"/>
              </w:rPr>
            </w:pPr>
            <w:r w:rsidRPr="00C168C5">
              <w:rPr>
                <w:bCs/>
                <w:szCs w:val="22"/>
                <w:u w:val="single"/>
                <w:lang w:val="es-ES_tradnl" w:eastAsia="en-US"/>
              </w:rPr>
              <w:t>Indicadores de obtención de resultados</w:t>
            </w:r>
            <w:r w:rsidRPr="00C168C5">
              <w:rPr>
                <w:rFonts w:eastAsia="Times New Roman"/>
                <w:szCs w:val="22"/>
                <w:lang w:val="es-ES_tradnl" w:eastAsia="en-US"/>
              </w:rPr>
              <w:br/>
              <w:t>(Indicadores de producto)</w:t>
            </w:r>
          </w:p>
          <w:p w14:paraId="244A4B21" w14:textId="77777777" w:rsidR="00C91693" w:rsidRPr="00C168C5" w:rsidRDefault="00C91693" w:rsidP="00E32940">
            <w:pPr>
              <w:rPr>
                <w:rFonts w:eastAsia="Times New Roman"/>
                <w:lang w:val="es-ES_tradnl" w:eastAsia="en-US"/>
              </w:rPr>
            </w:pPr>
          </w:p>
        </w:tc>
        <w:tc>
          <w:tcPr>
            <w:tcW w:w="3228" w:type="dxa"/>
            <w:tcBorders>
              <w:top w:val="single" w:sz="2" w:space="0" w:color="000000"/>
              <w:left w:val="single" w:sz="4" w:space="0" w:color="auto"/>
              <w:bottom w:val="single" w:sz="2" w:space="0" w:color="000000"/>
              <w:right w:val="single" w:sz="4" w:space="0" w:color="auto"/>
            </w:tcBorders>
            <w:shd w:val="clear" w:color="auto" w:fill="auto"/>
          </w:tcPr>
          <w:p w14:paraId="5130ED4E" w14:textId="77777777" w:rsidR="00C91693" w:rsidRPr="00C168C5" w:rsidRDefault="00C91693" w:rsidP="00243943">
            <w:pPr>
              <w:rPr>
                <w:rFonts w:eastAsia="Times New Roman"/>
                <w:bCs/>
                <w:u w:val="single"/>
                <w:lang w:val="es-ES_tradnl" w:eastAsia="en-US"/>
              </w:rPr>
            </w:pPr>
          </w:p>
          <w:p w14:paraId="5D0CABA4" w14:textId="6A5D836E" w:rsidR="00C91693" w:rsidRPr="00C168C5" w:rsidRDefault="00E32940" w:rsidP="00243943">
            <w:pPr>
              <w:rPr>
                <w:rFonts w:eastAsia="Times New Roman"/>
                <w:bCs/>
                <w:u w:val="single"/>
                <w:lang w:val="es-ES_tradnl" w:eastAsia="en-US"/>
              </w:rPr>
            </w:pPr>
            <w:r w:rsidRPr="00C168C5">
              <w:rPr>
                <w:bCs/>
                <w:szCs w:val="22"/>
                <w:u w:val="single"/>
                <w:lang w:val="es-ES_tradnl" w:eastAsia="en-US"/>
              </w:rPr>
              <w:t>Datos sobre el rendimiento</w:t>
            </w:r>
          </w:p>
        </w:tc>
        <w:tc>
          <w:tcPr>
            <w:tcW w:w="1080" w:type="dxa"/>
            <w:tcBorders>
              <w:top w:val="single" w:sz="2" w:space="0" w:color="000000"/>
              <w:left w:val="single" w:sz="4" w:space="0" w:color="auto"/>
              <w:bottom w:val="single" w:sz="2" w:space="0" w:color="000000"/>
              <w:right w:val="single" w:sz="2" w:space="0" w:color="000000"/>
            </w:tcBorders>
            <w:shd w:val="clear" w:color="auto" w:fill="auto"/>
          </w:tcPr>
          <w:p w14:paraId="4A219868" w14:textId="77777777" w:rsidR="00C91693" w:rsidRPr="00C168C5" w:rsidRDefault="00C91693" w:rsidP="00243943">
            <w:pPr>
              <w:rPr>
                <w:rFonts w:eastAsia="Times New Roman"/>
                <w:bCs/>
                <w:u w:val="single"/>
                <w:lang w:val="es-ES_tradnl" w:eastAsia="en-US"/>
              </w:rPr>
            </w:pPr>
          </w:p>
          <w:p w14:paraId="05E0A1DB" w14:textId="7AB3CE19" w:rsidR="00C91693" w:rsidRPr="00C168C5" w:rsidRDefault="00E32940" w:rsidP="00243943">
            <w:pPr>
              <w:rPr>
                <w:rFonts w:eastAsia="Times New Roman"/>
                <w:bCs/>
                <w:u w:val="single"/>
                <w:lang w:val="es-ES_tradnl" w:eastAsia="en-US"/>
              </w:rPr>
            </w:pPr>
            <w:r w:rsidRPr="00C168C5">
              <w:rPr>
                <w:bCs/>
                <w:szCs w:val="22"/>
                <w:u w:val="single"/>
                <w:lang w:val="es-ES_tradnl" w:eastAsia="en-US"/>
              </w:rPr>
              <w:t>Clave de colores</w:t>
            </w:r>
          </w:p>
        </w:tc>
      </w:tr>
      <w:tr w:rsidR="00C91693" w:rsidRPr="00C168C5" w14:paraId="707B09F2" w14:textId="77777777" w:rsidTr="005F6C2B">
        <w:trPr>
          <w:trHeight w:val="2592"/>
        </w:trPr>
        <w:tc>
          <w:tcPr>
            <w:tcW w:w="2410" w:type="dxa"/>
            <w:tcBorders>
              <w:top w:val="single" w:sz="2" w:space="0" w:color="000000"/>
              <w:left w:val="single" w:sz="2" w:space="0" w:color="000000"/>
              <w:bottom w:val="single" w:sz="4" w:space="0" w:color="auto"/>
              <w:right w:val="single" w:sz="4" w:space="0" w:color="auto"/>
            </w:tcBorders>
            <w:shd w:val="clear" w:color="auto" w:fill="auto"/>
          </w:tcPr>
          <w:p w14:paraId="4E6BB222" w14:textId="77777777" w:rsidR="00C91693" w:rsidRPr="00C168C5" w:rsidRDefault="00C91693" w:rsidP="00243943">
            <w:pPr>
              <w:rPr>
                <w:rFonts w:eastAsia="Times New Roman"/>
                <w:lang w:val="es-ES_tradnl" w:eastAsia="en-US"/>
              </w:rPr>
            </w:pPr>
          </w:p>
          <w:p w14:paraId="149D9A18" w14:textId="68479653" w:rsidR="00C91693" w:rsidRPr="00C168C5" w:rsidRDefault="00DE786D" w:rsidP="00DE786D">
            <w:pPr>
              <w:rPr>
                <w:rFonts w:eastAsia="Times New Roman"/>
                <w:lang w:val="es-ES_tradnl" w:eastAsia="en-US"/>
              </w:rPr>
            </w:pPr>
            <w:r w:rsidRPr="00C168C5">
              <w:rPr>
                <w:rFonts w:eastAsia="Times New Roman"/>
                <w:lang w:val="es-ES_tradnl" w:eastAsia="en-US"/>
              </w:rPr>
              <w:t xml:space="preserve">Grupo de expertos nacionales </w:t>
            </w:r>
          </w:p>
        </w:tc>
        <w:tc>
          <w:tcPr>
            <w:tcW w:w="2694" w:type="dxa"/>
            <w:tcBorders>
              <w:top w:val="single" w:sz="2" w:space="0" w:color="000000"/>
              <w:left w:val="single" w:sz="4" w:space="0" w:color="auto"/>
              <w:right w:val="single" w:sz="4" w:space="0" w:color="auto"/>
            </w:tcBorders>
            <w:shd w:val="clear" w:color="auto" w:fill="auto"/>
          </w:tcPr>
          <w:p w14:paraId="7D2D5917" w14:textId="77777777" w:rsidR="00C91693" w:rsidRPr="00C168C5" w:rsidRDefault="00C91693" w:rsidP="00243943">
            <w:pPr>
              <w:rPr>
                <w:rFonts w:eastAsia="Times New Roman"/>
                <w:lang w:val="es-ES_tradnl" w:eastAsia="en-US"/>
              </w:rPr>
            </w:pPr>
          </w:p>
          <w:p w14:paraId="4FBFC768" w14:textId="552BD2FB" w:rsidR="00C91693" w:rsidRPr="00C168C5" w:rsidRDefault="005E5AF6" w:rsidP="005E5AF6">
            <w:pPr>
              <w:rPr>
                <w:rFonts w:eastAsia="Times New Roman"/>
                <w:lang w:val="es-ES_tradnl" w:eastAsia="en-US"/>
              </w:rPr>
            </w:pPr>
            <w:r w:rsidRPr="00C168C5">
              <w:rPr>
                <w:lang w:val="es-ES_tradnl"/>
              </w:rPr>
              <w:t>Se ha establecido un grupo de expertos nacionales en los tres países seleccionados en un plazo de 30 días desde el inicio del proyecto</w:t>
            </w:r>
            <w:r w:rsidR="008F529F" w:rsidRPr="00C168C5">
              <w:rPr>
                <w:lang w:val="es-ES_tradnl"/>
              </w:rPr>
              <w:t>.</w:t>
            </w:r>
          </w:p>
        </w:tc>
        <w:tc>
          <w:tcPr>
            <w:tcW w:w="3228" w:type="dxa"/>
            <w:tcBorders>
              <w:top w:val="single" w:sz="2" w:space="0" w:color="000000"/>
              <w:left w:val="single" w:sz="4" w:space="0" w:color="auto"/>
              <w:right w:val="single" w:sz="4" w:space="0" w:color="auto"/>
            </w:tcBorders>
            <w:shd w:val="clear" w:color="auto" w:fill="auto"/>
          </w:tcPr>
          <w:p w14:paraId="0B51CAF5" w14:textId="77777777" w:rsidR="00C91693" w:rsidRPr="00C168C5" w:rsidRDefault="00C91693" w:rsidP="00243943">
            <w:pPr>
              <w:rPr>
                <w:rFonts w:eastAsia="Times New Roman"/>
                <w:lang w:val="es-ES_tradnl" w:eastAsia="en-US"/>
              </w:rPr>
            </w:pPr>
          </w:p>
          <w:p w14:paraId="5BE3DB3D" w14:textId="5507F9C7" w:rsidR="00C91693" w:rsidRPr="00C168C5" w:rsidRDefault="00EF172E" w:rsidP="005E5AF6">
            <w:pPr>
              <w:rPr>
                <w:rFonts w:eastAsia="Times New Roman"/>
                <w:lang w:val="es-ES_tradnl" w:eastAsia="en-US"/>
              </w:rPr>
            </w:pPr>
            <w:r>
              <w:rPr>
                <w:rFonts w:eastAsia="Times New Roman"/>
                <w:lang w:val="es-ES_tradnl" w:eastAsia="en-US"/>
              </w:rPr>
              <w:t>Se</w:t>
            </w:r>
            <w:r w:rsidR="008F529F" w:rsidRPr="00C168C5">
              <w:rPr>
                <w:rFonts w:eastAsia="Times New Roman"/>
                <w:lang w:val="es-ES_tradnl" w:eastAsia="en-US"/>
              </w:rPr>
              <w:t xml:space="preserve"> estarán formando g</w:t>
            </w:r>
            <w:r w:rsidR="005E5AF6" w:rsidRPr="00C168C5">
              <w:rPr>
                <w:rFonts w:eastAsia="Times New Roman"/>
                <w:lang w:val="es-ES_tradnl" w:eastAsia="en-US"/>
              </w:rPr>
              <w:t xml:space="preserve">rupos de expertos nacionales en todos los países beneficiarios </w:t>
            </w:r>
            <w:r w:rsidR="00C91693" w:rsidRPr="00C168C5">
              <w:rPr>
                <w:rFonts w:eastAsia="Times New Roman"/>
                <w:lang w:val="es-ES_tradnl" w:eastAsia="en-US"/>
              </w:rPr>
              <w:t>(Et</w:t>
            </w:r>
            <w:r w:rsidR="005E5AF6" w:rsidRPr="00C168C5">
              <w:rPr>
                <w:rFonts w:eastAsia="Times New Roman"/>
                <w:lang w:val="es-ES_tradnl" w:eastAsia="en-US"/>
              </w:rPr>
              <w:t xml:space="preserve">iopía, Rwanda, Uganda y </w:t>
            </w:r>
            <w:r w:rsidR="00C91693" w:rsidRPr="00C168C5">
              <w:rPr>
                <w:rFonts w:eastAsia="Times New Roman"/>
                <w:lang w:val="es-ES_tradnl" w:eastAsia="en-US"/>
              </w:rPr>
              <w:t>Tanzania).</w:t>
            </w:r>
          </w:p>
        </w:tc>
        <w:tc>
          <w:tcPr>
            <w:tcW w:w="1080" w:type="dxa"/>
            <w:tcBorders>
              <w:top w:val="single" w:sz="2" w:space="0" w:color="000000"/>
              <w:left w:val="single" w:sz="4" w:space="0" w:color="auto"/>
              <w:right w:val="single" w:sz="2" w:space="0" w:color="000000"/>
            </w:tcBorders>
            <w:shd w:val="clear" w:color="auto" w:fill="auto"/>
          </w:tcPr>
          <w:p w14:paraId="4F5EA2E1" w14:textId="77777777" w:rsidR="00C91693" w:rsidRPr="00C168C5" w:rsidRDefault="00C91693" w:rsidP="00243943">
            <w:pPr>
              <w:rPr>
                <w:rFonts w:eastAsia="Times New Roman"/>
                <w:lang w:val="es-ES_tradnl" w:eastAsia="en-US"/>
              </w:rPr>
            </w:pPr>
          </w:p>
          <w:p w14:paraId="7C9B64E8" w14:textId="77777777" w:rsidR="00C91693" w:rsidRPr="00C168C5" w:rsidRDefault="00C91693" w:rsidP="00243943">
            <w:pPr>
              <w:rPr>
                <w:rFonts w:eastAsia="Times New Roman"/>
                <w:lang w:val="es-ES_tradnl" w:eastAsia="en-US"/>
              </w:rPr>
            </w:pPr>
            <w:r w:rsidRPr="00C168C5">
              <w:rPr>
                <w:rFonts w:eastAsia="Times New Roman"/>
                <w:lang w:val="es-ES_tradnl" w:eastAsia="en-US"/>
              </w:rPr>
              <w:t>****</w:t>
            </w:r>
          </w:p>
        </w:tc>
      </w:tr>
      <w:tr w:rsidR="00C91693" w:rsidRPr="00C168C5" w14:paraId="0C4D48C8" w14:textId="77777777" w:rsidTr="005F6C2B">
        <w:trPr>
          <w:trHeight w:val="1288"/>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B3977E2" w14:textId="77777777" w:rsidR="00C91693" w:rsidRPr="00C168C5" w:rsidRDefault="00C91693" w:rsidP="00243943">
            <w:pPr>
              <w:rPr>
                <w:rFonts w:eastAsia="Times New Roman"/>
                <w:lang w:val="es-ES_tradnl" w:eastAsia="en-US"/>
              </w:rPr>
            </w:pPr>
          </w:p>
          <w:p w14:paraId="26B8F364" w14:textId="7AD0B0E1" w:rsidR="00C91693" w:rsidRPr="00C168C5" w:rsidRDefault="0076745F" w:rsidP="00243943">
            <w:pPr>
              <w:rPr>
                <w:rFonts w:eastAsia="Times New Roman"/>
                <w:lang w:val="es-ES_tradnl" w:eastAsia="en-US"/>
              </w:rPr>
            </w:pPr>
            <w:r w:rsidRPr="00C168C5">
              <w:rPr>
                <w:lang w:val="es-ES_tradnl"/>
              </w:rPr>
              <w:t>Informe relativo al análisis de las tecnologías apropiadas</w:t>
            </w:r>
          </w:p>
        </w:tc>
        <w:tc>
          <w:tcPr>
            <w:tcW w:w="2694" w:type="dxa"/>
            <w:tcBorders>
              <w:top w:val="single" w:sz="6" w:space="0" w:color="000000"/>
              <w:left w:val="single" w:sz="4" w:space="0" w:color="auto"/>
              <w:bottom w:val="single" w:sz="2" w:space="0" w:color="000000"/>
              <w:right w:val="single" w:sz="4" w:space="0" w:color="auto"/>
            </w:tcBorders>
            <w:shd w:val="clear" w:color="auto" w:fill="auto"/>
          </w:tcPr>
          <w:p w14:paraId="205E1873" w14:textId="77777777" w:rsidR="00C91693" w:rsidRPr="00C168C5" w:rsidRDefault="00C91693" w:rsidP="00243943">
            <w:pPr>
              <w:rPr>
                <w:rFonts w:eastAsia="Times New Roman"/>
                <w:lang w:val="es-ES_tradnl" w:eastAsia="en-US"/>
              </w:rPr>
            </w:pPr>
          </w:p>
          <w:p w14:paraId="67C3CDFB" w14:textId="77777777" w:rsidR="0076745F" w:rsidRPr="00C168C5" w:rsidRDefault="0076745F" w:rsidP="0076745F">
            <w:pPr>
              <w:rPr>
                <w:lang w:val="es-ES_tradnl"/>
              </w:rPr>
            </w:pPr>
            <w:r w:rsidRPr="00C168C5">
              <w:rPr>
                <w:lang w:val="es-ES_tradnl"/>
              </w:rPr>
              <w:t>El informe relativo al análisis de las tecnologías apropiadas se pondrá a disposición del gobierno y de la OMPI.</w:t>
            </w:r>
          </w:p>
          <w:p w14:paraId="32032386" w14:textId="77777777" w:rsidR="00C91693" w:rsidRPr="00C168C5" w:rsidRDefault="00C91693" w:rsidP="0076745F">
            <w:pPr>
              <w:rPr>
                <w:rFonts w:eastAsia="Times New Roman"/>
                <w:lang w:val="es-ES_tradnl" w:eastAsia="en-US"/>
              </w:rPr>
            </w:pPr>
          </w:p>
        </w:tc>
        <w:tc>
          <w:tcPr>
            <w:tcW w:w="3228" w:type="dxa"/>
            <w:tcBorders>
              <w:top w:val="single" w:sz="2" w:space="0" w:color="000000"/>
              <w:left w:val="single" w:sz="4" w:space="0" w:color="auto"/>
              <w:bottom w:val="single" w:sz="2" w:space="0" w:color="000000"/>
              <w:right w:val="single" w:sz="4" w:space="0" w:color="auto"/>
            </w:tcBorders>
            <w:shd w:val="clear" w:color="auto" w:fill="auto"/>
          </w:tcPr>
          <w:p w14:paraId="3D76A8AB" w14:textId="77777777" w:rsidR="00C91693" w:rsidRPr="00C168C5" w:rsidRDefault="00C91693" w:rsidP="00243943">
            <w:pPr>
              <w:rPr>
                <w:rFonts w:eastAsia="Times New Roman"/>
                <w:lang w:val="es-ES_tradnl" w:eastAsia="en-US"/>
              </w:rPr>
            </w:pPr>
          </w:p>
          <w:p w14:paraId="0C316B8F" w14:textId="3E66F4A1" w:rsidR="00C91693" w:rsidRPr="00C168C5" w:rsidRDefault="0076745F" w:rsidP="00243943">
            <w:pPr>
              <w:rPr>
                <w:rFonts w:eastAsia="Times New Roman"/>
                <w:lang w:val="es-ES_tradnl" w:eastAsia="en-US"/>
              </w:rPr>
            </w:pPr>
            <w:r w:rsidRPr="00C168C5">
              <w:rPr>
                <w:lang w:val="es-ES_tradnl"/>
              </w:rPr>
              <w:t>No está disponible</w:t>
            </w:r>
          </w:p>
        </w:tc>
        <w:tc>
          <w:tcPr>
            <w:tcW w:w="1080" w:type="dxa"/>
            <w:tcBorders>
              <w:top w:val="single" w:sz="2" w:space="0" w:color="000000"/>
              <w:left w:val="single" w:sz="4" w:space="0" w:color="auto"/>
              <w:bottom w:val="single" w:sz="2" w:space="0" w:color="000000"/>
              <w:right w:val="single" w:sz="2" w:space="0" w:color="000000"/>
            </w:tcBorders>
            <w:shd w:val="clear" w:color="auto" w:fill="auto"/>
          </w:tcPr>
          <w:p w14:paraId="5EF812B5" w14:textId="77777777" w:rsidR="00C91693" w:rsidRPr="00C168C5" w:rsidRDefault="00C91693" w:rsidP="00243943">
            <w:pPr>
              <w:rPr>
                <w:rFonts w:eastAsia="Times New Roman"/>
                <w:lang w:val="es-ES_tradnl" w:eastAsia="en-US"/>
              </w:rPr>
            </w:pPr>
          </w:p>
          <w:p w14:paraId="6DF287B6" w14:textId="1FE2C4E5" w:rsidR="00C91693" w:rsidRPr="00C168C5" w:rsidRDefault="005F6C2B" w:rsidP="00243943">
            <w:pPr>
              <w:rPr>
                <w:rFonts w:eastAsia="Times New Roman"/>
                <w:lang w:val="es-ES_tradnl" w:eastAsia="en-US"/>
              </w:rPr>
            </w:pPr>
            <w:r w:rsidRPr="00C168C5">
              <w:rPr>
                <w:lang w:val="es-ES_tradnl"/>
              </w:rPr>
              <w:t>No está disponible</w:t>
            </w:r>
          </w:p>
        </w:tc>
      </w:tr>
      <w:tr w:rsidR="00C91693" w:rsidRPr="00C168C5" w14:paraId="2F60B158" w14:textId="77777777" w:rsidTr="005F6C2B">
        <w:trPr>
          <w:trHeight w:val="1288"/>
        </w:trPr>
        <w:tc>
          <w:tcPr>
            <w:tcW w:w="2410" w:type="dxa"/>
            <w:tcBorders>
              <w:top w:val="single" w:sz="4" w:space="0" w:color="auto"/>
              <w:left w:val="single" w:sz="2" w:space="0" w:color="000000"/>
              <w:bottom w:val="single" w:sz="2" w:space="0" w:color="000000"/>
              <w:right w:val="single" w:sz="4" w:space="0" w:color="auto"/>
            </w:tcBorders>
            <w:shd w:val="clear" w:color="auto" w:fill="auto"/>
          </w:tcPr>
          <w:p w14:paraId="0BEDD748" w14:textId="77777777" w:rsidR="00C91693" w:rsidRPr="00C168C5" w:rsidRDefault="00C91693" w:rsidP="00243943">
            <w:pPr>
              <w:rPr>
                <w:rFonts w:eastAsia="Times New Roman"/>
                <w:lang w:val="es-ES_tradnl" w:eastAsia="en-US"/>
              </w:rPr>
            </w:pPr>
          </w:p>
          <w:p w14:paraId="4929B6A5" w14:textId="77777777" w:rsidR="0076745F" w:rsidRPr="00C168C5" w:rsidRDefault="0076745F" w:rsidP="0076745F">
            <w:pPr>
              <w:rPr>
                <w:lang w:val="es-ES_tradnl"/>
              </w:rPr>
            </w:pPr>
            <w:r w:rsidRPr="00C168C5">
              <w:rPr>
                <w:lang w:val="es-ES_tradnl"/>
              </w:rPr>
              <w:t>Plan de actividades para la aplicación de determinadas tecnologías apropiadas</w:t>
            </w:r>
          </w:p>
          <w:p w14:paraId="501894FA" w14:textId="77777777" w:rsidR="00C91693" w:rsidRPr="00C168C5" w:rsidRDefault="00C91693" w:rsidP="0076745F">
            <w:pPr>
              <w:rPr>
                <w:rFonts w:eastAsia="Times New Roman"/>
                <w:lang w:val="es-ES_tradnl" w:eastAsia="en-US"/>
              </w:rPr>
            </w:pPr>
          </w:p>
        </w:tc>
        <w:tc>
          <w:tcPr>
            <w:tcW w:w="2694" w:type="dxa"/>
            <w:tcBorders>
              <w:top w:val="single" w:sz="6" w:space="0" w:color="000000"/>
              <w:left w:val="single" w:sz="4" w:space="0" w:color="auto"/>
              <w:bottom w:val="single" w:sz="2" w:space="0" w:color="000000"/>
              <w:right w:val="single" w:sz="4" w:space="0" w:color="auto"/>
            </w:tcBorders>
            <w:shd w:val="clear" w:color="auto" w:fill="auto"/>
          </w:tcPr>
          <w:p w14:paraId="5A1818C7" w14:textId="77777777" w:rsidR="00C91693" w:rsidRPr="00C168C5" w:rsidRDefault="00C91693" w:rsidP="00243943">
            <w:pPr>
              <w:rPr>
                <w:rFonts w:eastAsia="Times New Roman"/>
                <w:lang w:val="es-ES_tradnl" w:eastAsia="en-US"/>
              </w:rPr>
            </w:pPr>
          </w:p>
          <w:p w14:paraId="16B3134B" w14:textId="77777777" w:rsidR="0076745F" w:rsidRPr="00C168C5" w:rsidRDefault="0076745F" w:rsidP="0076745F">
            <w:pPr>
              <w:rPr>
                <w:lang w:val="es-ES_tradnl"/>
              </w:rPr>
            </w:pPr>
            <w:r w:rsidRPr="00C168C5">
              <w:rPr>
                <w:lang w:val="es-ES_tradnl"/>
              </w:rPr>
              <w:t>Se seleccionará una o más tecnologías apropiadas a los fines de su aplicación y se elaborará un plan de actividades para ejecutar el proyecto en la práctica seis meses después de su inicio.</w:t>
            </w:r>
          </w:p>
          <w:p w14:paraId="6EF7DEEA" w14:textId="77777777" w:rsidR="0076745F" w:rsidRPr="00C168C5" w:rsidRDefault="0076745F" w:rsidP="0076745F">
            <w:pPr>
              <w:rPr>
                <w:lang w:val="es-ES_tradnl"/>
              </w:rPr>
            </w:pPr>
          </w:p>
          <w:p w14:paraId="362F9977" w14:textId="4C91C071" w:rsidR="0076745F" w:rsidRPr="00C168C5" w:rsidRDefault="0076745F" w:rsidP="0076745F">
            <w:pPr>
              <w:rPr>
                <w:lang w:val="es-ES_tradnl"/>
              </w:rPr>
            </w:pPr>
            <w:r w:rsidRPr="00C168C5">
              <w:rPr>
                <w:lang w:val="es-ES_tradnl"/>
              </w:rPr>
              <w:t>P</w:t>
            </w:r>
            <w:r w:rsidR="005F6C2B" w:rsidRPr="00C168C5">
              <w:rPr>
                <w:lang w:val="es-ES_tradnl"/>
              </w:rPr>
              <w:t>lanes de actividades ejecutados</w:t>
            </w:r>
          </w:p>
          <w:p w14:paraId="0C7B70F8" w14:textId="77777777" w:rsidR="00C91693" w:rsidRPr="00C168C5" w:rsidRDefault="00C91693" w:rsidP="0076745F">
            <w:pPr>
              <w:rPr>
                <w:rFonts w:eastAsia="Times New Roman"/>
                <w:lang w:val="es-ES_tradnl" w:eastAsia="en-US"/>
              </w:rPr>
            </w:pPr>
          </w:p>
        </w:tc>
        <w:tc>
          <w:tcPr>
            <w:tcW w:w="3228" w:type="dxa"/>
            <w:tcBorders>
              <w:top w:val="single" w:sz="2" w:space="0" w:color="000000"/>
              <w:left w:val="single" w:sz="4" w:space="0" w:color="auto"/>
              <w:bottom w:val="single" w:sz="2" w:space="0" w:color="000000"/>
              <w:right w:val="single" w:sz="4" w:space="0" w:color="auto"/>
            </w:tcBorders>
            <w:shd w:val="clear" w:color="auto" w:fill="auto"/>
          </w:tcPr>
          <w:p w14:paraId="76A99150" w14:textId="77777777" w:rsidR="00C91693" w:rsidRPr="00C168C5" w:rsidRDefault="00C91693" w:rsidP="00243943">
            <w:pPr>
              <w:rPr>
                <w:rFonts w:eastAsia="Times New Roman"/>
                <w:lang w:val="es-ES_tradnl" w:eastAsia="en-US"/>
              </w:rPr>
            </w:pPr>
          </w:p>
          <w:p w14:paraId="6238A53E" w14:textId="74F472EF" w:rsidR="00C91693" w:rsidRPr="00C168C5" w:rsidRDefault="0076745F" w:rsidP="00243943">
            <w:pPr>
              <w:rPr>
                <w:rFonts w:eastAsia="Times New Roman"/>
                <w:lang w:val="es-ES_tradnl" w:eastAsia="en-US"/>
              </w:rPr>
            </w:pPr>
            <w:r w:rsidRPr="00C168C5">
              <w:rPr>
                <w:lang w:val="es-ES_tradnl"/>
              </w:rPr>
              <w:t>No está disponible</w:t>
            </w:r>
          </w:p>
        </w:tc>
        <w:tc>
          <w:tcPr>
            <w:tcW w:w="1080" w:type="dxa"/>
            <w:tcBorders>
              <w:top w:val="single" w:sz="2" w:space="0" w:color="000000"/>
              <w:left w:val="single" w:sz="4" w:space="0" w:color="auto"/>
              <w:bottom w:val="single" w:sz="2" w:space="0" w:color="000000"/>
              <w:right w:val="single" w:sz="2" w:space="0" w:color="000000"/>
            </w:tcBorders>
            <w:shd w:val="clear" w:color="auto" w:fill="auto"/>
          </w:tcPr>
          <w:p w14:paraId="32282D0A" w14:textId="77777777" w:rsidR="00C91693" w:rsidRPr="00C168C5" w:rsidRDefault="00C91693" w:rsidP="00243943">
            <w:pPr>
              <w:rPr>
                <w:rFonts w:eastAsia="Times New Roman"/>
                <w:lang w:val="es-ES_tradnl" w:eastAsia="en-US"/>
              </w:rPr>
            </w:pPr>
          </w:p>
          <w:p w14:paraId="4A54B997" w14:textId="157426E1" w:rsidR="00C91693" w:rsidRPr="00C168C5" w:rsidRDefault="0076745F" w:rsidP="00243943">
            <w:pPr>
              <w:rPr>
                <w:rFonts w:eastAsia="Times New Roman"/>
                <w:lang w:val="es-ES_tradnl" w:eastAsia="en-US"/>
              </w:rPr>
            </w:pPr>
            <w:r w:rsidRPr="00C168C5">
              <w:rPr>
                <w:lang w:val="es-ES_tradnl"/>
              </w:rPr>
              <w:t>No está disponible</w:t>
            </w:r>
          </w:p>
        </w:tc>
      </w:tr>
      <w:tr w:rsidR="00C91693" w:rsidRPr="00C168C5" w14:paraId="76547749" w14:textId="77777777" w:rsidTr="005F6C2B">
        <w:trPr>
          <w:trHeight w:val="1288"/>
        </w:trPr>
        <w:tc>
          <w:tcPr>
            <w:tcW w:w="2410" w:type="dxa"/>
            <w:tcBorders>
              <w:left w:val="single" w:sz="2" w:space="0" w:color="000000"/>
              <w:bottom w:val="single" w:sz="2" w:space="0" w:color="000000"/>
              <w:right w:val="single" w:sz="4" w:space="0" w:color="auto"/>
            </w:tcBorders>
            <w:shd w:val="clear" w:color="auto" w:fill="auto"/>
          </w:tcPr>
          <w:p w14:paraId="2B804E7E" w14:textId="77777777" w:rsidR="00C91693" w:rsidRPr="00C168C5" w:rsidRDefault="00C91693" w:rsidP="00243943">
            <w:pPr>
              <w:rPr>
                <w:rFonts w:eastAsia="Times New Roman"/>
                <w:lang w:val="es-ES_tradnl" w:eastAsia="en-US"/>
              </w:rPr>
            </w:pPr>
          </w:p>
          <w:p w14:paraId="74500339" w14:textId="0E9095C8" w:rsidR="00C91693" w:rsidRPr="00C168C5" w:rsidRDefault="0004553D" w:rsidP="0004553D">
            <w:pPr>
              <w:rPr>
                <w:rFonts w:eastAsia="Times New Roman"/>
                <w:lang w:val="es-ES_tradnl" w:eastAsia="en-US"/>
              </w:rPr>
            </w:pPr>
            <w:r w:rsidRPr="00C168C5">
              <w:rPr>
                <w:rFonts w:eastAsia="Times New Roman"/>
                <w:lang w:val="es-ES_tradnl" w:eastAsia="en-US"/>
              </w:rPr>
              <w:t>Programa de sensibilización</w:t>
            </w:r>
          </w:p>
        </w:tc>
        <w:tc>
          <w:tcPr>
            <w:tcW w:w="2694" w:type="dxa"/>
            <w:tcBorders>
              <w:top w:val="single" w:sz="6" w:space="0" w:color="000000"/>
              <w:left w:val="single" w:sz="4" w:space="0" w:color="auto"/>
              <w:bottom w:val="single" w:sz="2" w:space="0" w:color="000000"/>
              <w:right w:val="single" w:sz="4" w:space="0" w:color="auto"/>
            </w:tcBorders>
            <w:shd w:val="clear" w:color="auto" w:fill="auto"/>
          </w:tcPr>
          <w:p w14:paraId="3C989E8A" w14:textId="77777777" w:rsidR="00C91693" w:rsidRPr="00C168C5" w:rsidRDefault="00C91693" w:rsidP="00243943">
            <w:pPr>
              <w:rPr>
                <w:rFonts w:eastAsia="Times New Roman"/>
                <w:lang w:val="es-ES_tradnl" w:eastAsia="en-US"/>
              </w:rPr>
            </w:pPr>
          </w:p>
          <w:p w14:paraId="10B0D47B" w14:textId="64DF7649" w:rsidR="00C91693" w:rsidRPr="00C168C5" w:rsidRDefault="0004553D" w:rsidP="0004553D">
            <w:pPr>
              <w:rPr>
                <w:rFonts w:eastAsia="Times New Roman"/>
                <w:lang w:val="es-ES_tradnl" w:eastAsia="en-US"/>
              </w:rPr>
            </w:pPr>
            <w:r w:rsidRPr="00C168C5">
              <w:rPr>
                <w:lang w:val="es-ES_tradnl"/>
              </w:rPr>
              <w:t>El Programa a de sensibilización destinado a un sector en concreto se terminará de elaborar en un plazo de 24 meses a partir del inicio del proyecto.</w:t>
            </w:r>
          </w:p>
        </w:tc>
        <w:tc>
          <w:tcPr>
            <w:tcW w:w="3228" w:type="dxa"/>
            <w:tcBorders>
              <w:top w:val="single" w:sz="2" w:space="0" w:color="000000"/>
              <w:left w:val="single" w:sz="4" w:space="0" w:color="auto"/>
              <w:bottom w:val="single" w:sz="2" w:space="0" w:color="000000"/>
              <w:right w:val="single" w:sz="4" w:space="0" w:color="auto"/>
            </w:tcBorders>
            <w:shd w:val="clear" w:color="auto" w:fill="auto"/>
          </w:tcPr>
          <w:p w14:paraId="6AD427CE" w14:textId="77777777" w:rsidR="00C91693" w:rsidRPr="00C168C5" w:rsidRDefault="00C91693" w:rsidP="00243943">
            <w:pPr>
              <w:rPr>
                <w:rFonts w:eastAsia="Times New Roman"/>
                <w:lang w:val="es-ES_tradnl" w:eastAsia="en-US"/>
              </w:rPr>
            </w:pPr>
          </w:p>
          <w:p w14:paraId="680801B8" w14:textId="59A83A8B" w:rsidR="00C91693" w:rsidRPr="00C168C5" w:rsidRDefault="0004553D" w:rsidP="00243943">
            <w:pPr>
              <w:rPr>
                <w:rFonts w:eastAsia="Times New Roman"/>
                <w:lang w:val="es-ES_tradnl" w:eastAsia="en-US"/>
              </w:rPr>
            </w:pPr>
            <w:r w:rsidRPr="00C168C5">
              <w:rPr>
                <w:lang w:val="es-ES_tradnl"/>
              </w:rPr>
              <w:t>No está disponible</w:t>
            </w:r>
          </w:p>
        </w:tc>
        <w:tc>
          <w:tcPr>
            <w:tcW w:w="1080" w:type="dxa"/>
            <w:tcBorders>
              <w:top w:val="single" w:sz="2" w:space="0" w:color="000000"/>
              <w:left w:val="single" w:sz="4" w:space="0" w:color="auto"/>
              <w:bottom w:val="single" w:sz="2" w:space="0" w:color="000000"/>
              <w:right w:val="single" w:sz="2" w:space="0" w:color="000000"/>
            </w:tcBorders>
            <w:shd w:val="clear" w:color="auto" w:fill="auto"/>
          </w:tcPr>
          <w:p w14:paraId="1636E1AA" w14:textId="77777777" w:rsidR="00C91693" w:rsidRPr="00C168C5" w:rsidRDefault="00C91693" w:rsidP="00243943">
            <w:pPr>
              <w:rPr>
                <w:rFonts w:eastAsia="Times New Roman"/>
                <w:lang w:val="es-ES_tradnl" w:eastAsia="en-US"/>
              </w:rPr>
            </w:pPr>
          </w:p>
          <w:p w14:paraId="527BE6DC" w14:textId="25DABD91" w:rsidR="00C91693" w:rsidRPr="00C168C5" w:rsidRDefault="0004553D" w:rsidP="00243943">
            <w:pPr>
              <w:rPr>
                <w:rFonts w:eastAsia="Times New Roman"/>
                <w:lang w:val="es-ES_tradnl" w:eastAsia="en-US"/>
              </w:rPr>
            </w:pPr>
            <w:r w:rsidRPr="00C168C5">
              <w:rPr>
                <w:lang w:val="es-ES_tradnl"/>
              </w:rPr>
              <w:t>No está disponible</w:t>
            </w:r>
          </w:p>
        </w:tc>
      </w:tr>
    </w:tbl>
    <w:p w14:paraId="217124E8" w14:textId="77777777" w:rsidR="00C91693" w:rsidRPr="00C168C5" w:rsidRDefault="00C91693" w:rsidP="00C91693">
      <w:pPr>
        <w:rPr>
          <w:rFonts w:eastAsia="Times New Roman"/>
          <w:lang w:val="es-ES_tradnl" w:eastAsia="en-US"/>
        </w:rPr>
      </w:pPr>
      <w:r w:rsidRPr="00C168C5">
        <w:rPr>
          <w:rFonts w:eastAsia="Times New Roman"/>
          <w:lang w:val="es-ES_tradnl" w:eastAsia="en-US"/>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194"/>
        <w:gridCol w:w="1058"/>
      </w:tblGrid>
      <w:tr w:rsidR="00C91693" w:rsidRPr="00C168C5" w14:paraId="4238A838" w14:textId="77777777" w:rsidTr="00243943">
        <w:trPr>
          <w:trHeight w:val="616"/>
          <w:tblHeader/>
        </w:trPr>
        <w:tc>
          <w:tcPr>
            <w:tcW w:w="2410" w:type="dxa"/>
            <w:shd w:val="clear" w:color="auto" w:fill="auto"/>
          </w:tcPr>
          <w:p w14:paraId="0CA195A7" w14:textId="77777777" w:rsidR="00C91693" w:rsidRPr="00C168C5" w:rsidRDefault="00C91693" w:rsidP="00243943">
            <w:pPr>
              <w:rPr>
                <w:rFonts w:eastAsia="Times New Roman"/>
                <w:bCs/>
                <w:u w:val="single"/>
                <w:lang w:val="es-ES_tradnl" w:eastAsia="en-US"/>
              </w:rPr>
            </w:pPr>
          </w:p>
          <w:p w14:paraId="2DF6D214" w14:textId="1DF31748" w:rsidR="00C91693" w:rsidRPr="00C168C5" w:rsidRDefault="00113EAC" w:rsidP="00243943">
            <w:pPr>
              <w:rPr>
                <w:rFonts w:eastAsia="Times New Roman"/>
                <w:bCs/>
                <w:u w:val="single"/>
                <w:lang w:val="es-ES_tradnl" w:eastAsia="en-US"/>
              </w:rPr>
            </w:pPr>
            <w:r w:rsidRPr="00C168C5">
              <w:rPr>
                <w:u w:val="single"/>
                <w:lang w:val="es-ES_tradnl"/>
              </w:rPr>
              <w:t>Objetivos del proyecto</w:t>
            </w:r>
          </w:p>
        </w:tc>
        <w:tc>
          <w:tcPr>
            <w:tcW w:w="2694" w:type="dxa"/>
            <w:shd w:val="clear" w:color="auto" w:fill="auto"/>
          </w:tcPr>
          <w:p w14:paraId="70E61BC2" w14:textId="77777777" w:rsidR="00C91693" w:rsidRPr="00C168C5" w:rsidRDefault="00C91693" w:rsidP="00243943">
            <w:pPr>
              <w:rPr>
                <w:rFonts w:eastAsia="Times New Roman"/>
                <w:bCs/>
                <w:u w:val="single"/>
                <w:lang w:val="es-ES_tradnl" w:eastAsia="en-US"/>
              </w:rPr>
            </w:pPr>
          </w:p>
          <w:p w14:paraId="4DDF3C66" w14:textId="77777777" w:rsidR="00113EAC" w:rsidRPr="00C168C5" w:rsidRDefault="00113EAC" w:rsidP="00113EAC">
            <w:pPr>
              <w:autoSpaceDE w:val="0"/>
              <w:autoSpaceDN w:val="0"/>
              <w:adjustRightInd w:val="0"/>
              <w:rPr>
                <w:bCs/>
                <w:szCs w:val="22"/>
                <w:u w:val="single"/>
                <w:lang w:val="es-ES_tradnl"/>
              </w:rPr>
            </w:pPr>
            <w:r w:rsidRPr="00C168C5">
              <w:rPr>
                <w:bCs/>
                <w:szCs w:val="22"/>
                <w:u w:val="single"/>
                <w:lang w:val="es-ES_tradnl"/>
              </w:rPr>
              <w:t>Indicadores de cumplimiento de los objetivos</w:t>
            </w:r>
          </w:p>
          <w:p w14:paraId="63A182C9" w14:textId="5B043C48" w:rsidR="00C91693" w:rsidRPr="00C168C5" w:rsidRDefault="00113EAC" w:rsidP="00113EAC">
            <w:pPr>
              <w:autoSpaceDE w:val="0"/>
              <w:autoSpaceDN w:val="0"/>
              <w:adjustRightInd w:val="0"/>
              <w:rPr>
                <w:bCs/>
                <w:szCs w:val="22"/>
                <w:lang w:val="es-ES_tradnl"/>
              </w:rPr>
            </w:pPr>
            <w:r w:rsidRPr="00C168C5">
              <w:rPr>
                <w:bCs/>
                <w:szCs w:val="22"/>
                <w:lang w:val="es-ES_tradnl"/>
              </w:rPr>
              <w:t>(Indicadores de resultado)</w:t>
            </w:r>
          </w:p>
          <w:p w14:paraId="46234F42" w14:textId="77777777" w:rsidR="00C91693" w:rsidRPr="00C168C5" w:rsidRDefault="00C91693" w:rsidP="00243943">
            <w:pPr>
              <w:rPr>
                <w:rFonts w:eastAsia="Times New Roman"/>
                <w:lang w:val="es-ES_tradnl" w:eastAsia="en-US"/>
              </w:rPr>
            </w:pPr>
          </w:p>
        </w:tc>
        <w:tc>
          <w:tcPr>
            <w:tcW w:w="3194" w:type="dxa"/>
            <w:shd w:val="clear" w:color="auto" w:fill="auto"/>
          </w:tcPr>
          <w:p w14:paraId="53A46294" w14:textId="77777777" w:rsidR="00C91693" w:rsidRPr="00C168C5" w:rsidRDefault="00C91693" w:rsidP="00243943">
            <w:pPr>
              <w:rPr>
                <w:rFonts w:eastAsia="Times New Roman"/>
                <w:u w:val="single"/>
                <w:lang w:val="es-ES_tradnl" w:eastAsia="en-US"/>
              </w:rPr>
            </w:pPr>
          </w:p>
          <w:p w14:paraId="6466AC2B" w14:textId="08063499" w:rsidR="00C91693" w:rsidRPr="00C168C5" w:rsidRDefault="00113EAC" w:rsidP="00243943">
            <w:pPr>
              <w:rPr>
                <w:rFonts w:eastAsia="Times New Roman"/>
                <w:bCs/>
                <w:u w:val="single"/>
                <w:lang w:val="es-ES_tradnl" w:eastAsia="en-US"/>
              </w:rPr>
            </w:pPr>
            <w:r w:rsidRPr="00C168C5">
              <w:rPr>
                <w:u w:val="single"/>
                <w:lang w:val="es-ES_tradnl"/>
              </w:rPr>
              <w:t>Datos sobre el rendimiento</w:t>
            </w:r>
          </w:p>
        </w:tc>
        <w:tc>
          <w:tcPr>
            <w:tcW w:w="1058" w:type="dxa"/>
            <w:shd w:val="clear" w:color="auto" w:fill="auto"/>
          </w:tcPr>
          <w:p w14:paraId="51E7D6BF" w14:textId="77777777" w:rsidR="00C91693" w:rsidRPr="00C168C5" w:rsidRDefault="00C91693" w:rsidP="00243943">
            <w:pPr>
              <w:rPr>
                <w:rFonts w:eastAsia="Times New Roman"/>
                <w:u w:val="single"/>
                <w:lang w:val="es-ES_tradnl" w:eastAsia="en-US"/>
              </w:rPr>
            </w:pPr>
          </w:p>
          <w:p w14:paraId="46263128" w14:textId="3FBA228C" w:rsidR="00C91693" w:rsidRPr="00C168C5" w:rsidRDefault="00113EAC" w:rsidP="00243943">
            <w:pPr>
              <w:rPr>
                <w:rFonts w:eastAsia="Times New Roman"/>
                <w:bCs/>
                <w:u w:val="single"/>
                <w:lang w:val="es-ES_tradnl" w:eastAsia="en-US"/>
              </w:rPr>
            </w:pPr>
            <w:r w:rsidRPr="00C168C5">
              <w:rPr>
                <w:u w:val="single"/>
                <w:lang w:val="es-ES_tradnl"/>
              </w:rPr>
              <w:t>Clave de colores</w:t>
            </w:r>
          </w:p>
        </w:tc>
      </w:tr>
      <w:tr w:rsidR="00C91693" w:rsidRPr="00C168C5" w14:paraId="5A8C6923" w14:textId="77777777" w:rsidTr="00243943">
        <w:trPr>
          <w:trHeight w:val="1626"/>
        </w:trPr>
        <w:tc>
          <w:tcPr>
            <w:tcW w:w="2410" w:type="dxa"/>
            <w:shd w:val="clear" w:color="auto" w:fill="auto"/>
          </w:tcPr>
          <w:p w14:paraId="129A3A46" w14:textId="77777777" w:rsidR="00C91693" w:rsidRPr="00C168C5" w:rsidRDefault="00C91693" w:rsidP="00243943">
            <w:pPr>
              <w:rPr>
                <w:rFonts w:eastAsia="Calibri"/>
                <w:szCs w:val="22"/>
                <w:lang w:val="es-ES_tradnl" w:eastAsia="en-US"/>
              </w:rPr>
            </w:pPr>
          </w:p>
          <w:p w14:paraId="31DA52FA" w14:textId="77777777" w:rsidR="0050703C" w:rsidRPr="00C168C5" w:rsidRDefault="0050703C" w:rsidP="0050703C">
            <w:pPr>
              <w:rPr>
                <w:lang w:val="es-ES_tradnl"/>
              </w:rPr>
            </w:pPr>
            <w:r w:rsidRPr="00C168C5">
              <w:rPr>
                <w:lang w:val="es-ES_tradnl"/>
              </w:rPr>
              <w:t>Mayor capacidad nacional en los PMA que les permita utilizar soluciones técnicas adecuadas para hacer frente a importantes problemas de desarrollo</w:t>
            </w:r>
          </w:p>
          <w:p w14:paraId="211B962A" w14:textId="77777777" w:rsidR="00C91693" w:rsidRPr="00C168C5" w:rsidRDefault="00C91693" w:rsidP="0050703C">
            <w:pPr>
              <w:rPr>
                <w:rFonts w:eastAsia="Times New Roman"/>
                <w:bCs/>
                <w:lang w:val="es-ES_tradnl" w:eastAsia="en-US"/>
              </w:rPr>
            </w:pPr>
          </w:p>
        </w:tc>
        <w:tc>
          <w:tcPr>
            <w:tcW w:w="2694" w:type="dxa"/>
            <w:shd w:val="clear" w:color="auto" w:fill="auto"/>
          </w:tcPr>
          <w:p w14:paraId="3A5C8247" w14:textId="77777777" w:rsidR="00C91693" w:rsidRPr="00C168C5" w:rsidRDefault="00C91693" w:rsidP="00243943">
            <w:pPr>
              <w:spacing w:after="200" w:line="276" w:lineRule="auto"/>
              <w:contextualSpacing/>
              <w:rPr>
                <w:rFonts w:eastAsia="Calibri"/>
                <w:szCs w:val="22"/>
                <w:lang w:val="es-ES_tradnl" w:eastAsia="en-US"/>
              </w:rPr>
            </w:pPr>
          </w:p>
          <w:p w14:paraId="09FEC067" w14:textId="07E68A36" w:rsidR="00C91693" w:rsidRPr="00C168C5" w:rsidRDefault="005B2C24" w:rsidP="00903EA9">
            <w:pPr>
              <w:numPr>
                <w:ilvl w:val="0"/>
                <w:numId w:val="16"/>
              </w:numPr>
              <w:spacing w:after="200" w:line="276" w:lineRule="auto"/>
              <w:ind w:left="0" w:firstLine="0"/>
              <w:contextualSpacing/>
              <w:rPr>
                <w:rFonts w:eastAsia="Calibri"/>
                <w:szCs w:val="22"/>
                <w:lang w:val="es-ES_tradnl" w:eastAsia="en-US"/>
              </w:rPr>
            </w:pPr>
            <w:r w:rsidRPr="00C168C5">
              <w:rPr>
                <w:rFonts w:eastAsia="Calibri"/>
                <w:szCs w:val="22"/>
                <w:lang w:val="es-ES_tradnl" w:eastAsia="en-US"/>
              </w:rPr>
              <w:t>El número de organizaciones, comunidades y personas que aplicaron y emplearon en el país la tecnología apropiada para solucionar determinados problemas de desarrollo en los PMA</w:t>
            </w:r>
            <w:r w:rsidR="00C91693" w:rsidRPr="00C168C5">
              <w:rPr>
                <w:rFonts w:eastAsia="Calibri"/>
                <w:szCs w:val="22"/>
                <w:lang w:val="es-ES_tradnl" w:eastAsia="en-US"/>
              </w:rPr>
              <w:t>.</w:t>
            </w:r>
          </w:p>
          <w:p w14:paraId="0D27E465" w14:textId="77777777" w:rsidR="00C91693" w:rsidRPr="00C168C5" w:rsidRDefault="00C91693" w:rsidP="00243943">
            <w:pPr>
              <w:spacing w:after="200" w:line="276" w:lineRule="auto"/>
              <w:contextualSpacing/>
              <w:rPr>
                <w:rFonts w:eastAsia="Calibri"/>
                <w:szCs w:val="22"/>
                <w:lang w:val="es-ES_tradnl" w:eastAsia="en-US"/>
              </w:rPr>
            </w:pPr>
          </w:p>
        </w:tc>
        <w:tc>
          <w:tcPr>
            <w:tcW w:w="3194" w:type="dxa"/>
            <w:shd w:val="clear" w:color="auto" w:fill="auto"/>
          </w:tcPr>
          <w:p w14:paraId="4E71BA47" w14:textId="77777777" w:rsidR="00C91693" w:rsidRPr="00C168C5" w:rsidRDefault="00C91693" w:rsidP="00243943">
            <w:pPr>
              <w:rPr>
                <w:rFonts w:eastAsia="Times New Roman"/>
                <w:lang w:val="es-ES_tradnl" w:eastAsia="en-US"/>
              </w:rPr>
            </w:pPr>
          </w:p>
          <w:p w14:paraId="7C04097C" w14:textId="5BCECE41" w:rsidR="00C91693" w:rsidRPr="00C168C5" w:rsidRDefault="005B2C24" w:rsidP="00243943">
            <w:pPr>
              <w:rPr>
                <w:rFonts w:eastAsia="Times New Roman"/>
                <w:lang w:val="es-ES_tradnl" w:eastAsia="en-US"/>
              </w:rPr>
            </w:pPr>
            <w:r w:rsidRPr="00C168C5">
              <w:rPr>
                <w:szCs w:val="22"/>
                <w:lang w:val="es-ES_tradnl"/>
              </w:rPr>
              <w:t>Es demasiado pronto para suministrar materiales</w:t>
            </w:r>
          </w:p>
        </w:tc>
        <w:tc>
          <w:tcPr>
            <w:tcW w:w="1058" w:type="dxa"/>
            <w:shd w:val="clear" w:color="auto" w:fill="auto"/>
          </w:tcPr>
          <w:p w14:paraId="41ECD621" w14:textId="77777777" w:rsidR="00C91693" w:rsidRPr="00C168C5" w:rsidRDefault="00C91693" w:rsidP="00243943">
            <w:pPr>
              <w:rPr>
                <w:rFonts w:eastAsia="Times New Roman"/>
                <w:lang w:val="es-ES_tradnl" w:eastAsia="en-US"/>
              </w:rPr>
            </w:pPr>
          </w:p>
          <w:p w14:paraId="35DF8209" w14:textId="7A6FF374" w:rsidR="00C91693" w:rsidRPr="00C168C5" w:rsidRDefault="005B2C24" w:rsidP="00243943">
            <w:pPr>
              <w:rPr>
                <w:rFonts w:eastAsia="Times New Roman"/>
                <w:lang w:val="es-ES_tradnl" w:eastAsia="en-US"/>
              </w:rPr>
            </w:pPr>
            <w:r w:rsidRPr="00C168C5">
              <w:rPr>
                <w:lang w:val="es-ES_tradnl"/>
              </w:rPr>
              <w:t>No está disponible</w:t>
            </w:r>
          </w:p>
        </w:tc>
      </w:tr>
      <w:tr w:rsidR="00C91693" w:rsidRPr="00C168C5" w14:paraId="4497AF0C" w14:textId="77777777" w:rsidTr="00243943">
        <w:trPr>
          <w:trHeight w:val="3527"/>
        </w:trPr>
        <w:tc>
          <w:tcPr>
            <w:tcW w:w="2410" w:type="dxa"/>
            <w:shd w:val="clear" w:color="auto" w:fill="auto"/>
          </w:tcPr>
          <w:p w14:paraId="57AA43B2" w14:textId="77777777" w:rsidR="00C91693" w:rsidRPr="00C168C5" w:rsidRDefault="00C91693" w:rsidP="00243943">
            <w:pPr>
              <w:rPr>
                <w:rFonts w:eastAsia="Times New Roman"/>
                <w:bCs/>
                <w:lang w:val="es-ES_tradnl" w:eastAsia="en-US"/>
              </w:rPr>
            </w:pPr>
          </w:p>
          <w:p w14:paraId="39F3F7A7" w14:textId="0A443A0E" w:rsidR="00C91693" w:rsidRPr="00C168C5" w:rsidRDefault="005B2C24" w:rsidP="00243943">
            <w:pPr>
              <w:rPr>
                <w:rFonts w:eastAsia="Times New Roman"/>
                <w:bCs/>
                <w:lang w:val="es-ES_tradnl" w:eastAsia="en-US"/>
              </w:rPr>
            </w:pPr>
            <w:r w:rsidRPr="00C168C5">
              <w:rPr>
                <w:rFonts w:eastAsia="Malgun Gothic"/>
                <w:bCs/>
                <w:kern w:val="2"/>
                <w:lang w:val="es-ES_tradnl" w:eastAsia="ko-KR"/>
              </w:rPr>
              <w:t>Mayor comprensión del uso de la información técnica y sobre patentes para la innovación y el fortalecimiento de las capacidades tecnológicas nacionales</w:t>
            </w:r>
          </w:p>
        </w:tc>
        <w:tc>
          <w:tcPr>
            <w:tcW w:w="2694" w:type="dxa"/>
            <w:shd w:val="clear" w:color="auto" w:fill="auto"/>
          </w:tcPr>
          <w:p w14:paraId="5F70A266" w14:textId="77777777" w:rsidR="00C91693" w:rsidRPr="00C168C5" w:rsidRDefault="00C91693" w:rsidP="00243943">
            <w:pPr>
              <w:spacing w:after="200" w:line="276" w:lineRule="auto"/>
              <w:contextualSpacing/>
              <w:rPr>
                <w:rFonts w:eastAsia="Calibri"/>
                <w:szCs w:val="22"/>
                <w:lang w:val="es-ES_tradnl" w:eastAsia="en-US"/>
              </w:rPr>
            </w:pPr>
          </w:p>
          <w:p w14:paraId="7F130FFF" w14:textId="0DF8804F" w:rsidR="00C91693" w:rsidRPr="00C168C5" w:rsidRDefault="00303A9B" w:rsidP="00903EA9">
            <w:pPr>
              <w:numPr>
                <w:ilvl w:val="0"/>
                <w:numId w:val="16"/>
              </w:numPr>
              <w:spacing w:after="200" w:line="276" w:lineRule="auto"/>
              <w:ind w:left="0" w:firstLine="0"/>
              <w:contextualSpacing/>
              <w:rPr>
                <w:rFonts w:eastAsia="Calibri"/>
                <w:szCs w:val="22"/>
                <w:lang w:val="es-ES_tradnl" w:eastAsia="en-US"/>
              </w:rPr>
            </w:pPr>
            <w:r w:rsidRPr="00C168C5">
              <w:rPr>
                <w:bCs/>
                <w:lang w:val="es-ES_tradnl"/>
              </w:rPr>
              <w:t>Uso de la información sobre tecnologías apropiadas en aras del desarrollo,</w:t>
            </w:r>
            <w:r w:rsidR="0010203E" w:rsidRPr="00C168C5">
              <w:rPr>
                <w:bCs/>
                <w:lang w:val="es-ES_tradnl"/>
              </w:rPr>
              <w:t xml:space="preserve"> mediante búsqueda de patentes</w:t>
            </w:r>
            <w:r w:rsidR="00C91693" w:rsidRPr="00C168C5">
              <w:rPr>
                <w:rFonts w:eastAsia="Calibri"/>
                <w:szCs w:val="22"/>
                <w:lang w:val="es-ES_tradnl" w:eastAsia="en-US"/>
              </w:rPr>
              <w:t xml:space="preserve">, </w:t>
            </w:r>
            <w:r w:rsidR="0010203E" w:rsidRPr="00C168C5">
              <w:rPr>
                <w:rFonts w:eastAsia="Calibri"/>
                <w:szCs w:val="22"/>
                <w:lang w:val="es-ES_tradnl" w:eastAsia="en-US"/>
              </w:rPr>
              <w:t>informes de patentes, análisis de tecnologías y planes de actividades</w:t>
            </w:r>
            <w:r w:rsidR="00C91693" w:rsidRPr="00C168C5">
              <w:rPr>
                <w:rFonts w:eastAsia="Calibri"/>
                <w:szCs w:val="22"/>
                <w:lang w:val="es-ES_tradnl" w:eastAsia="en-US"/>
              </w:rPr>
              <w:t>.</w:t>
            </w:r>
          </w:p>
          <w:p w14:paraId="1959ADE3" w14:textId="77777777" w:rsidR="00C91693" w:rsidRPr="00C168C5" w:rsidRDefault="00C91693" w:rsidP="00243943">
            <w:pPr>
              <w:spacing w:after="200" w:line="276" w:lineRule="auto"/>
              <w:contextualSpacing/>
              <w:rPr>
                <w:rFonts w:eastAsia="Calibri"/>
                <w:szCs w:val="22"/>
                <w:lang w:val="es-ES_tradnl" w:eastAsia="en-US"/>
              </w:rPr>
            </w:pPr>
          </w:p>
          <w:p w14:paraId="2070A7DF" w14:textId="7CE7557A" w:rsidR="00C91693" w:rsidRPr="00C168C5" w:rsidRDefault="0010203E" w:rsidP="00903EA9">
            <w:pPr>
              <w:numPr>
                <w:ilvl w:val="0"/>
                <w:numId w:val="16"/>
              </w:numPr>
              <w:spacing w:after="200" w:line="276" w:lineRule="auto"/>
              <w:ind w:left="0" w:firstLine="0"/>
              <w:contextualSpacing/>
              <w:rPr>
                <w:rFonts w:eastAsia="Calibri"/>
                <w:szCs w:val="22"/>
                <w:lang w:val="es-ES_tradnl" w:eastAsia="en-US"/>
              </w:rPr>
            </w:pPr>
            <w:r w:rsidRPr="00C168C5">
              <w:rPr>
                <w:rFonts w:eastAsia="Calibri"/>
                <w:szCs w:val="22"/>
                <w:lang w:val="es-ES_tradnl" w:eastAsia="en-US"/>
              </w:rPr>
              <w:t>Número de miembros del grupo de expertos nacionales de los PMA</w:t>
            </w:r>
            <w:r w:rsidR="00C91693" w:rsidRPr="00C168C5">
              <w:rPr>
                <w:rFonts w:eastAsia="Calibri"/>
                <w:szCs w:val="22"/>
                <w:lang w:val="es-ES_tradnl" w:eastAsia="en-US"/>
              </w:rPr>
              <w:t>.</w:t>
            </w:r>
          </w:p>
          <w:p w14:paraId="1CE4D7A7" w14:textId="77777777" w:rsidR="00C91693" w:rsidRPr="00C168C5" w:rsidRDefault="00C91693" w:rsidP="00243943">
            <w:pPr>
              <w:rPr>
                <w:rFonts w:eastAsia="Times New Roman"/>
                <w:lang w:val="es-ES_tradnl" w:eastAsia="en-US"/>
              </w:rPr>
            </w:pPr>
          </w:p>
        </w:tc>
        <w:tc>
          <w:tcPr>
            <w:tcW w:w="3194" w:type="dxa"/>
            <w:shd w:val="clear" w:color="auto" w:fill="auto"/>
          </w:tcPr>
          <w:p w14:paraId="1231D9A4" w14:textId="77777777" w:rsidR="00C91693" w:rsidRPr="00C168C5" w:rsidRDefault="00C91693" w:rsidP="00243943">
            <w:pPr>
              <w:rPr>
                <w:rFonts w:eastAsia="Times New Roman"/>
                <w:lang w:val="es-ES_tradnl" w:eastAsia="en-US"/>
              </w:rPr>
            </w:pPr>
          </w:p>
          <w:p w14:paraId="1D77365B" w14:textId="115F13FE" w:rsidR="00C91693" w:rsidRPr="00C168C5" w:rsidRDefault="00EE71F0" w:rsidP="00EE71F0">
            <w:pPr>
              <w:rPr>
                <w:rFonts w:eastAsia="Times New Roman"/>
                <w:lang w:val="es-ES_tradnl" w:eastAsia="en-US"/>
              </w:rPr>
            </w:pPr>
            <w:r w:rsidRPr="00C168C5">
              <w:rPr>
                <w:rFonts w:eastAsia="Times New Roman"/>
                <w:lang w:val="es-ES_tradnl" w:eastAsia="en-US"/>
              </w:rPr>
              <w:t>E</w:t>
            </w:r>
            <w:r w:rsidRPr="00C168C5">
              <w:rPr>
                <w:szCs w:val="22"/>
                <w:lang w:val="es-ES_tradnl"/>
              </w:rPr>
              <w:t>s demasiado pronto para suministrar materiales</w:t>
            </w:r>
          </w:p>
        </w:tc>
        <w:tc>
          <w:tcPr>
            <w:tcW w:w="1058" w:type="dxa"/>
            <w:shd w:val="clear" w:color="auto" w:fill="auto"/>
          </w:tcPr>
          <w:p w14:paraId="016D095E" w14:textId="77777777" w:rsidR="00C91693" w:rsidRPr="00C168C5" w:rsidRDefault="00C91693" w:rsidP="00243943">
            <w:pPr>
              <w:rPr>
                <w:rFonts w:eastAsia="Times New Roman"/>
                <w:lang w:val="es-ES_tradnl" w:eastAsia="en-US"/>
              </w:rPr>
            </w:pPr>
          </w:p>
          <w:p w14:paraId="4F0D197D" w14:textId="0A5BC4FB" w:rsidR="00C91693" w:rsidRPr="00C168C5" w:rsidRDefault="005B2C24" w:rsidP="00243943">
            <w:pPr>
              <w:rPr>
                <w:rFonts w:eastAsia="Times New Roman"/>
                <w:lang w:val="es-ES_tradnl" w:eastAsia="en-US"/>
              </w:rPr>
            </w:pPr>
            <w:r w:rsidRPr="00C168C5">
              <w:rPr>
                <w:lang w:val="es-ES_tradnl"/>
              </w:rPr>
              <w:t>No está disponible</w:t>
            </w:r>
          </w:p>
        </w:tc>
      </w:tr>
      <w:tr w:rsidR="00C91693" w:rsidRPr="00C168C5" w14:paraId="4CD43EAD" w14:textId="77777777" w:rsidTr="00243943">
        <w:trPr>
          <w:trHeight w:val="3541"/>
        </w:trPr>
        <w:tc>
          <w:tcPr>
            <w:tcW w:w="2410" w:type="dxa"/>
            <w:shd w:val="clear" w:color="auto" w:fill="auto"/>
          </w:tcPr>
          <w:p w14:paraId="0A232E1D" w14:textId="77777777" w:rsidR="00C91693" w:rsidRPr="00C168C5" w:rsidRDefault="00C91693" w:rsidP="00243943">
            <w:pPr>
              <w:rPr>
                <w:rFonts w:eastAsia="Calibri"/>
                <w:szCs w:val="22"/>
                <w:u w:val="single"/>
                <w:lang w:val="es-ES_tradnl" w:eastAsia="en-US"/>
              </w:rPr>
            </w:pPr>
          </w:p>
          <w:p w14:paraId="02ACBE58" w14:textId="5D1B7342" w:rsidR="00C91693" w:rsidRPr="00C168C5" w:rsidRDefault="00C91693" w:rsidP="00243943">
            <w:pPr>
              <w:rPr>
                <w:rFonts w:eastAsia="Calibri"/>
                <w:szCs w:val="22"/>
                <w:u w:val="single"/>
                <w:lang w:val="es-ES_tradnl" w:eastAsia="en-US"/>
              </w:rPr>
            </w:pPr>
            <w:r w:rsidRPr="00C168C5">
              <w:rPr>
                <w:rFonts w:eastAsia="Calibri"/>
                <w:szCs w:val="22"/>
                <w:u w:val="single"/>
                <w:lang w:val="es-ES_tradnl" w:eastAsia="en-US"/>
              </w:rPr>
              <w:t>S</w:t>
            </w:r>
            <w:r w:rsidR="0010203E" w:rsidRPr="00C168C5">
              <w:rPr>
                <w:rFonts w:eastAsia="Calibri"/>
                <w:szCs w:val="22"/>
                <w:u w:val="single"/>
                <w:lang w:val="es-ES_tradnl" w:eastAsia="en-US"/>
              </w:rPr>
              <w:t>ostenibilidad</w:t>
            </w:r>
            <w:r w:rsidRPr="00C168C5" w:rsidDel="00FD1EAF">
              <w:rPr>
                <w:rFonts w:eastAsia="Calibri"/>
                <w:szCs w:val="22"/>
                <w:u w:val="single"/>
                <w:lang w:val="es-ES_tradnl" w:eastAsia="en-US"/>
              </w:rPr>
              <w:t xml:space="preserve"> </w:t>
            </w:r>
          </w:p>
          <w:p w14:paraId="380EE519" w14:textId="77777777" w:rsidR="00C91693" w:rsidRPr="00C168C5" w:rsidRDefault="00C91693" w:rsidP="00243943">
            <w:pPr>
              <w:rPr>
                <w:rFonts w:eastAsia="Calibri"/>
                <w:szCs w:val="22"/>
                <w:lang w:val="es-ES_tradnl" w:eastAsia="en-US"/>
              </w:rPr>
            </w:pPr>
          </w:p>
        </w:tc>
        <w:tc>
          <w:tcPr>
            <w:tcW w:w="2694" w:type="dxa"/>
            <w:shd w:val="clear" w:color="auto" w:fill="auto"/>
          </w:tcPr>
          <w:p w14:paraId="2E77D397" w14:textId="77777777" w:rsidR="00C91693" w:rsidRPr="00C168C5" w:rsidRDefault="00C91693" w:rsidP="00243943">
            <w:pPr>
              <w:spacing w:after="200" w:line="276" w:lineRule="auto"/>
              <w:contextualSpacing/>
              <w:rPr>
                <w:rFonts w:eastAsia="Calibri"/>
                <w:szCs w:val="22"/>
                <w:lang w:val="es-ES_tradnl" w:eastAsia="en-US"/>
              </w:rPr>
            </w:pPr>
          </w:p>
          <w:p w14:paraId="45FD1ABA" w14:textId="0A91F2E3" w:rsidR="00C91693" w:rsidRPr="00C168C5" w:rsidRDefault="0010203E" w:rsidP="00903EA9">
            <w:pPr>
              <w:numPr>
                <w:ilvl w:val="0"/>
                <w:numId w:val="17"/>
              </w:numPr>
              <w:spacing w:after="200" w:line="276" w:lineRule="auto"/>
              <w:ind w:left="0" w:firstLine="0"/>
              <w:contextualSpacing/>
              <w:rPr>
                <w:rFonts w:eastAsia="Calibri"/>
                <w:szCs w:val="22"/>
                <w:lang w:val="es-ES_tradnl" w:eastAsia="en-US"/>
              </w:rPr>
            </w:pPr>
            <w:r w:rsidRPr="00C168C5">
              <w:rPr>
                <w:rFonts w:eastAsia="Calibri"/>
                <w:szCs w:val="22"/>
                <w:lang w:val="es-ES_tradnl" w:eastAsia="en-US"/>
              </w:rPr>
              <w:t xml:space="preserve">Tecnología apropiada </w:t>
            </w:r>
            <w:r w:rsidR="00F36CE5" w:rsidRPr="00C168C5">
              <w:rPr>
                <w:rFonts w:eastAsia="Calibri"/>
                <w:szCs w:val="22"/>
                <w:lang w:val="es-ES_tradnl" w:eastAsia="en-US"/>
              </w:rPr>
              <w:t>designada comercializada en los PMA</w:t>
            </w:r>
          </w:p>
          <w:p w14:paraId="19F7275E" w14:textId="77777777" w:rsidR="00C91693" w:rsidRPr="00C168C5" w:rsidRDefault="00C91693" w:rsidP="00243943">
            <w:pPr>
              <w:contextualSpacing/>
              <w:rPr>
                <w:rFonts w:eastAsia="Calibri"/>
                <w:szCs w:val="22"/>
                <w:lang w:val="es-ES_tradnl" w:eastAsia="en-US"/>
              </w:rPr>
            </w:pPr>
          </w:p>
          <w:p w14:paraId="39ADF3CD" w14:textId="21BBA969" w:rsidR="00C91693" w:rsidRPr="00C168C5" w:rsidRDefault="00DA6310" w:rsidP="00903EA9">
            <w:pPr>
              <w:numPr>
                <w:ilvl w:val="0"/>
                <w:numId w:val="17"/>
              </w:numPr>
              <w:spacing w:after="200" w:line="276" w:lineRule="auto"/>
              <w:ind w:left="0" w:firstLine="0"/>
              <w:contextualSpacing/>
              <w:rPr>
                <w:rFonts w:eastAsia="Calibri"/>
                <w:szCs w:val="22"/>
                <w:lang w:val="es-ES_tradnl" w:eastAsia="en-US"/>
              </w:rPr>
            </w:pPr>
            <w:r w:rsidRPr="00C168C5">
              <w:rPr>
                <w:rFonts w:eastAsia="Calibri"/>
                <w:szCs w:val="22"/>
                <w:lang w:val="es-ES_tradnl" w:eastAsia="en-US"/>
              </w:rPr>
              <w:t>El proyecto se ha replicado en otros ámbitos de los PMA</w:t>
            </w:r>
            <w:r w:rsidR="00080878" w:rsidRPr="00C168C5">
              <w:rPr>
                <w:rFonts w:eastAsia="Calibri"/>
                <w:szCs w:val="22"/>
                <w:lang w:val="es-ES_tradnl" w:eastAsia="en-US"/>
              </w:rPr>
              <w:t xml:space="preserve"> </w:t>
            </w:r>
            <w:r w:rsidRPr="00C168C5">
              <w:rPr>
                <w:rFonts w:eastAsia="Calibri"/>
                <w:szCs w:val="22"/>
                <w:lang w:val="es-ES_tradnl" w:eastAsia="en-US"/>
              </w:rPr>
              <w:t>con</w:t>
            </w:r>
            <w:r w:rsidR="00080878" w:rsidRPr="00C168C5">
              <w:rPr>
                <w:rFonts w:eastAsia="Calibri"/>
                <w:szCs w:val="22"/>
                <w:lang w:val="es-ES_tradnl" w:eastAsia="en-US"/>
              </w:rPr>
              <w:t xml:space="preserve"> </w:t>
            </w:r>
            <w:r w:rsidRPr="00C168C5">
              <w:rPr>
                <w:rFonts w:eastAsia="Calibri"/>
                <w:szCs w:val="22"/>
                <w:lang w:val="es-ES_tradnl" w:eastAsia="en-US"/>
              </w:rPr>
              <w:t xml:space="preserve"> un mínimo apoyo de la OMPI</w:t>
            </w:r>
          </w:p>
          <w:p w14:paraId="616ED138" w14:textId="77777777" w:rsidR="00C91693" w:rsidRPr="00C168C5" w:rsidRDefault="00C91693" w:rsidP="00243943">
            <w:pPr>
              <w:contextualSpacing/>
              <w:rPr>
                <w:rFonts w:eastAsia="Calibri"/>
                <w:szCs w:val="22"/>
                <w:lang w:val="es-ES_tradnl" w:eastAsia="en-US"/>
              </w:rPr>
            </w:pPr>
          </w:p>
          <w:p w14:paraId="735D31B3" w14:textId="0471EDC7" w:rsidR="00C91693" w:rsidRPr="00C168C5" w:rsidRDefault="00DA6310" w:rsidP="00903EA9">
            <w:pPr>
              <w:numPr>
                <w:ilvl w:val="0"/>
                <w:numId w:val="17"/>
              </w:numPr>
              <w:spacing w:after="200" w:line="276" w:lineRule="auto"/>
              <w:ind w:left="0" w:firstLine="0"/>
              <w:contextualSpacing/>
              <w:rPr>
                <w:rFonts w:eastAsia="Calibri"/>
                <w:szCs w:val="22"/>
                <w:lang w:val="es-ES_tradnl" w:eastAsia="en-US"/>
              </w:rPr>
            </w:pPr>
            <w:r w:rsidRPr="00C168C5">
              <w:rPr>
                <w:rFonts w:eastAsia="Calibri"/>
                <w:szCs w:val="22"/>
                <w:lang w:val="es-ES_tradnl" w:eastAsia="en-US"/>
              </w:rPr>
              <w:t xml:space="preserve">Instituciones creadas para seguir </w:t>
            </w:r>
            <w:r w:rsidRPr="00C168C5">
              <w:rPr>
                <w:rFonts w:eastAsia="Calibri"/>
                <w:szCs w:val="22"/>
                <w:lang w:val="es-ES_tradnl" w:eastAsia="en-US"/>
              </w:rPr>
              <w:lastRenderedPageBreak/>
              <w:t>trabajando en el ámbito de la tecnología apropiada a escala nacional</w:t>
            </w:r>
          </w:p>
          <w:p w14:paraId="5948907E" w14:textId="77777777" w:rsidR="00C91693" w:rsidRPr="00C168C5" w:rsidRDefault="00C91693" w:rsidP="00243943">
            <w:pPr>
              <w:rPr>
                <w:rFonts w:eastAsia="Times New Roman"/>
                <w:lang w:val="es-ES_tradnl" w:eastAsia="en-US"/>
              </w:rPr>
            </w:pPr>
          </w:p>
          <w:p w14:paraId="4FDC2457" w14:textId="1C1FA10B" w:rsidR="00C91693" w:rsidRPr="00C168C5" w:rsidRDefault="006B175D" w:rsidP="00903EA9">
            <w:pPr>
              <w:numPr>
                <w:ilvl w:val="0"/>
                <w:numId w:val="17"/>
              </w:numPr>
              <w:spacing w:after="200" w:line="276" w:lineRule="auto"/>
              <w:ind w:left="0" w:firstLine="0"/>
              <w:contextualSpacing/>
              <w:rPr>
                <w:rFonts w:eastAsia="Calibri"/>
                <w:szCs w:val="22"/>
                <w:lang w:val="es-ES_tradnl" w:eastAsia="en-US"/>
              </w:rPr>
            </w:pPr>
            <w:r w:rsidRPr="00C168C5">
              <w:rPr>
                <w:rFonts w:eastAsia="Calibri"/>
                <w:szCs w:val="22"/>
                <w:lang w:val="es-ES_tradnl" w:eastAsia="en-US"/>
              </w:rPr>
              <w:t>La continuación y la expansión de los programas nacionales de</w:t>
            </w:r>
            <w:r w:rsidR="005171E8" w:rsidRPr="00C168C5">
              <w:rPr>
                <w:rFonts w:eastAsia="Calibri"/>
                <w:szCs w:val="22"/>
                <w:lang w:val="es-ES_tradnl" w:eastAsia="en-US"/>
              </w:rPr>
              <w:t xml:space="preserve"> fortalecimiento de capacidades en tecnologías apropiadas</w:t>
            </w:r>
          </w:p>
          <w:p w14:paraId="4B6AED07" w14:textId="77777777" w:rsidR="00C91693" w:rsidRPr="00C168C5" w:rsidRDefault="00C91693" w:rsidP="00243943">
            <w:pPr>
              <w:contextualSpacing/>
              <w:rPr>
                <w:rFonts w:eastAsia="Calibri"/>
                <w:szCs w:val="22"/>
                <w:lang w:val="es-ES_tradnl" w:eastAsia="en-US"/>
              </w:rPr>
            </w:pPr>
          </w:p>
          <w:p w14:paraId="60141410" w14:textId="77777777" w:rsidR="00C91693" w:rsidRPr="00C168C5" w:rsidRDefault="00C91693" w:rsidP="00243943">
            <w:pPr>
              <w:contextualSpacing/>
              <w:rPr>
                <w:rFonts w:eastAsia="Calibri"/>
                <w:szCs w:val="22"/>
                <w:lang w:val="es-ES_tradnl" w:eastAsia="en-US"/>
              </w:rPr>
            </w:pPr>
          </w:p>
          <w:p w14:paraId="7D528093" w14:textId="375EEAE0" w:rsidR="00C91693" w:rsidRPr="00C168C5" w:rsidRDefault="00DA6310" w:rsidP="00903EA9">
            <w:pPr>
              <w:numPr>
                <w:ilvl w:val="0"/>
                <w:numId w:val="17"/>
              </w:numPr>
              <w:spacing w:after="200" w:line="276" w:lineRule="auto"/>
              <w:ind w:left="0" w:firstLine="0"/>
              <w:contextualSpacing/>
              <w:rPr>
                <w:rFonts w:eastAsia="Calibri"/>
                <w:szCs w:val="22"/>
                <w:lang w:val="es-ES_tradnl" w:eastAsia="en-US"/>
              </w:rPr>
            </w:pPr>
            <w:r w:rsidRPr="00C168C5">
              <w:rPr>
                <w:rFonts w:eastAsia="Calibri"/>
                <w:szCs w:val="22"/>
                <w:lang w:val="es-ES_tradnl" w:eastAsia="en-US"/>
              </w:rPr>
              <w:t>El grupo de expertos nacionales se ha convertido en un órgano permanente para promover la labor en el ámbito de las tecnologías apropiadas en los PMA</w:t>
            </w:r>
          </w:p>
          <w:p w14:paraId="611B94A4" w14:textId="77777777" w:rsidR="00C91693" w:rsidRPr="00C168C5" w:rsidRDefault="00C91693" w:rsidP="00243943">
            <w:pPr>
              <w:contextualSpacing/>
              <w:rPr>
                <w:rFonts w:eastAsia="Calibri"/>
                <w:szCs w:val="22"/>
                <w:lang w:val="es-ES_tradnl" w:eastAsia="en-US"/>
              </w:rPr>
            </w:pPr>
          </w:p>
          <w:p w14:paraId="7A22408D" w14:textId="4F656306" w:rsidR="00C91693" w:rsidRPr="00C168C5" w:rsidRDefault="006B175D" w:rsidP="00903EA9">
            <w:pPr>
              <w:numPr>
                <w:ilvl w:val="0"/>
                <w:numId w:val="17"/>
              </w:numPr>
              <w:spacing w:after="200" w:line="276" w:lineRule="auto"/>
              <w:ind w:left="0" w:firstLine="0"/>
              <w:contextualSpacing/>
              <w:rPr>
                <w:rFonts w:eastAsia="Calibri"/>
                <w:szCs w:val="22"/>
                <w:lang w:val="es-ES_tradnl" w:eastAsia="en-US"/>
              </w:rPr>
            </w:pPr>
            <w:r w:rsidRPr="00C168C5">
              <w:rPr>
                <w:rFonts w:eastAsia="Calibri"/>
                <w:szCs w:val="22"/>
                <w:lang w:val="es-ES_tradnl" w:eastAsia="en-US"/>
              </w:rPr>
              <w:t xml:space="preserve">La utilización tecnologías apropiadas en aras del desarrollo económico se ha incorporado en las políticas y estrategias nacionales de los PMA de innovación y </w:t>
            </w:r>
            <w:r w:rsidR="00080878" w:rsidRPr="00C168C5">
              <w:rPr>
                <w:rFonts w:eastAsia="Calibri"/>
                <w:szCs w:val="22"/>
                <w:lang w:val="es-ES_tradnl" w:eastAsia="en-US"/>
              </w:rPr>
              <w:t>de</w:t>
            </w:r>
            <w:r w:rsidRPr="00C168C5">
              <w:rPr>
                <w:rFonts w:eastAsia="Calibri"/>
                <w:szCs w:val="22"/>
                <w:lang w:val="es-ES_tradnl" w:eastAsia="en-US"/>
              </w:rPr>
              <w:t xml:space="preserve"> propiedad intelectual</w:t>
            </w:r>
          </w:p>
          <w:p w14:paraId="0F134D6C" w14:textId="77777777" w:rsidR="00C91693" w:rsidRPr="00C168C5" w:rsidRDefault="00C91693" w:rsidP="00243943">
            <w:pPr>
              <w:spacing w:after="200" w:line="276" w:lineRule="auto"/>
              <w:contextualSpacing/>
              <w:rPr>
                <w:rFonts w:eastAsia="Calibri"/>
                <w:szCs w:val="22"/>
                <w:lang w:val="es-ES_tradnl" w:eastAsia="en-US"/>
              </w:rPr>
            </w:pPr>
          </w:p>
        </w:tc>
        <w:tc>
          <w:tcPr>
            <w:tcW w:w="3194" w:type="dxa"/>
            <w:shd w:val="clear" w:color="auto" w:fill="auto"/>
          </w:tcPr>
          <w:p w14:paraId="728DE6CC" w14:textId="77777777" w:rsidR="00C91693" w:rsidRPr="00C168C5" w:rsidRDefault="00C91693" w:rsidP="00243943">
            <w:pPr>
              <w:rPr>
                <w:rFonts w:eastAsia="Calibri"/>
                <w:szCs w:val="22"/>
                <w:lang w:val="es-ES_tradnl" w:eastAsia="en-US"/>
              </w:rPr>
            </w:pPr>
          </w:p>
          <w:p w14:paraId="48DC13A6" w14:textId="078EC115" w:rsidR="00C91693" w:rsidRPr="00C168C5" w:rsidRDefault="00F36CE5" w:rsidP="00243943">
            <w:pPr>
              <w:rPr>
                <w:rFonts w:eastAsia="Calibri"/>
                <w:szCs w:val="22"/>
                <w:lang w:val="es-ES_tradnl" w:eastAsia="en-US"/>
              </w:rPr>
            </w:pPr>
            <w:r w:rsidRPr="00C168C5">
              <w:rPr>
                <w:rFonts w:eastAsia="Times New Roman"/>
                <w:lang w:val="es-ES_tradnl" w:eastAsia="en-US"/>
              </w:rPr>
              <w:t>E</w:t>
            </w:r>
            <w:r w:rsidRPr="00C168C5">
              <w:rPr>
                <w:szCs w:val="22"/>
                <w:lang w:val="es-ES_tradnl"/>
              </w:rPr>
              <w:t>s demasiado pronto para suministrar materiales</w:t>
            </w:r>
          </w:p>
        </w:tc>
        <w:tc>
          <w:tcPr>
            <w:tcW w:w="1058" w:type="dxa"/>
            <w:shd w:val="clear" w:color="auto" w:fill="auto"/>
          </w:tcPr>
          <w:p w14:paraId="3DEAA4BE" w14:textId="77777777" w:rsidR="00C91693" w:rsidRPr="00C168C5" w:rsidRDefault="00C91693" w:rsidP="00243943">
            <w:pPr>
              <w:rPr>
                <w:rFonts w:eastAsia="Calibri"/>
                <w:szCs w:val="22"/>
                <w:lang w:val="es-ES_tradnl" w:eastAsia="en-US"/>
              </w:rPr>
            </w:pPr>
          </w:p>
          <w:p w14:paraId="6DBED3E7" w14:textId="13D164C4" w:rsidR="00C91693" w:rsidRPr="00C168C5" w:rsidRDefault="005B2C24" w:rsidP="00243943">
            <w:pPr>
              <w:rPr>
                <w:rFonts w:eastAsia="Calibri"/>
                <w:szCs w:val="22"/>
                <w:lang w:val="es-ES_tradnl" w:eastAsia="en-US"/>
              </w:rPr>
            </w:pPr>
            <w:r w:rsidRPr="00C168C5">
              <w:rPr>
                <w:lang w:val="es-ES_tradnl"/>
              </w:rPr>
              <w:t>No está disponible</w:t>
            </w:r>
          </w:p>
        </w:tc>
      </w:tr>
    </w:tbl>
    <w:p w14:paraId="05755322" w14:textId="77777777" w:rsidR="00C91693" w:rsidRPr="00C168C5" w:rsidRDefault="00C91693" w:rsidP="00C91693">
      <w:pPr>
        <w:rPr>
          <w:rFonts w:eastAsia="Times New Roman"/>
          <w:lang w:val="es-ES_tradnl" w:eastAsia="en-US"/>
        </w:rPr>
      </w:pPr>
    </w:p>
    <w:p w14:paraId="0103027E" w14:textId="77777777" w:rsidR="00C91693" w:rsidRPr="00C168C5" w:rsidRDefault="00C91693" w:rsidP="00C91693">
      <w:pPr>
        <w:rPr>
          <w:szCs w:val="22"/>
          <w:lang w:val="es-ES_tradnl"/>
        </w:rPr>
      </w:pPr>
    </w:p>
    <w:p w14:paraId="6B8345A8" w14:textId="77777777" w:rsidR="00C91693" w:rsidRPr="00C168C5" w:rsidRDefault="00C91693" w:rsidP="00C91693">
      <w:pPr>
        <w:rPr>
          <w:szCs w:val="22"/>
          <w:lang w:val="es-ES_tradnl"/>
        </w:rPr>
      </w:pPr>
    </w:p>
    <w:p w14:paraId="26142C7B" w14:textId="77777777" w:rsidR="00C91693" w:rsidRPr="00C168C5" w:rsidRDefault="00C91693" w:rsidP="00C91693">
      <w:pPr>
        <w:pStyle w:val="Endofdocument-Annex"/>
        <w:rPr>
          <w:lang w:val="es-ES_tradnl"/>
        </w:rPr>
      </w:pPr>
      <w:r w:rsidRPr="00C168C5">
        <w:rPr>
          <w:lang w:val="es-ES_tradnl"/>
        </w:rPr>
        <w:t>[</w:t>
      </w:r>
      <w:r w:rsidR="00BA42C9" w:rsidRPr="00C168C5">
        <w:rPr>
          <w:lang w:val="es-ES_tradnl"/>
        </w:rPr>
        <w:t>Sigue el Anexo IV</w:t>
      </w:r>
      <w:r w:rsidRPr="00C168C5">
        <w:rPr>
          <w:lang w:val="es-ES_tradnl"/>
        </w:rPr>
        <w:t>]</w:t>
      </w:r>
    </w:p>
    <w:p w14:paraId="6EFB1FA8" w14:textId="77777777" w:rsidR="00C91693" w:rsidRPr="00C168C5" w:rsidRDefault="00C91693" w:rsidP="00C91693">
      <w:pPr>
        <w:pStyle w:val="Endofdocument-Annex"/>
        <w:rPr>
          <w:lang w:val="es-ES_tradnl"/>
        </w:rPr>
      </w:pPr>
    </w:p>
    <w:p w14:paraId="32FA59FB" w14:textId="77777777" w:rsidR="00C91693" w:rsidRPr="00C168C5" w:rsidRDefault="00C91693" w:rsidP="00C91693">
      <w:pPr>
        <w:pStyle w:val="Endofdocument-Annex"/>
        <w:rPr>
          <w:lang w:val="es-ES_tradnl"/>
        </w:rPr>
      </w:pPr>
    </w:p>
    <w:p w14:paraId="495AC607" w14:textId="77777777" w:rsidR="00C91693" w:rsidRPr="00C168C5" w:rsidRDefault="00C91693" w:rsidP="00C91693">
      <w:pPr>
        <w:pStyle w:val="Endofdocument-Annex"/>
        <w:rPr>
          <w:lang w:val="es-ES_tradnl"/>
        </w:rPr>
      </w:pPr>
    </w:p>
    <w:p w14:paraId="3A6BDE33" w14:textId="77777777" w:rsidR="00C91693" w:rsidRPr="00C168C5" w:rsidRDefault="00C91693" w:rsidP="00C91693">
      <w:pPr>
        <w:pStyle w:val="Endofdocument-Annex"/>
        <w:rPr>
          <w:lang w:val="es-ES_tradnl"/>
        </w:rPr>
        <w:sectPr w:rsidR="00C91693" w:rsidRPr="00C168C5" w:rsidSect="00243943">
          <w:headerReference w:type="even" r:id="rId19"/>
          <w:headerReference w:type="default" r:id="rId20"/>
          <w:footerReference w:type="even" r:id="rId21"/>
          <w:footerReference w:type="default" r:id="rId22"/>
          <w:headerReference w:type="first" r:id="rId23"/>
          <w:footerReference w:type="first" r:id="rId24"/>
          <w:pgSz w:w="11907" w:h="16840" w:code="9"/>
          <w:pgMar w:top="1417" w:right="1417" w:bottom="1417" w:left="1417" w:header="709" w:footer="709"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C91693" w:rsidRPr="00C168C5" w14:paraId="1D70D780" w14:textId="77777777" w:rsidTr="00243943">
        <w:trPr>
          <w:trHeight w:val="432"/>
        </w:trPr>
        <w:tc>
          <w:tcPr>
            <w:tcW w:w="9288" w:type="dxa"/>
            <w:gridSpan w:val="2"/>
            <w:shd w:val="clear" w:color="auto" w:fill="auto"/>
            <w:vAlign w:val="center"/>
          </w:tcPr>
          <w:p w14:paraId="57381455" w14:textId="3E475C5D" w:rsidR="00C91693" w:rsidRPr="00C168C5" w:rsidRDefault="00D47496" w:rsidP="00243943">
            <w:pPr>
              <w:keepNext/>
              <w:spacing w:before="240" w:after="60"/>
              <w:outlineLvl w:val="1"/>
              <w:rPr>
                <w:bCs/>
                <w:iCs/>
                <w:caps/>
                <w:szCs w:val="28"/>
                <w:lang w:val="es-ES_tradnl" w:eastAsia="en-US"/>
              </w:rPr>
            </w:pPr>
            <w:r w:rsidRPr="00C168C5">
              <w:rPr>
                <w:szCs w:val="22"/>
                <w:lang w:val="es-ES_tradnl"/>
              </w:rPr>
              <w:lastRenderedPageBreak/>
              <w:t>RESUMEN DEL PROYECTO</w:t>
            </w:r>
          </w:p>
        </w:tc>
      </w:tr>
      <w:tr w:rsidR="00C91693" w:rsidRPr="00C168C5" w14:paraId="6C17C879" w14:textId="77777777" w:rsidTr="00243943">
        <w:trPr>
          <w:trHeight w:val="496"/>
        </w:trPr>
        <w:tc>
          <w:tcPr>
            <w:tcW w:w="2376" w:type="dxa"/>
            <w:shd w:val="clear" w:color="auto" w:fill="auto"/>
          </w:tcPr>
          <w:p w14:paraId="0D07FC14" w14:textId="379BDC3D" w:rsidR="00C91693" w:rsidRPr="00C168C5" w:rsidRDefault="004A4406" w:rsidP="00243943">
            <w:pPr>
              <w:keepNext/>
              <w:spacing w:before="240" w:after="60"/>
              <w:outlineLvl w:val="2"/>
              <w:rPr>
                <w:bCs/>
                <w:szCs w:val="26"/>
                <w:u w:val="single"/>
                <w:lang w:val="es-ES_tradnl" w:eastAsia="en-US"/>
              </w:rPr>
            </w:pPr>
            <w:r w:rsidRPr="00C168C5">
              <w:rPr>
                <w:szCs w:val="22"/>
                <w:u w:val="single"/>
                <w:lang w:val="es-ES_tradnl"/>
              </w:rPr>
              <w:t>Código del proyecto</w:t>
            </w:r>
          </w:p>
        </w:tc>
        <w:tc>
          <w:tcPr>
            <w:tcW w:w="6912" w:type="dxa"/>
            <w:shd w:val="clear" w:color="auto" w:fill="auto"/>
            <w:vAlign w:val="center"/>
          </w:tcPr>
          <w:p w14:paraId="065E560C" w14:textId="77777777" w:rsidR="00C91693" w:rsidRPr="00C168C5" w:rsidRDefault="00C91693" w:rsidP="00243943">
            <w:pPr>
              <w:rPr>
                <w:rFonts w:eastAsia="Times New Roman"/>
                <w:i/>
                <w:lang w:val="es-ES_tradnl" w:eastAsia="en-US"/>
              </w:rPr>
            </w:pPr>
            <w:r w:rsidRPr="00C168C5">
              <w:rPr>
                <w:rFonts w:eastAsia="Times New Roman"/>
                <w:i/>
                <w:lang w:val="es-ES_tradnl" w:eastAsia="en-US"/>
              </w:rPr>
              <w:t>DA_35_37_02</w:t>
            </w:r>
          </w:p>
        </w:tc>
      </w:tr>
      <w:tr w:rsidR="00C91693" w:rsidRPr="00C168C5" w14:paraId="500EDACE" w14:textId="77777777" w:rsidTr="00243943">
        <w:trPr>
          <w:trHeight w:val="404"/>
        </w:trPr>
        <w:tc>
          <w:tcPr>
            <w:tcW w:w="2376" w:type="dxa"/>
            <w:shd w:val="clear" w:color="auto" w:fill="auto"/>
          </w:tcPr>
          <w:p w14:paraId="3758545F" w14:textId="4F578386" w:rsidR="00C91693" w:rsidRPr="00C168C5" w:rsidRDefault="004A4406" w:rsidP="004A4406">
            <w:pPr>
              <w:keepNext/>
              <w:spacing w:before="240" w:after="60"/>
              <w:outlineLvl w:val="2"/>
              <w:rPr>
                <w:rFonts w:eastAsia="Times New Roman"/>
                <w:lang w:val="es-ES_tradnl" w:eastAsia="en-US"/>
              </w:rPr>
            </w:pPr>
            <w:r w:rsidRPr="00C168C5">
              <w:rPr>
                <w:szCs w:val="22"/>
                <w:u w:val="single"/>
                <w:lang w:val="es-ES_tradnl"/>
              </w:rPr>
              <w:t>Título</w:t>
            </w:r>
          </w:p>
        </w:tc>
        <w:tc>
          <w:tcPr>
            <w:tcW w:w="6912" w:type="dxa"/>
            <w:shd w:val="clear" w:color="auto" w:fill="auto"/>
            <w:vAlign w:val="center"/>
          </w:tcPr>
          <w:p w14:paraId="52A99D92" w14:textId="68CF935D" w:rsidR="00C91693" w:rsidRPr="00C168C5" w:rsidRDefault="004A4406" w:rsidP="004A4406">
            <w:pPr>
              <w:rPr>
                <w:rFonts w:eastAsia="Times New Roman"/>
                <w:i/>
                <w:lang w:val="es-ES_tradnl" w:eastAsia="en-US"/>
              </w:rPr>
            </w:pPr>
            <w:r w:rsidRPr="00C168C5">
              <w:rPr>
                <w:rFonts w:eastAsia="Times New Roman"/>
                <w:i/>
                <w:lang w:val="es-ES_tradnl" w:eastAsia="en-US"/>
              </w:rPr>
              <w:t>Propiedad intelectual y desarrollo socioeconómico</w:t>
            </w:r>
            <w:r w:rsidR="00C91693" w:rsidRPr="00C168C5">
              <w:rPr>
                <w:rFonts w:eastAsia="Times New Roman"/>
                <w:i/>
                <w:lang w:val="es-ES_tradnl" w:eastAsia="en-US"/>
              </w:rPr>
              <w:t xml:space="preserve"> – </w:t>
            </w:r>
            <w:r w:rsidRPr="00C168C5">
              <w:rPr>
                <w:rFonts w:eastAsia="Times New Roman"/>
                <w:i/>
                <w:lang w:val="es-ES_tradnl" w:eastAsia="en-US"/>
              </w:rPr>
              <w:t>F</w:t>
            </w:r>
            <w:r w:rsidR="00C91693" w:rsidRPr="00C168C5">
              <w:rPr>
                <w:rFonts w:eastAsia="Times New Roman"/>
                <w:i/>
                <w:lang w:val="es-ES_tradnl" w:eastAsia="en-US"/>
              </w:rPr>
              <w:t>ase II</w:t>
            </w:r>
          </w:p>
        </w:tc>
      </w:tr>
      <w:tr w:rsidR="00C91693" w:rsidRPr="00C168C5" w14:paraId="411F29CD" w14:textId="77777777" w:rsidTr="00243943">
        <w:tc>
          <w:tcPr>
            <w:tcW w:w="2376" w:type="dxa"/>
            <w:shd w:val="clear" w:color="auto" w:fill="auto"/>
          </w:tcPr>
          <w:p w14:paraId="3D192517" w14:textId="77777777" w:rsidR="004A4406" w:rsidRPr="00C168C5" w:rsidRDefault="004A4406" w:rsidP="004A4406">
            <w:pPr>
              <w:pStyle w:val="Heading3"/>
              <w:rPr>
                <w:lang w:val="es-ES_tradnl"/>
              </w:rPr>
            </w:pPr>
            <w:r w:rsidRPr="00C168C5">
              <w:rPr>
                <w:lang w:val="es-ES_tradnl"/>
              </w:rPr>
              <w:t>Recomendación de la Agenda para el Desarrollo</w:t>
            </w:r>
          </w:p>
          <w:p w14:paraId="72130813" w14:textId="77777777" w:rsidR="00C91693" w:rsidRPr="00C168C5" w:rsidRDefault="00C91693" w:rsidP="004A4406">
            <w:pPr>
              <w:keepNext/>
              <w:spacing w:before="240" w:after="60"/>
              <w:outlineLvl w:val="2"/>
              <w:rPr>
                <w:rFonts w:eastAsia="Times New Roman"/>
                <w:lang w:val="es-ES_tradnl" w:eastAsia="en-US"/>
              </w:rPr>
            </w:pPr>
          </w:p>
        </w:tc>
        <w:tc>
          <w:tcPr>
            <w:tcW w:w="6912" w:type="dxa"/>
            <w:shd w:val="clear" w:color="auto" w:fill="auto"/>
          </w:tcPr>
          <w:p w14:paraId="5F29B50A" w14:textId="77777777" w:rsidR="00C91693" w:rsidRPr="00C168C5" w:rsidRDefault="00C91693" w:rsidP="00243943">
            <w:pPr>
              <w:autoSpaceDE w:val="0"/>
              <w:autoSpaceDN w:val="0"/>
              <w:adjustRightInd w:val="0"/>
              <w:rPr>
                <w:rFonts w:eastAsia="Times New Roman"/>
                <w:i/>
                <w:iCs/>
                <w:color w:val="000000"/>
                <w:szCs w:val="22"/>
                <w:lang w:val="es-ES_tradnl" w:eastAsia="en-US"/>
              </w:rPr>
            </w:pPr>
          </w:p>
          <w:p w14:paraId="31988BE1" w14:textId="77777777" w:rsidR="00B000E6" w:rsidRPr="00C168C5" w:rsidRDefault="00B000E6" w:rsidP="00B000E6">
            <w:pPr>
              <w:rPr>
                <w:szCs w:val="22"/>
                <w:lang w:val="es-ES_tradnl"/>
              </w:rPr>
            </w:pPr>
            <w:r w:rsidRPr="00C168C5">
              <w:rPr>
                <w:i/>
                <w:szCs w:val="22"/>
                <w:lang w:val="es-ES_tradnl"/>
              </w:rPr>
              <w:t>Recomendación 35</w:t>
            </w:r>
            <w:r w:rsidRPr="00C168C5">
              <w:rPr>
                <w:szCs w:val="22"/>
                <w:lang w:val="es-ES_tradnl"/>
              </w:rPr>
              <w:t xml:space="preserve"> (Categoría D): Solicitar a la OMPI que emprenda, a petición de los Estados miembros, nuevos estudios destinados a evaluar las consecuencias económicas, sociales y culturales de la utilización de sistemas de P.I. en dichos Estados.</w:t>
            </w:r>
          </w:p>
          <w:p w14:paraId="443B0EDB" w14:textId="77777777" w:rsidR="00B000E6" w:rsidRPr="00C168C5" w:rsidRDefault="00B000E6" w:rsidP="00B000E6">
            <w:pPr>
              <w:rPr>
                <w:szCs w:val="22"/>
                <w:lang w:val="es-ES_tradnl"/>
              </w:rPr>
            </w:pPr>
          </w:p>
          <w:p w14:paraId="07AA7C44" w14:textId="5D8A5197" w:rsidR="00C91693" w:rsidRPr="00C168C5" w:rsidRDefault="00B000E6" w:rsidP="00243943">
            <w:pPr>
              <w:rPr>
                <w:szCs w:val="22"/>
                <w:lang w:val="es-ES_tradnl"/>
              </w:rPr>
            </w:pPr>
            <w:r w:rsidRPr="00C168C5">
              <w:rPr>
                <w:i/>
                <w:szCs w:val="22"/>
                <w:lang w:val="es-ES_tradnl"/>
              </w:rPr>
              <w:t>Recomendación 37</w:t>
            </w:r>
            <w:r w:rsidRPr="00C168C5">
              <w:rPr>
                <w:szCs w:val="22"/>
                <w:lang w:val="es-ES_tradnl"/>
              </w:rPr>
              <w:t xml:space="preserve"> (Categoría D):  La OMPI podrá efectuar estudios, a petición de los interesados y conforme a lo dispuesto por los Estados miembros, sobre la protección de la propiedad intelectual, a fin de determinar las posibles relaciones y la mutua incidencia entre la P.I. y el desarrollo.</w:t>
            </w:r>
            <w:r w:rsidR="00C91693" w:rsidRPr="00C168C5">
              <w:rPr>
                <w:rFonts w:eastAsia="Times New Roman"/>
                <w:szCs w:val="22"/>
                <w:lang w:val="es-ES_tradnl" w:eastAsia="en-US"/>
              </w:rPr>
              <w:t xml:space="preserve"> </w:t>
            </w:r>
          </w:p>
          <w:p w14:paraId="326E00BD" w14:textId="77777777" w:rsidR="00C91693" w:rsidRPr="00C168C5" w:rsidRDefault="00C91693" w:rsidP="00243943">
            <w:pPr>
              <w:rPr>
                <w:rFonts w:eastAsia="Times New Roman"/>
                <w:lang w:val="es-ES_tradnl" w:eastAsia="en-US"/>
              </w:rPr>
            </w:pPr>
          </w:p>
        </w:tc>
      </w:tr>
      <w:tr w:rsidR="00C91693" w:rsidRPr="00C168C5" w14:paraId="12719E1F" w14:textId="77777777" w:rsidTr="00243943">
        <w:tc>
          <w:tcPr>
            <w:tcW w:w="2376" w:type="dxa"/>
            <w:shd w:val="clear" w:color="auto" w:fill="auto"/>
          </w:tcPr>
          <w:p w14:paraId="3C450A0A" w14:textId="77777777" w:rsidR="00B000E6" w:rsidRPr="00C168C5" w:rsidRDefault="00B000E6" w:rsidP="00B000E6">
            <w:pPr>
              <w:keepNext/>
              <w:spacing w:before="240" w:after="60"/>
              <w:outlineLvl w:val="2"/>
              <w:rPr>
                <w:bCs/>
                <w:szCs w:val="22"/>
                <w:u w:val="single"/>
                <w:lang w:val="es-ES_tradnl" w:eastAsia="en-US"/>
              </w:rPr>
            </w:pPr>
            <w:r w:rsidRPr="00C168C5">
              <w:rPr>
                <w:bCs/>
                <w:szCs w:val="22"/>
                <w:u w:val="single"/>
                <w:lang w:val="es-ES_tradnl" w:eastAsia="en-US"/>
              </w:rPr>
              <w:t>Presupuesto del proyecto</w:t>
            </w:r>
          </w:p>
          <w:p w14:paraId="2CC21950" w14:textId="77777777" w:rsidR="00C91693" w:rsidRPr="00C168C5" w:rsidRDefault="00C91693" w:rsidP="00B000E6">
            <w:pPr>
              <w:keepNext/>
              <w:spacing w:before="240" w:after="60"/>
              <w:outlineLvl w:val="2"/>
              <w:rPr>
                <w:rFonts w:eastAsia="Times New Roman"/>
                <w:lang w:val="es-ES_tradnl" w:eastAsia="en-US"/>
              </w:rPr>
            </w:pPr>
          </w:p>
        </w:tc>
        <w:tc>
          <w:tcPr>
            <w:tcW w:w="6912" w:type="dxa"/>
            <w:shd w:val="clear" w:color="auto" w:fill="auto"/>
          </w:tcPr>
          <w:p w14:paraId="2D51D2CD" w14:textId="77777777" w:rsidR="00C91693" w:rsidRPr="00C168C5" w:rsidRDefault="00C91693" w:rsidP="00243943">
            <w:pPr>
              <w:autoSpaceDE w:val="0"/>
              <w:autoSpaceDN w:val="0"/>
              <w:adjustRightInd w:val="0"/>
              <w:rPr>
                <w:rFonts w:eastAsia="Times New Roman"/>
                <w:iCs/>
                <w:color w:val="000000"/>
                <w:szCs w:val="22"/>
                <w:lang w:val="es-ES_tradnl" w:eastAsia="en-US"/>
              </w:rPr>
            </w:pPr>
          </w:p>
          <w:p w14:paraId="3710D9EA" w14:textId="7F94BA3D" w:rsidR="00C91693" w:rsidRPr="00C168C5" w:rsidRDefault="00B000E6" w:rsidP="00243943">
            <w:pPr>
              <w:autoSpaceDE w:val="0"/>
              <w:autoSpaceDN w:val="0"/>
              <w:adjustRightInd w:val="0"/>
              <w:rPr>
                <w:rFonts w:eastAsia="Times New Roman"/>
                <w:iCs/>
                <w:color w:val="000000"/>
                <w:szCs w:val="22"/>
                <w:lang w:val="es-ES_tradnl" w:eastAsia="en-US"/>
              </w:rPr>
            </w:pPr>
            <w:r w:rsidRPr="00C168C5">
              <w:rPr>
                <w:lang w:val="es-ES_tradnl"/>
              </w:rPr>
              <w:t>Gastos no relativos al personal</w:t>
            </w:r>
            <w:r w:rsidRPr="00C168C5">
              <w:rPr>
                <w:rFonts w:eastAsia="Times New Roman"/>
                <w:iCs/>
                <w:color w:val="000000"/>
                <w:szCs w:val="22"/>
                <w:lang w:val="es-ES_tradnl" w:eastAsia="en-US"/>
              </w:rPr>
              <w:t>:  485.</w:t>
            </w:r>
            <w:r w:rsidR="00C91693" w:rsidRPr="00C168C5">
              <w:rPr>
                <w:rFonts w:eastAsia="Times New Roman"/>
                <w:iCs/>
                <w:color w:val="000000"/>
                <w:szCs w:val="22"/>
                <w:lang w:val="es-ES_tradnl" w:eastAsia="en-US"/>
              </w:rPr>
              <w:t xml:space="preserve">000 </w:t>
            </w:r>
            <w:r w:rsidRPr="00C168C5">
              <w:rPr>
                <w:rFonts w:eastAsia="Times New Roman"/>
                <w:iCs/>
                <w:color w:val="000000"/>
                <w:szCs w:val="22"/>
                <w:lang w:val="es-ES_tradnl" w:eastAsia="en-US"/>
              </w:rPr>
              <w:t>francos suizos</w:t>
            </w:r>
          </w:p>
          <w:p w14:paraId="1C84BEE0" w14:textId="77777777" w:rsidR="00C91693" w:rsidRPr="00C168C5" w:rsidRDefault="00C91693" w:rsidP="00243943">
            <w:pPr>
              <w:autoSpaceDE w:val="0"/>
              <w:autoSpaceDN w:val="0"/>
              <w:adjustRightInd w:val="0"/>
              <w:rPr>
                <w:rFonts w:eastAsia="Times New Roman"/>
                <w:color w:val="000000"/>
                <w:szCs w:val="22"/>
                <w:lang w:val="es-ES_tradnl" w:eastAsia="en-US"/>
              </w:rPr>
            </w:pPr>
          </w:p>
          <w:p w14:paraId="2B9B5B30" w14:textId="7845BA2C" w:rsidR="00C91693" w:rsidRPr="00C168C5" w:rsidRDefault="00B000E6" w:rsidP="00243943">
            <w:pPr>
              <w:autoSpaceDE w:val="0"/>
              <w:autoSpaceDN w:val="0"/>
              <w:adjustRightInd w:val="0"/>
              <w:rPr>
                <w:rFonts w:eastAsia="Times New Roman"/>
                <w:iCs/>
                <w:color w:val="000000"/>
                <w:szCs w:val="22"/>
                <w:lang w:val="es-ES_tradnl" w:eastAsia="en-US"/>
              </w:rPr>
            </w:pPr>
            <w:r w:rsidRPr="00C168C5">
              <w:rPr>
                <w:lang w:val="es-ES_tradnl"/>
              </w:rPr>
              <w:t>Gastos de personal</w:t>
            </w:r>
            <w:r w:rsidRPr="00C168C5">
              <w:rPr>
                <w:rFonts w:eastAsia="Times New Roman"/>
                <w:iCs/>
                <w:color w:val="000000"/>
                <w:szCs w:val="22"/>
                <w:lang w:val="es-ES_tradnl" w:eastAsia="en-US"/>
              </w:rPr>
              <w:t>:  316.</w:t>
            </w:r>
            <w:r w:rsidR="00C91693" w:rsidRPr="00C168C5">
              <w:rPr>
                <w:rFonts w:eastAsia="Times New Roman"/>
                <w:iCs/>
                <w:color w:val="000000"/>
                <w:szCs w:val="22"/>
                <w:lang w:val="es-ES_tradnl" w:eastAsia="en-US"/>
              </w:rPr>
              <w:t xml:space="preserve">000 </w:t>
            </w:r>
            <w:r w:rsidRPr="00C168C5">
              <w:rPr>
                <w:rFonts w:eastAsia="Times New Roman"/>
                <w:iCs/>
                <w:color w:val="000000"/>
                <w:szCs w:val="22"/>
                <w:lang w:val="es-ES_tradnl" w:eastAsia="en-US"/>
              </w:rPr>
              <w:t>francos suizos</w:t>
            </w:r>
            <w:r w:rsidR="00C91693" w:rsidRPr="00C168C5">
              <w:rPr>
                <w:rFonts w:eastAsia="Times New Roman"/>
                <w:iCs/>
                <w:color w:val="000000"/>
                <w:szCs w:val="22"/>
                <w:lang w:val="es-ES_tradnl" w:eastAsia="en-US"/>
              </w:rPr>
              <w:t xml:space="preserve"> </w:t>
            </w:r>
          </w:p>
          <w:p w14:paraId="020602AE" w14:textId="77777777" w:rsidR="00C91693" w:rsidRPr="00C168C5" w:rsidRDefault="00C91693" w:rsidP="00243943">
            <w:pPr>
              <w:autoSpaceDE w:val="0"/>
              <w:autoSpaceDN w:val="0"/>
              <w:adjustRightInd w:val="0"/>
              <w:rPr>
                <w:rFonts w:eastAsia="Times New Roman"/>
                <w:color w:val="000000"/>
                <w:szCs w:val="22"/>
                <w:lang w:val="es-ES_tradnl" w:eastAsia="en-US"/>
              </w:rPr>
            </w:pPr>
          </w:p>
          <w:p w14:paraId="3BA17034" w14:textId="3EEE4744" w:rsidR="00C91693" w:rsidRPr="00C168C5" w:rsidRDefault="00B000E6" w:rsidP="00243943">
            <w:pPr>
              <w:rPr>
                <w:rFonts w:eastAsia="Times New Roman"/>
                <w:iCs/>
                <w:szCs w:val="22"/>
                <w:lang w:val="es-ES_tradnl" w:eastAsia="en-US"/>
              </w:rPr>
            </w:pPr>
            <w:r w:rsidRPr="00C168C5">
              <w:rPr>
                <w:rFonts w:eastAsia="Times New Roman"/>
                <w:iCs/>
                <w:szCs w:val="22"/>
                <w:lang w:val="es-ES_tradnl" w:eastAsia="en-US"/>
              </w:rPr>
              <w:t>Incluye el costo inherente a los servicios de un funcionario encargado del proyecto, pero no incluye las contribuciones del personal de la OMPI</w:t>
            </w:r>
            <w:r w:rsidR="00C91693" w:rsidRPr="00C168C5">
              <w:rPr>
                <w:rFonts w:eastAsia="Times New Roman"/>
                <w:iCs/>
                <w:szCs w:val="22"/>
                <w:lang w:val="es-ES_tradnl" w:eastAsia="en-US"/>
              </w:rPr>
              <w:t>.</w:t>
            </w:r>
          </w:p>
          <w:p w14:paraId="3B5A4E10" w14:textId="77777777" w:rsidR="00C91693" w:rsidRPr="00C168C5" w:rsidRDefault="00C91693" w:rsidP="00243943">
            <w:pPr>
              <w:rPr>
                <w:rFonts w:eastAsia="Times New Roman"/>
                <w:lang w:val="es-ES_tradnl" w:eastAsia="en-US"/>
              </w:rPr>
            </w:pPr>
            <w:r w:rsidRPr="00C168C5">
              <w:rPr>
                <w:rFonts w:eastAsia="Times New Roman"/>
                <w:i/>
                <w:iCs/>
                <w:szCs w:val="22"/>
                <w:lang w:val="es-ES_tradnl" w:eastAsia="en-US"/>
              </w:rPr>
              <w:t xml:space="preserve"> </w:t>
            </w:r>
          </w:p>
        </w:tc>
      </w:tr>
      <w:tr w:rsidR="00C91693" w:rsidRPr="00C168C5" w14:paraId="6E0FAD09" w14:textId="77777777" w:rsidTr="00243943">
        <w:tc>
          <w:tcPr>
            <w:tcW w:w="2376" w:type="dxa"/>
            <w:shd w:val="clear" w:color="auto" w:fill="auto"/>
          </w:tcPr>
          <w:p w14:paraId="0BE6F83B" w14:textId="77777777" w:rsidR="00C91693" w:rsidRPr="00C168C5" w:rsidRDefault="002B41F8" w:rsidP="002B41F8">
            <w:pPr>
              <w:pStyle w:val="Heading3"/>
              <w:rPr>
                <w:lang w:val="es-ES_tradnl"/>
              </w:rPr>
            </w:pPr>
            <w:r w:rsidRPr="00C168C5">
              <w:rPr>
                <w:lang w:val="es-ES_tradnl"/>
              </w:rPr>
              <w:t>Fecha de inicio del proyecto</w:t>
            </w:r>
          </w:p>
          <w:p w14:paraId="442D15A4" w14:textId="0DF85BD0" w:rsidR="002B41F8" w:rsidRPr="00C168C5" w:rsidRDefault="002B41F8" w:rsidP="002B41F8">
            <w:pPr>
              <w:rPr>
                <w:lang w:val="es-ES_tradnl"/>
              </w:rPr>
            </w:pPr>
          </w:p>
        </w:tc>
        <w:tc>
          <w:tcPr>
            <w:tcW w:w="6912" w:type="dxa"/>
            <w:shd w:val="clear" w:color="auto" w:fill="auto"/>
          </w:tcPr>
          <w:p w14:paraId="10A406C7" w14:textId="77777777" w:rsidR="00C91693" w:rsidRPr="00C168C5" w:rsidRDefault="00C91693" w:rsidP="00243943">
            <w:pPr>
              <w:rPr>
                <w:rFonts w:eastAsia="Times New Roman"/>
                <w:lang w:val="es-ES_tradnl" w:eastAsia="en-US"/>
              </w:rPr>
            </w:pPr>
          </w:p>
          <w:p w14:paraId="7FA4BDBB" w14:textId="4415378A" w:rsidR="00C91693" w:rsidRPr="00C168C5" w:rsidRDefault="002B41F8" w:rsidP="002B41F8">
            <w:pPr>
              <w:rPr>
                <w:rFonts w:eastAsia="Times New Roman"/>
                <w:lang w:val="es-ES_tradnl" w:eastAsia="en-US"/>
              </w:rPr>
            </w:pPr>
            <w:r w:rsidRPr="00C168C5">
              <w:rPr>
                <w:rFonts w:eastAsia="Times New Roman"/>
                <w:lang w:val="es-ES_tradnl" w:eastAsia="en-US"/>
              </w:rPr>
              <w:t xml:space="preserve">1 de enero de </w:t>
            </w:r>
            <w:r w:rsidR="00C91693" w:rsidRPr="00C168C5">
              <w:rPr>
                <w:rFonts w:eastAsia="Times New Roman"/>
                <w:lang w:val="es-ES_tradnl" w:eastAsia="en-US"/>
              </w:rPr>
              <w:t>2015</w:t>
            </w:r>
          </w:p>
        </w:tc>
      </w:tr>
      <w:tr w:rsidR="00C91693" w:rsidRPr="00C168C5" w14:paraId="5206A299" w14:textId="77777777" w:rsidTr="00243943">
        <w:tc>
          <w:tcPr>
            <w:tcW w:w="2376" w:type="dxa"/>
            <w:shd w:val="clear" w:color="auto" w:fill="auto"/>
          </w:tcPr>
          <w:p w14:paraId="1EDE315D" w14:textId="087FD127" w:rsidR="00C91693" w:rsidRPr="00C168C5" w:rsidRDefault="002B41F8" w:rsidP="002B41F8">
            <w:pPr>
              <w:pStyle w:val="Heading3"/>
              <w:rPr>
                <w:lang w:val="es-ES_tradnl"/>
              </w:rPr>
            </w:pPr>
            <w:r w:rsidRPr="00C168C5">
              <w:rPr>
                <w:lang w:val="es-ES_tradnl"/>
              </w:rPr>
              <w:t>Duración del proyecto</w:t>
            </w:r>
          </w:p>
        </w:tc>
        <w:tc>
          <w:tcPr>
            <w:tcW w:w="6912" w:type="dxa"/>
            <w:shd w:val="clear" w:color="auto" w:fill="auto"/>
          </w:tcPr>
          <w:p w14:paraId="4D18835E" w14:textId="77777777" w:rsidR="00C91693" w:rsidRPr="00C168C5" w:rsidRDefault="00C91693" w:rsidP="00243943">
            <w:pPr>
              <w:rPr>
                <w:rFonts w:eastAsia="Times New Roman"/>
                <w:lang w:val="es-ES_tradnl" w:eastAsia="en-US"/>
              </w:rPr>
            </w:pPr>
          </w:p>
          <w:p w14:paraId="58B3B229" w14:textId="77777777" w:rsidR="00C91693" w:rsidRPr="00C168C5" w:rsidRDefault="00C91693" w:rsidP="002B41F8">
            <w:pPr>
              <w:rPr>
                <w:rFonts w:eastAsia="Times New Roman"/>
                <w:lang w:val="es-ES_tradnl" w:eastAsia="en-US"/>
              </w:rPr>
            </w:pPr>
            <w:r w:rsidRPr="00C168C5">
              <w:rPr>
                <w:rFonts w:eastAsia="Times New Roman"/>
                <w:lang w:val="es-ES_tradnl" w:eastAsia="en-US"/>
              </w:rPr>
              <w:t>36 m</w:t>
            </w:r>
            <w:r w:rsidR="002B41F8" w:rsidRPr="00C168C5">
              <w:rPr>
                <w:rFonts w:eastAsia="Times New Roman"/>
                <w:lang w:val="es-ES_tradnl" w:eastAsia="en-US"/>
              </w:rPr>
              <w:t>eses</w:t>
            </w:r>
          </w:p>
          <w:p w14:paraId="40748B09" w14:textId="2B54364B" w:rsidR="002B41F8" w:rsidRPr="00C168C5" w:rsidRDefault="002B41F8" w:rsidP="002B41F8">
            <w:pPr>
              <w:rPr>
                <w:rFonts w:eastAsia="Times New Roman"/>
                <w:lang w:val="es-ES_tradnl" w:eastAsia="en-US"/>
              </w:rPr>
            </w:pPr>
          </w:p>
        </w:tc>
      </w:tr>
      <w:tr w:rsidR="00C91693" w:rsidRPr="00C168C5" w14:paraId="603C36E5" w14:textId="77777777" w:rsidTr="00243943">
        <w:tc>
          <w:tcPr>
            <w:tcW w:w="2376" w:type="dxa"/>
            <w:shd w:val="clear" w:color="auto" w:fill="auto"/>
          </w:tcPr>
          <w:p w14:paraId="7289717D" w14:textId="3679EC9A" w:rsidR="00AA1426" w:rsidRPr="00C168C5" w:rsidRDefault="00AA1426" w:rsidP="00AA1426">
            <w:pPr>
              <w:keepNext/>
              <w:spacing w:before="240" w:after="60"/>
              <w:outlineLvl w:val="2"/>
              <w:rPr>
                <w:u w:val="single"/>
                <w:lang w:val="es-ES_tradnl"/>
              </w:rPr>
            </w:pPr>
            <w:r w:rsidRPr="00C168C5">
              <w:rPr>
                <w:u w:val="single"/>
                <w:lang w:val="es-ES_tradnl"/>
              </w:rPr>
              <w:t>Principales sectores de la OMPI interesados y vínculos con los Programas de la Organización</w:t>
            </w:r>
          </w:p>
        </w:tc>
        <w:tc>
          <w:tcPr>
            <w:tcW w:w="6912" w:type="dxa"/>
            <w:shd w:val="clear" w:color="auto" w:fill="auto"/>
          </w:tcPr>
          <w:p w14:paraId="1DD3BC2D" w14:textId="77777777" w:rsidR="00C91693" w:rsidRPr="00C168C5" w:rsidRDefault="00C91693" w:rsidP="00243943">
            <w:pPr>
              <w:autoSpaceDE w:val="0"/>
              <w:autoSpaceDN w:val="0"/>
              <w:adjustRightInd w:val="0"/>
              <w:rPr>
                <w:rFonts w:eastAsia="Times New Roman"/>
                <w:color w:val="000000"/>
                <w:szCs w:val="22"/>
                <w:lang w:val="es-ES_tradnl" w:eastAsia="en-US"/>
              </w:rPr>
            </w:pPr>
          </w:p>
          <w:p w14:paraId="5EE6D640" w14:textId="70852320" w:rsidR="00C91693" w:rsidRPr="00C168C5" w:rsidRDefault="007B51FF" w:rsidP="00243943">
            <w:pPr>
              <w:autoSpaceDE w:val="0"/>
              <w:autoSpaceDN w:val="0"/>
              <w:adjustRightInd w:val="0"/>
              <w:rPr>
                <w:rFonts w:eastAsia="Times New Roman"/>
                <w:color w:val="000000"/>
                <w:sz w:val="24"/>
                <w:szCs w:val="22"/>
                <w:lang w:val="es-ES_tradnl" w:eastAsia="en-US"/>
              </w:rPr>
            </w:pPr>
            <w:r w:rsidRPr="00C168C5">
              <w:rPr>
                <w:rFonts w:eastAsia="Times New Roman"/>
                <w:color w:val="000000"/>
                <w:szCs w:val="22"/>
                <w:lang w:val="es-ES_tradnl" w:eastAsia="en-US"/>
              </w:rPr>
              <w:t>Se llevarán a cabo estudios en coordinación con los programas 8, 9 y</w:t>
            </w:r>
            <w:r w:rsidR="00C91693" w:rsidRPr="00C168C5">
              <w:rPr>
                <w:rFonts w:eastAsia="Times New Roman"/>
                <w:color w:val="000000"/>
                <w:szCs w:val="22"/>
                <w:lang w:val="es-ES_tradnl" w:eastAsia="en-US"/>
              </w:rPr>
              <w:t xml:space="preserve"> 10. </w:t>
            </w:r>
          </w:p>
          <w:p w14:paraId="58B62F2A" w14:textId="77777777" w:rsidR="00C91693" w:rsidRPr="00C168C5" w:rsidRDefault="00C91693" w:rsidP="00243943">
            <w:pPr>
              <w:rPr>
                <w:rFonts w:eastAsia="Times New Roman"/>
                <w:lang w:val="es-ES_tradnl" w:eastAsia="en-US"/>
              </w:rPr>
            </w:pPr>
          </w:p>
        </w:tc>
      </w:tr>
      <w:tr w:rsidR="00C91693" w:rsidRPr="00C168C5" w14:paraId="29519EB6" w14:textId="77777777" w:rsidTr="007B51FF">
        <w:trPr>
          <w:trHeight w:val="956"/>
        </w:trPr>
        <w:tc>
          <w:tcPr>
            <w:tcW w:w="2376" w:type="dxa"/>
            <w:shd w:val="clear" w:color="auto" w:fill="auto"/>
          </w:tcPr>
          <w:p w14:paraId="0112EAD4" w14:textId="0AEF5542" w:rsidR="00C91693" w:rsidRPr="00C168C5" w:rsidRDefault="007B51FF" w:rsidP="00243943">
            <w:pPr>
              <w:keepNext/>
              <w:spacing w:before="240" w:after="60"/>
              <w:outlineLvl w:val="2"/>
              <w:rPr>
                <w:bCs/>
                <w:szCs w:val="26"/>
                <w:u w:val="single"/>
                <w:lang w:val="es-ES_tradnl" w:eastAsia="en-US"/>
              </w:rPr>
            </w:pPr>
            <w:r w:rsidRPr="00C168C5">
              <w:rPr>
                <w:u w:val="single"/>
                <w:lang w:val="es-ES_tradnl"/>
              </w:rPr>
              <w:t>Breve descripción del proyecto</w:t>
            </w:r>
          </w:p>
        </w:tc>
        <w:tc>
          <w:tcPr>
            <w:tcW w:w="6912" w:type="dxa"/>
            <w:shd w:val="clear" w:color="auto" w:fill="auto"/>
          </w:tcPr>
          <w:p w14:paraId="4DC76F40" w14:textId="77777777" w:rsidR="00C91693" w:rsidRPr="00C168C5" w:rsidRDefault="00C91693" w:rsidP="00243943">
            <w:pPr>
              <w:autoSpaceDE w:val="0"/>
              <w:autoSpaceDN w:val="0"/>
              <w:adjustRightInd w:val="0"/>
              <w:rPr>
                <w:rFonts w:eastAsia="Times New Roman"/>
                <w:color w:val="000000"/>
                <w:szCs w:val="22"/>
                <w:lang w:val="es-ES_tradnl" w:eastAsia="en-US"/>
              </w:rPr>
            </w:pPr>
          </w:p>
          <w:p w14:paraId="66B19056" w14:textId="736A7007" w:rsidR="007B51FF" w:rsidRPr="00C168C5" w:rsidRDefault="007B51FF" w:rsidP="007B51FF">
            <w:pPr>
              <w:rPr>
                <w:iCs/>
                <w:lang w:val="es-ES_tradnl"/>
              </w:rPr>
            </w:pPr>
            <w:r w:rsidRPr="00C168C5">
              <w:rPr>
                <w:iCs/>
                <w:lang w:val="es-ES_tradnl"/>
              </w:rPr>
              <w:t xml:space="preserve">Este proyecto es complementario del </w:t>
            </w:r>
            <w:r w:rsidR="00CB4523" w:rsidRPr="00C168C5">
              <w:rPr>
                <w:iCs/>
                <w:lang w:val="es-ES_tradnl"/>
              </w:rPr>
              <w:t xml:space="preserve">proyecto </w:t>
            </w:r>
            <w:r w:rsidRPr="00C168C5">
              <w:rPr>
                <w:i/>
                <w:iCs/>
                <w:lang w:val="es-ES_tradnl"/>
              </w:rPr>
              <w:t>Propiedad Intelect</w:t>
            </w:r>
            <w:r w:rsidR="00CB4523" w:rsidRPr="00C168C5">
              <w:rPr>
                <w:i/>
                <w:iCs/>
                <w:lang w:val="es-ES_tradnl"/>
              </w:rPr>
              <w:t>ual y desarrollo socioeconómico</w:t>
            </w:r>
            <w:r w:rsidRPr="00C168C5">
              <w:rPr>
                <w:i/>
                <w:iCs/>
                <w:lang w:val="es-ES_tradnl"/>
              </w:rPr>
              <w:t xml:space="preserve"> </w:t>
            </w:r>
            <w:r w:rsidRPr="00C168C5">
              <w:rPr>
                <w:iCs/>
                <w:lang w:val="es-ES_tradnl"/>
              </w:rPr>
              <w:t>(CDIP/5/7 rev. 1), qu</w:t>
            </w:r>
            <w:r w:rsidR="00CB4523" w:rsidRPr="00C168C5">
              <w:rPr>
                <w:iCs/>
                <w:lang w:val="es-ES_tradnl"/>
              </w:rPr>
              <w:t>e se terminó de ejecutar a finales</w:t>
            </w:r>
            <w:r w:rsidRPr="00C168C5">
              <w:rPr>
                <w:iCs/>
                <w:lang w:val="es-ES_tradnl"/>
              </w:rPr>
              <w:t xml:space="preserve"> de 2013.  Éste seguirá siendo un proyecto global que servirá de marco para estudios nacionales y regionales con el fin de colmar las lagunas de conocimientos que adolecen los encargados de formular políticas de esos países en cuanto al diseño y la aplicación de un régimen de P.I. orientado a fomentar el desarrollo.</w:t>
            </w:r>
          </w:p>
          <w:p w14:paraId="44FB2249" w14:textId="77777777" w:rsidR="007B51FF" w:rsidRPr="00C168C5" w:rsidRDefault="007B51FF" w:rsidP="007B51FF">
            <w:pPr>
              <w:rPr>
                <w:iCs/>
                <w:lang w:val="es-ES_tradnl"/>
              </w:rPr>
            </w:pPr>
          </w:p>
          <w:p w14:paraId="470F197D" w14:textId="651A543C" w:rsidR="00C91693" w:rsidRPr="00C168C5" w:rsidRDefault="007B51FF" w:rsidP="00243943">
            <w:pPr>
              <w:rPr>
                <w:iCs/>
                <w:lang w:val="es-ES_tradnl"/>
              </w:rPr>
            </w:pPr>
            <w:r w:rsidRPr="00C168C5">
              <w:rPr>
                <w:iCs/>
                <w:lang w:val="es-ES_tradnl"/>
              </w:rPr>
              <w:t xml:space="preserve">Aunque apunta a la consecución de los mismos objetivos que el proyecto original, esta Fase II está destinada a promover la sostenibilidad de las investigaciones iniciadas en la primera fase del </w:t>
            </w:r>
            <w:r w:rsidRPr="00C168C5">
              <w:rPr>
                <w:iCs/>
                <w:lang w:val="es-ES_tradnl"/>
              </w:rPr>
              <w:lastRenderedPageBreak/>
              <w:t>proyecto y ampliar el alcance de los estudios para incluir nuevos países y regiones, así como nuevos temas no abarcados en la fase I.</w:t>
            </w:r>
          </w:p>
        </w:tc>
      </w:tr>
    </w:tbl>
    <w:p w14:paraId="3B427ED7" w14:textId="77777777" w:rsidR="00C91693" w:rsidRPr="00C168C5" w:rsidRDefault="00C91693" w:rsidP="00C91693">
      <w:pPr>
        <w:rPr>
          <w:rFonts w:eastAsia="Times New Roman"/>
          <w:lang w:val="es-ES_tradnl" w:eastAsia="en-US"/>
        </w:rPr>
      </w:pPr>
    </w:p>
    <w:p w14:paraId="0108C5F7" w14:textId="77777777" w:rsidR="00C91693" w:rsidRPr="00C168C5" w:rsidRDefault="00C91693" w:rsidP="00C91693">
      <w:pPr>
        <w:rPr>
          <w:rFonts w:eastAsia="Times New Roman"/>
          <w:lang w:val="es-ES_tradnl" w:eastAsia="en-US"/>
        </w:rPr>
      </w:pPr>
      <w:r w:rsidRPr="00C168C5">
        <w:rPr>
          <w:rFonts w:eastAsia="Times New Roman"/>
          <w:lang w:val="es-ES_tradnl" w:eastAsia="en-US"/>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C91693" w:rsidRPr="00C168C5" w14:paraId="11D427C6" w14:textId="77777777" w:rsidTr="00243943">
        <w:trPr>
          <w:trHeight w:val="484"/>
        </w:trPr>
        <w:tc>
          <w:tcPr>
            <w:tcW w:w="2376" w:type="dxa"/>
            <w:shd w:val="clear" w:color="auto" w:fill="auto"/>
          </w:tcPr>
          <w:p w14:paraId="489F4FA0" w14:textId="47D7C9B9" w:rsidR="00C91693" w:rsidRPr="00C168C5" w:rsidRDefault="00B8545B" w:rsidP="00B8545B">
            <w:pPr>
              <w:keepNext/>
              <w:spacing w:before="240" w:after="60"/>
              <w:outlineLvl w:val="2"/>
              <w:rPr>
                <w:bCs/>
                <w:szCs w:val="26"/>
                <w:u w:val="single"/>
                <w:lang w:val="es-ES_tradnl" w:eastAsia="en-US"/>
              </w:rPr>
            </w:pPr>
            <w:r w:rsidRPr="00C168C5">
              <w:rPr>
                <w:bCs/>
                <w:szCs w:val="26"/>
                <w:u w:val="single"/>
                <w:lang w:val="es-ES_tradnl" w:eastAsia="en-US"/>
              </w:rPr>
              <w:lastRenderedPageBreak/>
              <w:t>Director del proyecto</w:t>
            </w:r>
          </w:p>
        </w:tc>
        <w:tc>
          <w:tcPr>
            <w:tcW w:w="6912" w:type="dxa"/>
            <w:vAlign w:val="center"/>
          </w:tcPr>
          <w:p w14:paraId="22BE7E20" w14:textId="77777777" w:rsidR="00C91693" w:rsidRPr="00C168C5" w:rsidRDefault="00C91693" w:rsidP="00243943">
            <w:pPr>
              <w:rPr>
                <w:rFonts w:eastAsia="Times New Roman"/>
                <w:iCs/>
                <w:lang w:val="es-ES_tradnl" w:eastAsia="en-US"/>
              </w:rPr>
            </w:pPr>
          </w:p>
          <w:p w14:paraId="00F95E22" w14:textId="2F7DDE5E" w:rsidR="00C91693" w:rsidRPr="00C168C5" w:rsidRDefault="00B8545B" w:rsidP="00243943">
            <w:pPr>
              <w:rPr>
                <w:rFonts w:eastAsia="Times New Roman"/>
                <w:iCs/>
                <w:lang w:val="es-ES_tradnl" w:eastAsia="en-US"/>
              </w:rPr>
            </w:pPr>
            <w:r w:rsidRPr="00C168C5">
              <w:rPr>
                <w:rFonts w:eastAsia="Times New Roman"/>
                <w:iCs/>
                <w:lang w:val="es-ES_tradnl" w:eastAsia="en-US"/>
              </w:rPr>
              <w:t>S</w:t>
            </w:r>
            <w:r w:rsidR="00C91693" w:rsidRPr="00C168C5">
              <w:rPr>
                <w:rFonts w:eastAsia="Times New Roman"/>
                <w:iCs/>
                <w:lang w:val="es-ES_tradnl" w:eastAsia="en-US"/>
              </w:rPr>
              <w:t>r. Carsten Fink</w:t>
            </w:r>
          </w:p>
          <w:p w14:paraId="799CDCEB" w14:textId="77777777" w:rsidR="00C91693" w:rsidRPr="00C168C5" w:rsidRDefault="00C91693" w:rsidP="00243943">
            <w:pPr>
              <w:rPr>
                <w:rFonts w:eastAsia="Times New Roman"/>
                <w:iCs/>
                <w:lang w:val="es-ES_tradnl" w:eastAsia="en-US"/>
              </w:rPr>
            </w:pPr>
          </w:p>
        </w:tc>
      </w:tr>
      <w:tr w:rsidR="00C91693" w:rsidRPr="00C168C5" w14:paraId="168BE6CB" w14:textId="77777777" w:rsidTr="00243943">
        <w:trPr>
          <w:trHeight w:val="1165"/>
        </w:trPr>
        <w:tc>
          <w:tcPr>
            <w:tcW w:w="2376" w:type="dxa"/>
            <w:shd w:val="clear" w:color="auto" w:fill="auto"/>
          </w:tcPr>
          <w:p w14:paraId="7E79B81F" w14:textId="518D5BFE" w:rsidR="00C91693" w:rsidRPr="00C168C5" w:rsidDel="00196374" w:rsidRDefault="00547C78" w:rsidP="00547C78">
            <w:pPr>
              <w:keepNext/>
              <w:spacing w:before="240" w:after="60"/>
              <w:outlineLvl w:val="2"/>
              <w:rPr>
                <w:rFonts w:eastAsia="Times New Roman"/>
                <w:u w:val="single"/>
                <w:lang w:val="es-ES_tradnl" w:eastAsia="en-US"/>
              </w:rPr>
            </w:pPr>
            <w:r w:rsidRPr="00C168C5">
              <w:rPr>
                <w:szCs w:val="22"/>
                <w:u w:val="single"/>
                <w:lang w:val="es-ES_tradnl"/>
              </w:rPr>
              <w:t>Vínculos con los resultados previstos en el presupuesto por programas</w:t>
            </w:r>
          </w:p>
        </w:tc>
        <w:tc>
          <w:tcPr>
            <w:tcW w:w="6912" w:type="dxa"/>
          </w:tcPr>
          <w:p w14:paraId="1E996DE2" w14:textId="77777777" w:rsidR="00C91693" w:rsidRPr="00C168C5" w:rsidRDefault="00C91693" w:rsidP="00243943">
            <w:pPr>
              <w:rPr>
                <w:rFonts w:eastAsia="Times New Roman"/>
                <w:iCs/>
                <w:lang w:val="es-ES_tradnl" w:eastAsia="en-US"/>
              </w:rPr>
            </w:pPr>
          </w:p>
          <w:p w14:paraId="038EC0ED" w14:textId="29E518EB" w:rsidR="00C91693" w:rsidRPr="00C168C5" w:rsidDel="00196374" w:rsidRDefault="00547C78" w:rsidP="00547C78">
            <w:pPr>
              <w:autoSpaceDE w:val="0"/>
              <w:autoSpaceDN w:val="0"/>
              <w:adjustRightInd w:val="0"/>
              <w:rPr>
                <w:rFonts w:eastAsia="Times New Roman"/>
                <w:iCs/>
                <w:lang w:val="es-ES_tradnl" w:eastAsia="en-US"/>
              </w:rPr>
            </w:pPr>
            <w:r w:rsidRPr="00C168C5">
              <w:rPr>
                <w:iCs/>
                <w:lang w:val="es-ES_tradnl"/>
              </w:rPr>
              <w:t>V.2 Ampliación y mejora del uso de los análisis económicos de la OMPI en la formulación de políticas</w:t>
            </w:r>
          </w:p>
        </w:tc>
      </w:tr>
      <w:tr w:rsidR="00C91693" w:rsidRPr="00C168C5" w14:paraId="7C5A22B6" w14:textId="77777777" w:rsidTr="00243943">
        <w:trPr>
          <w:trHeight w:val="1735"/>
        </w:trPr>
        <w:tc>
          <w:tcPr>
            <w:tcW w:w="2376" w:type="dxa"/>
            <w:shd w:val="clear" w:color="auto" w:fill="auto"/>
          </w:tcPr>
          <w:p w14:paraId="1021B10C" w14:textId="28AD722C" w:rsidR="00C91693" w:rsidRPr="00C168C5" w:rsidRDefault="00A30DC8" w:rsidP="00243943">
            <w:pPr>
              <w:keepNext/>
              <w:spacing w:before="240" w:after="60"/>
              <w:outlineLvl w:val="2"/>
              <w:rPr>
                <w:bCs/>
                <w:szCs w:val="26"/>
                <w:u w:val="single"/>
                <w:lang w:val="es-ES_tradnl" w:eastAsia="en-US"/>
              </w:rPr>
            </w:pPr>
            <w:r w:rsidRPr="00C168C5">
              <w:rPr>
                <w:bCs/>
                <w:szCs w:val="26"/>
                <w:u w:val="single"/>
                <w:lang w:val="es-ES_tradnl" w:eastAsia="en-US"/>
              </w:rPr>
              <w:t>Progresos en la ejecución del proyecto</w:t>
            </w:r>
          </w:p>
          <w:p w14:paraId="7791CEC8" w14:textId="77777777" w:rsidR="00C91693" w:rsidRPr="00C168C5" w:rsidRDefault="00C91693" w:rsidP="00243943">
            <w:pPr>
              <w:rPr>
                <w:rFonts w:eastAsia="Times New Roman"/>
                <w:lang w:val="es-ES_tradnl" w:eastAsia="en-US"/>
              </w:rPr>
            </w:pPr>
          </w:p>
        </w:tc>
        <w:tc>
          <w:tcPr>
            <w:tcW w:w="6912" w:type="dxa"/>
          </w:tcPr>
          <w:p w14:paraId="2FB6BC0E" w14:textId="77777777" w:rsidR="00C91693" w:rsidRPr="00C168C5" w:rsidRDefault="00C91693" w:rsidP="00243943">
            <w:pPr>
              <w:rPr>
                <w:rFonts w:eastAsia="Times New Roman"/>
                <w:lang w:val="es-ES_tradnl" w:eastAsia="en-US"/>
              </w:rPr>
            </w:pPr>
          </w:p>
          <w:p w14:paraId="1059200F" w14:textId="0C8B748C" w:rsidR="00C91693" w:rsidRPr="00C168C5" w:rsidRDefault="009421ED" w:rsidP="00243943">
            <w:pPr>
              <w:rPr>
                <w:rFonts w:eastAsia="Times New Roman"/>
                <w:lang w:val="es-ES_tradnl" w:eastAsia="en-US"/>
              </w:rPr>
            </w:pPr>
            <w:r w:rsidRPr="00C168C5">
              <w:rPr>
                <w:rFonts w:eastAsia="Times New Roman"/>
                <w:lang w:val="es-ES_tradnl" w:eastAsia="en-US"/>
              </w:rPr>
              <w:t>El proyecto ha tenido un buen comienzo</w:t>
            </w:r>
            <w:r w:rsidR="00C91693" w:rsidRPr="00C168C5">
              <w:rPr>
                <w:rFonts w:eastAsia="Times New Roman"/>
                <w:lang w:val="es-ES_tradnl" w:eastAsia="en-US"/>
              </w:rPr>
              <w:t xml:space="preserve">.  </w:t>
            </w:r>
            <w:r w:rsidRPr="00C168C5">
              <w:rPr>
                <w:rFonts w:eastAsia="Times New Roman"/>
                <w:lang w:val="es-ES_tradnl" w:eastAsia="en-US"/>
              </w:rPr>
              <w:t xml:space="preserve">Atendiendo a las solicitudes de los Gobiernos de </w:t>
            </w:r>
            <w:r w:rsidR="00C91693" w:rsidRPr="00C168C5">
              <w:rPr>
                <w:rFonts w:eastAsia="Times New Roman"/>
                <w:lang w:val="es-ES_tradnl" w:eastAsia="en-US"/>
              </w:rPr>
              <w:t xml:space="preserve">Colombia </w:t>
            </w:r>
            <w:r w:rsidR="00EB73E8" w:rsidRPr="00C168C5">
              <w:rPr>
                <w:rFonts w:eastAsia="Times New Roman"/>
                <w:lang w:val="es-ES_tradnl" w:eastAsia="en-US"/>
              </w:rPr>
              <w:t>y Polonia</w:t>
            </w:r>
            <w:r w:rsidR="00C91693" w:rsidRPr="00C168C5">
              <w:rPr>
                <w:rFonts w:eastAsia="Times New Roman"/>
                <w:lang w:val="es-ES_tradnl" w:eastAsia="en-US"/>
              </w:rPr>
              <w:t>,</w:t>
            </w:r>
            <w:r w:rsidR="00EB73E8" w:rsidRPr="00C168C5">
              <w:rPr>
                <w:rFonts w:eastAsia="Times New Roman"/>
                <w:lang w:val="es-ES_tradnl" w:eastAsia="en-US"/>
              </w:rPr>
              <w:t xml:space="preserve"> la Secretaría de la OMPI inició nuevos estudios en estos dos paí</w:t>
            </w:r>
            <w:r w:rsidR="00B66D94" w:rsidRPr="00C168C5">
              <w:rPr>
                <w:rFonts w:eastAsia="Times New Roman"/>
                <w:lang w:val="es-ES_tradnl" w:eastAsia="en-US"/>
              </w:rPr>
              <w:t>ses</w:t>
            </w:r>
            <w:r w:rsidR="00C91693" w:rsidRPr="00C168C5">
              <w:rPr>
                <w:rFonts w:eastAsia="Times New Roman"/>
                <w:lang w:val="es-ES_tradnl" w:eastAsia="en-US"/>
              </w:rPr>
              <w:t>.</w:t>
            </w:r>
          </w:p>
          <w:p w14:paraId="462F910D" w14:textId="77777777" w:rsidR="00C91693" w:rsidRPr="00C168C5" w:rsidRDefault="00C91693" w:rsidP="00243943">
            <w:pPr>
              <w:rPr>
                <w:rFonts w:eastAsia="Times New Roman"/>
                <w:lang w:val="es-ES_tradnl" w:eastAsia="en-US"/>
              </w:rPr>
            </w:pPr>
          </w:p>
          <w:p w14:paraId="29DC8301" w14:textId="29EDFE0D" w:rsidR="00C91693" w:rsidRPr="00C168C5" w:rsidRDefault="00C33ED9" w:rsidP="00243943">
            <w:pPr>
              <w:rPr>
                <w:rFonts w:eastAsia="Times New Roman"/>
                <w:lang w:val="es-ES_tradnl" w:eastAsia="en-US"/>
              </w:rPr>
            </w:pPr>
            <w:r w:rsidRPr="00C168C5">
              <w:rPr>
                <w:rFonts w:eastAsia="Times New Roman"/>
                <w:lang w:val="es-ES_tradnl" w:eastAsia="en-US"/>
              </w:rPr>
              <w:t xml:space="preserve">El estudio de </w:t>
            </w:r>
            <w:r w:rsidR="00C91693" w:rsidRPr="00C168C5">
              <w:rPr>
                <w:rFonts w:eastAsia="Times New Roman"/>
                <w:lang w:val="es-ES_tradnl" w:eastAsia="en-US"/>
              </w:rPr>
              <w:t xml:space="preserve">Colombia </w:t>
            </w:r>
            <w:r w:rsidRPr="00C168C5">
              <w:rPr>
                <w:rFonts w:eastAsia="Times New Roman"/>
                <w:lang w:val="es-ES_tradnl" w:eastAsia="en-US"/>
              </w:rPr>
              <w:t xml:space="preserve">conlleva la creación de una base de datos </w:t>
            </w:r>
            <w:r w:rsidR="00177237" w:rsidRPr="00C168C5">
              <w:rPr>
                <w:rFonts w:eastAsia="Times New Roman"/>
                <w:lang w:val="es-ES_tradnl" w:eastAsia="en-US"/>
              </w:rPr>
              <w:t>de registro unitario sobre P.I. para los análisis económicos</w:t>
            </w:r>
            <w:r w:rsidR="00C91693" w:rsidRPr="00C168C5">
              <w:rPr>
                <w:rFonts w:eastAsia="Times New Roman"/>
                <w:lang w:val="es-ES_tradnl" w:eastAsia="en-US"/>
              </w:rPr>
              <w:t xml:space="preserve">, </w:t>
            </w:r>
            <w:r w:rsidR="00177237" w:rsidRPr="00C168C5">
              <w:rPr>
                <w:rFonts w:eastAsia="Times New Roman"/>
                <w:lang w:val="es-ES_tradnl" w:eastAsia="en-US"/>
              </w:rPr>
              <w:t>un análisis de la utilización de la P.I. en</w:t>
            </w:r>
            <w:r w:rsidR="00C91693" w:rsidRPr="00C168C5">
              <w:rPr>
                <w:rFonts w:eastAsia="Times New Roman"/>
                <w:lang w:val="es-ES_tradnl" w:eastAsia="en-US"/>
              </w:rPr>
              <w:t xml:space="preserve"> Colombia </w:t>
            </w:r>
            <w:r w:rsidR="00177237" w:rsidRPr="00C168C5">
              <w:rPr>
                <w:rFonts w:eastAsia="Times New Roman"/>
                <w:lang w:val="es-ES_tradnl" w:eastAsia="en-US"/>
              </w:rPr>
              <w:t xml:space="preserve">y una evaluación empírica de las iniciativas </w:t>
            </w:r>
            <w:r w:rsidR="008261FB" w:rsidRPr="00C168C5">
              <w:rPr>
                <w:rFonts w:eastAsia="Times New Roman"/>
                <w:lang w:val="es-ES_tradnl" w:eastAsia="en-US"/>
              </w:rPr>
              <w:t>recientes de políticas de P.I.</w:t>
            </w:r>
          </w:p>
          <w:p w14:paraId="0B9A8AB1" w14:textId="77777777" w:rsidR="00C91693" w:rsidRPr="00C168C5" w:rsidRDefault="00C91693" w:rsidP="00243943">
            <w:pPr>
              <w:rPr>
                <w:rFonts w:eastAsia="Times New Roman"/>
                <w:lang w:val="es-ES_tradnl" w:eastAsia="en-US"/>
              </w:rPr>
            </w:pPr>
          </w:p>
          <w:p w14:paraId="42C76D29" w14:textId="09929D5E" w:rsidR="00C91693" w:rsidRPr="00C168C5" w:rsidRDefault="008261FB" w:rsidP="00243943">
            <w:pPr>
              <w:rPr>
                <w:rFonts w:eastAsia="Times New Roman"/>
                <w:lang w:val="es-ES_tradnl" w:eastAsia="en-US"/>
              </w:rPr>
            </w:pPr>
            <w:r w:rsidRPr="00C168C5">
              <w:rPr>
                <w:rFonts w:eastAsia="Times New Roman"/>
                <w:lang w:val="es-ES_tradnl" w:eastAsia="en-US"/>
              </w:rPr>
              <w:t>El estudio de Polonia persigue explorar el papel del sistema de P.I. en la in</w:t>
            </w:r>
            <w:r w:rsidR="00FD7ABE" w:rsidRPr="00C168C5">
              <w:rPr>
                <w:rFonts w:eastAsia="Times New Roman"/>
                <w:lang w:val="es-ES_tradnl" w:eastAsia="en-US"/>
              </w:rPr>
              <w:t xml:space="preserve">novación del sector </w:t>
            </w:r>
            <w:r w:rsidRPr="00C168C5">
              <w:rPr>
                <w:rFonts w:eastAsia="Times New Roman"/>
                <w:lang w:val="es-ES_tradnl" w:eastAsia="en-US"/>
              </w:rPr>
              <w:t>sanitario</w:t>
            </w:r>
            <w:r w:rsidR="00C91693" w:rsidRPr="00C168C5">
              <w:rPr>
                <w:rFonts w:eastAsia="Times New Roman"/>
                <w:lang w:val="es-ES_tradnl" w:eastAsia="en-US"/>
              </w:rPr>
              <w:t>.</w:t>
            </w:r>
          </w:p>
          <w:p w14:paraId="77B394F5" w14:textId="77777777" w:rsidR="00C91693" w:rsidRPr="00C168C5" w:rsidRDefault="00C91693" w:rsidP="00243943">
            <w:pPr>
              <w:rPr>
                <w:rFonts w:eastAsia="Times New Roman"/>
                <w:lang w:val="es-ES_tradnl" w:eastAsia="en-US"/>
              </w:rPr>
            </w:pPr>
          </w:p>
          <w:p w14:paraId="3F667DC1" w14:textId="0E5C0654" w:rsidR="00C91693" w:rsidRPr="00C168C5" w:rsidRDefault="008261FB" w:rsidP="00243943">
            <w:pPr>
              <w:rPr>
                <w:lang w:val="es-ES_tradnl"/>
              </w:rPr>
            </w:pPr>
            <w:r w:rsidRPr="00C168C5">
              <w:rPr>
                <w:lang w:val="es-ES_tradnl"/>
              </w:rPr>
              <w:t>Se han emprendido las primeras misiones</w:t>
            </w:r>
            <w:r w:rsidR="00080878" w:rsidRPr="00C168C5">
              <w:rPr>
                <w:lang w:val="es-ES_tradnl"/>
              </w:rPr>
              <w:t xml:space="preserve"> de investigación</w:t>
            </w:r>
            <w:r w:rsidRPr="00C168C5">
              <w:rPr>
                <w:lang w:val="es-ES_tradnl"/>
              </w:rPr>
              <w:t xml:space="preserve"> para ambos estudios y </w:t>
            </w:r>
            <w:r w:rsidR="003C07CD" w:rsidRPr="00C168C5">
              <w:rPr>
                <w:lang w:val="es-ES_tradnl"/>
              </w:rPr>
              <w:t xml:space="preserve">la ejecución </w:t>
            </w:r>
            <w:r w:rsidRPr="00C168C5">
              <w:rPr>
                <w:lang w:val="es-ES_tradnl"/>
              </w:rPr>
              <w:t>está en curso</w:t>
            </w:r>
            <w:r w:rsidR="00C91693" w:rsidRPr="00C168C5">
              <w:rPr>
                <w:lang w:val="es-ES_tradnl"/>
              </w:rPr>
              <w:t xml:space="preserve">.  </w:t>
            </w:r>
            <w:r w:rsidR="003C07CD" w:rsidRPr="00C168C5">
              <w:rPr>
                <w:lang w:val="es-ES_tradnl"/>
              </w:rPr>
              <w:t xml:space="preserve">Las misiones </w:t>
            </w:r>
            <w:r w:rsidR="000C76A0" w:rsidRPr="00C168C5">
              <w:rPr>
                <w:lang w:val="es-ES_tradnl"/>
              </w:rPr>
              <w:t>incorporaron talleres locales que reunieron partes interes</w:t>
            </w:r>
            <w:r w:rsidR="00AE2280" w:rsidRPr="00C168C5">
              <w:rPr>
                <w:lang w:val="es-ES_tradnl"/>
              </w:rPr>
              <w:t xml:space="preserve">adas clave en relación con los </w:t>
            </w:r>
            <w:r w:rsidR="000C76A0" w:rsidRPr="00C168C5">
              <w:rPr>
                <w:lang w:val="es-ES_tradnl"/>
              </w:rPr>
              <w:t xml:space="preserve">temas principales de los estudios. </w:t>
            </w:r>
            <w:r w:rsidR="00C91693" w:rsidRPr="00C168C5">
              <w:rPr>
                <w:lang w:val="es-ES_tradnl"/>
              </w:rPr>
              <w:t xml:space="preserve"> </w:t>
            </w:r>
            <w:r w:rsidR="000C76A0" w:rsidRPr="00C168C5">
              <w:rPr>
                <w:lang w:val="es-ES_tradnl"/>
              </w:rPr>
              <w:t xml:space="preserve">Los talleres contribuyeron a fijar la </w:t>
            </w:r>
            <w:r w:rsidR="00786135" w:rsidRPr="00C168C5">
              <w:rPr>
                <w:lang w:val="es-ES_tradnl"/>
              </w:rPr>
              <w:t>orientación sustantiva del trabajo propuesto</w:t>
            </w:r>
            <w:r w:rsidR="00C91693" w:rsidRPr="00C168C5">
              <w:rPr>
                <w:lang w:val="es-ES_tradnl"/>
              </w:rPr>
              <w:t>.</w:t>
            </w:r>
          </w:p>
          <w:p w14:paraId="59F32D9A" w14:textId="77777777" w:rsidR="00C91693" w:rsidRPr="00C168C5" w:rsidRDefault="00C91693" w:rsidP="00243943">
            <w:pPr>
              <w:rPr>
                <w:rFonts w:eastAsia="Times New Roman"/>
                <w:lang w:val="es-ES_tradnl" w:eastAsia="en-US"/>
              </w:rPr>
            </w:pPr>
          </w:p>
          <w:p w14:paraId="61295AA3" w14:textId="4179A2D6" w:rsidR="00C91693" w:rsidRPr="00C168C5" w:rsidRDefault="00080878" w:rsidP="00243943">
            <w:pPr>
              <w:rPr>
                <w:rFonts w:eastAsia="Times New Roman"/>
                <w:lang w:val="es-ES_tradnl" w:eastAsia="en-US"/>
              </w:rPr>
            </w:pPr>
            <w:r w:rsidRPr="00C168C5">
              <w:rPr>
                <w:rFonts w:eastAsia="Times New Roman"/>
                <w:lang w:val="es-ES_tradnl" w:eastAsia="en-US"/>
              </w:rPr>
              <w:t xml:space="preserve">Para el proyecto se contrató a </w:t>
            </w:r>
            <w:r w:rsidR="009A4603" w:rsidRPr="00C168C5">
              <w:rPr>
                <w:rFonts w:eastAsia="Times New Roman"/>
                <w:lang w:val="es-ES_tradnl" w:eastAsia="en-US"/>
              </w:rPr>
              <w:t>un funcionario encargado del proyecto, que se incorporó a la OMPI en julio de</w:t>
            </w:r>
            <w:r w:rsidR="00C91693" w:rsidRPr="00C168C5">
              <w:rPr>
                <w:rFonts w:eastAsia="Times New Roman"/>
                <w:lang w:val="es-ES_tradnl" w:eastAsia="en-US"/>
              </w:rPr>
              <w:t xml:space="preserve"> 2015.  </w:t>
            </w:r>
          </w:p>
          <w:p w14:paraId="0A871C6C" w14:textId="77777777" w:rsidR="00C91693" w:rsidRPr="00C168C5" w:rsidRDefault="00C91693" w:rsidP="00243943">
            <w:pPr>
              <w:rPr>
                <w:rFonts w:eastAsia="Times New Roman"/>
                <w:lang w:val="es-ES_tradnl" w:eastAsia="en-US"/>
              </w:rPr>
            </w:pPr>
          </w:p>
        </w:tc>
      </w:tr>
      <w:tr w:rsidR="00C91693" w:rsidRPr="00C168C5" w14:paraId="5B315F2F" w14:textId="77777777" w:rsidTr="00243943">
        <w:trPr>
          <w:trHeight w:val="1212"/>
        </w:trPr>
        <w:tc>
          <w:tcPr>
            <w:tcW w:w="2376" w:type="dxa"/>
            <w:shd w:val="clear" w:color="auto" w:fill="auto"/>
          </w:tcPr>
          <w:p w14:paraId="28F2AB43" w14:textId="69777C61" w:rsidR="00C91693" w:rsidRPr="00C168C5" w:rsidRDefault="009A4603" w:rsidP="00243943">
            <w:pPr>
              <w:keepNext/>
              <w:spacing w:before="240" w:after="60"/>
              <w:outlineLvl w:val="2"/>
              <w:rPr>
                <w:bCs/>
                <w:szCs w:val="26"/>
                <w:u w:val="single"/>
                <w:lang w:val="es-ES_tradnl" w:eastAsia="en-US"/>
              </w:rPr>
            </w:pPr>
            <w:r w:rsidRPr="00C168C5">
              <w:rPr>
                <w:bCs/>
                <w:szCs w:val="22"/>
                <w:u w:val="single"/>
                <w:lang w:val="es-ES_tradnl" w:eastAsia="en-US"/>
              </w:rPr>
              <w:t>Ejemplos de logros/Efectos y enseñanzas extraídas</w:t>
            </w:r>
          </w:p>
        </w:tc>
        <w:tc>
          <w:tcPr>
            <w:tcW w:w="6912" w:type="dxa"/>
            <w:vAlign w:val="center"/>
          </w:tcPr>
          <w:p w14:paraId="00A0E8A9" w14:textId="77777777" w:rsidR="00C91693" w:rsidRPr="00C168C5" w:rsidRDefault="00C91693" w:rsidP="00243943">
            <w:pPr>
              <w:rPr>
                <w:rFonts w:eastAsia="Times New Roman"/>
                <w:iCs/>
                <w:lang w:val="es-ES_tradnl" w:eastAsia="en-US"/>
              </w:rPr>
            </w:pPr>
          </w:p>
          <w:p w14:paraId="380A3B2A" w14:textId="3787E147" w:rsidR="00C91693" w:rsidRPr="00C168C5" w:rsidRDefault="00EB1338" w:rsidP="00243943">
            <w:pPr>
              <w:rPr>
                <w:rFonts w:eastAsia="Times New Roman"/>
                <w:iCs/>
                <w:lang w:val="es-ES_tradnl" w:eastAsia="en-US"/>
              </w:rPr>
            </w:pPr>
            <w:r w:rsidRPr="00C168C5">
              <w:rPr>
                <w:rFonts w:eastAsia="Times New Roman"/>
                <w:iCs/>
                <w:lang w:val="es-ES_tradnl" w:eastAsia="en-US"/>
              </w:rPr>
              <w:t>Por ahora resulta prematuro extraer enseñanzas de los estudios realizados en ambos países</w:t>
            </w:r>
            <w:r w:rsidR="00C91693" w:rsidRPr="00C168C5">
              <w:rPr>
                <w:rFonts w:eastAsia="Times New Roman"/>
                <w:iCs/>
                <w:lang w:val="es-ES_tradnl" w:eastAsia="en-US"/>
              </w:rPr>
              <w:t>,</w:t>
            </w:r>
            <w:r w:rsidRPr="00C168C5">
              <w:rPr>
                <w:rFonts w:eastAsia="Times New Roman"/>
                <w:iCs/>
                <w:lang w:val="es-ES_tradnl" w:eastAsia="en-US"/>
              </w:rPr>
              <w:t xml:space="preserve"> salvo que realizar cuidadosamente consultas a las partes interesadas al principio sigue siendo fundamental para garantizar </w:t>
            </w:r>
            <w:r w:rsidR="00CB2AB0" w:rsidRPr="00C168C5">
              <w:rPr>
                <w:rFonts w:eastAsia="Times New Roman"/>
                <w:iCs/>
                <w:lang w:val="es-ES_tradnl" w:eastAsia="en-US"/>
              </w:rPr>
              <w:t xml:space="preserve">la autonomía del país en esa labor y definir con precisión la orientación del trabajo de </w:t>
            </w:r>
            <w:r w:rsidR="00080878" w:rsidRPr="00C168C5">
              <w:rPr>
                <w:rFonts w:eastAsia="Times New Roman"/>
                <w:iCs/>
                <w:lang w:val="es-ES_tradnl" w:eastAsia="en-US"/>
              </w:rPr>
              <w:t>investigación</w:t>
            </w:r>
            <w:r w:rsidR="00CB2AB0" w:rsidRPr="00C168C5">
              <w:rPr>
                <w:rFonts w:eastAsia="Times New Roman"/>
                <w:iCs/>
                <w:lang w:val="es-ES_tradnl" w:eastAsia="en-US"/>
              </w:rPr>
              <w:t>.</w:t>
            </w:r>
          </w:p>
          <w:p w14:paraId="7B8C94B2" w14:textId="77777777" w:rsidR="00C91693" w:rsidRPr="00C168C5" w:rsidRDefault="00C91693" w:rsidP="00243943">
            <w:pPr>
              <w:rPr>
                <w:rFonts w:eastAsia="Times New Roman"/>
                <w:iCs/>
                <w:lang w:val="es-ES_tradnl" w:eastAsia="en-US"/>
              </w:rPr>
            </w:pPr>
          </w:p>
        </w:tc>
      </w:tr>
      <w:tr w:rsidR="00C91693" w:rsidRPr="00C168C5" w14:paraId="7643A3F9" w14:textId="77777777" w:rsidTr="00243943">
        <w:trPr>
          <w:trHeight w:val="713"/>
        </w:trPr>
        <w:tc>
          <w:tcPr>
            <w:tcW w:w="2376" w:type="dxa"/>
            <w:shd w:val="clear" w:color="auto" w:fill="auto"/>
          </w:tcPr>
          <w:p w14:paraId="101D64EB" w14:textId="2CE931FE" w:rsidR="00C91693" w:rsidRPr="00C168C5" w:rsidRDefault="00CB2AB0" w:rsidP="00243943">
            <w:pPr>
              <w:keepNext/>
              <w:spacing w:before="240" w:after="60"/>
              <w:outlineLvl w:val="2"/>
              <w:rPr>
                <w:bCs/>
                <w:szCs w:val="26"/>
                <w:u w:val="single"/>
                <w:lang w:val="es-ES_tradnl" w:eastAsia="en-US"/>
              </w:rPr>
            </w:pPr>
            <w:r w:rsidRPr="00C168C5">
              <w:rPr>
                <w:szCs w:val="22"/>
                <w:u w:val="single"/>
                <w:lang w:val="es-ES_tradnl"/>
              </w:rPr>
              <w:t>Riesgos y medidas paliativas</w:t>
            </w:r>
          </w:p>
        </w:tc>
        <w:tc>
          <w:tcPr>
            <w:tcW w:w="6912" w:type="dxa"/>
          </w:tcPr>
          <w:p w14:paraId="52B552DA" w14:textId="77777777" w:rsidR="00C91693" w:rsidRPr="00C168C5" w:rsidRDefault="00C91693" w:rsidP="00243943">
            <w:pPr>
              <w:rPr>
                <w:rFonts w:eastAsia="Times New Roman"/>
                <w:lang w:val="es-ES_tradnl" w:eastAsia="en-US"/>
              </w:rPr>
            </w:pPr>
          </w:p>
          <w:p w14:paraId="113859FA" w14:textId="53EA6556" w:rsidR="00C91693" w:rsidRPr="00C168C5" w:rsidRDefault="00CB2AB0" w:rsidP="00243943">
            <w:pPr>
              <w:rPr>
                <w:rFonts w:eastAsia="Times New Roman"/>
                <w:lang w:val="es-ES_tradnl" w:eastAsia="en-US"/>
              </w:rPr>
            </w:pPr>
            <w:r w:rsidRPr="00C168C5">
              <w:rPr>
                <w:rFonts w:eastAsia="Times New Roman"/>
                <w:lang w:val="es-ES_tradnl" w:eastAsia="en-US"/>
              </w:rPr>
              <w:t xml:space="preserve">Lamentablemente, el proceso de contratación del </w:t>
            </w:r>
            <w:r w:rsidR="00AE2280" w:rsidRPr="00C168C5">
              <w:rPr>
                <w:rFonts w:eastAsia="Times New Roman"/>
                <w:lang w:val="es-ES_tradnl" w:eastAsia="en-US"/>
              </w:rPr>
              <w:t xml:space="preserve">administrador </w:t>
            </w:r>
            <w:r w:rsidRPr="00C168C5">
              <w:rPr>
                <w:rFonts w:eastAsia="Times New Roman"/>
                <w:lang w:val="es-ES_tradnl" w:eastAsia="en-US"/>
              </w:rPr>
              <w:t>del proyecto llevó más tiempo del previsto en un principio</w:t>
            </w:r>
            <w:r w:rsidR="00C91693" w:rsidRPr="00C168C5">
              <w:rPr>
                <w:rFonts w:eastAsia="Times New Roman"/>
                <w:lang w:val="es-ES_tradnl" w:eastAsia="en-US"/>
              </w:rPr>
              <w:t xml:space="preserve">.  </w:t>
            </w:r>
            <w:r w:rsidRPr="00C168C5">
              <w:rPr>
                <w:rFonts w:eastAsia="Times New Roman"/>
                <w:lang w:val="es-ES_tradnl" w:eastAsia="en-US"/>
              </w:rPr>
              <w:t xml:space="preserve">Esta circunstancia ha provocado otros retrasos en </w:t>
            </w:r>
            <w:r w:rsidR="004D5DE9" w:rsidRPr="00C168C5">
              <w:rPr>
                <w:rFonts w:eastAsia="Times New Roman"/>
                <w:lang w:val="es-ES_tradnl" w:eastAsia="en-US"/>
              </w:rPr>
              <w:t xml:space="preserve">el calendario general </w:t>
            </w:r>
            <w:r w:rsidRPr="00C168C5">
              <w:rPr>
                <w:rFonts w:eastAsia="Times New Roman"/>
                <w:lang w:val="es-ES_tradnl" w:eastAsia="en-US"/>
              </w:rPr>
              <w:t>de ejecuc</w:t>
            </w:r>
            <w:r w:rsidR="004D5DE9" w:rsidRPr="00C168C5">
              <w:rPr>
                <w:rFonts w:eastAsia="Times New Roman"/>
                <w:lang w:val="es-ES_tradnl" w:eastAsia="en-US"/>
              </w:rPr>
              <w:t>ión</w:t>
            </w:r>
            <w:r w:rsidR="00C91693" w:rsidRPr="00C168C5">
              <w:rPr>
                <w:rFonts w:eastAsia="Times New Roman"/>
                <w:lang w:val="es-ES_tradnl" w:eastAsia="en-US"/>
              </w:rPr>
              <w:t>,</w:t>
            </w:r>
            <w:r w:rsidR="004D5DE9" w:rsidRPr="00C168C5">
              <w:rPr>
                <w:rFonts w:eastAsia="Times New Roman"/>
                <w:lang w:val="es-ES_tradnl" w:eastAsia="en-US"/>
              </w:rPr>
              <w:t xml:space="preserve"> si bien es muy pronto para averiguar si esa demora exige ajustes en esos plazos</w:t>
            </w:r>
            <w:r w:rsidR="00C91693" w:rsidRPr="00C168C5">
              <w:rPr>
                <w:rFonts w:eastAsia="Times New Roman"/>
                <w:lang w:val="es-ES_tradnl" w:eastAsia="en-US"/>
              </w:rPr>
              <w:t>.</w:t>
            </w:r>
          </w:p>
          <w:p w14:paraId="39E08B0F" w14:textId="77777777" w:rsidR="00C91693" w:rsidRPr="00C168C5" w:rsidRDefault="00C91693" w:rsidP="00243943">
            <w:pPr>
              <w:rPr>
                <w:rFonts w:eastAsia="Times New Roman"/>
                <w:iCs/>
                <w:lang w:val="es-ES_tradnl" w:eastAsia="en-US"/>
              </w:rPr>
            </w:pPr>
          </w:p>
        </w:tc>
      </w:tr>
      <w:tr w:rsidR="00C91693" w:rsidRPr="00C168C5" w14:paraId="64997A74" w14:textId="77777777" w:rsidTr="00243943">
        <w:trPr>
          <w:trHeight w:val="901"/>
        </w:trPr>
        <w:tc>
          <w:tcPr>
            <w:tcW w:w="2376" w:type="dxa"/>
            <w:shd w:val="clear" w:color="auto" w:fill="auto"/>
          </w:tcPr>
          <w:p w14:paraId="1BF68C62" w14:textId="26289324" w:rsidR="00C91693" w:rsidRPr="00C168C5" w:rsidRDefault="004D5DE9" w:rsidP="00243943">
            <w:pPr>
              <w:keepNext/>
              <w:spacing w:before="240" w:after="60"/>
              <w:outlineLvl w:val="2"/>
              <w:rPr>
                <w:bCs/>
                <w:szCs w:val="26"/>
                <w:u w:val="single"/>
                <w:lang w:val="es-ES_tradnl" w:eastAsia="en-US"/>
              </w:rPr>
            </w:pPr>
            <w:r w:rsidRPr="00C168C5">
              <w:rPr>
                <w:u w:val="single"/>
                <w:lang w:val="es-ES_tradnl"/>
              </w:rPr>
              <w:t>Cuestiones que requieren atención inmediata</w:t>
            </w:r>
          </w:p>
        </w:tc>
        <w:tc>
          <w:tcPr>
            <w:tcW w:w="6912" w:type="dxa"/>
          </w:tcPr>
          <w:p w14:paraId="5C744811" w14:textId="77777777" w:rsidR="00C91693" w:rsidRPr="00C168C5" w:rsidRDefault="00C91693" w:rsidP="00243943">
            <w:pPr>
              <w:rPr>
                <w:rFonts w:eastAsia="Times New Roman"/>
                <w:iCs/>
                <w:lang w:val="es-ES_tradnl" w:eastAsia="en-US"/>
              </w:rPr>
            </w:pPr>
          </w:p>
          <w:p w14:paraId="73FDA46A" w14:textId="3939AA27" w:rsidR="00C91693" w:rsidRPr="00C168C5" w:rsidRDefault="004D5DE9" w:rsidP="00243943">
            <w:pPr>
              <w:rPr>
                <w:rFonts w:eastAsia="Times New Roman"/>
                <w:iCs/>
                <w:lang w:val="es-ES_tradnl" w:eastAsia="en-US"/>
              </w:rPr>
            </w:pPr>
            <w:r w:rsidRPr="00C168C5">
              <w:rPr>
                <w:rFonts w:eastAsia="Times New Roman"/>
                <w:iCs/>
                <w:lang w:val="es-ES_tradnl" w:eastAsia="en-US"/>
              </w:rPr>
              <w:t>Ninguna</w:t>
            </w:r>
          </w:p>
        </w:tc>
      </w:tr>
      <w:tr w:rsidR="00C91693" w:rsidRPr="00C168C5" w14:paraId="42EA6C30" w14:textId="77777777" w:rsidTr="00243943">
        <w:trPr>
          <w:trHeight w:val="1081"/>
        </w:trPr>
        <w:tc>
          <w:tcPr>
            <w:tcW w:w="2376" w:type="dxa"/>
            <w:shd w:val="clear" w:color="auto" w:fill="auto"/>
          </w:tcPr>
          <w:p w14:paraId="6EFBAF65" w14:textId="706F9F3A" w:rsidR="00C91693" w:rsidRPr="00C168C5" w:rsidRDefault="00C1249A" w:rsidP="00243943">
            <w:pPr>
              <w:keepNext/>
              <w:spacing w:before="240" w:after="60"/>
              <w:outlineLvl w:val="2"/>
              <w:rPr>
                <w:bCs/>
                <w:szCs w:val="26"/>
                <w:u w:val="single"/>
                <w:lang w:val="es-ES_tradnl" w:eastAsia="en-US"/>
              </w:rPr>
            </w:pPr>
            <w:r w:rsidRPr="00C168C5">
              <w:rPr>
                <w:u w:val="single"/>
                <w:lang w:val="es-ES_tradnl"/>
              </w:rPr>
              <w:t>Siguientes pasos</w:t>
            </w:r>
          </w:p>
        </w:tc>
        <w:tc>
          <w:tcPr>
            <w:tcW w:w="6912" w:type="dxa"/>
          </w:tcPr>
          <w:p w14:paraId="4884AE2D" w14:textId="77777777" w:rsidR="00C91693" w:rsidRPr="00C168C5" w:rsidRDefault="00C91693" w:rsidP="00243943">
            <w:pPr>
              <w:rPr>
                <w:rFonts w:eastAsia="Times New Roman"/>
                <w:iCs/>
                <w:lang w:val="es-ES_tradnl" w:eastAsia="en-US"/>
              </w:rPr>
            </w:pPr>
          </w:p>
          <w:p w14:paraId="10D7D3F1" w14:textId="79DED557" w:rsidR="00C91693" w:rsidRPr="00C168C5" w:rsidRDefault="00C1249A" w:rsidP="00243943">
            <w:pPr>
              <w:rPr>
                <w:rFonts w:eastAsia="Times New Roman"/>
                <w:iCs/>
                <w:lang w:val="es-ES_tradnl" w:eastAsia="en-US"/>
              </w:rPr>
            </w:pPr>
            <w:r w:rsidRPr="00C168C5">
              <w:rPr>
                <w:rFonts w:eastAsia="Times New Roman"/>
                <w:iCs/>
                <w:lang w:val="es-ES_tradnl" w:eastAsia="en-US"/>
              </w:rPr>
              <w:t>Además de proseguir con la realización de los estudios de Colombia y Polonia</w:t>
            </w:r>
            <w:r w:rsidR="00C91693" w:rsidRPr="00C168C5">
              <w:rPr>
                <w:rFonts w:eastAsia="Times New Roman"/>
                <w:iCs/>
                <w:lang w:val="es-ES_tradnl" w:eastAsia="en-US"/>
              </w:rPr>
              <w:t xml:space="preserve">, </w:t>
            </w:r>
            <w:r w:rsidRPr="00C168C5">
              <w:rPr>
                <w:rFonts w:eastAsia="Times New Roman"/>
                <w:iCs/>
                <w:lang w:val="es-ES_tradnl" w:eastAsia="en-US"/>
              </w:rPr>
              <w:t xml:space="preserve">el proyecto emprenderá otros nuevos en línea con los criterios de </w:t>
            </w:r>
            <w:r w:rsidR="00080878" w:rsidRPr="00C168C5">
              <w:rPr>
                <w:rFonts w:eastAsia="Times New Roman"/>
                <w:iCs/>
                <w:lang w:val="es-ES_tradnl" w:eastAsia="en-US"/>
              </w:rPr>
              <w:t>selección</w:t>
            </w:r>
            <w:r w:rsidRPr="00C168C5">
              <w:rPr>
                <w:rFonts w:eastAsia="Times New Roman"/>
                <w:iCs/>
                <w:lang w:val="es-ES_tradnl" w:eastAsia="en-US"/>
              </w:rPr>
              <w:t xml:space="preserve"> fijados en el documento del proyecto</w:t>
            </w:r>
            <w:r w:rsidR="00C91693" w:rsidRPr="00C168C5">
              <w:rPr>
                <w:rFonts w:eastAsia="Times New Roman"/>
                <w:iCs/>
                <w:lang w:val="es-ES_tradnl" w:eastAsia="en-US"/>
              </w:rPr>
              <w:t xml:space="preserve"> (CDIP/14/7).  </w:t>
            </w:r>
            <w:r w:rsidR="00D92203" w:rsidRPr="00C168C5">
              <w:rPr>
                <w:rFonts w:eastAsia="Times New Roman"/>
                <w:iCs/>
                <w:lang w:val="es-ES_tradnl" w:eastAsia="en-US"/>
              </w:rPr>
              <w:t>También determinará el alcance de la labor de seguimiento en los países beneficiarios de la fase I del proyecto, tal como describe dicho documento</w:t>
            </w:r>
            <w:r w:rsidR="00C91693" w:rsidRPr="00C168C5">
              <w:rPr>
                <w:rFonts w:eastAsia="Times New Roman"/>
                <w:iCs/>
                <w:lang w:val="es-ES_tradnl" w:eastAsia="en-US"/>
              </w:rPr>
              <w:t>.</w:t>
            </w:r>
          </w:p>
        </w:tc>
      </w:tr>
      <w:tr w:rsidR="00C91693" w:rsidRPr="00C168C5" w14:paraId="2D26311D" w14:textId="77777777" w:rsidTr="00243943">
        <w:trPr>
          <w:trHeight w:val="1407"/>
        </w:trPr>
        <w:tc>
          <w:tcPr>
            <w:tcW w:w="2376" w:type="dxa"/>
            <w:shd w:val="clear" w:color="auto" w:fill="auto"/>
          </w:tcPr>
          <w:p w14:paraId="36454AA6" w14:textId="76D22DED" w:rsidR="00C91693" w:rsidRPr="00C168C5" w:rsidRDefault="006E1E6C" w:rsidP="00243943">
            <w:pPr>
              <w:keepNext/>
              <w:spacing w:before="240" w:after="60"/>
              <w:outlineLvl w:val="2"/>
              <w:rPr>
                <w:bCs/>
                <w:szCs w:val="26"/>
                <w:u w:val="single"/>
                <w:lang w:val="es-ES_tradnl" w:eastAsia="en-US"/>
              </w:rPr>
            </w:pPr>
            <w:r w:rsidRPr="00C168C5">
              <w:rPr>
                <w:u w:val="single"/>
                <w:lang w:val="es-ES_tradnl"/>
              </w:rPr>
              <w:lastRenderedPageBreak/>
              <w:t>Calendario de ejecución</w:t>
            </w:r>
          </w:p>
        </w:tc>
        <w:tc>
          <w:tcPr>
            <w:tcW w:w="6912" w:type="dxa"/>
          </w:tcPr>
          <w:p w14:paraId="1B4D9AA6" w14:textId="77777777" w:rsidR="00C91693" w:rsidRPr="00C168C5" w:rsidRDefault="00C91693" w:rsidP="00243943">
            <w:pPr>
              <w:rPr>
                <w:rFonts w:eastAsia="Times New Roman"/>
                <w:iCs/>
                <w:lang w:val="es-ES_tradnl" w:eastAsia="en-US"/>
              </w:rPr>
            </w:pPr>
          </w:p>
          <w:p w14:paraId="0B328BB4" w14:textId="542F4CEF" w:rsidR="00C91693" w:rsidRPr="00C168C5" w:rsidRDefault="006E1E6C" w:rsidP="00AE2280">
            <w:pPr>
              <w:rPr>
                <w:rFonts w:eastAsia="Times New Roman"/>
                <w:iCs/>
                <w:lang w:val="es-ES_tradnl" w:eastAsia="en-US"/>
              </w:rPr>
            </w:pPr>
            <w:r w:rsidRPr="00C168C5">
              <w:rPr>
                <w:rFonts w:eastAsia="Times New Roman"/>
                <w:iCs/>
                <w:lang w:val="es-ES_tradnl" w:eastAsia="en-US"/>
              </w:rPr>
              <w:t>Como ya se ha mencionado anteriormente,</w:t>
            </w:r>
            <w:r w:rsidR="00C91693" w:rsidRPr="00C168C5">
              <w:rPr>
                <w:rFonts w:eastAsia="Times New Roman"/>
                <w:iCs/>
                <w:lang w:val="es-ES_tradnl" w:eastAsia="en-US"/>
              </w:rPr>
              <w:t xml:space="preserve"> </w:t>
            </w:r>
            <w:r w:rsidRPr="00C168C5">
              <w:rPr>
                <w:rFonts w:eastAsia="Times New Roman"/>
                <w:iCs/>
                <w:lang w:val="es-ES_tradnl" w:eastAsia="en-US"/>
              </w:rPr>
              <w:t xml:space="preserve">la demora en la contratación del encargado del proyecto </w:t>
            </w:r>
            <w:r w:rsidR="00AE2280" w:rsidRPr="00C168C5">
              <w:rPr>
                <w:rFonts w:eastAsia="Times New Roman"/>
                <w:iCs/>
                <w:lang w:val="es-ES_tradnl" w:eastAsia="en-US"/>
              </w:rPr>
              <w:t>ha provocado</w:t>
            </w:r>
            <w:r w:rsidRPr="00C168C5">
              <w:rPr>
                <w:rFonts w:eastAsia="Times New Roman"/>
                <w:iCs/>
                <w:lang w:val="es-ES_tradnl" w:eastAsia="en-US"/>
              </w:rPr>
              <w:t xml:space="preserve"> cierto retraso</w:t>
            </w:r>
            <w:r w:rsidR="00C91693" w:rsidRPr="00C168C5">
              <w:rPr>
                <w:rFonts w:eastAsia="Times New Roman"/>
                <w:iCs/>
                <w:lang w:val="es-ES_tradnl" w:eastAsia="en-US"/>
              </w:rPr>
              <w:t xml:space="preserve">, </w:t>
            </w:r>
            <w:r w:rsidR="00861BF6" w:rsidRPr="00C168C5">
              <w:rPr>
                <w:rFonts w:eastAsia="Times New Roman"/>
                <w:lang w:val="es-ES_tradnl" w:eastAsia="en-US"/>
              </w:rPr>
              <w:t>bien es muy pronto para saber si ello afectará al calendario general de ejecución.</w:t>
            </w:r>
          </w:p>
        </w:tc>
      </w:tr>
      <w:tr w:rsidR="00C91693" w:rsidRPr="00C168C5" w14:paraId="5A9C5D72" w14:textId="77777777" w:rsidTr="00243943">
        <w:trPr>
          <w:trHeight w:val="848"/>
        </w:trPr>
        <w:tc>
          <w:tcPr>
            <w:tcW w:w="2376" w:type="dxa"/>
            <w:shd w:val="clear" w:color="auto" w:fill="auto"/>
          </w:tcPr>
          <w:p w14:paraId="2F12D887" w14:textId="6DA5F691" w:rsidR="00C91693" w:rsidRPr="00C168C5" w:rsidRDefault="007A0337" w:rsidP="007A0337">
            <w:pPr>
              <w:keepNext/>
              <w:spacing w:before="240" w:after="60"/>
              <w:outlineLvl w:val="2"/>
              <w:rPr>
                <w:bCs/>
                <w:szCs w:val="26"/>
                <w:u w:val="single"/>
                <w:lang w:val="es-ES_tradnl" w:eastAsia="en-US"/>
              </w:rPr>
            </w:pPr>
            <w:r w:rsidRPr="00C168C5">
              <w:rPr>
                <w:u w:val="single"/>
                <w:lang w:val="es-ES_tradnl"/>
              </w:rPr>
              <w:t>Porcentaje de ejecución del proyecto</w:t>
            </w:r>
          </w:p>
        </w:tc>
        <w:tc>
          <w:tcPr>
            <w:tcW w:w="6912" w:type="dxa"/>
          </w:tcPr>
          <w:p w14:paraId="01097522" w14:textId="77777777" w:rsidR="00C91693" w:rsidRPr="00C168C5" w:rsidRDefault="00C91693" w:rsidP="00243943">
            <w:pPr>
              <w:rPr>
                <w:lang w:val="es-ES_tradnl"/>
              </w:rPr>
            </w:pPr>
          </w:p>
          <w:p w14:paraId="62DF54C5" w14:textId="77777777" w:rsidR="00C91693" w:rsidRPr="00C168C5" w:rsidRDefault="00C91693" w:rsidP="00243943">
            <w:pPr>
              <w:rPr>
                <w:lang w:val="es-ES_tradnl"/>
              </w:rPr>
            </w:pPr>
          </w:p>
          <w:p w14:paraId="2CC3E4FB" w14:textId="6F822014" w:rsidR="00C91693" w:rsidRPr="00C168C5" w:rsidRDefault="007A0337" w:rsidP="00243943">
            <w:pPr>
              <w:rPr>
                <w:iCs/>
                <w:lang w:val="es-ES_tradnl"/>
              </w:rPr>
            </w:pPr>
            <w:r w:rsidRPr="00C168C5">
              <w:rPr>
                <w:iCs/>
                <w:lang w:val="es-ES_tradnl"/>
              </w:rPr>
              <w:t>Porcentaje de utilización del presupuesto a finales de julio de</w:t>
            </w:r>
            <w:r w:rsidR="00AE2280" w:rsidRPr="00C168C5">
              <w:rPr>
                <w:lang w:val="es-ES_tradnl"/>
              </w:rPr>
              <w:t xml:space="preserve"> 2015:  6%</w:t>
            </w:r>
          </w:p>
          <w:p w14:paraId="72344733" w14:textId="77777777" w:rsidR="00C91693" w:rsidRPr="00C168C5" w:rsidRDefault="00C91693" w:rsidP="00243943">
            <w:pPr>
              <w:rPr>
                <w:rFonts w:eastAsia="Times New Roman"/>
                <w:iCs/>
                <w:lang w:val="es-ES_tradnl" w:eastAsia="en-US"/>
              </w:rPr>
            </w:pPr>
          </w:p>
        </w:tc>
      </w:tr>
      <w:tr w:rsidR="00C91693" w:rsidRPr="00C168C5" w14:paraId="19DECD89" w14:textId="77777777" w:rsidTr="00243943">
        <w:trPr>
          <w:trHeight w:val="848"/>
        </w:trPr>
        <w:tc>
          <w:tcPr>
            <w:tcW w:w="2376" w:type="dxa"/>
            <w:shd w:val="clear" w:color="auto" w:fill="auto"/>
          </w:tcPr>
          <w:p w14:paraId="3BB9CA3D" w14:textId="2A41B9A3" w:rsidR="00C91693" w:rsidRPr="00C168C5" w:rsidRDefault="007A0337" w:rsidP="007A0337">
            <w:pPr>
              <w:keepNext/>
              <w:spacing w:before="240" w:after="60"/>
              <w:outlineLvl w:val="2"/>
              <w:rPr>
                <w:bCs/>
                <w:szCs w:val="26"/>
                <w:u w:val="single"/>
                <w:lang w:val="es-ES_tradnl" w:eastAsia="en-US"/>
              </w:rPr>
            </w:pPr>
            <w:r w:rsidRPr="00C168C5">
              <w:rPr>
                <w:bCs/>
                <w:szCs w:val="26"/>
                <w:u w:val="single"/>
                <w:lang w:val="es-ES_tradnl" w:eastAsia="en-US"/>
              </w:rPr>
              <w:t>Informes previos</w:t>
            </w:r>
          </w:p>
        </w:tc>
        <w:tc>
          <w:tcPr>
            <w:tcW w:w="6912" w:type="dxa"/>
          </w:tcPr>
          <w:p w14:paraId="6190483F" w14:textId="77777777" w:rsidR="00C91693" w:rsidRPr="00C168C5" w:rsidRDefault="00C91693" w:rsidP="00243943">
            <w:pPr>
              <w:rPr>
                <w:rFonts w:eastAsia="Times New Roman"/>
                <w:color w:val="000000"/>
                <w:szCs w:val="22"/>
                <w:lang w:val="es-ES_tradnl" w:eastAsia="en-US"/>
              </w:rPr>
            </w:pPr>
          </w:p>
          <w:p w14:paraId="77307AAA" w14:textId="53EB0025" w:rsidR="00C91693" w:rsidRPr="00C168C5" w:rsidRDefault="007A0337" w:rsidP="00243943">
            <w:pPr>
              <w:rPr>
                <w:rFonts w:eastAsia="Times New Roman"/>
                <w:iCs/>
                <w:lang w:val="es-ES_tradnl" w:eastAsia="en-US"/>
              </w:rPr>
            </w:pPr>
            <w:r w:rsidRPr="00C168C5">
              <w:rPr>
                <w:iCs/>
                <w:lang w:val="es-ES_tradnl"/>
              </w:rPr>
              <w:t>Este es el primer informe</w:t>
            </w:r>
            <w:r w:rsidR="00C168C5">
              <w:rPr>
                <w:iCs/>
                <w:lang w:val="es-ES_tradnl"/>
              </w:rPr>
              <w:t xml:space="preserve"> </w:t>
            </w:r>
            <w:r w:rsidR="00AE2280" w:rsidRPr="00C168C5">
              <w:rPr>
                <w:iCs/>
                <w:lang w:val="es-ES_tradnl"/>
              </w:rPr>
              <w:t>sobre la marcha del proyecto</w:t>
            </w:r>
            <w:r w:rsidRPr="00C168C5">
              <w:rPr>
                <w:iCs/>
                <w:lang w:val="es-ES_tradnl"/>
              </w:rPr>
              <w:t xml:space="preserve"> que se presenta al CDIP</w:t>
            </w:r>
            <w:r w:rsidR="00C91693" w:rsidRPr="00C168C5">
              <w:rPr>
                <w:rFonts w:eastAsia="Times New Roman"/>
                <w:color w:val="000000"/>
                <w:szCs w:val="22"/>
                <w:lang w:val="es-ES_tradnl" w:eastAsia="en-US"/>
              </w:rPr>
              <w:t>.</w:t>
            </w:r>
          </w:p>
        </w:tc>
      </w:tr>
    </w:tbl>
    <w:p w14:paraId="137FCB54" w14:textId="77777777" w:rsidR="00C91693" w:rsidRPr="00C168C5" w:rsidRDefault="00C91693" w:rsidP="00C91693">
      <w:pPr>
        <w:rPr>
          <w:rFonts w:eastAsia="Times New Roman"/>
          <w:lang w:val="es-ES_tradnl" w:eastAsia="en-US"/>
        </w:rPr>
      </w:pPr>
    </w:p>
    <w:p w14:paraId="28A7FEBA" w14:textId="77777777" w:rsidR="00C91693" w:rsidRPr="00C168C5" w:rsidRDefault="00C91693" w:rsidP="00C91693">
      <w:pPr>
        <w:rPr>
          <w:rFonts w:eastAsia="Times New Roman"/>
          <w:lang w:val="es-ES_tradnl" w:eastAsia="en-US"/>
        </w:rPr>
      </w:pPr>
      <w:r w:rsidRPr="00C168C5">
        <w:rPr>
          <w:rFonts w:eastAsia="Times New Roman"/>
          <w:lang w:val="es-ES_tradnl" w:eastAsia="en-US"/>
        </w:rPr>
        <w:br w:type="page"/>
      </w:r>
    </w:p>
    <w:tbl>
      <w:tblPr>
        <w:tblW w:w="0" w:type="auto"/>
        <w:tblLook w:val="01E0" w:firstRow="1" w:lastRow="1" w:firstColumn="1" w:lastColumn="1" w:noHBand="0" w:noVBand="0"/>
      </w:tblPr>
      <w:tblGrid>
        <w:gridCol w:w="9287"/>
      </w:tblGrid>
      <w:tr w:rsidR="00C91693" w:rsidRPr="00C168C5" w14:paraId="783A7748" w14:textId="77777777" w:rsidTr="00243943">
        <w:trPr>
          <w:trHeight w:val="494"/>
        </w:trPr>
        <w:tc>
          <w:tcPr>
            <w:tcW w:w="9287" w:type="dxa"/>
            <w:vAlign w:val="center"/>
          </w:tcPr>
          <w:p w14:paraId="4FE3FBAA" w14:textId="05E2B440" w:rsidR="00C91693" w:rsidRPr="00C168C5" w:rsidRDefault="00C91693" w:rsidP="00D5199C">
            <w:pPr>
              <w:rPr>
                <w:rFonts w:eastAsia="Times New Roman"/>
                <w:lang w:val="es-ES_tradnl" w:eastAsia="en-US"/>
              </w:rPr>
            </w:pPr>
            <w:r w:rsidRPr="00C168C5">
              <w:rPr>
                <w:rFonts w:eastAsia="Times New Roman"/>
                <w:lang w:val="es-ES_tradnl" w:eastAsia="en-US"/>
              </w:rPr>
              <w:lastRenderedPageBreak/>
              <w:br w:type="page"/>
            </w:r>
            <w:r w:rsidR="00D5199C" w:rsidRPr="00C168C5">
              <w:rPr>
                <w:szCs w:val="22"/>
                <w:lang w:val="es-ES_tradnl"/>
              </w:rPr>
              <w:t>EVALUACIÓN INTERNA DEL PROYECTO</w:t>
            </w:r>
            <w:r w:rsidR="00D5199C" w:rsidRPr="00C168C5">
              <w:rPr>
                <w:rFonts w:eastAsia="Times New Roman"/>
                <w:lang w:val="es-ES_tradnl" w:eastAsia="en-US"/>
              </w:rPr>
              <w:t xml:space="preserve"> </w:t>
            </w:r>
          </w:p>
        </w:tc>
      </w:tr>
    </w:tbl>
    <w:p w14:paraId="75FEECC7" w14:textId="77777777" w:rsidR="00C91693" w:rsidRPr="00C168C5" w:rsidRDefault="00C91693" w:rsidP="00C91693">
      <w:pPr>
        <w:rPr>
          <w:rFonts w:eastAsia="Times New Roman"/>
          <w:lang w:val="es-ES_tradnl" w:eastAsia="en-US"/>
        </w:rPr>
      </w:pPr>
    </w:p>
    <w:p w14:paraId="4FCE9696" w14:textId="0F5F54A2" w:rsidR="00C91693" w:rsidRPr="00C168C5" w:rsidRDefault="00D5199C" w:rsidP="00D5199C">
      <w:pPr>
        <w:widowControl w:val="0"/>
        <w:autoSpaceDE w:val="0"/>
        <w:autoSpaceDN w:val="0"/>
        <w:adjustRightInd w:val="0"/>
        <w:rPr>
          <w:szCs w:val="22"/>
          <w:lang w:val="es-ES_tradnl"/>
        </w:rPr>
      </w:pPr>
      <w:r w:rsidRPr="00C168C5">
        <w:rPr>
          <w:szCs w:val="22"/>
          <w:lang w:val="es-ES_tradnl"/>
        </w:rPr>
        <w:t>Clave de los colores</w:t>
      </w:r>
    </w:p>
    <w:p w14:paraId="4373E1EB" w14:textId="77777777" w:rsidR="00C91693" w:rsidRPr="00C168C5" w:rsidRDefault="00C91693" w:rsidP="00C91693">
      <w:pPr>
        <w:rPr>
          <w:rFonts w:eastAsia="Times New Roman"/>
          <w:lang w:val="es-ES_tradnl" w:eastAsia="en-US"/>
        </w:rPr>
      </w:pPr>
    </w:p>
    <w:tbl>
      <w:tblPr>
        <w:tblW w:w="927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98"/>
        <w:gridCol w:w="1677"/>
        <w:gridCol w:w="1797"/>
        <w:gridCol w:w="1895"/>
        <w:gridCol w:w="2503"/>
      </w:tblGrid>
      <w:tr w:rsidR="00C91693" w:rsidRPr="00C168C5" w14:paraId="600CC2AC" w14:textId="77777777" w:rsidTr="00243943">
        <w:trPr>
          <w:trHeight w:val="469"/>
        </w:trPr>
        <w:tc>
          <w:tcPr>
            <w:tcW w:w="1398" w:type="dxa"/>
            <w:shd w:val="clear" w:color="auto" w:fill="auto"/>
            <w:vAlign w:val="center"/>
          </w:tcPr>
          <w:p w14:paraId="4FAEBDA6" w14:textId="77777777" w:rsidR="00C91693" w:rsidRPr="00C168C5" w:rsidRDefault="00C91693" w:rsidP="00243943">
            <w:pPr>
              <w:rPr>
                <w:rFonts w:eastAsia="Times New Roman"/>
                <w:lang w:val="es-ES_tradnl" w:eastAsia="en-US"/>
              </w:rPr>
            </w:pPr>
            <w:r w:rsidRPr="00C168C5">
              <w:rPr>
                <w:rFonts w:eastAsia="Times New Roman"/>
                <w:lang w:val="es-ES_tradnl" w:eastAsia="en-US"/>
              </w:rPr>
              <w:t>****</w:t>
            </w:r>
          </w:p>
        </w:tc>
        <w:tc>
          <w:tcPr>
            <w:tcW w:w="1677" w:type="dxa"/>
            <w:shd w:val="clear" w:color="auto" w:fill="auto"/>
            <w:vAlign w:val="center"/>
          </w:tcPr>
          <w:p w14:paraId="7DAE7BDE" w14:textId="77777777" w:rsidR="00C91693" w:rsidRPr="00C168C5" w:rsidRDefault="00C91693" w:rsidP="00243943">
            <w:pPr>
              <w:rPr>
                <w:rFonts w:eastAsia="Times New Roman"/>
                <w:lang w:val="es-ES_tradnl" w:eastAsia="en-US"/>
              </w:rPr>
            </w:pPr>
            <w:r w:rsidRPr="00C168C5">
              <w:rPr>
                <w:rFonts w:eastAsia="Times New Roman"/>
                <w:lang w:val="es-ES_tradnl" w:eastAsia="en-US"/>
              </w:rPr>
              <w:t>***</w:t>
            </w:r>
          </w:p>
        </w:tc>
        <w:tc>
          <w:tcPr>
            <w:tcW w:w="1797" w:type="dxa"/>
            <w:shd w:val="clear" w:color="auto" w:fill="auto"/>
            <w:vAlign w:val="center"/>
          </w:tcPr>
          <w:p w14:paraId="29D2E970" w14:textId="77777777" w:rsidR="00C91693" w:rsidRPr="00C168C5" w:rsidRDefault="00C91693" w:rsidP="00243943">
            <w:pPr>
              <w:rPr>
                <w:rFonts w:eastAsia="Times New Roman"/>
                <w:lang w:val="es-ES_tradnl" w:eastAsia="en-US"/>
              </w:rPr>
            </w:pPr>
            <w:r w:rsidRPr="00C168C5">
              <w:rPr>
                <w:rFonts w:eastAsia="Times New Roman"/>
                <w:lang w:val="es-ES_tradnl" w:eastAsia="en-US"/>
              </w:rPr>
              <w:t>**</w:t>
            </w:r>
          </w:p>
        </w:tc>
        <w:tc>
          <w:tcPr>
            <w:tcW w:w="1895" w:type="dxa"/>
            <w:shd w:val="clear" w:color="auto" w:fill="auto"/>
            <w:vAlign w:val="center"/>
          </w:tcPr>
          <w:p w14:paraId="1B5235D9" w14:textId="0E38C7A5" w:rsidR="00C91693" w:rsidRPr="00C168C5" w:rsidRDefault="00D5199C" w:rsidP="00243943">
            <w:pPr>
              <w:rPr>
                <w:rFonts w:eastAsia="Times New Roman"/>
                <w:lang w:val="es-ES_tradnl" w:eastAsia="en-US"/>
              </w:rPr>
            </w:pPr>
            <w:r w:rsidRPr="00C168C5">
              <w:rPr>
                <w:rFonts w:eastAsia="Times New Roman"/>
                <w:lang w:val="es-ES_tradnl" w:eastAsia="en-US"/>
              </w:rPr>
              <w:t>NA</w:t>
            </w:r>
          </w:p>
        </w:tc>
        <w:tc>
          <w:tcPr>
            <w:tcW w:w="2503" w:type="dxa"/>
            <w:shd w:val="clear" w:color="auto" w:fill="auto"/>
            <w:vAlign w:val="center"/>
          </w:tcPr>
          <w:p w14:paraId="3BE8763C" w14:textId="6460619F" w:rsidR="00C91693" w:rsidRPr="00C168C5" w:rsidRDefault="00992489" w:rsidP="00243943">
            <w:pPr>
              <w:rPr>
                <w:rFonts w:eastAsia="Times New Roman"/>
                <w:lang w:val="es-ES_tradnl" w:eastAsia="en-US"/>
              </w:rPr>
            </w:pPr>
            <w:r w:rsidRPr="00C168C5">
              <w:rPr>
                <w:szCs w:val="22"/>
                <w:lang w:val="es-ES_tradnl"/>
              </w:rPr>
              <w:t>SE/AI</w:t>
            </w:r>
          </w:p>
        </w:tc>
      </w:tr>
      <w:tr w:rsidR="00C91693" w:rsidRPr="00C168C5" w14:paraId="4A6ED00A" w14:textId="77777777" w:rsidTr="00243943">
        <w:tc>
          <w:tcPr>
            <w:tcW w:w="1398" w:type="dxa"/>
            <w:shd w:val="clear" w:color="auto" w:fill="auto"/>
          </w:tcPr>
          <w:p w14:paraId="64952962" w14:textId="30541D59" w:rsidR="00C91693" w:rsidRPr="00C168C5" w:rsidRDefault="00D5199C" w:rsidP="00D5199C">
            <w:pPr>
              <w:rPr>
                <w:rFonts w:eastAsia="Times New Roman"/>
                <w:lang w:val="es-ES_tradnl" w:eastAsia="en-US"/>
              </w:rPr>
            </w:pPr>
            <w:r w:rsidRPr="00C168C5">
              <w:rPr>
                <w:rFonts w:eastAsia="Times New Roman"/>
                <w:lang w:val="es-ES_tradnl" w:eastAsia="en-US"/>
              </w:rPr>
              <w:t>Plenamente logrado</w:t>
            </w:r>
          </w:p>
        </w:tc>
        <w:tc>
          <w:tcPr>
            <w:tcW w:w="1677" w:type="dxa"/>
            <w:shd w:val="clear" w:color="auto" w:fill="auto"/>
          </w:tcPr>
          <w:p w14:paraId="496179D4" w14:textId="5B77ADA8" w:rsidR="00C91693" w:rsidRPr="00C168C5" w:rsidRDefault="00D5199C" w:rsidP="00D5199C">
            <w:pPr>
              <w:rPr>
                <w:rFonts w:eastAsia="Times New Roman"/>
                <w:lang w:val="es-ES_tradnl" w:eastAsia="en-US"/>
              </w:rPr>
            </w:pPr>
            <w:r w:rsidRPr="00C168C5">
              <w:rPr>
                <w:rFonts w:eastAsia="Times New Roman"/>
                <w:lang w:val="es-ES_tradnl" w:eastAsia="en-US"/>
              </w:rPr>
              <w:t>Avance notable</w:t>
            </w:r>
          </w:p>
        </w:tc>
        <w:tc>
          <w:tcPr>
            <w:tcW w:w="1797" w:type="dxa"/>
            <w:shd w:val="clear" w:color="auto" w:fill="auto"/>
          </w:tcPr>
          <w:p w14:paraId="3B8BA311" w14:textId="44ACB77A" w:rsidR="00C91693" w:rsidRPr="00C168C5" w:rsidRDefault="00D5199C" w:rsidP="00D5199C">
            <w:pPr>
              <w:rPr>
                <w:rFonts w:eastAsia="Times New Roman"/>
                <w:lang w:val="es-ES_tradnl" w:eastAsia="en-US"/>
              </w:rPr>
            </w:pPr>
            <w:r w:rsidRPr="00C168C5">
              <w:rPr>
                <w:rFonts w:eastAsia="Times New Roman"/>
                <w:lang w:val="es-ES_tradnl" w:eastAsia="en-US"/>
              </w:rPr>
              <w:t>Avance</w:t>
            </w:r>
          </w:p>
        </w:tc>
        <w:tc>
          <w:tcPr>
            <w:tcW w:w="1895" w:type="dxa"/>
            <w:shd w:val="clear" w:color="auto" w:fill="auto"/>
          </w:tcPr>
          <w:p w14:paraId="76FB8FF9" w14:textId="698E8DD2" w:rsidR="00C91693" w:rsidRPr="00C168C5" w:rsidRDefault="00C91693" w:rsidP="00D5199C">
            <w:pPr>
              <w:rPr>
                <w:rFonts w:eastAsia="Times New Roman"/>
                <w:lang w:val="es-ES_tradnl" w:eastAsia="en-US"/>
              </w:rPr>
            </w:pPr>
            <w:r w:rsidRPr="00C168C5">
              <w:rPr>
                <w:rFonts w:eastAsia="Times New Roman"/>
                <w:lang w:val="es-ES_tradnl" w:eastAsia="en-US"/>
              </w:rPr>
              <w:t>N</w:t>
            </w:r>
            <w:r w:rsidR="00D5199C" w:rsidRPr="00C168C5">
              <w:rPr>
                <w:rFonts w:eastAsia="Times New Roman"/>
                <w:lang w:val="es-ES_tradnl" w:eastAsia="en-US"/>
              </w:rPr>
              <w:t>ingún avance</w:t>
            </w:r>
          </w:p>
        </w:tc>
        <w:tc>
          <w:tcPr>
            <w:tcW w:w="2503" w:type="dxa"/>
            <w:shd w:val="clear" w:color="auto" w:fill="auto"/>
          </w:tcPr>
          <w:p w14:paraId="2BCF4AA1" w14:textId="43883001" w:rsidR="00C91693" w:rsidRPr="00C168C5" w:rsidRDefault="00D5199C" w:rsidP="00D5199C">
            <w:pPr>
              <w:rPr>
                <w:rFonts w:eastAsia="Times New Roman"/>
                <w:lang w:val="es-ES_tradnl" w:eastAsia="en-US"/>
              </w:rPr>
            </w:pPr>
            <w:r w:rsidRPr="00C168C5">
              <w:rPr>
                <w:rFonts w:eastAsia="Times New Roman"/>
                <w:lang w:val="es-ES_tradnl" w:eastAsia="en-US"/>
              </w:rPr>
              <w:t xml:space="preserve">Sin evaluar / actividad </w:t>
            </w:r>
            <w:r w:rsidR="00992489" w:rsidRPr="00C168C5">
              <w:rPr>
                <w:rFonts w:eastAsia="Times New Roman"/>
                <w:lang w:val="es-ES_tradnl" w:eastAsia="en-US"/>
              </w:rPr>
              <w:t>interrumpida</w:t>
            </w:r>
          </w:p>
        </w:tc>
      </w:tr>
    </w:tbl>
    <w:p w14:paraId="182FE966" w14:textId="77777777" w:rsidR="00C91693" w:rsidRPr="00C168C5" w:rsidRDefault="00C91693" w:rsidP="00C91693">
      <w:pPr>
        <w:rPr>
          <w:rFonts w:eastAsia="Times New Roman"/>
          <w:lang w:val="es-ES_tradnl" w:eastAsia="en-US"/>
        </w:rPr>
      </w:pPr>
    </w:p>
    <w:tbl>
      <w:tblPr>
        <w:tblW w:w="93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694"/>
        <w:gridCol w:w="3260"/>
        <w:gridCol w:w="992"/>
      </w:tblGrid>
      <w:tr w:rsidR="00C91693" w:rsidRPr="00C168C5" w14:paraId="40FF832E" w14:textId="77777777" w:rsidTr="009958BE">
        <w:trPr>
          <w:trHeight w:val="616"/>
          <w:tblHeader/>
        </w:trPr>
        <w:tc>
          <w:tcPr>
            <w:tcW w:w="2358" w:type="dxa"/>
            <w:shd w:val="clear" w:color="auto" w:fill="auto"/>
          </w:tcPr>
          <w:p w14:paraId="0119B8C3" w14:textId="77777777" w:rsidR="00C91693" w:rsidRPr="00C168C5" w:rsidRDefault="00C91693" w:rsidP="00243943">
            <w:pPr>
              <w:rPr>
                <w:bCs/>
                <w:szCs w:val="26"/>
                <w:u w:val="single"/>
                <w:lang w:val="es-ES_tradnl" w:eastAsia="en-US"/>
              </w:rPr>
            </w:pPr>
          </w:p>
          <w:p w14:paraId="52D1C7FC" w14:textId="7E21E3C0" w:rsidR="00C91693" w:rsidRPr="00C168C5" w:rsidRDefault="009958BE" w:rsidP="00243943">
            <w:pPr>
              <w:rPr>
                <w:rFonts w:eastAsia="Times New Roman"/>
                <w:lang w:val="es-ES_tradnl" w:eastAsia="en-US"/>
              </w:rPr>
            </w:pPr>
            <w:r w:rsidRPr="00C168C5">
              <w:rPr>
                <w:bCs/>
                <w:szCs w:val="22"/>
                <w:u w:val="single"/>
                <w:lang w:val="es-ES_tradnl" w:eastAsia="en-US"/>
              </w:rPr>
              <w:t>Productos del proyecto</w:t>
            </w:r>
            <w:r w:rsidRPr="00C168C5">
              <w:rPr>
                <w:rFonts w:eastAsia="Times New Roman"/>
                <w:szCs w:val="22"/>
                <w:vertAlign w:val="superscript"/>
                <w:lang w:val="es-ES_tradnl" w:eastAsia="en-US"/>
              </w:rPr>
              <w:footnoteReference w:id="4"/>
            </w:r>
            <w:r w:rsidRPr="00C168C5">
              <w:rPr>
                <w:rFonts w:eastAsia="Times New Roman"/>
                <w:szCs w:val="22"/>
                <w:lang w:val="es-ES_tradnl" w:eastAsia="en-US"/>
              </w:rPr>
              <w:t xml:space="preserve"> </w:t>
            </w:r>
            <w:r w:rsidRPr="00C168C5">
              <w:rPr>
                <w:rFonts w:eastAsia="Times New Roman"/>
                <w:szCs w:val="22"/>
                <w:lang w:val="es-ES_tradnl" w:eastAsia="en-US"/>
              </w:rPr>
              <w:br/>
              <w:t>(Resultado previsto)</w:t>
            </w:r>
          </w:p>
        </w:tc>
        <w:tc>
          <w:tcPr>
            <w:tcW w:w="2694" w:type="dxa"/>
            <w:shd w:val="clear" w:color="auto" w:fill="auto"/>
            <w:vAlign w:val="center"/>
          </w:tcPr>
          <w:p w14:paraId="54F202C3" w14:textId="77777777" w:rsidR="00C91693" w:rsidRPr="00C168C5" w:rsidRDefault="00C91693" w:rsidP="00243943">
            <w:pPr>
              <w:rPr>
                <w:bCs/>
                <w:szCs w:val="26"/>
                <w:u w:val="single"/>
                <w:lang w:val="es-ES_tradnl" w:eastAsia="en-US"/>
              </w:rPr>
            </w:pPr>
          </w:p>
          <w:p w14:paraId="13BB7F55" w14:textId="3FA2FEDF" w:rsidR="00C91693" w:rsidRPr="00C168C5" w:rsidRDefault="009958BE" w:rsidP="009958BE">
            <w:pPr>
              <w:rPr>
                <w:rFonts w:eastAsia="Times New Roman"/>
                <w:lang w:val="es-ES_tradnl" w:eastAsia="en-US"/>
              </w:rPr>
            </w:pPr>
            <w:r w:rsidRPr="00C168C5">
              <w:rPr>
                <w:bCs/>
                <w:szCs w:val="22"/>
                <w:u w:val="single"/>
                <w:lang w:val="es-ES_tradnl" w:eastAsia="en-US"/>
              </w:rPr>
              <w:t>Indicadores de obtención de resultados</w:t>
            </w:r>
            <w:r w:rsidRPr="00C168C5">
              <w:rPr>
                <w:rFonts w:eastAsia="Times New Roman"/>
                <w:szCs w:val="22"/>
                <w:lang w:val="es-ES_tradnl" w:eastAsia="en-US"/>
              </w:rPr>
              <w:br/>
              <w:t>(Indicadores de producto)</w:t>
            </w:r>
          </w:p>
        </w:tc>
        <w:tc>
          <w:tcPr>
            <w:tcW w:w="3260" w:type="dxa"/>
            <w:shd w:val="clear" w:color="auto" w:fill="auto"/>
          </w:tcPr>
          <w:p w14:paraId="1B10AE2E" w14:textId="747D8453" w:rsidR="00C91693" w:rsidRPr="00C168C5" w:rsidRDefault="009958BE" w:rsidP="00243943">
            <w:pPr>
              <w:keepNext/>
              <w:spacing w:before="240" w:after="60"/>
              <w:outlineLvl w:val="2"/>
              <w:rPr>
                <w:bCs/>
                <w:szCs w:val="26"/>
                <w:u w:val="single"/>
                <w:lang w:val="es-ES_tradnl" w:eastAsia="en-US"/>
              </w:rPr>
            </w:pPr>
            <w:r w:rsidRPr="00C168C5">
              <w:rPr>
                <w:bCs/>
                <w:szCs w:val="22"/>
                <w:u w:val="single"/>
                <w:lang w:val="es-ES_tradnl" w:eastAsia="en-US"/>
              </w:rPr>
              <w:t>Datos sobre el rendimiento</w:t>
            </w:r>
          </w:p>
        </w:tc>
        <w:tc>
          <w:tcPr>
            <w:tcW w:w="992" w:type="dxa"/>
            <w:shd w:val="clear" w:color="auto" w:fill="auto"/>
          </w:tcPr>
          <w:p w14:paraId="69F6ED6E" w14:textId="537C161B" w:rsidR="00C91693" w:rsidRPr="00C168C5" w:rsidRDefault="009958BE" w:rsidP="00243943">
            <w:pPr>
              <w:keepNext/>
              <w:spacing w:before="240" w:after="60"/>
              <w:outlineLvl w:val="2"/>
              <w:rPr>
                <w:bCs/>
                <w:szCs w:val="26"/>
                <w:u w:val="single"/>
                <w:lang w:val="es-ES_tradnl" w:eastAsia="en-US"/>
              </w:rPr>
            </w:pPr>
            <w:r w:rsidRPr="00C168C5">
              <w:rPr>
                <w:bCs/>
                <w:szCs w:val="22"/>
                <w:u w:val="single"/>
                <w:lang w:val="es-ES_tradnl" w:eastAsia="en-US"/>
              </w:rPr>
              <w:t>Clave de colores</w:t>
            </w:r>
          </w:p>
        </w:tc>
      </w:tr>
      <w:tr w:rsidR="00C91693" w:rsidRPr="00C168C5" w14:paraId="36520891" w14:textId="77777777" w:rsidTr="009958BE">
        <w:trPr>
          <w:trHeight w:val="616"/>
          <w:tblHeader/>
        </w:trPr>
        <w:tc>
          <w:tcPr>
            <w:tcW w:w="2358" w:type="dxa"/>
            <w:shd w:val="clear" w:color="auto" w:fill="auto"/>
          </w:tcPr>
          <w:p w14:paraId="25585CF8" w14:textId="77777777" w:rsidR="00C91693" w:rsidRPr="00C168C5" w:rsidRDefault="00C91693" w:rsidP="00243943">
            <w:pPr>
              <w:rPr>
                <w:rFonts w:eastAsia="Times New Roman"/>
                <w:szCs w:val="22"/>
                <w:lang w:val="es-ES_tradnl" w:eastAsia="en-US"/>
              </w:rPr>
            </w:pPr>
          </w:p>
          <w:p w14:paraId="733444D3" w14:textId="68BB29C1" w:rsidR="0091421A" w:rsidRPr="00C168C5" w:rsidRDefault="0091421A" w:rsidP="0091421A">
            <w:pPr>
              <w:rPr>
                <w:lang w:val="es-ES_tradnl"/>
              </w:rPr>
            </w:pPr>
            <w:r w:rsidRPr="00C168C5">
              <w:rPr>
                <w:lang w:val="es-ES_tradnl"/>
              </w:rPr>
              <w:t>Trabajos de seguimiento en los pa</w:t>
            </w:r>
            <w:r w:rsidR="00AE2280" w:rsidRPr="00C168C5">
              <w:rPr>
                <w:lang w:val="es-ES_tradnl"/>
              </w:rPr>
              <w:t>íses beneficiarios de la fase I</w:t>
            </w:r>
          </w:p>
          <w:p w14:paraId="7977136D" w14:textId="77777777" w:rsidR="00C91693" w:rsidRPr="00C168C5" w:rsidRDefault="00C91693" w:rsidP="0091421A">
            <w:pPr>
              <w:rPr>
                <w:bCs/>
                <w:szCs w:val="26"/>
                <w:u w:val="single"/>
                <w:lang w:val="es-ES_tradnl" w:eastAsia="en-US"/>
              </w:rPr>
            </w:pPr>
          </w:p>
        </w:tc>
        <w:tc>
          <w:tcPr>
            <w:tcW w:w="2694" w:type="dxa"/>
            <w:shd w:val="clear" w:color="auto" w:fill="auto"/>
          </w:tcPr>
          <w:p w14:paraId="68312B57" w14:textId="77777777" w:rsidR="00C91693" w:rsidRPr="00C168C5" w:rsidRDefault="00C91693" w:rsidP="00243943">
            <w:pPr>
              <w:rPr>
                <w:rFonts w:eastAsia="Times New Roman"/>
                <w:szCs w:val="22"/>
                <w:lang w:val="es-ES_tradnl" w:eastAsia="en-US"/>
              </w:rPr>
            </w:pPr>
          </w:p>
          <w:p w14:paraId="4158946D" w14:textId="6F3DBBCF" w:rsidR="00C91693" w:rsidRPr="00C168C5" w:rsidRDefault="0091421A" w:rsidP="0091421A">
            <w:pPr>
              <w:rPr>
                <w:bCs/>
                <w:szCs w:val="26"/>
                <w:u w:val="single"/>
                <w:lang w:val="es-ES_tradnl" w:eastAsia="en-US"/>
              </w:rPr>
            </w:pPr>
            <w:r w:rsidRPr="00C168C5">
              <w:rPr>
                <w:lang w:val="es-ES_tradnl"/>
              </w:rPr>
              <w:t xml:space="preserve">Organización de talleres locales;  entrega de los estudios;  mantenimiento de </w:t>
            </w:r>
            <w:r w:rsidRPr="00C168C5">
              <w:rPr>
                <w:bCs/>
                <w:szCs w:val="22"/>
                <w:lang w:val="es-ES_tradnl"/>
              </w:rPr>
              <w:t>micro fuentes de datos</w:t>
            </w:r>
          </w:p>
        </w:tc>
        <w:tc>
          <w:tcPr>
            <w:tcW w:w="3260" w:type="dxa"/>
            <w:shd w:val="clear" w:color="auto" w:fill="auto"/>
          </w:tcPr>
          <w:p w14:paraId="7E43020B" w14:textId="2E5AE737" w:rsidR="00C91693" w:rsidRPr="00C168C5" w:rsidRDefault="00EA6549" w:rsidP="00EA6549">
            <w:pPr>
              <w:keepNext/>
              <w:spacing w:before="240" w:after="60"/>
              <w:outlineLvl w:val="2"/>
              <w:rPr>
                <w:bCs/>
                <w:szCs w:val="26"/>
                <w:lang w:val="es-ES_tradnl" w:eastAsia="en-US"/>
              </w:rPr>
            </w:pPr>
            <w:r w:rsidRPr="00C168C5">
              <w:rPr>
                <w:bCs/>
                <w:szCs w:val="26"/>
                <w:lang w:val="es-ES_tradnl" w:eastAsia="en-US"/>
              </w:rPr>
              <w:t>Demasiado pronto para realizar una evaluación</w:t>
            </w:r>
          </w:p>
        </w:tc>
        <w:tc>
          <w:tcPr>
            <w:tcW w:w="992" w:type="dxa"/>
            <w:shd w:val="clear" w:color="auto" w:fill="auto"/>
          </w:tcPr>
          <w:p w14:paraId="6BB26823" w14:textId="77777777" w:rsidR="00C91693" w:rsidRPr="00C168C5" w:rsidRDefault="00C91693" w:rsidP="00243943">
            <w:pPr>
              <w:keepNext/>
              <w:spacing w:before="240" w:after="60"/>
              <w:outlineLvl w:val="2"/>
              <w:rPr>
                <w:bCs/>
                <w:szCs w:val="26"/>
                <w:u w:val="single"/>
                <w:lang w:val="es-ES_tradnl" w:eastAsia="en-US"/>
              </w:rPr>
            </w:pPr>
          </w:p>
        </w:tc>
      </w:tr>
      <w:tr w:rsidR="00C91693" w:rsidRPr="00C168C5" w14:paraId="25BAE026" w14:textId="77777777" w:rsidTr="009958BE">
        <w:trPr>
          <w:trHeight w:val="509"/>
        </w:trPr>
        <w:tc>
          <w:tcPr>
            <w:tcW w:w="2358" w:type="dxa"/>
            <w:vMerge w:val="restart"/>
            <w:shd w:val="clear" w:color="auto" w:fill="auto"/>
            <w:vAlign w:val="center"/>
          </w:tcPr>
          <w:p w14:paraId="041F7447" w14:textId="7064FBEC" w:rsidR="00C91693" w:rsidRPr="00C168C5" w:rsidRDefault="0091421A" w:rsidP="00243943">
            <w:pPr>
              <w:rPr>
                <w:lang w:val="es-ES_tradnl"/>
              </w:rPr>
            </w:pPr>
            <w:r w:rsidRPr="00C168C5">
              <w:rPr>
                <w:lang w:val="es-ES_tradnl"/>
              </w:rPr>
              <w:t>4-5 nuevos proyectos de estudio a nivel nacional o regional</w:t>
            </w:r>
          </w:p>
        </w:tc>
        <w:tc>
          <w:tcPr>
            <w:tcW w:w="2694" w:type="dxa"/>
            <w:shd w:val="clear" w:color="auto" w:fill="auto"/>
            <w:vAlign w:val="center"/>
          </w:tcPr>
          <w:p w14:paraId="45BC73DA" w14:textId="652E7661" w:rsidR="00C91693" w:rsidRPr="00C168C5" w:rsidRDefault="0091421A" w:rsidP="0091421A">
            <w:pPr>
              <w:rPr>
                <w:rFonts w:eastAsia="Times New Roman"/>
                <w:lang w:val="es-ES_tradnl" w:eastAsia="en-US"/>
              </w:rPr>
            </w:pPr>
            <w:r w:rsidRPr="00C168C5">
              <w:rPr>
                <w:rFonts w:eastAsia="Times New Roman"/>
                <w:lang w:val="es-ES_tradnl" w:eastAsia="en-US"/>
              </w:rPr>
              <w:t>Organización de talleres locales</w:t>
            </w:r>
          </w:p>
        </w:tc>
        <w:tc>
          <w:tcPr>
            <w:tcW w:w="3260" w:type="dxa"/>
            <w:shd w:val="clear" w:color="auto" w:fill="auto"/>
            <w:vAlign w:val="center"/>
          </w:tcPr>
          <w:p w14:paraId="69B5448A" w14:textId="77777777" w:rsidR="00C91693" w:rsidRPr="00C168C5" w:rsidRDefault="00C91693" w:rsidP="00243943">
            <w:pPr>
              <w:rPr>
                <w:rFonts w:eastAsia="Times New Roman"/>
                <w:lang w:val="es-ES_tradnl" w:eastAsia="en-US"/>
              </w:rPr>
            </w:pPr>
          </w:p>
          <w:p w14:paraId="6A1353DF" w14:textId="74F067D8" w:rsidR="00C91693" w:rsidRPr="00C168C5" w:rsidRDefault="0091421A" w:rsidP="00243943">
            <w:pPr>
              <w:rPr>
                <w:rFonts w:eastAsia="Times New Roman"/>
                <w:lang w:val="es-ES_tradnl" w:eastAsia="en-US"/>
              </w:rPr>
            </w:pPr>
            <w:r w:rsidRPr="00C168C5">
              <w:rPr>
                <w:rFonts w:eastAsia="Times New Roman"/>
                <w:lang w:val="es-ES_tradnl" w:eastAsia="en-US"/>
              </w:rPr>
              <w:t xml:space="preserve">Talleres celebrados en </w:t>
            </w:r>
            <w:r w:rsidR="00C91693" w:rsidRPr="00C168C5">
              <w:rPr>
                <w:rFonts w:eastAsia="Times New Roman"/>
                <w:lang w:val="es-ES_tradnl" w:eastAsia="en-US"/>
              </w:rPr>
              <w:t xml:space="preserve">Colombia </w:t>
            </w:r>
            <w:r w:rsidRPr="00C168C5">
              <w:rPr>
                <w:rFonts w:eastAsia="Times New Roman"/>
                <w:lang w:val="es-ES_tradnl" w:eastAsia="en-US"/>
              </w:rPr>
              <w:t>y</w:t>
            </w:r>
            <w:r w:rsidR="00C91693" w:rsidRPr="00C168C5">
              <w:rPr>
                <w:rFonts w:eastAsia="Times New Roman"/>
                <w:lang w:val="es-ES_tradnl" w:eastAsia="en-US"/>
              </w:rPr>
              <w:t xml:space="preserve"> </w:t>
            </w:r>
            <w:r w:rsidRPr="00C168C5">
              <w:rPr>
                <w:rFonts w:eastAsia="Times New Roman"/>
                <w:lang w:val="es-ES_tradnl" w:eastAsia="en-US"/>
              </w:rPr>
              <w:t>Polonia</w:t>
            </w:r>
            <w:r w:rsidR="00C91693" w:rsidRPr="00C168C5">
              <w:rPr>
                <w:rFonts w:eastAsia="Times New Roman"/>
                <w:lang w:val="es-ES_tradnl" w:eastAsia="en-US"/>
              </w:rPr>
              <w:t xml:space="preserve"> (</w:t>
            </w:r>
            <w:r w:rsidR="005907EF" w:rsidRPr="00C168C5">
              <w:rPr>
                <w:rFonts w:eastAsia="Times New Roman"/>
                <w:lang w:val="es-ES_tradnl" w:eastAsia="en-US"/>
              </w:rPr>
              <w:t xml:space="preserve">véase </w:t>
            </w:r>
            <w:r w:rsidR="005907EF" w:rsidRPr="00C168C5">
              <w:rPr>
                <w:rFonts w:eastAsia="Times New Roman"/>
                <w:i/>
                <w:lang w:val="es-ES_tradnl" w:eastAsia="en-US"/>
              </w:rPr>
              <w:t>supra</w:t>
            </w:r>
            <w:r w:rsidR="00C91693" w:rsidRPr="00C168C5">
              <w:rPr>
                <w:rFonts w:eastAsia="Times New Roman"/>
                <w:lang w:val="es-ES_tradnl" w:eastAsia="en-US"/>
              </w:rPr>
              <w:t>).</w:t>
            </w:r>
          </w:p>
          <w:p w14:paraId="028587E1" w14:textId="77777777" w:rsidR="00C91693" w:rsidRPr="00C168C5" w:rsidRDefault="00C91693" w:rsidP="00243943">
            <w:pPr>
              <w:rPr>
                <w:rFonts w:eastAsia="Times New Roman"/>
                <w:lang w:val="es-ES_tradnl" w:eastAsia="en-US"/>
              </w:rPr>
            </w:pPr>
          </w:p>
        </w:tc>
        <w:tc>
          <w:tcPr>
            <w:tcW w:w="992" w:type="dxa"/>
            <w:shd w:val="clear" w:color="auto" w:fill="auto"/>
            <w:vAlign w:val="center"/>
          </w:tcPr>
          <w:p w14:paraId="57BA6B80" w14:textId="77777777" w:rsidR="00C91693" w:rsidRPr="00C168C5" w:rsidRDefault="00C91693" w:rsidP="00243943">
            <w:pPr>
              <w:rPr>
                <w:rFonts w:eastAsia="Times New Roman"/>
                <w:lang w:val="es-ES_tradnl" w:eastAsia="en-US"/>
              </w:rPr>
            </w:pPr>
            <w:r w:rsidRPr="00C168C5">
              <w:rPr>
                <w:rFonts w:eastAsia="Times New Roman"/>
                <w:lang w:val="es-ES_tradnl" w:eastAsia="en-US"/>
              </w:rPr>
              <w:t>***</w:t>
            </w:r>
          </w:p>
        </w:tc>
      </w:tr>
      <w:tr w:rsidR="00C91693" w:rsidRPr="00C168C5" w14:paraId="32FCDCF1" w14:textId="77777777" w:rsidTr="009958BE">
        <w:trPr>
          <w:trHeight w:val="509"/>
        </w:trPr>
        <w:tc>
          <w:tcPr>
            <w:tcW w:w="2358" w:type="dxa"/>
            <w:vMerge/>
            <w:shd w:val="clear" w:color="auto" w:fill="auto"/>
            <w:vAlign w:val="center"/>
          </w:tcPr>
          <w:p w14:paraId="0D35E9B3" w14:textId="77777777" w:rsidR="00C91693" w:rsidRPr="00C168C5" w:rsidRDefault="00C91693" w:rsidP="00243943">
            <w:pPr>
              <w:rPr>
                <w:rFonts w:eastAsia="Times New Roman"/>
                <w:bCs/>
                <w:lang w:val="es-ES_tradnl" w:eastAsia="en-US"/>
              </w:rPr>
            </w:pPr>
          </w:p>
        </w:tc>
        <w:tc>
          <w:tcPr>
            <w:tcW w:w="2694" w:type="dxa"/>
            <w:shd w:val="clear" w:color="auto" w:fill="auto"/>
          </w:tcPr>
          <w:p w14:paraId="68532DF9" w14:textId="77777777" w:rsidR="00C91693" w:rsidRPr="00C168C5" w:rsidRDefault="00C91693" w:rsidP="00243943">
            <w:pPr>
              <w:rPr>
                <w:rFonts w:eastAsia="Times New Roman"/>
                <w:lang w:val="es-ES_tradnl" w:eastAsia="en-US"/>
              </w:rPr>
            </w:pPr>
          </w:p>
          <w:p w14:paraId="5A17A144" w14:textId="6E0946DC" w:rsidR="00C91693" w:rsidRPr="00C168C5" w:rsidRDefault="0091421A" w:rsidP="00243943">
            <w:pPr>
              <w:rPr>
                <w:rFonts w:eastAsia="Times New Roman"/>
                <w:lang w:val="es-ES_tradnl" w:eastAsia="en-US"/>
              </w:rPr>
            </w:pPr>
            <w:r w:rsidRPr="00C168C5">
              <w:rPr>
                <w:rFonts w:eastAsia="Times New Roman"/>
                <w:lang w:val="es-ES_tradnl" w:eastAsia="en-US"/>
              </w:rPr>
              <w:t>entrega de los estudios y la</w:t>
            </w:r>
            <w:r w:rsidR="00AE2280" w:rsidRPr="00C168C5">
              <w:rPr>
                <w:rFonts w:eastAsia="Times New Roman"/>
                <w:lang w:val="es-ES_tradnl" w:eastAsia="en-US"/>
              </w:rPr>
              <w:t>s micro fuentes de datos</w:t>
            </w:r>
          </w:p>
          <w:p w14:paraId="5792988D" w14:textId="77777777" w:rsidR="00C91693" w:rsidRPr="00C168C5" w:rsidRDefault="00C91693" w:rsidP="00243943">
            <w:pPr>
              <w:rPr>
                <w:rFonts w:eastAsia="Times New Roman"/>
                <w:lang w:val="es-ES_tradnl" w:eastAsia="en-US"/>
              </w:rPr>
            </w:pPr>
          </w:p>
        </w:tc>
        <w:tc>
          <w:tcPr>
            <w:tcW w:w="3260" w:type="dxa"/>
            <w:shd w:val="clear" w:color="auto" w:fill="auto"/>
            <w:vAlign w:val="center"/>
          </w:tcPr>
          <w:p w14:paraId="2DF333D0" w14:textId="68A2DE9F" w:rsidR="00C91693" w:rsidRPr="00C168C5" w:rsidRDefault="0013602B" w:rsidP="00243943">
            <w:pPr>
              <w:rPr>
                <w:rFonts w:eastAsia="Times New Roman"/>
                <w:lang w:val="es-ES_tradnl" w:eastAsia="en-US"/>
              </w:rPr>
            </w:pPr>
            <w:r w:rsidRPr="00C168C5">
              <w:rPr>
                <w:rFonts w:eastAsia="Times New Roman"/>
                <w:lang w:val="es-ES_tradnl" w:eastAsia="en-US"/>
              </w:rPr>
              <w:t xml:space="preserve">Realización en curso de los estudios de </w:t>
            </w:r>
            <w:r w:rsidR="00C91693" w:rsidRPr="00C168C5">
              <w:rPr>
                <w:rFonts w:eastAsia="Times New Roman"/>
                <w:lang w:val="es-ES_tradnl" w:eastAsia="en-US"/>
              </w:rPr>
              <w:t xml:space="preserve">Colombia </w:t>
            </w:r>
            <w:r w:rsidRPr="00C168C5">
              <w:rPr>
                <w:rFonts w:eastAsia="Times New Roman"/>
                <w:lang w:val="es-ES_tradnl" w:eastAsia="en-US"/>
              </w:rPr>
              <w:t>y Polonia</w:t>
            </w:r>
          </w:p>
          <w:p w14:paraId="66177D30" w14:textId="77777777" w:rsidR="00C91693" w:rsidRPr="00C168C5" w:rsidRDefault="00C91693" w:rsidP="00243943">
            <w:pPr>
              <w:rPr>
                <w:rFonts w:eastAsia="Times New Roman"/>
                <w:lang w:val="es-ES_tradnl" w:eastAsia="en-US"/>
              </w:rPr>
            </w:pPr>
          </w:p>
        </w:tc>
        <w:tc>
          <w:tcPr>
            <w:tcW w:w="992" w:type="dxa"/>
            <w:shd w:val="clear" w:color="auto" w:fill="auto"/>
            <w:vAlign w:val="center"/>
          </w:tcPr>
          <w:p w14:paraId="2E2A9758" w14:textId="77777777" w:rsidR="00C91693" w:rsidRPr="00C168C5" w:rsidRDefault="00C91693" w:rsidP="00243943">
            <w:pPr>
              <w:rPr>
                <w:rFonts w:eastAsia="Times New Roman"/>
                <w:lang w:val="es-ES_tradnl" w:eastAsia="en-US"/>
              </w:rPr>
            </w:pPr>
            <w:r w:rsidRPr="00C168C5">
              <w:rPr>
                <w:rFonts w:eastAsia="Times New Roman"/>
                <w:lang w:val="es-ES_tradnl" w:eastAsia="en-US"/>
              </w:rPr>
              <w:t>**</w:t>
            </w:r>
          </w:p>
        </w:tc>
      </w:tr>
      <w:tr w:rsidR="00C91693" w:rsidRPr="00C168C5" w14:paraId="0D75F7B5" w14:textId="77777777" w:rsidTr="009958BE">
        <w:trPr>
          <w:trHeight w:val="1481"/>
        </w:trPr>
        <w:tc>
          <w:tcPr>
            <w:tcW w:w="2358" w:type="dxa"/>
            <w:shd w:val="clear" w:color="auto" w:fill="auto"/>
          </w:tcPr>
          <w:p w14:paraId="29B4D874" w14:textId="77777777" w:rsidR="00C91693" w:rsidRPr="00C168C5" w:rsidRDefault="00C91693" w:rsidP="00243943">
            <w:pPr>
              <w:rPr>
                <w:rFonts w:eastAsia="Times New Roman"/>
                <w:szCs w:val="22"/>
                <w:lang w:val="es-ES_tradnl" w:eastAsia="en-US"/>
              </w:rPr>
            </w:pPr>
          </w:p>
          <w:p w14:paraId="582F865A" w14:textId="522C5135" w:rsidR="00C91693" w:rsidRPr="00C168C5" w:rsidRDefault="005907EF" w:rsidP="005907EF">
            <w:pPr>
              <w:rPr>
                <w:lang w:val="es-ES_tradnl"/>
              </w:rPr>
            </w:pPr>
            <w:r w:rsidRPr="00C168C5">
              <w:rPr>
                <w:lang w:val="es-ES_tradnl"/>
              </w:rPr>
              <w:t>Simposio de investigación final</w:t>
            </w:r>
          </w:p>
        </w:tc>
        <w:tc>
          <w:tcPr>
            <w:tcW w:w="2694" w:type="dxa"/>
            <w:shd w:val="clear" w:color="auto" w:fill="auto"/>
          </w:tcPr>
          <w:p w14:paraId="32420EF3" w14:textId="77777777" w:rsidR="00C91693" w:rsidRPr="00C168C5" w:rsidRDefault="00C91693" w:rsidP="00243943">
            <w:pPr>
              <w:rPr>
                <w:rFonts w:eastAsia="Times New Roman"/>
                <w:szCs w:val="22"/>
                <w:lang w:val="es-ES_tradnl" w:eastAsia="en-US"/>
              </w:rPr>
            </w:pPr>
          </w:p>
          <w:p w14:paraId="2AF1B34D" w14:textId="43A72D46" w:rsidR="00EA6549" w:rsidRPr="00C168C5" w:rsidRDefault="00EA6549" w:rsidP="00EA6549">
            <w:pPr>
              <w:rPr>
                <w:lang w:val="es-ES_tradnl"/>
              </w:rPr>
            </w:pPr>
            <w:r w:rsidRPr="00C168C5">
              <w:rPr>
                <w:lang w:val="es-ES_tradnl"/>
              </w:rPr>
              <w:t>Realización satisfactoria del simposio con la participación de importantes investigadores y responsables de la formulación de políticas</w:t>
            </w:r>
          </w:p>
          <w:p w14:paraId="2B445B77" w14:textId="74A9A37C" w:rsidR="00C91693" w:rsidRPr="00C168C5" w:rsidRDefault="00C91693" w:rsidP="00243943">
            <w:pPr>
              <w:rPr>
                <w:rFonts w:eastAsia="Times New Roman"/>
                <w:lang w:val="es-ES_tradnl" w:eastAsia="en-US"/>
              </w:rPr>
            </w:pPr>
          </w:p>
        </w:tc>
        <w:tc>
          <w:tcPr>
            <w:tcW w:w="3260" w:type="dxa"/>
            <w:shd w:val="clear" w:color="auto" w:fill="auto"/>
          </w:tcPr>
          <w:p w14:paraId="7875C03D" w14:textId="77777777" w:rsidR="00C91693" w:rsidRPr="00C168C5" w:rsidRDefault="00C91693" w:rsidP="00243943">
            <w:pPr>
              <w:rPr>
                <w:bCs/>
                <w:szCs w:val="26"/>
                <w:lang w:val="es-ES_tradnl" w:eastAsia="en-US"/>
              </w:rPr>
            </w:pPr>
          </w:p>
          <w:p w14:paraId="585CE676" w14:textId="315767A7" w:rsidR="00C91693" w:rsidRPr="00C168C5" w:rsidRDefault="0013602B" w:rsidP="0013602B">
            <w:pPr>
              <w:rPr>
                <w:rFonts w:eastAsia="Times New Roman"/>
                <w:lang w:val="es-ES_tradnl" w:eastAsia="en-US"/>
              </w:rPr>
            </w:pPr>
            <w:r w:rsidRPr="00C168C5">
              <w:rPr>
                <w:bCs/>
                <w:szCs w:val="26"/>
                <w:lang w:val="es-ES_tradnl" w:eastAsia="en-US"/>
              </w:rPr>
              <w:t>Demasiado pronto para realizar una evaluación</w:t>
            </w:r>
          </w:p>
        </w:tc>
        <w:tc>
          <w:tcPr>
            <w:tcW w:w="992" w:type="dxa"/>
            <w:shd w:val="clear" w:color="auto" w:fill="auto"/>
            <w:vAlign w:val="center"/>
          </w:tcPr>
          <w:p w14:paraId="7F0211E8" w14:textId="77777777" w:rsidR="00C91693" w:rsidRPr="00C168C5" w:rsidRDefault="00C91693" w:rsidP="00243943">
            <w:pPr>
              <w:rPr>
                <w:rFonts w:eastAsia="Times New Roman"/>
                <w:lang w:val="es-ES_tradnl" w:eastAsia="en-US"/>
              </w:rPr>
            </w:pPr>
          </w:p>
        </w:tc>
      </w:tr>
    </w:tbl>
    <w:p w14:paraId="01AC8923" w14:textId="77777777" w:rsidR="00C91693" w:rsidRPr="00C168C5" w:rsidRDefault="00C91693" w:rsidP="00C91693">
      <w:pPr>
        <w:rPr>
          <w:rFonts w:eastAsia="Times New Roman"/>
          <w:lang w:val="es-ES_tradnl" w:eastAsia="en-US"/>
        </w:rPr>
      </w:pPr>
    </w:p>
    <w:p w14:paraId="5315C7E6" w14:textId="77777777" w:rsidR="00C91693" w:rsidRPr="00C168C5" w:rsidRDefault="00C91693" w:rsidP="00C91693">
      <w:pPr>
        <w:rPr>
          <w:lang w:val="es-ES_tradnl"/>
        </w:rPr>
      </w:pPr>
      <w:r w:rsidRPr="00C168C5">
        <w:rPr>
          <w:lang w:val="es-ES_tradnl"/>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226"/>
        <w:gridCol w:w="1026"/>
      </w:tblGrid>
      <w:tr w:rsidR="00C91693" w:rsidRPr="00C168C5" w14:paraId="731BEE92" w14:textId="77777777" w:rsidTr="006942C2">
        <w:trPr>
          <w:trHeight w:val="616"/>
        </w:trPr>
        <w:tc>
          <w:tcPr>
            <w:tcW w:w="2410" w:type="dxa"/>
            <w:shd w:val="clear" w:color="auto" w:fill="auto"/>
          </w:tcPr>
          <w:p w14:paraId="05A2A7A4" w14:textId="4690848B" w:rsidR="00C91693" w:rsidRPr="00C168C5" w:rsidRDefault="0013602B" w:rsidP="00523FA9">
            <w:pPr>
              <w:spacing w:before="240" w:after="60"/>
              <w:outlineLvl w:val="2"/>
              <w:rPr>
                <w:bCs/>
                <w:szCs w:val="26"/>
                <w:u w:val="single"/>
                <w:lang w:val="es-ES_tradnl" w:eastAsia="en-US"/>
              </w:rPr>
            </w:pPr>
            <w:r w:rsidRPr="00C168C5">
              <w:rPr>
                <w:bCs/>
                <w:szCs w:val="26"/>
                <w:u w:val="single"/>
                <w:lang w:val="es-ES_tradnl" w:eastAsia="en-US"/>
              </w:rPr>
              <w:lastRenderedPageBreak/>
              <w:t>Obj</w:t>
            </w:r>
            <w:r w:rsidR="006942C2" w:rsidRPr="00C168C5">
              <w:rPr>
                <w:bCs/>
                <w:szCs w:val="26"/>
                <w:u w:val="single"/>
                <w:lang w:val="es-ES_tradnl" w:eastAsia="en-US"/>
              </w:rPr>
              <w:t>e</w:t>
            </w:r>
            <w:r w:rsidRPr="00C168C5">
              <w:rPr>
                <w:bCs/>
                <w:szCs w:val="26"/>
                <w:u w:val="single"/>
                <w:lang w:val="es-ES_tradnl" w:eastAsia="en-US"/>
              </w:rPr>
              <w:t>tivos del proyecto</w:t>
            </w:r>
          </w:p>
        </w:tc>
        <w:tc>
          <w:tcPr>
            <w:tcW w:w="2694" w:type="dxa"/>
            <w:shd w:val="clear" w:color="auto" w:fill="auto"/>
          </w:tcPr>
          <w:p w14:paraId="4C05E3F8" w14:textId="77777777" w:rsidR="00C91693" w:rsidRPr="00C168C5" w:rsidRDefault="00C91693" w:rsidP="00243943">
            <w:pPr>
              <w:autoSpaceDE w:val="0"/>
              <w:autoSpaceDN w:val="0"/>
              <w:adjustRightInd w:val="0"/>
              <w:rPr>
                <w:rFonts w:eastAsia="Times New Roman"/>
                <w:bCs/>
                <w:szCs w:val="22"/>
                <w:u w:val="single"/>
                <w:lang w:val="es-ES_tradnl" w:eastAsia="en-US"/>
              </w:rPr>
            </w:pPr>
          </w:p>
          <w:p w14:paraId="5F951B3A" w14:textId="2CEC118E" w:rsidR="0013602B" w:rsidRPr="00C168C5" w:rsidRDefault="0013602B" w:rsidP="0013602B">
            <w:pPr>
              <w:rPr>
                <w:szCs w:val="22"/>
                <w:u w:val="single"/>
                <w:lang w:val="es-ES_tradnl"/>
              </w:rPr>
            </w:pPr>
            <w:r w:rsidRPr="00C168C5">
              <w:rPr>
                <w:szCs w:val="22"/>
                <w:u w:val="single"/>
                <w:lang w:val="es-ES_tradnl"/>
              </w:rPr>
              <w:t xml:space="preserve">Indicadores de cumplimiento del objetivos </w:t>
            </w:r>
          </w:p>
          <w:p w14:paraId="76426BE4" w14:textId="77777777" w:rsidR="0013602B" w:rsidRPr="00C168C5" w:rsidRDefault="0013602B" w:rsidP="0013602B">
            <w:pPr>
              <w:rPr>
                <w:szCs w:val="22"/>
                <w:u w:val="single"/>
                <w:lang w:val="es-ES_tradnl"/>
              </w:rPr>
            </w:pPr>
            <w:r w:rsidRPr="00C168C5">
              <w:rPr>
                <w:szCs w:val="22"/>
                <w:u w:val="single"/>
                <w:lang w:val="es-ES_tradnl"/>
              </w:rPr>
              <w:t>(Indicadores de resultado)</w:t>
            </w:r>
          </w:p>
          <w:p w14:paraId="34E4FFC1" w14:textId="77777777" w:rsidR="00C91693" w:rsidRPr="00C168C5" w:rsidRDefault="00C91693" w:rsidP="0013602B">
            <w:pPr>
              <w:autoSpaceDE w:val="0"/>
              <w:autoSpaceDN w:val="0"/>
              <w:adjustRightInd w:val="0"/>
              <w:rPr>
                <w:rFonts w:eastAsia="Times New Roman"/>
                <w:lang w:val="es-ES_tradnl" w:eastAsia="en-US"/>
              </w:rPr>
            </w:pPr>
          </w:p>
        </w:tc>
        <w:tc>
          <w:tcPr>
            <w:tcW w:w="3226" w:type="dxa"/>
            <w:shd w:val="clear" w:color="auto" w:fill="auto"/>
          </w:tcPr>
          <w:p w14:paraId="503464C1" w14:textId="2AD3680E" w:rsidR="00C91693" w:rsidRPr="00C168C5" w:rsidRDefault="006942C2" w:rsidP="00243943">
            <w:pPr>
              <w:keepNext/>
              <w:spacing w:before="240" w:after="60"/>
              <w:outlineLvl w:val="2"/>
              <w:rPr>
                <w:bCs/>
                <w:szCs w:val="26"/>
                <w:u w:val="single"/>
                <w:lang w:val="es-ES_tradnl" w:eastAsia="en-US"/>
              </w:rPr>
            </w:pPr>
            <w:r w:rsidRPr="00C168C5">
              <w:rPr>
                <w:szCs w:val="22"/>
                <w:u w:val="single"/>
                <w:lang w:val="es-ES_tradnl"/>
              </w:rPr>
              <w:t>Datos sobre el rendimiento</w:t>
            </w:r>
          </w:p>
        </w:tc>
        <w:tc>
          <w:tcPr>
            <w:tcW w:w="1026" w:type="dxa"/>
            <w:shd w:val="clear" w:color="auto" w:fill="auto"/>
          </w:tcPr>
          <w:p w14:paraId="050A318F" w14:textId="70548AD3" w:rsidR="00C91693" w:rsidRPr="00C168C5" w:rsidRDefault="006942C2" w:rsidP="00243943">
            <w:pPr>
              <w:keepNext/>
              <w:spacing w:before="240" w:after="60"/>
              <w:outlineLvl w:val="2"/>
              <w:rPr>
                <w:bCs/>
                <w:szCs w:val="26"/>
                <w:u w:val="single"/>
                <w:lang w:val="es-ES_tradnl" w:eastAsia="en-US"/>
              </w:rPr>
            </w:pPr>
            <w:r w:rsidRPr="00C168C5">
              <w:rPr>
                <w:szCs w:val="22"/>
                <w:u w:val="single"/>
                <w:lang w:val="es-ES_tradnl"/>
              </w:rPr>
              <w:t>Clave de colores</w:t>
            </w:r>
          </w:p>
        </w:tc>
      </w:tr>
      <w:tr w:rsidR="00C91693" w:rsidRPr="00C168C5" w14:paraId="65D4B2BD" w14:textId="77777777" w:rsidTr="006942C2">
        <w:trPr>
          <w:trHeight w:val="509"/>
        </w:trPr>
        <w:tc>
          <w:tcPr>
            <w:tcW w:w="2410" w:type="dxa"/>
            <w:vMerge w:val="restart"/>
            <w:shd w:val="clear" w:color="auto" w:fill="auto"/>
          </w:tcPr>
          <w:p w14:paraId="119C5D04" w14:textId="77777777" w:rsidR="00C91693" w:rsidRPr="00C168C5" w:rsidRDefault="00C91693" w:rsidP="00243943">
            <w:pPr>
              <w:autoSpaceDE w:val="0"/>
              <w:autoSpaceDN w:val="0"/>
              <w:adjustRightInd w:val="0"/>
              <w:rPr>
                <w:rFonts w:eastAsia="Times New Roman"/>
                <w:color w:val="000000"/>
                <w:szCs w:val="22"/>
                <w:lang w:val="es-ES_tradnl" w:eastAsia="en-US"/>
              </w:rPr>
            </w:pPr>
          </w:p>
          <w:p w14:paraId="318EBC0B" w14:textId="77777777" w:rsidR="006942C2" w:rsidRPr="00C168C5" w:rsidRDefault="006942C2" w:rsidP="006942C2">
            <w:pPr>
              <w:rPr>
                <w:bCs/>
                <w:lang w:val="es-ES_tradnl"/>
              </w:rPr>
            </w:pPr>
            <w:r w:rsidRPr="00C168C5">
              <w:rPr>
                <w:lang w:val="es-ES_tradnl"/>
              </w:rPr>
              <w:t>Mejor comprensión de los efectos económicos de la políticas de P.I. y adopción de decisiones más fundamentadas</w:t>
            </w:r>
          </w:p>
          <w:p w14:paraId="0E6DAC23" w14:textId="77777777" w:rsidR="00C91693" w:rsidRPr="00C168C5" w:rsidRDefault="00C91693" w:rsidP="006942C2">
            <w:pPr>
              <w:autoSpaceDE w:val="0"/>
              <w:autoSpaceDN w:val="0"/>
              <w:adjustRightInd w:val="0"/>
              <w:rPr>
                <w:rFonts w:eastAsia="Times New Roman"/>
                <w:bCs/>
                <w:lang w:val="es-ES_tradnl" w:eastAsia="en-US"/>
              </w:rPr>
            </w:pPr>
          </w:p>
        </w:tc>
        <w:tc>
          <w:tcPr>
            <w:tcW w:w="2694" w:type="dxa"/>
            <w:shd w:val="clear" w:color="auto" w:fill="auto"/>
          </w:tcPr>
          <w:p w14:paraId="20717F6D" w14:textId="77777777" w:rsidR="00C91693" w:rsidRPr="00C168C5" w:rsidRDefault="00C91693" w:rsidP="00243943">
            <w:pPr>
              <w:autoSpaceDE w:val="0"/>
              <w:autoSpaceDN w:val="0"/>
              <w:adjustRightInd w:val="0"/>
              <w:rPr>
                <w:rFonts w:eastAsia="Times New Roman"/>
                <w:color w:val="000000"/>
                <w:szCs w:val="22"/>
                <w:lang w:val="es-ES_tradnl" w:eastAsia="en-US"/>
              </w:rPr>
            </w:pPr>
          </w:p>
          <w:p w14:paraId="5897199C" w14:textId="77777777" w:rsidR="00C91693" w:rsidRPr="00C168C5" w:rsidRDefault="006942C2" w:rsidP="006942C2">
            <w:pPr>
              <w:autoSpaceDE w:val="0"/>
              <w:autoSpaceDN w:val="0"/>
              <w:adjustRightInd w:val="0"/>
              <w:rPr>
                <w:bCs/>
                <w:lang w:val="es-ES_tradnl"/>
              </w:rPr>
            </w:pPr>
            <w:r w:rsidRPr="00C168C5">
              <w:rPr>
                <w:bCs/>
                <w:lang w:val="es-ES_tradnl"/>
              </w:rPr>
              <w:t>Los estudios proporcionan directamente información  relativa a reformas de política</w:t>
            </w:r>
          </w:p>
          <w:p w14:paraId="4C106133" w14:textId="3CEFDA51" w:rsidR="006942C2" w:rsidRPr="00C168C5" w:rsidRDefault="006942C2" w:rsidP="006942C2">
            <w:pPr>
              <w:autoSpaceDE w:val="0"/>
              <w:autoSpaceDN w:val="0"/>
              <w:adjustRightInd w:val="0"/>
              <w:rPr>
                <w:rFonts w:eastAsia="Times New Roman"/>
                <w:lang w:val="es-ES_tradnl" w:eastAsia="en-US"/>
              </w:rPr>
            </w:pPr>
          </w:p>
        </w:tc>
        <w:tc>
          <w:tcPr>
            <w:tcW w:w="3226" w:type="dxa"/>
            <w:shd w:val="clear" w:color="auto" w:fill="auto"/>
          </w:tcPr>
          <w:p w14:paraId="2B6DB932" w14:textId="77777777" w:rsidR="00C91693" w:rsidRPr="00C168C5" w:rsidRDefault="00C91693" w:rsidP="00243943">
            <w:pPr>
              <w:rPr>
                <w:rFonts w:eastAsia="Times New Roman"/>
                <w:lang w:val="es-ES_tradnl" w:eastAsia="en-US"/>
              </w:rPr>
            </w:pPr>
          </w:p>
          <w:p w14:paraId="2B667A93" w14:textId="66009508" w:rsidR="00C91693" w:rsidRPr="00C168C5" w:rsidRDefault="006942C2" w:rsidP="006942C2">
            <w:pPr>
              <w:rPr>
                <w:rFonts w:eastAsia="Times New Roman"/>
                <w:lang w:val="es-ES_tradnl" w:eastAsia="en-US"/>
              </w:rPr>
            </w:pPr>
            <w:r w:rsidRPr="00C168C5">
              <w:rPr>
                <w:bCs/>
                <w:szCs w:val="26"/>
                <w:lang w:val="es-ES_tradnl" w:eastAsia="en-US"/>
              </w:rPr>
              <w:t>Demasiado pronto para realizar una evaluación</w:t>
            </w:r>
          </w:p>
        </w:tc>
        <w:tc>
          <w:tcPr>
            <w:tcW w:w="1026" w:type="dxa"/>
            <w:shd w:val="clear" w:color="auto" w:fill="auto"/>
          </w:tcPr>
          <w:p w14:paraId="157910DA" w14:textId="77777777" w:rsidR="00C91693" w:rsidRPr="00C168C5" w:rsidRDefault="00C91693" w:rsidP="00243943">
            <w:pPr>
              <w:rPr>
                <w:rFonts w:eastAsia="Times New Roman"/>
                <w:lang w:val="es-ES_tradnl" w:eastAsia="en-US"/>
              </w:rPr>
            </w:pPr>
          </w:p>
          <w:p w14:paraId="60883E8E" w14:textId="3F9EC56B" w:rsidR="00C91693" w:rsidRPr="00C168C5" w:rsidRDefault="00992489" w:rsidP="006942C2">
            <w:pPr>
              <w:rPr>
                <w:rFonts w:eastAsia="Times New Roman"/>
                <w:lang w:val="es-ES_tradnl" w:eastAsia="en-US"/>
              </w:rPr>
            </w:pPr>
            <w:r w:rsidRPr="00C168C5">
              <w:rPr>
                <w:szCs w:val="22"/>
                <w:lang w:val="es-ES_tradnl"/>
              </w:rPr>
              <w:t>SE/AI</w:t>
            </w:r>
            <w:r w:rsidR="006942C2" w:rsidRPr="00C168C5">
              <w:rPr>
                <w:rFonts w:eastAsia="Times New Roman"/>
                <w:lang w:val="es-ES_tradnl" w:eastAsia="en-US"/>
              </w:rPr>
              <w:t xml:space="preserve"> </w:t>
            </w:r>
          </w:p>
        </w:tc>
      </w:tr>
      <w:tr w:rsidR="00C91693" w:rsidRPr="00C168C5" w14:paraId="3C3C00D3" w14:textId="77777777" w:rsidTr="006942C2">
        <w:trPr>
          <w:trHeight w:val="509"/>
        </w:trPr>
        <w:tc>
          <w:tcPr>
            <w:tcW w:w="2410" w:type="dxa"/>
            <w:vMerge/>
            <w:shd w:val="clear" w:color="auto" w:fill="auto"/>
          </w:tcPr>
          <w:p w14:paraId="2BD9DEBE" w14:textId="77777777" w:rsidR="00C91693" w:rsidRPr="00C168C5" w:rsidRDefault="00C91693" w:rsidP="00243943">
            <w:pPr>
              <w:rPr>
                <w:rFonts w:eastAsia="Times New Roman"/>
                <w:bCs/>
                <w:lang w:val="es-ES_tradnl" w:eastAsia="en-US"/>
              </w:rPr>
            </w:pPr>
          </w:p>
        </w:tc>
        <w:tc>
          <w:tcPr>
            <w:tcW w:w="2694" w:type="dxa"/>
            <w:shd w:val="clear" w:color="auto" w:fill="auto"/>
          </w:tcPr>
          <w:p w14:paraId="6042EFF2" w14:textId="77777777" w:rsidR="00C91693" w:rsidRPr="00C168C5" w:rsidRDefault="00C91693" w:rsidP="00243943">
            <w:pPr>
              <w:autoSpaceDE w:val="0"/>
              <w:autoSpaceDN w:val="0"/>
              <w:adjustRightInd w:val="0"/>
              <w:rPr>
                <w:rFonts w:eastAsia="Times New Roman"/>
                <w:color w:val="000000"/>
                <w:szCs w:val="22"/>
                <w:lang w:val="es-ES_tradnl" w:eastAsia="en-US"/>
              </w:rPr>
            </w:pPr>
          </w:p>
          <w:p w14:paraId="02FBF75A" w14:textId="6A28A45A" w:rsidR="00C91693" w:rsidRPr="00C168C5" w:rsidRDefault="00772925" w:rsidP="00243943">
            <w:pPr>
              <w:autoSpaceDE w:val="0"/>
              <w:autoSpaceDN w:val="0"/>
              <w:adjustRightInd w:val="0"/>
              <w:rPr>
                <w:rFonts w:eastAsia="Times New Roman"/>
                <w:color w:val="000000"/>
                <w:sz w:val="24"/>
                <w:szCs w:val="22"/>
                <w:lang w:val="es-ES_tradnl" w:eastAsia="en-US"/>
              </w:rPr>
            </w:pPr>
            <w:r w:rsidRPr="00C168C5">
              <w:rPr>
                <w:bCs/>
                <w:lang w:val="es-ES_tradnl"/>
              </w:rPr>
              <w:t>Las bases de datos y los estudios son utilizadas/ mencionadas por los responsables de formular políticas, los investigadores, la prensa y otras partes interesadas</w:t>
            </w:r>
            <w:r w:rsidR="00C91693" w:rsidRPr="00C168C5">
              <w:rPr>
                <w:rFonts w:eastAsia="Times New Roman"/>
                <w:color w:val="000000"/>
                <w:szCs w:val="22"/>
                <w:lang w:val="es-ES_tradnl" w:eastAsia="en-US"/>
              </w:rPr>
              <w:t xml:space="preserve">. </w:t>
            </w:r>
          </w:p>
          <w:p w14:paraId="174CE268" w14:textId="77777777" w:rsidR="00C91693" w:rsidRPr="00C168C5" w:rsidRDefault="00C91693" w:rsidP="00243943">
            <w:pPr>
              <w:rPr>
                <w:rFonts w:eastAsia="Times New Roman"/>
                <w:lang w:val="es-ES_tradnl" w:eastAsia="en-US"/>
              </w:rPr>
            </w:pPr>
          </w:p>
        </w:tc>
        <w:tc>
          <w:tcPr>
            <w:tcW w:w="3226" w:type="dxa"/>
            <w:shd w:val="clear" w:color="auto" w:fill="auto"/>
          </w:tcPr>
          <w:p w14:paraId="7B9677C9" w14:textId="77777777" w:rsidR="00C91693" w:rsidRPr="00C168C5" w:rsidRDefault="00C91693" w:rsidP="00243943">
            <w:pPr>
              <w:rPr>
                <w:rFonts w:eastAsia="Times New Roman"/>
                <w:lang w:val="es-ES_tradnl" w:eastAsia="en-US"/>
              </w:rPr>
            </w:pPr>
          </w:p>
          <w:p w14:paraId="567E6037" w14:textId="288BF65F" w:rsidR="00C91693" w:rsidRPr="00C168C5" w:rsidRDefault="006942C2" w:rsidP="006942C2">
            <w:pPr>
              <w:rPr>
                <w:rFonts w:eastAsia="Times New Roman"/>
                <w:lang w:val="es-ES_tradnl" w:eastAsia="en-US"/>
              </w:rPr>
            </w:pPr>
            <w:r w:rsidRPr="00C168C5">
              <w:rPr>
                <w:bCs/>
                <w:szCs w:val="26"/>
                <w:lang w:val="es-ES_tradnl" w:eastAsia="en-US"/>
              </w:rPr>
              <w:t>Demasiado pronto para realizar una evaluación</w:t>
            </w:r>
          </w:p>
        </w:tc>
        <w:tc>
          <w:tcPr>
            <w:tcW w:w="1026" w:type="dxa"/>
            <w:shd w:val="clear" w:color="auto" w:fill="auto"/>
          </w:tcPr>
          <w:p w14:paraId="493E041C" w14:textId="77777777" w:rsidR="00C91693" w:rsidRPr="00C168C5" w:rsidRDefault="00C91693" w:rsidP="00243943">
            <w:pPr>
              <w:rPr>
                <w:rFonts w:eastAsia="Times New Roman"/>
                <w:lang w:val="es-ES_tradnl" w:eastAsia="en-US"/>
              </w:rPr>
            </w:pPr>
          </w:p>
          <w:p w14:paraId="6B306FC0" w14:textId="653A740E" w:rsidR="00C91693" w:rsidRPr="00C168C5" w:rsidRDefault="00992489" w:rsidP="00243943">
            <w:pPr>
              <w:rPr>
                <w:rFonts w:eastAsia="Times New Roman"/>
                <w:lang w:val="es-ES_tradnl" w:eastAsia="en-US"/>
              </w:rPr>
            </w:pPr>
            <w:r w:rsidRPr="00C168C5">
              <w:rPr>
                <w:szCs w:val="22"/>
                <w:lang w:val="es-ES_tradnl"/>
              </w:rPr>
              <w:t>SE/AI</w:t>
            </w:r>
          </w:p>
        </w:tc>
      </w:tr>
    </w:tbl>
    <w:p w14:paraId="64F88407" w14:textId="77777777" w:rsidR="00C91693" w:rsidRPr="00C168C5" w:rsidRDefault="00C91693" w:rsidP="00C91693">
      <w:pPr>
        <w:rPr>
          <w:lang w:val="es-ES_tradnl"/>
        </w:rPr>
      </w:pPr>
    </w:p>
    <w:p w14:paraId="2CEDF788" w14:textId="77777777" w:rsidR="00C91693" w:rsidRPr="00C168C5" w:rsidRDefault="00C91693" w:rsidP="00C91693">
      <w:pPr>
        <w:pStyle w:val="Endofdocument-Annex"/>
        <w:rPr>
          <w:lang w:val="es-ES_tradnl"/>
        </w:rPr>
        <w:sectPr w:rsidR="00C91693" w:rsidRPr="00C168C5" w:rsidSect="00243943">
          <w:headerReference w:type="even" r:id="rId25"/>
          <w:headerReference w:type="default" r:id="rId26"/>
          <w:footerReference w:type="even" r:id="rId27"/>
          <w:footerReference w:type="default" r:id="rId28"/>
          <w:headerReference w:type="first" r:id="rId29"/>
          <w:footerReference w:type="first" r:id="rId30"/>
          <w:pgSz w:w="11907" w:h="16840" w:code="9"/>
          <w:pgMar w:top="992" w:right="1418" w:bottom="1440" w:left="1418" w:header="510" w:footer="1021" w:gutter="0"/>
          <w:pgNumType w:start="1"/>
          <w:cols w:space="720"/>
          <w:titlePg/>
          <w:docGrid w:linePitch="299"/>
        </w:sectPr>
      </w:pPr>
      <w:r w:rsidRPr="00C168C5">
        <w:rPr>
          <w:lang w:val="es-ES_tradnl"/>
        </w:rPr>
        <w:t>[</w:t>
      </w:r>
      <w:r w:rsidR="00BA42C9" w:rsidRPr="00C168C5">
        <w:rPr>
          <w:lang w:val="es-ES_tradnl"/>
        </w:rPr>
        <w:t>Sigue el Anexo V</w:t>
      </w:r>
      <w:r w:rsidRPr="00C168C5">
        <w:rPr>
          <w:lang w:val="es-ES_tradnl"/>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C91693" w:rsidRPr="00C168C5" w14:paraId="4108493F" w14:textId="77777777" w:rsidTr="00243943">
        <w:trPr>
          <w:trHeight w:val="699"/>
        </w:trPr>
        <w:tc>
          <w:tcPr>
            <w:tcW w:w="9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DE0F7" w14:textId="77777777" w:rsidR="00C91693" w:rsidRPr="00C168C5" w:rsidRDefault="00C91693" w:rsidP="00243943">
            <w:pPr>
              <w:rPr>
                <w:bCs/>
                <w:iCs/>
                <w:caps/>
                <w:szCs w:val="28"/>
                <w:lang w:val="es-ES_tradnl" w:eastAsia="en-US"/>
              </w:rPr>
            </w:pPr>
          </w:p>
          <w:p w14:paraId="20EC454A" w14:textId="363E13D7" w:rsidR="00C91693" w:rsidRPr="00C168C5" w:rsidRDefault="00772925" w:rsidP="00243943">
            <w:pPr>
              <w:rPr>
                <w:bCs/>
                <w:iCs/>
                <w:caps/>
                <w:szCs w:val="28"/>
                <w:lang w:val="es-ES_tradnl" w:eastAsia="en-US"/>
              </w:rPr>
            </w:pPr>
            <w:r w:rsidRPr="00C168C5">
              <w:rPr>
                <w:bCs/>
                <w:iCs/>
                <w:caps/>
                <w:szCs w:val="28"/>
                <w:lang w:val="es-ES_tradnl" w:eastAsia="en-US"/>
              </w:rPr>
              <w:t>Resumen del proyecto</w:t>
            </w:r>
          </w:p>
          <w:p w14:paraId="232AEE64" w14:textId="77777777" w:rsidR="00C91693" w:rsidRPr="00C168C5" w:rsidRDefault="00C91693" w:rsidP="00243943">
            <w:pPr>
              <w:rPr>
                <w:bCs/>
                <w:iCs/>
                <w:caps/>
                <w:szCs w:val="28"/>
                <w:lang w:val="es-ES_tradnl" w:eastAsia="en-US"/>
              </w:rPr>
            </w:pPr>
          </w:p>
        </w:tc>
      </w:tr>
      <w:tr w:rsidR="00C91693" w:rsidRPr="00C168C5" w14:paraId="2F24BB28" w14:textId="77777777" w:rsidTr="00243943">
        <w:trPr>
          <w:trHeight w:val="496"/>
        </w:trPr>
        <w:tc>
          <w:tcPr>
            <w:tcW w:w="2376" w:type="dxa"/>
            <w:shd w:val="clear" w:color="auto" w:fill="auto"/>
            <w:vAlign w:val="center"/>
          </w:tcPr>
          <w:p w14:paraId="1E1BB97F" w14:textId="77777777" w:rsidR="00772925" w:rsidRPr="00C168C5" w:rsidRDefault="00772925" w:rsidP="00772925">
            <w:pPr>
              <w:spacing w:before="60" w:after="60"/>
              <w:outlineLvl w:val="2"/>
              <w:rPr>
                <w:bCs/>
                <w:szCs w:val="22"/>
                <w:u w:val="single"/>
                <w:lang w:val="es-ES_tradnl"/>
              </w:rPr>
            </w:pPr>
          </w:p>
          <w:p w14:paraId="28A8097E" w14:textId="77777777" w:rsidR="00772925" w:rsidRPr="00C168C5" w:rsidRDefault="00772925" w:rsidP="00772925">
            <w:pPr>
              <w:spacing w:before="60" w:after="60"/>
              <w:outlineLvl w:val="2"/>
              <w:rPr>
                <w:bCs/>
                <w:szCs w:val="22"/>
                <w:u w:val="single"/>
                <w:lang w:val="es-ES_tradnl"/>
              </w:rPr>
            </w:pPr>
            <w:r w:rsidRPr="00C168C5">
              <w:rPr>
                <w:bCs/>
                <w:szCs w:val="22"/>
                <w:u w:val="single"/>
                <w:lang w:val="es-ES_tradnl"/>
              </w:rPr>
              <w:t>Código del proyecto</w:t>
            </w:r>
          </w:p>
          <w:p w14:paraId="63EEF7E6" w14:textId="5180DDC5" w:rsidR="00C91693" w:rsidRPr="00C168C5" w:rsidRDefault="00772925" w:rsidP="00772925">
            <w:pPr>
              <w:spacing w:before="60" w:after="60"/>
              <w:outlineLvl w:val="2"/>
              <w:rPr>
                <w:bCs/>
                <w:szCs w:val="22"/>
                <w:u w:val="single"/>
                <w:lang w:val="es-ES_tradnl"/>
              </w:rPr>
            </w:pPr>
            <w:r w:rsidRPr="00C168C5">
              <w:rPr>
                <w:bCs/>
                <w:szCs w:val="22"/>
                <w:u w:val="single"/>
                <w:lang w:val="es-ES_tradnl"/>
              </w:rPr>
              <w:t xml:space="preserve"> </w:t>
            </w:r>
          </w:p>
        </w:tc>
        <w:tc>
          <w:tcPr>
            <w:tcW w:w="6912" w:type="dxa"/>
            <w:shd w:val="clear" w:color="auto" w:fill="auto"/>
            <w:vAlign w:val="center"/>
          </w:tcPr>
          <w:p w14:paraId="61A918AE" w14:textId="77777777" w:rsidR="00C91693" w:rsidRPr="00C168C5" w:rsidRDefault="00C91693" w:rsidP="00243943">
            <w:pPr>
              <w:spacing w:before="120" w:after="120"/>
              <w:rPr>
                <w:iCs/>
                <w:lang w:val="es-ES_tradnl"/>
              </w:rPr>
            </w:pPr>
            <w:r w:rsidRPr="00C168C5">
              <w:rPr>
                <w:iCs/>
                <w:lang w:val="es-ES_tradnl"/>
              </w:rPr>
              <w:t>DA_19_25_26_28_01</w:t>
            </w:r>
          </w:p>
        </w:tc>
      </w:tr>
      <w:tr w:rsidR="00C91693" w:rsidRPr="00C168C5" w14:paraId="5F1F772A" w14:textId="77777777" w:rsidTr="00243943">
        <w:trPr>
          <w:trHeight w:val="404"/>
        </w:trPr>
        <w:tc>
          <w:tcPr>
            <w:tcW w:w="2376" w:type="dxa"/>
            <w:shd w:val="clear" w:color="auto" w:fill="auto"/>
            <w:vAlign w:val="center"/>
          </w:tcPr>
          <w:p w14:paraId="2F2CAF3F" w14:textId="54334ADB" w:rsidR="00C91693" w:rsidRPr="00C168C5" w:rsidRDefault="00C91693" w:rsidP="00243943">
            <w:pPr>
              <w:pStyle w:val="Heading3"/>
              <w:keepNext w:val="0"/>
              <w:spacing w:before="120" w:after="120"/>
              <w:rPr>
                <w:lang w:val="es-ES_tradnl"/>
              </w:rPr>
            </w:pPr>
            <w:r w:rsidRPr="00C168C5">
              <w:rPr>
                <w:lang w:val="es-ES_tradnl"/>
              </w:rPr>
              <w:t>T</w:t>
            </w:r>
            <w:r w:rsidR="00772925" w:rsidRPr="00C168C5">
              <w:rPr>
                <w:lang w:val="es-ES_tradnl"/>
              </w:rPr>
              <w:t>ítulo</w:t>
            </w:r>
          </w:p>
          <w:p w14:paraId="604BC2D3" w14:textId="77777777" w:rsidR="00C91693" w:rsidRPr="00C168C5" w:rsidRDefault="00C91693" w:rsidP="00243943">
            <w:pPr>
              <w:rPr>
                <w:lang w:val="es-ES_tradnl"/>
              </w:rPr>
            </w:pPr>
          </w:p>
        </w:tc>
        <w:tc>
          <w:tcPr>
            <w:tcW w:w="6912" w:type="dxa"/>
            <w:shd w:val="clear" w:color="auto" w:fill="auto"/>
            <w:vAlign w:val="center"/>
          </w:tcPr>
          <w:p w14:paraId="557E08AB" w14:textId="25E55797" w:rsidR="00C91693" w:rsidRPr="00C168C5" w:rsidRDefault="00772925" w:rsidP="00772925">
            <w:pPr>
              <w:spacing w:before="60" w:after="60"/>
              <w:rPr>
                <w:i/>
                <w:iCs/>
                <w:szCs w:val="22"/>
                <w:lang w:val="es-ES_tradnl"/>
              </w:rPr>
            </w:pPr>
            <w:r w:rsidRPr="00C168C5">
              <w:rPr>
                <w:i/>
                <w:iCs/>
                <w:szCs w:val="22"/>
                <w:lang w:val="es-ES_tradnl"/>
              </w:rPr>
              <w:t>Propiedad intelectual y transferencia de tecnología: desafíos comunes y búsqueda de soluciones</w:t>
            </w:r>
          </w:p>
        </w:tc>
      </w:tr>
      <w:tr w:rsidR="00C91693" w:rsidRPr="00C168C5" w14:paraId="60804EDF" w14:textId="77777777" w:rsidTr="00243943">
        <w:tc>
          <w:tcPr>
            <w:tcW w:w="2376" w:type="dxa"/>
            <w:shd w:val="clear" w:color="auto" w:fill="auto"/>
          </w:tcPr>
          <w:p w14:paraId="552B6770" w14:textId="45218D1D" w:rsidR="00C91693" w:rsidRPr="00C168C5" w:rsidRDefault="000D0BE0" w:rsidP="000D0BE0">
            <w:pPr>
              <w:spacing w:before="60" w:after="60"/>
              <w:outlineLvl w:val="2"/>
              <w:rPr>
                <w:bCs/>
                <w:szCs w:val="22"/>
                <w:u w:val="single"/>
                <w:lang w:val="es-ES_tradnl"/>
              </w:rPr>
            </w:pPr>
            <w:r w:rsidRPr="00C168C5">
              <w:rPr>
                <w:bCs/>
                <w:szCs w:val="22"/>
                <w:u w:val="single"/>
                <w:lang w:val="es-ES_tradnl"/>
              </w:rPr>
              <w:t>Recomendación de la Agenda para el Desarrollo</w:t>
            </w:r>
          </w:p>
        </w:tc>
        <w:tc>
          <w:tcPr>
            <w:tcW w:w="6912" w:type="dxa"/>
            <w:shd w:val="clear" w:color="auto" w:fill="auto"/>
          </w:tcPr>
          <w:p w14:paraId="0A9AB885" w14:textId="77777777" w:rsidR="000D0BE0" w:rsidRPr="00C168C5" w:rsidRDefault="000D0BE0" w:rsidP="000D0BE0">
            <w:pPr>
              <w:spacing w:before="60" w:after="60"/>
              <w:rPr>
                <w:iCs/>
                <w:szCs w:val="22"/>
                <w:lang w:val="es-ES_tradnl"/>
              </w:rPr>
            </w:pPr>
            <w:r w:rsidRPr="00C168C5">
              <w:rPr>
                <w:i/>
                <w:szCs w:val="22"/>
                <w:lang w:val="es-ES_tradnl"/>
              </w:rPr>
              <w:t xml:space="preserve">Recomendación 19:  </w:t>
            </w:r>
            <w:r w:rsidRPr="00C168C5">
              <w:rPr>
                <w:szCs w:val="22"/>
                <w:lang w:val="es-ES_tradnl"/>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p w14:paraId="6CA57BBD" w14:textId="77777777" w:rsidR="000D0BE0" w:rsidRPr="00C168C5" w:rsidRDefault="000D0BE0" w:rsidP="000D0BE0">
            <w:pPr>
              <w:spacing w:before="60" w:after="60"/>
              <w:rPr>
                <w:iCs/>
                <w:szCs w:val="22"/>
                <w:lang w:val="es-ES_tradnl"/>
              </w:rPr>
            </w:pPr>
          </w:p>
          <w:p w14:paraId="2388EF0F" w14:textId="77777777" w:rsidR="000D0BE0" w:rsidRPr="00C168C5" w:rsidRDefault="000D0BE0" w:rsidP="000D0BE0">
            <w:pPr>
              <w:spacing w:before="60" w:after="60"/>
              <w:rPr>
                <w:iCs/>
                <w:szCs w:val="22"/>
                <w:lang w:val="es-ES_tradnl"/>
              </w:rPr>
            </w:pPr>
            <w:r w:rsidRPr="00C168C5">
              <w:rPr>
                <w:i/>
                <w:szCs w:val="22"/>
                <w:lang w:val="es-ES_tradnl"/>
              </w:rPr>
              <w:t xml:space="preserve">Recomendación 25:  </w:t>
            </w:r>
            <w:r w:rsidRPr="00C168C5">
              <w:rPr>
                <w:szCs w:val="22"/>
                <w:lang w:val="es-ES_tradnl"/>
              </w:rPr>
              <w:t>Estudiar qué políticas e iniciativas relacionadas con la P.I. son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r w:rsidRPr="00C168C5">
              <w:rPr>
                <w:iCs/>
                <w:szCs w:val="22"/>
                <w:lang w:val="es-ES_tradnl"/>
              </w:rPr>
              <w:t>.</w:t>
            </w:r>
          </w:p>
          <w:p w14:paraId="5747CD6B" w14:textId="77777777" w:rsidR="000D0BE0" w:rsidRPr="00C168C5" w:rsidRDefault="000D0BE0" w:rsidP="000D0BE0">
            <w:pPr>
              <w:spacing w:before="60" w:after="60"/>
              <w:rPr>
                <w:iCs/>
                <w:szCs w:val="22"/>
                <w:lang w:val="es-ES_tradnl"/>
              </w:rPr>
            </w:pPr>
          </w:p>
          <w:p w14:paraId="78A059D5" w14:textId="77777777" w:rsidR="000D0BE0" w:rsidRPr="00C168C5" w:rsidRDefault="000D0BE0" w:rsidP="000D0BE0">
            <w:pPr>
              <w:spacing w:before="60" w:after="60"/>
              <w:rPr>
                <w:iCs/>
                <w:szCs w:val="22"/>
                <w:lang w:val="es-ES_tradnl"/>
              </w:rPr>
            </w:pPr>
            <w:r w:rsidRPr="00C168C5">
              <w:rPr>
                <w:i/>
                <w:szCs w:val="22"/>
                <w:lang w:val="es-ES_tradnl"/>
              </w:rPr>
              <w:t xml:space="preserve">Recomendación 26:  </w:t>
            </w:r>
            <w:r w:rsidRPr="00C168C5">
              <w:rPr>
                <w:szCs w:val="22"/>
                <w:lang w:val="es-ES_tradnl"/>
              </w:rPr>
              <w:t>Alentar a los Estados miembros, especialmente a los países desarrollados, a que insten a sus instituciones científicas y de investigación a fomentar la cooperación y el intercambio con las instituciones de investigación y desarrollo de los países en desarrollo, en especial los PMA.</w:t>
            </w:r>
          </w:p>
          <w:p w14:paraId="3AA34A06" w14:textId="77777777" w:rsidR="000D0BE0" w:rsidRPr="00C168C5" w:rsidRDefault="000D0BE0" w:rsidP="000D0BE0">
            <w:pPr>
              <w:spacing w:before="60" w:after="60"/>
              <w:rPr>
                <w:iCs/>
                <w:szCs w:val="22"/>
                <w:lang w:val="es-ES_tradnl"/>
              </w:rPr>
            </w:pPr>
          </w:p>
          <w:p w14:paraId="0D9D2425" w14:textId="4A2E4C0A" w:rsidR="00C91693" w:rsidRPr="00C168C5" w:rsidRDefault="000D0BE0" w:rsidP="000D0BE0">
            <w:pPr>
              <w:spacing w:before="120" w:after="120"/>
              <w:rPr>
                <w:lang w:val="es-ES_tradnl"/>
              </w:rPr>
            </w:pPr>
            <w:r w:rsidRPr="00C168C5">
              <w:rPr>
                <w:i/>
                <w:szCs w:val="22"/>
                <w:lang w:val="es-ES_tradnl"/>
              </w:rPr>
              <w:t xml:space="preserve">Recomendación 28:  </w:t>
            </w:r>
            <w:r w:rsidRPr="00C168C5">
              <w:rPr>
                <w:szCs w:val="22"/>
                <w:lang w:val="es-ES_tradnl"/>
              </w:rPr>
              <w:t>Estudiar las políticas y medidas de apoyo a la P.I. que podrían adoptar los Estados miembros, en especial los países desarrollados, para fomentar la transferencia y difusión de tecnología a los países en desarrollo</w:t>
            </w:r>
            <w:r w:rsidRPr="00C168C5">
              <w:rPr>
                <w:lang w:val="es-ES_tradnl"/>
              </w:rPr>
              <w:t>.</w:t>
            </w:r>
          </w:p>
        </w:tc>
      </w:tr>
      <w:tr w:rsidR="00C91693" w:rsidRPr="00C168C5" w14:paraId="32352F9E" w14:textId="77777777" w:rsidTr="00243943">
        <w:tc>
          <w:tcPr>
            <w:tcW w:w="2376" w:type="dxa"/>
            <w:shd w:val="clear" w:color="auto" w:fill="auto"/>
          </w:tcPr>
          <w:p w14:paraId="0947D04B" w14:textId="1E8E5119" w:rsidR="00C91693" w:rsidRPr="00C168C5" w:rsidRDefault="000D0BE0" w:rsidP="000D0BE0">
            <w:pPr>
              <w:pStyle w:val="Heading3"/>
              <w:keepNext w:val="0"/>
              <w:spacing w:before="120" w:after="120"/>
              <w:rPr>
                <w:lang w:val="es-ES_tradnl"/>
              </w:rPr>
            </w:pPr>
            <w:r w:rsidRPr="00C168C5">
              <w:rPr>
                <w:szCs w:val="22"/>
                <w:lang w:val="es-ES_tradnl"/>
              </w:rPr>
              <w:t>Presupuesto del proyecto</w:t>
            </w:r>
          </w:p>
        </w:tc>
        <w:tc>
          <w:tcPr>
            <w:tcW w:w="6912" w:type="dxa"/>
            <w:shd w:val="clear" w:color="auto" w:fill="auto"/>
          </w:tcPr>
          <w:p w14:paraId="230E873E" w14:textId="352B14F4" w:rsidR="00C91693" w:rsidRPr="00C168C5" w:rsidRDefault="000D0BE0" w:rsidP="00243943">
            <w:pPr>
              <w:spacing w:before="120" w:after="120"/>
              <w:rPr>
                <w:lang w:val="es-ES_tradnl"/>
              </w:rPr>
            </w:pPr>
            <w:r w:rsidRPr="00C168C5">
              <w:rPr>
                <w:rFonts w:eastAsia="Times New Roman"/>
                <w:szCs w:val="22"/>
                <w:lang w:val="es-ES_tradnl" w:eastAsia="en-US"/>
              </w:rPr>
              <w:t>Gastos no relativos al personal</w:t>
            </w:r>
            <w:r w:rsidRPr="00C168C5">
              <w:rPr>
                <w:lang w:val="es-ES_tradnl"/>
              </w:rPr>
              <w:t xml:space="preserve">: </w:t>
            </w:r>
            <w:r w:rsidR="008A3DD8" w:rsidRPr="00C168C5">
              <w:rPr>
                <w:lang w:val="es-ES_tradnl"/>
              </w:rPr>
              <w:t xml:space="preserve"> </w:t>
            </w:r>
            <w:r w:rsidRPr="00C168C5">
              <w:rPr>
                <w:lang w:val="es-ES_tradnl"/>
              </w:rPr>
              <w:t>983.</w:t>
            </w:r>
            <w:r w:rsidR="00C91693" w:rsidRPr="00C168C5">
              <w:rPr>
                <w:lang w:val="es-ES_tradnl"/>
              </w:rPr>
              <w:t>000</w:t>
            </w:r>
            <w:r w:rsidRPr="00C168C5">
              <w:rPr>
                <w:lang w:val="es-ES_tradnl"/>
              </w:rPr>
              <w:t xml:space="preserve"> francos suizos</w:t>
            </w:r>
          </w:p>
          <w:p w14:paraId="7F671FA0" w14:textId="0C15AD20" w:rsidR="00C91693" w:rsidRPr="00C168C5" w:rsidRDefault="000D0BE0" w:rsidP="000D0BE0">
            <w:pPr>
              <w:spacing w:before="120" w:after="120"/>
              <w:rPr>
                <w:lang w:val="es-ES_tradnl"/>
              </w:rPr>
            </w:pPr>
            <w:r w:rsidRPr="00C168C5">
              <w:rPr>
                <w:szCs w:val="22"/>
                <w:lang w:val="es-ES_tradnl"/>
              </w:rPr>
              <w:t>Gastos de personal</w:t>
            </w:r>
            <w:r w:rsidRPr="00C168C5">
              <w:rPr>
                <w:lang w:val="es-ES_tradnl"/>
              </w:rPr>
              <w:t>:  548.</w:t>
            </w:r>
            <w:r w:rsidR="00C91693" w:rsidRPr="00C168C5">
              <w:rPr>
                <w:lang w:val="es-ES_tradnl"/>
              </w:rPr>
              <w:t xml:space="preserve">619 </w:t>
            </w:r>
            <w:r w:rsidRPr="00C168C5">
              <w:rPr>
                <w:lang w:val="es-ES_tradnl"/>
              </w:rPr>
              <w:t>francos suizos</w:t>
            </w:r>
          </w:p>
        </w:tc>
      </w:tr>
      <w:tr w:rsidR="00C91693" w:rsidRPr="00C168C5" w14:paraId="00FE37C1" w14:textId="77777777" w:rsidTr="00243943">
        <w:tc>
          <w:tcPr>
            <w:tcW w:w="2376" w:type="dxa"/>
            <w:shd w:val="clear" w:color="auto" w:fill="auto"/>
          </w:tcPr>
          <w:p w14:paraId="213F05D6" w14:textId="50069725" w:rsidR="00C91693" w:rsidRPr="00C168C5" w:rsidRDefault="009E1A7C" w:rsidP="009E1A7C">
            <w:pPr>
              <w:spacing w:before="60" w:after="60"/>
              <w:outlineLvl w:val="2"/>
              <w:rPr>
                <w:bCs/>
                <w:szCs w:val="22"/>
                <w:u w:val="single"/>
                <w:lang w:val="es-ES_tradnl"/>
              </w:rPr>
            </w:pPr>
            <w:r w:rsidRPr="00C168C5">
              <w:rPr>
                <w:bCs/>
                <w:szCs w:val="22"/>
                <w:u w:val="single"/>
                <w:lang w:val="es-ES_tradnl"/>
              </w:rPr>
              <w:t>Duración del proyecto</w:t>
            </w:r>
          </w:p>
        </w:tc>
        <w:tc>
          <w:tcPr>
            <w:tcW w:w="6912" w:type="dxa"/>
            <w:shd w:val="clear" w:color="auto" w:fill="auto"/>
          </w:tcPr>
          <w:p w14:paraId="09CFB923" w14:textId="587BB5C2" w:rsidR="00C91693" w:rsidRPr="00C168C5" w:rsidRDefault="009E1A7C" w:rsidP="00243943">
            <w:pPr>
              <w:spacing w:before="120" w:after="120"/>
              <w:rPr>
                <w:lang w:val="es-ES_tradnl"/>
              </w:rPr>
            </w:pPr>
            <w:r w:rsidRPr="00C168C5">
              <w:rPr>
                <w:lang w:val="es-ES_tradnl"/>
              </w:rPr>
              <w:t>27 meses</w:t>
            </w:r>
          </w:p>
        </w:tc>
      </w:tr>
      <w:tr w:rsidR="00C91693" w:rsidRPr="00C168C5" w14:paraId="213C79DF" w14:textId="77777777" w:rsidTr="00243943">
        <w:tc>
          <w:tcPr>
            <w:tcW w:w="2376" w:type="dxa"/>
            <w:shd w:val="clear" w:color="auto" w:fill="auto"/>
          </w:tcPr>
          <w:p w14:paraId="33AD97E5" w14:textId="423BD723" w:rsidR="00C91693" w:rsidRPr="00C168C5" w:rsidRDefault="00C91693" w:rsidP="009E1A7C">
            <w:pPr>
              <w:pStyle w:val="Heading3"/>
              <w:keepNext w:val="0"/>
              <w:spacing w:before="120" w:after="120"/>
              <w:rPr>
                <w:lang w:val="es-ES_tradnl"/>
              </w:rPr>
            </w:pPr>
            <w:r w:rsidRPr="00C168C5">
              <w:rPr>
                <w:lang w:val="es-ES_tradnl"/>
              </w:rPr>
              <w:br w:type="page"/>
            </w:r>
            <w:r w:rsidR="009E1A7C" w:rsidRPr="00C168C5">
              <w:rPr>
                <w:rFonts w:eastAsia="Times New Roman"/>
                <w:szCs w:val="22"/>
                <w:lang w:val="es-ES_tradnl" w:eastAsia="en-US"/>
              </w:rPr>
              <w:t>Principales sectores de la OMPI interesados y vínculos con los programas de la Organización</w:t>
            </w:r>
          </w:p>
        </w:tc>
        <w:tc>
          <w:tcPr>
            <w:tcW w:w="6912" w:type="dxa"/>
            <w:shd w:val="clear" w:color="auto" w:fill="auto"/>
          </w:tcPr>
          <w:p w14:paraId="62632F98" w14:textId="4AE9B068" w:rsidR="009E1A7C" w:rsidRPr="00C168C5" w:rsidRDefault="009E1A7C" w:rsidP="009E1A7C">
            <w:pPr>
              <w:spacing w:before="60" w:after="60"/>
              <w:rPr>
                <w:szCs w:val="22"/>
                <w:lang w:val="es-ES_tradnl"/>
              </w:rPr>
            </w:pPr>
            <w:r w:rsidRPr="00C168C5">
              <w:rPr>
                <w:szCs w:val="22"/>
                <w:lang w:val="es-ES_tradnl"/>
              </w:rPr>
              <w:t>Sector de Tecnología e Innovación; División de Desafíos Mundiales;  y Div</w:t>
            </w:r>
            <w:r w:rsidR="008A3DD8" w:rsidRPr="00C168C5">
              <w:rPr>
                <w:szCs w:val="22"/>
                <w:lang w:val="es-ES_tradnl"/>
              </w:rPr>
              <w:t>isión de Economía y Estadística</w:t>
            </w:r>
          </w:p>
          <w:p w14:paraId="1225BC74" w14:textId="77777777" w:rsidR="009E1A7C" w:rsidRPr="00C168C5" w:rsidRDefault="009E1A7C" w:rsidP="009E1A7C">
            <w:pPr>
              <w:spacing w:before="60" w:after="60"/>
              <w:rPr>
                <w:szCs w:val="22"/>
                <w:lang w:val="es-ES_tradnl"/>
              </w:rPr>
            </w:pPr>
          </w:p>
          <w:p w14:paraId="4CBB66A3" w14:textId="77777777" w:rsidR="009E1A7C" w:rsidRPr="00C168C5" w:rsidRDefault="009E1A7C" w:rsidP="009E1A7C">
            <w:pPr>
              <w:spacing w:before="60" w:after="60"/>
              <w:rPr>
                <w:szCs w:val="22"/>
                <w:lang w:val="es-ES_tradnl"/>
              </w:rPr>
            </w:pPr>
            <w:r w:rsidRPr="00C168C5">
              <w:rPr>
                <w:szCs w:val="22"/>
                <w:lang w:val="es-ES_tradnl"/>
              </w:rPr>
              <w:t xml:space="preserve">El proyecto sobre Estructura de apoyo a la innovación y a la transferencia de tecnología para las instituciones nacionales </w:t>
            </w:r>
          </w:p>
          <w:p w14:paraId="4C5D5368" w14:textId="77777777" w:rsidR="009E1A7C" w:rsidRPr="00C168C5" w:rsidRDefault="009E1A7C" w:rsidP="009E1A7C">
            <w:pPr>
              <w:spacing w:before="60" w:after="60"/>
              <w:rPr>
                <w:szCs w:val="22"/>
                <w:lang w:val="es-ES_tradnl"/>
              </w:rPr>
            </w:pPr>
          </w:p>
          <w:p w14:paraId="02CA2D67" w14:textId="0221616C" w:rsidR="00C91693" w:rsidRPr="00C168C5" w:rsidRDefault="009E1A7C" w:rsidP="009E1A7C">
            <w:pPr>
              <w:spacing w:before="60" w:after="60"/>
              <w:rPr>
                <w:szCs w:val="22"/>
                <w:lang w:val="es-ES_tradnl"/>
              </w:rPr>
            </w:pPr>
            <w:r w:rsidRPr="00C168C5">
              <w:rPr>
                <w:bCs/>
                <w:szCs w:val="22"/>
                <w:lang w:val="es-ES_tradnl" w:eastAsia="en-US"/>
              </w:rPr>
              <w:t xml:space="preserve">Vínculos con los programas </w:t>
            </w:r>
            <w:r w:rsidRPr="00C168C5">
              <w:rPr>
                <w:szCs w:val="22"/>
                <w:lang w:val="es-ES_tradnl"/>
              </w:rPr>
              <w:t>1, 8, 9, 10 y 18</w:t>
            </w:r>
          </w:p>
        </w:tc>
      </w:tr>
      <w:tr w:rsidR="00C91693" w:rsidRPr="00C168C5" w14:paraId="275A7DE6" w14:textId="77777777" w:rsidTr="00243943">
        <w:tc>
          <w:tcPr>
            <w:tcW w:w="2376" w:type="dxa"/>
            <w:shd w:val="clear" w:color="auto" w:fill="auto"/>
          </w:tcPr>
          <w:p w14:paraId="281C355C" w14:textId="0F855F29" w:rsidR="00C91693" w:rsidRPr="00C168C5" w:rsidRDefault="007F742C" w:rsidP="00243943">
            <w:pPr>
              <w:pStyle w:val="Heading3"/>
              <w:keepNext w:val="0"/>
              <w:spacing w:before="120" w:after="120"/>
              <w:rPr>
                <w:lang w:val="es-ES_tradnl"/>
              </w:rPr>
            </w:pPr>
            <w:r w:rsidRPr="00C168C5">
              <w:rPr>
                <w:szCs w:val="22"/>
                <w:lang w:val="es-ES_tradnl"/>
              </w:rPr>
              <w:t>Breve descripción del proyecto</w:t>
            </w:r>
          </w:p>
        </w:tc>
        <w:tc>
          <w:tcPr>
            <w:tcW w:w="6912" w:type="dxa"/>
            <w:shd w:val="clear" w:color="auto" w:fill="auto"/>
          </w:tcPr>
          <w:p w14:paraId="100099CD" w14:textId="77777777" w:rsidR="009E1A7C" w:rsidRPr="00C168C5" w:rsidRDefault="009E1A7C" w:rsidP="009E1A7C">
            <w:pPr>
              <w:rPr>
                <w:szCs w:val="22"/>
                <w:lang w:val="es-ES_tradnl"/>
              </w:rPr>
            </w:pPr>
            <w:r w:rsidRPr="00C168C5">
              <w:rPr>
                <w:szCs w:val="22"/>
                <w:lang w:val="es-ES_tradnl"/>
              </w:rPr>
              <w:t>El proyecto constará de una serie de actividades destinadas a estudiar posibles iniciativas y políticas de P.I. que favorezcan la transferencia de tecnología así como la difusión y facilitación del acceso a la tecnología en aras del desarrollo, especialmente en beneficio de los países en desarrollo y de los PMA.</w:t>
            </w:r>
          </w:p>
          <w:p w14:paraId="02190260" w14:textId="77777777" w:rsidR="009E1A7C" w:rsidRPr="00C168C5" w:rsidRDefault="009E1A7C" w:rsidP="009E1A7C">
            <w:pPr>
              <w:rPr>
                <w:szCs w:val="22"/>
                <w:lang w:val="es-ES_tradnl"/>
              </w:rPr>
            </w:pPr>
          </w:p>
          <w:p w14:paraId="147CD97F" w14:textId="77777777" w:rsidR="009E1A7C" w:rsidRPr="00C168C5" w:rsidRDefault="009E1A7C" w:rsidP="009E1A7C">
            <w:pPr>
              <w:rPr>
                <w:szCs w:val="22"/>
                <w:lang w:val="es-ES_tradnl"/>
              </w:rPr>
            </w:pPr>
            <w:r w:rsidRPr="00C168C5">
              <w:rPr>
                <w:szCs w:val="22"/>
                <w:lang w:val="es-ES_tradnl"/>
              </w:rPr>
              <w:t xml:space="preserve">Las actividades previstas en el marco del proyecto son las </w:t>
            </w:r>
            <w:r w:rsidRPr="00C168C5">
              <w:rPr>
                <w:szCs w:val="22"/>
                <w:lang w:val="es-ES_tradnl"/>
              </w:rPr>
              <w:lastRenderedPageBreak/>
              <w:t>siguientes (</w:t>
            </w:r>
            <w:r w:rsidRPr="00C168C5">
              <w:rPr>
                <w:rFonts w:eastAsia="Times New Roman"/>
                <w:szCs w:val="22"/>
                <w:lang w:val="es-ES_tradnl" w:eastAsia="en-US"/>
              </w:rPr>
              <w:t xml:space="preserve">véase el documento </w:t>
            </w:r>
            <w:hyperlink r:id="rId31" w:history="1">
              <w:r w:rsidRPr="00C168C5">
                <w:rPr>
                  <w:szCs w:val="22"/>
                  <w:u w:val="single"/>
                  <w:lang w:val="es-ES_tradnl"/>
                </w:rPr>
                <w:t>CDIP/9/INF/4</w:t>
              </w:r>
            </w:hyperlink>
            <w:r w:rsidRPr="00C168C5">
              <w:rPr>
                <w:szCs w:val="22"/>
                <w:lang w:val="es-ES_tradnl"/>
              </w:rPr>
              <w:t xml:space="preserve">, párrafo 55): </w:t>
            </w:r>
          </w:p>
          <w:p w14:paraId="14B08E98" w14:textId="77777777" w:rsidR="009E1A7C" w:rsidRPr="00C168C5" w:rsidRDefault="009E1A7C" w:rsidP="009E1A7C">
            <w:pPr>
              <w:rPr>
                <w:szCs w:val="22"/>
                <w:lang w:val="es-ES_tradnl"/>
              </w:rPr>
            </w:pPr>
          </w:p>
          <w:p w14:paraId="545B2333" w14:textId="6EDBF117" w:rsidR="009E1A7C" w:rsidRPr="00C168C5" w:rsidRDefault="009E1A7C" w:rsidP="009E1A7C">
            <w:pPr>
              <w:ind w:left="34"/>
              <w:rPr>
                <w:szCs w:val="22"/>
                <w:lang w:val="es-ES_tradnl"/>
              </w:rPr>
            </w:pPr>
            <w:r w:rsidRPr="00C168C5">
              <w:rPr>
                <w:szCs w:val="22"/>
                <w:u w:val="single"/>
                <w:lang w:val="es-ES_tradnl"/>
              </w:rPr>
              <w:t>Actividad 1</w:t>
            </w:r>
            <w:r w:rsidR="008A3DD8" w:rsidRPr="00C168C5">
              <w:rPr>
                <w:szCs w:val="22"/>
                <w:lang w:val="es-ES_tradnl"/>
              </w:rPr>
              <w:t>:</w:t>
            </w:r>
            <w:r w:rsidRPr="00C168C5">
              <w:rPr>
                <w:szCs w:val="22"/>
                <w:lang w:val="es-ES_tradnl"/>
              </w:rPr>
              <w:t>  La organización de cinco reuniones regionales de consulta sobre transferencia de tecnología en diferentes regiones del mundo, en particular los países en desarrollo, previa consulta con los Estados miembros en Ginebra, en las que participen las partes interesadas del sector de la transferencia de tecnología, incluidas las organizaciones pertinentes de las Naciones Unidas.</w:t>
            </w:r>
          </w:p>
          <w:p w14:paraId="47624E64" w14:textId="77777777" w:rsidR="009E1A7C" w:rsidRPr="00C168C5" w:rsidRDefault="009E1A7C" w:rsidP="009E1A7C">
            <w:pPr>
              <w:ind w:left="34"/>
              <w:rPr>
                <w:szCs w:val="22"/>
                <w:lang w:val="es-ES_tradnl"/>
              </w:rPr>
            </w:pPr>
          </w:p>
          <w:p w14:paraId="21663DA1" w14:textId="0EF5AE38" w:rsidR="009E1A7C" w:rsidRPr="00C168C5" w:rsidRDefault="009E1A7C" w:rsidP="009E1A7C">
            <w:pPr>
              <w:ind w:left="34"/>
              <w:rPr>
                <w:szCs w:val="22"/>
                <w:lang w:val="es-ES_tradnl"/>
              </w:rPr>
            </w:pPr>
            <w:r w:rsidRPr="00C168C5">
              <w:rPr>
                <w:szCs w:val="22"/>
                <w:u w:val="single"/>
                <w:lang w:val="es-ES_tradnl"/>
              </w:rPr>
              <w:t>Actividad 2</w:t>
            </w:r>
            <w:r w:rsidR="008A3DD8" w:rsidRPr="00C168C5">
              <w:rPr>
                <w:szCs w:val="22"/>
                <w:lang w:val="es-ES_tradnl"/>
              </w:rPr>
              <w:t>:</w:t>
            </w:r>
            <w:r w:rsidRPr="00C168C5">
              <w:rPr>
                <w:szCs w:val="22"/>
                <w:lang w:val="es-ES_tradnl"/>
              </w:rPr>
              <w:t>  La elaboración de varios estudios analíticos, examinados por expertos, en colaboración con organizaciones pertinentes del sistema de Naciones Unidas y otras organizaciones internacionales, que abarquen estudios económicos y estudios de caso sobre la transferencia de tecnología a escala internacional que generen datos que puedan utilizarse para el foro internacional de alto nivel.</w:t>
            </w:r>
          </w:p>
          <w:p w14:paraId="6A570128" w14:textId="77777777" w:rsidR="009E1A7C" w:rsidRPr="00C168C5" w:rsidRDefault="009E1A7C" w:rsidP="009E1A7C">
            <w:pPr>
              <w:ind w:left="34"/>
              <w:rPr>
                <w:szCs w:val="22"/>
                <w:lang w:val="es-ES_tradnl"/>
              </w:rPr>
            </w:pPr>
          </w:p>
          <w:p w14:paraId="26D45A29" w14:textId="0530E7C0" w:rsidR="009E1A7C" w:rsidRPr="00C168C5" w:rsidRDefault="009E1A7C" w:rsidP="009E1A7C">
            <w:pPr>
              <w:ind w:left="34"/>
              <w:rPr>
                <w:szCs w:val="22"/>
                <w:lang w:val="es-ES_tradnl"/>
              </w:rPr>
            </w:pPr>
            <w:r w:rsidRPr="00C168C5">
              <w:rPr>
                <w:szCs w:val="22"/>
                <w:u w:val="single"/>
                <w:lang w:val="es-ES_tradnl"/>
              </w:rPr>
              <w:t>Actividad 3</w:t>
            </w:r>
            <w:r w:rsidR="008A3DD8" w:rsidRPr="00C168C5">
              <w:rPr>
                <w:szCs w:val="22"/>
                <w:lang w:val="es-ES_tradnl"/>
              </w:rPr>
              <w:t>:</w:t>
            </w:r>
            <w:r w:rsidRPr="00C168C5">
              <w:rPr>
                <w:szCs w:val="22"/>
                <w:lang w:val="es-ES_tradnl"/>
              </w:rPr>
              <w:t>  La elaboración de un documento conceptual sobre la búsqueda de soluciones sobre la base de los debates en el foro internacional de expertos de alto nivel que se presentará al CDIP para su aprobación (en particular, la presentación previa del documento conceptual, para que los expertos internacionales puedan formular observaciones sobre ese primer proyecto; la presentación del documento conceptual a las Misiones Permanentes en Ginebra y la celebración de una reunión de un día con las organizaciones intergubernamentales, las organizaciones no gubernamentales y las asociaciones profesionales (</w:t>
            </w:r>
            <w:r w:rsidRPr="00C168C5">
              <w:rPr>
                <w:rFonts w:eastAsia="Times New Roman"/>
                <w:szCs w:val="22"/>
                <w:lang w:val="es-ES_tradnl" w:eastAsia="en-US"/>
              </w:rPr>
              <w:t xml:space="preserve">véase el documento </w:t>
            </w:r>
            <w:r w:rsidRPr="00C168C5">
              <w:rPr>
                <w:szCs w:val="22"/>
                <w:lang w:val="es-ES_tradnl"/>
              </w:rPr>
              <w:t> </w:t>
            </w:r>
            <w:hyperlink r:id="rId32" w:history="1">
              <w:r w:rsidRPr="00C168C5">
                <w:rPr>
                  <w:szCs w:val="22"/>
                  <w:u w:val="single"/>
                  <w:lang w:val="es-ES_tradnl"/>
                </w:rPr>
                <w:t>CDIP/9/INF/4</w:t>
              </w:r>
            </w:hyperlink>
            <w:r w:rsidRPr="00C168C5">
              <w:rPr>
                <w:szCs w:val="22"/>
                <w:lang w:val="es-ES_tradnl"/>
              </w:rPr>
              <w:t>, párrafo 66).</w:t>
            </w:r>
          </w:p>
          <w:p w14:paraId="3B93AFAF" w14:textId="77777777" w:rsidR="009E1A7C" w:rsidRPr="00C168C5" w:rsidRDefault="009E1A7C" w:rsidP="009E1A7C">
            <w:pPr>
              <w:ind w:left="34"/>
              <w:rPr>
                <w:szCs w:val="22"/>
                <w:lang w:val="es-ES_tradnl"/>
              </w:rPr>
            </w:pPr>
          </w:p>
          <w:p w14:paraId="2BC7AFC8" w14:textId="27D65032" w:rsidR="009E1A7C" w:rsidRPr="00C168C5" w:rsidRDefault="009E1A7C" w:rsidP="009E1A7C">
            <w:pPr>
              <w:ind w:left="34"/>
              <w:rPr>
                <w:szCs w:val="22"/>
                <w:lang w:val="es-ES_tradnl"/>
              </w:rPr>
            </w:pPr>
            <w:r w:rsidRPr="00C168C5">
              <w:rPr>
                <w:szCs w:val="22"/>
                <w:u w:val="single"/>
                <w:lang w:val="es-ES_tradnl"/>
              </w:rPr>
              <w:t>Actividad 4</w:t>
            </w:r>
            <w:r w:rsidR="008A3DD8" w:rsidRPr="00C168C5">
              <w:rPr>
                <w:szCs w:val="22"/>
                <w:lang w:val="es-ES_tradnl"/>
              </w:rPr>
              <w:t>:</w:t>
            </w:r>
            <w:r w:rsidRPr="00C168C5">
              <w:rPr>
                <w:szCs w:val="22"/>
                <w:lang w:val="es-ES_tradnl"/>
              </w:rPr>
              <w:t>  La preparación y suministro de materiales, módulos, herramientas didácticas y otros instrumentos resultantes de las recomendaciones adoptadas en la Reunión de expertos, y la incorporación de esos resultados en un marco mundial de creación de capacidad de la OMPI.  Ello puede incluir el contenido y proyectos nacionales concretos relacionados con la creación y desarrollo de la infraestructura necesaria para la gestión de activos de P.I. en relación con la transferencia de tecnología.</w:t>
            </w:r>
          </w:p>
          <w:p w14:paraId="26AF5204" w14:textId="77777777" w:rsidR="009E1A7C" w:rsidRPr="00C168C5" w:rsidRDefault="009E1A7C" w:rsidP="009E1A7C">
            <w:pPr>
              <w:ind w:left="34"/>
              <w:rPr>
                <w:szCs w:val="22"/>
                <w:lang w:val="es-ES_tradnl"/>
              </w:rPr>
            </w:pPr>
          </w:p>
          <w:p w14:paraId="2EEA2C6F" w14:textId="18E4ECC4" w:rsidR="009E1A7C" w:rsidRPr="00C168C5" w:rsidRDefault="008A3DD8" w:rsidP="009E1A7C">
            <w:pPr>
              <w:ind w:left="34"/>
              <w:rPr>
                <w:szCs w:val="22"/>
                <w:lang w:val="es-ES_tradnl"/>
              </w:rPr>
            </w:pPr>
            <w:r w:rsidRPr="00C168C5">
              <w:rPr>
                <w:szCs w:val="22"/>
                <w:u w:val="single"/>
                <w:lang w:val="es-ES_tradnl"/>
              </w:rPr>
              <w:t xml:space="preserve">Actividad </w:t>
            </w:r>
            <w:r w:rsidR="009E1A7C" w:rsidRPr="00C168C5">
              <w:rPr>
                <w:szCs w:val="22"/>
                <w:u w:val="single"/>
                <w:lang w:val="es-ES_tradnl"/>
              </w:rPr>
              <w:t>5</w:t>
            </w:r>
            <w:r w:rsidRPr="00C168C5">
              <w:rPr>
                <w:szCs w:val="22"/>
                <w:lang w:val="es-ES_tradnl"/>
              </w:rPr>
              <w:t>:</w:t>
            </w:r>
            <w:r w:rsidR="009E1A7C" w:rsidRPr="00C168C5">
              <w:rPr>
                <w:szCs w:val="22"/>
                <w:lang w:val="es-ES_tradnl"/>
              </w:rPr>
              <w:t>  La organización de un foro de expertos de alto nivel  en forma de una conferencia internacional para entablar debates sobre cómo, en el marco del mandato de la OMPI, se puede facilitar más el acceso al conocimiento y la tecnología de los países en desarrollo y PMA, en particular en ámbitos emergentes y en otras esferas de especial interés para los países en desarrollo, teniendo en cuenta las recomendaciones 19, 25, 26 y 28.  En particular, los expertos deberán examinar las políticas relacionadas con la P.I. favorables a la transferencia de tecnología en los países desarrollados.</w:t>
            </w:r>
          </w:p>
          <w:p w14:paraId="68B77504" w14:textId="77777777" w:rsidR="009E1A7C" w:rsidRPr="00C168C5" w:rsidRDefault="009E1A7C" w:rsidP="009E1A7C">
            <w:pPr>
              <w:ind w:left="34"/>
              <w:rPr>
                <w:szCs w:val="22"/>
                <w:lang w:val="es-ES_tradnl"/>
              </w:rPr>
            </w:pPr>
          </w:p>
          <w:p w14:paraId="6110FA5C" w14:textId="4F909E53" w:rsidR="009E1A7C" w:rsidRPr="00C168C5" w:rsidRDefault="009E1A7C" w:rsidP="009E1A7C">
            <w:pPr>
              <w:ind w:left="34"/>
              <w:rPr>
                <w:szCs w:val="22"/>
                <w:lang w:val="es-ES_tradnl"/>
              </w:rPr>
            </w:pPr>
            <w:r w:rsidRPr="00C168C5">
              <w:rPr>
                <w:szCs w:val="22"/>
                <w:u w:val="single"/>
                <w:lang w:val="es-ES_tradnl"/>
              </w:rPr>
              <w:t>Activi</w:t>
            </w:r>
            <w:r w:rsidR="008A3DD8" w:rsidRPr="00C168C5">
              <w:rPr>
                <w:szCs w:val="22"/>
                <w:u w:val="single"/>
                <w:lang w:val="es-ES_tradnl"/>
              </w:rPr>
              <w:t>dad</w:t>
            </w:r>
            <w:r w:rsidRPr="00C168C5">
              <w:rPr>
                <w:szCs w:val="22"/>
                <w:u w:val="single"/>
                <w:lang w:val="es-ES_tradnl"/>
              </w:rPr>
              <w:t xml:space="preserve"> 6</w:t>
            </w:r>
            <w:r w:rsidR="008A3DD8" w:rsidRPr="00C168C5">
              <w:rPr>
                <w:szCs w:val="22"/>
                <w:lang w:val="es-ES_tradnl"/>
              </w:rPr>
              <w:t>:</w:t>
            </w:r>
            <w:r w:rsidRPr="00C168C5">
              <w:rPr>
                <w:szCs w:val="22"/>
                <w:lang w:val="es-ES_tradnl"/>
              </w:rPr>
              <w:t>  La creación de un foro en Internet sobre “Transferencia de tecnología y P.I.; desafíos comunes y búsqueda de soluciones” dentro del portal sobre la estructura de apoyo a la innovación y a la transferencia de tecnología para las instituciones nacionales de P.I. que se establecerá en el marco del proyecto en relación con la Recomendación 10 en consulta con los Estados miembros u otras partes interesadas, facilitando al mismo tiempo la participación de los países en desarrollo and PMA en ese foro en Internet.</w:t>
            </w:r>
          </w:p>
          <w:p w14:paraId="63618871" w14:textId="77777777" w:rsidR="009E1A7C" w:rsidRPr="00C168C5" w:rsidRDefault="009E1A7C" w:rsidP="009E1A7C">
            <w:pPr>
              <w:spacing w:before="60" w:after="60"/>
              <w:ind w:left="34"/>
              <w:rPr>
                <w:szCs w:val="22"/>
                <w:lang w:val="es-ES_tradnl"/>
              </w:rPr>
            </w:pPr>
          </w:p>
          <w:p w14:paraId="1BD722B0" w14:textId="0E224D82" w:rsidR="00C91693" w:rsidRPr="00C168C5" w:rsidRDefault="001555C5" w:rsidP="009E1A7C">
            <w:pPr>
              <w:spacing w:before="60" w:after="60"/>
              <w:ind w:left="34"/>
              <w:rPr>
                <w:szCs w:val="22"/>
                <w:lang w:val="es-ES_tradnl"/>
              </w:rPr>
            </w:pPr>
            <w:r w:rsidRPr="00C168C5">
              <w:rPr>
                <w:szCs w:val="22"/>
                <w:u w:val="single"/>
                <w:lang w:val="es-ES_tradnl"/>
              </w:rPr>
              <w:t xml:space="preserve">Actividad </w:t>
            </w:r>
            <w:r w:rsidR="009E1A7C" w:rsidRPr="00C168C5">
              <w:rPr>
                <w:szCs w:val="22"/>
                <w:u w:val="single"/>
                <w:lang w:val="es-ES_tradnl"/>
              </w:rPr>
              <w:t>7</w:t>
            </w:r>
            <w:r w:rsidRPr="00C168C5">
              <w:rPr>
                <w:szCs w:val="22"/>
                <w:lang w:val="es-ES_tradnl"/>
              </w:rPr>
              <w:t>:</w:t>
            </w:r>
            <w:r w:rsidR="009E1A7C" w:rsidRPr="00C168C5">
              <w:rPr>
                <w:szCs w:val="22"/>
                <w:lang w:val="es-ES_tradnl"/>
              </w:rPr>
              <w:t xml:space="preserve">  La incorporación de los resultados de la actividades mencionadas </w:t>
            </w:r>
            <w:r w:rsidR="009E1A7C" w:rsidRPr="00C168C5">
              <w:rPr>
                <w:i/>
                <w:szCs w:val="22"/>
                <w:lang w:val="es-ES_tradnl"/>
              </w:rPr>
              <w:t>supra</w:t>
            </w:r>
            <w:r w:rsidR="009E1A7C" w:rsidRPr="00C168C5">
              <w:rPr>
                <w:szCs w:val="22"/>
                <w:lang w:val="es-ES_tradnl"/>
              </w:rPr>
              <w:t xml:space="preserve"> en los programas de la OMPI, tras su examen por el CDIP y teniendo en cuenta las posibles recomendaciones formuladas por el Comité a la Asamblea General.</w:t>
            </w:r>
            <w:r w:rsidR="00C91693" w:rsidRPr="00C168C5">
              <w:rPr>
                <w:lang w:val="es-ES_tradnl"/>
              </w:rPr>
              <w:t xml:space="preserve"> </w:t>
            </w:r>
          </w:p>
        </w:tc>
      </w:tr>
    </w:tbl>
    <w:p w14:paraId="559CB0BA" w14:textId="77777777" w:rsidR="00C91693" w:rsidRPr="00C168C5" w:rsidRDefault="00C91693" w:rsidP="00C91693">
      <w:pPr>
        <w:rPr>
          <w:lang w:val="es-ES_tradnl"/>
        </w:rPr>
      </w:pPr>
      <w:r w:rsidRPr="00C168C5">
        <w:rPr>
          <w:bCs/>
          <w:lang w:val="es-ES_tradnl"/>
        </w:rPr>
        <w:lastRenderedPageBreak/>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C91693" w:rsidRPr="00C168C5" w14:paraId="27A65D6B" w14:textId="77777777" w:rsidTr="00243943">
        <w:trPr>
          <w:trHeight w:val="484"/>
        </w:trPr>
        <w:tc>
          <w:tcPr>
            <w:tcW w:w="2376" w:type="dxa"/>
            <w:shd w:val="clear" w:color="auto" w:fill="auto"/>
            <w:vAlign w:val="center"/>
          </w:tcPr>
          <w:p w14:paraId="7734B70B" w14:textId="10571ED9" w:rsidR="00C91693" w:rsidRPr="00C168C5" w:rsidRDefault="00C91693" w:rsidP="00EC5A6A">
            <w:pPr>
              <w:spacing w:before="60" w:after="60"/>
              <w:outlineLvl w:val="2"/>
              <w:rPr>
                <w:bCs/>
                <w:szCs w:val="22"/>
                <w:u w:val="single"/>
                <w:lang w:val="es-ES_tradnl"/>
              </w:rPr>
            </w:pPr>
            <w:r w:rsidRPr="00C168C5">
              <w:rPr>
                <w:lang w:val="es-ES_tradnl"/>
              </w:rPr>
              <w:lastRenderedPageBreak/>
              <w:br w:type="page"/>
            </w:r>
            <w:r w:rsidR="00EC5A6A" w:rsidRPr="00C168C5">
              <w:rPr>
                <w:bCs/>
                <w:szCs w:val="22"/>
                <w:u w:val="single"/>
                <w:lang w:val="es-ES_tradnl"/>
              </w:rPr>
              <w:t>Director del proyecto</w:t>
            </w:r>
          </w:p>
        </w:tc>
        <w:tc>
          <w:tcPr>
            <w:tcW w:w="6912" w:type="dxa"/>
            <w:vAlign w:val="center"/>
          </w:tcPr>
          <w:p w14:paraId="3C5F1B48" w14:textId="15464279" w:rsidR="00C91693" w:rsidRPr="00C168C5" w:rsidRDefault="00EC5A6A" w:rsidP="00243943">
            <w:pPr>
              <w:spacing w:before="120" w:after="120"/>
              <w:rPr>
                <w:iCs/>
                <w:lang w:val="es-ES_tradnl"/>
              </w:rPr>
            </w:pPr>
            <w:r w:rsidRPr="00C168C5">
              <w:rPr>
                <w:iCs/>
                <w:lang w:val="es-ES_tradnl"/>
              </w:rPr>
              <w:t>S</w:t>
            </w:r>
            <w:r w:rsidR="00C91693" w:rsidRPr="00C168C5">
              <w:rPr>
                <w:iCs/>
                <w:lang w:val="es-ES_tradnl"/>
              </w:rPr>
              <w:t>r. Ali Jazairy</w:t>
            </w:r>
          </w:p>
        </w:tc>
      </w:tr>
      <w:tr w:rsidR="00C91693" w:rsidRPr="00C168C5" w14:paraId="49EA7F9C" w14:textId="77777777" w:rsidTr="00243943">
        <w:trPr>
          <w:trHeight w:val="1165"/>
        </w:trPr>
        <w:tc>
          <w:tcPr>
            <w:tcW w:w="2376" w:type="dxa"/>
            <w:shd w:val="clear" w:color="auto" w:fill="auto"/>
            <w:vAlign w:val="center"/>
          </w:tcPr>
          <w:p w14:paraId="345A978E" w14:textId="1195F47E" w:rsidR="00C91693" w:rsidRPr="00C168C5" w:rsidDel="00196374" w:rsidRDefault="00EB5E8E" w:rsidP="00EB5E8E">
            <w:pPr>
              <w:pStyle w:val="Heading3"/>
              <w:keepNext w:val="0"/>
              <w:spacing w:before="120" w:after="120"/>
              <w:rPr>
                <w:lang w:val="es-ES_tradnl"/>
              </w:rPr>
            </w:pPr>
            <w:r w:rsidRPr="00C168C5">
              <w:rPr>
                <w:szCs w:val="22"/>
                <w:lang w:val="es-ES_tradnl"/>
              </w:rPr>
              <w:t xml:space="preserve">Vínculos con los resultados previstos en el presupuesto por programas </w:t>
            </w:r>
          </w:p>
        </w:tc>
        <w:tc>
          <w:tcPr>
            <w:tcW w:w="6912" w:type="dxa"/>
          </w:tcPr>
          <w:p w14:paraId="2C08C850" w14:textId="77777777" w:rsidR="00EB5E8E" w:rsidRPr="00C168C5" w:rsidRDefault="00EB5E8E" w:rsidP="00EB5E8E">
            <w:pPr>
              <w:spacing w:before="60" w:after="60"/>
              <w:rPr>
                <w:i/>
                <w:iCs/>
                <w:szCs w:val="22"/>
                <w:lang w:val="es-ES_tradnl"/>
              </w:rPr>
            </w:pPr>
            <w:r w:rsidRPr="00C168C5">
              <w:rPr>
                <w:bCs/>
                <w:i/>
                <w:iCs/>
                <w:szCs w:val="22"/>
                <w:lang w:val="es-ES_tradnl"/>
              </w:rPr>
              <w:t>Resultado previsto</w:t>
            </w:r>
            <w:r w:rsidRPr="00C168C5">
              <w:rPr>
                <w:i/>
                <w:iCs/>
                <w:szCs w:val="22"/>
                <w:lang w:val="es-ES_tradnl"/>
              </w:rPr>
              <w:t xml:space="preserve"> IV.2</w:t>
            </w:r>
          </w:p>
          <w:p w14:paraId="2C97782F" w14:textId="6891E095" w:rsidR="00C91693" w:rsidRPr="00C168C5" w:rsidDel="00196374" w:rsidRDefault="00EB5E8E" w:rsidP="00EB5E8E">
            <w:pPr>
              <w:spacing w:before="60" w:after="60"/>
              <w:rPr>
                <w:iCs/>
                <w:szCs w:val="22"/>
                <w:lang w:val="es-ES_tradnl"/>
              </w:rPr>
            </w:pPr>
            <w:r w:rsidRPr="00C168C5">
              <w:rPr>
                <w:iCs/>
                <w:szCs w:val="22"/>
                <w:lang w:val="es-ES_tradnl"/>
              </w:rPr>
              <w:t>Mejora en el acceso a la información y los conocimientos sobre P.I. y su utilización por las instituciones de P.I. y el público, para fomentar la innovación y aumentar el acceso a las obras que son fruto de la creatividad, tanto las que están protegidas como las que se encuentran en el dominio público.</w:t>
            </w:r>
          </w:p>
        </w:tc>
      </w:tr>
      <w:tr w:rsidR="00C91693" w:rsidRPr="00C168C5" w14:paraId="7B381CA4" w14:textId="77777777" w:rsidTr="00243943">
        <w:trPr>
          <w:trHeight w:val="1338"/>
        </w:trPr>
        <w:tc>
          <w:tcPr>
            <w:tcW w:w="2376" w:type="dxa"/>
            <w:shd w:val="clear" w:color="auto" w:fill="auto"/>
          </w:tcPr>
          <w:p w14:paraId="442E6A06" w14:textId="5B882A20" w:rsidR="00C91693" w:rsidRPr="00C168C5" w:rsidRDefault="0004215E" w:rsidP="00243943">
            <w:pPr>
              <w:pStyle w:val="Heading3"/>
              <w:keepNext w:val="0"/>
              <w:spacing w:before="120" w:after="120"/>
              <w:rPr>
                <w:lang w:val="es-ES_tradnl"/>
              </w:rPr>
            </w:pPr>
            <w:r w:rsidRPr="00C168C5">
              <w:rPr>
                <w:lang w:val="es-ES_tradnl"/>
              </w:rPr>
              <w:t>Descripción sucinta de la ejecución del proyecto</w:t>
            </w:r>
          </w:p>
          <w:p w14:paraId="43A646AA" w14:textId="77777777" w:rsidR="00C91693" w:rsidRPr="00C168C5" w:rsidRDefault="00C91693" w:rsidP="00243943">
            <w:pPr>
              <w:spacing w:before="120" w:after="120"/>
              <w:rPr>
                <w:lang w:val="es-ES_tradnl"/>
              </w:rPr>
            </w:pPr>
          </w:p>
        </w:tc>
        <w:tc>
          <w:tcPr>
            <w:tcW w:w="6912" w:type="dxa"/>
          </w:tcPr>
          <w:p w14:paraId="5CF1C378" w14:textId="71FB5119" w:rsidR="00C91693" w:rsidRPr="00C168C5" w:rsidRDefault="0004215E" w:rsidP="00243943">
            <w:pPr>
              <w:spacing w:before="120" w:after="120"/>
              <w:rPr>
                <w:iCs/>
                <w:lang w:val="es-ES_tradnl"/>
              </w:rPr>
            </w:pPr>
            <w:r w:rsidRPr="00C168C5">
              <w:rPr>
                <w:iCs/>
                <w:lang w:val="es-ES_tradnl"/>
              </w:rPr>
              <w:t xml:space="preserve">El presente informe se centra en los resultados obtenidos desde el cuarto informe sobre la marcha del proyecto, presentado al </w:t>
            </w:r>
            <w:r w:rsidR="00C91693" w:rsidRPr="00C168C5">
              <w:rPr>
                <w:iCs/>
                <w:lang w:val="es-ES_tradnl"/>
              </w:rPr>
              <w:t>CDIP</w:t>
            </w:r>
            <w:r w:rsidRPr="00C168C5">
              <w:rPr>
                <w:iCs/>
                <w:lang w:val="es-ES_tradnl"/>
              </w:rPr>
              <w:t xml:space="preserve"> en su </w:t>
            </w:r>
            <w:r w:rsidR="00073DFF">
              <w:rPr>
                <w:iCs/>
                <w:lang w:val="es-ES_tradnl"/>
              </w:rPr>
              <w:t>decimocuarta</w:t>
            </w:r>
            <w:r w:rsidR="003A76C5" w:rsidRPr="00C168C5">
              <w:rPr>
                <w:iCs/>
                <w:lang w:val="es-ES_tradnl"/>
              </w:rPr>
              <w:t xml:space="preserve"> </w:t>
            </w:r>
            <w:r w:rsidRPr="00C168C5">
              <w:rPr>
                <w:iCs/>
                <w:lang w:val="es-ES_tradnl"/>
              </w:rPr>
              <w:t xml:space="preserve">sesión de noviembre de </w:t>
            </w:r>
            <w:r w:rsidR="00C91693" w:rsidRPr="00C168C5">
              <w:rPr>
                <w:iCs/>
                <w:lang w:val="es-ES_tradnl"/>
              </w:rPr>
              <w:t>2014 (</w:t>
            </w:r>
            <w:r w:rsidRPr="00C168C5">
              <w:rPr>
                <w:iCs/>
                <w:lang w:val="es-ES_tradnl"/>
              </w:rPr>
              <w:t xml:space="preserve">véase </w:t>
            </w:r>
            <w:r w:rsidR="00671A38" w:rsidRPr="00C168C5">
              <w:rPr>
                <w:iCs/>
                <w:lang w:val="es-ES_tradnl"/>
              </w:rPr>
              <w:t xml:space="preserve">el </w:t>
            </w:r>
            <w:r w:rsidRPr="00C168C5">
              <w:rPr>
                <w:iCs/>
                <w:lang w:val="es-ES_tradnl"/>
              </w:rPr>
              <w:t xml:space="preserve">documento </w:t>
            </w:r>
            <w:hyperlink r:id="rId33" w:history="1">
              <w:r w:rsidR="00C91693" w:rsidRPr="00C168C5">
                <w:rPr>
                  <w:rStyle w:val="Hyperlink"/>
                  <w:iCs/>
                  <w:lang w:val="es-ES_tradnl"/>
                </w:rPr>
                <w:t>CDIP/14/2</w:t>
              </w:r>
            </w:hyperlink>
            <w:r w:rsidR="00C91693" w:rsidRPr="00C168C5">
              <w:rPr>
                <w:rStyle w:val="Hyperlink"/>
                <w:iCs/>
                <w:lang w:val="es-ES_tradnl"/>
              </w:rPr>
              <w:t>,</w:t>
            </w:r>
            <w:r w:rsidR="00C91693" w:rsidRPr="00C168C5">
              <w:rPr>
                <w:iCs/>
                <w:lang w:val="es-ES_tradnl"/>
              </w:rPr>
              <w:t xml:space="preserve"> p</w:t>
            </w:r>
            <w:r w:rsidR="00E52A7F" w:rsidRPr="00C168C5">
              <w:rPr>
                <w:iCs/>
                <w:lang w:val="es-ES_tradnl"/>
              </w:rPr>
              <w:t>áginas 10</w:t>
            </w:r>
            <w:r w:rsidR="00534AA9" w:rsidRPr="00C168C5">
              <w:rPr>
                <w:iCs/>
                <w:lang w:val="es-ES_tradnl"/>
              </w:rPr>
              <w:t>-</w:t>
            </w:r>
            <w:r w:rsidR="00E52A7F" w:rsidRPr="00C168C5">
              <w:rPr>
                <w:iCs/>
                <w:lang w:val="es-ES_tradnl"/>
              </w:rPr>
              <w:t>20</w:t>
            </w:r>
            <w:r w:rsidR="00C91693" w:rsidRPr="00C168C5">
              <w:rPr>
                <w:iCs/>
                <w:lang w:val="es-ES_tradnl"/>
              </w:rPr>
              <w:t xml:space="preserve">).  </w:t>
            </w:r>
            <w:r w:rsidR="0073185E" w:rsidRPr="00C168C5">
              <w:rPr>
                <w:iCs/>
                <w:lang w:val="es-ES_tradnl"/>
              </w:rPr>
              <w:t xml:space="preserve">Desde entonces, </w:t>
            </w:r>
            <w:r w:rsidR="00344E34" w:rsidRPr="00C168C5">
              <w:rPr>
                <w:iCs/>
                <w:lang w:val="es-ES_tradnl"/>
              </w:rPr>
              <w:t>cabe destacar los logros siguientes de la lista de actividades</w:t>
            </w:r>
            <w:r w:rsidR="00C91693" w:rsidRPr="00C168C5">
              <w:rPr>
                <w:iCs/>
                <w:lang w:val="es-ES_tradnl"/>
              </w:rPr>
              <w:t>:</w:t>
            </w:r>
          </w:p>
          <w:p w14:paraId="41E4B905" w14:textId="6142A552" w:rsidR="00C91693" w:rsidRPr="00C168C5" w:rsidRDefault="00C91693" w:rsidP="00243943">
            <w:pPr>
              <w:spacing w:before="120" w:after="120"/>
              <w:rPr>
                <w:iCs/>
                <w:lang w:val="es-ES_tradnl"/>
              </w:rPr>
            </w:pPr>
            <w:r w:rsidRPr="00C168C5">
              <w:rPr>
                <w:u w:val="single"/>
                <w:lang w:val="es-ES_tradnl"/>
              </w:rPr>
              <w:t>Activi</w:t>
            </w:r>
            <w:r w:rsidR="00390056" w:rsidRPr="00C168C5">
              <w:rPr>
                <w:u w:val="single"/>
                <w:lang w:val="es-ES_tradnl"/>
              </w:rPr>
              <w:t>dad</w:t>
            </w:r>
            <w:r w:rsidRPr="00C168C5">
              <w:rPr>
                <w:u w:val="single"/>
                <w:lang w:val="es-ES_tradnl"/>
              </w:rPr>
              <w:t xml:space="preserve"> 1</w:t>
            </w:r>
            <w:proofErr w:type="gramStart"/>
            <w:r w:rsidRPr="00C168C5">
              <w:rPr>
                <w:u w:val="single"/>
                <w:lang w:val="es-ES_tradnl"/>
              </w:rPr>
              <w:t>:</w:t>
            </w:r>
            <w:r w:rsidRPr="00C168C5">
              <w:rPr>
                <w:lang w:val="es-ES_tradnl"/>
              </w:rPr>
              <w:t xml:space="preserve">  </w:t>
            </w:r>
            <w:r w:rsidR="00390056" w:rsidRPr="00C168C5">
              <w:rPr>
                <w:lang w:val="es-ES_tradnl"/>
              </w:rPr>
              <w:t>Véase</w:t>
            </w:r>
            <w:proofErr w:type="gramEnd"/>
            <w:r w:rsidR="00390056" w:rsidRPr="00C168C5">
              <w:rPr>
                <w:lang w:val="es-ES_tradnl"/>
              </w:rPr>
              <w:t xml:space="preserve"> el cuarto informe sobre la marcha de las actividades</w:t>
            </w:r>
            <w:r w:rsidRPr="00C168C5">
              <w:rPr>
                <w:iCs/>
                <w:lang w:val="es-ES_tradnl"/>
              </w:rPr>
              <w:t>,</w:t>
            </w:r>
            <w:r w:rsidR="00390056" w:rsidRPr="00C168C5">
              <w:rPr>
                <w:iCs/>
                <w:lang w:val="es-ES_tradnl"/>
              </w:rPr>
              <w:t xml:space="preserve"> en el documento </w:t>
            </w:r>
            <w:hyperlink r:id="rId34" w:history="1">
              <w:r w:rsidRPr="00C168C5">
                <w:rPr>
                  <w:rStyle w:val="Hyperlink"/>
                  <w:iCs/>
                  <w:lang w:val="es-ES_tradnl"/>
                </w:rPr>
                <w:t>CDIP/14/2</w:t>
              </w:r>
            </w:hyperlink>
            <w:r w:rsidRPr="00C168C5">
              <w:rPr>
                <w:iCs/>
                <w:lang w:val="es-ES_tradnl"/>
              </w:rPr>
              <w:t xml:space="preserve"> (</w:t>
            </w:r>
            <w:r w:rsidR="00FA42CC" w:rsidRPr="00C168C5">
              <w:rPr>
                <w:iCs/>
                <w:lang w:val="es-ES_tradnl"/>
              </w:rPr>
              <w:t>páginas</w:t>
            </w:r>
            <w:r w:rsidR="00534AA9" w:rsidRPr="00C168C5">
              <w:rPr>
                <w:iCs/>
                <w:lang w:val="es-ES_tradnl"/>
              </w:rPr>
              <w:t xml:space="preserve"> </w:t>
            </w:r>
            <w:r w:rsidR="00FA42CC" w:rsidRPr="00C168C5">
              <w:rPr>
                <w:iCs/>
                <w:lang w:val="es-ES_tradnl"/>
              </w:rPr>
              <w:t>10</w:t>
            </w:r>
            <w:r w:rsidR="00534AA9" w:rsidRPr="00C168C5">
              <w:rPr>
                <w:iCs/>
                <w:lang w:val="es-ES_tradnl"/>
              </w:rPr>
              <w:t>-</w:t>
            </w:r>
            <w:r w:rsidR="00FA42CC" w:rsidRPr="00C168C5">
              <w:rPr>
                <w:iCs/>
                <w:lang w:val="es-ES_tradnl"/>
              </w:rPr>
              <w:t>20</w:t>
            </w:r>
            <w:r w:rsidRPr="00C168C5">
              <w:rPr>
                <w:iCs/>
                <w:lang w:val="es-ES_tradnl"/>
              </w:rPr>
              <w:t>),</w:t>
            </w:r>
            <w:r w:rsidR="00DE7D52" w:rsidRPr="00C168C5">
              <w:rPr>
                <w:iCs/>
                <w:lang w:val="es-ES_tradnl"/>
              </w:rPr>
              <w:t xml:space="preserve"> presentado al </w:t>
            </w:r>
            <w:r w:rsidRPr="00C168C5">
              <w:rPr>
                <w:iCs/>
                <w:lang w:val="es-ES_tradnl"/>
              </w:rPr>
              <w:t xml:space="preserve">CDIP </w:t>
            </w:r>
            <w:r w:rsidR="00DE7D52" w:rsidRPr="00C168C5">
              <w:rPr>
                <w:iCs/>
                <w:lang w:val="es-ES_tradnl"/>
              </w:rPr>
              <w:t xml:space="preserve">en su </w:t>
            </w:r>
            <w:r w:rsidR="00073DFF">
              <w:rPr>
                <w:iCs/>
                <w:lang w:val="es-ES_tradnl"/>
              </w:rPr>
              <w:t>decimocuarta</w:t>
            </w:r>
            <w:r w:rsidRPr="00C168C5">
              <w:rPr>
                <w:iCs/>
                <w:lang w:val="es-ES_tradnl"/>
              </w:rPr>
              <w:t xml:space="preserve"> ses</w:t>
            </w:r>
            <w:r w:rsidR="00DE7D52" w:rsidRPr="00C168C5">
              <w:rPr>
                <w:iCs/>
                <w:lang w:val="es-ES_tradnl"/>
              </w:rPr>
              <w:t xml:space="preserve">ión de noviembre de </w:t>
            </w:r>
            <w:r w:rsidRPr="00C168C5">
              <w:rPr>
                <w:iCs/>
                <w:lang w:val="es-ES_tradnl"/>
              </w:rPr>
              <w:t>2014.</w:t>
            </w:r>
          </w:p>
          <w:p w14:paraId="7E9ADA44" w14:textId="5E20EDAE" w:rsidR="00C91693" w:rsidRPr="00C168C5" w:rsidRDefault="00C91693" w:rsidP="00243943">
            <w:pPr>
              <w:spacing w:before="120" w:after="120"/>
              <w:rPr>
                <w:lang w:val="es-ES_tradnl"/>
              </w:rPr>
            </w:pPr>
            <w:r w:rsidRPr="00C168C5">
              <w:rPr>
                <w:u w:val="single"/>
                <w:lang w:val="es-ES_tradnl"/>
              </w:rPr>
              <w:t>Activi</w:t>
            </w:r>
            <w:r w:rsidR="00DE3D4E" w:rsidRPr="00C168C5">
              <w:rPr>
                <w:u w:val="single"/>
                <w:lang w:val="es-ES_tradnl"/>
              </w:rPr>
              <w:t>dad</w:t>
            </w:r>
            <w:r w:rsidRPr="00C168C5">
              <w:rPr>
                <w:u w:val="single"/>
                <w:lang w:val="es-ES_tradnl"/>
              </w:rPr>
              <w:t xml:space="preserve"> 2:</w:t>
            </w:r>
            <w:r w:rsidRPr="00C168C5">
              <w:rPr>
                <w:lang w:val="es-ES_tradnl"/>
              </w:rPr>
              <w:t xml:space="preserve">  </w:t>
            </w:r>
            <w:r w:rsidR="009151C7" w:rsidRPr="00C168C5">
              <w:rPr>
                <w:lang w:val="es-ES_tradnl"/>
              </w:rPr>
              <w:t xml:space="preserve">Los seis </w:t>
            </w:r>
            <w:r w:rsidR="00B5071C" w:rsidRPr="00C168C5">
              <w:rPr>
                <w:lang w:val="es-ES_tradnl"/>
              </w:rPr>
              <w:t xml:space="preserve">estudios analíticos, junto con </w:t>
            </w:r>
            <w:r w:rsidR="009151C7" w:rsidRPr="00C168C5">
              <w:rPr>
                <w:lang w:val="es-ES_tradnl"/>
              </w:rPr>
              <w:t xml:space="preserve">las revisiones por </w:t>
            </w:r>
            <w:r w:rsidR="00B5071C" w:rsidRPr="00C168C5">
              <w:rPr>
                <w:lang w:val="es-ES_tradnl"/>
              </w:rPr>
              <w:t>homólogos</w:t>
            </w:r>
            <w:r w:rsidR="009151C7" w:rsidRPr="00C168C5">
              <w:rPr>
                <w:lang w:val="es-ES_tradnl"/>
              </w:rPr>
              <w:t>, se presentaron al</w:t>
            </w:r>
            <w:r w:rsidRPr="00C168C5">
              <w:rPr>
                <w:lang w:val="es-ES_tradnl"/>
              </w:rPr>
              <w:t xml:space="preserve"> CDIP </w:t>
            </w:r>
            <w:r w:rsidR="009151C7" w:rsidRPr="00C168C5">
              <w:rPr>
                <w:lang w:val="es-ES_tradnl"/>
              </w:rPr>
              <w:t xml:space="preserve">en su </w:t>
            </w:r>
            <w:r w:rsidR="00073DFF">
              <w:rPr>
                <w:lang w:val="es-ES_tradnl"/>
              </w:rPr>
              <w:t>decimocuarta</w:t>
            </w:r>
            <w:r w:rsidR="009151C7" w:rsidRPr="00C168C5">
              <w:rPr>
                <w:lang w:val="es-ES_tradnl"/>
              </w:rPr>
              <w:t xml:space="preserve"> sesión</w:t>
            </w:r>
            <w:r w:rsidRPr="00C168C5">
              <w:rPr>
                <w:lang w:val="es-ES_tradnl"/>
              </w:rPr>
              <w:t xml:space="preserve">: </w:t>
            </w:r>
          </w:p>
          <w:p w14:paraId="15B460A9" w14:textId="7739D8FD" w:rsidR="00C91693" w:rsidRPr="00C168C5" w:rsidRDefault="00A017D6" w:rsidP="008F761A">
            <w:pPr>
              <w:pStyle w:val="ListParagraph"/>
              <w:numPr>
                <w:ilvl w:val="0"/>
                <w:numId w:val="36"/>
              </w:numPr>
              <w:spacing w:before="120" w:after="120"/>
              <w:rPr>
                <w:lang w:val="es-ES_tradnl"/>
              </w:rPr>
            </w:pPr>
            <w:hyperlink r:id="rId35" w:history="1">
              <w:r w:rsidR="008F761A" w:rsidRPr="00C168C5">
                <w:rPr>
                  <w:rStyle w:val="Hyperlink"/>
                  <w:lang w:val="es-ES_tradnl"/>
                </w:rPr>
                <w:t>Aspectos económicos de la P.I. y la transferencia de la tecnología a escala internacional</w:t>
              </w:r>
            </w:hyperlink>
            <w:r w:rsidR="00C91693" w:rsidRPr="00C168C5">
              <w:rPr>
                <w:lang w:val="es-ES_tradnl"/>
              </w:rPr>
              <w:t>;</w:t>
            </w:r>
          </w:p>
          <w:p w14:paraId="43ECF3E8" w14:textId="77777777" w:rsidR="00C91693" w:rsidRPr="00C168C5" w:rsidRDefault="00C91693" w:rsidP="00243943">
            <w:pPr>
              <w:pStyle w:val="ListParagraph"/>
              <w:spacing w:before="120" w:after="120"/>
              <w:ind w:left="0"/>
              <w:rPr>
                <w:lang w:val="es-ES_tradnl"/>
              </w:rPr>
            </w:pPr>
          </w:p>
          <w:p w14:paraId="7455F42E" w14:textId="6E160B87" w:rsidR="00C91693" w:rsidRPr="00C168C5" w:rsidRDefault="00A017D6" w:rsidP="008F761A">
            <w:pPr>
              <w:pStyle w:val="ListParagraph"/>
              <w:numPr>
                <w:ilvl w:val="0"/>
                <w:numId w:val="36"/>
              </w:numPr>
              <w:spacing w:before="120" w:after="120"/>
              <w:rPr>
                <w:lang w:val="es-ES_tradnl"/>
              </w:rPr>
            </w:pPr>
            <w:hyperlink r:id="rId36" w:history="1">
              <w:r w:rsidR="008F761A" w:rsidRPr="00C168C5">
                <w:rPr>
                  <w:rStyle w:val="Hyperlink"/>
                  <w:lang w:val="es-ES_tradnl"/>
                </w:rPr>
                <w:t>Políticas e iniciativas en materia de propiedad intelectual en los países desarrollados para fomentar la transferencia de tecnología</w:t>
              </w:r>
            </w:hyperlink>
            <w:r w:rsidR="00C91693" w:rsidRPr="00C168C5">
              <w:rPr>
                <w:lang w:val="es-ES_tradnl"/>
              </w:rPr>
              <w:t xml:space="preserve">; </w:t>
            </w:r>
          </w:p>
          <w:p w14:paraId="20856DF1" w14:textId="77777777" w:rsidR="00C91693" w:rsidRPr="00C168C5" w:rsidRDefault="00C91693" w:rsidP="00243943">
            <w:pPr>
              <w:pStyle w:val="ListParagraph"/>
              <w:spacing w:before="120" w:after="120"/>
              <w:ind w:left="0"/>
              <w:rPr>
                <w:lang w:val="es-ES_tradnl"/>
              </w:rPr>
            </w:pPr>
          </w:p>
          <w:p w14:paraId="39D77950" w14:textId="70106ECD" w:rsidR="00C91693" w:rsidRPr="00C168C5" w:rsidRDefault="00A017D6" w:rsidP="008F761A">
            <w:pPr>
              <w:pStyle w:val="ListParagraph"/>
              <w:numPr>
                <w:ilvl w:val="0"/>
                <w:numId w:val="36"/>
              </w:numPr>
              <w:spacing w:before="120" w:after="120"/>
              <w:rPr>
                <w:lang w:val="es-ES_tradnl"/>
              </w:rPr>
            </w:pPr>
            <w:hyperlink r:id="rId37" w:history="1">
              <w:r w:rsidR="008F761A" w:rsidRPr="00C168C5">
                <w:rPr>
                  <w:rStyle w:val="Hyperlink"/>
                  <w:lang w:val="es-ES_tradnl"/>
                </w:rPr>
                <w:t xml:space="preserve">Estudios de casos de cooperación e </w:t>
              </w:r>
              <w:r w:rsidR="00080878" w:rsidRPr="00C168C5">
                <w:rPr>
                  <w:rStyle w:val="Hyperlink"/>
                  <w:lang w:val="es-ES_tradnl"/>
                </w:rPr>
                <w:t>intercambio</w:t>
              </w:r>
              <w:r w:rsidR="008F761A" w:rsidRPr="00C168C5">
                <w:rPr>
                  <w:rStyle w:val="Hyperlink"/>
                  <w:lang w:val="es-ES_tradnl"/>
                </w:rPr>
                <w:t xml:space="preserve"> entre instituciones de I+D de países desarrollados y países en desarrollo</w:t>
              </w:r>
            </w:hyperlink>
            <w:r w:rsidR="00C91693" w:rsidRPr="00C168C5">
              <w:rPr>
                <w:lang w:val="es-ES_tradnl"/>
              </w:rPr>
              <w:t>;</w:t>
            </w:r>
          </w:p>
          <w:p w14:paraId="1A55C5D6" w14:textId="77777777" w:rsidR="00C91693" w:rsidRPr="00C168C5" w:rsidRDefault="00C91693" w:rsidP="00243943">
            <w:pPr>
              <w:pStyle w:val="ListParagraph"/>
              <w:spacing w:before="120" w:after="120"/>
              <w:ind w:left="0"/>
              <w:rPr>
                <w:lang w:val="es-ES_tradnl"/>
              </w:rPr>
            </w:pPr>
          </w:p>
          <w:p w14:paraId="67935910" w14:textId="504A9DFB" w:rsidR="00C91693" w:rsidRPr="00C168C5" w:rsidRDefault="00A017D6" w:rsidP="008F761A">
            <w:pPr>
              <w:pStyle w:val="ListParagraph"/>
              <w:numPr>
                <w:ilvl w:val="0"/>
                <w:numId w:val="36"/>
              </w:numPr>
              <w:spacing w:before="120" w:after="120"/>
              <w:rPr>
                <w:lang w:val="es-ES_tradnl"/>
              </w:rPr>
            </w:pPr>
            <w:hyperlink r:id="rId38" w:history="1">
              <w:r w:rsidR="00C91693" w:rsidRPr="00C168C5">
                <w:rPr>
                  <w:rStyle w:val="Hyperlink"/>
                  <w:lang w:val="es-ES_tradnl"/>
                </w:rPr>
                <w:t>P</w:t>
              </w:r>
              <w:r w:rsidR="004415B6" w:rsidRPr="00C168C5">
                <w:rPr>
                  <w:rStyle w:val="Hyperlink"/>
                  <w:lang w:val="es-ES_tradnl"/>
                </w:rPr>
                <w:t>olíticas que fomentan la participación de las empresas en la transferencia de tecnología</w:t>
              </w:r>
            </w:hyperlink>
            <w:r w:rsidR="00C91693" w:rsidRPr="00C168C5">
              <w:rPr>
                <w:lang w:val="es-ES_tradnl"/>
              </w:rPr>
              <w:t xml:space="preserve">; </w:t>
            </w:r>
          </w:p>
          <w:p w14:paraId="1ACCAF1B" w14:textId="77777777" w:rsidR="00C91693" w:rsidRPr="00C168C5" w:rsidRDefault="00C91693" w:rsidP="00243943">
            <w:pPr>
              <w:pStyle w:val="ListParagraph"/>
              <w:spacing w:before="120" w:after="120"/>
              <w:ind w:left="0"/>
              <w:rPr>
                <w:lang w:val="es-ES_tradnl"/>
              </w:rPr>
            </w:pPr>
          </w:p>
          <w:p w14:paraId="39664EB0" w14:textId="7F1D8811" w:rsidR="00C91693" w:rsidRPr="00C168C5" w:rsidRDefault="00A017D6" w:rsidP="008F761A">
            <w:pPr>
              <w:pStyle w:val="ListParagraph"/>
              <w:numPr>
                <w:ilvl w:val="0"/>
                <w:numId w:val="36"/>
              </w:numPr>
              <w:spacing w:before="120" w:after="120"/>
              <w:rPr>
                <w:lang w:val="es-ES_tradnl"/>
              </w:rPr>
            </w:pPr>
            <w:hyperlink r:id="rId39" w:history="1">
              <w:r w:rsidR="004415B6" w:rsidRPr="00C168C5">
                <w:rPr>
                  <w:rStyle w:val="Hyperlink"/>
                  <w:lang w:val="es-ES_tradnl"/>
                </w:rPr>
                <w:t>Transferencia de tecnología a escala internacional:</w:t>
              </w:r>
              <w:r w:rsidR="00DD49F8" w:rsidRPr="00C168C5">
                <w:rPr>
                  <w:rStyle w:val="Hyperlink"/>
                  <w:lang w:val="es-ES_tradnl"/>
                </w:rPr>
                <w:t xml:space="preserve"> </w:t>
              </w:r>
              <w:r w:rsidR="004415B6" w:rsidRPr="00C168C5">
                <w:rPr>
                  <w:rStyle w:val="Hyperlink"/>
                  <w:lang w:val="es-ES_tradnl"/>
                </w:rPr>
                <w:t xml:space="preserve"> un análisis desde la perspectiva de los países en desarrollo</w:t>
              </w:r>
            </w:hyperlink>
            <w:r w:rsidR="00C91693" w:rsidRPr="00C168C5">
              <w:rPr>
                <w:lang w:val="es-ES_tradnl"/>
              </w:rPr>
              <w:t xml:space="preserve">;  </w:t>
            </w:r>
            <w:r w:rsidR="004415B6" w:rsidRPr="00C168C5">
              <w:rPr>
                <w:lang w:val="es-ES_tradnl"/>
              </w:rPr>
              <w:t>y</w:t>
            </w:r>
          </w:p>
          <w:p w14:paraId="24E59267" w14:textId="77777777" w:rsidR="00C91693" w:rsidRPr="00C168C5" w:rsidRDefault="00C91693" w:rsidP="00243943">
            <w:pPr>
              <w:pStyle w:val="ListParagraph"/>
              <w:spacing w:before="120" w:after="120"/>
              <w:ind w:left="0"/>
              <w:rPr>
                <w:lang w:val="es-ES_tradnl"/>
              </w:rPr>
            </w:pPr>
          </w:p>
          <w:p w14:paraId="162E3271" w14:textId="26B17D64" w:rsidR="00C91693" w:rsidRPr="00C168C5" w:rsidRDefault="00A017D6" w:rsidP="008F761A">
            <w:pPr>
              <w:pStyle w:val="ListParagraph"/>
              <w:numPr>
                <w:ilvl w:val="0"/>
                <w:numId w:val="36"/>
              </w:numPr>
              <w:spacing w:before="120" w:after="120"/>
              <w:rPr>
                <w:lang w:val="es-ES_tradnl"/>
              </w:rPr>
            </w:pPr>
            <w:hyperlink r:id="rId40" w:history="1">
              <w:r w:rsidR="004415B6" w:rsidRPr="00C168C5">
                <w:rPr>
                  <w:rStyle w:val="Hyperlink"/>
                  <w:lang w:val="es-ES_tradnl"/>
                </w:rPr>
                <w:t>Alternativa</w:t>
              </w:r>
              <w:r w:rsidR="00C91693" w:rsidRPr="00C168C5">
                <w:rPr>
                  <w:rStyle w:val="Hyperlink"/>
                  <w:lang w:val="es-ES_tradnl"/>
                </w:rPr>
                <w:t>s</w:t>
              </w:r>
              <w:r w:rsidR="004415B6" w:rsidRPr="00C168C5">
                <w:rPr>
                  <w:rStyle w:val="Hyperlink"/>
                  <w:lang w:val="es-ES_tradnl"/>
                </w:rPr>
                <w:t xml:space="preserve"> al sistema de patentes que son utilizadas para apoyar las actividades I+D, incluidos los mecanismos de tira y afloje, presentando especial atención a los premios de incentivo a la innovación y los modelos de desarrollo de </w:t>
              </w:r>
              <w:r w:rsidR="00080878" w:rsidRPr="00C168C5">
                <w:rPr>
                  <w:rStyle w:val="Hyperlink"/>
                  <w:lang w:val="es-ES_tradnl"/>
                </w:rPr>
                <w:t>código</w:t>
              </w:r>
              <w:r w:rsidR="004415B6" w:rsidRPr="00C168C5">
                <w:rPr>
                  <w:rStyle w:val="Hyperlink"/>
                  <w:lang w:val="es-ES_tradnl"/>
                </w:rPr>
                <w:t xml:space="preserve"> abierto</w:t>
              </w:r>
            </w:hyperlink>
            <w:r w:rsidR="004415B6" w:rsidRPr="00C168C5">
              <w:rPr>
                <w:lang w:val="es-ES_tradnl"/>
              </w:rPr>
              <w:t>.</w:t>
            </w:r>
          </w:p>
          <w:p w14:paraId="0551D54C" w14:textId="7744351F" w:rsidR="00C91693" w:rsidRPr="00C168C5" w:rsidRDefault="004415B6" w:rsidP="00243943">
            <w:pPr>
              <w:spacing w:before="120" w:after="120"/>
              <w:rPr>
                <w:lang w:val="es-ES_tradnl"/>
              </w:rPr>
            </w:pPr>
            <w:r w:rsidRPr="00C168C5">
              <w:rPr>
                <w:lang w:val="es-ES_tradnl"/>
              </w:rPr>
              <w:t xml:space="preserve">Además, los autores de los estudios y sus pares revisores presentaron sus constataciones y conclusiones en el </w:t>
            </w:r>
            <w:r w:rsidR="00CF4D74" w:rsidRPr="00C168C5">
              <w:rPr>
                <w:lang w:val="es-ES_tradnl"/>
              </w:rPr>
              <w:t>foro i</w:t>
            </w:r>
            <w:r w:rsidR="001B32A7" w:rsidRPr="00C168C5">
              <w:rPr>
                <w:lang w:val="es-ES_tradnl"/>
              </w:rPr>
              <w:t xml:space="preserve">nternacional de expertos sobre </w:t>
            </w:r>
            <w:r w:rsidR="00C91693" w:rsidRPr="00C168C5">
              <w:rPr>
                <w:lang w:val="es-ES_tradnl"/>
              </w:rPr>
              <w:t>“</w:t>
            </w:r>
            <w:r w:rsidR="00CF4D74" w:rsidRPr="00C168C5">
              <w:rPr>
                <w:lang w:val="es-ES_tradnl"/>
              </w:rPr>
              <w:t>P.I. y transferencia de tecnología:</w:t>
            </w:r>
            <w:r w:rsidR="00C91693" w:rsidRPr="00C168C5">
              <w:rPr>
                <w:lang w:val="es-ES_tradnl"/>
              </w:rPr>
              <w:t xml:space="preserve"> </w:t>
            </w:r>
            <w:r w:rsidR="00CF4D74" w:rsidRPr="00C168C5">
              <w:rPr>
                <w:lang w:val="es-ES_tradnl"/>
              </w:rPr>
              <w:t xml:space="preserve"> desafíos comunes y búsqueda de soluciones</w:t>
            </w:r>
            <w:r w:rsidR="00C91693" w:rsidRPr="00C168C5">
              <w:rPr>
                <w:lang w:val="es-ES_tradnl"/>
              </w:rPr>
              <w:t>” (</w:t>
            </w:r>
            <w:r w:rsidR="00CF4D74" w:rsidRPr="00C168C5">
              <w:rPr>
                <w:lang w:val="es-ES_tradnl"/>
              </w:rPr>
              <w:t xml:space="preserve">véase la actividad 5, </w:t>
            </w:r>
            <w:r w:rsidR="00CF4D74" w:rsidRPr="00C168C5">
              <w:rPr>
                <w:i/>
                <w:lang w:val="es-ES_tradnl"/>
              </w:rPr>
              <w:t>infra</w:t>
            </w:r>
            <w:r w:rsidR="00C91693" w:rsidRPr="00C168C5">
              <w:rPr>
                <w:lang w:val="es-ES_tradnl"/>
              </w:rPr>
              <w:t xml:space="preserve">), </w:t>
            </w:r>
            <w:r w:rsidR="00CF4D74" w:rsidRPr="00C168C5">
              <w:rPr>
                <w:lang w:val="es-ES_tradnl"/>
              </w:rPr>
              <w:t xml:space="preserve">celebrado en Ginebra los días 16 a 18 de febrero de </w:t>
            </w:r>
            <w:r w:rsidR="00C91693" w:rsidRPr="00C168C5">
              <w:rPr>
                <w:lang w:val="es-ES_tradnl"/>
              </w:rPr>
              <w:t>2015.</w:t>
            </w:r>
          </w:p>
          <w:p w14:paraId="65490815" w14:textId="4B4D7A36" w:rsidR="00C91693" w:rsidRPr="00C168C5" w:rsidRDefault="00C91693" w:rsidP="008C7E29">
            <w:pPr>
              <w:spacing w:before="120" w:after="120"/>
              <w:ind w:left="29"/>
              <w:rPr>
                <w:lang w:val="es-ES_tradnl"/>
              </w:rPr>
            </w:pPr>
            <w:r w:rsidRPr="00C168C5">
              <w:rPr>
                <w:u w:val="single"/>
                <w:lang w:val="es-ES_tradnl"/>
              </w:rPr>
              <w:t>Activi</w:t>
            </w:r>
            <w:r w:rsidR="00CF4D74" w:rsidRPr="00C168C5">
              <w:rPr>
                <w:u w:val="single"/>
                <w:lang w:val="es-ES_tradnl"/>
              </w:rPr>
              <w:t>dad</w:t>
            </w:r>
            <w:r w:rsidRPr="00C168C5">
              <w:rPr>
                <w:u w:val="single"/>
                <w:lang w:val="es-ES_tradnl"/>
              </w:rPr>
              <w:t xml:space="preserve"> 3:</w:t>
            </w:r>
            <w:r w:rsidRPr="00C168C5">
              <w:rPr>
                <w:lang w:val="es-ES_tradnl"/>
              </w:rPr>
              <w:t xml:space="preserve">  </w:t>
            </w:r>
            <w:r w:rsidR="00CF4D74" w:rsidRPr="00C168C5">
              <w:rPr>
                <w:lang w:val="es-ES_tradnl"/>
              </w:rPr>
              <w:t xml:space="preserve">Como ya acordara el </w:t>
            </w:r>
            <w:r w:rsidRPr="00C168C5">
              <w:rPr>
                <w:lang w:val="es-ES_tradnl"/>
              </w:rPr>
              <w:t>CDIP (</w:t>
            </w:r>
            <w:r w:rsidR="00CF4D74" w:rsidRPr="00C168C5">
              <w:rPr>
                <w:lang w:val="es-ES_tradnl"/>
              </w:rPr>
              <w:t xml:space="preserve">véase el documento </w:t>
            </w:r>
            <w:hyperlink r:id="rId41" w:history="1">
              <w:r w:rsidRPr="00C168C5">
                <w:rPr>
                  <w:rStyle w:val="Hyperlink"/>
                  <w:lang w:val="es-ES_tradnl"/>
                </w:rPr>
                <w:t>CDIP/9/INF/4</w:t>
              </w:r>
            </w:hyperlink>
            <w:r w:rsidRPr="00C168C5">
              <w:rPr>
                <w:lang w:val="es-ES_tradnl"/>
              </w:rPr>
              <w:t>, p</w:t>
            </w:r>
            <w:r w:rsidR="00CF4D74" w:rsidRPr="00C168C5">
              <w:rPr>
                <w:lang w:val="es-ES_tradnl"/>
              </w:rPr>
              <w:t xml:space="preserve">árrafo </w:t>
            </w:r>
            <w:r w:rsidRPr="00C168C5">
              <w:rPr>
                <w:lang w:val="es-ES_tradnl"/>
              </w:rPr>
              <w:t xml:space="preserve">66), </w:t>
            </w:r>
            <w:r w:rsidR="00CF4D74" w:rsidRPr="00C168C5">
              <w:rPr>
                <w:lang w:val="es-ES_tradnl"/>
              </w:rPr>
              <w:t xml:space="preserve">el documento conceptual incorpora la ideas aportadas por </w:t>
            </w:r>
            <w:r w:rsidR="00E32889" w:rsidRPr="00C168C5">
              <w:rPr>
                <w:lang w:val="es-ES_tradnl"/>
              </w:rPr>
              <w:t>las cinco reuniones regionales de consulta y los seis estudios analíticos, además de las revisiones por</w:t>
            </w:r>
            <w:r w:rsidR="000D4D36" w:rsidRPr="00C168C5">
              <w:rPr>
                <w:lang w:val="es-ES_tradnl"/>
              </w:rPr>
              <w:t xml:space="preserve"> homólogos</w:t>
            </w:r>
            <w:r w:rsidRPr="00C168C5">
              <w:rPr>
                <w:lang w:val="es-ES_tradnl"/>
              </w:rPr>
              <w:t>,</w:t>
            </w:r>
            <w:r w:rsidR="00E32889" w:rsidRPr="00C168C5">
              <w:rPr>
                <w:lang w:val="es-ES_tradnl"/>
              </w:rPr>
              <w:t xml:space="preserve"> se presentaron en marzo de 2014 a los expertos internacionales para recabar sus comentarios y el 1 de septiembre y 21 de octubre del mismo año a las Misiones Permanente</w:t>
            </w:r>
            <w:r w:rsidR="001B32A7" w:rsidRPr="00C168C5">
              <w:rPr>
                <w:lang w:val="es-ES_tradnl"/>
              </w:rPr>
              <w:t>s</w:t>
            </w:r>
            <w:r w:rsidR="00E32889" w:rsidRPr="00C168C5">
              <w:rPr>
                <w:lang w:val="es-ES_tradnl"/>
              </w:rPr>
              <w:t xml:space="preserve"> de Ginebra</w:t>
            </w:r>
            <w:r w:rsidRPr="00C168C5">
              <w:rPr>
                <w:lang w:val="es-ES_tradnl"/>
              </w:rPr>
              <w:t xml:space="preserve">.  </w:t>
            </w:r>
            <w:r w:rsidR="00324966" w:rsidRPr="00C168C5">
              <w:rPr>
                <w:lang w:val="es-ES_tradnl"/>
              </w:rPr>
              <w:t>Además, antes de la sesión del CDIP de noviembre de 2014</w:t>
            </w:r>
            <w:r w:rsidRPr="00C168C5">
              <w:rPr>
                <w:lang w:val="es-ES_tradnl"/>
              </w:rPr>
              <w:t>,</w:t>
            </w:r>
            <w:r w:rsidR="00324966" w:rsidRPr="00C168C5">
              <w:rPr>
                <w:lang w:val="es-ES_tradnl"/>
              </w:rPr>
              <w:t xml:space="preserve"> el 28 de </w:t>
            </w:r>
            <w:r w:rsidR="00324966" w:rsidRPr="00C168C5">
              <w:rPr>
                <w:lang w:val="es-ES_tradnl"/>
              </w:rPr>
              <w:lastRenderedPageBreak/>
              <w:t>octubre,</w:t>
            </w:r>
            <w:r w:rsidRPr="00C168C5">
              <w:rPr>
                <w:lang w:val="es-ES_tradnl"/>
              </w:rPr>
              <w:t xml:space="preserve"> </w:t>
            </w:r>
            <w:r w:rsidR="00324966" w:rsidRPr="00C168C5">
              <w:rPr>
                <w:lang w:val="es-ES_tradnl"/>
              </w:rPr>
              <w:t>tuvo lugar una reunión de un día con organizaciones intergubernamentales y no gubernamentales y con asociaciones profesionales</w:t>
            </w:r>
            <w:r w:rsidRPr="00C168C5">
              <w:rPr>
                <w:lang w:val="es-ES_tradnl"/>
              </w:rPr>
              <w:t xml:space="preserve"> (</w:t>
            </w:r>
            <w:r w:rsidR="00324966" w:rsidRPr="00C168C5">
              <w:rPr>
                <w:lang w:val="es-ES_tradnl"/>
              </w:rPr>
              <w:t>véase</w:t>
            </w:r>
            <w:r w:rsidRPr="00C168C5">
              <w:rPr>
                <w:lang w:val="es-ES_tradnl"/>
              </w:rPr>
              <w:t xml:space="preserve"> </w:t>
            </w:r>
            <w:hyperlink r:id="rId42" w:history="1">
              <w:r w:rsidRPr="00C168C5">
                <w:rPr>
                  <w:rStyle w:val="Hyperlink"/>
                  <w:lang w:val="es-ES_tradnl"/>
                </w:rPr>
                <w:t>http://www.wipo.int/meetings/en/details.jsp?meeting_id=34205</w:t>
              </w:r>
            </w:hyperlink>
            <w:r w:rsidRPr="00C168C5">
              <w:rPr>
                <w:lang w:val="es-ES_tradnl"/>
              </w:rPr>
              <w:t xml:space="preserve">).  </w:t>
            </w:r>
            <w:r w:rsidR="00324966" w:rsidRPr="00C168C5">
              <w:rPr>
                <w:lang w:val="es-ES_tradnl"/>
              </w:rPr>
              <w:t xml:space="preserve">El documento conceptual fue aprobado por el CDIP en su </w:t>
            </w:r>
            <w:r w:rsidR="00073DFF">
              <w:rPr>
                <w:lang w:val="es-ES_tradnl"/>
              </w:rPr>
              <w:t>decimocuarta</w:t>
            </w:r>
            <w:r w:rsidR="00324966" w:rsidRPr="00C168C5">
              <w:rPr>
                <w:lang w:val="es-ES_tradnl"/>
              </w:rPr>
              <w:t xml:space="preserve"> sesió</w:t>
            </w:r>
            <w:r w:rsidR="008C7E29" w:rsidRPr="00C168C5">
              <w:rPr>
                <w:lang w:val="es-ES_tradnl"/>
              </w:rPr>
              <w:t xml:space="preserve">n </w:t>
            </w:r>
            <w:r w:rsidRPr="00C168C5">
              <w:rPr>
                <w:lang w:val="es-ES_tradnl"/>
              </w:rPr>
              <w:t>(</w:t>
            </w:r>
            <w:r w:rsidR="0011219B" w:rsidRPr="00C168C5">
              <w:rPr>
                <w:lang w:val="es-ES_tradnl"/>
              </w:rPr>
              <w:t>para consultar la versión final aprobada del documento conceptual</w:t>
            </w:r>
            <w:r w:rsidRPr="00C168C5">
              <w:rPr>
                <w:lang w:val="es-ES_tradnl"/>
              </w:rPr>
              <w:t>,</w:t>
            </w:r>
            <w:r w:rsidR="0011219B" w:rsidRPr="00C168C5">
              <w:rPr>
                <w:lang w:val="es-ES_tradnl"/>
              </w:rPr>
              <w:t xml:space="preserve"> véase</w:t>
            </w:r>
            <w:r w:rsidRPr="00C168C5">
              <w:rPr>
                <w:lang w:val="es-ES_tradnl"/>
              </w:rPr>
              <w:t xml:space="preserve"> </w:t>
            </w:r>
            <w:hyperlink r:id="rId43" w:history="1">
              <w:r w:rsidRPr="00C168C5">
                <w:rPr>
                  <w:rStyle w:val="Hyperlink"/>
                  <w:lang w:val="es-ES_tradnl"/>
                </w:rPr>
                <w:t>CDIP/14/8 Rev.2</w:t>
              </w:r>
            </w:hyperlink>
            <w:r w:rsidRPr="00C168C5">
              <w:rPr>
                <w:lang w:val="es-ES_tradnl"/>
              </w:rPr>
              <w:t xml:space="preserve">). </w:t>
            </w:r>
          </w:p>
          <w:p w14:paraId="3DC8060A" w14:textId="65D417C5" w:rsidR="00C91693" w:rsidRPr="00C168C5" w:rsidRDefault="00C91693" w:rsidP="00243943">
            <w:pPr>
              <w:spacing w:before="120" w:after="120"/>
              <w:ind w:left="34"/>
              <w:rPr>
                <w:lang w:val="es-ES_tradnl"/>
              </w:rPr>
            </w:pPr>
            <w:r w:rsidRPr="00C168C5">
              <w:rPr>
                <w:u w:val="single"/>
                <w:lang w:val="es-ES_tradnl"/>
              </w:rPr>
              <w:t>Activi</w:t>
            </w:r>
            <w:r w:rsidR="00F3433A" w:rsidRPr="00C168C5">
              <w:rPr>
                <w:u w:val="single"/>
                <w:lang w:val="es-ES_tradnl"/>
              </w:rPr>
              <w:t>dad</w:t>
            </w:r>
            <w:r w:rsidRPr="00C168C5">
              <w:rPr>
                <w:u w:val="single"/>
                <w:lang w:val="es-ES_tradnl"/>
              </w:rPr>
              <w:t xml:space="preserve"> 4:</w:t>
            </w:r>
            <w:r w:rsidRPr="00C168C5">
              <w:rPr>
                <w:lang w:val="es-ES_tradnl"/>
              </w:rPr>
              <w:t xml:space="preserve">  </w:t>
            </w:r>
            <w:r w:rsidR="001B32A7" w:rsidRPr="00C168C5">
              <w:rPr>
                <w:lang w:val="es-ES_tradnl"/>
              </w:rPr>
              <w:t>Por definición</w:t>
            </w:r>
            <w:r w:rsidR="00F3433A" w:rsidRPr="00C168C5">
              <w:rPr>
                <w:lang w:val="es-ES_tradnl"/>
              </w:rPr>
              <w:t xml:space="preserve"> y</w:t>
            </w:r>
            <w:r w:rsidR="001B32A7" w:rsidRPr="00C168C5">
              <w:rPr>
                <w:lang w:val="es-ES_tradnl"/>
              </w:rPr>
              <w:t>,</w:t>
            </w:r>
            <w:r w:rsidR="00F3433A" w:rsidRPr="00C168C5">
              <w:rPr>
                <w:lang w:val="es-ES_tradnl"/>
              </w:rPr>
              <w:t xml:space="preserve"> tal como prevé el documento conceptual aprobado por el CDIP en su </w:t>
            </w:r>
            <w:r w:rsidR="00073DFF">
              <w:rPr>
                <w:lang w:val="es-ES_tradnl"/>
              </w:rPr>
              <w:t>decimocuarta</w:t>
            </w:r>
            <w:r w:rsidR="00F3433A" w:rsidRPr="00C168C5">
              <w:rPr>
                <w:lang w:val="es-ES_tradnl"/>
              </w:rPr>
              <w:t xml:space="preserve"> sesión</w:t>
            </w:r>
            <w:r w:rsidRPr="00C168C5">
              <w:rPr>
                <w:lang w:val="es-ES_tradnl"/>
              </w:rPr>
              <w:t xml:space="preserve">, </w:t>
            </w:r>
            <w:r w:rsidR="000D4D36" w:rsidRPr="00C168C5">
              <w:rPr>
                <w:lang w:val="es-ES_tradnl"/>
              </w:rPr>
              <w:t xml:space="preserve">la labor relativa a la preparación y el suministro de materiales, módulos, herramientas </w:t>
            </w:r>
            <w:r w:rsidR="00080878" w:rsidRPr="00C168C5">
              <w:rPr>
                <w:lang w:val="es-ES_tradnl"/>
              </w:rPr>
              <w:t>didácticas</w:t>
            </w:r>
            <w:r w:rsidR="000D4D36" w:rsidRPr="00C168C5">
              <w:rPr>
                <w:lang w:val="es-ES_tradnl"/>
              </w:rPr>
              <w:t xml:space="preserve"> y otros instrumentos resultantes de las</w:t>
            </w:r>
            <w:r w:rsidRPr="00C168C5">
              <w:rPr>
                <w:lang w:val="es-ES_tradnl"/>
              </w:rPr>
              <w:t xml:space="preserve"> “</w:t>
            </w:r>
            <w:r w:rsidR="000D4D36" w:rsidRPr="00C168C5">
              <w:rPr>
                <w:lang w:val="es-ES_tradnl"/>
              </w:rPr>
              <w:t>ideas de los expertos</w:t>
            </w:r>
            <w:r w:rsidR="001B32A7" w:rsidRPr="00C168C5">
              <w:rPr>
                <w:lang w:val="es-ES_tradnl"/>
              </w:rPr>
              <w:t>”</w:t>
            </w:r>
            <w:r w:rsidRPr="00C168C5">
              <w:rPr>
                <w:lang w:val="es-ES_tradnl"/>
              </w:rPr>
              <w:t xml:space="preserve"> </w:t>
            </w:r>
            <w:r w:rsidR="00F05515" w:rsidRPr="00C168C5">
              <w:rPr>
                <w:lang w:val="es-ES_tradnl"/>
              </w:rPr>
              <w:t>acordada</w:t>
            </w:r>
            <w:r w:rsidR="000D4D36" w:rsidRPr="00C168C5">
              <w:rPr>
                <w:lang w:val="es-ES_tradnl"/>
              </w:rPr>
              <w:t xml:space="preserve">s en el foro </w:t>
            </w:r>
            <w:r w:rsidRPr="00C168C5">
              <w:rPr>
                <w:lang w:val="es-ES_tradnl"/>
              </w:rPr>
              <w:t>(</w:t>
            </w:r>
            <w:r w:rsidR="000D4D36" w:rsidRPr="00C168C5">
              <w:rPr>
                <w:lang w:val="es-ES_tradnl"/>
              </w:rPr>
              <w:t xml:space="preserve">véase </w:t>
            </w:r>
            <w:r w:rsidR="000D4D36" w:rsidRPr="00C168C5">
              <w:rPr>
                <w:i/>
                <w:lang w:val="es-ES_tradnl"/>
              </w:rPr>
              <w:t>supra</w:t>
            </w:r>
            <w:r w:rsidRPr="00C168C5">
              <w:rPr>
                <w:lang w:val="es-ES_tradnl"/>
              </w:rPr>
              <w:t>)</w:t>
            </w:r>
            <w:r w:rsidR="00F05515" w:rsidRPr="00C168C5">
              <w:rPr>
                <w:lang w:val="es-ES_tradnl"/>
              </w:rPr>
              <w:t xml:space="preserve"> que</w:t>
            </w:r>
            <w:r w:rsidR="000D4D36" w:rsidRPr="00C168C5">
              <w:rPr>
                <w:lang w:val="es-ES_tradnl"/>
              </w:rPr>
              <w:t xml:space="preserve"> se presenta</w:t>
            </w:r>
            <w:r w:rsidR="00F05515" w:rsidRPr="00C168C5">
              <w:rPr>
                <w:lang w:val="es-ES_tradnl"/>
              </w:rPr>
              <w:t>rá</w:t>
            </w:r>
            <w:r w:rsidR="000D4D36" w:rsidRPr="00C168C5">
              <w:rPr>
                <w:lang w:val="es-ES_tradnl"/>
              </w:rPr>
              <w:t xml:space="preserve">n al </w:t>
            </w:r>
            <w:r w:rsidRPr="00C168C5">
              <w:rPr>
                <w:lang w:val="es-ES_tradnl"/>
              </w:rPr>
              <w:t xml:space="preserve">CDIP </w:t>
            </w:r>
            <w:r w:rsidR="00F05515" w:rsidRPr="00C168C5">
              <w:rPr>
                <w:lang w:val="es-ES_tradnl"/>
              </w:rPr>
              <w:t>para examinarlas y aprobarlas</w:t>
            </w:r>
            <w:r w:rsidR="000D4D36" w:rsidRPr="00C168C5">
              <w:rPr>
                <w:lang w:val="es-ES_tradnl"/>
              </w:rPr>
              <w:t xml:space="preserve"> </w:t>
            </w:r>
            <w:r w:rsidR="00F05515" w:rsidRPr="00C168C5">
              <w:rPr>
                <w:lang w:val="es-ES_tradnl"/>
              </w:rPr>
              <w:t xml:space="preserve">e </w:t>
            </w:r>
            <w:r w:rsidR="000D4D36" w:rsidRPr="00C168C5">
              <w:rPr>
                <w:lang w:val="es-ES_tradnl"/>
              </w:rPr>
              <w:t>incorporar</w:t>
            </w:r>
            <w:r w:rsidR="00F05515" w:rsidRPr="00C168C5">
              <w:rPr>
                <w:lang w:val="es-ES_tradnl"/>
              </w:rPr>
              <w:t>las</w:t>
            </w:r>
            <w:r w:rsidR="007C6785" w:rsidRPr="00C168C5">
              <w:rPr>
                <w:lang w:val="es-ES_tradnl"/>
              </w:rPr>
              <w:t xml:space="preserve"> a los programas de trabajo de la OMPI</w:t>
            </w:r>
            <w:r w:rsidRPr="00C168C5">
              <w:rPr>
                <w:lang w:val="es-ES_tradnl"/>
              </w:rPr>
              <w:t xml:space="preserve">, </w:t>
            </w:r>
            <w:r w:rsidR="00F05515" w:rsidRPr="00C168C5">
              <w:rPr>
                <w:lang w:val="es-ES_tradnl"/>
              </w:rPr>
              <w:t>solo comenzará tras dicho examen y adopción y tras cualquier posible recomendación del Comité a la Asamblea General</w:t>
            </w:r>
            <w:r w:rsidRPr="00C168C5">
              <w:rPr>
                <w:lang w:val="es-ES_tradnl"/>
              </w:rPr>
              <w:t>.</w:t>
            </w:r>
          </w:p>
          <w:p w14:paraId="3D9C8380" w14:textId="77CDDA69" w:rsidR="00C91693" w:rsidRPr="00C168C5" w:rsidRDefault="00C91693" w:rsidP="00243943">
            <w:pPr>
              <w:spacing w:before="120" w:after="120"/>
              <w:ind w:left="34"/>
              <w:rPr>
                <w:lang w:val="es-ES_tradnl"/>
              </w:rPr>
            </w:pPr>
            <w:r w:rsidRPr="00C168C5">
              <w:rPr>
                <w:u w:val="single"/>
                <w:lang w:val="es-ES_tradnl"/>
              </w:rPr>
              <w:t>Activi</w:t>
            </w:r>
            <w:r w:rsidR="002C4BAD" w:rsidRPr="00C168C5">
              <w:rPr>
                <w:u w:val="single"/>
                <w:lang w:val="es-ES_tradnl"/>
              </w:rPr>
              <w:t>dad</w:t>
            </w:r>
            <w:r w:rsidRPr="00C168C5">
              <w:rPr>
                <w:u w:val="single"/>
                <w:lang w:val="es-ES_tradnl"/>
              </w:rPr>
              <w:t xml:space="preserve"> 5:</w:t>
            </w:r>
            <w:r w:rsidRPr="00C168C5">
              <w:rPr>
                <w:lang w:val="es-ES_tradnl"/>
              </w:rPr>
              <w:t xml:space="preserve">  </w:t>
            </w:r>
            <w:r w:rsidR="002C4BAD" w:rsidRPr="00C168C5">
              <w:rPr>
                <w:lang w:val="es-ES_tradnl"/>
              </w:rPr>
              <w:t>El Foro de la OMPI de expertos en transferencia de tecnología a escala internacional</w:t>
            </w:r>
            <w:r w:rsidRPr="00C168C5">
              <w:rPr>
                <w:lang w:val="es-ES_tradnl"/>
              </w:rPr>
              <w:t xml:space="preserve"> (</w:t>
            </w:r>
            <w:r w:rsidR="002C4BAD" w:rsidRPr="00C168C5">
              <w:rPr>
                <w:lang w:val="es-ES_tradnl"/>
              </w:rPr>
              <w:t xml:space="preserve">previsto en un principio con el título </w:t>
            </w:r>
            <w:r w:rsidRPr="00C168C5">
              <w:rPr>
                <w:lang w:val="es-ES_tradnl"/>
              </w:rPr>
              <w:t>“</w:t>
            </w:r>
            <w:r w:rsidR="002C4BAD" w:rsidRPr="00C168C5">
              <w:rPr>
                <w:lang w:val="es-ES_tradnl"/>
              </w:rPr>
              <w:t>foro internacional de expertos en P.I. y transferencia de tecnología</w:t>
            </w:r>
            <w:r w:rsidRPr="00C168C5">
              <w:rPr>
                <w:lang w:val="es-ES_tradnl"/>
              </w:rPr>
              <w:t xml:space="preserve">:  </w:t>
            </w:r>
            <w:r w:rsidR="002C4BAD" w:rsidRPr="00C168C5">
              <w:rPr>
                <w:lang w:val="es-ES_tradnl"/>
              </w:rPr>
              <w:t>desafíos comunes y búsqueda de soluciones</w:t>
            </w:r>
            <w:r w:rsidRPr="00C168C5">
              <w:rPr>
                <w:lang w:val="es-ES_tradnl"/>
              </w:rPr>
              <w:t>”)</w:t>
            </w:r>
            <w:r w:rsidR="002C4BAD" w:rsidRPr="00C168C5">
              <w:rPr>
                <w:lang w:val="es-ES_tradnl"/>
              </w:rPr>
              <w:t xml:space="preserve"> se celebró en Ginebra del 16 al 18 de febrero de </w:t>
            </w:r>
            <w:r w:rsidRPr="00C168C5">
              <w:rPr>
                <w:lang w:val="es-ES_tradnl"/>
              </w:rPr>
              <w:t xml:space="preserve">2015.  </w:t>
            </w:r>
            <w:r w:rsidR="001B32A7" w:rsidRPr="00C168C5">
              <w:rPr>
                <w:lang w:val="es-ES_tradnl"/>
              </w:rPr>
              <w:t xml:space="preserve">El foro </w:t>
            </w:r>
            <w:r w:rsidR="004814E8" w:rsidRPr="00C168C5">
              <w:rPr>
                <w:lang w:val="es-ES_tradnl"/>
              </w:rPr>
              <w:t>presentó</w:t>
            </w:r>
            <w:r w:rsidR="002C4BAD" w:rsidRPr="00C168C5">
              <w:rPr>
                <w:lang w:val="es-ES_tradnl"/>
              </w:rPr>
              <w:t xml:space="preserve"> ponencias de los expertos de los seis estudios, presentaciones de los cuatro homólogos revisores y seis mesas redondas de discusión con moderador</w:t>
            </w:r>
            <w:r w:rsidR="004814E8" w:rsidRPr="00C168C5">
              <w:rPr>
                <w:lang w:val="es-ES_tradnl"/>
              </w:rPr>
              <w:t xml:space="preserve"> sobre transferencia de tecnología con ocho </w:t>
            </w:r>
            <w:r w:rsidR="00080878" w:rsidRPr="00C168C5">
              <w:rPr>
                <w:lang w:val="es-ES_tradnl"/>
              </w:rPr>
              <w:t>expertos</w:t>
            </w:r>
            <w:r w:rsidR="004814E8" w:rsidRPr="00C168C5">
              <w:rPr>
                <w:lang w:val="es-ES_tradnl"/>
              </w:rPr>
              <w:t xml:space="preserve"> internacionales procedentes de países en desarrollo y desarrollados</w:t>
            </w:r>
            <w:r w:rsidRPr="00C168C5">
              <w:rPr>
                <w:lang w:val="es-ES_tradnl"/>
              </w:rPr>
              <w:t>,</w:t>
            </w:r>
            <w:r w:rsidR="004814E8" w:rsidRPr="00C168C5">
              <w:rPr>
                <w:lang w:val="es-ES_tradnl"/>
              </w:rPr>
              <w:t xml:space="preserve"> seleccionados según los criterios de selección aprobados por el </w:t>
            </w:r>
            <w:r w:rsidRPr="00C168C5">
              <w:rPr>
                <w:lang w:val="es-ES_tradnl"/>
              </w:rPr>
              <w:t xml:space="preserve">CDIP </w:t>
            </w:r>
            <w:r w:rsidR="004814E8" w:rsidRPr="00C168C5">
              <w:rPr>
                <w:lang w:val="es-ES_tradnl"/>
              </w:rPr>
              <w:t xml:space="preserve">en su </w:t>
            </w:r>
            <w:r w:rsidR="00073DFF">
              <w:rPr>
                <w:lang w:val="es-ES_tradnl"/>
              </w:rPr>
              <w:t>decimocuarta</w:t>
            </w:r>
            <w:r w:rsidR="004814E8" w:rsidRPr="00C168C5">
              <w:rPr>
                <w:lang w:val="es-ES_tradnl"/>
              </w:rPr>
              <w:t xml:space="preserve"> sesión</w:t>
            </w:r>
            <w:r w:rsidRPr="00C168C5">
              <w:rPr>
                <w:lang w:val="es-ES_tradnl"/>
              </w:rPr>
              <w:t xml:space="preserve"> (</w:t>
            </w:r>
            <w:r w:rsidR="004814E8" w:rsidRPr="00C168C5">
              <w:rPr>
                <w:lang w:val="es-ES_tradnl"/>
              </w:rPr>
              <w:t>véase el documento</w:t>
            </w:r>
            <w:r w:rsidRPr="00C168C5">
              <w:rPr>
                <w:lang w:val="es-ES_tradnl"/>
              </w:rPr>
              <w:t xml:space="preserve"> </w:t>
            </w:r>
            <w:hyperlink r:id="rId44" w:history="1">
              <w:r w:rsidRPr="00C168C5">
                <w:rPr>
                  <w:rStyle w:val="Hyperlink"/>
                  <w:lang w:val="es-ES_tradnl"/>
                </w:rPr>
                <w:t>CDIP/14/8 Rev. 2</w:t>
              </w:r>
            </w:hyperlink>
            <w:r w:rsidR="004814E8" w:rsidRPr="00C168C5">
              <w:rPr>
                <w:lang w:val="es-ES_tradnl"/>
              </w:rPr>
              <w:t xml:space="preserve">).  Su objetivo consistía en iniciar los debates sobre cómo, dentro del mandato de la OMPI, poder facilitar más el acceso al conocimiento y </w:t>
            </w:r>
            <w:r w:rsidR="001844CE" w:rsidRPr="00C168C5">
              <w:rPr>
                <w:lang w:val="es-ES_tradnl"/>
              </w:rPr>
              <w:t>a la tecnología para</w:t>
            </w:r>
            <w:r w:rsidR="004814E8" w:rsidRPr="00C168C5">
              <w:rPr>
                <w:lang w:val="es-ES_tradnl"/>
              </w:rPr>
              <w:t xml:space="preserve"> los países en desarrollo y los PMA</w:t>
            </w:r>
            <w:r w:rsidRPr="00C168C5">
              <w:rPr>
                <w:lang w:val="es-ES_tradnl"/>
              </w:rPr>
              <w:t xml:space="preserve">.  </w:t>
            </w:r>
          </w:p>
          <w:p w14:paraId="386DA57C" w14:textId="550E45F5" w:rsidR="00C91693" w:rsidRPr="00C168C5" w:rsidRDefault="004814E8" w:rsidP="00243943">
            <w:pPr>
              <w:spacing w:before="120" w:after="120"/>
              <w:ind w:left="34"/>
              <w:rPr>
                <w:lang w:val="es-ES_tradnl"/>
              </w:rPr>
            </w:pPr>
            <w:r w:rsidRPr="00C168C5">
              <w:rPr>
                <w:lang w:val="es-ES_tradnl"/>
              </w:rPr>
              <w:t xml:space="preserve">El </w:t>
            </w:r>
            <w:hyperlink r:id="rId45" w:history="1">
              <w:r w:rsidR="00C91693" w:rsidRPr="00C168C5">
                <w:rPr>
                  <w:rStyle w:val="Hyperlink"/>
                  <w:lang w:val="es-ES_tradnl"/>
                </w:rPr>
                <w:t>progra</w:t>
              </w:r>
              <w:r w:rsidR="00735EFE" w:rsidRPr="00C168C5">
                <w:rPr>
                  <w:rStyle w:val="Hyperlink"/>
                  <w:lang w:val="es-ES_tradnl"/>
                </w:rPr>
                <w:t>ma</w:t>
              </w:r>
            </w:hyperlink>
            <w:r w:rsidRPr="00C168C5">
              <w:rPr>
                <w:lang w:val="es-ES_tradnl"/>
              </w:rPr>
              <w:t>, la</w:t>
            </w:r>
            <w:r w:rsidR="00C91693" w:rsidRPr="00C168C5">
              <w:rPr>
                <w:lang w:val="es-ES_tradnl"/>
              </w:rPr>
              <w:t xml:space="preserve"> </w:t>
            </w:r>
            <w:hyperlink r:id="rId46" w:history="1">
              <w:r w:rsidR="00C91693" w:rsidRPr="00C168C5">
                <w:rPr>
                  <w:rStyle w:val="Hyperlink"/>
                  <w:lang w:val="es-ES_tradnl"/>
                </w:rPr>
                <w:t>list</w:t>
              </w:r>
              <w:r w:rsidRPr="00C168C5">
                <w:rPr>
                  <w:rStyle w:val="Hyperlink"/>
                  <w:lang w:val="es-ES_tradnl"/>
                </w:rPr>
                <w:t>a de biografías</w:t>
              </w:r>
            </w:hyperlink>
            <w:r w:rsidR="00C91693" w:rsidRPr="00C168C5">
              <w:rPr>
                <w:lang w:val="es-ES_tradnl"/>
              </w:rPr>
              <w:t xml:space="preserve"> </w:t>
            </w:r>
            <w:r w:rsidRPr="00C168C5">
              <w:rPr>
                <w:lang w:val="es-ES_tradnl"/>
              </w:rPr>
              <w:t>y las</w:t>
            </w:r>
            <w:r w:rsidR="00C91693" w:rsidRPr="00C168C5">
              <w:rPr>
                <w:lang w:val="es-ES_tradnl"/>
              </w:rPr>
              <w:t xml:space="preserve"> </w:t>
            </w:r>
            <w:hyperlink r:id="rId47" w:history="1">
              <w:r w:rsidR="00C91693" w:rsidRPr="00C168C5">
                <w:rPr>
                  <w:rStyle w:val="Hyperlink"/>
                  <w:lang w:val="es-ES_tradnl"/>
                </w:rPr>
                <w:t>p</w:t>
              </w:r>
              <w:r w:rsidRPr="00C168C5">
                <w:rPr>
                  <w:rStyle w:val="Hyperlink"/>
                  <w:lang w:val="es-ES_tradnl"/>
                </w:rPr>
                <w:t>onencias</w:t>
              </w:r>
            </w:hyperlink>
            <w:r w:rsidR="00C91693" w:rsidRPr="00C168C5">
              <w:rPr>
                <w:lang w:val="es-ES_tradnl"/>
              </w:rPr>
              <w:t xml:space="preserve"> </w:t>
            </w:r>
            <w:r w:rsidRPr="00C168C5">
              <w:rPr>
                <w:lang w:val="es-ES_tradnl"/>
              </w:rPr>
              <w:t xml:space="preserve">presentadas en dicho acto están disponibles en el sitio web de la conferencia </w:t>
            </w:r>
            <w:r w:rsidR="00C91693" w:rsidRPr="00C168C5">
              <w:rPr>
                <w:lang w:val="es-ES_tradnl"/>
              </w:rPr>
              <w:t>(</w:t>
            </w:r>
            <w:r w:rsidRPr="00C168C5">
              <w:rPr>
                <w:lang w:val="es-ES_tradnl"/>
              </w:rPr>
              <w:t>véase</w:t>
            </w:r>
            <w:r w:rsidR="00C91693" w:rsidRPr="00C168C5">
              <w:rPr>
                <w:lang w:val="es-ES_tradnl"/>
              </w:rPr>
              <w:t xml:space="preserve"> </w:t>
            </w:r>
            <w:hyperlink r:id="rId48" w:history="1">
              <w:r w:rsidR="00C91693" w:rsidRPr="00C168C5">
                <w:rPr>
                  <w:rStyle w:val="Hyperlink"/>
                  <w:lang w:val="es-ES_tradnl"/>
                </w:rPr>
                <w:t>http://www.wipo.int/meetings/en/details.jsp?meeting_id=35562</w:t>
              </w:r>
            </w:hyperlink>
            <w:r w:rsidR="00C91693" w:rsidRPr="00C168C5">
              <w:rPr>
                <w:lang w:val="es-ES_tradnl"/>
              </w:rPr>
              <w:t xml:space="preserve">).  </w:t>
            </w:r>
            <w:r w:rsidR="00735EFE" w:rsidRPr="00C168C5">
              <w:rPr>
                <w:lang w:val="es-ES_tradnl"/>
              </w:rPr>
              <w:t>Al</w:t>
            </w:r>
            <w:r w:rsidR="00FC4556" w:rsidRPr="00C168C5">
              <w:rPr>
                <w:lang w:val="es-ES_tradnl"/>
              </w:rPr>
              <w:t xml:space="preserve"> acto asistieron unos</w:t>
            </w:r>
            <w:r w:rsidR="00C91693" w:rsidRPr="00C168C5">
              <w:rPr>
                <w:lang w:val="es-ES_tradnl"/>
              </w:rPr>
              <w:t xml:space="preserve"> 130 </w:t>
            </w:r>
            <w:hyperlink r:id="rId49" w:history="1">
              <w:r w:rsidR="00C91693" w:rsidRPr="00C168C5">
                <w:rPr>
                  <w:rStyle w:val="Hyperlink"/>
                  <w:lang w:val="es-ES_tradnl"/>
                </w:rPr>
                <w:t>participant</w:t>
              </w:r>
              <w:r w:rsidR="00FC4556" w:rsidRPr="00C168C5">
                <w:rPr>
                  <w:rStyle w:val="Hyperlink"/>
                  <w:lang w:val="es-ES_tradnl"/>
                </w:rPr>
                <w:t>e</w:t>
              </w:r>
              <w:r w:rsidR="00C91693" w:rsidRPr="00C168C5">
                <w:rPr>
                  <w:rStyle w:val="Hyperlink"/>
                  <w:lang w:val="es-ES_tradnl"/>
                </w:rPr>
                <w:t>s</w:t>
              </w:r>
            </w:hyperlink>
            <w:r w:rsidR="00C91693" w:rsidRPr="00C168C5">
              <w:rPr>
                <w:lang w:val="es-ES_tradnl"/>
              </w:rPr>
              <w:t xml:space="preserve">.  </w:t>
            </w:r>
            <w:r w:rsidR="00FC4556" w:rsidRPr="00C168C5">
              <w:rPr>
                <w:lang w:val="es-ES_tradnl"/>
              </w:rPr>
              <w:t xml:space="preserve">Todos los </w:t>
            </w:r>
            <w:r w:rsidR="00A55728" w:rsidRPr="00C168C5">
              <w:rPr>
                <w:lang w:val="es-ES_tradnl"/>
              </w:rPr>
              <w:t>debates de los tres días del acto fueron difundidos a través del sitio web de la OMPI</w:t>
            </w:r>
            <w:r w:rsidR="00C91693" w:rsidRPr="00C168C5">
              <w:rPr>
                <w:lang w:val="es-ES_tradnl"/>
              </w:rPr>
              <w:t xml:space="preserve">.  </w:t>
            </w:r>
            <w:r w:rsidR="00A55728" w:rsidRPr="00C168C5">
              <w:rPr>
                <w:lang w:val="es-ES_tradnl"/>
              </w:rPr>
              <w:t xml:space="preserve">En el mismo sitio están disponibles a la carta los videos de los tres días.  Las </w:t>
            </w:r>
            <w:r w:rsidR="00C91693" w:rsidRPr="00C168C5">
              <w:rPr>
                <w:lang w:val="es-ES_tradnl"/>
              </w:rPr>
              <w:t>“</w:t>
            </w:r>
            <w:r w:rsidR="00A55728" w:rsidRPr="00C168C5">
              <w:rPr>
                <w:lang w:val="es-ES_tradnl"/>
              </w:rPr>
              <w:t>ideas de los expertos</w:t>
            </w:r>
            <w:r w:rsidR="00C91693" w:rsidRPr="00C168C5">
              <w:rPr>
                <w:lang w:val="es-ES_tradnl"/>
              </w:rPr>
              <w:t>”,</w:t>
            </w:r>
            <w:r w:rsidR="00A55728" w:rsidRPr="00C168C5">
              <w:rPr>
                <w:lang w:val="es-ES_tradnl"/>
              </w:rPr>
              <w:t xml:space="preserve"> acordadas en el foro para </w:t>
            </w:r>
            <w:r w:rsidR="00D12781" w:rsidRPr="00C168C5">
              <w:rPr>
                <w:lang w:val="es-ES_tradnl"/>
              </w:rPr>
              <w:t xml:space="preserve">someterlas al examen y aprobación del </w:t>
            </w:r>
            <w:r w:rsidR="00C91693" w:rsidRPr="00C168C5">
              <w:rPr>
                <w:lang w:val="es-ES_tradnl"/>
              </w:rPr>
              <w:t xml:space="preserve">CDIP </w:t>
            </w:r>
            <w:r w:rsidR="00D12781" w:rsidRPr="00C168C5">
              <w:rPr>
                <w:lang w:val="es-ES_tradnl"/>
              </w:rPr>
              <w:t xml:space="preserve">con el objetivo de </w:t>
            </w:r>
            <w:r w:rsidR="00735EFE" w:rsidRPr="00C168C5">
              <w:rPr>
                <w:lang w:val="es-ES_tradnl"/>
              </w:rPr>
              <w:t>quedar reflejadas</w:t>
            </w:r>
            <w:r w:rsidR="00D12781" w:rsidRPr="00C168C5">
              <w:rPr>
                <w:lang w:val="es-ES_tradnl"/>
              </w:rPr>
              <w:t xml:space="preserve"> en los programas de trabajo de la OMPI</w:t>
            </w:r>
            <w:r w:rsidR="00C91693" w:rsidRPr="00C168C5">
              <w:rPr>
                <w:lang w:val="es-ES_tradnl"/>
              </w:rPr>
              <w:t xml:space="preserve">, </w:t>
            </w:r>
            <w:r w:rsidR="00D12781" w:rsidRPr="00C168C5">
              <w:rPr>
                <w:lang w:val="es-ES_tradnl"/>
              </w:rPr>
              <w:t>se presentaron en el informe final de dicho foro</w:t>
            </w:r>
            <w:r w:rsidR="00C91693" w:rsidRPr="00C168C5">
              <w:rPr>
                <w:lang w:val="es-ES_tradnl"/>
              </w:rPr>
              <w:t xml:space="preserve"> (</w:t>
            </w:r>
            <w:r w:rsidR="00D12781" w:rsidRPr="00C168C5">
              <w:rPr>
                <w:lang w:val="es-ES_tradnl"/>
              </w:rPr>
              <w:t xml:space="preserve">véase el documento </w:t>
            </w:r>
            <w:hyperlink r:id="rId50" w:history="1">
              <w:r w:rsidR="00C91693" w:rsidRPr="00C168C5">
                <w:rPr>
                  <w:rStyle w:val="Hyperlink"/>
                  <w:lang w:val="es-ES_tradnl"/>
                </w:rPr>
                <w:t>CDIP/15/5</w:t>
              </w:r>
            </w:hyperlink>
            <w:r w:rsidR="00C91693" w:rsidRPr="00C168C5">
              <w:rPr>
                <w:lang w:val="es-ES_tradnl"/>
              </w:rPr>
              <w:t xml:space="preserve">).  </w:t>
            </w:r>
            <w:r w:rsidR="00735EFE" w:rsidRPr="00C168C5">
              <w:rPr>
                <w:lang w:val="es-ES_tradnl"/>
              </w:rPr>
              <w:t>El CDIP, en su d</w:t>
            </w:r>
            <w:r w:rsidR="00073DFF">
              <w:rPr>
                <w:lang w:val="es-ES_tradnl"/>
              </w:rPr>
              <w:t>e</w:t>
            </w:r>
            <w:r w:rsidR="00735EFE" w:rsidRPr="00C168C5">
              <w:rPr>
                <w:lang w:val="es-ES_tradnl"/>
              </w:rPr>
              <w:t>cim</w:t>
            </w:r>
            <w:r w:rsidR="00073DFF">
              <w:rPr>
                <w:lang w:val="es-ES_tradnl"/>
              </w:rPr>
              <w:t>o</w:t>
            </w:r>
            <w:r w:rsidR="00D12781" w:rsidRPr="00C168C5">
              <w:rPr>
                <w:lang w:val="es-ES_tradnl"/>
              </w:rPr>
              <w:t xml:space="preserve">quinta sesión, decidió tomar nota del informe y proseguir con los debates </w:t>
            </w:r>
            <w:r w:rsidR="00CB0D70" w:rsidRPr="00C168C5">
              <w:rPr>
                <w:lang w:val="es-ES_tradnl"/>
              </w:rPr>
              <w:t xml:space="preserve">al respecto en su próxima sesión </w:t>
            </w:r>
            <w:r w:rsidR="00C91693" w:rsidRPr="00C168C5">
              <w:rPr>
                <w:lang w:val="es-ES_tradnl"/>
              </w:rPr>
              <w:t>(</w:t>
            </w:r>
            <w:r w:rsidR="00CB0D70" w:rsidRPr="00C168C5">
              <w:rPr>
                <w:lang w:val="es-ES_tradnl"/>
              </w:rPr>
              <w:t xml:space="preserve">véase el documento </w:t>
            </w:r>
            <w:hyperlink r:id="rId51" w:history="1">
              <w:r w:rsidR="00C91693" w:rsidRPr="00C168C5">
                <w:rPr>
                  <w:rStyle w:val="Hyperlink"/>
                  <w:lang w:val="es-ES_tradnl"/>
                </w:rPr>
                <w:t>CDIP/15/8 Prov.</w:t>
              </w:r>
            </w:hyperlink>
            <w:r w:rsidR="00C91693" w:rsidRPr="00C168C5">
              <w:rPr>
                <w:lang w:val="es-ES_tradnl"/>
              </w:rPr>
              <w:t>, p</w:t>
            </w:r>
            <w:r w:rsidR="00CB0D70" w:rsidRPr="00C168C5">
              <w:rPr>
                <w:lang w:val="es-ES_tradnl"/>
              </w:rPr>
              <w:t>árrafo</w:t>
            </w:r>
            <w:r w:rsidR="00C91693" w:rsidRPr="00C168C5">
              <w:rPr>
                <w:lang w:val="es-ES_tradnl"/>
              </w:rPr>
              <w:t xml:space="preserve"> 267). </w:t>
            </w:r>
          </w:p>
          <w:p w14:paraId="617253AC" w14:textId="1289C8DA" w:rsidR="00C91693" w:rsidRPr="00C168C5" w:rsidRDefault="00C91693" w:rsidP="00243943">
            <w:pPr>
              <w:spacing w:before="120" w:after="120"/>
              <w:ind w:left="34"/>
              <w:rPr>
                <w:lang w:val="es-ES_tradnl"/>
              </w:rPr>
            </w:pPr>
            <w:r w:rsidRPr="00C168C5">
              <w:rPr>
                <w:u w:val="single"/>
                <w:lang w:val="es-ES_tradnl"/>
              </w:rPr>
              <w:t>Activi</w:t>
            </w:r>
            <w:r w:rsidR="00DA539F" w:rsidRPr="00C168C5">
              <w:rPr>
                <w:u w:val="single"/>
                <w:lang w:val="es-ES_tradnl"/>
              </w:rPr>
              <w:t>dad</w:t>
            </w:r>
            <w:r w:rsidRPr="00C168C5">
              <w:rPr>
                <w:u w:val="single"/>
                <w:lang w:val="es-ES_tradnl"/>
              </w:rPr>
              <w:t xml:space="preserve"> 6:</w:t>
            </w:r>
            <w:r w:rsidRPr="00C168C5">
              <w:rPr>
                <w:lang w:val="es-ES_tradnl"/>
              </w:rPr>
              <w:t xml:space="preserve">  </w:t>
            </w:r>
            <w:r w:rsidR="00DA539F" w:rsidRPr="00C168C5">
              <w:rPr>
                <w:lang w:val="es-ES_tradnl"/>
              </w:rPr>
              <w:t>En el momento de redacción del presente documento</w:t>
            </w:r>
            <w:r w:rsidRPr="00C168C5">
              <w:rPr>
                <w:lang w:val="es-ES_tradnl"/>
              </w:rPr>
              <w:t xml:space="preserve">, </w:t>
            </w:r>
            <w:r w:rsidR="00DA539F" w:rsidRPr="00C168C5">
              <w:rPr>
                <w:lang w:val="es-ES_tradnl"/>
              </w:rPr>
              <w:t xml:space="preserve">se había finalizado la versión en borrador </w:t>
            </w:r>
            <w:r w:rsidR="00735EFE" w:rsidRPr="00C168C5">
              <w:rPr>
                <w:lang w:val="es-ES_tradnl"/>
              </w:rPr>
              <w:t>d</w:t>
            </w:r>
            <w:r w:rsidR="00DA539F" w:rsidRPr="00C168C5">
              <w:rPr>
                <w:lang w:val="es-ES_tradnl"/>
              </w:rPr>
              <w:t xml:space="preserve">el foro en Internet sobre </w:t>
            </w:r>
            <w:r w:rsidRPr="00C168C5">
              <w:rPr>
                <w:lang w:val="es-ES_tradnl"/>
              </w:rPr>
              <w:t>“</w:t>
            </w:r>
            <w:r w:rsidR="00DA539F" w:rsidRPr="00C168C5">
              <w:rPr>
                <w:lang w:val="es-ES_tradnl"/>
              </w:rPr>
              <w:t>P.I. y transferencia de tecnología: desafíos comunes y búsqueda de soluciones”</w:t>
            </w:r>
            <w:r w:rsidRPr="00C168C5">
              <w:rPr>
                <w:lang w:val="es-ES_tradnl"/>
              </w:rPr>
              <w:t xml:space="preserve">.  </w:t>
            </w:r>
            <w:r w:rsidR="00DA539F" w:rsidRPr="00C168C5">
              <w:rPr>
                <w:lang w:val="es-ES_tradnl"/>
              </w:rPr>
              <w:t xml:space="preserve">Se espera contar con el foro de Internet </w:t>
            </w:r>
            <w:r w:rsidR="00073DFF">
              <w:rPr>
                <w:lang w:val="es-ES_tradnl"/>
              </w:rPr>
              <w:t>funcionando para la decimo</w:t>
            </w:r>
            <w:r w:rsidR="004A0E7F" w:rsidRPr="00C168C5">
              <w:rPr>
                <w:lang w:val="es-ES_tradnl"/>
              </w:rPr>
              <w:t xml:space="preserve">sexta sesión del </w:t>
            </w:r>
            <w:r w:rsidRPr="00C168C5">
              <w:rPr>
                <w:lang w:val="es-ES_tradnl"/>
              </w:rPr>
              <w:t xml:space="preserve">CDIP. </w:t>
            </w:r>
          </w:p>
          <w:p w14:paraId="7A00CE37" w14:textId="6A35505E" w:rsidR="00C91693" w:rsidRPr="00C168C5" w:rsidRDefault="00C91693" w:rsidP="00243943">
            <w:pPr>
              <w:spacing w:before="120" w:after="120"/>
              <w:ind w:left="34"/>
              <w:rPr>
                <w:lang w:val="es-ES_tradnl"/>
              </w:rPr>
            </w:pPr>
            <w:r w:rsidRPr="00C168C5">
              <w:rPr>
                <w:u w:val="single"/>
                <w:lang w:val="es-ES_tradnl"/>
              </w:rPr>
              <w:t>Activi</w:t>
            </w:r>
            <w:r w:rsidR="004A0E7F" w:rsidRPr="00C168C5">
              <w:rPr>
                <w:u w:val="single"/>
                <w:lang w:val="es-ES_tradnl"/>
              </w:rPr>
              <w:t>dad</w:t>
            </w:r>
            <w:r w:rsidRPr="00C168C5">
              <w:rPr>
                <w:u w:val="single"/>
                <w:lang w:val="es-ES_tradnl"/>
              </w:rPr>
              <w:t xml:space="preserve"> 7:</w:t>
            </w:r>
            <w:r w:rsidRPr="00C168C5">
              <w:rPr>
                <w:lang w:val="es-ES_tradnl"/>
              </w:rPr>
              <w:t xml:space="preserve">  </w:t>
            </w:r>
            <w:r w:rsidR="004A0E7F" w:rsidRPr="00C168C5">
              <w:rPr>
                <w:lang w:val="es-ES_tradnl"/>
              </w:rPr>
              <w:t>Por definición y como está previsto en</w:t>
            </w:r>
            <w:r w:rsidR="00624BF5" w:rsidRPr="00C168C5">
              <w:rPr>
                <w:lang w:val="es-ES_tradnl"/>
              </w:rPr>
              <w:t xml:space="preserve"> el documento conceptual aprobad</w:t>
            </w:r>
            <w:r w:rsidR="004A0E7F" w:rsidRPr="00C168C5">
              <w:rPr>
                <w:lang w:val="es-ES_tradnl"/>
              </w:rPr>
              <w:t>o por el</w:t>
            </w:r>
            <w:r w:rsidRPr="00C168C5">
              <w:rPr>
                <w:lang w:val="es-ES_tradnl"/>
              </w:rPr>
              <w:t xml:space="preserve"> CDIP </w:t>
            </w:r>
            <w:r w:rsidR="004A0E7F" w:rsidRPr="00C168C5">
              <w:rPr>
                <w:lang w:val="es-ES_tradnl"/>
              </w:rPr>
              <w:t xml:space="preserve">en su </w:t>
            </w:r>
            <w:r w:rsidR="00073DFF">
              <w:rPr>
                <w:lang w:val="es-ES_tradnl"/>
              </w:rPr>
              <w:t>decimocuarta</w:t>
            </w:r>
            <w:r w:rsidR="004A0E7F" w:rsidRPr="00C168C5">
              <w:rPr>
                <w:lang w:val="es-ES_tradnl"/>
              </w:rPr>
              <w:t xml:space="preserve"> sesión</w:t>
            </w:r>
            <w:r w:rsidRPr="00C168C5">
              <w:rPr>
                <w:lang w:val="es-ES_tradnl"/>
              </w:rPr>
              <w:t xml:space="preserve">, </w:t>
            </w:r>
            <w:r w:rsidR="00624BF5" w:rsidRPr="00C168C5">
              <w:rPr>
                <w:lang w:val="es-ES_tradnl"/>
              </w:rPr>
              <w:t xml:space="preserve">la preparación para incorporar cualquier resultado de las actividades del proyecto a los programas de trabajo de la OMPI solo podrá comenzar tras el examen y la aprobación por éste de cualquier </w:t>
            </w:r>
            <w:r w:rsidR="00624BF5" w:rsidRPr="00C168C5">
              <w:rPr>
                <w:lang w:val="es-ES_tradnl"/>
              </w:rPr>
              <w:lastRenderedPageBreak/>
              <w:t xml:space="preserve">recomendación posible que tenga a bien hacer a la </w:t>
            </w:r>
            <w:r w:rsidR="00080878" w:rsidRPr="00C168C5">
              <w:rPr>
                <w:lang w:val="es-ES_tradnl"/>
              </w:rPr>
              <w:t>Asamblea</w:t>
            </w:r>
            <w:r w:rsidR="00624BF5" w:rsidRPr="00C168C5">
              <w:rPr>
                <w:lang w:val="es-ES_tradnl"/>
              </w:rPr>
              <w:t xml:space="preserve"> General</w:t>
            </w:r>
            <w:r w:rsidRPr="00C168C5">
              <w:rPr>
                <w:lang w:val="es-ES_tradnl"/>
              </w:rPr>
              <w:t>.</w:t>
            </w:r>
          </w:p>
          <w:p w14:paraId="2563A831" w14:textId="342A3CFF" w:rsidR="00C91693" w:rsidRPr="00C168C5" w:rsidRDefault="00080878" w:rsidP="00073DFF">
            <w:pPr>
              <w:spacing w:before="120" w:after="120"/>
              <w:rPr>
                <w:lang w:val="es-ES_tradnl"/>
              </w:rPr>
            </w:pPr>
            <w:r w:rsidRPr="00C168C5">
              <w:rPr>
                <w:lang w:val="es-ES_tradnl"/>
              </w:rPr>
              <w:t>Evaluadores</w:t>
            </w:r>
            <w:r w:rsidR="0076212A" w:rsidRPr="00C168C5">
              <w:rPr>
                <w:lang w:val="es-ES_tradnl"/>
              </w:rPr>
              <w:t xml:space="preserve"> externos han examinado el proyecto (S</w:t>
            </w:r>
            <w:r w:rsidR="00C91693" w:rsidRPr="00C168C5">
              <w:rPr>
                <w:lang w:val="es-ES_tradnl"/>
              </w:rPr>
              <w:t xml:space="preserve">r. Daniel Keller </w:t>
            </w:r>
            <w:r w:rsidR="0076212A" w:rsidRPr="00C168C5">
              <w:rPr>
                <w:lang w:val="es-ES_tradnl"/>
              </w:rPr>
              <w:t xml:space="preserve">y Sr. Rashid Khan), cuyo informe se presenta en el documento </w:t>
            </w:r>
            <w:hyperlink r:id="rId52" w:history="1">
              <w:r w:rsidR="00C91693" w:rsidRPr="00C168C5">
                <w:rPr>
                  <w:rStyle w:val="Hyperlink"/>
                  <w:lang w:val="es-ES_tradnl"/>
                </w:rPr>
                <w:t>CDIP/16/3</w:t>
              </w:r>
            </w:hyperlink>
            <w:r w:rsidR="0076212A" w:rsidRPr="00C168C5">
              <w:rPr>
                <w:lang w:val="es-ES_tradnl"/>
              </w:rPr>
              <w:t xml:space="preserve"> y del cual se invita al </w:t>
            </w:r>
            <w:r w:rsidR="00C91693" w:rsidRPr="00C168C5">
              <w:rPr>
                <w:lang w:val="es-ES_tradnl"/>
              </w:rPr>
              <w:t xml:space="preserve">CDIP </w:t>
            </w:r>
            <w:r w:rsidR="00073DFF">
              <w:rPr>
                <w:lang w:val="es-ES_tradnl"/>
              </w:rPr>
              <w:t>a tomar nota en su decimo</w:t>
            </w:r>
            <w:r w:rsidR="0076212A" w:rsidRPr="00C168C5">
              <w:rPr>
                <w:lang w:val="es-ES_tradnl"/>
              </w:rPr>
              <w:t>sexta sesión</w:t>
            </w:r>
            <w:r w:rsidR="00C91693" w:rsidRPr="00C168C5">
              <w:rPr>
                <w:lang w:val="es-ES_tradnl"/>
              </w:rPr>
              <w:t>.</w:t>
            </w:r>
          </w:p>
        </w:tc>
      </w:tr>
      <w:tr w:rsidR="00C91693" w:rsidRPr="00C168C5" w14:paraId="61201D34" w14:textId="77777777" w:rsidTr="00243943">
        <w:trPr>
          <w:trHeight w:val="1212"/>
        </w:trPr>
        <w:tc>
          <w:tcPr>
            <w:tcW w:w="2376" w:type="dxa"/>
            <w:shd w:val="clear" w:color="auto" w:fill="auto"/>
          </w:tcPr>
          <w:p w14:paraId="32AFAC4D" w14:textId="7B3859B7" w:rsidR="00C91693" w:rsidRPr="00C168C5" w:rsidRDefault="00DB6A73" w:rsidP="00243943">
            <w:pPr>
              <w:pStyle w:val="Heading3"/>
              <w:keepNext w:val="0"/>
              <w:spacing w:before="120" w:after="120"/>
              <w:rPr>
                <w:lang w:val="es-ES_tradnl"/>
              </w:rPr>
            </w:pPr>
            <w:r w:rsidRPr="00C168C5">
              <w:rPr>
                <w:szCs w:val="22"/>
                <w:lang w:val="es-ES_tradnl"/>
              </w:rPr>
              <w:lastRenderedPageBreak/>
              <w:t>Resultados/incidencia del proyecto y principales enseñanzas extraídas</w:t>
            </w:r>
          </w:p>
        </w:tc>
        <w:tc>
          <w:tcPr>
            <w:tcW w:w="6912" w:type="dxa"/>
            <w:vAlign w:val="center"/>
          </w:tcPr>
          <w:p w14:paraId="1871CF08" w14:textId="2117CE52" w:rsidR="00C91693" w:rsidRPr="00C168C5" w:rsidRDefault="00DB6A73" w:rsidP="00DB6A73">
            <w:pPr>
              <w:spacing w:before="120" w:after="120"/>
              <w:ind w:left="34"/>
              <w:rPr>
                <w:color w:val="000000"/>
                <w:szCs w:val="22"/>
                <w:lang w:val="es-ES_tradnl"/>
              </w:rPr>
            </w:pPr>
            <w:r w:rsidRPr="00C168C5">
              <w:rPr>
                <w:lang w:val="es-ES_tradnl"/>
              </w:rPr>
              <w:t xml:space="preserve">Véase el informe de evaluación sobre el proyecto establecido en el documento </w:t>
            </w:r>
            <w:hyperlink r:id="rId53" w:history="1">
              <w:r w:rsidR="00C91693" w:rsidRPr="00C168C5">
                <w:rPr>
                  <w:rStyle w:val="Hyperlink"/>
                  <w:lang w:val="es-ES_tradnl"/>
                </w:rPr>
                <w:t>CDIP/16/3</w:t>
              </w:r>
            </w:hyperlink>
            <w:r w:rsidR="00C91693" w:rsidRPr="00C168C5">
              <w:rPr>
                <w:lang w:val="es-ES_tradnl"/>
              </w:rPr>
              <w:t xml:space="preserve">. </w:t>
            </w:r>
          </w:p>
        </w:tc>
      </w:tr>
      <w:tr w:rsidR="00C91693" w:rsidRPr="00C168C5" w14:paraId="69B2C11B" w14:textId="77777777" w:rsidTr="00243943">
        <w:trPr>
          <w:trHeight w:val="848"/>
        </w:trPr>
        <w:tc>
          <w:tcPr>
            <w:tcW w:w="2376" w:type="dxa"/>
            <w:shd w:val="clear" w:color="auto" w:fill="auto"/>
          </w:tcPr>
          <w:p w14:paraId="280D2FAE" w14:textId="71471E0B" w:rsidR="00C91693" w:rsidRPr="00C168C5" w:rsidRDefault="00526DAC" w:rsidP="00243943">
            <w:pPr>
              <w:pStyle w:val="Heading3"/>
              <w:keepNext w:val="0"/>
              <w:spacing w:before="120" w:after="120"/>
              <w:rPr>
                <w:lang w:val="es-ES_tradnl"/>
              </w:rPr>
            </w:pPr>
            <w:r w:rsidRPr="00C168C5">
              <w:rPr>
                <w:lang w:val="es-ES_tradnl"/>
              </w:rPr>
              <w:t>Porcentaje de ejecución del proyecto</w:t>
            </w:r>
          </w:p>
        </w:tc>
        <w:tc>
          <w:tcPr>
            <w:tcW w:w="6912" w:type="dxa"/>
          </w:tcPr>
          <w:p w14:paraId="1CEAED3F" w14:textId="77777777" w:rsidR="00C91693" w:rsidRPr="00C168C5" w:rsidRDefault="00C91693" w:rsidP="00243943">
            <w:pPr>
              <w:rPr>
                <w:lang w:val="es-ES_tradnl"/>
              </w:rPr>
            </w:pPr>
          </w:p>
          <w:p w14:paraId="350A5D87" w14:textId="40FA8524" w:rsidR="00C91693" w:rsidRPr="00C168C5" w:rsidRDefault="00526DAC" w:rsidP="00526DAC">
            <w:pPr>
              <w:rPr>
                <w:iCs/>
                <w:lang w:val="es-ES_tradnl"/>
              </w:rPr>
            </w:pPr>
            <w:r w:rsidRPr="00C168C5">
              <w:rPr>
                <w:iCs/>
                <w:lang w:val="es-ES_tradnl"/>
              </w:rPr>
              <w:t>Porcentaje de utilización del presupuesto a finales de julio de 2015:  77%.</w:t>
            </w:r>
          </w:p>
        </w:tc>
      </w:tr>
      <w:tr w:rsidR="00C91693" w:rsidRPr="00C168C5" w14:paraId="2AD1D327" w14:textId="77777777" w:rsidTr="00243943">
        <w:trPr>
          <w:trHeight w:val="848"/>
        </w:trPr>
        <w:tc>
          <w:tcPr>
            <w:tcW w:w="2376" w:type="dxa"/>
            <w:shd w:val="clear" w:color="auto" w:fill="auto"/>
          </w:tcPr>
          <w:p w14:paraId="09A72A70" w14:textId="5F419A4E" w:rsidR="00C91693" w:rsidRPr="00C168C5" w:rsidRDefault="00F32562" w:rsidP="00243943">
            <w:pPr>
              <w:pStyle w:val="Heading3"/>
              <w:keepNext w:val="0"/>
              <w:spacing w:before="120" w:after="120"/>
              <w:rPr>
                <w:lang w:val="es-ES_tradnl"/>
              </w:rPr>
            </w:pPr>
            <w:r w:rsidRPr="00C168C5">
              <w:rPr>
                <w:lang w:val="es-ES_tradnl"/>
              </w:rPr>
              <w:t>Informes previos</w:t>
            </w:r>
          </w:p>
        </w:tc>
        <w:tc>
          <w:tcPr>
            <w:tcW w:w="6912" w:type="dxa"/>
          </w:tcPr>
          <w:p w14:paraId="6D13C74D" w14:textId="75B2800D" w:rsidR="00C91693" w:rsidRPr="00C168C5" w:rsidRDefault="00F32562" w:rsidP="00073DFF">
            <w:pPr>
              <w:spacing w:before="120" w:after="120"/>
              <w:rPr>
                <w:iCs/>
                <w:lang w:val="es-ES_tradnl"/>
              </w:rPr>
            </w:pPr>
            <w:r w:rsidRPr="00C168C5">
              <w:rPr>
                <w:iCs/>
                <w:lang w:val="es-ES_tradnl"/>
              </w:rPr>
              <w:t>El primer informe sobre la marcha del proyecto, documento</w:t>
            </w:r>
            <w:r w:rsidR="00C91693" w:rsidRPr="00C168C5">
              <w:rPr>
                <w:iCs/>
                <w:lang w:val="es-ES_tradnl"/>
              </w:rPr>
              <w:t xml:space="preserve"> </w:t>
            </w:r>
            <w:hyperlink r:id="rId54" w:history="1">
              <w:r w:rsidR="00C91693" w:rsidRPr="00C168C5">
                <w:rPr>
                  <w:rStyle w:val="Hyperlink"/>
                  <w:iCs/>
                  <w:lang w:val="es-ES_tradnl"/>
                </w:rPr>
                <w:t>CDIP/8/2</w:t>
              </w:r>
            </w:hyperlink>
            <w:r w:rsidR="00C91693" w:rsidRPr="00C168C5">
              <w:rPr>
                <w:iCs/>
                <w:lang w:val="es-ES_tradnl"/>
              </w:rPr>
              <w:t xml:space="preserve"> (p</w:t>
            </w:r>
            <w:r w:rsidR="00A144E6" w:rsidRPr="00C168C5">
              <w:rPr>
                <w:iCs/>
                <w:lang w:val="es-ES_tradnl"/>
              </w:rPr>
              <w:t>áginas 151-157</w:t>
            </w:r>
            <w:r w:rsidR="00C91693" w:rsidRPr="00C168C5">
              <w:rPr>
                <w:iCs/>
                <w:lang w:val="es-ES_tradnl"/>
              </w:rPr>
              <w:t>),</w:t>
            </w:r>
            <w:r w:rsidR="00083412" w:rsidRPr="00C168C5">
              <w:rPr>
                <w:iCs/>
                <w:lang w:val="es-ES_tradnl"/>
              </w:rPr>
              <w:t xml:space="preserve"> fue presentado al </w:t>
            </w:r>
            <w:r w:rsidR="00C91693" w:rsidRPr="00C168C5">
              <w:rPr>
                <w:iCs/>
                <w:lang w:val="es-ES_tradnl"/>
              </w:rPr>
              <w:t xml:space="preserve">CDIP </w:t>
            </w:r>
            <w:r w:rsidR="00083412" w:rsidRPr="00C168C5">
              <w:rPr>
                <w:iCs/>
                <w:lang w:val="es-ES_tradnl"/>
              </w:rPr>
              <w:t xml:space="preserve">en su octava sesión, celebrada en noviembre de 2011.  El segundo informe sobre la marcha del proyecto, documento </w:t>
            </w:r>
            <w:hyperlink r:id="rId55" w:history="1">
              <w:r w:rsidR="00083412" w:rsidRPr="00C168C5">
                <w:rPr>
                  <w:rStyle w:val="Hyperlink"/>
                  <w:iCs/>
                  <w:lang w:val="es-ES_tradnl"/>
                </w:rPr>
                <w:t>CDIP/10/2</w:t>
              </w:r>
            </w:hyperlink>
            <w:r w:rsidR="00083412" w:rsidRPr="00C168C5">
              <w:rPr>
                <w:iCs/>
                <w:lang w:val="es-ES_tradnl"/>
              </w:rPr>
              <w:t xml:space="preserve"> (páginas </w:t>
            </w:r>
            <w:r w:rsidR="003B0DAE" w:rsidRPr="00C168C5">
              <w:rPr>
                <w:iCs/>
                <w:lang w:val="es-ES_tradnl"/>
              </w:rPr>
              <w:t>80-86</w:t>
            </w:r>
            <w:r w:rsidR="00083412" w:rsidRPr="00C168C5">
              <w:rPr>
                <w:iCs/>
                <w:lang w:val="es-ES_tradnl"/>
              </w:rPr>
              <w:t>), fue presentado al CDIP en su décima sesión, celebrada en noviembre de 2012.</w:t>
            </w:r>
            <w:r w:rsidR="00C91693" w:rsidRPr="00C168C5">
              <w:rPr>
                <w:iCs/>
                <w:lang w:val="es-ES_tradnl"/>
              </w:rPr>
              <w:t xml:space="preserve"> </w:t>
            </w:r>
            <w:r w:rsidR="00083412" w:rsidRPr="00C168C5">
              <w:rPr>
                <w:iCs/>
                <w:lang w:val="es-ES_tradnl"/>
              </w:rPr>
              <w:t xml:space="preserve"> El tercer informe sobre la marcha del proyecto, documento</w:t>
            </w:r>
            <w:r w:rsidR="00C91693" w:rsidRPr="00C168C5">
              <w:rPr>
                <w:iCs/>
                <w:lang w:val="es-ES_tradnl"/>
              </w:rPr>
              <w:t xml:space="preserve"> </w:t>
            </w:r>
            <w:hyperlink r:id="rId56" w:history="1">
              <w:r w:rsidR="00C91693" w:rsidRPr="00C168C5">
                <w:rPr>
                  <w:rStyle w:val="Hyperlink"/>
                  <w:iCs/>
                  <w:lang w:val="es-ES_tradnl"/>
                </w:rPr>
                <w:t>CDIP/12/2</w:t>
              </w:r>
            </w:hyperlink>
            <w:r w:rsidR="00C91693" w:rsidRPr="00C168C5">
              <w:rPr>
                <w:iCs/>
                <w:lang w:val="es-ES_tradnl"/>
              </w:rPr>
              <w:t xml:space="preserve"> (p</w:t>
            </w:r>
            <w:r w:rsidR="00083412" w:rsidRPr="00C168C5">
              <w:rPr>
                <w:iCs/>
                <w:lang w:val="es-ES_tradnl"/>
              </w:rPr>
              <w:t>áginas</w:t>
            </w:r>
            <w:r w:rsidR="00C91693" w:rsidRPr="00C168C5">
              <w:rPr>
                <w:iCs/>
                <w:lang w:val="es-ES_tradnl"/>
              </w:rPr>
              <w:t xml:space="preserve"> </w:t>
            </w:r>
            <w:r w:rsidR="003B0DAE" w:rsidRPr="00C168C5">
              <w:rPr>
                <w:iCs/>
                <w:lang w:val="es-ES_tradnl"/>
              </w:rPr>
              <w:t>55-65)</w:t>
            </w:r>
            <w:r w:rsidR="00C91693" w:rsidRPr="00C168C5">
              <w:rPr>
                <w:iCs/>
                <w:lang w:val="es-ES_tradnl"/>
              </w:rPr>
              <w:t xml:space="preserve">, </w:t>
            </w:r>
            <w:r w:rsidR="00083412" w:rsidRPr="00C168C5">
              <w:rPr>
                <w:iCs/>
                <w:lang w:val="es-ES_tradnl"/>
              </w:rPr>
              <w:t xml:space="preserve">fue presentado al </w:t>
            </w:r>
            <w:r w:rsidR="00C91693" w:rsidRPr="00C168C5">
              <w:rPr>
                <w:iCs/>
                <w:lang w:val="es-ES_tradnl"/>
              </w:rPr>
              <w:t xml:space="preserve">CDIP </w:t>
            </w:r>
            <w:r w:rsidR="00073DFF">
              <w:rPr>
                <w:iCs/>
                <w:lang w:val="es-ES_tradnl"/>
              </w:rPr>
              <w:t>en su decimo</w:t>
            </w:r>
            <w:r w:rsidR="00083412" w:rsidRPr="00C168C5">
              <w:rPr>
                <w:iCs/>
                <w:lang w:val="es-ES_tradnl"/>
              </w:rPr>
              <w:t xml:space="preserve">segunda sesión de noviembre de </w:t>
            </w:r>
            <w:r w:rsidR="00C91693" w:rsidRPr="00C168C5">
              <w:rPr>
                <w:iCs/>
                <w:lang w:val="es-ES_tradnl"/>
              </w:rPr>
              <w:t>2013.</w:t>
            </w:r>
            <w:r w:rsidR="00DB3E4A" w:rsidRPr="00C168C5">
              <w:rPr>
                <w:iCs/>
                <w:lang w:val="es-ES_tradnl"/>
              </w:rPr>
              <w:t xml:space="preserve"> </w:t>
            </w:r>
            <w:r w:rsidR="00C91693" w:rsidRPr="00C168C5">
              <w:rPr>
                <w:lang w:val="es-ES_tradnl"/>
              </w:rPr>
              <w:t xml:space="preserve"> </w:t>
            </w:r>
            <w:r w:rsidR="00083412" w:rsidRPr="00C168C5">
              <w:rPr>
                <w:lang w:val="es-ES_tradnl"/>
              </w:rPr>
              <w:t>El cuarto informe sobre la marcha del proyecto</w:t>
            </w:r>
            <w:r w:rsidR="00C91693" w:rsidRPr="00C168C5">
              <w:rPr>
                <w:iCs/>
                <w:lang w:val="es-ES_tradnl"/>
              </w:rPr>
              <w:t>,</w:t>
            </w:r>
            <w:r w:rsidR="00083412" w:rsidRPr="00C168C5">
              <w:rPr>
                <w:iCs/>
                <w:lang w:val="es-ES_tradnl"/>
              </w:rPr>
              <w:t xml:space="preserve"> en el documento </w:t>
            </w:r>
            <w:hyperlink r:id="rId57" w:history="1">
              <w:r w:rsidR="00C91693" w:rsidRPr="00C168C5">
                <w:rPr>
                  <w:rStyle w:val="Hyperlink"/>
                  <w:iCs/>
                  <w:lang w:val="es-ES_tradnl"/>
                </w:rPr>
                <w:t>CDIP/14/2</w:t>
              </w:r>
            </w:hyperlink>
            <w:r w:rsidRPr="00C168C5">
              <w:rPr>
                <w:iCs/>
                <w:lang w:val="es-ES_tradnl"/>
              </w:rPr>
              <w:t xml:space="preserve"> (p</w:t>
            </w:r>
            <w:r w:rsidR="00083412" w:rsidRPr="00C168C5">
              <w:rPr>
                <w:iCs/>
                <w:lang w:val="es-ES_tradnl"/>
              </w:rPr>
              <w:t xml:space="preserve">ágina </w:t>
            </w:r>
            <w:r w:rsidRPr="00C168C5">
              <w:rPr>
                <w:iCs/>
                <w:lang w:val="es-ES_tradnl"/>
              </w:rPr>
              <w:t>10-20</w:t>
            </w:r>
            <w:r w:rsidR="00C91693" w:rsidRPr="00C168C5">
              <w:rPr>
                <w:iCs/>
                <w:lang w:val="es-ES_tradnl"/>
              </w:rPr>
              <w:t xml:space="preserve">), </w:t>
            </w:r>
            <w:r w:rsidR="00083412" w:rsidRPr="00C168C5">
              <w:rPr>
                <w:iCs/>
                <w:lang w:val="es-ES_tradnl"/>
              </w:rPr>
              <w:t xml:space="preserve">fue presentada al </w:t>
            </w:r>
            <w:r w:rsidR="00C91693" w:rsidRPr="00C168C5">
              <w:rPr>
                <w:iCs/>
                <w:lang w:val="es-ES_tradnl"/>
              </w:rPr>
              <w:t xml:space="preserve">CDIP </w:t>
            </w:r>
            <w:r w:rsidR="00083412" w:rsidRPr="00C168C5">
              <w:rPr>
                <w:iCs/>
                <w:lang w:val="es-ES_tradnl"/>
              </w:rPr>
              <w:t xml:space="preserve">en su </w:t>
            </w:r>
            <w:r w:rsidR="00073DFF">
              <w:rPr>
                <w:iCs/>
                <w:lang w:val="es-ES_tradnl"/>
              </w:rPr>
              <w:t>decimocuarta</w:t>
            </w:r>
            <w:r w:rsidR="00083412" w:rsidRPr="00C168C5">
              <w:rPr>
                <w:iCs/>
                <w:lang w:val="es-ES_tradnl"/>
              </w:rPr>
              <w:t xml:space="preserve"> sesión de noviembre de 2014</w:t>
            </w:r>
            <w:r w:rsidR="00C91693" w:rsidRPr="00C168C5">
              <w:rPr>
                <w:iCs/>
                <w:lang w:val="es-ES_tradnl"/>
              </w:rPr>
              <w:t>.</w:t>
            </w:r>
          </w:p>
        </w:tc>
      </w:tr>
      <w:tr w:rsidR="00C91693" w:rsidRPr="00C168C5" w14:paraId="4391BC79" w14:textId="77777777" w:rsidTr="00243943">
        <w:trPr>
          <w:trHeight w:val="848"/>
        </w:trPr>
        <w:tc>
          <w:tcPr>
            <w:tcW w:w="2376" w:type="dxa"/>
            <w:shd w:val="clear" w:color="auto" w:fill="auto"/>
          </w:tcPr>
          <w:p w14:paraId="4E9E5483" w14:textId="1447635D" w:rsidR="00C91693" w:rsidRPr="00C168C5" w:rsidRDefault="00235A23" w:rsidP="00243943">
            <w:pPr>
              <w:pStyle w:val="Heading3"/>
              <w:keepNext w:val="0"/>
              <w:spacing w:before="120" w:after="120"/>
              <w:rPr>
                <w:lang w:val="es-ES_tradnl"/>
              </w:rPr>
            </w:pPr>
            <w:r w:rsidRPr="00C168C5">
              <w:rPr>
                <w:lang w:val="es-ES_tradnl"/>
              </w:rPr>
              <w:t>Seguimiento</w:t>
            </w:r>
          </w:p>
        </w:tc>
        <w:tc>
          <w:tcPr>
            <w:tcW w:w="6912" w:type="dxa"/>
          </w:tcPr>
          <w:p w14:paraId="11DC1802" w14:textId="65F884D9" w:rsidR="00C91693" w:rsidRPr="00C168C5" w:rsidRDefault="00DF2449" w:rsidP="00AA0B0E">
            <w:pPr>
              <w:spacing w:before="120" w:after="120"/>
              <w:rPr>
                <w:lang w:val="es-ES_tradnl"/>
              </w:rPr>
            </w:pPr>
            <w:r w:rsidRPr="00C168C5">
              <w:rPr>
                <w:lang w:val="es-ES_tradnl"/>
              </w:rPr>
              <w:t>Puede</w:t>
            </w:r>
            <w:r w:rsidR="00235A23" w:rsidRPr="00C168C5">
              <w:rPr>
                <w:lang w:val="es-ES_tradnl"/>
              </w:rPr>
              <w:t xml:space="preserve"> encontrarse mayor información en el informe de evaluación presentado en el documento </w:t>
            </w:r>
            <w:hyperlink r:id="rId58" w:history="1">
              <w:r w:rsidR="00C91693" w:rsidRPr="00C168C5">
                <w:rPr>
                  <w:rStyle w:val="Hyperlink"/>
                  <w:lang w:val="es-ES_tradnl"/>
                </w:rPr>
                <w:t>CDIP/16/3</w:t>
              </w:r>
            </w:hyperlink>
            <w:r w:rsidR="00C91693" w:rsidRPr="00C168C5">
              <w:rPr>
                <w:lang w:val="es-ES_tradnl"/>
              </w:rPr>
              <w:t xml:space="preserve">, </w:t>
            </w:r>
            <w:r w:rsidR="00235A23" w:rsidRPr="00C168C5">
              <w:rPr>
                <w:lang w:val="es-ES_tradnl"/>
              </w:rPr>
              <w:t>en concreto en su Anexo</w:t>
            </w:r>
            <w:r w:rsidR="00C91693" w:rsidRPr="00C168C5">
              <w:rPr>
                <w:lang w:val="es-ES_tradnl"/>
              </w:rPr>
              <w:t>,</w:t>
            </w:r>
            <w:r w:rsidR="00235A23" w:rsidRPr="00C168C5">
              <w:rPr>
                <w:lang w:val="es-ES_tradnl"/>
              </w:rPr>
              <w:t xml:space="preserve"> párrafos </w:t>
            </w:r>
            <w:r w:rsidR="00C91693" w:rsidRPr="00C168C5">
              <w:rPr>
                <w:lang w:val="es-ES_tradnl"/>
              </w:rPr>
              <w:t xml:space="preserve">60 </w:t>
            </w:r>
            <w:r w:rsidR="00235A23" w:rsidRPr="00C168C5">
              <w:rPr>
                <w:lang w:val="es-ES_tradnl"/>
              </w:rPr>
              <w:t>y</w:t>
            </w:r>
            <w:r w:rsidR="00C91693" w:rsidRPr="00C168C5">
              <w:rPr>
                <w:lang w:val="es-ES_tradnl"/>
              </w:rPr>
              <w:t xml:space="preserve"> 61,</w:t>
            </w:r>
            <w:r w:rsidR="00235A23" w:rsidRPr="00C168C5">
              <w:rPr>
                <w:lang w:val="es-ES_tradnl"/>
              </w:rPr>
              <w:t xml:space="preserve"> con respecto a la </w:t>
            </w:r>
            <w:r w:rsidR="00C91693" w:rsidRPr="00C168C5">
              <w:rPr>
                <w:lang w:val="es-ES_tradnl"/>
              </w:rPr>
              <w:t>“</w:t>
            </w:r>
            <w:r w:rsidR="00235A23" w:rsidRPr="00C168C5">
              <w:rPr>
                <w:lang w:val="es-ES_tradnl"/>
              </w:rPr>
              <w:t xml:space="preserve">conclusión </w:t>
            </w:r>
            <w:r w:rsidR="00C91693" w:rsidRPr="00C168C5">
              <w:rPr>
                <w:lang w:val="es-ES_tradnl"/>
              </w:rPr>
              <w:t>4” (“</w:t>
            </w:r>
            <w:r w:rsidR="00BE2105" w:rsidRPr="00C168C5">
              <w:rPr>
                <w:lang w:val="es-ES_tradnl"/>
              </w:rPr>
              <w:t>preparación y suministro de materiales, módulos, herramientas didácticas y otros instrumentos resultantes de las recomendaciones que se adopten en el foro internacional de expertos”)</w:t>
            </w:r>
            <w:r w:rsidR="00DF15E7" w:rsidRPr="00C168C5">
              <w:rPr>
                <w:lang w:val="es-ES_tradnl"/>
              </w:rPr>
              <w:t>,</w:t>
            </w:r>
            <w:r w:rsidR="00C91693" w:rsidRPr="00C168C5">
              <w:rPr>
                <w:lang w:val="es-ES_tradnl"/>
              </w:rPr>
              <w:t xml:space="preserve"> </w:t>
            </w:r>
            <w:r w:rsidR="00BE2105" w:rsidRPr="00C168C5">
              <w:rPr>
                <w:lang w:val="es-ES_tradnl"/>
              </w:rPr>
              <w:t>y párrafos</w:t>
            </w:r>
            <w:r w:rsidR="00C91693" w:rsidRPr="00C168C5">
              <w:rPr>
                <w:lang w:val="es-ES_tradnl"/>
              </w:rPr>
              <w:t> 66</w:t>
            </w:r>
            <w:r w:rsidR="00BE2105" w:rsidRPr="00C168C5">
              <w:rPr>
                <w:lang w:val="es-ES_tradnl"/>
              </w:rPr>
              <w:t xml:space="preserve"> a</w:t>
            </w:r>
            <w:r w:rsidR="00C91693" w:rsidRPr="00C168C5">
              <w:rPr>
                <w:lang w:val="es-ES_tradnl"/>
              </w:rPr>
              <w:t xml:space="preserve"> 69</w:t>
            </w:r>
            <w:r w:rsidR="00BE2105" w:rsidRPr="00C168C5">
              <w:rPr>
                <w:lang w:val="es-ES_tradnl"/>
              </w:rPr>
              <w:t xml:space="preserve"> con respecto a la </w:t>
            </w:r>
            <w:r w:rsidR="00C91693" w:rsidRPr="00C168C5">
              <w:rPr>
                <w:lang w:val="es-ES_tradnl"/>
              </w:rPr>
              <w:t>“</w:t>
            </w:r>
            <w:r w:rsidR="00BE2105" w:rsidRPr="00C168C5">
              <w:rPr>
                <w:lang w:val="es-ES_tradnl"/>
              </w:rPr>
              <w:t>conclusión</w:t>
            </w:r>
            <w:r w:rsidR="00C91693" w:rsidRPr="00C168C5">
              <w:rPr>
                <w:lang w:val="es-ES_tradnl"/>
              </w:rPr>
              <w:t xml:space="preserve"> 7” (“i</w:t>
            </w:r>
            <w:r w:rsidR="00BE2105" w:rsidRPr="00C168C5">
              <w:rPr>
                <w:lang w:val="es-ES_tradnl"/>
              </w:rPr>
              <w:t xml:space="preserve">ncorporación de los resultados de las actividades mencionadas </w:t>
            </w:r>
            <w:r w:rsidR="00BE2105" w:rsidRPr="00C168C5">
              <w:rPr>
                <w:i/>
                <w:lang w:val="es-ES_tradnl"/>
              </w:rPr>
              <w:t>supra</w:t>
            </w:r>
            <w:r w:rsidR="00BE2105" w:rsidRPr="00C168C5">
              <w:rPr>
                <w:lang w:val="es-ES_tradnl"/>
              </w:rPr>
              <w:t xml:space="preserve"> en los programas de la OMPI</w:t>
            </w:r>
            <w:r w:rsidR="00C91693" w:rsidRPr="00C168C5">
              <w:rPr>
                <w:lang w:val="es-ES_tradnl"/>
              </w:rPr>
              <w:t xml:space="preserve">”):  </w:t>
            </w:r>
            <w:r w:rsidR="00BE2105" w:rsidRPr="00C168C5">
              <w:rPr>
                <w:lang w:val="es-ES_tradnl"/>
              </w:rPr>
              <w:t xml:space="preserve">como prevé el documento </w:t>
            </w:r>
            <w:r w:rsidR="00080878" w:rsidRPr="00C168C5">
              <w:rPr>
                <w:lang w:val="es-ES_tradnl"/>
              </w:rPr>
              <w:t>conceptual</w:t>
            </w:r>
            <w:r w:rsidR="00BE2105" w:rsidRPr="00C168C5">
              <w:rPr>
                <w:lang w:val="es-ES_tradnl"/>
              </w:rPr>
              <w:t xml:space="preserve">, aprobado por el CDIP en la </w:t>
            </w:r>
            <w:r w:rsidR="00073DFF">
              <w:rPr>
                <w:lang w:val="es-ES_tradnl"/>
              </w:rPr>
              <w:t>decimocuarta</w:t>
            </w:r>
            <w:r w:rsidR="00BE2105" w:rsidRPr="00C168C5">
              <w:rPr>
                <w:lang w:val="es-ES_tradnl"/>
              </w:rPr>
              <w:t xml:space="preserve"> sesión</w:t>
            </w:r>
            <w:r w:rsidR="00C91693" w:rsidRPr="00C168C5">
              <w:rPr>
                <w:lang w:val="es-ES_tradnl"/>
              </w:rPr>
              <w:t xml:space="preserve"> </w:t>
            </w:r>
            <w:r w:rsidR="00BE2105" w:rsidRPr="00C168C5">
              <w:rPr>
                <w:lang w:val="es-ES_tradnl"/>
              </w:rPr>
              <w:t>de 2014</w:t>
            </w:r>
            <w:r w:rsidR="00C91693" w:rsidRPr="00C168C5">
              <w:rPr>
                <w:lang w:val="es-ES_tradnl"/>
              </w:rPr>
              <w:t xml:space="preserve">, </w:t>
            </w:r>
            <w:r w:rsidR="00BF1A80" w:rsidRPr="00C168C5">
              <w:rPr>
                <w:lang w:val="es-ES_tradnl"/>
              </w:rPr>
              <w:t>la Secretaría</w:t>
            </w:r>
            <w:r w:rsidR="00AA0B0E" w:rsidRPr="00C168C5">
              <w:rPr>
                <w:lang w:val="es-ES_tradnl"/>
              </w:rPr>
              <w:t xml:space="preserve"> sólo</w:t>
            </w:r>
            <w:r w:rsidRPr="00C168C5">
              <w:rPr>
                <w:lang w:val="es-ES_tradnl"/>
              </w:rPr>
              <w:t xml:space="preserve"> podrá </w:t>
            </w:r>
            <w:r w:rsidR="00AA0B0E" w:rsidRPr="00C168C5">
              <w:rPr>
                <w:lang w:val="es-ES_tradnl"/>
              </w:rPr>
              <w:t xml:space="preserve">comenzar </w:t>
            </w:r>
            <w:r w:rsidR="00BF1A80" w:rsidRPr="00C168C5">
              <w:rPr>
                <w:lang w:val="es-ES_tradnl"/>
              </w:rPr>
              <w:t xml:space="preserve">la preparación y </w:t>
            </w:r>
            <w:r w:rsidR="00323ACE" w:rsidRPr="00C168C5">
              <w:rPr>
                <w:lang w:val="es-ES_tradnl"/>
              </w:rPr>
              <w:t>suministro</w:t>
            </w:r>
            <w:r w:rsidR="00BF1A80" w:rsidRPr="00C168C5">
              <w:rPr>
                <w:lang w:val="es-ES_tradnl"/>
              </w:rPr>
              <w:t xml:space="preserve"> de</w:t>
            </w:r>
            <w:r w:rsidR="00323ACE" w:rsidRPr="00C168C5">
              <w:rPr>
                <w:lang w:val="es-ES_tradnl"/>
              </w:rPr>
              <w:t xml:space="preserve"> esos</w:t>
            </w:r>
            <w:r w:rsidR="00BF1A80" w:rsidRPr="00C168C5">
              <w:rPr>
                <w:lang w:val="es-ES_tradnl"/>
              </w:rPr>
              <w:t xml:space="preserve"> materiales, </w:t>
            </w:r>
            <w:r w:rsidR="00323ACE" w:rsidRPr="00C168C5">
              <w:rPr>
                <w:lang w:val="es-ES_tradnl"/>
              </w:rPr>
              <w:t xml:space="preserve">módulos, herramientas didácticas e instrumentos </w:t>
            </w:r>
            <w:r w:rsidR="00BB011F" w:rsidRPr="00C168C5">
              <w:rPr>
                <w:lang w:val="es-ES_tradnl"/>
              </w:rPr>
              <w:t>con que</w:t>
            </w:r>
            <w:r w:rsidR="00323ACE" w:rsidRPr="00C168C5">
              <w:rPr>
                <w:lang w:val="es-ES_tradnl"/>
              </w:rPr>
              <w:t xml:space="preserve"> incorporar las “ideas de los expertos” y, </w:t>
            </w:r>
            <w:r w:rsidR="00DF15E7" w:rsidRPr="00C168C5">
              <w:rPr>
                <w:lang w:val="es-ES_tradnl"/>
              </w:rPr>
              <w:t>más generalmente</w:t>
            </w:r>
            <w:r w:rsidR="00323ACE" w:rsidRPr="00C168C5">
              <w:rPr>
                <w:lang w:val="es-ES_tradnl"/>
              </w:rPr>
              <w:t xml:space="preserve">, cualquier conclusión </w:t>
            </w:r>
            <w:r w:rsidR="00DF15E7" w:rsidRPr="00C168C5">
              <w:rPr>
                <w:lang w:val="es-ES_tradnl"/>
              </w:rPr>
              <w:t>del</w:t>
            </w:r>
            <w:r w:rsidR="00BB011F" w:rsidRPr="00C168C5">
              <w:rPr>
                <w:lang w:val="es-ES_tradnl"/>
              </w:rPr>
              <w:t xml:space="preserve"> </w:t>
            </w:r>
            <w:r w:rsidR="00AA0B0E" w:rsidRPr="00C168C5">
              <w:rPr>
                <w:lang w:val="es-ES_tradnl"/>
              </w:rPr>
              <w:t>proyecto en sus actividades</w:t>
            </w:r>
            <w:r w:rsidR="00323ACE" w:rsidRPr="00C168C5">
              <w:rPr>
                <w:lang w:val="es-ES_tradnl"/>
              </w:rPr>
              <w:t xml:space="preserve"> a los programas de trabajo de la OMPI</w:t>
            </w:r>
            <w:r w:rsidR="00C91693" w:rsidRPr="00C168C5">
              <w:rPr>
                <w:lang w:val="es-ES_tradnl"/>
              </w:rPr>
              <w:t xml:space="preserve">, </w:t>
            </w:r>
            <w:r w:rsidR="00AA0B0E" w:rsidRPr="00C168C5">
              <w:rPr>
                <w:lang w:val="es-ES_tradnl"/>
              </w:rPr>
              <w:t>una vez</w:t>
            </w:r>
            <w:r w:rsidR="00323ACE" w:rsidRPr="00C168C5">
              <w:rPr>
                <w:lang w:val="es-ES_tradnl"/>
              </w:rPr>
              <w:t xml:space="preserve"> </w:t>
            </w:r>
            <w:r w:rsidR="00AA0B0E" w:rsidRPr="00C168C5">
              <w:rPr>
                <w:lang w:val="es-ES_tradnl"/>
              </w:rPr>
              <w:t xml:space="preserve">finalizado ese </w:t>
            </w:r>
            <w:r w:rsidR="00323ACE" w:rsidRPr="00C168C5">
              <w:rPr>
                <w:lang w:val="es-ES_tradnl"/>
              </w:rPr>
              <w:t>examen y aprobación</w:t>
            </w:r>
            <w:r w:rsidR="00AA0B0E" w:rsidRPr="00C168C5">
              <w:rPr>
                <w:lang w:val="es-ES_tradnl"/>
              </w:rPr>
              <w:t xml:space="preserve"> en</w:t>
            </w:r>
            <w:r w:rsidR="00323ACE" w:rsidRPr="00C168C5">
              <w:rPr>
                <w:lang w:val="es-ES_tradnl"/>
              </w:rPr>
              <w:t xml:space="preserve"> el </w:t>
            </w:r>
            <w:r w:rsidR="00C91693" w:rsidRPr="00C168C5">
              <w:rPr>
                <w:lang w:val="es-ES_tradnl"/>
              </w:rPr>
              <w:t>CDIP</w:t>
            </w:r>
            <w:r w:rsidR="00323ACE" w:rsidRPr="00C168C5">
              <w:rPr>
                <w:lang w:val="es-ES_tradnl"/>
              </w:rPr>
              <w:t xml:space="preserve"> y cualquier posible recomendación que éste haga a la </w:t>
            </w:r>
            <w:r w:rsidR="00080878" w:rsidRPr="00C168C5">
              <w:rPr>
                <w:lang w:val="es-ES_tradnl"/>
              </w:rPr>
              <w:t>Asamblea</w:t>
            </w:r>
            <w:r w:rsidR="00323ACE" w:rsidRPr="00C168C5">
              <w:rPr>
                <w:lang w:val="es-ES_tradnl"/>
              </w:rPr>
              <w:t xml:space="preserve"> General</w:t>
            </w:r>
            <w:r w:rsidR="00C91693" w:rsidRPr="00C168C5">
              <w:rPr>
                <w:lang w:val="es-ES_tradnl"/>
              </w:rPr>
              <w:t xml:space="preserve">. </w:t>
            </w:r>
          </w:p>
        </w:tc>
      </w:tr>
    </w:tbl>
    <w:p w14:paraId="48F84D31" w14:textId="77777777" w:rsidR="00C91693" w:rsidRPr="00C168C5" w:rsidRDefault="00C91693" w:rsidP="00C91693">
      <w:pPr>
        <w:rPr>
          <w:lang w:val="es-ES_tradnl"/>
        </w:rPr>
      </w:pPr>
    </w:p>
    <w:p w14:paraId="78B62577" w14:textId="77777777" w:rsidR="00C91693" w:rsidRPr="00C168C5" w:rsidRDefault="00C91693" w:rsidP="00C91693">
      <w:pPr>
        <w:rPr>
          <w:lang w:val="es-ES_tradnl"/>
        </w:rPr>
      </w:pPr>
      <w:r w:rsidRPr="00C168C5">
        <w:rPr>
          <w:lang w:val="es-ES_tradnl"/>
        </w:rPr>
        <w:br w:type="page"/>
      </w:r>
    </w:p>
    <w:tbl>
      <w:tblPr>
        <w:tblW w:w="9578" w:type="dxa"/>
        <w:tblLook w:val="01E0" w:firstRow="1" w:lastRow="1" w:firstColumn="1" w:lastColumn="1" w:noHBand="0" w:noVBand="0"/>
      </w:tblPr>
      <w:tblGrid>
        <w:gridCol w:w="9578"/>
      </w:tblGrid>
      <w:tr w:rsidR="00C91693" w:rsidRPr="00C168C5" w14:paraId="7EFD0904" w14:textId="77777777" w:rsidTr="00243943">
        <w:trPr>
          <w:trHeight w:val="494"/>
        </w:trPr>
        <w:tc>
          <w:tcPr>
            <w:tcW w:w="9578" w:type="dxa"/>
            <w:vAlign w:val="center"/>
          </w:tcPr>
          <w:tbl>
            <w:tblPr>
              <w:tblW w:w="0" w:type="auto"/>
              <w:tblLook w:val="01E0" w:firstRow="1" w:lastRow="1" w:firstColumn="1" w:lastColumn="1" w:noHBand="0" w:noVBand="0"/>
            </w:tblPr>
            <w:tblGrid>
              <w:gridCol w:w="9287"/>
            </w:tblGrid>
            <w:tr w:rsidR="00C91693" w:rsidRPr="00C168C5" w14:paraId="74A972C1" w14:textId="77777777" w:rsidTr="00243943">
              <w:trPr>
                <w:trHeight w:val="494"/>
              </w:trPr>
              <w:tc>
                <w:tcPr>
                  <w:tcW w:w="9287" w:type="dxa"/>
                  <w:vAlign w:val="center"/>
                </w:tcPr>
                <w:p w14:paraId="65B89142" w14:textId="6AA502D8" w:rsidR="00C91693" w:rsidRPr="00C168C5" w:rsidRDefault="00C91693" w:rsidP="009D188D">
                  <w:pPr>
                    <w:spacing w:before="120" w:after="120"/>
                    <w:ind w:left="-108"/>
                    <w:rPr>
                      <w:lang w:val="es-ES_tradnl"/>
                    </w:rPr>
                  </w:pPr>
                  <w:r w:rsidRPr="00C168C5">
                    <w:rPr>
                      <w:lang w:val="es-ES_tradnl"/>
                    </w:rPr>
                    <w:lastRenderedPageBreak/>
                    <w:br w:type="page"/>
                  </w:r>
                  <w:r w:rsidR="009D188D" w:rsidRPr="00C168C5">
                    <w:rPr>
                      <w:lang w:val="es-ES_tradnl"/>
                    </w:rPr>
                    <w:t>EVALUACIÓN INTERNA DEL PROYECTO</w:t>
                  </w:r>
                </w:p>
              </w:tc>
            </w:tr>
          </w:tbl>
          <w:p w14:paraId="6499DAEE" w14:textId="77777777" w:rsidR="009D188D" w:rsidRPr="00C168C5" w:rsidRDefault="009D188D" w:rsidP="009D188D">
            <w:pPr>
              <w:rPr>
                <w:lang w:val="es-ES_tradnl"/>
              </w:rPr>
            </w:pPr>
          </w:p>
          <w:p w14:paraId="23A457E4" w14:textId="36419A6A" w:rsidR="00C91693" w:rsidRPr="00C168C5" w:rsidRDefault="009D188D" w:rsidP="009D188D">
            <w:pPr>
              <w:rPr>
                <w:lang w:val="es-ES_tradnl"/>
              </w:rPr>
            </w:pPr>
            <w:r w:rsidRPr="00C168C5">
              <w:rPr>
                <w:lang w:val="es-ES_tradnl"/>
              </w:rPr>
              <w:t>Clave de los colores</w:t>
            </w:r>
          </w:p>
          <w:p w14:paraId="30987A55" w14:textId="77777777" w:rsidR="009D188D" w:rsidRPr="00C168C5" w:rsidRDefault="009D188D" w:rsidP="009D188D">
            <w:pPr>
              <w:rPr>
                <w:lang w:val="es-ES_tradnl"/>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C91693" w:rsidRPr="00C168C5" w14:paraId="3062A9E2" w14:textId="77777777" w:rsidTr="00243943">
              <w:trPr>
                <w:trHeight w:val="469"/>
              </w:trPr>
              <w:tc>
                <w:tcPr>
                  <w:tcW w:w="1416" w:type="dxa"/>
                </w:tcPr>
                <w:p w14:paraId="72CC9061" w14:textId="77777777" w:rsidR="00C91693" w:rsidRPr="00C168C5" w:rsidRDefault="00C91693" w:rsidP="00243943">
                  <w:pPr>
                    <w:spacing w:before="120" w:after="120"/>
                    <w:rPr>
                      <w:lang w:val="es-ES_tradnl"/>
                    </w:rPr>
                  </w:pPr>
                  <w:r w:rsidRPr="00C168C5">
                    <w:rPr>
                      <w:lang w:val="es-ES_tradnl"/>
                    </w:rPr>
                    <w:t>****</w:t>
                  </w:r>
                </w:p>
              </w:tc>
              <w:tc>
                <w:tcPr>
                  <w:tcW w:w="1677" w:type="dxa"/>
                  <w:vAlign w:val="center"/>
                </w:tcPr>
                <w:p w14:paraId="2CCBCF2D" w14:textId="77777777" w:rsidR="00C91693" w:rsidRPr="00C168C5" w:rsidRDefault="00C91693" w:rsidP="00243943">
                  <w:pPr>
                    <w:spacing w:before="120" w:after="120"/>
                    <w:rPr>
                      <w:lang w:val="es-ES_tradnl"/>
                    </w:rPr>
                  </w:pPr>
                  <w:r w:rsidRPr="00C168C5">
                    <w:rPr>
                      <w:lang w:val="es-ES_tradnl"/>
                    </w:rPr>
                    <w:t>***</w:t>
                  </w:r>
                </w:p>
              </w:tc>
              <w:tc>
                <w:tcPr>
                  <w:tcW w:w="1797" w:type="dxa"/>
                  <w:vAlign w:val="center"/>
                </w:tcPr>
                <w:p w14:paraId="21D7C798" w14:textId="77777777" w:rsidR="00C91693" w:rsidRPr="00C168C5" w:rsidRDefault="00C91693" w:rsidP="00243943">
                  <w:pPr>
                    <w:spacing w:before="120" w:after="120"/>
                    <w:rPr>
                      <w:lang w:val="es-ES_tradnl"/>
                    </w:rPr>
                  </w:pPr>
                  <w:r w:rsidRPr="00C168C5">
                    <w:rPr>
                      <w:lang w:val="es-ES_tradnl"/>
                    </w:rPr>
                    <w:t>**</w:t>
                  </w:r>
                </w:p>
              </w:tc>
              <w:tc>
                <w:tcPr>
                  <w:tcW w:w="1895" w:type="dxa"/>
                  <w:vAlign w:val="center"/>
                </w:tcPr>
                <w:p w14:paraId="6E10C851" w14:textId="6B186984" w:rsidR="00C91693" w:rsidRPr="00C168C5" w:rsidRDefault="00CC1E05" w:rsidP="00243943">
                  <w:pPr>
                    <w:spacing w:before="120" w:after="120"/>
                    <w:rPr>
                      <w:lang w:val="es-ES_tradnl"/>
                    </w:rPr>
                  </w:pPr>
                  <w:r w:rsidRPr="00C168C5">
                    <w:rPr>
                      <w:lang w:val="es-ES_tradnl"/>
                    </w:rPr>
                    <w:t>NA</w:t>
                  </w:r>
                </w:p>
              </w:tc>
              <w:tc>
                <w:tcPr>
                  <w:tcW w:w="2563" w:type="dxa"/>
                  <w:vAlign w:val="center"/>
                </w:tcPr>
                <w:p w14:paraId="14E1AAD0" w14:textId="0D60B206" w:rsidR="00C91693" w:rsidRPr="00C168C5" w:rsidRDefault="00CC1E05" w:rsidP="00243943">
                  <w:pPr>
                    <w:spacing w:before="120" w:after="120"/>
                    <w:rPr>
                      <w:lang w:val="es-ES_tradnl"/>
                    </w:rPr>
                  </w:pPr>
                  <w:r w:rsidRPr="00C168C5">
                    <w:rPr>
                      <w:lang w:val="es-ES_tradnl"/>
                    </w:rPr>
                    <w:t>SE/AI</w:t>
                  </w:r>
                </w:p>
              </w:tc>
            </w:tr>
            <w:tr w:rsidR="00C91693" w:rsidRPr="00C168C5" w14:paraId="660F7472" w14:textId="77777777" w:rsidTr="00243943">
              <w:tc>
                <w:tcPr>
                  <w:tcW w:w="1416" w:type="dxa"/>
                </w:tcPr>
                <w:p w14:paraId="541BFF0B" w14:textId="04CA7841" w:rsidR="00C91693" w:rsidRPr="00C168C5" w:rsidRDefault="00CC1E05" w:rsidP="00243943">
                  <w:pPr>
                    <w:spacing w:before="120" w:after="120"/>
                    <w:rPr>
                      <w:lang w:val="es-ES_tradnl"/>
                    </w:rPr>
                  </w:pPr>
                  <w:r w:rsidRPr="00C168C5">
                    <w:rPr>
                      <w:lang w:val="es-ES_tradnl"/>
                    </w:rPr>
                    <w:t>Plenamente logrado</w:t>
                  </w:r>
                </w:p>
              </w:tc>
              <w:tc>
                <w:tcPr>
                  <w:tcW w:w="1677" w:type="dxa"/>
                </w:tcPr>
                <w:p w14:paraId="51142ED3" w14:textId="747C03D7" w:rsidR="00C91693" w:rsidRPr="00C168C5" w:rsidRDefault="00CC1E05" w:rsidP="00243943">
                  <w:pPr>
                    <w:spacing w:before="120" w:after="120"/>
                    <w:rPr>
                      <w:lang w:val="es-ES_tradnl"/>
                    </w:rPr>
                  </w:pPr>
                  <w:r w:rsidRPr="00C168C5">
                    <w:rPr>
                      <w:lang w:val="es-ES_tradnl"/>
                    </w:rPr>
                    <w:t>Avance notable</w:t>
                  </w:r>
                </w:p>
              </w:tc>
              <w:tc>
                <w:tcPr>
                  <w:tcW w:w="1797" w:type="dxa"/>
                </w:tcPr>
                <w:p w14:paraId="0E5528BA" w14:textId="50D425F1" w:rsidR="00C91693" w:rsidRPr="00C168C5" w:rsidRDefault="00CC1E05" w:rsidP="00243943">
                  <w:pPr>
                    <w:spacing w:before="120" w:after="120"/>
                    <w:rPr>
                      <w:lang w:val="es-ES_tradnl"/>
                    </w:rPr>
                  </w:pPr>
                  <w:r w:rsidRPr="00C168C5">
                    <w:rPr>
                      <w:lang w:val="es-ES_tradnl"/>
                    </w:rPr>
                    <w:t>Avance</w:t>
                  </w:r>
                </w:p>
              </w:tc>
              <w:tc>
                <w:tcPr>
                  <w:tcW w:w="1895" w:type="dxa"/>
                </w:tcPr>
                <w:p w14:paraId="74081367" w14:textId="113D73AD" w:rsidR="00C91693" w:rsidRPr="00C168C5" w:rsidRDefault="00CC1E05" w:rsidP="00243943">
                  <w:pPr>
                    <w:spacing w:before="120" w:after="120"/>
                    <w:rPr>
                      <w:lang w:val="es-ES_tradnl"/>
                    </w:rPr>
                  </w:pPr>
                  <w:r w:rsidRPr="00C168C5">
                    <w:rPr>
                      <w:lang w:val="es-ES_tradnl"/>
                    </w:rPr>
                    <w:t>Ningún avance</w:t>
                  </w:r>
                </w:p>
              </w:tc>
              <w:tc>
                <w:tcPr>
                  <w:tcW w:w="2563" w:type="dxa"/>
                </w:tcPr>
                <w:p w14:paraId="74DD3A38" w14:textId="394BD97E" w:rsidR="00C91693" w:rsidRPr="00C168C5" w:rsidRDefault="00CC1E05" w:rsidP="00243943">
                  <w:pPr>
                    <w:spacing w:before="120" w:after="120"/>
                    <w:rPr>
                      <w:lang w:val="es-ES_tradnl"/>
                    </w:rPr>
                  </w:pPr>
                  <w:r w:rsidRPr="00C168C5">
                    <w:rPr>
                      <w:lang w:val="es-ES_tradnl"/>
                    </w:rPr>
                    <w:t>Sin evaluar /actividad interrumpida</w:t>
                  </w:r>
                </w:p>
              </w:tc>
            </w:tr>
          </w:tbl>
          <w:p w14:paraId="79F32E39" w14:textId="77777777" w:rsidR="00C91693" w:rsidRPr="00C168C5" w:rsidRDefault="00C91693" w:rsidP="00243943">
            <w:pPr>
              <w:spacing w:before="120" w:after="120"/>
              <w:rPr>
                <w:lang w:val="es-ES_tradnl"/>
              </w:rPr>
            </w:pPr>
          </w:p>
          <w:tbl>
            <w:tblPr>
              <w:tblW w:w="9356" w:type="dxa"/>
              <w:tblLook w:val="01E0" w:firstRow="1" w:lastRow="1" w:firstColumn="1" w:lastColumn="1" w:noHBand="0" w:noVBand="0"/>
            </w:tblPr>
            <w:tblGrid>
              <w:gridCol w:w="2359"/>
              <w:gridCol w:w="2633"/>
              <w:gridCol w:w="3280"/>
              <w:gridCol w:w="1084"/>
            </w:tblGrid>
            <w:tr w:rsidR="00C91693" w:rsidRPr="00C168C5" w14:paraId="34D5071E" w14:textId="77777777" w:rsidTr="002E5493">
              <w:trPr>
                <w:trHeight w:val="616"/>
                <w:tblHeader/>
              </w:trPr>
              <w:tc>
                <w:tcPr>
                  <w:tcW w:w="2359" w:type="dxa"/>
                  <w:tcBorders>
                    <w:top w:val="single" w:sz="2" w:space="0" w:color="000000"/>
                    <w:left w:val="single" w:sz="2" w:space="0" w:color="000000"/>
                    <w:bottom w:val="single" w:sz="2" w:space="0" w:color="000000"/>
                    <w:right w:val="single" w:sz="2" w:space="0" w:color="000000"/>
                  </w:tcBorders>
                  <w:shd w:val="clear" w:color="auto" w:fill="auto"/>
                </w:tcPr>
                <w:p w14:paraId="014147BB" w14:textId="477CB91D" w:rsidR="00C91693" w:rsidRPr="00C168C5" w:rsidRDefault="00C91693" w:rsidP="002D4220">
                  <w:pPr>
                    <w:spacing w:before="120" w:after="120"/>
                    <w:rPr>
                      <w:b/>
                      <w:szCs w:val="22"/>
                      <w:u w:val="single"/>
                      <w:lang w:val="es-ES_tradnl"/>
                    </w:rPr>
                  </w:pPr>
                  <w:r w:rsidRPr="00C168C5">
                    <w:rPr>
                      <w:rStyle w:val="Heading3Char"/>
                      <w:szCs w:val="22"/>
                      <w:lang w:val="es-ES_tradnl"/>
                    </w:rPr>
                    <w:t>P</w:t>
                  </w:r>
                  <w:r w:rsidR="002D4220" w:rsidRPr="00C168C5">
                    <w:rPr>
                      <w:rStyle w:val="Heading3Char"/>
                      <w:szCs w:val="22"/>
                      <w:lang w:val="es-ES_tradnl"/>
                    </w:rPr>
                    <w:t>roductos del proyecto</w:t>
                  </w:r>
                  <w:r w:rsidRPr="00C168C5">
                    <w:rPr>
                      <w:rStyle w:val="FootnoteReference"/>
                      <w:bCs/>
                      <w:szCs w:val="22"/>
                      <w:u w:val="single"/>
                      <w:lang w:val="es-ES_tradnl"/>
                    </w:rPr>
                    <w:footnoteReference w:id="5"/>
                  </w:r>
                  <w:r w:rsidR="002D4220" w:rsidRPr="00C168C5">
                    <w:rPr>
                      <w:b/>
                      <w:szCs w:val="22"/>
                      <w:u w:val="single"/>
                      <w:lang w:val="es-ES_tradnl"/>
                    </w:rPr>
                    <w:t xml:space="preserve"> </w:t>
                  </w:r>
                  <w:r w:rsidR="002D4220" w:rsidRPr="00C168C5">
                    <w:rPr>
                      <w:szCs w:val="22"/>
                      <w:lang w:val="es-ES_tradnl"/>
                    </w:rPr>
                    <w:t>(Resultado previsto</w:t>
                  </w:r>
                  <w:r w:rsidRPr="00C168C5">
                    <w:rPr>
                      <w:szCs w:val="22"/>
                      <w:lang w:val="es-ES_tradnl"/>
                    </w:rPr>
                    <w:t>)</w:t>
                  </w:r>
                </w:p>
              </w:tc>
              <w:tc>
                <w:tcPr>
                  <w:tcW w:w="2633" w:type="dxa"/>
                  <w:tcBorders>
                    <w:top w:val="single" w:sz="2" w:space="0" w:color="000000"/>
                    <w:left w:val="single" w:sz="2" w:space="0" w:color="000000"/>
                    <w:bottom w:val="single" w:sz="2" w:space="0" w:color="000000"/>
                    <w:right w:val="single" w:sz="2" w:space="0" w:color="000000"/>
                  </w:tcBorders>
                  <w:shd w:val="clear" w:color="auto" w:fill="auto"/>
                </w:tcPr>
                <w:p w14:paraId="406990B3" w14:textId="5E5F73DF" w:rsidR="00C91693" w:rsidRPr="00C168C5" w:rsidRDefault="003164B0" w:rsidP="00264EBF">
                  <w:pPr>
                    <w:spacing w:before="120" w:after="120"/>
                    <w:rPr>
                      <w:szCs w:val="22"/>
                      <w:u w:val="single"/>
                      <w:lang w:val="es-ES_tradnl"/>
                    </w:rPr>
                  </w:pPr>
                  <w:r w:rsidRPr="00C168C5">
                    <w:rPr>
                      <w:szCs w:val="22"/>
                      <w:u w:val="single"/>
                      <w:lang w:val="es-ES_tradnl"/>
                    </w:rPr>
                    <w:t xml:space="preserve">Indicadores de </w:t>
                  </w:r>
                  <w:r w:rsidR="00264EBF" w:rsidRPr="00C168C5">
                    <w:rPr>
                      <w:szCs w:val="22"/>
                      <w:u w:val="single"/>
                      <w:lang w:val="es-ES_tradnl"/>
                    </w:rPr>
                    <w:t>obtención de resultados</w:t>
                  </w:r>
                  <w:r w:rsidRPr="00C168C5">
                    <w:rPr>
                      <w:szCs w:val="22"/>
                      <w:u w:val="single"/>
                      <w:lang w:val="es-ES_tradnl"/>
                    </w:rPr>
                    <w:t xml:space="preserve"> </w:t>
                  </w:r>
                  <w:r w:rsidR="00C91693" w:rsidRPr="00C168C5">
                    <w:rPr>
                      <w:szCs w:val="22"/>
                      <w:u w:val="single"/>
                      <w:lang w:val="es-ES_tradnl"/>
                    </w:rPr>
                    <w:br/>
                  </w:r>
                  <w:r w:rsidR="00C91693" w:rsidRPr="00C168C5">
                    <w:rPr>
                      <w:szCs w:val="22"/>
                      <w:lang w:val="es-ES_tradnl"/>
                    </w:rPr>
                    <w:t>(</w:t>
                  </w:r>
                  <w:r w:rsidR="009933FF" w:rsidRPr="00C168C5">
                    <w:rPr>
                      <w:szCs w:val="22"/>
                      <w:lang w:val="es-ES_tradnl"/>
                    </w:rPr>
                    <w:t>Indicadores de producto</w:t>
                  </w:r>
                  <w:r w:rsidR="00C91693" w:rsidRPr="00C168C5">
                    <w:rPr>
                      <w:szCs w:val="22"/>
                      <w:lang w:val="es-ES_tradnl"/>
                    </w:rPr>
                    <w:t>)</w:t>
                  </w:r>
                </w:p>
              </w:tc>
              <w:tc>
                <w:tcPr>
                  <w:tcW w:w="3280" w:type="dxa"/>
                  <w:tcBorders>
                    <w:top w:val="single" w:sz="2" w:space="0" w:color="000000"/>
                    <w:left w:val="single" w:sz="2" w:space="0" w:color="000000"/>
                    <w:bottom w:val="single" w:sz="2" w:space="0" w:color="000000"/>
                    <w:right w:val="single" w:sz="2" w:space="0" w:color="000000"/>
                  </w:tcBorders>
                  <w:shd w:val="clear" w:color="auto" w:fill="auto"/>
                </w:tcPr>
                <w:p w14:paraId="2CE0EC9C" w14:textId="177945F2" w:rsidR="00C91693" w:rsidRPr="00C168C5" w:rsidRDefault="003164B0" w:rsidP="00243943">
                  <w:pPr>
                    <w:pStyle w:val="Heading3"/>
                    <w:spacing w:before="120" w:after="120"/>
                    <w:rPr>
                      <w:szCs w:val="22"/>
                      <w:lang w:val="es-ES_tradnl"/>
                    </w:rPr>
                  </w:pPr>
                  <w:r w:rsidRPr="00C168C5">
                    <w:rPr>
                      <w:szCs w:val="22"/>
                      <w:lang w:val="es-ES_tradnl"/>
                    </w:rPr>
                    <w:t>Datos sobre el rendimiento</w:t>
                  </w:r>
                </w:p>
              </w:tc>
              <w:tc>
                <w:tcPr>
                  <w:tcW w:w="1084" w:type="dxa"/>
                  <w:tcBorders>
                    <w:top w:val="single" w:sz="2" w:space="0" w:color="000000"/>
                    <w:left w:val="single" w:sz="2" w:space="0" w:color="000000"/>
                    <w:bottom w:val="single" w:sz="2" w:space="0" w:color="000000"/>
                    <w:right w:val="single" w:sz="2" w:space="0" w:color="000000"/>
                  </w:tcBorders>
                  <w:shd w:val="clear" w:color="auto" w:fill="auto"/>
                </w:tcPr>
                <w:p w14:paraId="4BE1E9D9" w14:textId="11CEB9AD" w:rsidR="00C91693" w:rsidRPr="00C168C5" w:rsidRDefault="003164B0" w:rsidP="00243943">
                  <w:pPr>
                    <w:pStyle w:val="Heading3"/>
                    <w:spacing w:before="120" w:after="120"/>
                    <w:rPr>
                      <w:szCs w:val="22"/>
                      <w:lang w:val="es-ES_tradnl"/>
                    </w:rPr>
                  </w:pPr>
                  <w:r w:rsidRPr="00C168C5">
                    <w:rPr>
                      <w:szCs w:val="22"/>
                      <w:lang w:val="es-ES_tradnl"/>
                    </w:rPr>
                    <w:t>Clave de colores</w:t>
                  </w:r>
                </w:p>
              </w:tc>
            </w:tr>
            <w:tr w:rsidR="00C91693" w:rsidRPr="00C168C5" w14:paraId="6F48451C" w14:textId="77777777" w:rsidTr="002E5493">
              <w:trPr>
                <w:trHeight w:val="616"/>
              </w:trPr>
              <w:tc>
                <w:tcPr>
                  <w:tcW w:w="2359" w:type="dxa"/>
                  <w:tcBorders>
                    <w:top w:val="single" w:sz="2" w:space="0" w:color="000000"/>
                    <w:left w:val="single" w:sz="2" w:space="0" w:color="000000"/>
                    <w:bottom w:val="single" w:sz="4" w:space="0" w:color="auto"/>
                    <w:right w:val="single" w:sz="2" w:space="0" w:color="000000"/>
                  </w:tcBorders>
                  <w:shd w:val="clear" w:color="auto" w:fill="auto"/>
                </w:tcPr>
                <w:p w14:paraId="6B7EE934" w14:textId="2E84C121" w:rsidR="00C91693" w:rsidRPr="00C168C5" w:rsidRDefault="00C91693" w:rsidP="002D4220">
                  <w:pPr>
                    <w:spacing w:before="120" w:after="120"/>
                    <w:rPr>
                      <w:lang w:val="es-ES_tradnl"/>
                    </w:rPr>
                  </w:pPr>
                  <w:r w:rsidRPr="00C168C5">
                    <w:rPr>
                      <w:bCs/>
                      <w:lang w:val="es-ES_tradnl"/>
                    </w:rPr>
                    <w:t xml:space="preserve">1.  </w:t>
                  </w:r>
                  <w:r w:rsidR="002D4220" w:rsidRPr="00C168C5">
                    <w:rPr>
                      <w:bCs/>
                      <w:lang w:val="es-ES_tradnl"/>
                    </w:rPr>
                    <w:t>Documento del proyecto</w:t>
                  </w:r>
                  <w:r w:rsidRPr="00C168C5">
                    <w:rPr>
                      <w:bCs/>
                      <w:lang w:val="es-ES_tradnl"/>
                    </w:rPr>
                    <w:t xml:space="preserve"> </w:t>
                  </w:r>
                </w:p>
              </w:tc>
              <w:tc>
                <w:tcPr>
                  <w:tcW w:w="2633" w:type="dxa"/>
                  <w:tcBorders>
                    <w:top w:val="single" w:sz="2" w:space="0" w:color="000000"/>
                    <w:left w:val="single" w:sz="2" w:space="0" w:color="000000"/>
                    <w:bottom w:val="single" w:sz="4" w:space="0" w:color="auto"/>
                    <w:right w:val="single" w:sz="2" w:space="0" w:color="000000"/>
                  </w:tcBorders>
                  <w:shd w:val="clear" w:color="auto" w:fill="auto"/>
                </w:tcPr>
                <w:p w14:paraId="7EC571E3" w14:textId="16CFEC5A" w:rsidR="00C91693" w:rsidRPr="00C168C5" w:rsidRDefault="002D4220" w:rsidP="00243943">
                  <w:pPr>
                    <w:spacing w:before="120" w:after="120"/>
                    <w:rPr>
                      <w:lang w:val="es-ES_tradnl"/>
                    </w:rPr>
                  </w:pPr>
                  <w:r w:rsidRPr="00C168C5">
                    <w:rPr>
                      <w:lang w:val="es-ES_tradnl"/>
                    </w:rPr>
                    <w:t>El proyecto de documento ha sido preparado dentro de los tres meses a partir de la aprobación del proyecto, en consulta con los Estados miembros.</w:t>
                  </w:r>
                </w:p>
              </w:tc>
              <w:tc>
                <w:tcPr>
                  <w:tcW w:w="3280" w:type="dxa"/>
                  <w:tcBorders>
                    <w:top w:val="single" w:sz="2" w:space="0" w:color="000000"/>
                    <w:left w:val="single" w:sz="2" w:space="0" w:color="000000"/>
                    <w:bottom w:val="single" w:sz="4" w:space="0" w:color="auto"/>
                    <w:right w:val="single" w:sz="2" w:space="0" w:color="000000"/>
                  </w:tcBorders>
                  <w:shd w:val="clear" w:color="auto" w:fill="auto"/>
                </w:tcPr>
                <w:p w14:paraId="002694B0" w14:textId="77777777" w:rsidR="003164B0" w:rsidRPr="00C168C5" w:rsidRDefault="003164B0" w:rsidP="003164B0">
                  <w:pPr>
                    <w:spacing w:before="60" w:after="60"/>
                    <w:rPr>
                      <w:lang w:val="es-ES_tradnl"/>
                    </w:rPr>
                  </w:pPr>
                  <w:r w:rsidRPr="00C168C5">
                    <w:rPr>
                      <w:lang w:val="es-ES_tradnl"/>
                    </w:rPr>
                    <w:t>Se finalizó la redacción del documento del proyecto en noviembre de 2011 y se revisó en mayo de 2012.</w:t>
                  </w:r>
                </w:p>
                <w:p w14:paraId="77AF175C" w14:textId="71590BCC" w:rsidR="00C91693" w:rsidRPr="00C168C5" w:rsidRDefault="00C91693" w:rsidP="00243943">
                  <w:pPr>
                    <w:spacing w:before="120" w:after="120"/>
                    <w:rPr>
                      <w:lang w:val="es-ES_tradnl"/>
                    </w:rPr>
                  </w:pPr>
                </w:p>
              </w:tc>
              <w:tc>
                <w:tcPr>
                  <w:tcW w:w="1084" w:type="dxa"/>
                  <w:tcBorders>
                    <w:top w:val="single" w:sz="2" w:space="0" w:color="000000"/>
                    <w:left w:val="single" w:sz="2" w:space="0" w:color="000000"/>
                    <w:bottom w:val="single" w:sz="4" w:space="0" w:color="auto"/>
                    <w:right w:val="single" w:sz="2" w:space="0" w:color="000000"/>
                  </w:tcBorders>
                  <w:shd w:val="clear" w:color="auto" w:fill="auto"/>
                </w:tcPr>
                <w:p w14:paraId="1320150B" w14:textId="77777777" w:rsidR="00C91693" w:rsidRPr="00C168C5" w:rsidRDefault="00C91693" w:rsidP="00243943">
                  <w:pPr>
                    <w:spacing w:before="120" w:after="120"/>
                    <w:rPr>
                      <w:lang w:val="es-ES_tradnl"/>
                    </w:rPr>
                  </w:pPr>
                  <w:r w:rsidRPr="00C168C5">
                    <w:rPr>
                      <w:lang w:val="es-ES_tradnl"/>
                    </w:rPr>
                    <w:t xml:space="preserve">**** </w:t>
                  </w:r>
                </w:p>
                <w:p w14:paraId="50D3FAC5" w14:textId="2FAC2B2A" w:rsidR="00C91693" w:rsidRPr="00C168C5" w:rsidRDefault="00C91693" w:rsidP="003164B0">
                  <w:pPr>
                    <w:spacing w:before="120" w:after="120"/>
                    <w:rPr>
                      <w:lang w:val="es-ES_tradnl"/>
                    </w:rPr>
                  </w:pPr>
                  <w:r w:rsidRPr="00C168C5">
                    <w:rPr>
                      <w:lang w:val="es-ES_tradnl"/>
                    </w:rPr>
                    <w:t>(</w:t>
                  </w:r>
                  <w:r w:rsidR="003164B0" w:rsidRPr="00C168C5">
                    <w:rPr>
                      <w:lang w:val="es-ES_tradnl"/>
                    </w:rPr>
                    <w:t>si bien acumula retrasos</w:t>
                  </w:r>
                  <w:r w:rsidRPr="00C168C5">
                    <w:rPr>
                      <w:lang w:val="es-ES_tradnl"/>
                    </w:rPr>
                    <w:t>)</w:t>
                  </w:r>
                </w:p>
              </w:tc>
            </w:tr>
            <w:tr w:rsidR="00C91693" w:rsidRPr="00C168C5" w14:paraId="0B46E359" w14:textId="77777777" w:rsidTr="002E5493">
              <w:trPr>
                <w:trHeight w:val="616"/>
              </w:trPr>
              <w:tc>
                <w:tcPr>
                  <w:tcW w:w="2359" w:type="dxa"/>
                  <w:tcBorders>
                    <w:top w:val="single" w:sz="4" w:space="0" w:color="auto"/>
                    <w:left w:val="single" w:sz="4" w:space="0" w:color="auto"/>
                    <w:bottom w:val="single" w:sz="4" w:space="0" w:color="auto"/>
                    <w:right w:val="single" w:sz="2" w:space="0" w:color="000000"/>
                  </w:tcBorders>
                  <w:shd w:val="clear" w:color="auto" w:fill="auto"/>
                </w:tcPr>
                <w:p w14:paraId="42903271" w14:textId="1CAF59EB" w:rsidR="00C91693" w:rsidRPr="00C168C5" w:rsidRDefault="00C91693" w:rsidP="003164B0">
                  <w:pPr>
                    <w:spacing w:before="120" w:after="120"/>
                    <w:rPr>
                      <w:lang w:val="es-ES_tradnl"/>
                    </w:rPr>
                  </w:pPr>
                  <w:r w:rsidRPr="00C168C5">
                    <w:rPr>
                      <w:bCs/>
                      <w:lang w:val="es-ES_tradnl"/>
                    </w:rPr>
                    <w:t xml:space="preserve">2. </w:t>
                  </w:r>
                  <w:r w:rsidR="00DB3E4A" w:rsidRPr="00C168C5">
                    <w:rPr>
                      <w:bCs/>
                      <w:lang w:val="es-ES_tradnl"/>
                    </w:rPr>
                    <w:t xml:space="preserve"> </w:t>
                  </w:r>
                  <w:r w:rsidR="003164B0" w:rsidRPr="00C168C5">
                    <w:rPr>
                      <w:bCs/>
                      <w:lang w:val="es-ES_tradnl"/>
                    </w:rPr>
                    <w:t>Organización de reuniones regionales de consulta sobre transferencia de tecnología</w:t>
                  </w:r>
                </w:p>
              </w:tc>
              <w:tc>
                <w:tcPr>
                  <w:tcW w:w="2633" w:type="dxa"/>
                  <w:tcBorders>
                    <w:top w:val="single" w:sz="4" w:space="0" w:color="auto"/>
                    <w:left w:val="single" w:sz="2" w:space="0" w:color="000000"/>
                    <w:bottom w:val="single" w:sz="4" w:space="0" w:color="auto"/>
                    <w:right w:val="single" w:sz="2" w:space="0" w:color="000000"/>
                  </w:tcBorders>
                  <w:shd w:val="clear" w:color="auto" w:fill="auto"/>
                </w:tcPr>
                <w:p w14:paraId="6A8BC7D2" w14:textId="77777777" w:rsidR="003164B0" w:rsidRPr="00C168C5" w:rsidRDefault="003164B0" w:rsidP="003164B0">
                  <w:pPr>
                    <w:spacing w:before="60" w:after="60"/>
                    <w:rPr>
                      <w:lang w:val="es-ES_tradnl"/>
                    </w:rPr>
                  </w:pPr>
                  <w:r w:rsidRPr="00C168C5">
                    <w:rPr>
                      <w:lang w:val="es-ES_tradnl"/>
                    </w:rPr>
                    <w:t>Organización de reuniones en un plazo de tres meses desde la finalización del informe del proyecto;</w:t>
                  </w:r>
                </w:p>
                <w:p w14:paraId="0F7DA932" w14:textId="77777777" w:rsidR="003164B0" w:rsidRPr="00C168C5" w:rsidRDefault="003164B0" w:rsidP="003164B0">
                  <w:pPr>
                    <w:spacing w:before="60" w:after="60"/>
                    <w:rPr>
                      <w:lang w:val="es-ES_tradnl"/>
                    </w:rPr>
                  </w:pPr>
                  <w:r w:rsidRPr="00C168C5">
                    <w:rPr>
                      <w:lang w:val="es-ES_tradnl"/>
                    </w:rPr>
                    <w:t>– comentarios de los participantes;  y</w:t>
                  </w:r>
                </w:p>
                <w:p w14:paraId="64A9288A" w14:textId="62D097D6" w:rsidR="00C91693" w:rsidRPr="00C168C5" w:rsidRDefault="003164B0" w:rsidP="003164B0">
                  <w:pPr>
                    <w:spacing w:before="120" w:after="120"/>
                    <w:rPr>
                      <w:lang w:val="es-ES_tradnl"/>
                    </w:rPr>
                  </w:pPr>
                  <w:r w:rsidRPr="00C168C5">
                    <w:rPr>
                      <w:lang w:val="es-ES_tradnl"/>
                    </w:rPr>
                    <w:t xml:space="preserve">– observaciones derivadas de las consultas con los Estados miembros. </w:t>
                  </w:r>
                  <w:r w:rsidR="00C91693" w:rsidRPr="00C168C5">
                    <w:rPr>
                      <w:lang w:val="es-ES_tradnl"/>
                    </w:rPr>
                    <w:t xml:space="preserve"> </w:t>
                  </w:r>
                </w:p>
              </w:tc>
              <w:tc>
                <w:tcPr>
                  <w:tcW w:w="3280" w:type="dxa"/>
                  <w:tcBorders>
                    <w:top w:val="single" w:sz="4" w:space="0" w:color="auto"/>
                    <w:left w:val="single" w:sz="2" w:space="0" w:color="000000"/>
                    <w:bottom w:val="single" w:sz="4" w:space="0" w:color="auto"/>
                    <w:right w:val="single" w:sz="2" w:space="0" w:color="000000"/>
                  </w:tcBorders>
                  <w:shd w:val="clear" w:color="auto" w:fill="auto"/>
                </w:tcPr>
                <w:p w14:paraId="26E273E8" w14:textId="5F396186" w:rsidR="00C91693" w:rsidRPr="00C168C5" w:rsidRDefault="003A7462" w:rsidP="00243943">
                  <w:pPr>
                    <w:spacing w:before="120" w:after="120"/>
                    <w:rPr>
                      <w:iCs/>
                      <w:lang w:val="es-ES_tradnl"/>
                    </w:rPr>
                  </w:pPr>
                  <w:r w:rsidRPr="00C168C5">
                    <w:rPr>
                      <w:lang w:val="es-ES_tradnl"/>
                    </w:rPr>
                    <w:t xml:space="preserve">Las cinco reuniones regionales de consulta </w:t>
                  </w:r>
                  <w:r w:rsidR="00EC364B" w:rsidRPr="00C168C5">
                    <w:rPr>
                      <w:lang w:val="es-ES_tradnl"/>
                    </w:rPr>
                    <w:t xml:space="preserve">previstas </w:t>
                  </w:r>
                  <w:r w:rsidRPr="00C168C5">
                    <w:rPr>
                      <w:lang w:val="es-ES_tradnl"/>
                    </w:rPr>
                    <w:t xml:space="preserve">sobre transferencia de tecnología </w:t>
                  </w:r>
                  <w:r w:rsidR="00EC364B" w:rsidRPr="00C168C5">
                    <w:rPr>
                      <w:lang w:val="es-ES_tradnl"/>
                    </w:rPr>
                    <w:t>han tenido lugar,</w:t>
                  </w:r>
                  <w:r w:rsidRPr="00C168C5">
                    <w:rPr>
                      <w:lang w:val="es-ES_tradnl"/>
                    </w:rPr>
                    <w:t xml:space="preserve"> la primera en </w:t>
                  </w:r>
                  <w:r w:rsidR="00EC364B" w:rsidRPr="00C168C5">
                    <w:rPr>
                      <w:iCs/>
                      <w:lang w:val="es-ES_tradnl"/>
                    </w:rPr>
                    <w:t>Singapur</w:t>
                  </w:r>
                  <w:r w:rsidRPr="00C168C5">
                    <w:rPr>
                      <w:iCs/>
                      <w:lang w:val="es-ES_tradnl"/>
                    </w:rPr>
                    <w:t xml:space="preserve"> lo</w:t>
                  </w:r>
                  <w:r w:rsidR="00EC364B" w:rsidRPr="00C168C5">
                    <w:rPr>
                      <w:iCs/>
                      <w:lang w:val="es-ES_tradnl"/>
                    </w:rPr>
                    <w:t>s días 16 y 17 de julio de 2012,</w:t>
                  </w:r>
                  <w:r w:rsidRPr="00C168C5">
                    <w:rPr>
                      <w:iCs/>
                      <w:lang w:val="es-ES_tradnl"/>
                    </w:rPr>
                    <w:t xml:space="preserve"> </w:t>
                  </w:r>
                  <w:r w:rsidR="00EC364B" w:rsidRPr="00C168C5">
                    <w:rPr>
                      <w:iCs/>
                      <w:lang w:val="es-ES_tradnl"/>
                    </w:rPr>
                    <w:t xml:space="preserve"> la segunda en Argel</w:t>
                  </w:r>
                  <w:r w:rsidRPr="00C168C5">
                    <w:rPr>
                      <w:iCs/>
                      <w:lang w:val="es-ES_tradnl"/>
                    </w:rPr>
                    <w:t xml:space="preserve"> los días 29 y 30 de en</w:t>
                  </w:r>
                  <w:r w:rsidR="00EC364B" w:rsidRPr="00C168C5">
                    <w:rPr>
                      <w:iCs/>
                      <w:lang w:val="es-ES_tradnl"/>
                    </w:rPr>
                    <w:t>ero de 2013,</w:t>
                  </w:r>
                  <w:r w:rsidRPr="00C168C5">
                    <w:rPr>
                      <w:lang w:val="es-ES_tradnl"/>
                    </w:rPr>
                    <w:t xml:space="preserve"> </w:t>
                  </w:r>
                  <w:r w:rsidR="00EC364B" w:rsidRPr="00C168C5">
                    <w:rPr>
                      <w:lang w:val="es-ES_tradnl"/>
                    </w:rPr>
                    <w:t xml:space="preserve"> </w:t>
                  </w:r>
                  <w:r w:rsidRPr="00C168C5">
                    <w:rPr>
                      <w:lang w:val="es-ES_tradnl"/>
                    </w:rPr>
                    <w:t xml:space="preserve">la tercera en </w:t>
                  </w:r>
                  <w:r w:rsidR="00EC364B" w:rsidRPr="00C168C5">
                    <w:rPr>
                      <w:iCs/>
                      <w:lang w:val="es-ES_tradnl"/>
                    </w:rPr>
                    <w:t>Estambul</w:t>
                  </w:r>
                  <w:r w:rsidRPr="00C168C5">
                    <w:rPr>
                      <w:iCs/>
                      <w:lang w:val="es-ES_tradnl"/>
                    </w:rPr>
                    <w:t xml:space="preserve"> los días 24 y 25 de octubre de 2013, la cuarta reunión en Ginebra</w:t>
                  </w:r>
                  <w:r w:rsidRPr="00C168C5">
                    <w:rPr>
                      <w:lang w:val="es-ES_tradnl"/>
                    </w:rPr>
                    <w:t xml:space="preserve">, </w:t>
                  </w:r>
                  <w:r w:rsidRPr="00C168C5">
                    <w:rPr>
                      <w:iCs/>
                      <w:lang w:val="es-ES_tradnl"/>
                    </w:rPr>
                    <w:t>los dí</w:t>
                  </w:r>
                  <w:r w:rsidR="00EC364B" w:rsidRPr="00C168C5">
                    <w:rPr>
                      <w:iCs/>
                      <w:lang w:val="es-ES_tradnl"/>
                    </w:rPr>
                    <w:t xml:space="preserve">as 25 y 26 de noviembre de 2013 </w:t>
                  </w:r>
                  <w:r w:rsidRPr="00C168C5">
                    <w:rPr>
                      <w:iCs/>
                      <w:lang w:val="es-ES_tradnl"/>
                    </w:rPr>
                    <w:t xml:space="preserve"> y la quinta y </w:t>
                  </w:r>
                  <w:r w:rsidR="00EC364B" w:rsidRPr="00C168C5">
                    <w:rPr>
                      <w:iCs/>
                      <w:lang w:val="es-ES_tradnl"/>
                    </w:rPr>
                    <w:t>última en Monterrey</w:t>
                  </w:r>
                  <w:r w:rsidRPr="00C168C5">
                    <w:rPr>
                      <w:iCs/>
                      <w:lang w:val="es-ES_tradnl"/>
                    </w:rPr>
                    <w:t xml:space="preserve"> los días 5 y 6 de diciembre de 2013.  Las reuniones </w:t>
                  </w:r>
                  <w:r w:rsidR="00080878" w:rsidRPr="00C168C5">
                    <w:rPr>
                      <w:iCs/>
                      <w:lang w:val="es-ES_tradnl"/>
                    </w:rPr>
                    <w:t>despiertan</w:t>
                  </w:r>
                  <w:r w:rsidRPr="00C168C5">
                    <w:rPr>
                      <w:iCs/>
                      <w:lang w:val="es-ES_tradnl"/>
                    </w:rPr>
                    <w:t xml:space="preserve"> gran interés en los países participantes y entre los asistentes a ellas.</w:t>
                  </w:r>
                </w:p>
                <w:p w14:paraId="58853FF4" w14:textId="77777777" w:rsidR="00C17CF5" w:rsidRPr="00C168C5" w:rsidRDefault="00C17CF5" w:rsidP="00243943">
                  <w:pPr>
                    <w:spacing w:before="120" w:after="120"/>
                    <w:rPr>
                      <w:iCs/>
                      <w:lang w:val="es-ES_tradnl"/>
                    </w:rPr>
                  </w:pPr>
                </w:p>
                <w:p w14:paraId="0AF36815" w14:textId="77777777" w:rsidR="00C17CF5" w:rsidRPr="00C168C5" w:rsidRDefault="00C17CF5" w:rsidP="00243943">
                  <w:pPr>
                    <w:spacing w:before="120" w:after="120"/>
                    <w:rPr>
                      <w:iCs/>
                      <w:lang w:val="es-ES_tradnl"/>
                    </w:rPr>
                  </w:pPr>
                </w:p>
                <w:p w14:paraId="36ECAB72" w14:textId="77777777" w:rsidR="00C17CF5" w:rsidRPr="00C168C5" w:rsidRDefault="00C17CF5" w:rsidP="00243943">
                  <w:pPr>
                    <w:spacing w:before="120" w:after="120"/>
                    <w:rPr>
                      <w:iCs/>
                      <w:lang w:val="es-ES_tradnl"/>
                    </w:rPr>
                  </w:pPr>
                </w:p>
                <w:p w14:paraId="73FB89C9" w14:textId="4C3F3249" w:rsidR="00C17CF5" w:rsidRPr="00C168C5" w:rsidRDefault="00C17CF5" w:rsidP="00243943">
                  <w:pPr>
                    <w:spacing w:before="120" w:after="120"/>
                    <w:rPr>
                      <w:iCs/>
                      <w:lang w:val="es-ES_tradnl"/>
                    </w:rPr>
                  </w:pPr>
                </w:p>
              </w:tc>
              <w:tc>
                <w:tcPr>
                  <w:tcW w:w="1084" w:type="dxa"/>
                  <w:tcBorders>
                    <w:top w:val="single" w:sz="4" w:space="0" w:color="auto"/>
                    <w:left w:val="single" w:sz="2" w:space="0" w:color="000000"/>
                    <w:bottom w:val="single" w:sz="4" w:space="0" w:color="auto"/>
                    <w:right w:val="single" w:sz="4" w:space="0" w:color="auto"/>
                  </w:tcBorders>
                  <w:shd w:val="clear" w:color="auto" w:fill="auto"/>
                </w:tcPr>
                <w:p w14:paraId="13E1EBDE" w14:textId="77777777" w:rsidR="00C91693" w:rsidRPr="00C168C5" w:rsidRDefault="00C91693" w:rsidP="00243943">
                  <w:pPr>
                    <w:spacing w:before="120" w:after="120"/>
                    <w:rPr>
                      <w:lang w:val="es-ES_tradnl"/>
                    </w:rPr>
                  </w:pPr>
                  <w:r w:rsidRPr="00C168C5">
                    <w:rPr>
                      <w:lang w:val="es-ES_tradnl"/>
                    </w:rPr>
                    <w:t>****</w:t>
                  </w:r>
                </w:p>
                <w:p w14:paraId="5D226343" w14:textId="0E0C4219" w:rsidR="00C91693" w:rsidRPr="00C168C5" w:rsidRDefault="003A7462" w:rsidP="003A7462">
                  <w:pPr>
                    <w:spacing w:before="120" w:after="120"/>
                    <w:rPr>
                      <w:lang w:val="es-ES_tradnl"/>
                    </w:rPr>
                  </w:pPr>
                  <w:r w:rsidRPr="00C168C5">
                    <w:rPr>
                      <w:lang w:val="es-ES_tradnl"/>
                    </w:rPr>
                    <w:t>(si bien acumula retrasos)</w:t>
                  </w:r>
                </w:p>
              </w:tc>
            </w:tr>
            <w:tr w:rsidR="00C91693" w:rsidRPr="00C168C5" w14:paraId="51B92364" w14:textId="77777777" w:rsidTr="002E5493">
              <w:trPr>
                <w:trHeight w:val="616"/>
                <w:tblHeader/>
              </w:trPr>
              <w:tc>
                <w:tcPr>
                  <w:tcW w:w="2359" w:type="dxa"/>
                  <w:tcBorders>
                    <w:top w:val="single" w:sz="4" w:space="0" w:color="auto"/>
                    <w:left w:val="single" w:sz="4" w:space="0" w:color="auto"/>
                    <w:bottom w:val="single" w:sz="4" w:space="0" w:color="auto"/>
                    <w:right w:val="single" w:sz="2" w:space="0" w:color="000000"/>
                  </w:tcBorders>
                  <w:shd w:val="clear" w:color="auto" w:fill="auto"/>
                </w:tcPr>
                <w:p w14:paraId="398C9749" w14:textId="746AA735" w:rsidR="00C91693" w:rsidRPr="00C168C5" w:rsidRDefault="00C91693" w:rsidP="001269EE">
                  <w:pPr>
                    <w:spacing w:before="120" w:after="120"/>
                    <w:rPr>
                      <w:b/>
                      <w:szCs w:val="22"/>
                      <w:u w:val="single"/>
                      <w:lang w:val="es-ES_tradnl"/>
                    </w:rPr>
                  </w:pPr>
                  <w:r w:rsidRPr="00C168C5">
                    <w:rPr>
                      <w:rStyle w:val="Heading3Char"/>
                      <w:szCs w:val="22"/>
                      <w:lang w:val="es-ES_tradnl"/>
                    </w:rPr>
                    <w:lastRenderedPageBreak/>
                    <w:t>P</w:t>
                  </w:r>
                  <w:r w:rsidR="001269EE" w:rsidRPr="00C168C5">
                    <w:rPr>
                      <w:rStyle w:val="Heading3Char"/>
                      <w:szCs w:val="22"/>
                      <w:lang w:val="es-ES_tradnl"/>
                    </w:rPr>
                    <w:t>roductos del proyecto</w:t>
                  </w:r>
                  <w:r w:rsidRPr="00C168C5">
                    <w:rPr>
                      <w:rStyle w:val="FootnoteReference"/>
                      <w:bCs/>
                      <w:szCs w:val="22"/>
                      <w:u w:val="single"/>
                      <w:lang w:val="es-ES_tradnl"/>
                    </w:rPr>
                    <w:footnoteReference w:id="6"/>
                  </w:r>
                  <w:r w:rsidRPr="00C168C5">
                    <w:rPr>
                      <w:b/>
                      <w:szCs w:val="22"/>
                      <w:u w:val="single"/>
                      <w:lang w:val="es-ES_tradnl"/>
                    </w:rPr>
                    <w:br/>
                  </w:r>
                  <w:r w:rsidR="001269EE" w:rsidRPr="00C168C5">
                    <w:rPr>
                      <w:szCs w:val="22"/>
                      <w:lang w:val="es-ES_tradnl"/>
                    </w:rPr>
                    <w:t>(Resultado previsto)</w:t>
                  </w:r>
                </w:p>
              </w:tc>
              <w:tc>
                <w:tcPr>
                  <w:tcW w:w="2633" w:type="dxa"/>
                  <w:tcBorders>
                    <w:top w:val="single" w:sz="4" w:space="0" w:color="auto"/>
                    <w:left w:val="single" w:sz="2" w:space="0" w:color="000000"/>
                    <w:bottom w:val="single" w:sz="4" w:space="0" w:color="auto"/>
                    <w:right w:val="single" w:sz="2" w:space="0" w:color="000000"/>
                  </w:tcBorders>
                  <w:shd w:val="clear" w:color="auto" w:fill="auto"/>
                </w:tcPr>
                <w:p w14:paraId="6194B012" w14:textId="0D5274C4" w:rsidR="00C91693" w:rsidRPr="00C168C5" w:rsidRDefault="001269EE" w:rsidP="00264EBF">
                  <w:pPr>
                    <w:spacing w:before="120" w:after="120"/>
                    <w:rPr>
                      <w:szCs w:val="22"/>
                      <w:u w:val="single"/>
                      <w:lang w:val="es-ES_tradnl"/>
                    </w:rPr>
                  </w:pPr>
                  <w:r w:rsidRPr="00C168C5">
                    <w:rPr>
                      <w:szCs w:val="22"/>
                      <w:u w:val="single"/>
                      <w:lang w:val="es-ES_tradnl"/>
                    </w:rPr>
                    <w:t xml:space="preserve">Indicadores de </w:t>
                  </w:r>
                  <w:r w:rsidR="00264EBF" w:rsidRPr="00C168C5">
                    <w:rPr>
                      <w:szCs w:val="22"/>
                      <w:u w:val="single"/>
                      <w:lang w:val="es-ES_tradnl"/>
                    </w:rPr>
                    <w:t xml:space="preserve">obtención de resultados </w:t>
                  </w:r>
                  <w:r w:rsidRPr="00C168C5">
                    <w:rPr>
                      <w:szCs w:val="22"/>
                      <w:u w:val="single"/>
                      <w:lang w:val="es-ES_tradnl"/>
                    </w:rPr>
                    <w:br/>
                  </w:r>
                  <w:r w:rsidR="00264EBF" w:rsidRPr="00C168C5">
                    <w:rPr>
                      <w:szCs w:val="22"/>
                      <w:lang w:val="es-ES_tradnl"/>
                    </w:rPr>
                    <w:t>(Indicadores de producto</w:t>
                  </w:r>
                  <w:r w:rsidRPr="00C168C5">
                    <w:rPr>
                      <w:szCs w:val="22"/>
                      <w:lang w:val="es-ES_tradnl"/>
                    </w:rPr>
                    <w:t>)</w:t>
                  </w:r>
                </w:p>
              </w:tc>
              <w:tc>
                <w:tcPr>
                  <w:tcW w:w="3280" w:type="dxa"/>
                  <w:tcBorders>
                    <w:top w:val="single" w:sz="4" w:space="0" w:color="auto"/>
                    <w:left w:val="single" w:sz="2" w:space="0" w:color="000000"/>
                    <w:bottom w:val="single" w:sz="4" w:space="0" w:color="auto"/>
                    <w:right w:val="single" w:sz="2" w:space="0" w:color="000000"/>
                  </w:tcBorders>
                  <w:shd w:val="clear" w:color="auto" w:fill="auto"/>
                </w:tcPr>
                <w:p w14:paraId="2033999A" w14:textId="536353E6" w:rsidR="00C91693" w:rsidRPr="00C168C5" w:rsidRDefault="001269EE" w:rsidP="00243943">
                  <w:pPr>
                    <w:pStyle w:val="Heading3"/>
                    <w:spacing w:before="120" w:after="120"/>
                    <w:rPr>
                      <w:szCs w:val="22"/>
                      <w:lang w:val="es-ES_tradnl"/>
                    </w:rPr>
                  </w:pPr>
                  <w:r w:rsidRPr="00C168C5">
                    <w:rPr>
                      <w:szCs w:val="22"/>
                      <w:lang w:val="es-ES_tradnl"/>
                    </w:rPr>
                    <w:t>Datos sobre el rendimiento</w:t>
                  </w:r>
                </w:p>
              </w:tc>
              <w:tc>
                <w:tcPr>
                  <w:tcW w:w="1084" w:type="dxa"/>
                  <w:tcBorders>
                    <w:top w:val="single" w:sz="4" w:space="0" w:color="auto"/>
                    <w:left w:val="single" w:sz="2" w:space="0" w:color="000000"/>
                    <w:bottom w:val="single" w:sz="4" w:space="0" w:color="auto"/>
                    <w:right w:val="single" w:sz="4" w:space="0" w:color="auto"/>
                  </w:tcBorders>
                  <w:shd w:val="clear" w:color="auto" w:fill="auto"/>
                </w:tcPr>
                <w:p w14:paraId="76987478" w14:textId="5BC5D29A" w:rsidR="00C91693" w:rsidRPr="00C168C5" w:rsidRDefault="001269EE" w:rsidP="00243943">
                  <w:pPr>
                    <w:pStyle w:val="Heading3"/>
                    <w:spacing w:before="120" w:after="120"/>
                    <w:rPr>
                      <w:szCs w:val="22"/>
                      <w:lang w:val="es-ES_tradnl"/>
                    </w:rPr>
                  </w:pPr>
                  <w:r w:rsidRPr="00C168C5">
                    <w:rPr>
                      <w:szCs w:val="22"/>
                      <w:lang w:val="es-ES_tradnl"/>
                    </w:rPr>
                    <w:t>Clave de colores</w:t>
                  </w:r>
                </w:p>
              </w:tc>
            </w:tr>
            <w:tr w:rsidR="00C91693" w:rsidRPr="00C168C5" w14:paraId="02032D7E" w14:textId="77777777" w:rsidTr="002E5493">
              <w:trPr>
                <w:trHeight w:val="616"/>
              </w:trPr>
              <w:tc>
                <w:tcPr>
                  <w:tcW w:w="2359" w:type="dxa"/>
                  <w:tcBorders>
                    <w:top w:val="single" w:sz="4" w:space="0" w:color="auto"/>
                    <w:left w:val="single" w:sz="2" w:space="0" w:color="000000"/>
                    <w:bottom w:val="single" w:sz="2" w:space="0" w:color="000000"/>
                    <w:right w:val="single" w:sz="2" w:space="0" w:color="000000"/>
                  </w:tcBorders>
                  <w:shd w:val="clear" w:color="auto" w:fill="auto"/>
                </w:tcPr>
                <w:p w14:paraId="468FA0A6" w14:textId="0E195A73" w:rsidR="00C91693" w:rsidRPr="00C168C5" w:rsidRDefault="00C91693" w:rsidP="000729CA">
                  <w:pPr>
                    <w:spacing w:before="120" w:after="120"/>
                    <w:rPr>
                      <w:highlight w:val="yellow"/>
                      <w:lang w:val="es-ES_tradnl"/>
                    </w:rPr>
                  </w:pPr>
                  <w:r w:rsidRPr="002A6A48">
                    <w:rPr>
                      <w:bCs/>
                      <w:lang w:val="es-ES_tradnl"/>
                    </w:rPr>
                    <w:t xml:space="preserve">3. </w:t>
                  </w:r>
                  <w:r w:rsidR="00DB3E4A" w:rsidRPr="00C168C5">
                    <w:rPr>
                      <w:bCs/>
                      <w:lang w:val="es-ES_tradnl"/>
                    </w:rPr>
                    <w:t xml:space="preserve"> </w:t>
                  </w:r>
                  <w:r w:rsidR="000729CA" w:rsidRPr="00C168C5">
                    <w:rPr>
                      <w:bCs/>
                      <w:lang w:val="es-ES_tradnl"/>
                    </w:rPr>
                    <w:t>Estudios, estudios de caso y análisis.</w:t>
                  </w:r>
                </w:p>
              </w:tc>
              <w:tc>
                <w:tcPr>
                  <w:tcW w:w="2633" w:type="dxa"/>
                  <w:tcBorders>
                    <w:top w:val="single" w:sz="4" w:space="0" w:color="auto"/>
                    <w:left w:val="single" w:sz="2" w:space="0" w:color="000000"/>
                    <w:bottom w:val="single" w:sz="2" w:space="0" w:color="000000"/>
                    <w:right w:val="single" w:sz="2" w:space="0" w:color="000000"/>
                  </w:tcBorders>
                  <w:shd w:val="clear" w:color="auto" w:fill="auto"/>
                </w:tcPr>
                <w:p w14:paraId="0F12DAAC" w14:textId="3333B7D0" w:rsidR="00C91693" w:rsidRPr="00C168C5" w:rsidRDefault="000729CA" w:rsidP="00243943">
                  <w:pPr>
                    <w:spacing w:before="120" w:after="120"/>
                    <w:rPr>
                      <w:highlight w:val="yellow"/>
                      <w:lang w:val="es-ES_tradnl"/>
                    </w:rPr>
                  </w:pPr>
                  <w:r w:rsidRPr="00C168C5">
                    <w:rPr>
                      <w:lang w:val="es-ES_tradnl"/>
                    </w:rPr>
                    <w:t>Finalización de los estudios y análisis dentro del plazo convenido y conforme a las especificaciones que figuran en el mandato</w:t>
                  </w:r>
                </w:p>
              </w:tc>
              <w:tc>
                <w:tcPr>
                  <w:tcW w:w="3280" w:type="dxa"/>
                  <w:tcBorders>
                    <w:top w:val="single" w:sz="4" w:space="0" w:color="auto"/>
                    <w:left w:val="single" w:sz="2" w:space="0" w:color="000000"/>
                    <w:bottom w:val="single" w:sz="2" w:space="0" w:color="000000"/>
                    <w:right w:val="single" w:sz="2" w:space="0" w:color="000000"/>
                  </w:tcBorders>
                  <w:shd w:val="clear" w:color="auto" w:fill="auto"/>
                </w:tcPr>
                <w:p w14:paraId="4CCC2895" w14:textId="40E38BB6" w:rsidR="00583668" w:rsidRPr="00C168C5" w:rsidRDefault="000729CA" w:rsidP="00583668">
                  <w:pPr>
                    <w:spacing w:before="120" w:after="120"/>
                    <w:rPr>
                      <w:lang w:val="es-ES_tradnl"/>
                    </w:rPr>
                  </w:pPr>
                  <w:r w:rsidRPr="002A6A48">
                    <w:rPr>
                      <w:lang w:val="es-ES_tradnl"/>
                    </w:rPr>
                    <w:t xml:space="preserve">Los seis estudios analíticos ya se han encomendado, finalizado, revisado por </w:t>
                  </w:r>
                  <w:r w:rsidR="00080878" w:rsidRPr="002A6A48">
                    <w:rPr>
                      <w:lang w:val="es-ES_tradnl"/>
                    </w:rPr>
                    <w:t>homólogos y</w:t>
                  </w:r>
                  <w:r w:rsidRPr="002A6A48">
                    <w:rPr>
                      <w:lang w:val="es-ES_tradnl"/>
                    </w:rPr>
                    <w:t xml:space="preserve"> publicados durante la </w:t>
                  </w:r>
                  <w:r w:rsidR="00073DFF">
                    <w:rPr>
                      <w:lang w:val="es-ES_tradnl"/>
                    </w:rPr>
                    <w:t>decimocuarta</w:t>
                  </w:r>
                  <w:r w:rsidRPr="002A6A48">
                    <w:rPr>
                      <w:lang w:val="es-ES_tradnl"/>
                    </w:rPr>
                    <w:t xml:space="preserve"> sesión del </w:t>
                  </w:r>
                  <w:r w:rsidR="00C91693" w:rsidRPr="002A6A48">
                    <w:rPr>
                      <w:lang w:val="es-ES_tradnl"/>
                    </w:rPr>
                    <w:t xml:space="preserve">CDIP.  </w:t>
                  </w:r>
                  <w:r w:rsidRPr="002A6A48">
                    <w:rPr>
                      <w:lang w:val="es-ES_tradnl"/>
                    </w:rPr>
                    <w:t>Esa revisión se ha publicado junto con los estudios mencionados</w:t>
                  </w:r>
                  <w:r w:rsidR="00C91693" w:rsidRPr="002A6A48">
                    <w:rPr>
                      <w:lang w:val="es-ES_tradnl"/>
                    </w:rPr>
                    <w:t>.</w:t>
                  </w:r>
                  <w:r w:rsidR="00C91693" w:rsidRPr="00C168C5">
                    <w:rPr>
                      <w:highlight w:val="yellow"/>
                      <w:lang w:val="es-ES_tradnl"/>
                    </w:rPr>
                    <w:t xml:space="preserve">  </w:t>
                  </w:r>
                  <w:r w:rsidR="00583668" w:rsidRPr="00C168C5">
                    <w:rPr>
                      <w:lang w:val="es-ES_tradnl"/>
                    </w:rPr>
                    <w:t>Además, los autores de los estudios y sus pares revisores presentaron sus constataciones y conclusiones en el foro de la OMPI de expertos sobre transferencia internacional de tecnología celebrado los días 16 a 18 de febrero de 2015.</w:t>
                  </w:r>
                </w:p>
                <w:p w14:paraId="55C51C38" w14:textId="77777777" w:rsidR="00583668" w:rsidRPr="00C168C5" w:rsidRDefault="00583668" w:rsidP="00583668">
                  <w:pPr>
                    <w:spacing w:before="120" w:after="120"/>
                    <w:rPr>
                      <w:highlight w:val="yellow"/>
                      <w:lang w:val="es-ES_tradnl"/>
                    </w:rPr>
                  </w:pPr>
                </w:p>
                <w:p w14:paraId="5BD5AE94" w14:textId="77777777" w:rsidR="00583668" w:rsidRPr="00C168C5" w:rsidRDefault="00583668" w:rsidP="00583668">
                  <w:pPr>
                    <w:spacing w:before="120" w:after="120"/>
                    <w:rPr>
                      <w:highlight w:val="yellow"/>
                      <w:lang w:val="es-ES_tradnl"/>
                    </w:rPr>
                  </w:pPr>
                </w:p>
                <w:p w14:paraId="60AB99EA" w14:textId="77777777" w:rsidR="00583668" w:rsidRPr="00C168C5" w:rsidRDefault="00583668" w:rsidP="00583668">
                  <w:pPr>
                    <w:spacing w:before="120" w:after="120"/>
                    <w:rPr>
                      <w:highlight w:val="yellow"/>
                      <w:lang w:val="es-ES_tradnl"/>
                    </w:rPr>
                  </w:pPr>
                </w:p>
                <w:p w14:paraId="615BAE35" w14:textId="0E9D9AC5" w:rsidR="00583668" w:rsidRPr="00C168C5" w:rsidRDefault="00583668" w:rsidP="00583668">
                  <w:pPr>
                    <w:spacing w:before="120" w:after="120"/>
                    <w:rPr>
                      <w:highlight w:val="yellow"/>
                      <w:lang w:val="es-ES_tradnl"/>
                    </w:rPr>
                  </w:pPr>
                </w:p>
              </w:tc>
              <w:tc>
                <w:tcPr>
                  <w:tcW w:w="1084" w:type="dxa"/>
                  <w:tcBorders>
                    <w:top w:val="single" w:sz="4" w:space="0" w:color="auto"/>
                    <w:left w:val="single" w:sz="2" w:space="0" w:color="000000"/>
                    <w:bottom w:val="single" w:sz="2" w:space="0" w:color="000000"/>
                    <w:right w:val="single" w:sz="2" w:space="0" w:color="000000"/>
                  </w:tcBorders>
                  <w:shd w:val="clear" w:color="auto" w:fill="auto"/>
                </w:tcPr>
                <w:p w14:paraId="15370A2A" w14:textId="77777777" w:rsidR="00C91693" w:rsidRPr="002A6A48" w:rsidRDefault="00C91693" w:rsidP="00243943">
                  <w:pPr>
                    <w:spacing w:before="120" w:after="120"/>
                    <w:rPr>
                      <w:lang w:val="es-ES_tradnl"/>
                    </w:rPr>
                  </w:pPr>
                  <w:r w:rsidRPr="002A6A48">
                    <w:rPr>
                      <w:lang w:val="es-ES_tradnl"/>
                    </w:rPr>
                    <w:t>****</w:t>
                  </w:r>
                </w:p>
                <w:p w14:paraId="7B8D97BD" w14:textId="20D454B3" w:rsidR="00C91693" w:rsidRPr="00C168C5" w:rsidRDefault="000729CA" w:rsidP="000729CA">
                  <w:pPr>
                    <w:spacing w:before="120" w:after="120"/>
                    <w:rPr>
                      <w:highlight w:val="yellow"/>
                      <w:lang w:val="es-ES_tradnl"/>
                    </w:rPr>
                  </w:pPr>
                  <w:r w:rsidRPr="00C168C5">
                    <w:rPr>
                      <w:lang w:val="es-ES_tradnl"/>
                    </w:rPr>
                    <w:t>(si bien acumula retrasos)</w:t>
                  </w:r>
                </w:p>
              </w:tc>
            </w:tr>
            <w:tr w:rsidR="002E5493" w:rsidRPr="00C168C5" w14:paraId="2570189E" w14:textId="77777777" w:rsidTr="002E5493">
              <w:trPr>
                <w:trHeight w:val="616"/>
              </w:trPr>
              <w:tc>
                <w:tcPr>
                  <w:tcW w:w="2359" w:type="dxa"/>
                  <w:tcBorders>
                    <w:top w:val="single" w:sz="2" w:space="0" w:color="000000"/>
                    <w:left w:val="single" w:sz="2" w:space="0" w:color="000000"/>
                    <w:bottom w:val="single" w:sz="4" w:space="0" w:color="auto"/>
                    <w:right w:val="single" w:sz="2" w:space="0" w:color="000000"/>
                  </w:tcBorders>
                  <w:shd w:val="clear" w:color="auto" w:fill="auto"/>
                </w:tcPr>
                <w:p w14:paraId="4EF4E9C1" w14:textId="4E1377B8" w:rsidR="002E5493" w:rsidRPr="00C168C5" w:rsidRDefault="002E5493" w:rsidP="00243943">
                  <w:pPr>
                    <w:spacing w:before="120" w:after="120"/>
                    <w:rPr>
                      <w:lang w:val="es-ES_tradnl"/>
                    </w:rPr>
                  </w:pPr>
                  <w:r w:rsidRPr="000C1194">
                    <w:t>4.  Documento conceptual</w:t>
                  </w:r>
                </w:p>
              </w:tc>
              <w:tc>
                <w:tcPr>
                  <w:tcW w:w="2633" w:type="dxa"/>
                  <w:tcBorders>
                    <w:top w:val="single" w:sz="2" w:space="0" w:color="000000"/>
                    <w:left w:val="single" w:sz="2" w:space="0" w:color="000000"/>
                    <w:bottom w:val="single" w:sz="4" w:space="0" w:color="auto"/>
                    <w:right w:val="single" w:sz="2" w:space="0" w:color="000000"/>
                  </w:tcBorders>
                  <w:shd w:val="clear" w:color="auto" w:fill="auto"/>
                </w:tcPr>
                <w:p w14:paraId="24B866B0" w14:textId="6D387F4C" w:rsidR="002E5493" w:rsidRPr="002E5493" w:rsidRDefault="002E5493" w:rsidP="00243943">
                  <w:pPr>
                    <w:spacing w:before="120" w:after="120"/>
                  </w:pPr>
                  <w:r w:rsidRPr="000C1194">
                    <w:t>Elaboración de un proyecto de documento conceptual sobre la búsqueda de soluciones a modo de referencia para los debates en el foro internacional de expertos de alto nivel, que se presentará al CDIP para su aprobación.</w:t>
                  </w:r>
                </w:p>
              </w:tc>
              <w:tc>
                <w:tcPr>
                  <w:tcW w:w="3280" w:type="dxa"/>
                  <w:tcBorders>
                    <w:top w:val="single" w:sz="2" w:space="0" w:color="000000"/>
                    <w:left w:val="single" w:sz="2" w:space="0" w:color="000000"/>
                    <w:bottom w:val="single" w:sz="4" w:space="0" w:color="auto"/>
                    <w:right w:val="single" w:sz="2" w:space="0" w:color="000000"/>
                  </w:tcBorders>
                  <w:shd w:val="clear" w:color="auto" w:fill="auto"/>
                </w:tcPr>
                <w:p w14:paraId="2B7873EE" w14:textId="77777777" w:rsidR="002E5493" w:rsidRPr="000C1194" w:rsidRDefault="002E5493" w:rsidP="008E1AF8">
                  <w:pPr>
                    <w:spacing w:before="120" w:after="120"/>
                  </w:pPr>
                  <w:r w:rsidRPr="000C1194">
                    <w:t xml:space="preserve">El documento conceptual, que incorpora las ideas formuladas en las cinco reuniones regionales de consulta y los seis estudios analíticos, incluidas las seis revisiones por homólogos, fue aprobado por el CDIP en su decimocuarta sesión.  La versión final aprobada se corresponde con el documento </w:t>
                  </w:r>
                  <w:hyperlink r:id="rId59" w:history="1">
                    <w:r w:rsidRPr="000C1194">
                      <w:rPr>
                        <w:rStyle w:val="Hyperlink"/>
                      </w:rPr>
                      <w:t>CDIP/14/8 Rev.2</w:t>
                    </w:r>
                  </w:hyperlink>
                  <w:r w:rsidRPr="000C1194">
                    <w:t xml:space="preserve">.  El documento conceptual fue presentado a los expertos internacionales para la formulación de observaciones el 27 de marzo de 2014, y a las Misiones Permanentes en Ginebra el 1 de septiembre de 2014 y el 21 de octubre de 2014.  Asimismo, el 28 de octubre de 2014 se organizó una reunión de un día de duración con organizaciones intergubernamentales (OIG), </w:t>
                  </w:r>
                  <w:r w:rsidRPr="000C1194">
                    <w:lastRenderedPageBreak/>
                    <w:t>organizaciones no gubernamentales (ONG) y asociaciones profesionales.</w:t>
                  </w:r>
                </w:p>
                <w:p w14:paraId="47044BE6" w14:textId="77777777" w:rsidR="002E5493" w:rsidRPr="000C1194" w:rsidRDefault="002E5493" w:rsidP="008E1AF8">
                  <w:pPr>
                    <w:spacing w:before="120" w:after="120"/>
                  </w:pPr>
                </w:p>
                <w:p w14:paraId="0AE0999D" w14:textId="77777777" w:rsidR="002E5493" w:rsidRPr="000C1194" w:rsidRDefault="002E5493" w:rsidP="008E1AF8">
                  <w:pPr>
                    <w:spacing w:before="120" w:after="120"/>
                  </w:pPr>
                </w:p>
                <w:p w14:paraId="6571D474" w14:textId="77777777" w:rsidR="002E5493" w:rsidRPr="000C1194" w:rsidRDefault="002E5493" w:rsidP="008E1AF8">
                  <w:pPr>
                    <w:spacing w:before="120" w:after="120"/>
                  </w:pPr>
                </w:p>
                <w:p w14:paraId="5AF05DBA" w14:textId="77777777" w:rsidR="002E5493" w:rsidRPr="000C1194" w:rsidRDefault="002E5493" w:rsidP="008E1AF8">
                  <w:pPr>
                    <w:spacing w:before="120" w:after="120"/>
                  </w:pPr>
                </w:p>
                <w:p w14:paraId="52487E83" w14:textId="77777777" w:rsidR="002E5493" w:rsidRPr="000C1194" w:rsidRDefault="002E5493" w:rsidP="008E1AF8">
                  <w:pPr>
                    <w:spacing w:before="120" w:after="120"/>
                  </w:pPr>
                </w:p>
                <w:p w14:paraId="422A4E8B" w14:textId="77777777" w:rsidR="002E5493" w:rsidRPr="000C1194" w:rsidRDefault="002E5493" w:rsidP="008E1AF8">
                  <w:pPr>
                    <w:spacing w:before="120" w:after="120"/>
                  </w:pPr>
                </w:p>
                <w:p w14:paraId="73ECE901" w14:textId="77777777" w:rsidR="002E5493" w:rsidRPr="002E5493" w:rsidRDefault="002E5493" w:rsidP="00243943">
                  <w:pPr>
                    <w:spacing w:before="120" w:after="120"/>
                  </w:pPr>
                </w:p>
              </w:tc>
              <w:tc>
                <w:tcPr>
                  <w:tcW w:w="1084" w:type="dxa"/>
                  <w:tcBorders>
                    <w:top w:val="single" w:sz="2" w:space="0" w:color="000000"/>
                    <w:left w:val="single" w:sz="2" w:space="0" w:color="000000"/>
                    <w:bottom w:val="single" w:sz="4" w:space="0" w:color="auto"/>
                    <w:right w:val="single" w:sz="2" w:space="0" w:color="000000"/>
                  </w:tcBorders>
                  <w:shd w:val="clear" w:color="auto" w:fill="auto"/>
                </w:tcPr>
                <w:p w14:paraId="62B3C3EC" w14:textId="5484851B" w:rsidR="002E5493" w:rsidRPr="00C168C5" w:rsidRDefault="002E5493" w:rsidP="00243943">
                  <w:pPr>
                    <w:spacing w:before="120" w:after="120"/>
                    <w:rPr>
                      <w:lang w:val="es-ES_tradnl"/>
                    </w:rPr>
                  </w:pPr>
                  <w:r>
                    <w:rPr>
                      <w:lang w:val="es"/>
                    </w:rPr>
                    <w:lastRenderedPageBreak/>
                    <w:t xml:space="preserve">**** </w:t>
                  </w:r>
                </w:p>
              </w:tc>
            </w:tr>
            <w:tr w:rsidR="002E5493" w:rsidRPr="00C168C5" w14:paraId="71442C4C" w14:textId="77777777" w:rsidTr="002E5493">
              <w:trPr>
                <w:trHeight w:val="616"/>
                <w:tblHeader/>
              </w:trPr>
              <w:tc>
                <w:tcPr>
                  <w:tcW w:w="2359" w:type="dxa"/>
                  <w:tcBorders>
                    <w:top w:val="single" w:sz="4" w:space="0" w:color="auto"/>
                    <w:left w:val="single" w:sz="4" w:space="0" w:color="auto"/>
                    <w:bottom w:val="single" w:sz="4" w:space="0" w:color="auto"/>
                    <w:right w:val="single" w:sz="2" w:space="0" w:color="000000"/>
                  </w:tcBorders>
                  <w:shd w:val="clear" w:color="auto" w:fill="auto"/>
                </w:tcPr>
                <w:p w14:paraId="586D1DBE" w14:textId="61DA3513" w:rsidR="002E5493" w:rsidRPr="00C168C5" w:rsidRDefault="002E5493" w:rsidP="00243943">
                  <w:pPr>
                    <w:spacing w:before="120" w:after="120"/>
                    <w:rPr>
                      <w:b/>
                      <w:szCs w:val="22"/>
                      <w:u w:val="single"/>
                      <w:lang w:val="es-ES_tradnl"/>
                    </w:rPr>
                  </w:pPr>
                  <w:r w:rsidRPr="000C1194">
                    <w:rPr>
                      <w:rStyle w:val="Heading3Char"/>
                      <w:bCs w:val="0"/>
                      <w:szCs w:val="22"/>
                    </w:rPr>
                    <w:lastRenderedPageBreak/>
                    <w:t>Productos del proyecto</w:t>
                  </w:r>
                  <w:r w:rsidRPr="000C1194">
                    <w:rPr>
                      <w:rStyle w:val="FootnoteReference"/>
                      <w:szCs w:val="22"/>
                      <w:u w:val="single"/>
                    </w:rPr>
                    <w:footnoteReference w:id="7"/>
                  </w:r>
                  <w:r w:rsidRPr="000C1194">
                    <w:rPr>
                      <w:szCs w:val="22"/>
                    </w:rPr>
                    <w:br/>
                    <w:t>(Resultado previsto)</w:t>
                  </w:r>
                </w:p>
              </w:tc>
              <w:tc>
                <w:tcPr>
                  <w:tcW w:w="2633" w:type="dxa"/>
                  <w:tcBorders>
                    <w:top w:val="single" w:sz="4" w:space="0" w:color="auto"/>
                    <w:left w:val="single" w:sz="2" w:space="0" w:color="000000"/>
                    <w:bottom w:val="single" w:sz="4" w:space="0" w:color="auto"/>
                    <w:right w:val="single" w:sz="2" w:space="0" w:color="000000"/>
                  </w:tcBorders>
                  <w:shd w:val="clear" w:color="auto" w:fill="auto"/>
                </w:tcPr>
                <w:p w14:paraId="6D1AF2A3" w14:textId="764FB2F8" w:rsidR="002E5493" w:rsidRPr="002E5493" w:rsidRDefault="002E5493" w:rsidP="00243943">
                  <w:pPr>
                    <w:spacing w:before="120" w:after="120"/>
                    <w:rPr>
                      <w:szCs w:val="22"/>
                      <w:u w:val="single"/>
                    </w:rPr>
                  </w:pPr>
                  <w:r w:rsidRPr="000C1194">
                    <w:rPr>
                      <w:rStyle w:val="Heading3Char"/>
                      <w:bCs w:val="0"/>
                      <w:szCs w:val="22"/>
                    </w:rPr>
                    <w:t>Indicadores de obtención de resultados</w:t>
                  </w:r>
                  <w:r w:rsidRPr="000C1194">
                    <w:rPr>
                      <w:szCs w:val="22"/>
                    </w:rPr>
                    <w:br/>
                    <w:t>(Indicadores de producto)</w:t>
                  </w:r>
                </w:p>
              </w:tc>
              <w:tc>
                <w:tcPr>
                  <w:tcW w:w="3280" w:type="dxa"/>
                  <w:tcBorders>
                    <w:top w:val="single" w:sz="4" w:space="0" w:color="auto"/>
                    <w:left w:val="single" w:sz="2" w:space="0" w:color="000000"/>
                    <w:bottom w:val="single" w:sz="4" w:space="0" w:color="auto"/>
                    <w:right w:val="single" w:sz="2" w:space="0" w:color="000000"/>
                  </w:tcBorders>
                  <w:shd w:val="clear" w:color="auto" w:fill="auto"/>
                </w:tcPr>
                <w:p w14:paraId="3DDB57A4" w14:textId="77145E95" w:rsidR="002E5493" w:rsidRPr="00C168C5" w:rsidRDefault="002E5493" w:rsidP="00243943">
                  <w:pPr>
                    <w:pStyle w:val="Heading3"/>
                    <w:spacing w:before="120" w:after="120"/>
                    <w:rPr>
                      <w:szCs w:val="22"/>
                      <w:lang w:val="es-ES_tradnl"/>
                    </w:rPr>
                  </w:pPr>
                  <w:r w:rsidRPr="000C1194">
                    <w:rPr>
                      <w:bCs w:val="0"/>
                      <w:szCs w:val="22"/>
                    </w:rPr>
                    <w:t>Datos sobre el rendimiento</w:t>
                  </w:r>
                </w:p>
              </w:tc>
              <w:tc>
                <w:tcPr>
                  <w:tcW w:w="1084" w:type="dxa"/>
                  <w:tcBorders>
                    <w:top w:val="single" w:sz="4" w:space="0" w:color="auto"/>
                    <w:left w:val="single" w:sz="2" w:space="0" w:color="000000"/>
                    <w:bottom w:val="single" w:sz="4" w:space="0" w:color="auto"/>
                    <w:right w:val="single" w:sz="4" w:space="0" w:color="auto"/>
                  </w:tcBorders>
                  <w:shd w:val="clear" w:color="auto" w:fill="auto"/>
                </w:tcPr>
                <w:p w14:paraId="22BE154F" w14:textId="5C4CE8C5" w:rsidR="002E5493" w:rsidRPr="00C168C5" w:rsidRDefault="002E5493" w:rsidP="00243943">
                  <w:pPr>
                    <w:pStyle w:val="Heading3"/>
                    <w:spacing w:before="120" w:after="120"/>
                    <w:rPr>
                      <w:szCs w:val="22"/>
                      <w:lang w:val="es-ES_tradnl"/>
                    </w:rPr>
                  </w:pPr>
                  <w:r>
                    <w:rPr>
                      <w:bCs w:val="0"/>
                      <w:szCs w:val="22"/>
                      <w:lang w:val="es"/>
                    </w:rPr>
                    <w:t>Clave de los colores</w:t>
                  </w:r>
                </w:p>
              </w:tc>
            </w:tr>
            <w:tr w:rsidR="002E5493" w:rsidRPr="00C168C5" w14:paraId="500D3577" w14:textId="77777777" w:rsidTr="002E5493">
              <w:trPr>
                <w:trHeight w:val="616"/>
              </w:trPr>
              <w:tc>
                <w:tcPr>
                  <w:tcW w:w="2359" w:type="dxa"/>
                  <w:tcBorders>
                    <w:top w:val="single" w:sz="4" w:space="0" w:color="auto"/>
                    <w:left w:val="single" w:sz="2" w:space="0" w:color="000000"/>
                    <w:bottom w:val="single" w:sz="2" w:space="0" w:color="000000"/>
                    <w:right w:val="single" w:sz="2" w:space="0" w:color="000000"/>
                  </w:tcBorders>
                  <w:shd w:val="clear" w:color="auto" w:fill="auto"/>
                </w:tcPr>
                <w:p w14:paraId="5F644D14" w14:textId="1D8C9834" w:rsidR="002E5493" w:rsidRPr="00C168C5" w:rsidRDefault="002E5493" w:rsidP="00243943">
                  <w:pPr>
                    <w:spacing w:before="120" w:after="120"/>
                    <w:rPr>
                      <w:lang w:val="es-ES_tradnl"/>
                    </w:rPr>
                  </w:pPr>
                  <w:r w:rsidRPr="000C1194">
                    <w:t>5.  Materiales del foro</w:t>
                  </w:r>
                </w:p>
              </w:tc>
              <w:tc>
                <w:tcPr>
                  <w:tcW w:w="2633" w:type="dxa"/>
                  <w:tcBorders>
                    <w:top w:val="single" w:sz="4" w:space="0" w:color="auto"/>
                    <w:left w:val="single" w:sz="2" w:space="0" w:color="000000"/>
                    <w:bottom w:val="single" w:sz="2" w:space="0" w:color="000000"/>
                    <w:right w:val="single" w:sz="2" w:space="0" w:color="000000"/>
                  </w:tcBorders>
                  <w:shd w:val="clear" w:color="auto" w:fill="auto"/>
                </w:tcPr>
                <w:p w14:paraId="25EDE0A5" w14:textId="64E759CB" w:rsidR="002E5493" w:rsidRPr="002E5493" w:rsidRDefault="002E5493" w:rsidP="00243943">
                  <w:pPr>
                    <w:spacing w:before="120" w:after="120"/>
                  </w:pPr>
                  <w:r w:rsidRPr="000C1194">
                    <w:t>Preparación y suministro de materiales, módulos, herramientas didácticas y otros instrumentos resultantes de las recomendaciones adoptadas por el foro internacional de expertos de alto nivel.</w:t>
                  </w:r>
                </w:p>
              </w:tc>
              <w:tc>
                <w:tcPr>
                  <w:tcW w:w="3280" w:type="dxa"/>
                  <w:tcBorders>
                    <w:top w:val="single" w:sz="4" w:space="0" w:color="auto"/>
                    <w:left w:val="single" w:sz="2" w:space="0" w:color="000000"/>
                    <w:bottom w:val="single" w:sz="2" w:space="0" w:color="000000"/>
                    <w:right w:val="single" w:sz="2" w:space="0" w:color="000000"/>
                  </w:tcBorders>
                  <w:shd w:val="clear" w:color="auto" w:fill="auto"/>
                </w:tcPr>
                <w:p w14:paraId="31CFCE64" w14:textId="53705E4B" w:rsidR="002E5493" w:rsidRPr="002E5493" w:rsidRDefault="002E5493" w:rsidP="00243943">
                  <w:pPr>
                    <w:spacing w:before="120" w:after="120"/>
                  </w:pPr>
                  <w:r w:rsidRPr="000C1194">
                    <w:t>Por definición, según lo previsto en el documento conceptual aprobado por el CDIP, el trabajo de la Secretaría relativo a la preparación y el suministro de materiales, módulos, herramientas didácticas y otros instrumentos para poner en práctica las “ideas de expertos”, convenidas en el foro de expertos para ser sometidas al examen y la aprobación del CDIP con miras a incorporar actividades en favor de la aplicación de esas “ideas de expertos” a los programas de trabajo de la OMPI, solo se podrá llevar adelante tras el examen y la adopción del CDIP y teniendo en cuenta las posibles recomendaciones formuladas por el Comité a la Asamblea General.</w:t>
                  </w:r>
                </w:p>
              </w:tc>
              <w:tc>
                <w:tcPr>
                  <w:tcW w:w="1084" w:type="dxa"/>
                  <w:tcBorders>
                    <w:top w:val="single" w:sz="4" w:space="0" w:color="auto"/>
                    <w:left w:val="single" w:sz="2" w:space="0" w:color="000000"/>
                    <w:bottom w:val="single" w:sz="2" w:space="0" w:color="000000"/>
                    <w:right w:val="single" w:sz="2" w:space="0" w:color="000000"/>
                  </w:tcBorders>
                  <w:shd w:val="clear" w:color="auto" w:fill="auto"/>
                </w:tcPr>
                <w:p w14:paraId="0C2DB1DD" w14:textId="21672054" w:rsidR="002E5493" w:rsidRPr="00C168C5" w:rsidRDefault="002E5493" w:rsidP="00243943">
                  <w:pPr>
                    <w:spacing w:before="120" w:after="120"/>
                    <w:rPr>
                      <w:lang w:val="es-ES_tradnl"/>
                    </w:rPr>
                  </w:pPr>
                  <w:r>
                    <w:rPr>
                      <w:lang w:val="es"/>
                    </w:rPr>
                    <w:t>**</w:t>
                  </w:r>
                </w:p>
              </w:tc>
            </w:tr>
            <w:tr w:rsidR="002E5493" w:rsidRPr="00C168C5" w14:paraId="34CC1A7F" w14:textId="77777777" w:rsidTr="002E5493">
              <w:trPr>
                <w:trHeight w:val="616"/>
              </w:trPr>
              <w:tc>
                <w:tcPr>
                  <w:tcW w:w="2359" w:type="dxa"/>
                  <w:tcBorders>
                    <w:top w:val="single" w:sz="2" w:space="0" w:color="000000"/>
                    <w:left w:val="single" w:sz="2" w:space="0" w:color="000000"/>
                    <w:bottom w:val="single" w:sz="4" w:space="0" w:color="auto"/>
                    <w:right w:val="single" w:sz="2" w:space="0" w:color="000000"/>
                  </w:tcBorders>
                  <w:shd w:val="clear" w:color="auto" w:fill="auto"/>
                </w:tcPr>
                <w:p w14:paraId="0C5005CB" w14:textId="77777777" w:rsidR="002E5493" w:rsidRPr="000C1194" w:rsidRDefault="002E5493" w:rsidP="008E1AF8">
                  <w:pPr>
                    <w:spacing w:before="120" w:after="120"/>
                    <w:rPr>
                      <w:bCs/>
                    </w:rPr>
                  </w:pPr>
                  <w:r w:rsidRPr="000C1194">
                    <w:t xml:space="preserve">6.  Organización del foro de expertos de alto nivel </w:t>
                  </w:r>
                </w:p>
                <w:p w14:paraId="27ABFFDA" w14:textId="77777777" w:rsidR="002E5493" w:rsidRPr="002E5493" w:rsidRDefault="002E5493" w:rsidP="00243943">
                  <w:pPr>
                    <w:spacing w:before="120" w:after="120"/>
                  </w:pPr>
                </w:p>
              </w:tc>
              <w:tc>
                <w:tcPr>
                  <w:tcW w:w="2633" w:type="dxa"/>
                  <w:tcBorders>
                    <w:top w:val="single" w:sz="2" w:space="0" w:color="000000"/>
                    <w:left w:val="single" w:sz="2" w:space="0" w:color="000000"/>
                    <w:bottom w:val="single" w:sz="4" w:space="0" w:color="auto"/>
                    <w:right w:val="single" w:sz="2" w:space="0" w:color="000000"/>
                  </w:tcBorders>
                  <w:shd w:val="clear" w:color="auto" w:fill="auto"/>
                </w:tcPr>
                <w:p w14:paraId="5AE140BD" w14:textId="77777777" w:rsidR="002E5493" w:rsidRPr="000C1194" w:rsidRDefault="002E5493" w:rsidP="008E1AF8">
                  <w:pPr>
                    <w:spacing w:before="120" w:after="120"/>
                  </w:pPr>
                  <w:r w:rsidRPr="000C1194">
                    <w:t>Organización del foro de expertos de alto nivel en el plazo de seis meses desde la finalización de los estudios;</w:t>
                  </w:r>
                </w:p>
                <w:p w14:paraId="0E7D78CA" w14:textId="77777777" w:rsidR="002E5493" w:rsidRPr="000C1194" w:rsidRDefault="002E5493" w:rsidP="008E1AF8">
                  <w:pPr>
                    <w:spacing w:before="120" w:after="120"/>
                  </w:pPr>
                  <w:r w:rsidRPr="000C1194">
                    <w:t>alto grado de asistencia al foro;</w:t>
                  </w:r>
                </w:p>
                <w:p w14:paraId="7E8FA6F5" w14:textId="77777777" w:rsidR="002E5493" w:rsidRPr="000C1194" w:rsidRDefault="002E5493" w:rsidP="008E1AF8">
                  <w:pPr>
                    <w:spacing w:before="120" w:after="120"/>
                  </w:pPr>
                  <w:r w:rsidRPr="000C1194">
                    <w:t xml:space="preserve">observaciones positivas </w:t>
                  </w:r>
                  <w:r w:rsidRPr="000C1194">
                    <w:lastRenderedPageBreak/>
                    <w:t>de los participantes acerca del documento conceptual y de los estudios;  y</w:t>
                  </w:r>
                </w:p>
                <w:p w14:paraId="32F7E817" w14:textId="68051371" w:rsidR="002E5493" w:rsidRPr="002E5493" w:rsidRDefault="002E5493" w:rsidP="00243943">
                  <w:pPr>
                    <w:spacing w:before="120" w:after="120"/>
                  </w:pPr>
                  <w:r w:rsidRPr="000C1194">
                    <w:t>adopción en el foro de una lista de sugerencias, recomendaciones y posibles medidas para fomentar la transferencia de tecnología, tras consultas con los Estados miembros.</w:t>
                  </w:r>
                </w:p>
              </w:tc>
              <w:tc>
                <w:tcPr>
                  <w:tcW w:w="3280" w:type="dxa"/>
                  <w:tcBorders>
                    <w:top w:val="single" w:sz="2" w:space="0" w:color="000000"/>
                    <w:left w:val="single" w:sz="2" w:space="0" w:color="000000"/>
                    <w:bottom w:val="single" w:sz="4" w:space="0" w:color="auto"/>
                    <w:right w:val="single" w:sz="2" w:space="0" w:color="000000"/>
                  </w:tcBorders>
                  <w:shd w:val="clear" w:color="auto" w:fill="auto"/>
                </w:tcPr>
                <w:p w14:paraId="7CFEA1CD" w14:textId="18EFB437" w:rsidR="002E5493" w:rsidRPr="002E5493" w:rsidRDefault="002E5493" w:rsidP="006F7557">
                  <w:pPr>
                    <w:spacing w:before="120" w:after="120"/>
                  </w:pPr>
                  <w:r w:rsidRPr="000C1194">
                    <w:lastRenderedPageBreak/>
                    <w:t xml:space="preserve">El </w:t>
                  </w:r>
                  <w:hyperlink r:id="rId60" w:history="1">
                    <w:r w:rsidRPr="000C1194">
                      <w:rPr>
                        <w:rStyle w:val="Hyperlink"/>
                      </w:rPr>
                      <w:t>Foro de la OMPI de expertos en transferencia de tecnología a escala internacional</w:t>
                    </w:r>
                  </w:hyperlink>
                  <w:r w:rsidRPr="000C1194">
                    <w:t xml:space="preserve"> se celebró en Ginebra del 16 al 18 de febrero de 2015.  Este foro de expertos incluyó presentaciones a cargo de los seis expertos autores de los </w:t>
                  </w:r>
                  <w:r w:rsidRPr="000C1194">
                    <w:lastRenderedPageBreak/>
                    <w:t xml:space="preserve">estudios y de los cuatro revisores externos que examinaron dichos estudios, y seis mesas redondas moderadas sobre transferencia de tecnología en las que participaron ocho expertos internacionales de países desarrollados y en desarrollo, elegidos conforme a los criterios de selección aprobados por el CDIP en su decimocuarta sesión (véase el documento </w:t>
                  </w:r>
                  <w:hyperlink r:id="rId61" w:history="1">
                    <w:r w:rsidRPr="000C1194">
                      <w:rPr>
                        <w:rStyle w:val="Hyperlink"/>
                      </w:rPr>
                      <w:t>CDIP/14/8 Rev. 2</w:t>
                    </w:r>
                  </w:hyperlink>
                  <w:r w:rsidRPr="000C1194">
                    <w:t>).  Alrededor de 130 participantes asistieron a este acto, que recibió opiniones muy positivas de los asistentes (</w:t>
                  </w:r>
                  <w:r w:rsidRPr="000C1194">
                    <w:rPr>
                      <w:szCs w:val="22"/>
                    </w:rPr>
                    <w:t xml:space="preserve">véase el cuestionario en el documento </w:t>
                  </w:r>
                  <w:hyperlink r:id="rId62" w:history="1">
                    <w:r w:rsidRPr="000C1194">
                      <w:rPr>
                        <w:rStyle w:val="Hyperlink"/>
                        <w:szCs w:val="22"/>
                      </w:rPr>
                      <w:t>CDIP/15/5, página 13</w:t>
                    </w:r>
                  </w:hyperlink>
                  <w:r w:rsidRPr="000C1194">
                    <w:rPr>
                      <w:szCs w:val="22"/>
                    </w:rPr>
                    <w:t xml:space="preserve">), </w:t>
                  </w:r>
                  <w:r w:rsidRPr="000C1194">
                    <w:t>así como de la prensa y de los medios de comunicación locales.</w:t>
                  </w:r>
                </w:p>
              </w:tc>
              <w:tc>
                <w:tcPr>
                  <w:tcW w:w="1084" w:type="dxa"/>
                  <w:tcBorders>
                    <w:top w:val="single" w:sz="2" w:space="0" w:color="000000"/>
                    <w:left w:val="single" w:sz="2" w:space="0" w:color="000000"/>
                    <w:bottom w:val="single" w:sz="4" w:space="0" w:color="auto"/>
                    <w:right w:val="single" w:sz="2" w:space="0" w:color="000000"/>
                  </w:tcBorders>
                  <w:shd w:val="clear" w:color="auto" w:fill="auto"/>
                </w:tcPr>
                <w:p w14:paraId="4F922617" w14:textId="71F0AE0D" w:rsidR="002E5493" w:rsidRPr="00C168C5" w:rsidRDefault="002E5493" w:rsidP="00243943">
                  <w:pPr>
                    <w:spacing w:before="120" w:after="120"/>
                    <w:rPr>
                      <w:lang w:val="es-ES_tradnl"/>
                    </w:rPr>
                  </w:pPr>
                  <w:r>
                    <w:rPr>
                      <w:lang w:val="es"/>
                    </w:rPr>
                    <w:lastRenderedPageBreak/>
                    <w:t>****</w:t>
                  </w:r>
                </w:p>
              </w:tc>
            </w:tr>
            <w:tr w:rsidR="002E5493" w:rsidRPr="00C168C5" w14:paraId="4321F8EB" w14:textId="77777777" w:rsidTr="002E5493">
              <w:trPr>
                <w:trHeight w:val="616"/>
                <w:tblHeader/>
              </w:trPr>
              <w:tc>
                <w:tcPr>
                  <w:tcW w:w="2359" w:type="dxa"/>
                  <w:tcBorders>
                    <w:top w:val="single" w:sz="4" w:space="0" w:color="auto"/>
                    <w:left w:val="single" w:sz="4" w:space="0" w:color="auto"/>
                    <w:bottom w:val="single" w:sz="4" w:space="0" w:color="auto"/>
                    <w:right w:val="single" w:sz="2" w:space="0" w:color="000000"/>
                  </w:tcBorders>
                  <w:shd w:val="clear" w:color="auto" w:fill="auto"/>
                </w:tcPr>
                <w:p w14:paraId="15214152" w14:textId="1B64129D" w:rsidR="002E5493" w:rsidRPr="00C168C5" w:rsidRDefault="002E5493" w:rsidP="00243943">
                  <w:pPr>
                    <w:spacing w:before="120" w:after="120"/>
                    <w:rPr>
                      <w:b/>
                      <w:szCs w:val="22"/>
                      <w:u w:val="single"/>
                      <w:lang w:val="es-ES_tradnl"/>
                    </w:rPr>
                  </w:pPr>
                  <w:r w:rsidRPr="000C1194">
                    <w:rPr>
                      <w:rStyle w:val="Heading3Char"/>
                      <w:bCs w:val="0"/>
                      <w:szCs w:val="22"/>
                    </w:rPr>
                    <w:lastRenderedPageBreak/>
                    <w:t>Productos del proyecto</w:t>
                  </w:r>
                  <w:r w:rsidRPr="000C1194">
                    <w:rPr>
                      <w:rStyle w:val="FootnoteReference"/>
                      <w:szCs w:val="22"/>
                      <w:u w:val="single"/>
                    </w:rPr>
                    <w:footnoteReference w:id="8"/>
                  </w:r>
                  <w:r w:rsidRPr="000C1194">
                    <w:rPr>
                      <w:szCs w:val="22"/>
                    </w:rPr>
                    <w:br/>
                    <w:t>(Resultado previsto)</w:t>
                  </w:r>
                </w:p>
              </w:tc>
              <w:tc>
                <w:tcPr>
                  <w:tcW w:w="2633" w:type="dxa"/>
                  <w:tcBorders>
                    <w:top w:val="single" w:sz="4" w:space="0" w:color="auto"/>
                    <w:left w:val="single" w:sz="2" w:space="0" w:color="000000"/>
                    <w:bottom w:val="single" w:sz="4" w:space="0" w:color="auto"/>
                    <w:right w:val="single" w:sz="2" w:space="0" w:color="000000"/>
                  </w:tcBorders>
                  <w:shd w:val="clear" w:color="auto" w:fill="auto"/>
                </w:tcPr>
                <w:p w14:paraId="37D3AFB2" w14:textId="39F424D7" w:rsidR="002E5493" w:rsidRPr="002E5493" w:rsidRDefault="002E5493" w:rsidP="00243943">
                  <w:pPr>
                    <w:spacing w:before="120" w:after="120"/>
                    <w:rPr>
                      <w:szCs w:val="22"/>
                      <w:u w:val="single"/>
                    </w:rPr>
                  </w:pPr>
                  <w:r w:rsidRPr="000C1194">
                    <w:rPr>
                      <w:rStyle w:val="Heading3Char"/>
                      <w:bCs w:val="0"/>
                      <w:szCs w:val="22"/>
                    </w:rPr>
                    <w:t>Indicadores de obtención de resultados</w:t>
                  </w:r>
                  <w:r w:rsidRPr="000C1194">
                    <w:rPr>
                      <w:szCs w:val="22"/>
                    </w:rPr>
                    <w:br/>
                    <w:t>(Indicadores de producto)</w:t>
                  </w:r>
                </w:p>
              </w:tc>
              <w:tc>
                <w:tcPr>
                  <w:tcW w:w="3280" w:type="dxa"/>
                  <w:tcBorders>
                    <w:top w:val="single" w:sz="4" w:space="0" w:color="auto"/>
                    <w:left w:val="single" w:sz="2" w:space="0" w:color="000000"/>
                    <w:bottom w:val="single" w:sz="4" w:space="0" w:color="auto"/>
                    <w:right w:val="single" w:sz="2" w:space="0" w:color="000000"/>
                  </w:tcBorders>
                  <w:shd w:val="clear" w:color="auto" w:fill="auto"/>
                </w:tcPr>
                <w:p w14:paraId="4F080F63" w14:textId="448E9B47" w:rsidR="002E5493" w:rsidRPr="00C168C5" w:rsidRDefault="002E5493" w:rsidP="00243943">
                  <w:pPr>
                    <w:pStyle w:val="Heading3"/>
                    <w:spacing w:before="120" w:after="120"/>
                    <w:rPr>
                      <w:szCs w:val="22"/>
                      <w:lang w:val="es-ES_tradnl"/>
                    </w:rPr>
                  </w:pPr>
                  <w:r w:rsidRPr="000C1194">
                    <w:rPr>
                      <w:bCs w:val="0"/>
                      <w:szCs w:val="22"/>
                    </w:rPr>
                    <w:t>Datos sobre el rendimiento</w:t>
                  </w:r>
                </w:p>
              </w:tc>
              <w:tc>
                <w:tcPr>
                  <w:tcW w:w="1084" w:type="dxa"/>
                  <w:tcBorders>
                    <w:top w:val="single" w:sz="4" w:space="0" w:color="auto"/>
                    <w:left w:val="single" w:sz="2" w:space="0" w:color="000000"/>
                    <w:bottom w:val="single" w:sz="4" w:space="0" w:color="auto"/>
                    <w:right w:val="single" w:sz="4" w:space="0" w:color="auto"/>
                  </w:tcBorders>
                  <w:shd w:val="clear" w:color="auto" w:fill="auto"/>
                </w:tcPr>
                <w:p w14:paraId="03432D00" w14:textId="31A4E8E3" w:rsidR="002E5493" w:rsidRPr="00C168C5" w:rsidRDefault="002E5493" w:rsidP="00243943">
                  <w:pPr>
                    <w:pStyle w:val="Heading3"/>
                    <w:spacing w:before="120" w:after="120"/>
                    <w:rPr>
                      <w:szCs w:val="22"/>
                      <w:lang w:val="es-ES_tradnl"/>
                    </w:rPr>
                  </w:pPr>
                  <w:r>
                    <w:rPr>
                      <w:bCs w:val="0"/>
                      <w:szCs w:val="22"/>
                      <w:lang w:val="es"/>
                    </w:rPr>
                    <w:t>Clave de los colores</w:t>
                  </w:r>
                </w:p>
              </w:tc>
            </w:tr>
            <w:tr w:rsidR="002E5493" w:rsidRPr="00C168C5" w14:paraId="76D4692A" w14:textId="77777777" w:rsidTr="002E5493">
              <w:trPr>
                <w:trHeight w:val="616"/>
              </w:trPr>
              <w:tc>
                <w:tcPr>
                  <w:tcW w:w="2359" w:type="dxa"/>
                  <w:tcBorders>
                    <w:top w:val="single" w:sz="4" w:space="0" w:color="auto"/>
                    <w:left w:val="single" w:sz="2" w:space="0" w:color="000000"/>
                    <w:bottom w:val="single" w:sz="2" w:space="0" w:color="000000"/>
                    <w:right w:val="single" w:sz="2" w:space="0" w:color="000000"/>
                  </w:tcBorders>
                  <w:shd w:val="clear" w:color="auto" w:fill="auto"/>
                </w:tcPr>
                <w:p w14:paraId="095737C1" w14:textId="3DECFD03" w:rsidR="002E5493" w:rsidRPr="002E5493" w:rsidRDefault="002E5493" w:rsidP="00243943">
                  <w:pPr>
                    <w:spacing w:before="120" w:after="120"/>
                  </w:pPr>
                  <w:r w:rsidRPr="000C1194">
                    <w:t>7.  Creación y utilización de un foro en Internet</w:t>
                  </w:r>
                </w:p>
              </w:tc>
              <w:tc>
                <w:tcPr>
                  <w:tcW w:w="2633" w:type="dxa"/>
                  <w:tcBorders>
                    <w:top w:val="single" w:sz="4" w:space="0" w:color="auto"/>
                    <w:left w:val="single" w:sz="2" w:space="0" w:color="000000"/>
                    <w:bottom w:val="single" w:sz="2" w:space="0" w:color="000000"/>
                    <w:right w:val="single" w:sz="2" w:space="0" w:color="000000"/>
                  </w:tcBorders>
                  <w:shd w:val="clear" w:color="auto" w:fill="auto"/>
                </w:tcPr>
                <w:p w14:paraId="434AE490" w14:textId="77777777" w:rsidR="002E5493" w:rsidRPr="000C1194" w:rsidRDefault="002E5493" w:rsidP="008E1AF8">
                  <w:pPr>
                    <w:spacing w:before="120" w:after="120"/>
                  </w:pPr>
                  <w:r w:rsidRPr="000C1194">
                    <w:t>Foro activo en una fase temprana;</w:t>
                  </w:r>
                </w:p>
                <w:p w14:paraId="2B2F31F8" w14:textId="77777777" w:rsidR="002E5493" w:rsidRPr="000C1194" w:rsidRDefault="002E5493" w:rsidP="008E1AF8">
                  <w:pPr>
                    <w:spacing w:before="120" w:after="120"/>
                  </w:pPr>
                  <w:r w:rsidRPr="000C1194">
                    <w:t>número de usuarios del foro y observaciones cualitativas;  y</w:t>
                  </w:r>
                </w:p>
                <w:p w14:paraId="5ADAFD93" w14:textId="4C9CBFC6" w:rsidR="002E5493" w:rsidRPr="002E5493" w:rsidRDefault="002E5493" w:rsidP="00243943">
                  <w:pPr>
                    <w:spacing w:before="120" w:after="120"/>
                  </w:pPr>
                  <w:r w:rsidRPr="000C1194">
                    <w:t>Compilación y análisis de opiniones del público publicadas en el foro.</w:t>
                  </w:r>
                </w:p>
              </w:tc>
              <w:tc>
                <w:tcPr>
                  <w:tcW w:w="3280" w:type="dxa"/>
                  <w:tcBorders>
                    <w:top w:val="single" w:sz="4" w:space="0" w:color="auto"/>
                    <w:left w:val="single" w:sz="2" w:space="0" w:color="000000"/>
                    <w:bottom w:val="single" w:sz="2" w:space="0" w:color="000000"/>
                    <w:right w:val="single" w:sz="2" w:space="0" w:color="000000"/>
                  </w:tcBorders>
                  <w:shd w:val="clear" w:color="auto" w:fill="auto"/>
                </w:tcPr>
                <w:p w14:paraId="1E3ED15D" w14:textId="2B895291" w:rsidR="002E5493" w:rsidRPr="002E5493" w:rsidRDefault="002E5493" w:rsidP="00243943">
                  <w:pPr>
                    <w:spacing w:before="120" w:after="120"/>
                  </w:pPr>
                  <w:r w:rsidRPr="000C1194">
                    <w:t>Se ha terminado de elaborar un borrador del foro en Internet sobre “transferencia de tecnología y P.I.: desafíos comunes y búsqueda de soluciones”.  Se confía en que el foro esté activo y funcionando para la decimosexta sesión del CDIP.</w:t>
                  </w:r>
                </w:p>
              </w:tc>
              <w:tc>
                <w:tcPr>
                  <w:tcW w:w="1084" w:type="dxa"/>
                  <w:tcBorders>
                    <w:top w:val="single" w:sz="4" w:space="0" w:color="auto"/>
                    <w:left w:val="single" w:sz="2" w:space="0" w:color="000000"/>
                    <w:bottom w:val="single" w:sz="2" w:space="0" w:color="000000"/>
                    <w:right w:val="single" w:sz="2" w:space="0" w:color="000000"/>
                  </w:tcBorders>
                  <w:shd w:val="clear" w:color="auto" w:fill="auto"/>
                </w:tcPr>
                <w:p w14:paraId="6AF291E8" w14:textId="53EA6351" w:rsidR="002E5493" w:rsidRPr="00C168C5" w:rsidRDefault="002E5493" w:rsidP="00243943">
                  <w:pPr>
                    <w:spacing w:before="120" w:after="120"/>
                    <w:rPr>
                      <w:lang w:val="es-ES_tradnl"/>
                    </w:rPr>
                  </w:pPr>
                  <w:r>
                    <w:rPr>
                      <w:lang w:val="es"/>
                    </w:rPr>
                    <w:t>****</w:t>
                  </w:r>
                </w:p>
              </w:tc>
            </w:tr>
            <w:tr w:rsidR="002E5493" w:rsidRPr="00C168C5" w14:paraId="209D6264" w14:textId="77777777" w:rsidTr="002E5493">
              <w:trPr>
                <w:trHeight w:val="616"/>
              </w:trPr>
              <w:tc>
                <w:tcPr>
                  <w:tcW w:w="2359" w:type="dxa"/>
                  <w:tcBorders>
                    <w:top w:val="single" w:sz="2" w:space="0" w:color="000000"/>
                    <w:left w:val="single" w:sz="2" w:space="0" w:color="000000"/>
                    <w:bottom w:val="single" w:sz="4" w:space="0" w:color="auto"/>
                    <w:right w:val="single" w:sz="2" w:space="0" w:color="000000"/>
                  </w:tcBorders>
                  <w:shd w:val="clear" w:color="auto" w:fill="auto"/>
                </w:tcPr>
                <w:p w14:paraId="4DD36213" w14:textId="7780BC36" w:rsidR="002E5493" w:rsidRPr="002E5493" w:rsidRDefault="002E5493" w:rsidP="00243943">
                  <w:pPr>
                    <w:spacing w:before="120" w:after="120"/>
                    <w:rPr>
                      <w:bCs/>
                    </w:rPr>
                  </w:pPr>
                  <w:r w:rsidRPr="000C1194">
                    <w:t>8.  Reforzar las actividades que ya se están ejecutando en la OMPI para promover el acceso a los conocimientos y la tecnología</w:t>
                  </w:r>
                </w:p>
              </w:tc>
              <w:tc>
                <w:tcPr>
                  <w:tcW w:w="2633" w:type="dxa"/>
                  <w:tcBorders>
                    <w:top w:val="single" w:sz="2" w:space="0" w:color="000000"/>
                    <w:left w:val="single" w:sz="2" w:space="0" w:color="000000"/>
                    <w:bottom w:val="single" w:sz="4" w:space="0" w:color="auto"/>
                    <w:right w:val="single" w:sz="2" w:space="0" w:color="000000"/>
                  </w:tcBorders>
                  <w:shd w:val="clear" w:color="auto" w:fill="auto"/>
                </w:tcPr>
                <w:p w14:paraId="41664972" w14:textId="35F1431B" w:rsidR="002E5493" w:rsidRPr="002E5493" w:rsidRDefault="002E5493" w:rsidP="00243943">
                  <w:pPr>
                    <w:spacing w:before="120" w:after="120"/>
                  </w:pPr>
                  <w:r w:rsidRPr="000C1194">
                    <w:t>Incorporación en los programas de la OMPI de todo resultado que se obtenga de las actividades mencionadas anteriormente, tras su consideración por el CDIP y teniendo en cuenta las posibles recomendaciones formuladas por el Comité a la Asamblea General.</w:t>
                  </w:r>
                </w:p>
              </w:tc>
              <w:tc>
                <w:tcPr>
                  <w:tcW w:w="3280" w:type="dxa"/>
                  <w:tcBorders>
                    <w:top w:val="single" w:sz="2" w:space="0" w:color="000000"/>
                    <w:left w:val="single" w:sz="2" w:space="0" w:color="000000"/>
                    <w:bottom w:val="single" w:sz="4" w:space="0" w:color="auto"/>
                    <w:right w:val="single" w:sz="2" w:space="0" w:color="000000"/>
                  </w:tcBorders>
                  <w:shd w:val="clear" w:color="auto" w:fill="auto"/>
                </w:tcPr>
                <w:p w14:paraId="0C1C6C64" w14:textId="6787A559" w:rsidR="002E5493" w:rsidRPr="002E5493" w:rsidRDefault="002E5493" w:rsidP="00243943">
                  <w:pPr>
                    <w:spacing w:before="120" w:after="120"/>
                  </w:pPr>
                  <w:r w:rsidRPr="000C1194">
                    <w:rPr>
                      <w:szCs w:val="22"/>
                    </w:rPr>
                    <w:t>El trabajo de la Secretaría relativo a la incorporación en los programas de trabajo de la OMPI de todo resultado que se obtenga de las actividades del proyecto solo se podrá llevar adelante tras el examen y la adopción del CDIP y teniendo en cuenta las posibles recomendaciones formuladas por el Comité a la Asamblea General.</w:t>
                  </w:r>
                </w:p>
              </w:tc>
              <w:tc>
                <w:tcPr>
                  <w:tcW w:w="1084" w:type="dxa"/>
                  <w:tcBorders>
                    <w:top w:val="single" w:sz="2" w:space="0" w:color="000000"/>
                    <w:left w:val="single" w:sz="2" w:space="0" w:color="000000"/>
                    <w:bottom w:val="single" w:sz="4" w:space="0" w:color="auto"/>
                    <w:right w:val="single" w:sz="2" w:space="0" w:color="000000"/>
                  </w:tcBorders>
                  <w:shd w:val="clear" w:color="auto" w:fill="auto"/>
                </w:tcPr>
                <w:p w14:paraId="3976E0DD" w14:textId="60AC3F48" w:rsidR="002E5493" w:rsidRPr="00C168C5" w:rsidRDefault="002E5493" w:rsidP="00243943">
                  <w:pPr>
                    <w:spacing w:before="120" w:after="120"/>
                    <w:rPr>
                      <w:sz w:val="16"/>
                      <w:szCs w:val="16"/>
                      <w:lang w:val="es-ES_tradnl"/>
                    </w:rPr>
                  </w:pPr>
                  <w:r>
                    <w:rPr>
                      <w:sz w:val="16"/>
                      <w:szCs w:val="16"/>
                      <w:lang w:val="es"/>
                    </w:rPr>
                    <w:t>**</w:t>
                  </w:r>
                </w:p>
              </w:tc>
            </w:tr>
          </w:tbl>
          <w:p w14:paraId="50D46394" w14:textId="77777777" w:rsidR="00C91693" w:rsidRPr="00C168C5" w:rsidRDefault="00C91693" w:rsidP="00243943">
            <w:pPr>
              <w:spacing w:before="120" w:after="120"/>
              <w:rPr>
                <w:lang w:val="es-ES_tradnl"/>
              </w:rPr>
            </w:pPr>
          </w:p>
        </w:tc>
      </w:tr>
    </w:tbl>
    <w:p w14:paraId="2F516274" w14:textId="77777777" w:rsidR="00C91693" w:rsidRPr="002803E6" w:rsidRDefault="00C91693" w:rsidP="00C91693">
      <w:pPr>
        <w:rPr>
          <w:lang w:val="es-ES_tradnl"/>
        </w:rPr>
      </w:pPr>
      <w:r w:rsidRPr="002803E6">
        <w:rPr>
          <w:lang w:val="es-ES_tradnl"/>
        </w:rPr>
        <w:lastRenderedPageBreak/>
        <w:br w:type="page"/>
      </w:r>
    </w:p>
    <w:tbl>
      <w:tblPr>
        <w:tblW w:w="9356" w:type="dxa"/>
        <w:tblInd w:w="108" w:type="dxa"/>
        <w:tblLook w:val="01E0" w:firstRow="1" w:lastRow="1" w:firstColumn="1" w:lastColumn="1" w:noHBand="0" w:noVBand="0"/>
      </w:tblPr>
      <w:tblGrid>
        <w:gridCol w:w="2340"/>
        <w:gridCol w:w="2700"/>
        <w:gridCol w:w="3240"/>
        <w:gridCol w:w="1076"/>
      </w:tblGrid>
      <w:tr w:rsidR="008E1AF8" w:rsidRPr="0016236F" w14:paraId="1CAB3D5F" w14:textId="77777777" w:rsidTr="008E1AF8">
        <w:trPr>
          <w:trHeight w:val="616"/>
        </w:trPr>
        <w:tc>
          <w:tcPr>
            <w:tcW w:w="2340" w:type="dxa"/>
            <w:tcBorders>
              <w:top w:val="single" w:sz="2" w:space="0" w:color="000000"/>
              <w:left w:val="single" w:sz="2" w:space="0" w:color="000000"/>
              <w:bottom w:val="single" w:sz="2" w:space="0" w:color="000000"/>
              <w:right w:val="single" w:sz="2" w:space="0" w:color="000000"/>
            </w:tcBorders>
            <w:shd w:val="clear" w:color="auto" w:fill="auto"/>
          </w:tcPr>
          <w:p w14:paraId="51171EFD" w14:textId="77777777" w:rsidR="008E1AF8" w:rsidRPr="0016236F" w:rsidRDefault="008E1AF8" w:rsidP="008E1AF8">
            <w:pPr>
              <w:pStyle w:val="Heading3"/>
              <w:spacing w:before="120" w:after="120"/>
            </w:pPr>
            <w:r>
              <w:rPr>
                <w:bCs w:val="0"/>
                <w:lang w:val="es"/>
              </w:rPr>
              <w:lastRenderedPageBreak/>
              <w:t>Objetivos del proyecto</w:t>
            </w:r>
          </w:p>
        </w:tc>
        <w:tc>
          <w:tcPr>
            <w:tcW w:w="2700" w:type="dxa"/>
            <w:tcBorders>
              <w:top w:val="single" w:sz="2" w:space="0" w:color="000000"/>
              <w:left w:val="single" w:sz="2" w:space="0" w:color="000000"/>
              <w:bottom w:val="single" w:sz="2" w:space="0" w:color="000000"/>
              <w:right w:val="single" w:sz="2" w:space="0" w:color="000000"/>
            </w:tcBorders>
            <w:shd w:val="clear" w:color="auto" w:fill="auto"/>
          </w:tcPr>
          <w:p w14:paraId="7F0CB416" w14:textId="77777777" w:rsidR="008E1AF8" w:rsidRPr="00C91693" w:rsidRDefault="008E1AF8" w:rsidP="008E1AF8">
            <w:pPr>
              <w:pStyle w:val="Heading3"/>
              <w:spacing w:before="120" w:after="120"/>
            </w:pPr>
            <w:r>
              <w:rPr>
                <w:bCs w:val="0"/>
                <w:lang w:val="es"/>
              </w:rPr>
              <w:t>Indicadores de cumplimiento de los objetivos</w:t>
            </w:r>
          </w:p>
          <w:p w14:paraId="2565AA94" w14:textId="77777777" w:rsidR="008E1AF8" w:rsidRPr="0016236F" w:rsidRDefault="008E1AF8" w:rsidP="008E1AF8">
            <w:pPr>
              <w:spacing w:before="120" w:after="120"/>
            </w:pPr>
            <w:r>
              <w:rPr>
                <w:lang w:val="es"/>
              </w:rPr>
              <w:t>(Indicadores de resultado)</w:t>
            </w:r>
          </w:p>
        </w:tc>
        <w:tc>
          <w:tcPr>
            <w:tcW w:w="3240" w:type="dxa"/>
            <w:tcBorders>
              <w:top w:val="single" w:sz="2" w:space="0" w:color="000000"/>
              <w:left w:val="single" w:sz="2" w:space="0" w:color="000000"/>
              <w:bottom w:val="single" w:sz="2" w:space="0" w:color="000000"/>
              <w:right w:val="single" w:sz="2" w:space="0" w:color="000000"/>
            </w:tcBorders>
            <w:shd w:val="clear" w:color="auto" w:fill="auto"/>
          </w:tcPr>
          <w:p w14:paraId="484DA989" w14:textId="77777777" w:rsidR="008E1AF8" w:rsidRPr="0016236F" w:rsidRDefault="008E1AF8" w:rsidP="008E1AF8">
            <w:pPr>
              <w:pStyle w:val="Heading3"/>
              <w:spacing w:before="120" w:after="120"/>
            </w:pPr>
            <w:r>
              <w:rPr>
                <w:bCs w:val="0"/>
                <w:lang w:val="es"/>
              </w:rPr>
              <w:t>Datos sobre el rendimiento</w:t>
            </w:r>
          </w:p>
        </w:tc>
        <w:tc>
          <w:tcPr>
            <w:tcW w:w="1076" w:type="dxa"/>
            <w:tcBorders>
              <w:top w:val="single" w:sz="2" w:space="0" w:color="000000"/>
              <w:left w:val="single" w:sz="2" w:space="0" w:color="000000"/>
              <w:bottom w:val="single" w:sz="2" w:space="0" w:color="000000"/>
              <w:right w:val="single" w:sz="2" w:space="0" w:color="000000"/>
            </w:tcBorders>
            <w:shd w:val="clear" w:color="auto" w:fill="auto"/>
          </w:tcPr>
          <w:p w14:paraId="666DC854" w14:textId="77777777" w:rsidR="008E1AF8" w:rsidRPr="0016236F" w:rsidRDefault="008E1AF8" w:rsidP="008E1AF8">
            <w:pPr>
              <w:pStyle w:val="Heading3"/>
              <w:spacing w:before="120" w:after="120"/>
            </w:pPr>
            <w:r>
              <w:rPr>
                <w:bCs w:val="0"/>
                <w:lang w:val="es"/>
              </w:rPr>
              <w:t>Clave de los colores</w:t>
            </w:r>
          </w:p>
        </w:tc>
      </w:tr>
      <w:tr w:rsidR="008E1AF8" w:rsidRPr="0016236F" w14:paraId="2A8ABC9B" w14:textId="77777777" w:rsidTr="008E1AF8">
        <w:trPr>
          <w:trHeight w:val="616"/>
        </w:trPr>
        <w:tc>
          <w:tcPr>
            <w:tcW w:w="2340" w:type="dxa"/>
            <w:tcBorders>
              <w:top w:val="single" w:sz="2" w:space="0" w:color="000000"/>
              <w:left w:val="single" w:sz="2" w:space="0" w:color="000000"/>
              <w:bottom w:val="single" w:sz="2" w:space="0" w:color="000000"/>
              <w:right w:val="single" w:sz="2" w:space="0" w:color="000000"/>
            </w:tcBorders>
            <w:shd w:val="clear" w:color="auto" w:fill="auto"/>
          </w:tcPr>
          <w:p w14:paraId="705E2CD7" w14:textId="77777777" w:rsidR="008E1AF8" w:rsidRPr="00C91693" w:rsidRDefault="008E1AF8" w:rsidP="008E1AF8">
            <w:pPr>
              <w:spacing w:before="120" w:after="120"/>
            </w:pPr>
            <w:r>
              <w:rPr>
                <w:lang w:val="es"/>
              </w:rPr>
              <w:br w:type="page"/>
              <w:t>Estudio de nuevos medios para establecer un sistema de colaboración internacional en materia de P.I., mejorar la comprensión y crear consenso sobre posibles iniciativas o políticas de P.I. encaminadas a fomentar la transferencia de tecnología</w:t>
            </w:r>
          </w:p>
          <w:p w14:paraId="67EB314F" w14:textId="77777777" w:rsidR="008E1AF8" w:rsidRPr="00C91693" w:rsidRDefault="008E1AF8" w:rsidP="008E1AF8">
            <w:pPr>
              <w:spacing w:before="120" w:after="120"/>
            </w:pPr>
          </w:p>
        </w:tc>
        <w:tc>
          <w:tcPr>
            <w:tcW w:w="2700" w:type="dxa"/>
            <w:tcBorders>
              <w:top w:val="single" w:sz="2" w:space="0" w:color="000000"/>
              <w:left w:val="single" w:sz="2" w:space="0" w:color="000000"/>
              <w:bottom w:val="single" w:sz="2" w:space="0" w:color="000000"/>
              <w:right w:val="single" w:sz="2" w:space="0" w:color="000000"/>
            </w:tcBorders>
            <w:shd w:val="clear" w:color="auto" w:fill="auto"/>
          </w:tcPr>
          <w:p w14:paraId="44CF919E" w14:textId="77777777" w:rsidR="008E1AF8" w:rsidRPr="00412CAB" w:rsidRDefault="008E1AF8" w:rsidP="008E1AF8">
            <w:pPr>
              <w:pStyle w:val="ListParagraph"/>
              <w:numPr>
                <w:ilvl w:val="0"/>
                <w:numId w:val="29"/>
              </w:numPr>
              <w:spacing w:before="120" w:after="120"/>
              <w:ind w:left="0" w:firstLine="0"/>
              <w:rPr>
                <w:bCs/>
                <w:lang w:val="es-ES"/>
              </w:rPr>
            </w:pPr>
            <w:r w:rsidRPr="000C1194">
              <w:rPr>
                <w:lang w:val="es"/>
              </w:rPr>
              <w:t>Observaciones del Comité sobre el grado de mejora de la comprensión de las cuestiones y de los objetivos del proyecto cumplidos;</w:t>
            </w:r>
          </w:p>
          <w:p w14:paraId="6A124625" w14:textId="77777777" w:rsidR="008E1AF8" w:rsidRPr="00412CAB" w:rsidRDefault="008E1AF8" w:rsidP="008E1AF8">
            <w:pPr>
              <w:pStyle w:val="ListParagraph"/>
              <w:ind w:left="0"/>
              <w:rPr>
                <w:lang w:val="es-ES"/>
              </w:rPr>
            </w:pPr>
          </w:p>
          <w:p w14:paraId="5A19DAEC" w14:textId="77777777" w:rsidR="008E1AF8" w:rsidRPr="00412CAB" w:rsidRDefault="008E1AF8" w:rsidP="008E1AF8">
            <w:pPr>
              <w:pStyle w:val="ListParagraph"/>
              <w:numPr>
                <w:ilvl w:val="0"/>
                <w:numId w:val="29"/>
              </w:numPr>
              <w:spacing w:before="120" w:after="120"/>
              <w:ind w:left="0" w:firstLine="0"/>
              <w:rPr>
                <w:bCs/>
                <w:lang w:val="es-ES"/>
              </w:rPr>
            </w:pPr>
            <w:r w:rsidRPr="000C1194">
              <w:rPr>
                <w:lang w:val="es"/>
              </w:rPr>
              <w:t>adopción y aplicación concreta por los Estados miembros de las sugerencias, las recomendaciones y las eventuales medidas para el fomento de la transferencia de tecnología;</w:t>
            </w:r>
          </w:p>
          <w:p w14:paraId="2CF075A3" w14:textId="77777777" w:rsidR="008E1AF8" w:rsidRPr="00412CAB" w:rsidRDefault="008E1AF8" w:rsidP="008E1AF8">
            <w:pPr>
              <w:pStyle w:val="ListParagraph"/>
              <w:ind w:left="0"/>
              <w:rPr>
                <w:lang w:val="es-ES"/>
              </w:rPr>
            </w:pPr>
          </w:p>
          <w:p w14:paraId="1FDDC941" w14:textId="77777777" w:rsidR="008E1AF8" w:rsidRPr="00412CAB" w:rsidRDefault="008E1AF8" w:rsidP="008E1AF8">
            <w:pPr>
              <w:pStyle w:val="ListParagraph"/>
              <w:numPr>
                <w:ilvl w:val="0"/>
                <w:numId w:val="29"/>
              </w:numPr>
              <w:spacing w:before="120" w:after="120"/>
              <w:ind w:left="0" w:firstLine="0"/>
              <w:rPr>
                <w:bCs/>
                <w:lang w:val="es-ES"/>
              </w:rPr>
            </w:pPr>
            <w:r>
              <w:rPr>
                <w:lang w:val="es"/>
              </w:rPr>
              <w:t>observaciones sobre los contenidos formuladas por los usuarios en el foro en Internet y mediante los cuestionarios de evaluación;  y</w:t>
            </w:r>
          </w:p>
          <w:p w14:paraId="1A7E90B1" w14:textId="77777777" w:rsidR="008E1AF8" w:rsidRPr="00412CAB" w:rsidRDefault="008E1AF8" w:rsidP="008E1AF8">
            <w:pPr>
              <w:pStyle w:val="ListParagraph"/>
              <w:ind w:left="0"/>
              <w:rPr>
                <w:lang w:val="es-ES"/>
              </w:rPr>
            </w:pPr>
          </w:p>
          <w:p w14:paraId="0481941F" w14:textId="77777777" w:rsidR="008E1AF8" w:rsidRPr="00412CAB" w:rsidRDefault="008E1AF8" w:rsidP="008E1AF8">
            <w:pPr>
              <w:pStyle w:val="ListParagraph"/>
              <w:numPr>
                <w:ilvl w:val="0"/>
                <w:numId w:val="29"/>
              </w:numPr>
              <w:spacing w:before="120" w:after="120"/>
              <w:ind w:left="0" w:firstLine="0"/>
              <w:rPr>
                <w:bCs/>
                <w:lang w:val="es-ES"/>
              </w:rPr>
            </w:pPr>
            <w:r>
              <w:rPr>
                <w:lang w:val="es"/>
              </w:rPr>
              <w:t>difusión del uso del medio entre los países en desarrollo y PMA.</w:t>
            </w:r>
          </w:p>
        </w:tc>
        <w:tc>
          <w:tcPr>
            <w:tcW w:w="3240" w:type="dxa"/>
            <w:tcBorders>
              <w:top w:val="single" w:sz="2" w:space="0" w:color="000000"/>
              <w:left w:val="single" w:sz="2" w:space="0" w:color="000000"/>
              <w:bottom w:val="single" w:sz="2" w:space="0" w:color="000000"/>
              <w:right w:val="single" w:sz="2" w:space="0" w:color="000000"/>
            </w:tcBorders>
            <w:shd w:val="clear" w:color="auto" w:fill="auto"/>
          </w:tcPr>
          <w:p w14:paraId="7A1C171D" w14:textId="77777777" w:rsidR="008E1AF8" w:rsidRPr="00412CAB" w:rsidRDefault="008E1AF8" w:rsidP="008E1AF8">
            <w:pPr>
              <w:pStyle w:val="ListParagraph"/>
              <w:numPr>
                <w:ilvl w:val="0"/>
                <w:numId w:val="31"/>
              </w:numPr>
              <w:spacing w:before="120" w:after="120"/>
              <w:ind w:left="0" w:firstLine="0"/>
              <w:rPr>
                <w:lang w:val="es-ES"/>
              </w:rPr>
            </w:pPr>
            <w:r>
              <w:rPr>
                <w:lang w:val="es"/>
              </w:rPr>
              <w:t xml:space="preserve">Parece haber consenso en el Comité con respecto a la adquisición de conocimientos sobre cuestiones relativas a la transferencia de tecnología (véase el párrafo 37 del documento </w:t>
            </w:r>
            <w:hyperlink r:id="rId63" w:history="1">
              <w:r>
                <w:rPr>
                  <w:rStyle w:val="Hyperlink"/>
                  <w:lang w:val="es"/>
                </w:rPr>
                <w:t>CDIP/15/5</w:t>
              </w:r>
            </w:hyperlink>
            <w:r>
              <w:rPr>
                <w:lang w:val="es"/>
              </w:rPr>
              <w:t>).</w:t>
            </w:r>
          </w:p>
          <w:p w14:paraId="22AFBA09" w14:textId="77777777" w:rsidR="008E1AF8" w:rsidRPr="00412CAB" w:rsidRDefault="008E1AF8" w:rsidP="008E1AF8">
            <w:pPr>
              <w:pStyle w:val="ListParagraph"/>
              <w:spacing w:before="120" w:after="120"/>
              <w:ind w:left="0"/>
              <w:rPr>
                <w:lang w:val="es-ES"/>
              </w:rPr>
            </w:pPr>
          </w:p>
          <w:p w14:paraId="4A80A08B" w14:textId="77777777" w:rsidR="008E1AF8" w:rsidRPr="00412CAB" w:rsidRDefault="008E1AF8" w:rsidP="008E1AF8">
            <w:pPr>
              <w:pStyle w:val="ListParagraph"/>
              <w:numPr>
                <w:ilvl w:val="0"/>
                <w:numId w:val="31"/>
              </w:numPr>
              <w:spacing w:before="120" w:after="120"/>
              <w:ind w:left="0" w:firstLine="0"/>
              <w:rPr>
                <w:lang w:val="es-ES"/>
              </w:rPr>
            </w:pPr>
            <w:r>
              <w:rPr>
                <w:lang w:val="es"/>
              </w:rPr>
              <w:t>El trabajo de la Secretaría relativo a la preparación y el suministro de materiales, módulos, herramientas didácticas y otros instrumentos para aplicar las “ideas de expertos” y, en términos más generales, el trabajo relativo a la incorporación en los programas de trabajo de la OMPI de todo resultado que se obtenga de las actividades del proyecto, solo se podrá llevar adelante tras el examen y la adopción del CDIP y teniendo en cuenta las posibles recomendaciones formuladas por el Comité a la Asamblea General.</w:t>
            </w:r>
          </w:p>
          <w:p w14:paraId="439BD3F4" w14:textId="77777777" w:rsidR="008E1AF8" w:rsidRPr="00412CAB" w:rsidRDefault="008E1AF8" w:rsidP="008E1AF8">
            <w:pPr>
              <w:pStyle w:val="ListParagraph"/>
              <w:rPr>
                <w:lang w:val="es-ES"/>
              </w:rPr>
            </w:pPr>
          </w:p>
          <w:p w14:paraId="4C1F2137" w14:textId="77777777" w:rsidR="008E1AF8" w:rsidRPr="00412CAB" w:rsidRDefault="008E1AF8" w:rsidP="008E1AF8">
            <w:pPr>
              <w:pStyle w:val="ListParagraph"/>
              <w:numPr>
                <w:ilvl w:val="0"/>
                <w:numId w:val="31"/>
              </w:numPr>
              <w:spacing w:before="120" w:after="120"/>
              <w:ind w:left="0" w:firstLine="0"/>
              <w:rPr>
                <w:lang w:val="es-ES"/>
              </w:rPr>
            </w:pPr>
            <w:r>
              <w:rPr>
                <w:lang w:val="es"/>
              </w:rPr>
              <w:t>y  d)  se ha terminado de elaborar un borrador del foro en Internet sobre “transferencia de tecnología y P.I.: desafíos comunes y búsqueda de soluciones”.    Se confía en que el foro esté activo y funcionando para la decimosexta sesión del CDIP.</w:t>
            </w:r>
          </w:p>
          <w:p w14:paraId="614A1232" w14:textId="77777777" w:rsidR="008E1AF8" w:rsidRPr="00412CAB" w:rsidRDefault="008E1AF8" w:rsidP="008E1AF8">
            <w:pPr>
              <w:pStyle w:val="ListParagraph"/>
              <w:rPr>
                <w:lang w:val="es-ES"/>
              </w:rPr>
            </w:pPr>
          </w:p>
          <w:p w14:paraId="71A8F27C" w14:textId="77777777" w:rsidR="008E1AF8" w:rsidRPr="00412CAB" w:rsidRDefault="008E1AF8" w:rsidP="008E1AF8">
            <w:pPr>
              <w:pStyle w:val="ListParagraph"/>
              <w:spacing w:before="120" w:after="120"/>
              <w:ind w:left="0"/>
              <w:rPr>
                <w:lang w:val="es-ES"/>
              </w:rPr>
            </w:pPr>
          </w:p>
        </w:tc>
        <w:tc>
          <w:tcPr>
            <w:tcW w:w="1076" w:type="dxa"/>
            <w:tcBorders>
              <w:top w:val="single" w:sz="2" w:space="0" w:color="000000"/>
              <w:left w:val="single" w:sz="2" w:space="0" w:color="000000"/>
              <w:bottom w:val="single" w:sz="2" w:space="0" w:color="000000"/>
              <w:right w:val="single" w:sz="2" w:space="0" w:color="000000"/>
            </w:tcBorders>
            <w:shd w:val="clear" w:color="auto" w:fill="auto"/>
          </w:tcPr>
          <w:p w14:paraId="796B7595" w14:textId="77777777" w:rsidR="008E1AF8" w:rsidRPr="0016236F" w:rsidRDefault="008E1AF8" w:rsidP="008E1AF8">
            <w:pPr>
              <w:pStyle w:val="Heading3"/>
              <w:spacing w:before="120" w:after="120"/>
              <w:rPr>
                <w:u w:val="none"/>
              </w:rPr>
            </w:pPr>
            <w:r>
              <w:rPr>
                <w:bCs w:val="0"/>
                <w:u w:val="none"/>
                <w:lang w:val="es"/>
              </w:rPr>
              <w:t>**</w:t>
            </w:r>
          </w:p>
        </w:tc>
      </w:tr>
    </w:tbl>
    <w:p w14:paraId="27725A4E" w14:textId="77777777" w:rsidR="008E1AF8" w:rsidRPr="0016236F" w:rsidRDefault="008E1AF8" w:rsidP="008E1AF8"/>
    <w:p w14:paraId="68FF2D90" w14:textId="77777777" w:rsidR="008E1AF8" w:rsidRPr="0016236F" w:rsidRDefault="008E1AF8" w:rsidP="008E1AF8">
      <w:pPr>
        <w:pStyle w:val="Endofdocument"/>
        <w:ind w:left="0"/>
        <w:jc w:val="left"/>
        <w:rPr>
          <w:rFonts w:ascii="Arial" w:hAnsi="Arial" w:cs="Arial"/>
          <w:sz w:val="22"/>
          <w:szCs w:val="22"/>
        </w:rPr>
      </w:pPr>
    </w:p>
    <w:p w14:paraId="2083D53E" w14:textId="77777777" w:rsidR="008E1AF8" w:rsidRPr="0016236F" w:rsidRDefault="008E1AF8" w:rsidP="008E1AF8">
      <w:pPr>
        <w:pStyle w:val="Endofdocument"/>
        <w:ind w:left="0"/>
        <w:jc w:val="left"/>
        <w:rPr>
          <w:rFonts w:ascii="Arial" w:hAnsi="Arial" w:cs="Arial"/>
          <w:sz w:val="22"/>
          <w:szCs w:val="22"/>
        </w:rPr>
      </w:pPr>
    </w:p>
    <w:p w14:paraId="7C985C86" w14:textId="77777777" w:rsidR="008E1AF8" w:rsidRPr="0016236F" w:rsidRDefault="008E1AF8" w:rsidP="008E1AF8">
      <w:pPr>
        <w:pStyle w:val="Endofdocument"/>
        <w:ind w:left="5103"/>
        <w:jc w:val="left"/>
        <w:rPr>
          <w:rFonts w:ascii="Arial" w:hAnsi="Arial" w:cs="Arial"/>
          <w:sz w:val="22"/>
          <w:szCs w:val="22"/>
        </w:rPr>
      </w:pPr>
      <w:r>
        <w:rPr>
          <w:rFonts w:ascii="Arial" w:hAnsi="Arial" w:cs="Arial"/>
          <w:lang w:val="es"/>
        </w:rPr>
        <w:t>[</w:t>
      </w:r>
      <w:r>
        <w:rPr>
          <w:rFonts w:ascii="Arial" w:hAnsi="Arial" w:cs="Arial"/>
          <w:sz w:val="22"/>
          <w:szCs w:val="22"/>
          <w:lang w:val="es"/>
        </w:rPr>
        <w:t>Sigue el Anexo VI</w:t>
      </w:r>
      <w:r>
        <w:rPr>
          <w:rFonts w:ascii="Arial" w:hAnsi="Arial" w:cs="Arial"/>
          <w:lang w:val="es"/>
        </w:rPr>
        <w:t>]</w:t>
      </w:r>
    </w:p>
    <w:p w14:paraId="7C2278F0" w14:textId="77777777" w:rsidR="008E1AF8" w:rsidRPr="0016236F" w:rsidRDefault="008E1AF8" w:rsidP="008E1AF8"/>
    <w:p w14:paraId="51867D8E" w14:textId="77777777" w:rsidR="008E1AF8" w:rsidRPr="0016236F" w:rsidRDefault="008E1AF8" w:rsidP="008E1AF8">
      <w:pPr>
        <w:sectPr w:rsidR="008E1AF8" w:rsidRPr="0016236F" w:rsidSect="008E1AF8">
          <w:headerReference w:type="default" r:id="rId64"/>
          <w:footerReference w:type="default" r:id="rId65"/>
          <w:headerReference w:type="first" r:id="rId66"/>
          <w:pgSz w:w="11907" w:h="16840" w:code="9"/>
          <w:pgMar w:top="992" w:right="1418" w:bottom="1134" w:left="1418" w:header="510" w:footer="1021" w:gutter="0"/>
          <w:pgNumType w:start="1"/>
          <w:cols w:space="720"/>
          <w:titlePg/>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8E1AF8" w:rsidRPr="0016236F" w14:paraId="1A806449" w14:textId="77777777" w:rsidTr="008E1AF8">
        <w:trPr>
          <w:trHeight w:val="432"/>
        </w:trPr>
        <w:tc>
          <w:tcPr>
            <w:tcW w:w="9288" w:type="dxa"/>
            <w:gridSpan w:val="2"/>
            <w:shd w:val="clear" w:color="auto" w:fill="auto"/>
            <w:vAlign w:val="center"/>
          </w:tcPr>
          <w:p w14:paraId="2F8B9FDB" w14:textId="77777777" w:rsidR="008E1AF8" w:rsidRPr="0016236F" w:rsidRDefault="008E1AF8" w:rsidP="008E1AF8">
            <w:pPr>
              <w:rPr>
                <w:szCs w:val="22"/>
              </w:rPr>
            </w:pPr>
            <w:r>
              <w:rPr>
                <w:szCs w:val="22"/>
                <w:lang w:val="es"/>
              </w:rPr>
              <w:lastRenderedPageBreak/>
              <w:t>RESUMEN DEL PROYECTO</w:t>
            </w:r>
          </w:p>
        </w:tc>
      </w:tr>
      <w:tr w:rsidR="008E1AF8" w:rsidRPr="0016236F" w14:paraId="39C2C838" w14:textId="77777777" w:rsidTr="008E1AF8">
        <w:trPr>
          <w:trHeight w:val="496"/>
        </w:trPr>
        <w:tc>
          <w:tcPr>
            <w:tcW w:w="2376" w:type="dxa"/>
            <w:shd w:val="clear" w:color="auto" w:fill="auto"/>
            <w:vAlign w:val="center"/>
          </w:tcPr>
          <w:p w14:paraId="4A94022F" w14:textId="77777777" w:rsidR="008E1AF8" w:rsidRPr="0016236F" w:rsidRDefault="008E1AF8" w:rsidP="008E1AF8">
            <w:pPr>
              <w:rPr>
                <w:szCs w:val="22"/>
                <w:u w:val="single"/>
              </w:rPr>
            </w:pPr>
            <w:r>
              <w:rPr>
                <w:szCs w:val="22"/>
                <w:u w:val="single"/>
                <w:lang w:val="es"/>
              </w:rPr>
              <w:t>Código del proyecto</w:t>
            </w:r>
          </w:p>
        </w:tc>
        <w:tc>
          <w:tcPr>
            <w:tcW w:w="6912" w:type="dxa"/>
            <w:shd w:val="clear" w:color="auto" w:fill="auto"/>
            <w:vAlign w:val="center"/>
          </w:tcPr>
          <w:p w14:paraId="2B24B1B9" w14:textId="77777777" w:rsidR="008E1AF8" w:rsidRPr="0016236F" w:rsidRDefault="008E1AF8" w:rsidP="008E1AF8">
            <w:pPr>
              <w:rPr>
                <w:i/>
                <w:szCs w:val="22"/>
              </w:rPr>
            </w:pPr>
            <w:r>
              <w:rPr>
                <w:szCs w:val="22"/>
                <w:lang w:val="es"/>
              </w:rPr>
              <w:t>DA_1_10_11_13_19_25_32_01</w:t>
            </w:r>
          </w:p>
        </w:tc>
      </w:tr>
      <w:tr w:rsidR="008E1AF8" w:rsidRPr="00C91693" w14:paraId="5A29BFF3" w14:textId="77777777" w:rsidTr="008E1AF8">
        <w:trPr>
          <w:trHeight w:val="404"/>
        </w:trPr>
        <w:tc>
          <w:tcPr>
            <w:tcW w:w="2376" w:type="dxa"/>
            <w:shd w:val="clear" w:color="auto" w:fill="auto"/>
            <w:vAlign w:val="center"/>
          </w:tcPr>
          <w:p w14:paraId="0087E729" w14:textId="77777777" w:rsidR="008E1AF8" w:rsidRPr="0016236F" w:rsidRDefault="008E1AF8" w:rsidP="008E1AF8">
            <w:pPr>
              <w:rPr>
                <w:szCs w:val="22"/>
                <w:u w:val="single"/>
              </w:rPr>
            </w:pPr>
            <w:r>
              <w:rPr>
                <w:szCs w:val="22"/>
                <w:u w:val="single"/>
                <w:lang w:val="es"/>
              </w:rPr>
              <w:t>Título</w:t>
            </w:r>
          </w:p>
        </w:tc>
        <w:tc>
          <w:tcPr>
            <w:tcW w:w="6912" w:type="dxa"/>
            <w:shd w:val="clear" w:color="auto" w:fill="auto"/>
            <w:vAlign w:val="center"/>
          </w:tcPr>
          <w:p w14:paraId="78BBC910" w14:textId="77777777" w:rsidR="008E1AF8" w:rsidRPr="00C91693" w:rsidRDefault="008E1AF8" w:rsidP="008E1AF8">
            <w:pPr>
              <w:rPr>
                <w:iCs/>
              </w:rPr>
            </w:pPr>
          </w:p>
          <w:p w14:paraId="571D5B5B" w14:textId="77777777" w:rsidR="008E1AF8" w:rsidRPr="00C91693" w:rsidRDefault="008E1AF8" w:rsidP="008E1AF8">
            <w:pPr>
              <w:rPr>
                <w:iCs/>
              </w:rPr>
            </w:pPr>
            <w:r>
              <w:rPr>
                <w:i/>
                <w:iCs/>
                <w:lang w:val="es"/>
              </w:rPr>
              <w:t>Proyecto relativo a la intensificación de la Cooperación Sur-Sur en materia de propiedad intelectual (P.I.) y desarrollo entre los países en desarrollo y los países menos adelantados (PMA)</w:t>
            </w:r>
          </w:p>
          <w:p w14:paraId="1C4690B2" w14:textId="77777777" w:rsidR="008E1AF8" w:rsidRPr="00C91693" w:rsidRDefault="008E1AF8" w:rsidP="008E1AF8">
            <w:pPr>
              <w:rPr>
                <w:szCs w:val="22"/>
              </w:rPr>
            </w:pPr>
          </w:p>
        </w:tc>
      </w:tr>
      <w:tr w:rsidR="008E1AF8" w:rsidRPr="00C91693" w14:paraId="76551E22" w14:textId="77777777" w:rsidTr="008E1AF8">
        <w:tc>
          <w:tcPr>
            <w:tcW w:w="2376" w:type="dxa"/>
            <w:shd w:val="clear" w:color="auto" w:fill="auto"/>
          </w:tcPr>
          <w:p w14:paraId="0EB5AB77" w14:textId="77777777" w:rsidR="008E1AF8" w:rsidRPr="00C91693" w:rsidRDefault="008E1AF8" w:rsidP="008E1AF8">
            <w:pPr>
              <w:rPr>
                <w:szCs w:val="22"/>
              </w:rPr>
            </w:pPr>
          </w:p>
          <w:p w14:paraId="6A7FB411" w14:textId="77777777" w:rsidR="008E1AF8" w:rsidRPr="0016236F" w:rsidRDefault="008E1AF8" w:rsidP="008E1AF8">
            <w:pPr>
              <w:rPr>
                <w:szCs w:val="22"/>
                <w:u w:val="single"/>
              </w:rPr>
            </w:pPr>
            <w:r>
              <w:rPr>
                <w:szCs w:val="22"/>
                <w:u w:val="single"/>
                <w:lang w:val="es"/>
              </w:rPr>
              <w:t>Recomendación de la Agenda para el Desarrollo</w:t>
            </w:r>
          </w:p>
          <w:p w14:paraId="402BE716" w14:textId="77777777" w:rsidR="008E1AF8" w:rsidRPr="0016236F" w:rsidRDefault="008E1AF8" w:rsidP="008E1AF8">
            <w:pPr>
              <w:rPr>
                <w:szCs w:val="22"/>
              </w:rPr>
            </w:pPr>
          </w:p>
        </w:tc>
        <w:tc>
          <w:tcPr>
            <w:tcW w:w="6912" w:type="dxa"/>
            <w:shd w:val="clear" w:color="auto" w:fill="auto"/>
          </w:tcPr>
          <w:p w14:paraId="6F4D1AF2" w14:textId="77777777" w:rsidR="008E1AF8" w:rsidRPr="00C91693" w:rsidRDefault="008E1AF8" w:rsidP="008E1AF8">
            <w:pPr>
              <w:rPr>
                <w:i/>
                <w:szCs w:val="22"/>
              </w:rPr>
            </w:pPr>
          </w:p>
          <w:p w14:paraId="7C0F9B97" w14:textId="77777777" w:rsidR="008E1AF8" w:rsidRPr="00C91693" w:rsidRDefault="008E1AF8" w:rsidP="008E1AF8">
            <w:pPr>
              <w:rPr>
                <w:iCs/>
              </w:rPr>
            </w:pPr>
            <w:r>
              <w:rPr>
                <w:i/>
                <w:iCs/>
                <w:lang w:val="es"/>
              </w:rPr>
              <w:t>Recomendación 1:</w:t>
            </w:r>
            <w:r>
              <w:rPr>
                <w:lang w:val="es"/>
              </w:rPr>
              <w:t xml:space="preserve">  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p w14:paraId="7DD0DC6C" w14:textId="77777777" w:rsidR="008E1AF8" w:rsidRPr="00C91693" w:rsidRDefault="008E1AF8" w:rsidP="008E1AF8">
            <w:pPr>
              <w:rPr>
                <w:iCs/>
              </w:rPr>
            </w:pPr>
          </w:p>
          <w:p w14:paraId="50A52314" w14:textId="77777777" w:rsidR="008E1AF8" w:rsidRPr="00C91693" w:rsidRDefault="008E1AF8" w:rsidP="008E1AF8">
            <w:pPr>
              <w:rPr>
                <w:iCs/>
              </w:rPr>
            </w:pPr>
            <w:r>
              <w:rPr>
                <w:i/>
                <w:iCs/>
                <w:lang w:val="es"/>
              </w:rPr>
              <w:t>Recomendación 10:</w:t>
            </w:r>
            <w:r>
              <w:rPr>
                <w:lang w:val="es"/>
              </w:rPr>
              <w:t xml:space="preserve">  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  Este tipo de asistencia técnica debe beneficiar también a las organizaciones regionales y subregionales de P.I.</w:t>
            </w:r>
          </w:p>
          <w:p w14:paraId="6A3F9C3E" w14:textId="77777777" w:rsidR="008E1AF8" w:rsidRPr="00C91693" w:rsidRDefault="008E1AF8" w:rsidP="008E1AF8">
            <w:pPr>
              <w:rPr>
                <w:iCs/>
              </w:rPr>
            </w:pPr>
          </w:p>
          <w:p w14:paraId="2559D888" w14:textId="77777777" w:rsidR="008E1AF8" w:rsidRPr="00C91693" w:rsidRDefault="008E1AF8" w:rsidP="008E1AF8">
            <w:pPr>
              <w:rPr>
                <w:iCs/>
              </w:rPr>
            </w:pPr>
            <w:r>
              <w:rPr>
                <w:i/>
                <w:iCs/>
                <w:lang w:val="es"/>
              </w:rPr>
              <w:t>Recomendación 11:</w:t>
            </w:r>
            <w:r>
              <w:rPr>
                <w:lang w:val="es"/>
              </w:rPr>
              <w:t xml:space="preserve">  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p w14:paraId="02D4A35D" w14:textId="77777777" w:rsidR="008E1AF8" w:rsidRPr="00C91693" w:rsidRDefault="008E1AF8" w:rsidP="008E1AF8">
            <w:pPr>
              <w:rPr>
                <w:iCs/>
              </w:rPr>
            </w:pPr>
          </w:p>
          <w:p w14:paraId="328BE4FA" w14:textId="77777777" w:rsidR="008E1AF8" w:rsidRPr="00C91693" w:rsidRDefault="008E1AF8" w:rsidP="008E1AF8">
            <w:pPr>
              <w:rPr>
                <w:iCs/>
              </w:rPr>
            </w:pPr>
            <w:r>
              <w:rPr>
                <w:i/>
                <w:iCs/>
                <w:lang w:val="es"/>
              </w:rPr>
              <w:t>Recomendación 13:</w:t>
            </w:r>
            <w:r>
              <w:rPr>
                <w:lang w:val="es"/>
              </w:rPr>
              <w:t xml:space="preserve">  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además, las actividades deberán incluir los calendarios de su ejecución.</w:t>
            </w:r>
          </w:p>
          <w:p w14:paraId="3BDC1B85" w14:textId="77777777" w:rsidR="008E1AF8" w:rsidRPr="00C91693" w:rsidRDefault="008E1AF8" w:rsidP="008E1AF8">
            <w:pPr>
              <w:rPr>
                <w:iCs/>
              </w:rPr>
            </w:pPr>
          </w:p>
          <w:p w14:paraId="06189FDA" w14:textId="77777777" w:rsidR="008E1AF8" w:rsidRPr="00C91693" w:rsidRDefault="008E1AF8" w:rsidP="008E1AF8">
            <w:pPr>
              <w:rPr>
                <w:iCs/>
              </w:rPr>
            </w:pPr>
            <w:r>
              <w:rPr>
                <w:i/>
                <w:iCs/>
                <w:lang w:val="es"/>
              </w:rPr>
              <w:t>Recomendación 19:</w:t>
            </w:r>
            <w:r>
              <w:rPr>
                <w:lang w:val="es"/>
              </w:rPr>
              <w:t xml:space="preserve">  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p w14:paraId="79B91C33" w14:textId="77777777" w:rsidR="008E1AF8" w:rsidRPr="00C91693" w:rsidRDefault="008E1AF8" w:rsidP="008E1AF8">
            <w:pPr>
              <w:rPr>
                <w:iCs/>
              </w:rPr>
            </w:pPr>
          </w:p>
          <w:p w14:paraId="4D7BBE99" w14:textId="77777777" w:rsidR="008E1AF8" w:rsidRPr="00C91693" w:rsidRDefault="008E1AF8" w:rsidP="008E1AF8">
            <w:pPr>
              <w:rPr>
                <w:iCs/>
              </w:rPr>
            </w:pPr>
            <w:r>
              <w:rPr>
                <w:i/>
                <w:iCs/>
                <w:lang w:val="es"/>
              </w:rPr>
              <w:t>Recomendación 25:</w:t>
            </w:r>
            <w:r>
              <w:rPr>
                <w:lang w:val="es"/>
              </w:rPr>
              <w:t xml:space="preserve">  Estudiar qué políticas e iniciativas relacionadas con la P.I. son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p>
          <w:p w14:paraId="1F4BC6FB" w14:textId="77777777" w:rsidR="008E1AF8" w:rsidRPr="00C91693" w:rsidRDefault="008E1AF8" w:rsidP="008E1AF8">
            <w:pPr>
              <w:rPr>
                <w:bCs/>
                <w:i/>
                <w:iCs/>
              </w:rPr>
            </w:pPr>
          </w:p>
          <w:p w14:paraId="391D4507" w14:textId="77777777" w:rsidR="008E1AF8" w:rsidRPr="00C91693" w:rsidRDefault="008E1AF8" w:rsidP="008E1AF8">
            <w:pPr>
              <w:rPr>
                <w:iCs/>
              </w:rPr>
            </w:pPr>
            <w:r>
              <w:rPr>
                <w:i/>
                <w:iCs/>
                <w:lang w:val="es"/>
              </w:rPr>
              <w:lastRenderedPageBreak/>
              <w:t>Recomendación 32:</w:t>
            </w:r>
            <w:r>
              <w:rPr>
                <w:lang w:val="es"/>
              </w:rPr>
              <w:t xml:space="preserve">  Contar con la posibilidad de intercambiar, en el seno de la OMPI, las experiencias e información, en los ámbitos nacional y regional, sobre la relación existente entre los derechos de P.I. y las políticas de competencia.</w:t>
            </w:r>
          </w:p>
          <w:p w14:paraId="32EE0013" w14:textId="77777777" w:rsidR="008E1AF8" w:rsidRPr="00C91693" w:rsidRDefault="008E1AF8" w:rsidP="008E1AF8">
            <w:pPr>
              <w:rPr>
                <w:iCs/>
              </w:rPr>
            </w:pPr>
          </w:p>
          <w:p w14:paraId="6F85AD45" w14:textId="77777777" w:rsidR="008E1AF8" w:rsidRPr="00C91693" w:rsidRDefault="008E1AF8" w:rsidP="008E1AF8">
            <w:pPr>
              <w:rPr>
                <w:i/>
                <w:szCs w:val="22"/>
              </w:rPr>
            </w:pPr>
          </w:p>
        </w:tc>
      </w:tr>
      <w:tr w:rsidR="008E1AF8" w:rsidRPr="0016236F" w14:paraId="2BBC260A" w14:textId="77777777" w:rsidTr="008E1AF8">
        <w:tc>
          <w:tcPr>
            <w:tcW w:w="2376" w:type="dxa"/>
            <w:shd w:val="clear" w:color="auto" w:fill="auto"/>
          </w:tcPr>
          <w:p w14:paraId="3A71F81C" w14:textId="77777777" w:rsidR="008E1AF8" w:rsidRPr="00C91693" w:rsidRDefault="008E1AF8" w:rsidP="008E1AF8">
            <w:pPr>
              <w:rPr>
                <w:szCs w:val="22"/>
              </w:rPr>
            </w:pPr>
          </w:p>
          <w:p w14:paraId="41482A74" w14:textId="77777777" w:rsidR="008E1AF8" w:rsidRPr="0016236F" w:rsidRDefault="008E1AF8" w:rsidP="008E1AF8">
            <w:pPr>
              <w:rPr>
                <w:szCs w:val="22"/>
                <w:u w:val="single"/>
              </w:rPr>
            </w:pPr>
            <w:r>
              <w:rPr>
                <w:szCs w:val="22"/>
                <w:u w:val="single"/>
                <w:lang w:val="es"/>
              </w:rPr>
              <w:t>Presupuesto del proyecto</w:t>
            </w:r>
          </w:p>
          <w:p w14:paraId="08918DA5" w14:textId="77777777" w:rsidR="008E1AF8" w:rsidRPr="0016236F" w:rsidRDefault="008E1AF8" w:rsidP="008E1AF8">
            <w:pPr>
              <w:rPr>
                <w:szCs w:val="22"/>
              </w:rPr>
            </w:pPr>
          </w:p>
        </w:tc>
        <w:tc>
          <w:tcPr>
            <w:tcW w:w="6912" w:type="dxa"/>
            <w:shd w:val="clear" w:color="auto" w:fill="auto"/>
          </w:tcPr>
          <w:p w14:paraId="52F39CD3" w14:textId="77777777" w:rsidR="008E1AF8" w:rsidRPr="0016236F" w:rsidRDefault="008E1AF8" w:rsidP="008E1AF8"/>
          <w:p w14:paraId="66D43918" w14:textId="77777777" w:rsidR="008E1AF8" w:rsidRPr="0016236F" w:rsidRDefault="008E1AF8" w:rsidP="008E1AF8">
            <w:r>
              <w:rPr>
                <w:lang w:val="es"/>
              </w:rPr>
              <w:t>Gastos no relativos al personal:  755.460 francos suizos.</w:t>
            </w:r>
          </w:p>
          <w:p w14:paraId="769F43E1" w14:textId="77777777" w:rsidR="008E1AF8" w:rsidRPr="0016236F" w:rsidRDefault="008E1AF8" w:rsidP="008E1AF8"/>
          <w:p w14:paraId="56FBF9BC" w14:textId="77777777" w:rsidR="008E1AF8" w:rsidRPr="0016236F" w:rsidRDefault="008E1AF8" w:rsidP="008E1AF8">
            <w:r>
              <w:rPr>
                <w:lang w:val="es"/>
              </w:rPr>
              <w:t>Gastos de personal:  202.000 francos suizos.</w:t>
            </w:r>
          </w:p>
          <w:p w14:paraId="1BA889D3" w14:textId="77777777" w:rsidR="008E1AF8" w:rsidRPr="0016236F" w:rsidRDefault="008E1AF8" w:rsidP="008E1AF8">
            <w:pPr>
              <w:rPr>
                <w:i/>
                <w:iCs/>
                <w:szCs w:val="22"/>
              </w:rPr>
            </w:pPr>
          </w:p>
        </w:tc>
      </w:tr>
      <w:tr w:rsidR="008E1AF8" w:rsidRPr="00C91693" w14:paraId="2E30ADD0" w14:textId="77777777" w:rsidTr="008E1AF8">
        <w:tc>
          <w:tcPr>
            <w:tcW w:w="2376" w:type="dxa"/>
            <w:shd w:val="clear" w:color="auto" w:fill="auto"/>
          </w:tcPr>
          <w:p w14:paraId="6C0C24EC" w14:textId="77777777" w:rsidR="008E1AF8" w:rsidRPr="0016236F" w:rsidRDefault="008E1AF8" w:rsidP="008E1AF8">
            <w:pPr>
              <w:rPr>
                <w:szCs w:val="22"/>
              </w:rPr>
            </w:pPr>
          </w:p>
          <w:p w14:paraId="28F16307" w14:textId="77777777" w:rsidR="008E1AF8" w:rsidRPr="0016236F" w:rsidRDefault="008E1AF8" w:rsidP="008E1AF8">
            <w:pPr>
              <w:rPr>
                <w:szCs w:val="22"/>
                <w:u w:val="single"/>
              </w:rPr>
            </w:pPr>
            <w:r>
              <w:rPr>
                <w:szCs w:val="22"/>
                <w:u w:val="single"/>
                <w:lang w:val="es"/>
              </w:rPr>
              <w:t>Duración del proyecto</w:t>
            </w:r>
          </w:p>
          <w:p w14:paraId="4F70CF98" w14:textId="77777777" w:rsidR="008E1AF8" w:rsidRPr="0016236F" w:rsidRDefault="008E1AF8" w:rsidP="008E1AF8">
            <w:pPr>
              <w:rPr>
                <w:szCs w:val="22"/>
              </w:rPr>
            </w:pPr>
          </w:p>
        </w:tc>
        <w:tc>
          <w:tcPr>
            <w:tcW w:w="6912" w:type="dxa"/>
            <w:shd w:val="clear" w:color="auto" w:fill="auto"/>
          </w:tcPr>
          <w:p w14:paraId="35D8E212" w14:textId="77777777" w:rsidR="008E1AF8" w:rsidRPr="00C91693" w:rsidRDefault="008E1AF8" w:rsidP="008E1AF8"/>
          <w:p w14:paraId="5C659CF0" w14:textId="77777777" w:rsidR="008E1AF8" w:rsidRPr="00C91693" w:rsidRDefault="008E1AF8" w:rsidP="008E1AF8">
            <w:pPr>
              <w:rPr>
                <w:i/>
                <w:iCs/>
                <w:szCs w:val="22"/>
              </w:rPr>
            </w:pPr>
            <w:r>
              <w:rPr>
                <w:lang w:val="es"/>
              </w:rPr>
              <w:t xml:space="preserve">24 meses (primera etapa).  El proyecto fue prorrogado por un período adicional de un año (12 meses), por decisión adoptada por el CDIP en su decimotercera sesión (véase el párrafo 7 del Resumen de la Presidencia en </w:t>
            </w:r>
            <w:hyperlink r:id="rId67" w:history="1">
              <w:r>
                <w:rPr>
                  <w:color w:val="0000FF"/>
                  <w:szCs w:val="22"/>
                  <w:u w:val="single"/>
                  <w:lang w:val="es"/>
                </w:rPr>
                <w:t>http://www.wipo.int/edocs/mdocs/mdocs/es/cdip_13/cdip_13_summary.pdf</w:t>
              </w:r>
            </w:hyperlink>
            <w:r>
              <w:rPr>
                <w:szCs w:val="22"/>
                <w:lang w:val="es"/>
              </w:rPr>
              <w:t>).</w:t>
            </w:r>
          </w:p>
          <w:p w14:paraId="41427935" w14:textId="77777777" w:rsidR="008E1AF8" w:rsidRPr="00C91693" w:rsidRDefault="008E1AF8" w:rsidP="008E1AF8">
            <w:pPr>
              <w:rPr>
                <w:i/>
                <w:iCs/>
                <w:szCs w:val="22"/>
              </w:rPr>
            </w:pPr>
          </w:p>
        </w:tc>
      </w:tr>
      <w:tr w:rsidR="008E1AF8" w:rsidRPr="002F16DD" w14:paraId="5F34359F" w14:textId="77777777" w:rsidTr="008E1AF8">
        <w:tc>
          <w:tcPr>
            <w:tcW w:w="2376" w:type="dxa"/>
            <w:shd w:val="clear" w:color="auto" w:fill="auto"/>
          </w:tcPr>
          <w:p w14:paraId="1C88C9F3" w14:textId="77777777" w:rsidR="008E1AF8" w:rsidRPr="00C91693" w:rsidRDefault="008E1AF8" w:rsidP="008E1AF8">
            <w:pPr>
              <w:rPr>
                <w:szCs w:val="22"/>
              </w:rPr>
            </w:pPr>
          </w:p>
          <w:p w14:paraId="46B82A65" w14:textId="77777777" w:rsidR="008E1AF8" w:rsidRPr="00C91693" w:rsidRDefault="008E1AF8" w:rsidP="008E1AF8">
            <w:pPr>
              <w:rPr>
                <w:szCs w:val="22"/>
                <w:u w:val="single"/>
              </w:rPr>
            </w:pPr>
            <w:r>
              <w:rPr>
                <w:szCs w:val="22"/>
                <w:u w:val="single"/>
                <w:lang w:val="es"/>
              </w:rPr>
              <w:t>Principales sectores de la OMPI interesados y vínculos con los programas de la Organización</w:t>
            </w:r>
          </w:p>
        </w:tc>
        <w:tc>
          <w:tcPr>
            <w:tcW w:w="6912" w:type="dxa"/>
            <w:shd w:val="clear" w:color="auto" w:fill="auto"/>
          </w:tcPr>
          <w:p w14:paraId="223F4A99" w14:textId="77777777" w:rsidR="008E1AF8" w:rsidRPr="00C91693" w:rsidRDefault="008E1AF8" w:rsidP="008E1AF8"/>
          <w:p w14:paraId="711D8441" w14:textId="77777777" w:rsidR="008E1AF8" w:rsidRPr="00C91693" w:rsidRDefault="008E1AF8" w:rsidP="008E1AF8">
            <w:r>
              <w:rPr>
                <w:lang w:val="es"/>
              </w:rPr>
              <w:t>Sector de Desarrollo (programa 9)</w:t>
            </w:r>
          </w:p>
          <w:p w14:paraId="1467A60E" w14:textId="77777777" w:rsidR="008E1AF8" w:rsidRPr="00C91693" w:rsidRDefault="008E1AF8" w:rsidP="008E1AF8"/>
          <w:p w14:paraId="675A24E6" w14:textId="77777777" w:rsidR="008E1AF8" w:rsidRPr="00C91693" w:rsidRDefault="008E1AF8" w:rsidP="008E1AF8">
            <w:r>
              <w:rPr>
                <w:lang w:val="es"/>
              </w:rPr>
              <w:t>Sector de la Infraestructura Mundial (programa 14)</w:t>
            </w:r>
          </w:p>
          <w:p w14:paraId="08468624" w14:textId="77777777" w:rsidR="008E1AF8" w:rsidRPr="00C91693" w:rsidRDefault="008E1AF8" w:rsidP="008E1AF8"/>
          <w:p w14:paraId="1494CCDA" w14:textId="77777777" w:rsidR="008E1AF8" w:rsidRPr="0016236F" w:rsidRDefault="008E1AF8" w:rsidP="008E1AF8">
            <w:pPr>
              <w:rPr>
                <w:iCs/>
              </w:rPr>
            </w:pPr>
            <w:r>
              <w:rPr>
                <w:lang w:val="es"/>
              </w:rPr>
              <w:t>Vínculos con los programas 1, 2, 3, 4, 5, 6, 7, 8, 11, 15, 16, 18, 30 de la OMPI</w:t>
            </w:r>
          </w:p>
          <w:p w14:paraId="2B837C65" w14:textId="77777777" w:rsidR="008E1AF8" w:rsidRPr="0016236F" w:rsidRDefault="008E1AF8" w:rsidP="008E1AF8">
            <w:pPr>
              <w:rPr>
                <w:iCs/>
              </w:rPr>
            </w:pPr>
          </w:p>
          <w:p w14:paraId="6E48072E" w14:textId="77777777" w:rsidR="008E1AF8" w:rsidRPr="0016236F" w:rsidRDefault="008E1AF8" w:rsidP="008E1AF8">
            <w:pPr>
              <w:rPr>
                <w:iCs/>
              </w:rPr>
            </w:pPr>
            <w:r>
              <w:rPr>
                <w:lang w:val="es"/>
              </w:rPr>
              <w:t>Vínculos con los siguientes proyectos de la Agenda para el Desarrollo:  DA_05_01, DA_08_01, DA_09_01, DA_10_05, DA_7_23_32_01 y DA_35_37_01, DA_19_25_26_28_01.</w:t>
            </w:r>
          </w:p>
          <w:p w14:paraId="5C485D68" w14:textId="77777777" w:rsidR="008E1AF8" w:rsidRPr="0016236F" w:rsidRDefault="008E1AF8" w:rsidP="008E1AF8">
            <w:pPr>
              <w:rPr>
                <w:szCs w:val="22"/>
              </w:rPr>
            </w:pPr>
          </w:p>
        </w:tc>
      </w:tr>
      <w:tr w:rsidR="008E1AF8" w:rsidRPr="00C91693" w14:paraId="738C2A0A" w14:textId="77777777" w:rsidTr="008E1AF8">
        <w:trPr>
          <w:trHeight w:val="2664"/>
        </w:trPr>
        <w:tc>
          <w:tcPr>
            <w:tcW w:w="2376" w:type="dxa"/>
            <w:shd w:val="clear" w:color="auto" w:fill="auto"/>
          </w:tcPr>
          <w:p w14:paraId="70FA029B" w14:textId="77777777" w:rsidR="008E1AF8" w:rsidRPr="0016236F" w:rsidRDefault="008E1AF8" w:rsidP="008E1AF8">
            <w:pPr>
              <w:rPr>
                <w:szCs w:val="22"/>
              </w:rPr>
            </w:pPr>
          </w:p>
          <w:p w14:paraId="4242D916" w14:textId="77777777" w:rsidR="008E1AF8" w:rsidRPr="0016236F" w:rsidRDefault="008E1AF8" w:rsidP="008E1AF8">
            <w:pPr>
              <w:rPr>
                <w:szCs w:val="22"/>
              </w:rPr>
            </w:pPr>
            <w:r>
              <w:rPr>
                <w:szCs w:val="22"/>
                <w:lang w:val="es"/>
              </w:rPr>
              <w:t>Breve descripción del proyecto</w:t>
            </w:r>
          </w:p>
        </w:tc>
        <w:tc>
          <w:tcPr>
            <w:tcW w:w="6912" w:type="dxa"/>
            <w:shd w:val="clear" w:color="auto" w:fill="auto"/>
          </w:tcPr>
          <w:p w14:paraId="198F06AC" w14:textId="77777777" w:rsidR="008E1AF8" w:rsidRPr="00C91693" w:rsidRDefault="008E1AF8" w:rsidP="008E1AF8">
            <w:pPr>
              <w:rPr>
                <w:szCs w:val="22"/>
              </w:rPr>
            </w:pPr>
          </w:p>
          <w:p w14:paraId="1EFFBA9F" w14:textId="77777777" w:rsidR="008E1AF8" w:rsidRPr="00C91693" w:rsidRDefault="008E1AF8" w:rsidP="008E1AF8">
            <w:r>
              <w:rPr>
                <w:lang w:val="es"/>
              </w:rPr>
              <w:t xml:space="preserve">Este proyecto se refiere a la optimización de los resultados de la aplicación de ciertas recomendaciones de la Agenda de la OMPI para el Desarrollo.  Para ello, en este proyecto se completan y consolidan, por una parte, los proyectos que ya han sido elaborados para las recomendaciones 10, 19, 25 y 32 y, por otra parte, se ponen en práctica las recomendaciones 1, 11 y 13. </w:t>
            </w:r>
          </w:p>
          <w:p w14:paraId="53A719D6" w14:textId="77777777" w:rsidR="008E1AF8" w:rsidRPr="00C91693" w:rsidRDefault="008E1AF8" w:rsidP="008E1AF8">
            <w:pPr>
              <w:rPr>
                <w:iCs/>
              </w:rPr>
            </w:pPr>
          </w:p>
          <w:p w14:paraId="4C9709CC" w14:textId="77777777" w:rsidR="008E1AF8" w:rsidRPr="00C91693" w:rsidRDefault="008E1AF8" w:rsidP="008E1AF8">
            <w:pPr>
              <w:rPr>
                <w:iCs/>
              </w:rPr>
            </w:pPr>
            <w:r>
              <w:rPr>
                <w:lang w:val="es"/>
              </w:rPr>
              <w:t>Con vistas a alcanzar estos objetivos, el presente proyecto tiene por objeto desarrollar los medios para canalizar los esfuerzos desplegados por los diferentes actores a fin de promover la cooperación Sur-Sur en el ámbito de la P.I.  El proyecto tiene por finalidad lograr resultados concretos en las siguientes esferas, tanto en los países en desarrollo como en los PMA:</w:t>
            </w:r>
          </w:p>
          <w:p w14:paraId="595FB5E4" w14:textId="77777777" w:rsidR="008E1AF8" w:rsidRPr="00C91693" w:rsidRDefault="008E1AF8" w:rsidP="008E1AF8">
            <w:pPr>
              <w:rPr>
                <w:iCs/>
              </w:rPr>
            </w:pPr>
          </w:p>
          <w:p w14:paraId="47D1E36A" w14:textId="7E4512D5" w:rsidR="008E1AF8" w:rsidRPr="00C91693" w:rsidRDefault="00523FA9" w:rsidP="00523FA9">
            <w:pPr>
              <w:tabs>
                <w:tab w:val="num" w:pos="1026"/>
              </w:tabs>
              <w:spacing w:after="200" w:line="276" w:lineRule="auto"/>
              <w:ind w:left="459"/>
              <w:rPr>
                <w:iCs/>
              </w:rPr>
            </w:pPr>
            <w:r>
              <w:rPr>
                <w:lang w:val="es"/>
              </w:rPr>
              <w:t>a)</w:t>
            </w:r>
            <w:r>
              <w:rPr>
                <w:lang w:val="es"/>
              </w:rPr>
              <w:tab/>
            </w:r>
            <w:r w:rsidR="008E1AF8">
              <w:rPr>
                <w:lang w:val="es"/>
              </w:rPr>
              <w:t>la promoción de la asistencia técnica y jurídica en materia de P.I. orientada a potenciar el desarrollo (recomendaciones 1 y 13);</w:t>
            </w:r>
          </w:p>
          <w:p w14:paraId="5A0E2F73" w14:textId="33B97F73" w:rsidR="008E1AF8" w:rsidRPr="00C91693" w:rsidRDefault="00523FA9" w:rsidP="00523FA9">
            <w:pPr>
              <w:tabs>
                <w:tab w:val="num" w:pos="1026"/>
              </w:tabs>
              <w:spacing w:after="200" w:line="276" w:lineRule="auto"/>
              <w:ind w:left="459"/>
              <w:rPr>
                <w:iCs/>
              </w:rPr>
            </w:pPr>
            <w:r>
              <w:rPr>
                <w:lang w:val="es"/>
              </w:rPr>
              <w:t>b)</w:t>
            </w:r>
            <w:r>
              <w:rPr>
                <w:lang w:val="es"/>
              </w:rPr>
              <w:tab/>
            </w:r>
            <w:r w:rsidR="008E1AF8">
              <w:rPr>
                <w:lang w:val="es"/>
              </w:rPr>
              <w:t xml:space="preserve">el fortalecimiento de las capacidades institucionales en materia de P.I. (recomendación 10); </w:t>
            </w:r>
          </w:p>
          <w:p w14:paraId="6D3F35BA" w14:textId="3A2DD2E0" w:rsidR="008E1AF8" w:rsidRPr="00C91693" w:rsidRDefault="00523FA9" w:rsidP="00523FA9">
            <w:pPr>
              <w:tabs>
                <w:tab w:val="num" w:pos="1026"/>
              </w:tabs>
              <w:spacing w:after="200" w:line="276" w:lineRule="auto"/>
              <w:ind w:left="459"/>
              <w:rPr>
                <w:iCs/>
              </w:rPr>
            </w:pPr>
            <w:r>
              <w:rPr>
                <w:lang w:val="es"/>
              </w:rPr>
              <w:t>c)</w:t>
            </w:r>
            <w:r>
              <w:rPr>
                <w:lang w:val="es"/>
              </w:rPr>
              <w:tab/>
            </w:r>
            <w:r w:rsidR="008E1AF8">
              <w:rPr>
                <w:lang w:val="es"/>
              </w:rPr>
              <w:t>el fortalecimiento de las capacidades nacionales en materia de protección de la innovación (recomendación 11);</w:t>
            </w:r>
          </w:p>
          <w:p w14:paraId="2CFD1071" w14:textId="0F564AF7" w:rsidR="008E1AF8" w:rsidRPr="00C91693" w:rsidRDefault="00523FA9" w:rsidP="00523FA9">
            <w:pPr>
              <w:tabs>
                <w:tab w:val="num" w:pos="1026"/>
              </w:tabs>
              <w:spacing w:after="200" w:line="276" w:lineRule="auto"/>
              <w:ind w:left="459"/>
              <w:rPr>
                <w:iCs/>
              </w:rPr>
            </w:pPr>
            <w:r>
              <w:rPr>
                <w:lang w:val="es"/>
              </w:rPr>
              <w:lastRenderedPageBreak/>
              <w:t>d)</w:t>
            </w:r>
            <w:r>
              <w:rPr>
                <w:lang w:val="es"/>
              </w:rPr>
              <w:tab/>
            </w:r>
            <w:r w:rsidR="008E1AF8">
              <w:rPr>
                <w:lang w:val="es"/>
              </w:rPr>
              <w:t>la facilitación del acceso y la divulgación de la información y la tecnología, así como la utilización de las flexibilidades previstas en materia de P.I. (recomendaciones 19 y 25);  y</w:t>
            </w:r>
          </w:p>
          <w:p w14:paraId="036C79E0" w14:textId="54318698" w:rsidR="008E1AF8" w:rsidRPr="00C91693" w:rsidRDefault="00523FA9" w:rsidP="00523FA9">
            <w:pPr>
              <w:tabs>
                <w:tab w:val="num" w:pos="1026"/>
              </w:tabs>
              <w:spacing w:after="200" w:line="276" w:lineRule="auto"/>
              <w:ind w:left="459"/>
              <w:rPr>
                <w:iCs/>
              </w:rPr>
            </w:pPr>
            <w:r>
              <w:rPr>
                <w:lang w:val="es"/>
              </w:rPr>
              <w:t>e)</w:t>
            </w:r>
            <w:r>
              <w:rPr>
                <w:lang w:val="es"/>
              </w:rPr>
              <w:tab/>
            </w:r>
            <w:r w:rsidR="008E1AF8">
              <w:rPr>
                <w:lang w:val="es"/>
              </w:rPr>
              <w:t>una mejor comprensión del vínculo entre la P.I. y las políticas relativas a la competencia (recomendación 32).</w:t>
            </w:r>
          </w:p>
        </w:tc>
      </w:tr>
    </w:tbl>
    <w:p w14:paraId="6335AD27" w14:textId="77777777" w:rsidR="008E1AF8" w:rsidRPr="00C91693" w:rsidRDefault="008E1AF8" w:rsidP="008E1AF8">
      <w:pPr>
        <w:jc w:val="center"/>
        <w:rPr>
          <w:szCs w:val="22"/>
        </w:rPr>
      </w:pPr>
    </w:p>
    <w:p w14:paraId="1D40A42F" w14:textId="77777777" w:rsidR="008E1AF8" w:rsidRPr="00C91693" w:rsidRDefault="008E1AF8" w:rsidP="008E1AF8">
      <w:pPr>
        <w:jc w:val="center"/>
        <w:rPr>
          <w:szCs w:val="22"/>
        </w:rPr>
      </w:pPr>
    </w:p>
    <w:p w14:paraId="53E771F2" w14:textId="77777777" w:rsidR="008E1AF8" w:rsidRPr="00C91693" w:rsidRDefault="008E1AF8" w:rsidP="008E1AF8">
      <w:pPr>
        <w:rPr>
          <w:szCs w:val="22"/>
        </w:rPr>
      </w:pPr>
      <w:r>
        <w:rPr>
          <w:szCs w:val="22"/>
          <w:lang w:val="es"/>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8E1AF8" w:rsidRPr="0016236F" w14:paraId="53586F56" w14:textId="77777777" w:rsidTr="008E1AF8">
        <w:trPr>
          <w:trHeight w:val="484"/>
        </w:trPr>
        <w:tc>
          <w:tcPr>
            <w:tcW w:w="2376" w:type="dxa"/>
            <w:shd w:val="clear" w:color="auto" w:fill="auto"/>
            <w:vAlign w:val="center"/>
          </w:tcPr>
          <w:p w14:paraId="710B26B4" w14:textId="0B0565D7" w:rsidR="008E1AF8" w:rsidRPr="0016236F" w:rsidRDefault="008E1AF8" w:rsidP="008E1AF8">
            <w:pPr>
              <w:rPr>
                <w:szCs w:val="22"/>
                <w:u w:val="single"/>
              </w:rPr>
            </w:pPr>
            <w:r>
              <w:rPr>
                <w:szCs w:val="22"/>
                <w:u w:val="single"/>
                <w:lang w:val="es"/>
              </w:rPr>
              <w:lastRenderedPageBreak/>
              <w:t>Director del proyecto</w:t>
            </w:r>
          </w:p>
        </w:tc>
        <w:tc>
          <w:tcPr>
            <w:tcW w:w="6912" w:type="dxa"/>
            <w:vAlign w:val="center"/>
          </w:tcPr>
          <w:p w14:paraId="53D8C6C5" w14:textId="77777777" w:rsidR="008E1AF8" w:rsidRPr="0016236F" w:rsidRDefault="008E1AF8" w:rsidP="008E1AF8">
            <w:pPr>
              <w:rPr>
                <w:iCs/>
                <w:szCs w:val="22"/>
              </w:rPr>
            </w:pPr>
            <w:r>
              <w:rPr>
                <w:szCs w:val="22"/>
                <w:lang w:val="es"/>
              </w:rPr>
              <w:t xml:space="preserve"> </w:t>
            </w:r>
          </w:p>
          <w:p w14:paraId="3E4E4550" w14:textId="77777777" w:rsidR="008E1AF8" w:rsidRPr="0016236F" w:rsidRDefault="008E1AF8" w:rsidP="008E1AF8">
            <w:pPr>
              <w:rPr>
                <w:iCs/>
                <w:szCs w:val="22"/>
              </w:rPr>
            </w:pPr>
            <w:r>
              <w:rPr>
                <w:lang w:val="es"/>
              </w:rPr>
              <w:t>Sr. Alejandro Roca Campaña</w:t>
            </w:r>
          </w:p>
          <w:p w14:paraId="5BC5EE6B" w14:textId="77777777" w:rsidR="008E1AF8" w:rsidRPr="0016236F" w:rsidRDefault="008E1AF8" w:rsidP="008E1AF8">
            <w:pPr>
              <w:rPr>
                <w:iCs/>
                <w:szCs w:val="22"/>
              </w:rPr>
            </w:pPr>
          </w:p>
        </w:tc>
      </w:tr>
      <w:tr w:rsidR="008E1AF8" w:rsidRPr="00C91693" w14:paraId="27013D1A" w14:textId="77777777" w:rsidTr="008E1AF8">
        <w:trPr>
          <w:trHeight w:val="1165"/>
        </w:trPr>
        <w:tc>
          <w:tcPr>
            <w:tcW w:w="2376" w:type="dxa"/>
            <w:shd w:val="clear" w:color="auto" w:fill="auto"/>
            <w:vAlign w:val="center"/>
          </w:tcPr>
          <w:p w14:paraId="02B428BD" w14:textId="77777777" w:rsidR="008E1AF8" w:rsidRPr="00C91693" w:rsidDel="00196374" w:rsidRDefault="008E1AF8" w:rsidP="008E1AF8">
            <w:pPr>
              <w:rPr>
                <w:szCs w:val="22"/>
                <w:u w:val="single"/>
              </w:rPr>
            </w:pPr>
            <w:r>
              <w:rPr>
                <w:szCs w:val="22"/>
                <w:u w:val="single"/>
                <w:lang w:val="es"/>
              </w:rPr>
              <w:t xml:space="preserve">Vínculos con los resultados previstos en el presupuesto por programas </w:t>
            </w:r>
          </w:p>
        </w:tc>
        <w:tc>
          <w:tcPr>
            <w:tcW w:w="6912" w:type="dxa"/>
            <w:vAlign w:val="center"/>
          </w:tcPr>
          <w:p w14:paraId="548B7CC0" w14:textId="77777777" w:rsidR="008E1AF8" w:rsidRPr="00C91693" w:rsidRDefault="008E1AF8" w:rsidP="008E1AF8">
            <w:pPr>
              <w:autoSpaceDE w:val="0"/>
              <w:autoSpaceDN w:val="0"/>
              <w:adjustRightInd w:val="0"/>
              <w:rPr>
                <w:i/>
                <w:szCs w:val="22"/>
              </w:rPr>
            </w:pPr>
          </w:p>
          <w:p w14:paraId="063DC465" w14:textId="77777777" w:rsidR="008E1AF8" w:rsidRPr="00C91693" w:rsidRDefault="008E1AF8" w:rsidP="008E1AF8">
            <w:pPr>
              <w:autoSpaceDE w:val="0"/>
              <w:autoSpaceDN w:val="0"/>
              <w:adjustRightInd w:val="0"/>
              <w:rPr>
                <w:i/>
                <w:iCs/>
              </w:rPr>
            </w:pPr>
            <w:r>
              <w:rPr>
                <w:i/>
                <w:iCs/>
                <w:lang w:val="es"/>
              </w:rPr>
              <w:t xml:space="preserve">Resultado previsto III.6 </w:t>
            </w:r>
          </w:p>
          <w:p w14:paraId="0AA41DBA" w14:textId="77777777" w:rsidR="008E1AF8" w:rsidRPr="00C91693" w:rsidRDefault="008E1AF8" w:rsidP="008E1AF8">
            <w:pPr>
              <w:autoSpaceDE w:val="0"/>
              <w:autoSpaceDN w:val="0"/>
              <w:adjustRightInd w:val="0"/>
              <w:rPr>
                <w:szCs w:val="22"/>
              </w:rPr>
            </w:pPr>
            <w:r>
              <w:rPr>
                <w:lang w:val="es"/>
              </w:rPr>
              <w:t>Los principios de la Agenda para el Desarrollo siguen incorporándose en los programas y actividades de la Organización.</w:t>
            </w:r>
          </w:p>
          <w:p w14:paraId="5515238A" w14:textId="77777777" w:rsidR="008E1AF8" w:rsidRPr="00C91693" w:rsidDel="00196374" w:rsidRDefault="008E1AF8" w:rsidP="008E1AF8">
            <w:pPr>
              <w:autoSpaceDE w:val="0"/>
              <w:autoSpaceDN w:val="0"/>
              <w:adjustRightInd w:val="0"/>
              <w:rPr>
                <w:i/>
                <w:szCs w:val="22"/>
              </w:rPr>
            </w:pPr>
          </w:p>
        </w:tc>
      </w:tr>
      <w:tr w:rsidR="008E1AF8" w:rsidRPr="00C91693" w14:paraId="549E1ED0" w14:textId="77777777" w:rsidTr="008E1AF8">
        <w:trPr>
          <w:trHeight w:val="347"/>
        </w:trPr>
        <w:tc>
          <w:tcPr>
            <w:tcW w:w="2376" w:type="dxa"/>
            <w:shd w:val="clear" w:color="auto" w:fill="auto"/>
          </w:tcPr>
          <w:p w14:paraId="7591CB5C" w14:textId="77777777" w:rsidR="008E1AF8" w:rsidRPr="00C91693" w:rsidRDefault="008E1AF8" w:rsidP="008E1AF8">
            <w:pPr>
              <w:rPr>
                <w:szCs w:val="22"/>
                <w:u w:val="single"/>
              </w:rPr>
            </w:pPr>
          </w:p>
          <w:p w14:paraId="75337C1C" w14:textId="77777777" w:rsidR="008E1AF8" w:rsidRPr="0016236F" w:rsidRDefault="008E1AF8" w:rsidP="008E1AF8">
            <w:pPr>
              <w:rPr>
                <w:szCs w:val="22"/>
                <w:u w:val="single"/>
              </w:rPr>
            </w:pPr>
            <w:r>
              <w:rPr>
                <w:szCs w:val="22"/>
                <w:u w:val="single"/>
                <w:lang w:val="es"/>
              </w:rPr>
              <w:t>Descripción sucinta de la ejecución del proyecto</w:t>
            </w:r>
          </w:p>
          <w:p w14:paraId="532D2965" w14:textId="77777777" w:rsidR="008E1AF8" w:rsidRPr="0016236F" w:rsidRDefault="008E1AF8" w:rsidP="008E1AF8">
            <w:pPr>
              <w:rPr>
                <w:szCs w:val="22"/>
              </w:rPr>
            </w:pPr>
          </w:p>
        </w:tc>
        <w:tc>
          <w:tcPr>
            <w:tcW w:w="6912" w:type="dxa"/>
          </w:tcPr>
          <w:p w14:paraId="0699DED6" w14:textId="77777777" w:rsidR="008E1AF8" w:rsidRPr="00C91693" w:rsidRDefault="008E1AF8" w:rsidP="008E1AF8">
            <w:pPr>
              <w:autoSpaceDE w:val="0"/>
              <w:autoSpaceDN w:val="0"/>
              <w:adjustRightInd w:val="0"/>
              <w:rPr>
                <w:bCs/>
                <w:iCs/>
                <w:szCs w:val="22"/>
              </w:rPr>
            </w:pPr>
          </w:p>
          <w:p w14:paraId="580674BC" w14:textId="77777777" w:rsidR="008E1AF8" w:rsidRPr="00C91693" w:rsidRDefault="008E1AF8" w:rsidP="008E1AF8">
            <w:pPr>
              <w:autoSpaceDE w:val="0"/>
              <w:autoSpaceDN w:val="0"/>
              <w:adjustRightInd w:val="0"/>
              <w:rPr>
                <w:bCs/>
                <w:iCs/>
                <w:szCs w:val="22"/>
              </w:rPr>
            </w:pPr>
            <w:r>
              <w:rPr>
                <w:szCs w:val="22"/>
                <w:lang w:val="es"/>
              </w:rPr>
              <w:t xml:space="preserve">En consonancia con la estrategia de ejecución del proyecto, y dentro del plazo asignado al proyecto (de abril de 2012 a junio de 2015), los productos que el proyecto deparó fueron los siguientes:   </w:t>
            </w:r>
          </w:p>
          <w:p w14:paraId="0AB92498" w14:textId="77777777" w:rsidR="008E1AF8" w:rsidRPr="00C91693" w:rsidRDefault="008E1AF8" w:rsidP="008E1AF8">
            <w:pPr>
              <w:autoSpaceDE w:val="0"/>
              <w:autoSpaceDN w:val="0"/>
              <w:adjustRightInd w:val="0"/>
              <w:rPr>
                <w:bCs/>
                <w:iCs/>
                <w:szCs w:val="22"/>
              </w:rPr>
            </w:pPr>
          </w:p>
          <w:p w14:paraId="7BBD9BF4" w14:textId="77777777" w:rsidR="008E1AF8" w:rsidRPr="00C91693" w:rsidRDefault="008E1AF8" w:rsidP="008E1AF8">
            <w:pPr>
              <w:autoSpaceDE w:val="0"/>
              <w:autoSpaceDN w:val="0"/>
              <w:adjustRightInd w:val="0"/>
              <w:rPr>
                <w:bCs/>
                <w:iCs/>
                <w:szCs w:val="22"/>
              </w:rPr>
            </w:pPr>
            <w:r>
              <w:rPr>
                <w:szCs w:val="22"/>
                <w:lang w:val="es"/>
              </w:rPr>
              <w:t>a) la organización de dos reuniones interregionales de tres días para fomentar el intercambio de experiencias entre los países en desarrollo y los PMA sobre  gobernanza en materia de P.I., recursos genéticos, conocimientos tradicionales y folclore, y derecho de autor y derechos conexos (primera Reunión Interregional de la OMPI sobre la cooperación Sur–Sur organizada en colaboración con el Gobierno del Brasil en Brasilia (Brasil) del 8 al 10 de agosto de 2012), y sobre patentes, marcas, indicaciones geográficas, diseños industriales y observancia (segunda Reunión Interregional sobre la cooperación Sur-Sur organizada en colaboración con el Gobierno de la República Árabe de Egipto en El Cairo, del 6 al 8 de mayo de 2013).</w:t>
            </w:r>
          </w:p>
          <w:p w14:paraId="3414DD72" w14:textId="77777777" w:rsidR="008E1AF8" w:rsidRPr="00C91693" w:rsidRDefault="008E1AF8" w:rsidP="008E1AF8">
            <w:pPr>
              <w:autoSpaceDE w:val="0"/>
              <w:autoSpaceDN w:val="0"/>
              <w:adjustRightInd w:val="0"/>
              <w:rPr>
                <w:bCs/>
                <w:iCs/>
                <w:szCs w:val="22"/>
              </w:rPr>
            </w:pPr>
          </w:p>
          <w:p w14:paraId="1F80375B" w14:textId="77777777" w:rsidR="008E1AF8" w:rsidRPr="00C91693" w:rsidRDefault="008E1AF8" w:rsidP="008E1AF8">
            <w:pPr>
              <w:autoSpaceDE w:val="0"/>
              <w:autoSpaceDN w:val="0"/>
              <w:adjustRightInd w:val="0"/>
              <w:rPr>
                <w:bCs/>
                <w:iCs/>
                <w:szCs w:val="22"/>
              </w:rPr>
            </w:pPr>
            <w:r>
              <w:rPr>
                <w:szCs w:val="22"/>
                <w:lang w:val="es"/>
              </w:rPr>
              <w:t>b) la organización de dos conferencias anuales de un día de duración sobre la cooperación Sur-Sur para examinar el trabajo desarrollado durante las dos reuniones interregionales y para analizar el futuro de la cooperación Sur-Sur en el ámbito de la P.I. y el desarrollo (la primera Conferencia Anual sobre Cooperación Sur-Sur se celebró en Ginebra el 28 de septiembre de 2012, y la segunda Conferencia Anual, el 22 de noviembre de 2013).</w:t>
            </w:r>
          </w:p>
          <w:p w14:paraId="14D868D7" w14:textId="77777777" w:rsidR="008E1AF8" w:rsidRPr="00C91693" w:rsidRDefault="008E1AF8" w:rsidP="008E1AF8">
            <w:pPr>
              <w:autoSpaceDE w:val="0"/>
              <w:autoSpaceDN w:val="0"/>
              <w:adjustRightInd w:val="0"/>
              <w:rPr>
                <w:bCs/>
                <w:iCs/>
                <w:szCs w:val="22"/>
              </w:rPr>
            </w:pPr>
          </w:p>
          <w:p w14:paraId="0594BEAA" w14:textId="69209CCE" w:rsidR="008E1AF8" w:rsidRPr="00C91693" w:rsidRDefault="008E1AF8" w:rsidP="008E1AF8">
            <w:pPr>
              <w:autoSpaceDE w:val="0"/>
              <w:autoSpaceDN w:val="0"/>
              <w:adjustRightInd w:val="0"/>
              <w:rPr>
                <w:bCs/>
                <w:iCs/>
                <w:szCs w:val="22"/>
              </w:rPr>
            </w:pPr>
            <w:r>
              <w:rPr>
                <w:szCs w:val="22"/>
                <w:lang w:val="es"/>
              </w:rPr>
              <w:t xml:space="preserve">c) el establecimiento y perfeccionamiento de una página web específica en el sitio web de la OMPI como mecanismo de ventanilla única para presentar información sobre las actividades de cooperación Sur-Sur en el ámbito de la P.I.  En esta página web se presenta información sobre la historia y la evolución de la cooperación Sur-Sur en el sistema de las Naciones Unidas, información sobre el proyecto de la Agenda para el Desarrollo sobre la Cooperación Sur-Sur y sobre las reuniones interregionales y las conferencias organizadas en el marco del proyecto —incluidas todas las presentaciones e informes detallados de las reuniones—, varios recursos específicos sobre la cooperación Sur-Sur (para obtener más información sobre estas herramientas, véase el punto d) </w:t>
            </w:r>
            <w:r>
              <w:rPr>
                <w:i/>
                <w:iCs/>
                <w:szCs w:val="22"/>
                <w:lang w:val="es"/>
              </w:rPr>
              <w:t>infra</w:t>
            </w:r>
            <w:r>
              <w:rPr>
                <w:szCs w:val="22"/>
                <w:lang w:val="es"/>
              </w:rPr>
              <w:t xml:space="preserve">) y una sección en la que se destacan las asociaciones de cooperación Sur-Sur y triangular y las iniciativas entre las regiones con resultados satisfactorios, incluido un formulario en línea para facilitar la presentación de nuevas iniciativas por parte de los Estados miembros con el objetivo fundamental de promover el acceso a la información y los conocimientos y fomentar el establecimiento de más asociaciones entre los países en desarrollo y los PMA en el ámbito de la P.I. (las opiniones de los usuarios recibidas a través de una encuesta en Internet sugieren que esta información es especialmente valiosa).  De conformidad con la recomendación 2 del informe de evaluación del proyecto </w:t>
            </w:r>
            <w:r>
              <w:rPr>
                <w:szCs w:val="22"/>
                <w:lang w:val="es"/>
              </w:rPr>
              <w:lastRenderedPageBreak/>
              <w:t xml:space="preserve">(documento CDIP/13/4), se llevaron a cabo varias actividades para promover la página web entre usuarios potenciales y para recabar más información con respecto a las bases de datos sobre la cooperación Sur-Sur, en particular sobre la organización de un acto paralelo al CDIP para presentar la nueva página web a los Estados miembros;  la promoción de una nueva plataforma por conducto de las herramientas de redes sociales y los canales oficiales pertinentes (cartas circulares a las Misiones Permanentes, oficinas de P.I. y derecho de autor, organizaciones intergubernamentales (OIG) y organizaciones no gubernamentales (ONG));  la organización de una reunión interregional de expertos para recabar y validar datos sobre iniciativas de cooperación Sur-Sur y triangular con resultados satisfactorios en el ámbito de la P.I., y la recopilación de las actividades de cooperación Sur-Sur existentes en el ámbito de la OMPI para su inclusión en la página web sobre cooperación Sur-Sur. Las opiniones de los usuarios obtenidas por conducto de una encuesta en Internet sugieren que la página web sobre cooperación Sur-Sur satisface las necesidades de dichos usuarios. </w:t>
            </w:r>
          </w:p>
          <w:p w14:paraId="366337BB" w14:textId="77777777" w:rsidR="008E1AF8" w:rsidRPr="00C91693" w:rsidRDefault="008E1AF8" w:rsidP="008E1AF8">
            <w:pPr>
              <w:autoSpaceDE w:val="0"/>
              <w:autoSpaceDN w:val="0"/>
              <w:adjustRightInd w:val="0"/>
              <w:rPr>
                <w:bCs/>
                <w:iCs/>
                <w:szCs w:val="22"/>
              </w:rPr>
            </w:pPr>
            <w:r>
              <w:rPr>
                <w:szCs w:val="22"/>
                <w:lang w:val="es"/>
              </w:rPr>
              <w:t xml:space="preserve">Se puede acceder a la página web final y las herramientas en: </w:t>
            </w:r>
            <w:r>
              <w:rPr>
                <w:szCs w:val="22"/>
                <w:u w:val="single"/>
                <w:lang w:val="es"/>
              </w:rPr>
              <w:t>http://www.wipo.int/cooperation/es/south_south/</w:t>
            </w:r>
            <w:r>
              <w:rPr>
                <w:szCs w:val="22"/>
                <w:lang w:val="es"/>
              </w:rPr>
              <w:t xml:space="preserve">; </w:t>
            </w:r>
          </w:p>
          <w:p w14:paraId="175DCEB6" w14:textId="77777777" w:rsidR="008E1AF8" w:rsidRPr="00C91693" w:rsidRDefault="008E1AF8" w:rsidP="008E1AF8">
            <w:pPr>
              <w:autoSpaceDE w:val="0"/>
              <w:autoSpaceDN w:val="0"/>
              <w:adjustRightInd w:val="0"/>
              <w:rPr>
                <w:bCs/>
                <w:iCs/>
                <w:szCs w:val="22"/>
              </w:rPr>
            </w:pPr>
          </w:p>
          <w:p w14:paraId="04CFE46D" w14:textId="77777777" w:rsidR="008E1AF8" w:rsidRPr="00C91693" w:rsidRDefault="008E1AF8" w:rsidP="008E1AF8">
            <w:pPr>
              <w:autoSpaceDE w:val="0"/>
              <w:autoSpaceDN w:val="0"/>
              <w:adjustRightInd w:val="0"/>
              <w:rPr>
                <w:bCs/>
                <w:iCs/>
                <w:szCs w:val="22"/>
              </w:rPr>
            </w:pPr>
            <w:r>
              <w:rPr>
                <w:szCs w:val="22"/>
                <w:lang w:val="es"/>
              </w:rPr>
              <w:t>d) la introducción de nuevas funciones en la Base de datos de asistencia técnica en materia de P.I. (IP-TAD), la Base de datos de vinculación para atender las necesidades de desarrollo en materia de P.I. (IP-DMD) y la lista de consultores (ROC) de la OMPI para:</w:t>
            </w:r>
          </w:p>
          <w:p w14:paraId="367AE7F0" w14:textId="77777777" w:rsidR="008E1AF8" w:rsidRPr="00C91693" w:rsidRDefault="008E1AF8" w:rsidP="008E1AF8">
            <w:pPr>
              <w:autoSpaceDE w:val="0"/>
              <w:autoSpaceDN w:val="0"/>
              <w:adjustRightInd w:val="0"/>
              <w:rPr>
                <w:bCs/>
                <w:iCs/>
                <w:szCs w:val="22"/>
              </w:rPr>
            </w:pPr>
          </w:p>
          <w:p w14:paraId="2420C0D3" w14:textId="77777777" w:rsidR="008E1AF8" w:rsidRPr="00412CAB" w:rsidRDefault="008E1AF8" w:rsidP="008E1AF8">
            <w:pPr>
              <w:pStyle w:val="ListParagraph"/>
              <w:numPr>
                <w:ilvl w:val="0"/>
                <w:numId w:val="28"/>
              </w:numPr>
              <w:autoSpaceDE w:val="0"/>
              <w:autoSpaceDN w:val="0"/>
              <w:adjustRightInd w:val="0"/>
              <w:rPr>
                <w:bCs/>
                <w:iCs/>
                <w:szCs w:val="22"/>
                <w:lang w:val="es-ES"/>
              </w:rPr>
            </w:pPr>
            <w:r>
              <w:rPr>
                <w:szCs w:val="22"/>
                <w:lang w:val="es"/>
              </w:rPr>
              <w:t xml:space="preserve">poner de manifiesto las actividades de asistencia técnica realizadas con el apoyo de la OMPI en las que tanto los países destinatarios como el país anfitrión/proveedor eran un país en desarrollo o un PMA [IP-TAD sobre cooperación Sur-Sur: </w:t>
            </w:r>
            <w:hyperlink r:id="rId68" w:history="1">
              <w:r>
                <w:rPr>
                  <w:rStyle w:val="Hyperlink"/>
                  <w:szCs w:val="22"/>
                  <w:lang w:val="es"/>
                </w:rPr>
                <w:t>http://www.wipo.int/sscip/tad</w:t>
              </w:r>
            </w:hyperlink>
            <w:r>
              <w:rPr>
                <w:szCs w:val="22"/>
                <w:lang w:val="es"/>
              </w:rPr>
              <w:t>];</w:t>
            </w:r>
          </w:p>
          <w:p w14:paraId="179221F1" w14:textId="1F97D8D7" w:rsidR="008E1AF8" w:rsidRPr="00412CAB" w:rsidRDefault="008E1AF8" w:rsidP="008E1AF8">
            <w:pPr>
              <w:pStyle w:val="ListParagraph"/>
              <w:numPr>
                <w:ilvl w:val="0"/>
                <w:numId w:val="28"/>
              </w:numPr>
              <w:autoSpaceDE w:val="0"/>
              <w:autoSpaceDN w:val="0"/>
              <w:adjustRightInd w:val="0"/>
              <w:rPr>
                <w:bCs/>
                <w:iCs/>
                <w:szCs w:val="22"/>
                <w:lang w:val="es-ES"/>
              </w:rPr>
            </w:pPr>
            <w:r>
              <w:rPr>
                <w:szCs w:val="22"/>
                <w:lang w:val="es"/>
              </w:rPr>
              <w:t xml:space="preserve">destacar las ofertas y necesidades de los países en desarrollo y los PMA y posibilitar una mayor vinculación entre ellas [buscar las ofertas y necesidades existentes en la base de datos IP-DMD por grupo de países: </w:t>
            </w:r>
            <w:r>
              <w:rPr>
                <w:szCs w:val="22"/>
                <w:u w:val="single"/>
                <w:lang w:val="es"/>
              </w:rPr>
              <w:t>http://www.wipo.int/dmd/en/search.jsp</w:t>
            </w:r>
            <w:r>
              <w:rPr>
                <w:szCs w:val="22"/>
                <w:lang w:val="es"/>
              </w:rPr>
              <w:t>];  y</w:t>
            </w:r>
          </w:p>
          <w:p w14:paraId="5C2CD25F" w14:textId="77777777" w:rsidR="008E1AF8" w:rsidRPr="00412CAB" w:rsidRDefault="008E1AF8" w:rsidP="008E1AF8">
            <w:pPr>
              <w:pStyle w:val="ListParagraph"/>
              <w:numPr>
                <w:ilvl w:val="0"/>
                <w:numId w:val="28"/>
              </w:numPr>
              <w:autoSpaceDE w:val="0"/>
              <w:autoSpaceDN w:val="0"/>
              <w:adjustRightInd w:val="0"/>
              <w:rPr>
                <w:bCs/>
                <w:iCs/>
                <w:szCs w:val="22"/>
                <w:lang w:val="es-ES"/>
              </w:rPr>
            </w:pPr>
            <w:r>
              <w:rPr>
                <w:szCs w:val="22"/>
                <w:lang w:val="es"/>
              </w:rPr>
              <w:t>traer a primer plano a los especialistas existentes en los países en desarrollo y los PMA para promover un aumento del aprovechamiento de los servicios de estos especialistas para fines de asistencia técnica y actividades de fortalecimiento de capacidades de la Organización [</w:t>
            </w:r>
            <w:r>
              <w:rPr>
                <w:szCs w:val="22"/>
                <w:u w:val="single"/>
                <w:lang w:val="es"/>
              </w:rPr>
              <w:t>http://www.wipo.int/sscip/roc];</w:t>
            </w:r>
          </w:p>
          <w:p w14:paraId="3E8F6CB7" w14:textId="77777777" w:rsidR="008E1AF8" w:rsidRPr="00C91693" w:rsidRDefault="008E1AF8" w:rsidP="008E1AF8">
            <w:pPr>
              <w:autoSpaceDE w:val="0"/>
              <w:autoSpaceDN w:val="0"/>
              <w:adjustRightInd w:val="0"/>
              <w:rPr>
                <w:bCs/>
                <w:iCs/>
                <w:szCs w:val="22"/>
                <w:u w:val="single"/>
              </w:rPr>
            </w:pPr>
          </w:p>
          <w:p w14:paraId="1F4A7908" w14:textId="77777777" w:rsidR="008E1AF8" w:rsidRPr="00C91693" w:rsidRDefault="008E1AF8" w:rsidP="008E1AF8">
            <w:pPr>
              <w:autoSpaceDE w:val="0"/>
              <w:autoSpaceDN w:val="0"/>
              <w:adjustRightInd w:val="0"/>
              <w:rPr>
                <w:bCs/>
                <w:iCs/>
                <w:szCs w:val="22"/>
              </w:rPr>
            </w:pPr>
            <w:r>
              <w:rPr>
                <w:szCs w:val="22"/>
                <w:lang w:val="es"/>
              </w:rPr>
              <w:t xml:space="preserve">e) seguimiento de las actividades de todo el sistema de las Naciones Unidas relativas a la cooperación Sur-Sur por conducto del coordinador de la cooperación Sur-Sur y participación en las actividades de cooperación Sur-Sur junto con la Oficina de las Naciones Unidas para la Cooperación Sur-Sur (UNOSSC), en coordinación con los sectores y divisiones pertinentes sobre cuestiones específicas de P.I. (p. ej., la organización de una sesión de ampliación con la plataforma WIPO GREEN para dar a conocer las soluciones y asociaciones del Sur en el ámbito de las tecnologías verdes durante la presentación de la Exposición Mundial sobre el Desarrollo Sur-Sur de 2014 de la UNOSSC;  la inclusión de información sobre las actividades de cooperación Sur-Sur de la OMPI sobre la plataforma "UN Entities Space" de la UNOSSC diseñada para que cada organismo de las Naciones </w:t>
            </w:r>
            <w:r>
              <w:rPr>
                <w:szCs w:val="22"/>
                <w:lang w:val="es"/>
              </w:rPr>
              <w:lastRenderedPageBreak/>
              <w:t>Unidas dé a conocer a los asociados y al público general información sobre las políticas, los instrumentos, las oportunidades de asociación, las noticias y los actos relacionados con la cooperación Sur-Sur y triangular).</w:t>
            </w:r>
          </w:p>
          <w:p w14:paraId="0711E580" w14:textId="77777777" w:rsidR="008E1AF8" w:rsidRPr="00C91693" w:rsidRDefault="008E1AF8" w:rsidP="008E1AF8">
            <w:pPr>
              <w:autoSpaceDE w:val="0"/>
              <w:autoSpaceDN w:val="0"/>
              <w:adjustRightInd w:val="0"/>
              <w:rPr>
                <w:bCs/>
                <w:iCs/>
                <w:szCs w:val="22"/>
              </w:rPr>
            </w:pPr>
          </w:p>
        </w:tc>
      </w:tr>
      <w:tr w:rsidR="008E1AF8" w:rsidRPr="00C91693" w14:paraId="613E6A85" w14:textId="77777777" w:rsidTr="008E1AF8">
        <w:trPr>
          <w:trHeight w:val="618"/>
        </w:trPr>
        <w:tc>
          <w:tcPr>
            <w:tcW w:w="2376" w:type="dxa"/>
            <w:shd w:val="clear" w:color="auto" w:fill="auto"/>
          </w:tcPr>
          <w:p w14:paraId="5110FE0F" w14:textId="77777777" w:rsidR="008E1AF8" w:rsidRPr="00C91693" w:rsidRDefault="008E1AF8" w:rsidP="008E1AF8">
            <w:pPr>
              <w:rPr>
                <w:szCs w:val="22"/>
                <w:u w:val="single"/>
              </w:rPr>
            </w:pPr>
            <w:r>
              <w:rPr>
                <w:szCs w:val="22"/>
                <w:u w:val="single"/>
                <w:lang w:val="es"/>
              </w:rPr>
              <w:lastRenderedPageBreak/>
              <w:t>Resultados/incidencia del proyecto y principales enseñanzas extraídas</w:t>
            </w:r>
          </w:p>
        </w:tc>
        <w:tc>
          <w:tcPr>
            <w:tcW w:w="6912" w:type="dxa"/>
            <w:vAlign w:val="center"/>
          </w:tcPr>
          <w:p w14:paraId="13EF5FE4" w14:textId="77777777" w:rsidR="008E1AF8" w:rsidRPr="00C91693" w:rsidRDefault="008E1AF8" w:rsidP="008E1AF8">
            <w:pPr>
              <w:rPr>
                <w:szCs w:val="22"/>
              </w:rPr>
            </w:pPr>
            <w:r>
              <w:rPr>
                <w:szCs w:val="22"/>
                <w:lang w:val="es"/>
              </w:rPr>
              <w:t>En lo tocante al informe de evaluación del proyecto presentado a los Estados miembros en la decimotercera sesión del CDIP, que brindaba un análisis independiente de los resultados y el impacto del proyecto (documento CDIP/13/4), los datos sugieren que el proyecto tuvo un alto grado de pertinencia para los Estados miembros y los beneficiarios directos y que sirvió de catalizador al ayudar a la Secretaría y los Estados miembros a reconocer el valor añadido de la cooperación Sur-Sur en la esfera de la P.I.  Las encuestas efectuadas por el proyecto y validadas por los evaluadores mediante entrevistas en profundidad con varios participantes seleccionados confirmaron el alto grado de pertinencia de las reuniones interregionales y las conferencias anuales sobre la cooperación Sur-Sur y el notable valor añadido potencial de las herramientas basadas en Internet para el intercambio de información y el acceso a los conocimientos.</w:t>
            </w:r>
          </w:p>
        </w:tc>
      </w:tr>
      <w:tr w:rsidR="008E1AF8" w:rsidRPr="00C91693" w14:paraId="21697960" w14:textId="77777777" w:rsidTr="008E1AF8">
        <w:trPr>
          <w:trHeight w:val="1408"/>
        </w:trPr>
        <w:tc>
          <w:tcPr>
            <w:tcW w:w="2376" w:type="dxa"/>
            <w:shd w:val="clear" w:color="auto" w:fill="auto"/>
          </w:tcPr>
          <w:p w14:paraId="32894F1A" w14:textId="77777777" w:rsidR="008E1AF8" w:rsidRPr="00C91693" w:rsidRDefault="008E1AF8" w:rsidP="008E1AF8">
            <w:pPr>
              <w:rPr>
                <w:szCs w:val="22"/>
                <w:u w:val="single"/>
              </w:rPr>
            </w:pPr>
          </w:p>
          <w:p w14:paraId="58AC69AB" w14:textId="77777777" w:rsidR="008E1AF8" w:rsidRPr="0016236F" w:rsidRDefault="008E1AF8" w:rsidP="008E1AF8">
            <w:pPr>
              <w:rPr>
                <w:szCs w:val="22"/>
                <w:u w:val="single"/>
              </w:rPr>
            </w:pPr>
            <w:r>
              <w:rPr>
                <w:szCs w:val="22"/>
                <w:u w:val="single"/>
                <w:lang w:val="es"/>
              </w:rPr>
              <w:t>Riesgos y medidas paliativas</w:t>
            </w:r>
          </w:p>
        </w:tc>
        <w:tc>
          <w:tcPr>
            <w:tcW w:w="6912" w:type="dxa"/>
          </w:tcPr>
          <w:p w14:paraId="695E9B10" w14:textId="77777777" w:rsidR="008E1AF8" w:rsidRPr="00412CAB" w:rsidRDefault="008E1AF8" w:rsidP="008E1AF8">
            <w:pPr>
              <w:pStyle w:val="Default"/>
              <w:rPr>
                <w:sz w:val="22"/>
                <w:szCs w:val="22"/>
                <w:lang w:val="es-ES"/>
              </w:rPr>
            </w:pPr>
          </w:p>
          <w:p w14:paraId="6D6F9BC3" w14:textId="458450AE" w:rsidR="008E1AF8" w:rsidRPr="00C91693" w:rsidRDefault="008E1AF8" w:rsidP="008E1AF8">
            <w:r>
              <w:rPr>
                <w:lang w:val="es"/>
              </w:rPr>
              <w:t>a)</w:t>
            </w:r>
            <w:r>
              <w:rPr>
                <w:lang w:val="es"/>
              </w:rPr>
              <w:tab/>
              <w:t xml:space="preserve">Contribución limitada de los participantes a las conferencias anuales debido al perfil de los participantes, debido a que las conferencias se programaron </w:t>
            </w:r>
            <w:r w:rsidR="008267FC">
              <w:rPr>
                <w:lang w:val="es"/>
              </w:rPr>
              <w:t>inmediatamente antes de</w:t>
            </w:r>
            <w:r>
              <w:rPr>
                <w:lang w:val="es"/>
              </w:rPr>
              <w:t xml:space="preserve"> la Asamblea General de la OMPI, en consonancia con la estrategia de ejecución del proyecto:  a fin de llegar a la audiencia apropiada, la Secretaría programó la segunda Conferencia anual</w:t>
            </w:r>
            <w:r w:rsidR="008267FC">
              <w:rPr>
                <w:lang w:val="es"/>
              </w:rPr>
              <w:t xml:space="preserve"> inmediatamente después de</w:t>
            </w:r>
            <w:r>
              <w:rPr>
                <w:lang w:val="es"/>
              </w:rPr>
              <w:t xml:space="preserve"> la reunión del CDIP, como se acordó con los coordinadores de los grupos, lo cual demostró ser una medida eficaz para aumentar el nivel de participación en la conferencia. </w:t>
            </w:r>
          </w:p>
          <w:p w14:paraId="6DB777B5" w14:textId="77777777" w:rsidR="008E1AF8" w:rsidRPr="00C91693" w:rsidRDefault="008E1AF8" w:rsidP="008E1AF8"/>
          <w:p w14:paraId="32783BF0" w14:textId="77777777" w:rsidR="008E1AF8" w:rsidRPr="00C91693" w:rsidRDefault="008E1AF8" w:rsidP="008E1AF8">
            <w:r>
              <w:rPr>
                <w:lang w:val="es"/>
              </w:rPr>
              <w:t>b)</w:t>
            </w:r>
            <w:r>
              <w:rPr>
                <w:lang w:val="es"/>
              </w:rPr>
              <w:tab/>
              <w:t xml:space="preserve">Escasa utilización de la página web y los recursos sobre cooperación Sur-Sur, y bajo índice de respuestas a las encuestas desarrolladas a los fines de recabar opiniones de los usuarios y recopilar más información y datos para la página web y las bases de datos:  este riesgo se abordó mediante el aumento activo de las actividades de divulgación y sensibilización acerca de la nueva plataforma web entre los usuarios potenciales por conducto de los canales oficiales (circulares) y las herramientas de redes sociales pertinentes.  No obstante, la tasa de respuestas continuó siendo baja, lo que limitó la cantidad de datos que se pudieron recopilar. </w:t>
            </w:r>
          </w:p>
          <w:p w14:paraId="49A0304B" w14:textId="77777777" w:rsidR="008E1AF8" w:rsidRPr="00412CAB" w:rsidRDefault="008E1AF8" w:rsidP="008E1AF8">
            <w:pPr>
              <w:pStyle w:val="Default"/>
              <w:rPr>
                <w:iCs/>
                <w:sz w:val="22"/>
                <w:szCs w:val="22"/>
                <w:lang w:val="es-ES"/>
              </w:rPr>
            </w:pPr>
          </w:p>
        </w:tc>
      </w:tr>
      <w:tr w:rsidR="008E1AF8" w:rsidRPr="00C91693" w14:paraId="677BBD20" w14:textId="77777777" w:rsidTr="008E1AF8">
        <w:trPr>
          <w:trHeight w:val="848"/>
        </w:trPr>
        <w:tc>
          <w:tcPr>
            <w:tcW w:w="2376" w:type="dxa"/>
            <w:shd w:val="clear" w:color="auto" w:fill="auto"/>
            <w:vAlign w:val="center"/>
          </w:tcPr>
          <w:p w14:paraId="66622054" w14:textId="77777777" w:rsidR="008E1AF8" w:rsidRPr="00C91693" w:rsidRDefault="008E1AF8" w:rsidP="008E1AF8">
            <w:pPr>
              <w:rPr>
                <w:szCs w:val="22"/>
                <w:u w:val="single"/>
              </w:rPr>
            </w:pPr>
          </w:p>
          <w:p w14:paraId="5D7F2928" w14:textId="77777777" w:rsidR="008E1AF8" w:rsidRPr="0016236F" w:rsidRDefault="008E1AF8" w:rsidP="008E1AF8">
            <w:pPr>
              <w:rPr>
                <w:szCs w:val="22"/>
                <w:u w:val="single"/>
              </w:rPr>
            </w:pPr>
            <w:r>
              <w:rPr>
                <w:szCs w:val="22"/>
                <w:u w:val="single"/>
                <w:lang w:val="es"/>
              </w:rPr>
              <w:t>Porcentaje de ejecución del proyecto</w:t>
            </w:r>
          </w:p>
          <w:p w14:paraId="725AB9EC" w14:textId="77777777" w:rsidR="008E1AF8" w:rsidRPr="0016236F" w:rsidRDefault="008E1AF8" w:rsidP="008E1AF8">
            <w:pPr>
              <w:rPr>
                <w:szCs w:val="22"/>
                <w:u w:val="single"/>
              </w:rPr>
            </w:pPr>
            <w:r>
              <w:rPr>
                <w:szCs w:val="22"/>
                <w:u w:val="single"/>
                <w:lang w:val="es"/>
              </w:rPr>
              <w:t xml:space="preserve"> </w:t>
            </w:r>
          </w:p>
        </w:tc>
        <w:tc>
          <w:tcPr>
            <w:tcW w:w="6912" w:type="dxa"/>
            <w:vAlign w:val="center"/>
          </w:tcPr>
          <w:p w14:paraId="1D9B7D23" w14:textId="77777777" w:rsidR="008E1AF8" w:rsidRPr="00C91693" w:rsidRDefault="008E1AF8" w:rsidP="008E1AF8">
            <w:pPr>
              <w:rPr>
                <w:iCs/>
              </w:rPr>
            </w:pPr>
            <w:r>
              <w:rPr>
                <w:lang w:val="es"/>
              </w:rPr>
              <w:t>Porcentaje de utilización del presupuesto a finales de julio de 2015:  95%.</w:t>
            </w:r>
          </w:p>
          <w:p w14:paraId="711C587E" w14:textId="77777777" w:rsidR="008E1AF8" w:rsidRPr="00C91693" w:rsidRDefault="008E1AF8" w:rsidP="008E1AF8">
            <w:pPr>
              <w:rPr>
                <w:i/>
                <w:szCs w:val="22"/>
              </w:rPr>
            </w:pPr>
          </w:p>
        </w:tc>
      </w:tr>
      <w:tr w:rsidR="008E1AF8" w:rsidRPr="00C91693" w14:paraId="6D0E327C" w14:textId="77777777" w:rsidTr="008E1AF8">
        <w:trPr>
          <w:trHeight w:val="848"/>
        </w:trPr>
        <w:tc>
          <w:tcPr>
            <w:tcW w:w="2376" w:type="dxa"/>
            <w:shd w:val="clear" w:color="auto" w:fill="auto"/>
          </w:tcPr>
          <w:p w14:paraId="11136F49" w14:textId="77777777" w:rsidR="008E1AF8" w:rsidRPr="00C91693" w:rsidRDefault="008E1AF8" w:rsidP="008E1AF8">
            <w:pPr>
              <w:rPr>
                <w:szCs w:val="22"/>
                <w:u w:val="single"/>
              </w:rPr>
            </w:pPr>
          </w:p>
          <w:p w14:paraId="31A10442" w14:textId="77777777" w:rsidR="008E1AF8" w:rsidRPr="0016236F" w:rsidRDefault="008E1AF8" w:rsidP="008E1AF8">
            <w:pPr>
              <w:rPr>
                <w:szCs w:val="22"/>
                <w:u w:val="single"/>
              </w:rPr>
            </w:pPr>
            <w:r>
              <w:rPr>
                <w:szCs w:val="22"/>
                <w:u w:val="single"/>
                <w:lang w:val="es"/>
              </w:rPr>
              <w:t>Informes previos</w:t>
            </w:r>
          </w:p>
        </w:tc>
        <w:tc>
          <w:tcPr>
            <w:tcW w:w="6912" w:type="dxa"/>
            <w:vAlign w:val="center"/>
          </w:tcPr>
          <w:p w14:paraId="092D2F6C" w14:textId="77777777" w:rsidR="008E1AF8" w:rsidRPr="00C91693" w:rsidRDefault="008E1AF8" w:rsidP="008E1AF8"/>
          <w:p w14:paraId="2580F4BD" w14:textId="77777777" w:rsidR="008E1AF8" w:rsidRPr="00412CAB" w:rsidRDefault="008E1AF8" w:rsidP="008E1AF8">
            <w:pPr>
              <w:pStyle w:val="Default"/>
              <w:rPr>
                <w:sz w:val="22"/>
                <w:szCs w:val="22"/>
                <w:lang w:val="es-ES"/>
              </w:rPr>
            </w:pPr>
            <w:r>
              <w:rPr>
                <w:sz w:val="22"/>
                <w:szCs w:val="22"/>
                <w:lang w:val="es"/>
              </w:rPr>
              <w:t>El primer informe sobre la marcha del proyecto, contenido en el Anexo XI del documento CDIP/10/2, se presentó en la décima sesión del CDIP, celebrada en noviembre de 2012.  El segundo informe sobre la marcha del proyecto, contenido en el Anexo IX del documento CDIP/12/2, se presentó en la duodécima sesión del CDIP, celebrada en noviembre de 2013.  El tercer informe sobre la marcha del proyecto, contenido en el Anexo V del documento CDIP/14/2, se presentó en la decimocuarta sesión del CDIP, celebrada en noviembre de 2014.</w:t>
            </w:r>
          </w:p>
          <w:p w14:paraId="5F39BA78" w14:textId="77777777" w:rsidR="008E1AF8" w:rsidRPr="00412CAB" w:rsidRDefault="008E1AF8" w:rsidP="008E1AF8">
            <w:pPr>
              <w:pStyle w:val="Default"/>
              <w:rPr>
                <w:sz w:val="22"/>
                <w:szCs w:val="22"/>
                <w:lang w:val="es-ES"/>
              </w:rPr>
            </w:pPr>
          </w:p>
          <w:p w14:paraId="44B37632" w14:textId="5CACA301" w:rsidR="008E1AF8" w:rsidRPr="00412CAB" w:rsidRDefault="008E1AF8" w:rsidP="008E1AF8">
            <w:pPr>
              <w:pStyle w:val="Default"/>
              <w:rPr>
                <w:sz w:val="22"/>
                <w:szCs w:val="22"/>
                <w:lang w:val="es-ES"/>
              </w:rPr>
            </w:pPr>
            <w:r>
              <w:rPr>
                <w:sz w:val="22"/>
                <w:szCs w:val="22"/>
                <w:lang w:val="es"/>
              </w:rPr>
              <w:t xml:space="preserve">El informe de evaluación de este proyecto, que figura en el documento CDIP/13/4, se presentó al CDIP en su </w:t>
            </w:r>
            <w:r w:rsidR="00525DD7">
              <w:rPr>
                <w:sz w:val="22"/>
                <w:szCs w:val="22"/>
                <w:lang w:val="es"/>
              </w:rPr>
              <w:t>decimotercera</w:t>
            </w:r>
            <w:r>
              <w:rPr>
                <w:sz w:val="22"/>
                <w:szCs w:val="22"/>
                <w:lang w:val="es"/>
              </w:rPr>
              <w:t xml:space="preserve"> sesión, celebrada en mayo de 2014.</w:t>
            </w:r>
          </w:p>
          <w:p w14:paraId="33CA2585" w14:textId="77777777" w:rsidR="008E1AF8" w:rsidRPr="00C91693" w:rsidRDefault="008E1AF8" w:rsidP="008E1AF8">
            <w:pPr>
              <w:rPr>
                <w:b/>
                <w:szCs w:val="22"/>
              </w:rPr>
            </w:pPr>
          </w:p>
        </w:tc>
      </w:tr>
    </w:tbl>
    <w:p w14:paraId="54B3B0B6" w14:textId="77777777" w:rsidR="008E1AF8" w:rsidRPr="00C91693" w:rsidRDefault="008E1AF8" w:rsidP="008E1AF8">
      <w:pPr>
        <w:tabs>
          <w:tab w:val="left" w:pos="9060"/>
        </w:tabs>
        <w:rPr>
          <w:szCs w:val="22"/>
        </w:rPr>
      </w:pPr>
      <w:r>
        <w:rPr>
          <w:szCs w:val="22"/>
          <w:lang w:val="es"/>
        </w:rPr>
        <w:lastRenderedPageBreak/>
        <w:br w:type="page"/>
      </w:r>
    </w:p>
    <w:tbl>
      <w:tblPr>
        <w:tblW w:w="0" w:type="auto"/>
        <w:tblLook w:val="01E0" w:firstRow="1" w:lastRow="1" w:firstColumn="1" w:lastColumn="1" w:noHBand="0" w:noVBand="0"/>
      </w:tblPr>
      <w:tblGrid>
        <w:gridCol w:w="9287"/>
      </w:tblGrid>
      <w:tr w:rsidR="008E1AF8" w:rsidRPr="0016236F" w14:paraId="6A8E9734" w14:textId="77777777" w:rsidTr="008E1AF8">
        <w:trPr>
          <w:trHeight w:val="494"/>
        </w:trPr>
        <w:tc>
          <w:tcPr>
            <w:tcW w:w="9287" w:type="dxa"/>
            <w:vAlign w:val="center"/>
          </w:tcPr>
          <w:p w14:paraId="0C8F2517" w14:textId="77777777" w:rsidR="008E1AF8" w:rsidRPr="0016236F" w:rsidRDefault="008E1AF8" w:rsidP="008E1AF8">
            <w:pPr>
              <w:rPr>
                <w:szCs w:val="22"/>
              </w:rPr>
            </w:pPr>
            <w:r>
              <w:rPr>
                <w:szCs w:val="22"/>
                <w:lang w:val="es"/>
              </w:rPr>
              <w:lastRenderedPageBreak/>
              <w:br w:type="page"/>
              <w:t>EVALUACIÓN INTERNA DEL PROYECTO</w:t>
            </w:r>
          </w:p>
        </w:tc>
      </w:tr>
    </w:tbl>
    <w:p w14:paraId="7B4B9A67" w14:textId="77777777" w:rsidR="008E1AF8" w:rsidRPr="0016236F" w:rsidRDefault="008E1AF8" w:rsidP="008E1AF8">
      <w:pPr>
        <w:widowControl w:val="0"/>
        <w:autoSpaceDE w:val="0"/>
        <w:autoSpaceDN w:val="0"/>
        <w:adjustRightInd w:val="0"/>
        <w:rPr>
          <w:szCs w:val="22"/>
        </w:rPr>
      </w:pPr>
    </w:p>
    <w:p w14:paraId="1E6F4C91" w14:textId="77777777" w:rsidR="008E1AF8" w:rsidRPr="00C91693" w:rsidRDefault="008E1AF8" w:rsidP="008E1AF8">
      <w:pPr>
        <w:widowControl w:val="0"/>
        <w:autoSpaceDE w:val="0"/>
        <w:autoSpaceDN w:val="0"/>
        <w:adjustRightInd w:val="0"/>
        <w:rPr>
          <w:szCs w:val="22"/>
        </w:rPr>
      </w:pPr>
      <w:r>
        <w:rPr>
          <w:szCs w:val="22"/>
          <w:lang w:val="es"/>
        </w:rPr>
        <w:t>Clave de los colores</w:t>
      </w:r>
    </w:p>
    <w:p w14:paraId="2ED926C7" w14:textId="77777777" w:rsidR="008E1AF8" w:rsidRPr="00C91693" w:rsidRDefault="008E1AF8" w:rsidP="008E1AF8">
      <w:pPr>
        <w:widowControl w:val="0"/>
        <w:autoSpaceDE w:val="0"/>
        <w:autoSpaceDN w:val="0"/>
        <w:adjustRightInd w:val="0"/>
        <w:rPr>
          <w:szCs w:val="22"/>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1392"/>
        <w:gridCol w:w="1624"/>
        <w:gridCol w:w="1740"/>
        <w:gridCol w:w="1833"/>
        <w:gridCol w:w="2698"/>
      </w:tblGrid>
      <w:tr w:rsidR="008E1AF8" w:rsidRPr="0016236F" w14:paraId="1A8150EE" w14:textId="77777777" w:rsidTr="008E1AF8">
        <w:trPr>
          <w:trHeight w:val="469"/>
        </w:trPr>
        <w:tc>
          <w:tcPr>
            <w:tcW w:w="1372" w:type="dxa"/>
            <w:shd w:val="clear" w:color="auto" w:fill="auto"/>
            <w:vAlign w:val="center"/>
          </w:tcPr>
          <w:p w14:paraId="5BB15A70" w14:textId="77777777" w:rsidR="008E1AF8" w:rsidRPr="0016236F" w:rsidRDefault="008E1AF8" w:rsidP="008E1AF8">
            <w:pPr>
              <w:widowControl w:val="0"/>
              <w:autoSpaceDE w:val="0"/>
              <w:autoSpaceDN w:val="0"/>
              <w:adjustRightInd w:val="0"/>
              <w:rPr>
                <w:szCs w:val="22"/>
              </w:rPr>
            </w:pPr>
            <w:r>
              <w:rPr>
                <w:noProof/>
                <w:szCs w:val="22"/>
                <w:lang w:val="es"/>
              </w:rPr>
              <w:t>****</w:t>
            </w:r>
          </w:p>
        </w:tc>
        <w:tc>
          <w:tcPr>
            <w:tcW w:w="1628" w:type="dxa"/>
            <w:shd w:val="clear" w:color="auto" w:fill="auto"/>
            <w:vAlign w:val="center"/>
          </w:tcPr>
          <w:p w14:paraId="3DE752BB" w14:textId="77777777" w:rsidR="008E1AF8" w:rsidRPr="0016236F" w:rsidRDefault="008E1AF8" w:rsidP="008E1AF8">
            <w:pPr>
              <w:widowControl w:val="0"/>
              <w:autoSpaceDE w:val="0"/>
              <w:autoSpaceDN w:val="0"/>
              <w:adjustRightInd w:val="0"/>
              <w:rPr>
                <w:szCs w:val="22"/>
              </w:rPr>
            </w:pPr>
            <w:r>
              <w:rPr>
                <w:szCs w:val="22"/>
                <w:lang w:val="es"/>
              </w:rPr>
              <w:t>***</w:t>
            </w:r>
          </w:p>
        </w:tc>
        <w:tc>
          <w:tcPr>
            <w:tcW w:w="1744" w:type="dxa"/>
            <w:shd w:val="clear" w:color="auto" w:fill="auto"/>
            <w:vAlign w:val="center"/>
          </w:tcPr>
          <w:p w14:paraId="6E5D93D1" w14:textId="77777777" w:rsidR="008E1AF8" w:rsidRPr="0016236F" w:rsidRDefault="008E1AF8" w:rsidP="008E1AF8">
            <w:pPr>
              <w:widowControl w:val="0"/>
              <w:autoSpaceDE w:val="0"/>
              <w:autoSpaceDN w:val="0"/>
              <w:adjustRightInd w:val="0"/>
              <w:rPr>
                <w:szCs w:val="22"/>
              </w:rPr>
            </w:pPr>
            <w:r>
              <w:rPr>
                <w:szCs w:val="22"/>
                <w:lang w:val="es"/>
              </w:rPr>
              <w:t>**</w:t>
            </w:r>
          </w:p>
        </w:tc>
        <w:tc>
          <w:tcPr>
            <w:tcW w:w="1838" w:type="dxa"/>
            <w:shd w:val="clear" w:color="auto" w:fill="auto"/>
            <w:vAlign w:val="center"/>
          </w:tcPr>
          <w:p w14:paraId="16FCA87F" w14:textId="77777777" w:rsidR="008E1AF8" w:rsidRPr="0016236F" w:rsidRDefault="008E1AF8" w:rsidP="008E1AF8">
            <w:pPr>
              <w:widowControl w:val="0"/>
              <w:autoSpaceDE w:val="0"/>
              <w:autoSpaceDN w:val="0"/>
              <w:adjustRightInd w:val="0"/>
              <w:rPr>
                <w:szCs w:val="22"/>
              </w:rPr>
            </w:pPr>
            <w:r>
              <w:rPr>
                <w:szCs w:val="22"/>
                <w:lang w:val="es"/>
              </w:rPr>
              <w:t>NA</w:t>
            </w:r>
          </w:p>
        </w:tc>
        <w:tc>
          <w:tcPr>
            <w:tcW w:w="2705" w:type="dxa"/>
            <w:shd w:val="clear" w:color="auto" w:fill="auto"/>
            <w:vAlign w:val="center"/>
          </w:tcPr>
          <w:p w14:paraId="75D8D571" w14:textId="77777777" w:rsidR="008E1AF8" w:rsidRPr="0016236F" w:rsidRDefault="008E1AF8" w:rsidP="008E1AF8">
            <w:pPr>
              <w:widowControl w:val="0"/>
              <w:autoSpaceDE w:val="0"/>
              <w:autoSpaceDN w:val="0"/>
              <w:adjustRightInd w:val="0"/>
              <w:rPr>
                <w:szCs w:val="22"/>
              </w:rPr>
            </w:pPr>
            <w:r>
              <w:rPr>
                <w:szCs w:val="22"/>
                <w:lang w:val="es"/>
              </w:rPr>
              <w:t>SE/AI</w:t>
            </w:r>
          </w:p>
        </w:tc>
      </w:tr>
      <w:tr w:rsidR="008E1AF8" w:rsidRPr="0016236F" w14:paraId="25286FFC" w14:textId="77777777" w:rsidTr="008E1AF8">
        <w:tc>
          <w:tcPr>
            <w:tcW w:w="1372" w:type="dxa"/>
            <w:shd w:val="clear" w:color="auto" w:fill="auto"/>
          </w:tcPr>
          <w:p w14:paraId="6E0A7E1E" w14:textId="77777777" w:rsidR="008E1AF8" w:rsidRPr="0016236F" w:rsidRDefault="008E1AF8" w:rsidP="008E1AF8">
            <w:pPr>
              <w:widowControl w:val="0"/>
              <w:autoSpaceDE w:val="0"/>
              <w:autoSpaceDN w:val="0"/>
              <w:adjustRightInd w:val="0"/>
              <w:rPr>
                <w:szCs w:val="22"/>
              </w:rPr>
            </w:pPr>
            <w:r>
              <w:rPr>
                <w:szCs w:val="22"/>
                <w:lang w:val="es"/>
              </w:rPr>
              <w:t>Plenamente logrado</w:t>
            </w:r>
          </w:p>
        </w:tc>
        <w:tc>
          <w:tcPr>
            <w:tcW w:w="1628" w:type="dxa"/>
            <w:shd w:val="clear" w:color="auto" w:fill="auto"/>
          </w:tcPr>
          <w:p w14:paraId="239545ED" w14:textId="77777777" w:rsidR="008E1AF8" w:rsidRPr="0016236F" w:rsidRDefault="008E1AF8" w:rsidP="008E1AF8">
            <w:pPr>
              <w:widowControl w:val="0"/>
              <w:autoSpaceDE w:val="0"/>
              <w:autoSpaceDN w:val="0"/>
              <w:adjustRightInd w:val="0"/>
              <w:rPr>
                <w:szCs w:val="22"/>
              </w:rPr>
            </w:pPr>
            <w:r>
              <w:rPr>
                <w:szCs w:val="22"/>
                <w:lang w:val="es"/>
              </w:rPr>
              <w:t>Avance notable</w:t>
            </w:r>
          </w:p>
        </w:tc>
        <w:tc>
          <w:tcPr>
            <w:tcW w:w="1744" w:type="dxa"/>
            <w:shd w:val="clear" w:color="auto" w:fill="auto"/>
          </w:tcPr>
          <w:p w14:paraId="30A866B2" w14:textId="77777777" w:rsidR="008E1AF8" w:rsidRPr="0016236F" w:rsidRDefault="008E1AF8" w:rsidP="008E1AF8">
            <w:pPr>
              <w:widowControl w:val="0"/>
              <w:autoSpaceDE w:val="0"/>
              <w:autoSpaceDN w:val="0"/>
              <w:adjustRightInd w:val="0"/>
              <w:rPr>
                <w:szCs w:val="22"/>
              </w:rPr>
            </w:pPr>
            <w:r>
              <w:rPr>
                <w:szCs w:val="22"/>
                <w:lang w:val="es"/>
              </w:rPr>
              <w:t>Avance parcial</w:t>
            </w:r>
          </w:p>
        </w:tc>
        <w:tc>
          <w:tcPr>
            <w:tcW w:w="1838" w:type="dxa"/>
            <w:shd w:val="clear" w:color="auto" w:fill="auto"/>
          </w:tcPr>
          <w:p w14:paraId="47788D16" w14:textId="77777777" w:rsidR="008E1AF8" w:rsidRPr="0016236F" w:rsidRDefault="008E1AF8" w:rsidP="008E1AF8">
            <w:pPr>
              <w:widowControl w:val="0"/>
              <w:autoSpaceDE w:val="0"/>
              <w:autoSpaceDN w:val="0"/>
              <w:adjustRightInd w:val="0"/>
              <w:rPr>
                <w:szCs w:val="22"/>
              </w:rPr>
            </w:pPr>
            <w:r>
              <w:rPr>
                <w:szCs w:val="22"/>
                <w:lang w:val="es"/>
              </w:rPr>
              <w:t>Ningún avance</w:t>
            </w:r>
          </w:p>
        </w:tc>
        <w:tc>
          <w:tcPr>
            <w:tcW w:w="2705" w:type="dxa"/>
            <w:shd w:val="clear" w:color="auto" w:fill="auto"/>
          </w:tcPr>
          <w:p w14:paraId="76C95756" w14:textId="77777777" w:rsidR="008E1AF8" w:rsidRPr="0016236F" w:rsidRDefault="008E1AF8" w:rsidP="008E1AF8">
            <w:pPr>
              <w:widowControl w:val="0"/>
              <w:autoSpaceDE w:val="0"/>
              <w:autoSpaceDN w:val="0"/>
              <w:adjustRightInd w:val="0"/>
              <w:rPr>
                <w:szCs w:val="22"/>
              </w:rPr>
            </w:pPr>
            <w:r>
              <w:rPr>
                <w:szCs w:val="22"/>
                <w:lang w:val="es"/>
              </w:rPr>
              <w:t>Sin evaluar /actividad interrumpida</w:t>
            </w:r>
          </w:p>
        </w:tc>
      </w:tr>
    </w:tbl>
    <w:p w14:paraId="1B5CE60C" w14:textId="77777777" w:rsidR="008E1AF8" w:rsidRPr="0016236F" w:rsidRDefault="008E1AF8" w:rsidP="008E1AF8">
      <w:pPr>
        <w:widowControl w:val="0"/>
        <w:tabs>
          <w:tab w:val="left" w:pos="0"/>
          <w:tab w:val="left" w:pos="3402"/>
          <w:tab w:val="left" w:pos="4111"/>
          <w:tab w:val="left" w:pos="5387"/>
        </w:tabs>
        <w:autoSpaceDE w:val="0"/>
        <w:autoSpaceDN w:val="0"/>
        <w:adjustRightInd w:val="0"/>
        <w:rPr>
          <w:szCs w:val="22"/>
        </w:rPr>
      </w:pPr>
    </w:p>
    <w:p w14:paraId="55F2297C" w14:textId="77777777" w:rsidR="008E1AF8" w:rsidRPr="0016236F" w:rsidRDefault="008E1AF8" w:rsidP="008E1AF8">
      <w:pPr>
        <w:widowControl w:val="0"/>
        <w:tabs>
          <w:tab w:val="left" w:pos="0"/>
          <w:tab w:val="left" w:pos="3402"/>
          <w:tab w:val="left" w:pos="4111"/>
          <w:tab w:val="left" w:pos="5387"/>
        </w:tabs>
        <w:autoSpaceDE w:val="0"/>
        <w:autoSpaceDN w:val="0"/>
        <w:adjustRightInd w:val="0"/>
        <w:rPr>
          <w:szCs w:val="22"/>
        </w:rPr>
      </w:pPr>
    </w:p>
    <w:tbl>
      <w:tblPr>
        <w:tblW w:w="9356"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3402"/>
        <w:gridCol w:w="850"/>
      </w:tblGrid>
      <w:tr w:rsidR="008E1AF8" w:rsidRPr="0016236F" w14:paraId="7EF4EAC9" w14:textId="77777777" w:rsidTr="008E1AF8">
        <w:trPr>
          <w:tblHeader/>
        </w:trPr>
        <w:tc>
          <w:tcPr>
            <w:tcW w:w="2410" w:type="dxa"/>
            <w:shd w:val="clear" w:color="auto" w:fill="auto"/>
            <w:vAlign w:val="center"/>
          </w:tcPr>
          <w:p w14:paraId="462E4CB1" w14:textId="77777777" w:rsidR="008E1AF8" w:rsidRPr="0016236F" w:rsidRDefault="008E1AF8" w:rsidP="008E1AF8">
            <w:pPr>
              <w:rPr>
                <w:bCs/>
                <w:szCs w:val="22"/>
              </w:rPr>
            </w:pPr>
            <w:r>
              <w:rPr>
                <w:szCs w:val="22"/>
                <w:u w:val="single"/>
                <w:lang w:val="es"/>
              </w:rPr>
              <w:t>Productos del proyecto</w:t>
            </w:r>
            <w:r>
              <w:rPr>
                <w:szCs w:val="22"/>
                <w:vertAlign w:val="superscript"/>
                <w:lang w:val="es"/>
              </w:rPr>
              <w:footnoteReference w:id="9"/>
            </w:r>
            <w:r>
              <w:rPr>
                <w:szCs w:val="22"/>
                <w:lang w:val="es"/>
              </w:rPr>
              <w:t xml:space="preserve"> </w:t>
            </w:r>
            <w:r>
              <w:rPr>
                <w:szCs w:val="22"/>
                <w:lang w:val="es"/>
              </w:rPr>
              <w:br/>
              <w:t>(Resultado previsto)</w:t>
            </w:r>
          </w:p>
        </w:tc>
        <w:tc>
          <w:tcPr>
            <w:tcW w:w="2694" w:type="dxa"/>
            <w:shd w:val="clear" w:color="auto" w:fill="auto"/>
            <w:vAlign w:val="center"/>
          </w:tcPr>
          <w:p w14:paraId="7941098C" w14:textId="77777777" w:rsidR="008E1AF8" w:rsidRPr="00C91693" w:rsidRDefault="008E1AF8" w:rsidP="008E1AF8">
            <w:pPr>
              <w:jc w:val="center"/>
              <w:rPr>
                <w:b/>
                <w:szCs w:val="22"/>
              </w:rPr>
            </w:pPr>
          </w:p>
          <w:p w14:paraId="4F184B9A" w14:textId="77777777" w:rsidR="008E1AF8" w:rsidRPr="00C91693" w:rsidRDefault="008E1AF8" w:rsidP="008E1AF8">
            <w:pPr>
              <w:rPr>
                <w:bCs/>
                <w:szCs w:val="22"/>
              </w:rPr>
            </w:pPr>
            <w:r>
              <w:rPr>
                <w:szCs w:val="22"/>
                <w:u w:val="single"/>
                <w:lang w:val="es"/>
              </w:rPr>
              <w:t>Indicadores de obtención de resultados</w:t>
            </w:r>
            <w:r>
              <w:rPr>
                <w:szCs w:val="22"/>
                <w:lang w:val="es"/>
              </w:rPr>
              <w:br/>
              <w:t>(Indicadores de producto)</w:t>
            </w:r>
          </w:p>
          <w:p w14:paraId="721923A4" w14:textId="77777777" w:rsidR="008E1AF8" w:rsidRPr="00C91693" w:rsidRDefault="008E1AF8" w:rsidP="008E1AF8">
            <w:pPr>
              <w:jc w:val="center"/>
              <w:rPr>
                <w:b/>
                <w:szCs w:val="22"/>
              </w:rPr>
            </w:pPr>
          </w:p>
        </w:tc>
        <w:tc>
          <w:tcPr>
            <w:tcW w:w="3402" w:type="dxa"/>
            <w:shd w:val="clear" w:color="auto" w:fill="auto"/>
            <w:vAlign w:val="center"/>
          </w:tcPr>
          <w:p w14:paraId="49793C78" w14:textId="77777777" w:rsidR="008E1AF8" w:rsidRPr="0016236F" w:rsidRDefault="008E1AF8" w:rsidP="008E1AF8">
            <w:pPr>
              <w:rPr>
                <w:rFonts w:eastAsia="MS Mincho"/>
                <w:bCs/>
                <w:szCs w:val="22"/>
                <w:u w:val="single"/>
              </w:rPr>
            </w:pPr>
            <w:r>
              <w:rPr>
                <w:rFonts w:eastAsia="MS Mincho"/>
                <w:szCs w:val="22"/>
                <w:u w:val="single"/>
                <w:lang w:val="es"/>
              </w:rPr>
              <w:t>Datos sobre el rendimiento</w:t>
            </w:r>
          </w:p>
        </w:tc>
        <w:tc>
          <w:tcPr>
            <w:tcW w:w="850" w:type="dxa"/>
            <w:shd w:val="clear" w:color="auto" w:fill="auto"/>
            <w:vAlign w:val="center"/>
          </w:tcPr>
          <w:p w14:paraId="4B11A507" w14:textId="415130C2" w:rsidR="008E1AF8" w:rsidRPr="0016236F" w:rsidRDefault="008E1AF8" w:rsidP="00523FA9">
            <w:pPr>
              <w:jc w:val="center"/>
              <w:rPr>
                <w:szCs w:val="22"/>
                <w:u w:val="single"/>
              </w:rPr>
            </w:pPr>
            <w:r>
              <w:rPr>
                <w:szCs w:val="22"/>
                <w:u w:val="single"/>
                <w:lang w:val="es"/>
              </w:rPr>
              <w:t>Clave de los colo</w:t>
            </w:r>
            <w:r w:rsidR="00523FA9">
              <w:rPr>
                <w:szCs w:val="22"/>
                <w:u w:val="single"/>
                <w:lang w:val="es"/>
              </w:rPr>
              <w:t>-</w:t>
            </w:r>
            <w:r>
              <w:rPr>
                <w:szCs w:val="22"/>
                <w:u w:val="single"/>
                <w:lang w:val="es"/>
              </w:rPr>
              <w:t>res</w:t>
            </w:r>
          </w:p>
        </w:tc>
      </w:tr>
      <w:tr w:rsidR="008E1AF8" w:rsidRPr="0016236F" w14:paraId="6DCEB6D5" w14:textId="77777777" w:rsidTr="008E1AF8">
        <w:trPr>
          <w:trHeight w:val="509"/>
        </w:trPr>
        <w:tc>
          <w:tcPr>
            <w:tcW w:w="2410" w:type="dxa"/>
            <w:shd w:val="clear" w:color="auto" w:fill="auto"/>
          </w:tcPr>
          <w:p w14:paraId="14E01AC8" w14:textId="77777777" w:rsidR="008E1AF8" w:rsidRPr="00C91693" w:rsidRDefault="008E1AF8" w:rsidP="008E1AF8">
            <w:pPr>
              <w:rPr>
                <w:szCs w:val="22"/>
              </w:rPr>
            </w:pPr>
          </w:p>
          <w:p w14:paraId="74702493" w14:textId="77777777" w:rsidR="008E1AF8" w:rsidRPr="00C91693" w:rsidRDefault="008E1AF8" w:rsidP="008E1AF8">
            <w:pPr>
              <w:rPr>
                <w:szCs w:val="22"/>
              </w:rPr>
            </w:pPr>
            <w:r>
              <w:rPr>
                <w:szCs w:val="22"/>
                <w:lang w:val="es"/>
              </w:rPr>
              <w:t>Conferencias anuales y reuniones interregionales.</w:t>
            </w:r>
          </w:p>
        </w:tc>
        <w:tc>
          <w:tcPr>
            <w:tcW w:w="2694" w:type="dxa"/>
            <w:shd w:val="clear" w:color="auto" w:fill="auto"/>
          </w:tcPr>
          <w:p w14:paraId="0D3804E8" w14:textId="77777777" w:rsidR="008E1AF8" w:rsidRPr="00C91693" w:rsidRDefault="008E1AF8" w:rsidP="008E1AF8">
            <w:pPr>
              <w:rPr>
                <w:szCs w:val="22"/>
              </w:rPr>
            </w:pPr>
          </w:p>
          <w:p w14:paraId="3920E22B" w14:textId="77777777" w:rsidR="008E1AF8" w:rsidRPr="00C91693" w:rsidRDefault="008E1AF8" w:rsidP="008E1AF8">
            <w:pPr>
              <w:rPr>
                <w:szCs w:val="22"/>
              </w:rPr>
            </w:pPr>
            <w:r>
              <w:rPr>
                <w:szCs w:val="22"/>
                <w:lang w:val="es"/>
              </w:rPr>
              <w:t>Nivel de asistencia.</w:t>
            </w:r>
          </w:p>
          <w:p w14:paraId="3D9153B4" w14:textId="77777777" w:rsidR="008E1AF8" w:rsidRPr="00C91693" w:rsidRDefault="008E1AF8" w:rsidP="008E1AF8">
            <w:pPr>
              <w:rPr>
                <w:szCs w:val="22"/>
              </w:rPr>
            </w:pPr>
            <w:r>
              <w:rPr>
                <w:szCs w:val="22"/>
                <w:lang w:val="es"/>
              </w:rPr>
              <w:t>Observaciones de los participantes recogidas mediante un cuestionario.</w:t>
            </w:r>
          </w:p>
          <w:p w14:paraId="0B44F031" w14:textId="77777777" w:rsidR="008E1AF8" w:rsidRPr="00C91693" w:rsidRDefault="008E1AF8" w:rsidP="008E1AF8">
            <w:pPr>
              <w:rPr>
                <w:szCs w:val="22"/>
              </w:rPr>
            </w:pPr>
          </w:p>
        </w:tc>
        <w:tc>
          <w:tcPr>
            <w:tcW w:w="3402" w:type="dxa"/>
            <w:shd w:val="clear" w:color="auto" w:fill="auto"/>
          </w:tcPr>
          <w:p w14:paraId="6EBF4C6F" w14:textId="77777777" w:rsidR="008E1AF8" w:rsidRPr="00C91693" w:rsidRDefault="008E1AF8" w:rsidP="008E1AF8">
            <w:pPr>
              <w:rPr>
                <w:szCs w:val="22"/>
              </w:rPr>
            </w:pPr>
          </w:p>
          <w:p w14:paraId="3BE426DA" w14:textId="77777777" w:rsidR="008E1AF8" w:rsidRPr="00C91693" w:rsidRDefault="008E1AF8" w:rsidP="008E1AF8">
            <w:pPr>
              <w:rPr>
                <w:szCs w:val="22"/>
              </w:rPr>
            </w:pPr>
            <w:r>
              <w:rPr>
                <w:szCs w:val="22"/>
                <w:lang w:val="es"/>
              </w:rPr>
              <w:t>1. Primera reunión interregional (Brasilia, 8 a 10 de agosto de 2012):  la reunión congregó a más de 100 participantes, en representación de un total de 32 países en desarrollo, cinco países desarrollados y cinco OIG/ONG.  Las observaciones recabadas por medio de un cuestionario de evaluación al término de la reunión sugirieron que la reunión había tenido una magnífica acogida y que había satisfecho las expectativas (más del 90% de los encuestados calificaron la reunión como buena, muy buena o excelente).</w:t>
            </w:r>
          </w:p>
          <w:p w14:paraId="3AB33BA8" w14:textId="77777777" w:rsidR="008E1AF8" w:rsidRPr="00C91693" w:rsidRDefault="008E1AF8" w:rsidP="008E1AF8">
            <w:pPr>
              <w:rPr>
                <w:szCs w:val="22"/>
              </w:rPr>
            </w:pPr>
          </w:p>
          <w:p w14:paraId="09047A4B" w14:textId="77777777" w:rsidR="008E1AF8" w:rsidRPr="00C91693" w:rsidRDefault="008E1AF8" w:rsidP="008E1AF8">
            <w:pPr>
              <w:rPr>
                <w:szCs w:val="22"/>
              </w:rPr>
            </w:pPr>
            <w:r>
              <w:rPr>
                <w:szCs w:val="22"/>
                <w:lang w:val="es"/>
              </w:rPr>
              <w:t>2. Primera conferencia anual (Ginebra, 28 de septiembre de 2012):  asistieron 99 participantes a la conferencia, en representación de 37 países en desarrollo, 11 países desarrollados y seis OIG/ONG.  Los resultados de una encuesta de satisfacción distribuida al término de la conferencia sugieren que más del 87% de los encuestados juzgaron la conferencia como buena, muy buena o excelente.</w:t>
            </w:r>
          </w:p>
          <w:p w14:paraId="0BD4560F" w14:textId="77777777" w:rsidR="008E1AF8" w:rsidRPr="00C91693" w:rsidRDefault="008E1AF8" w:rsidP="008E1AF8">
            <w:pPr>
              <w:rPr>
                <w:szCs w:val="22"/>
              </w:rPr>
            </w:pPr>
          </w:p>
          <w:p w14:paraId="6BF62383" w14:textId="77777777" w:rsidR="008E1AF8" w:rsidRPr="00C91693" w:rsidRDefault="008E1AF8" w:rsidP="008E1AF8">
            <w:pPr>
              <w:rPr>
                <w:szCs w:val="22"/>
              </w:rPr>
            </w:pPr>
            <w:r>
              <w:rPr>
                <w:szCs w:val="22"/>
                <w:lang w:val="es"/>
              </w:rPr>
              <w:t xml:space="preserve">3. Segunda reunión interregional (El Cairo, 6 a 8 de mayo de 2013):  la reunión </w:t>
            </w:r>
            <w:r>
              <w:rPr>
                <w:szCs w:val="22"/>
                <w:lang w:val="es"/>
              </w:rPr>
              <w:lastRenderedPageBreak/>
              <w:t>congregó a más de 100 participantes de 32 países en desarrollo, cinco países desarrollados y seis OIG/ONG.  Las observaciones recopiladas al término de la reunión sugirieron que la reunión había tenido una magnífica acogida y que había satisfecho las expectativas (más del 93% de los encuestados juzgaron la reunión como buena, muy buena o excelente).</w:t>
            </w:r>
          </w:p>
          <w:p w14:paraId="5CBD3CEB" w14:textId="77777777" w:rsidR="008E1AF8" w:rsidRPr="00C91693" w:rsidRDefault="008E1AF8" w:rsidP="008E1AF8">
            <w:pPr>
              <w:rPr>
                <w:szCs w:val="22"/>
              </w:rPr>
            </w:pPr>
          </w:p>
          <w:p w14:paraId="62D6E59A" w14:textId="77777777" w:rsidR="008E1AF8" w:rsidRPr="00C91693" w:rsidRDefault="008E1AF8" w:rsidP="008E1AF8">
            <w:pPr>
              <w:rPr>
                <w:szCs w:val="22"/>
              </w:rPr>
            </w:pPr>
            <w:r>
              <w:rPr>
                <w:szCs w:val="22"/>
                <w:lang w:val="es"/>
              </w:rPr>
              <w:t>4. Segunda conferencia anual (Ginebra, 22 de noviembre de 2013):  asistieron más de 100 participantes a la conferencia, en representación de 48 países en desarrollo, 12 países desarrollados y 13 OIG/ONG;  las opiniones recibidas fueron excelentes.  Los resultados recabados a partir de las encuestas de satisfacción pusieron de manifiesto que aproximadamente el 92% de los encuestados estaban sumamente satisfechos con esta actividad.</w:t>
            </w:r>
          </w:p>
          <w:p w14:paraId="693323CD" w14:textId="77777777" w:rsidR="008E1AF8" w:rsidRPr="00C91693" w:rsidRDefault="008E1AF8" w:rsidP="008E1AF8">
            <w:pPr>
              <w:rPr>
                <w:szCs w:val="22"/>
              </w:rPr>
            </w:pPr>
          </w:p>
          <w:p w14:paraId="69F16E06" w14:textId="77777777" w:rsidR="008E1AF8" w:rsidRPr="00C91693" w:rsidRDefault="008E1AF8" w:rsidP="008E1AF8">
            <w:pPr>
              <w:rPr>
                <w:szCs w:val="22"/>
              </w:rPr>
            </w:pPr>
            <w:r>
              <w:rPr>
                <w:szCs w:val="22"/>
                <w:lang w:val="es"/>
              </w:rPr>
              <w:t>En el sitio web de la OMPI se pueden consultar todos los informes y las presentaciones de las reuniones y las conferencias.</w:t>
            </w:r>
          </w:p>
          <w:p w14:paraId="6E16D45D" w14:textId="77777777" w:rsidR="008E1AF8" w:rsidRPr="00C91693" w:rsidRDefault="008E1AF8" w:rsidP="008E1AF8">
            <w:pPr>
              <w:rPr>
                <w:szCs w:val="22"/>
              </w:rPr>
            </w:pPr>
          </w:p>
          <w:p w14:paraId="7CDDDB1C" w14:textId="1F6683E1" w:rsidR="008E1AF8" w:rsidRPr="00C91693" w:rsidRDefault="008E1AF8" w:rsidP="008E1AF8">
            <w:pPr>
              <w:rPr>
                <w:szCs w:val="22"/>
              </w:rPr>
            </w:pPr>
            <w:r>
              <w:rPr>
                <w:szCs w:val="22"/>
                <w:lang w:val="es"/>
              </w:rPr>
              <w:t>Un análisis independiente de las reuniones y las conferencias efectuada</w:t>
            </w:r>
            <w:r w:rsidR="00334EBE">
              <w:rPr>
                <w:szCs w:val="22"/>
                <w:lang w:val="es"/>
              </w:rPr>
              <w:t>s</w:t>
            </w:r>
            <w:r>
              <w:rPr>
                <w:szCs w:val="22"/>
                <w:lang w:val="es"/>
              </w:rPr>
              <w:t xml:space="preserve"> en el marco de la evaluación del proyecto confirmó que las reuniones y las conferencias habían resultado muy eficaces por lo que se refiere a catalizar el interés y a brindar una plataforma para la interacción de la cooperación Sur-Sur con las cuestiones de P.I.  Todas las partes interesadas subrayaron el alto </w:t>
            </w:r>
            <w:r>
              <w:rPr>
                <w:szCs w:val="22"/>
                <w:lang w:val="es"/>
              </w:rPr>
              <w:lastRenderedPageBreak/>
              <w:t xml:space="preserve">grado de pertinencia de estas reuniones (documento CDIP/13/4, página 15 del Anexo, versión en inglés).  </w:t>
            </w:r>
          </w:p>
          <w:p w14:paraId="662BAD97" w14:textId="77777777" w:rsidR="008E1AF8" w:rsidRPr="00C91693" w:rsidRDefault="008E1AF8" w:rsidP="008E1AF8">
            <w:pPr>
              <w:rPr>
                <w:szCs w:val="22"/>
              </w:rPr>
            </w:pPr>
          </w:p>
        </w:tc>
        <w:tc>
          <w:tcPr>
            <w:tcW w:w="850" w:type="dxa"/>
            <w:shd w:val="clear" w:color="auto" w:fill="auto"/>
          </w:tcPr>
          <w:p w14:paraId="34AF73C4" w14:textId="77777777" w:rsidR="008E1AF8" w:rsidRPr="00C91693" w:rsidRDefault="008E1AF8" w:rsidP="008E1AF8">
            <w:pPr>
              <w:jc w:val="center"/>
              <w:rPr>
                <w:szCs w:val="22"/>
              </w:rPr>
            </w:pPr>
          </w:p>
          <w:p w14:paraId="49F8EDFC" w14:textId="77777777" w:rsidR="008E1AF8" w:rsidRPr="0016236F" w:rsidRDefault="008E1AF8" w:rsidP="008E1AF8">
            <w:pPr>
              <w:jc w:val="center"/>
              <w:rPr>
                <w:szCs w:val="22"/>
              </w:rPr>
            </w:pPr>
            <w:r>
              <w:rPr>
                <w:szCs w:val="22"/>
                <w:lang w:val="es"/>
              </w:rPr>
              <w:t>****</w:t>
            </w:r>
          </w:p>
        </w:tc>
      </w:tr>
      <w:tr w:rsidR="008E1AF8" w:rsidRPr="0016236F" w14:paraId="3EA21EC4" w14:textId="77777777" w:rsidTr="008E1AF8">
        <w:trPr>
          <w:trHeight w:val="509"/>
        </w:trPr>
        <w:tc>
          <w:tcPr>
            <w:tcW w:w="2410" w:type="dxa"/>
            <w:shd w:val="clear" w:color="auto" w:fill="auto"/>
          </w:tcPr>
          <w:p w14:paraId="2E4904DD" w14:textId="77777777" w:rsidR="008E1AF8" w:rsidRPr="00C91693" w:rsidRDefault="008E1AF8" w:rsidP="008E1AF8">
            <w:pPr>
              <w:rPr>
                <w:szCs w:val="22"/>
              </w:rPr>
            </w:pPr>
          </w:p>
          <w:p w14:paraId="424C52F3" w14:textId="77777777" w:rsidR="008E1AF8" w:rsidRPr="00C91693" w:rsidRDefault="008E1AF8" w:rsidP="008E1AF8">
            <w:pPr>
              <w:rPr>
                <w:szCs w:val="22"/>
              </w:rPr>
            </w:pPr>
            <w:r>
              <w:rPr>
                <w:szCs w:val="22"/>
                <w:lang w:val="es"/>
              </w:rPr>
              <w:t>Formación y fortalecimiento de las capacidades en materia de cooperación Sur-Sur</w:t>
            </w:r>
          </w:p>
        </w:tc>
        <w:tc>
          <w:tcPr>
            <w:tcW w:w="2694" w:type="dxa"/>
            <w:shd w:val="clear" w:color="auto" w:fill="auto"/>
          </w:tcPr>
          <w:p w14:paraId="051704C1" w14:textId="77777777" w:rsidR="008E1AF8" w:rsidRPr="00C91693" w:rsidRDefault="008E1AF8" w:rsidP="008E1AF8">
            <w:pPr>
              <w:autoSpaceDE w:val="0"/>
              <w:autoSpaceDN w:val="0"/>
              <w:adjustRightInd w:val="0"/>
              <w:rPr>
                <w:szCs w:val="22"/>
              </w:rPr>
            </w:pPr>
          </w:p>
          <w:p w14:paraId="5F1E16BC" w14:textId="77777777" w:rsidR="008E1AF8" w:rsidRPr="00C91693" w:rsidRDefault="008E1AF8" w:rsidP="008E1AF8">
            <w:pPr>
              <w:autoSpaceDE w:val="0"/>
              <w:autoSpaceDN w:val="0"/>
              <w:adjustRightInd w:val="0"/>
              <w:rPr>
                <w:szCs w:val="22"/>
              </w:rPr>
            </w:pPr>
            <w:r>
              <w:rPr>
                <w:szCs w:val="22"/>
                <w:lang w:val="es"/>
              </w:rPr>
              <w:t xml:space="preserve">Puesta en marcha de nuevas funciones en la Base de datos de asistencia técnica en materia de P.I. (IP-TAD) y la Base de datos de vinculación para atender las necesidades de desarrollo en materia de P.I. (IP-DMD). </w:t>
            </w:r>
          </w:p>
          <w:p w14:paraId="205B1419" w14:textId="77777777" w:rsidR="008E1AF8" w:rsidRPr="00C91693" w:rsidRDefault="008E1AF8" w:rsidP="008E1AF8">
            <w:pPr>
              <w:autoSpaceDE w:val="0"/>
              <w:autoSpaceDN w:val="0"/>
              <w:adjustRightInd w:val="0"/>
              <w:rPr>
                <w:szCs w:val="22"/>
              </w:rPr>
            </w:pPr>
          </w:p>
          <w:p w14:paraId="611EC8D7" w14:textId="77777777" w:rsidR="008E1AF8" w:rsidRPr="00C91693" w:rsidRDefault="008E1AF8" w:rsidP="008E1AF8">
            <w:pPr>
              <w:rPr>
                <w:szCs w:val="22"/>
              </w:rPr>
            </w:pPr>
            <w:r>
              <w:rPr>
                <w:szCs w:val="22"/>
                <w:lang w:val="es"/>
              </w:rPr>
              <w:t>Estadísticas sobre la utilización del mecanismo de vinculación y número de visitas o misiones que se llevaron a cabo entre países en desarrollo y PMA.</w:t>
            </w:r>
          </w:p>
          <w:p w14:paraId="750BBE10" w14:textId="77777777" w:rsidR="008E1AF8" w:rsidRPr="00C91693" w:rsidRDefault="008E1AF8" w:rsidP="008E1AF8">
            <w:pPr>
              <w:rPr>
                <w:szCs w:val="22"/>
              </w:rPr>
            </w:pPr>
          </w:p>
        </w:tc>
        <w:tc>
          <w:tcPr>
            <w:tcW w:w="3402" w:type="dxa"/>
            <w:shd w:val="clear" w:color="auto" w:fill="auto"/>
          </w:tcPr>
          <w:p w14:paraId="5E876379" w14:textId="77777777" w:rsidR="008E1AF8" w:rsidRPr="00C91693" w:rsidRDefault="008E1AF8" w:rsidP="008E1AF8">
            <w:pPr>
              <w:rPr>
                <w:szCs w:val="22"/>
              </w:rPr>
            </w:pPr>
          </w:p>
          <w:p w14:paraId="0AFFF5F2" w14:textId="77777777" w:rsidR="008E1AF8" w:rsidRPr="00C91693" w:rsidRDefault="008E1AF8" w:rsidP="008E1AF8">
            <w:pPr>
              <w:rPr>
                <w:szCs w:val="22"/>
              </w:rPr>
            </w:pPr>
            <w:r>
              <w:rPr>
                <w:szCs w:val="22"/>
                <w:lang w:val="es"/>
              </w:rPr>
              <w:t>Se han creado e implantado varias funciones relacionadas con la cooperación Sur–Sur en las bases de datos IP-TAD e IP-DMD, y se han integrado en la plataforma web sobre cooperación Sur–Sur [http://www.wipo.int/cooperation/es/south_south/#resources].</w:t>
            </w:r>
          </w:p>
          <w:p w14:paraId="188B085A" w14:textId="77777777" w:rsidR="008E1AF8" w:rsidRPr="00C91693" w:rsidRDefault="008E1AF8" w:rsidP="008E1AF8">
            <w:pPr>
              <w:rPr>
                <w:szCs w:val="22"/>
              </w:rPr>
            </w:pPr>
          </w:p>
          <w:p w14:paraId="28CC2A75" w14:textId="77777777" w:rsidR="008E1AF8" w:rsidRPr="00C91693" w:rsidRDefault="008E1AF8" w:rsidP="008E1AF8">
            <w:pPr>
              <w:rPr>
                <w:bCs/>
                <w:iCs/>
                <w:szCs w:val="22"/>
              </w:rPr>
            </w:pPr>
            <w:r>
              <w:rPr>
                <w:szCs w:val="22"/>
                <w:lang w:val="es"/>
              </w:rPr>
              <w:t xml:space="preserve">1. La “base de datos IP-TAD sobre cooperación Sur-Sur” trae a primer plano todas las actividades de asistencia técnica realizadas con el apoyo de la OMPI en las que tanto el país anfitrión como los países destinatarios eran un país en desarrollo o un PMA y pueden considerarse una forma de cooperación “Sur-Sur” conforme a la definición operativa de cooperación Sur-Sur de las Naciones Unidas.  </w:t>
            </w:r>
          </w:p>
          <w:p w14:paraId="3B85821A" w14:textId="77777777" w:rsidR="008E1AF8" w:rsidRPr="00C91693" w:rsidRDefault="008E1AF8" w:rsidP="008E1AF8">
            <w:pPr>
              <w:rPr>
                <w:bCs/>
                <w:iCs/>
                <w:szCs w:val="22"/>
              </w:rPr>
            </w:pPr>
          </w:p>
          <w:p w14:paraId="0BDCF0BF" w14:textId="77777777" w:rsidR="008E1AF8" w:rsidRPr="0016236F" w:rsidRDefault="008E1AF8" w:rsidP="008E1AF8">
            <w:r>
              <w:rPr>
                <w:szCs w:val="22"/>
                <w:lang w:val="es"/>
              </w:rPr>
              <w:t xml:space="preserve">Un análisis pormenorizado de las actividades por bienio indica que la Organización llevó a cabo 236 actividades de asistencia técnica en el bienio 2012/13 en las que </w:t>
            </w:r>
            <w:r>
              <w:rPr>
                <w:lang w:val="es"/>
              </w:rPr>
              <w:t xml:space="preserve">tanto el país anfitrión como los países destinatarios eran un país en desarrollo, un PMA o un país con economía en transición, y que ha desarrollado 147 actividades en el bienio 2014/15 (datos analizados hasta el 15 de junio de 2015).  Véase: </w:t>
            </w:r>
            <w:r>
              <w:rPr>
                <w:u w:val="single"/>
                <w:lang w:val="es"/>
              </w:rPr>
              <w:t>http://www.wipo.int/sscip/tad.</w:t>
            </w:r>
          </w:p>
          <w:p w14:paraId="360C85EF" w14:textId="77777777" w:rsidR="008E1AF8" w:rsidRPr="0016236F" w:rsidRDefault="008E1AF8" w:rsidP="008E1AF8"/>
          <w:p w14:paraId="197B04A8" w14:textId="77777777" w:rsidR="008E1AF8" w:rsidRPr="00C91693" w:rsidRDefault="008E1AF8" w:rsidP="008E1AF8">
            <w:pPr>
              <w:rPr>
                <w:szCs w:val="22"/>
              </w:rPr>
            </w:pPr>
            <w:r>
              <w:rPr>
                <w:szCs w:val="22"/>
                <w:lang w:val="es"/>
              </w:rPr>
              <w:t xml:space="preserve">2. Funciones de la base de datos IP-DMD:  entre las nuevas funciones cabe destacar una herramienta de búsqueda en </w:t>
            </w:r>
            <w:r>
              <w:rPr>
                <w:szCs w:val="22"/>
                <w:lang w:val="es"/>
              </w:rPr>
              <w:lastRenderedPageBreak/>
              <w:t xml:space="preserve">grupo para </w:t>
            </w:r>
            <w:r>
              <w:rPr>
                <w:lang w:val="es"/>
              </w:rPr>
              <w:t xml:space="preserve">diferenciar a los países en desarrollo y los PMA de otros grupos de países en la base de datos, a fin de contribuir a la detección de oportunidades para establecer asociaciones Sur-Sur en los ámbitos del intercambio de conocimientos, la formación, el fortalecimiento de las capacidades y la transferencia de tecnología, y para facilitar la vinculación entre los países en desarrollo y los PMA por lo que se refiere a las ofertas y necesidades en materia de P.I.  Véase: </w:t>
            </w:r>
            <w:r>
              <w:rPr>
                <w:u w:val="single"/>
                <w:lang w:val="es"/>
              </w:rPr>
              <w:t>http://www.wipo.int/dmd/en/search.jsp.</w:t>
            </w:r>
            <w:r>
              <w:rPr>
                <w:lang w:val="es"/>
              </w:rPr>
              <w:t xml:space="preserve">  De conformidad con el procedimiento establecido, se invita a los Estados miembros a presentar expresiones de interés si tienen ofertas o necesidades específicas que compartir.  </w:t>
            </w:r>
          </w:p>
          <w:p w14:paraId="1F6E6AEA" w14:textId="77777777" w:rsidR="008E1AF8" w:rsidRPr="00C91693" w:rsidRDefault="008E1AF8" w:rsidP="008E1AF8">
            <w:pPr>
              <w:rPr>
                <w:szCs w:val="22"/>
              </w:rPr>
            </w:pPr>
          </w:p>
        </w:tc>
        <w:tc>
          <w:tcPr>
            <w:tcW w:w="850" w:type="dxa"/>
            <w:shd w:val="clear" w:color="auto" w:fill="auto"/>
          </w:tcPr>
          <w:p w14:paraId="6A084A3A" w14:textId="77777777" w:rsidR="008E1AF8" w:rsidRPr="00C91693" w:rsidRDefault="008E1AF8" w:rsidP="008E1AF8">
            <w:pPr>
              <w:jc w:val="center"/>
              <w:rPr>
                <w:szCs w:val="22"/>
              </w:rPr>
            </w:pPr>
          </w:p>
          <w:p w14:paraId="5B148E40" w14:textId="77777777" w:rsidR="008E1AF8" w:rsidRPr="0016236F" w:rsidRDefault="008E1AF8" w:rsidP="008E1AF8">
            <w:pPr>
              <w:jc w:val="center"/>
              <w:rPr>
                <w:szCs w:val="22"/>
              </w:rPr>
            </w:pPr>
            <w:r>
              <w:rPr>
                <w:szCs w:val="22"/>
                <w:lang w:val="es"/>
              </w:rPr>
              <w:t>****</w:t>
            </w:r>
          </w:p>
        </w:tc>
      </w:tr>
      <w:tr w:rsidR="008E1AF8" w:rsidRPr="0016236F" w14:paraId="0FE511A8" w14:textId="77777777" w:rsidTr="008E1AF8">
        <w:trPr>
          <w:trHeight w:val="509"/>
        </w:trPr>
        <w:tc>
          <w:tcPr>
            <w:tcW w:w="2410" w:type="dxa"/>
            <w:shd w:val="clear" w:color="auto" w:fill="auto"/>
          </w:tcPr>
          <w:p w14:paraId="6C832628" w14:textId="77777777" w:rsidR="008E1AF8" w:rsidRPr="00C91693" w:rsidRDefault="008E1AF8" w:rsidP="008E1AF8">
            <w:pPr>
              <w:rPr>
                <w:szCs w:val="22"/>
              </w:rPr>
            </w:pPr>
          </w:p>
          <w:p w14:paraId="7E5BCE61" w14:textId="77777777" w:rsidR="008E1AF8" w:rsidRPr="00C91693" w:rsidRDefault="008E1AF8" w:rsidP="008E1AF8">
            <w:pPr>
              <w:rPr>
                <w:szCs w:val="22"/>
              </w:rPr>
            </w:pPr>
            <w:r>
              <w:rPr>
                <w:szCs w:val="22"/>
                <w:lang w:val="es"/>
              </w:rPr>
              <w:t>Incrementar el intercambio de experiencias y el uso de servicios de especialistas procedentes de los países en desarrollo y los PMA, en el marco de las actividades de la OMPI de asistencia técnica y fortalecimiento de capacidades.</w:t>
            </w:r>
          </w:p>
        </w:tc>
        <w:tc>
          <w:tcPr>
            <w:tcW w:w="2694" w:type="dxa"/>
            <w:shd w:val="clear" w:color="auto" w:fill="auto"/>
          </w:tcPr>
          <w:p w14:paraId="23095733" w14:textId="77777777" w:rsidR="008E1AF8" w:rsidRPr="00C91693" w:rsidRDefault="008E1AF8" w:rsidP="008E1AF8">
            <w:pPr>
              <w:autoSpaceDE w:val="0"/>
              <w:autoSpaceDN w:val="0"/>
              <w:adjustRightInd w:val="0"/>
              <w:rPr>
                <w:szCs w:val="22"/>
              </w:rPr>
            </w:pPr>
          </w:p>
          <w:p w14:paraId="38631206" w14:textId="77777777" w:rsidR="008E1AF8" w:rsidRPr="00C91693" w:rsidRDefault="008E1AF8" w:rsidP="008E1AF8">
            <w:pPr>
              <w:autoSpaceDE w:val="0"/>
              <w:autoSpaceDN w:val="0"/>
              <w:adjustRightInd w:val="0"/>
              <w:rPr>
                <w:szCs w:val="22"/>
              </w:rPr>
            </w:pPr>
            <w:r>
              <w:rPr>
                <w:szCs w:val="22"/>
                <w:lang w:val="es"/>
              </w:rPr>
              <w:t>Informes y exámenes periódicos anuales de la lista de consultores de la OMPI a fin de determinar el aumento de la utilización, por parte de los países en desarrollo y de los PMA, de los servicios prestados por los consultores.</w:t>
            </w:r>
          </w:p>
          <w:p w14:paraId="4BB7497E" w14:textId="77777777" w:rsidR="008E1AF8" w:rsidRPr="00C91693" w:rsidRDefault="008E1AF8" w:rsidP="008E1AF8">
            <w:pPr>
              <w:rPr>
                <w:szCs w:val="22"/>
              </w:rPr>
            </w:pPr>
          </w:p>
        </w:tc>
        <w:tc>
          <w:tcPr>
            <w:tcW w:w="3402" w:type="dxa"/>
            <w:shd w:val="clear" w:color="auto" w:fill="auto"/>
          </w:tcPr>
          <w:p w14:paraId="518B5465" w14:textId="77777777" w:rsidR="008E1AF8" w:rsidRPr="00C91693" w:rsidRDefault="008E1AF8" w:rsidP="008E1AF8">
            <w:pPr>
              <w:rPr>
                <w:szCs w:val="22"/>
              </w:rPr>
            </w:pPr>
          </w:p>
          <w:p w14:paraId="69317690" w14:textId="77777777" w:rsidR="008E1AF8" w:rsidRPr="0016236F" w:rsidRDefault="008E1AF8" w:rsidP="008E1AF8">
            <w:pPr>
              <w:rPr>
                <w:szCs w:val="22"/>
              </w:rPr>
            </w:pPr>
            <w:r>
              <w:rPr>
                <w:szCs w:val="22"/>
                <w:lang w:val="es"/>
              </w:rPr>
              <w:t xml:space="preserve">La lista de consultores en materia de cooperación Sur–Sur que presenta a expertos y especialistas de países en desarrollo, PMA y países con economías en transición se ha terminado e incluido como recurso adicional en la página web sobre cooperación Sur–Sur.  Actualmente figuran en la base de datos 773 especialistas de países en desarrollo, PMA y países con economías en transición.  Si bien debe tenerse en cuenta que la </w:t>
            </w:r>
            <w:r>
              <w:rPr>
                <w:lang w:val="es"/>
              </w:rPr>
              <w:t xml:space="preserve">elección y la utilización de servicios de especialistas para determinadas actividades de asistencia técnica depende de varios factores y no únicamente del país de origen, </w:t>
            </w:r>
            <w:r>
              <w:rPr>
                <w:szCs w:val="22"/>
                <w:lang w:val="es"/>
              </w:rPr>
              <w:t xml:space="preserve">parece que el empleo de servicios de especialistas de países en desarrollo, PMA y países con </w:t>
            </w:r>
            <w:r>
              <w:rPr>
                <w:szCs w:val="22"/>
                <w:lang w:val="es"/>
              </w:rPr>
              <w:lastRenderedPageBreak/>
              <w:t xml:space="preserve">economías en transición ha sido relativamente constante a lo largo de los años (177 registros en 2011, 186 registros en 2012, 138 registros en 2013, 118 registros en 2014 y 60 registros en 2015 (datos analizados hasta el 15 de junio de 2015)).  Véase: </w:t>
            </w:r>
            <w:r>
              <w:rPr>
                <w:szCs w:val="22"/>
                <w:u w:val="single"/>
                <w:lang w:val="es"/>
              </w:rPr>
              <w:t>http://www.wipo.int/sscip/roc.</w:t>
            </w:r>
            <w:r>
              <w:rPr>
                <w:szCs w:val="22"/>
                <w:lang w:val="es"/>
              </w:rPr>
              <w:t xml:space="preserve"> </w:t>
            </w:r>
          </w:p>
          <w:p w14:paraId="299E6448" w14:textId="77777777" w:rsidR="008E1AF8" w:rsidRPr="0016236F" w:rsidRDefault="008E1AF8" w:rsidP="008E1AF8">
            <w:pPr>
              <w:rPr>
                <w:szCs w:val="22"/>
              </w:rPr>
            </w:pPr>
          </w:p>
        </w:tc>
        <w:tc>
          <w:tcPr>
            <w:tcW w:w="850" w:type="dxa"/>
            <w:shd w:val="clear" w:color="auto" w:fill="auto"/>
          </w:tcPr>
          <w:p w14:paraId="3C79DC33" w14:textId="77777777" w:rsidR="008E1AF8" w:rsidRPr="0016236F" w:rsidRDefault="008E1AF8" w:rsidP="008E1AF8">
            <w:pPr>
              <w:jc w:val="center"/>
              <w:rPr>
                <w:szCs w:val="22"/>
              </w:rPr>
            </w:pPr>
          </w:p>
          <w:p w14:paraId="2A01534A" w14:textId="77777777" w:rsidR="008E1AF8" w:rsidRPr="0016236F" w:rsidRDefault="008E1AF8" w:rsidP="008E1AF8">
            <w:pPr>
              <w:jc w:val="center"/>
              <w:rPr>
                <w:szCs w:val="22"/>
              </w:rPr>
            </w:pPr>
            <w:r>
              <w:rPr>
                <w:szCs w:val="22"/>
                <w:lang w:val="es"/>
              </w:rPr>
              <w:t>****</w:t>
            </w:r>
          </w:p>
        </w:tc>
      </w:tr>
      <w:tr w:rsidR="008E1AF8" w:rsidRPr="0016236F" w14:paraId="3406A7FF" w14:textId="77777777" w:rsidTr="008E1AF8">
        <w:tc>
          <w:tcPr>
            <w:tcW w:w="2410" w:type="dxa"/>
            <w:shd w:val="clear" w:color="auto" w:fill="auto"/>
          </w:tcPr>
          <w:p w14:paraId="61E3105A" w14:textId="77777777" w:rsidR="008E1AF8" w:rsidRPr="00C91693" w:rsidRDefault="008E1AF8" w:rsidP="008E1AF8">
            <w:pPr>
              <w:rPr>
                <w:szCs w:val="22"/>
              </w:rPr>
            </w:pPr>
          </w:p>
          <w:p w14:paraId="5EF740FC" w14:textId="77777777" w:rsidR="008E1AF8" w:rsidRPr="00C91693" w:rsidRDefault="008E1AF8" w:rsidP="008E1AF8">
            <w:pPr>
              <w:rPr>
                <w:szCs w:val="22"/>
              </w:rPr>
            </w:pPr>
            <w:r>
              <w:rPr>
                <w:szCs w:val="22"/>
                <w:lang w:val="es"/>
              </w:rPr>
              <w:t>Página web de la OMPI sobre cooperación Sur-Sur y portal interactivo en Internet y red virtual.</w:t>
            </w:r>
          </w:p>
          <w:p w14:paraId="4E84D9CA" w14:textId="77777777" w:rsidR="008E1AF8" w:rsidRPr="00C91693" w:rsidRDefault="008E1AF8" w:rsidP="008E1AF8">
            <w:pPr>
              <w:rPr>
                <w:szCs w:val="22"/>
              </w:rPr>
            </w:pPr>
          </w:p>
        </w:tc>
        <w:tc>
          <w:tcPr>
            <w:tcW w:w="2694" w:type="dxa"/>
            <w:shd w:val="clear" w:color="auto" w:fill="auto"/>
          </w:tcPr>
          <w:p w14:paraId="59A3F6D8" w14:textId="77777777" w:rsidR="008E1AF8" w:rsidRPr="00C91693" w:rsidRDefault="008E1AF8" w:rsidP="008E1AF8">
            <w:pPr>
              <w:autoSpaceDE w:val="0"/>
              <w:autoSpaceDN w:val="0"/>
              <w:adjustRightInd w:val="0"/>
              <w:rPr>
                <w:szCs w:val="22"/>
              </w:rPr>
            </w:pPr>
          </w:p>
          <w:p w14:paraId="02419BDB" w14:textId="77777777" w:rsidR="008E1AF8" w:rsidRPr="00C91693" w:rsidRDefault="008E1AF8" w:rsidP="008E1AF8">
            <w:pPr>
              <w:autoSpaceDE w:val="0"/>
              <w:autoSpaceDN w:val="0"/>
              <w:adjustRightInd w:val="0"/>
              <w:rPr>
                <w:szCs w:val="22"/>
              </w:rPr>
            </w:pPr>
            <w:r>
              <w:rPr>
                <w:szCs w:val="22"/>
                <w:lang w:val="es"/>
              </w:rPr>
              <w:t xml:space="preserve">Página web y portal interactivo en Internet en funcionamiento. </w:t>
            </w:r>
          </w:p>
          <w:p w14:paraId="2A04DCCD" w14:textId="77777777" w:rsidR="008E1AF8" w:rsidRPr="00C91693" w:rsidRDefault="008E1AF8" w:rsidP="008E1AF8">
            <w:pPr>
              <w:autoSpaceDE w:val="0"/>
              <w:autoSpaceDN w:val="0"/>
              <w:adjustRightInd w:val="0"/>
              <w:rPr>
                <w:szCs w:val="22"/>
              </w:rPr>
            </w:pPr>
          </w:p>
          <w:p w14:paraId="17977FD1" w14:textId="77777777" w:rsidR="008E1AF8" w:rsidRPr="00C91693" w:rsidRDefault="008E1AF8" w:rsidP="008E1AF8">
            <w:pPr>
              <w:rPr>
                <w:szCs w:val="22"/>
              </w:rPr>
            </w:pPr>
            <w:r>
              <w:rPr>
                <w:szCs w:val="22"/>
                <w:lang w:val="es"/>
              </w:rPr>
              <w:t>Opiniones de los usuarios y estadísticas sobre el uso de la página web y la red virtual, así como evaluación cualitativa, que se pedirá a los participantes que lleven a cabo, y resultados en forma de interacción colaborativa.</w:t>
            </w:r>
          </w:p>
          <w:p w14:paraId="2A0F2927" w14:textId="77777777" w:rsidR="008E1AF8" w:rsidRPr="00C91693" w:rsidRDefault="008E1AF8" w:rsidP="008E1AF8">
            <w:pPr>
              <w:rPr>
                <w:szCs w:val="22"/>
              </w:rPr>
            </w:pPr>
          </w:p>
          <w:p w14:paraId="22AA87CC" w14:textId="77777777" w:rsidR="008E1AF8" w:rsidRPr="00C91693" w:rsidRDefault="008E1AF8" w:rsidP="008E1AF8">
            <w:pPr>
              <w:rPr>
                <w:szCs w:val="22"/>
              </w:rPr>
            </w:pPr>
          </w:p>
          <w:p w14:paraId="032873A8" w14:textId="77777777" w:rsidR="008E1AF8" w:rsidRPr="00C91693" w:rsidRDefault="008E1AF8" w:rsidP="008E1AF8">
            <w:pPr>
              <w:rPr>
                <w:szCs w:val="22"/>
              </w:rPr>
            </w:pPr>
          </w:p>
          <w:p w14:paraId="41E99FA4" w14:textId="77777777" w:rsidR="008E1AF8" w:rsidRPr="00C91693" w:rsidRDefault="008E1AF8" w:rsidP="008E1AF8">
            <w:pPr>
              <w:rPr>
                <w:szCs w:val="22"/>
              </w:rPr>
            </w:pPr>
          </w:p>
        </w:tc>
        <w:tc>
          <w:tcPr>
            <w:tcW w:w="3402" w:type="dxa"/>
            <w:shd w:val="clear" w:color="auto" w:fill="auto"/>
          </w:tcPr>
          <w:p w14:paraId="3A9E257B" w14:textId="77777777" w:rsidR="008E1AF8" w:rsidRPr="00C91693" w:rsidRDefault="008E1AF8" w:rsidP="008E1AF8">
            <w:pPr>
              <w:rPr>
                <w:szCs w:val="22"/>
              </w:rPr>
            </w:pPr>
          </w:p>
          <w:p w14:paraId="6010B46D" w14:textId="77777777" w:rsidR="008E1AF8" w:rsidRPr="00C91693" w:rsidRDefault="008E1AF8" w:rsidP="008E1AF8">
            <w:pPr>
              <w:rPr>
                <w:szCs w:val="22"/>
                <w:u w:val="single"/>
              </w:rPr>
            </w:pPr>
            <w:r>
              <w:rPr>
                <w:szCs w:val="22"/>
                <w:lang w:val="es"/>
              </w:rPr>
              <w:t xml:space="preserve">Se puede acceder a la plataforma web sobre cooperación Sur-Sur en: </w:t>
            </w:r>
          </w:p>
          <w:p w14:paraId="7BE6A424" w14:textId="77777777" w:rsidR="008E1AF8" w:rsidRPr="00C91693" w:rsidRDefault="00A017D6" w:rsidP="008E1AF8">
            <w:pPr>
              <w:rPr>
                <w:szCs w:val="22"/>
              </w:rPr>
            </w:pPr>
            <w:hyperlink r:id="rId69" w:history="1">
              <w:r w:rsidR="008E1AF8">
                <w:rPr>
                  <w:szCs w:val="22"/>
                  <w:u w:val="single"/>
                  <w:lang w:val="es"/>
                </w:rPr>
                <w:t>http://www.wipo.int/cooperation/es/south_south/</w:t>
              </w:r>
            </w:hyperlink>
            <w:r w:rsidR="008E1AF8">
              <w:rPr>
                <w:szCs w:val="22"/>
                <w:lang w:val="es"/>
              </w:rPr>
              <w:t xml:space="preserve">.  El escaso número de opiniones de los usuarios (10 encuestas) sugiere que sus necesidades están satisfechas en gran medida, pero que la plataforma debe ser mantenida y actualizada periódicamente con más información sobre estudios de casos, ofertas y necesidades en materia de cooperación Sur-Sur para alcanzar toda su capacidad potencial.  </w:t>
            </w:r>
          </w:p>
          <w:p w14:paraId="5A340485" w14:textId="77777777" w:rsidR="008E1AF8" w:rsidRPr="00C91693" w:rsidRDefault="008E1AF8" w:rsidP="008E1AF8">
            <w:pPr>
              <w:rPr>
                <w:szCs w:val="22"/>
              </w:rPr>
            </w:pPr>
          </w:p>
          <w:p w14:paraId="189E3D82" w14:textId="77777777" w:rsidR="008E1AF8" w:rsidRPr="00C91693" w:rsidRDefault="008E1AF8" w:rsidP="008E1AF8">
            <w:pPr>
              <w:rPr>
                <w:szCs w:val="22"/>
              </w:rPr>
            </w:pPr>
            <w:r>
              <w:rPr>
                <w:szCs w:val="22"/>
                <w:lang w:val="es"/>
              </w:rPr>
              <w:t>Conforme al análisis independiente efectuado por los evaluadores del proyecto, la plataforma web ofrece la posibilidad de proporcionar valor sostenible a los Estados miembros de la OMPI y demás sectores interesados y constituye un enfoque muy eficiente para promover el intercambio de información y el acceso a los conocimientos, si bien deben proporcionarse recursos suficientes para la promoción y el mantenimiento constante de la plataforma (documento CDIP/13/4, página 18 del Anexo, versión en inglés).</w:t>
            </w:r>
          </w:p>
          <w:p w14:paraId="3EE15814" w14:textId="77777777" w:rsidR="008E1AF8" w:rsidRDefault="008E1AF8" w:rsidP="008E1AF8">
            <w:pPr>
              <w:rPr>
                <w:szCs w:val="22"/>
              </w:rPr>
            </w:pPr>
          </w:p>
          <w:p w14:paraId="09AA59E1" w14:textId="77777777" w:rsidR="006F7557" w:rsidRPr="00C91693" w:rsidRDefault="006F7557" w:rsidP="008E1AF8">
            <w:pPr>
              <w:rPr>
                <w:szCs w:val="22"/>
              </w:rPr>
            </w:pPr>
          </w:p>
        </w:tc>
        <w:tc>
          <w:tcPr>
            <w:tcW w:w="850" w:type="dxa"/>
            <w:shd w:val="clear" w:color="auto" w:fill="auto"/>
          </w:tcPr>
          <w:p w14:paraId="6746C24F" w14:textId="77777777" w:rsidR="008E1AF8" w:rsidRPr="00C91693" w:rsidRDefault="008E1AF8" w:rsidP="008E1AF8">
            <w:pPr>
              <w:jc w:val="center"/>
              <w:rPr>
                <w:szCs w:val="22"/>
              </w:rPr>
            </w:pPr>
          </w:p>
          <w:p w14:paraId="20994C09" w14:textId="77777777" w:rsidR="008E1AF8" w:rsidRPr="0016236F" w:rsidRDefault="008E1AF8" w:rsidP="008E1AF8">
            <w:pPr>
              <w:jc w:val="center"/>
              <w:rPr>
                <w:szCs w:val="22"/>
              </w:rPr>
            </w:pPr>
            <w:r>
              <w:rPr>
                <w:szCs w:val="22"/>
                <w:lang w:val="es"/>
              </w:rPr>
              <w:t>***</w:t>
            </w:r>
          </w:p>
        </w:tc>
      </w:tr>
      <w:tr w:rsidR="008E1AF8" w:rsidRPr="0016236F" w14:paraId="32A25279" w14:textId="77777777" w:rsidTr="008E1AF8">
        <w:tc>
          <w:tcPr>
            <w:tcW w:w="2410" w:type="dxa"/>
            <w:shd w:val="clear" w:color="auto" w:fill="auto"/>
          </w:tcPr>
          <w:p w14:paraId="7E67BA59" w14:textId="77777777" w:rsidR="008E1AF8" w:rsidRPr="00C91693" w:rsidRDefault="008E1AF8" w:rsidP="008E1AF8">
            <w:pPr>
              <w:rPr>
                <w:szCs w:val="22"/>
              </w:rPr>
            </w:pPr>
          </w:p>
          <w:p w14:paraId="6C64EAEE" w14:textId="77777777" w:rsidR="008E1AF8" w:rsidRPr="00C91693" w:rsidRDefault="008E1AF8" w:rsidP="008E1AF8">
            <w:pPr>
              <w:rPr>
                <w:szCs w:val="22"/>
              </w:rPr>
            </w:pPr>
            <w:r>
              <w:rPr>
                <w:szCs w:val="22"/>
                <w:lang w:val="es"/>
              </w:rPr>
              <w:t>Coordinador encargado de la cooperación Sur-Sur.</w:t>
            </w:r>
          </w:p>
        </w:tc>
        <w:tc>
          <w:tcPr>
            <w:tcW w:w="2694" w:type="dxa"/>
            <w:shd w:val="clear" w:color="auto" w:fill="auto"/>
          </w:tcPr>
          <w:p w14:paraId="76959D60" w14:textId="77777777" w:rsidR="008E1AF8" w:rsidRPr="00C91693" w:rsidRDefault="008E1AF8" w:rsidP="008E1AF8">
            <w:pPr>
              <w:rPr>
                <w:szCs w:val="22"/>
              </w:rPr>
            </w:pPr>
          </w:p>
          <w:p w14:paraId="64C361E3" w14:textId="77777777" w:rsidR="008E1AF8" w:rsidRPr="00C91693" w:rsidRDefault="008E1AF8" w:rsidP="008E1AF8">
            <w:pPr>
              <w:rPr>
                <w:szCs w:val="22"/>
              </w:rPr>
            </w:pPr>
            <w:r>
              <w:rPr>
                <w:szCs w:val="22"/>
                <w:lang w:val="es"/>
              </w:rPr>
              <w:t>Nombramiento de un Coordinador encargado de las actividades relativas a la cooperación Sur-Sur en el ámbito de la Secretaría de la OMPI:</w:t>
            </w:r>
          </w:p>
          <w:p w14:paraId="368F1E9A" w14:textId="77777777" w:rsidR="008E1AF8" w:rsidRPr="00C91693" w:rsidRDefault="008E1AF8" w:rsidP="008E1AF8">
            <w:pPr>
              <w:rPr>
                <w:szCs w:val="22"/>
              </w:rPr>
            </w:pPr>
          </w:p>
          <w:p w14:paraId="2B95CB52" w14:textId="77777777" w:rsidR="008E1AF8" w:rsidRPr="00C91693" w:rsidRDefault="008E1AF8" w:rsidP="008E1AF8">
            <w:pPr>
              <w:keepNext/>
              <w:rPr>
                <w:szCs w:val="22"/>
              </w:rPr>
            </w:pPr>
          </w:p>
          <w:p w14:paraId="2CA5C64F" w14:textId="77777777" w:rsidR="008E1AF8" w:rsidRPr="00C91693" w:rsidRDefault="008E1AF8" w:rsidP="008E1AF8">
            <w:pPr>
              <w:keepNext/>
              <w:rPr>
                <w:szCs w:val="22"/>
              </w:rPr>
            </w:pPr>
          </w:p>
          <w:p w14:paraId="6EB57D0B" w14:textId="77777777" w:rsidR="008E1AF8" w:rsidRPr="00C91693" w:rsidRDefault="008E1AF8" w:rsidP="008E1AF8">
            <w:pPr>
              <w:keepNext/>
              <w:rPr>
                <w:szCs w:val="22"/>
              </w:rPr>
            </w:pPr>
            <w:r>
              <w:rPr>
                <w:szCs w:val="22"/>
                <w:lang w:val="es"/>
              </w:rPr>
              <w:t xml:space="preserve">El Coordinador deberá presentar informes periódicos a los Estados miembros.  </w:t>
            </w:r>
          </w:p>
          <w:p w14:paraId="438AFF9D" w14:textId="77777777" w:rsidR="008E1AF8" w:rsidRPr="00C91693" w:rsidRDefault="008E1AF8" w:rsidP="008E1AF8">
            <w:pPr>
              <w:autoSpaceDE w:val="0"/>
              <w:autoSpaceDN w:val="0"/>
              <w:adjustRightInd w:val="0"/>
              <w:rPr>
                <w:szCs w:val="22"/>
              </w:rPr>
            </w:pPr>
          </w:p>
        </w:tc>
        <w:tc>
          <w:tcPr>
            <w:tcW w:w="3402" w:type="dxa"/>
            <w:shd w:val="clear" w:color="auto" w:fill="auto"/>
          </w:tcPr>
          <w:p w14:paraId="467D042C" w14:textId="77777777" w:rsidR="008E1AF8" w:rsidRPr="00C91693" w:rsidRDefault="008E1AF8" w:rsidP="008E1AF8">
            <w:pPr>
              <w:rPr>
                <w:szCs w:val="22"/>
              </w:rPr>
            </w:pPr>
          </w:p>
          <w:p w14:paraId="4515F988" w14:textId="77777777" w:rsidR="008E1AF8" w:rsidRPr="00C91693" w:rsidRDefault="008E1AF8" w:rsidP="008E1AF8">
            <w:pPr>
              <w:rPr>
                <w:szCs w:val="22"/>
              </w:rPr>
            </w:pPr>
            <w:r>
              <w:rPr>
                <w:szCs w:val="22"/>
                <w:lang w:val="es"/>
              </w:rPr>
              <w:t xml:space="preserve">El Director del proyecto fue nombrado como Coordinador de facto de la cooperación Sur-Sur de facto debido a que el proyecto se debía ejecutar en un plazo establecido (01.01.2012 - 30.06.2015). </w:t>
            </w:r>
          </w:p>
          <w:p w14:paraId="77129F4F" w14:textId="77777777" w:rsidR="008E1AF8" w:rsidRPr="00C91693" w:rsidRDefault="008E1AF8" w:rsidP="008E1AF8">
            <w:pPr>
              <w:rPr>
                <w:szCs w:val="22"/>
              </w:rPr>
            </w:pPr>
          </w:p>
          <w:p w14:paraId="20768FCA" w14:textId="77777777" w:rsidR="008E1AF8" w:rsidRPr="00C91693" w:rsidRDefault="008E1AF8" w:rsidP="008E1AF8">
            <w:r>
              <w:rPr>
                <w:lang w:val="es"/>
              </w:rPr>
              <w:t>De conformidad con el presupuesto por programas del bienio 2016/17, en el marco del programa 9 se procurará llevar a cabo de manera coherente la planificación y la elaboración de informes de las actividades Sur-Sur a nivel de la Organización y se cuidarán las relaciones con todos los sectores interesados tanto a nivel interno como externo.</w:t>
            </w:r>
          </w:p>
          <w:p w14:paraId="7F76F60C" w14:textId="77777777" w:rsidR="008E1AF8" w:rsidRPr="00C91693" w:rsidRDefault="008E1AF8" w:rsidP="008E1AF8">
            <w:pPr>
              <w:rPr>
                <w:szCs w:val="22"/>
              </w:rPr>
            </w:pPr>
          </w:p>
        </w:tc>
        <w:tc>
          <w:tcPr>
            <w:tcW w:w="850" w:type="dxa"/>
            <w:shd w:val="clear" w:color="auto" w:fill="auto"/>
          </w:tcPr>
          <w:p w14:paraId="11CA1702" w14:textId="77777777" w:rsidR="008E1AF8" w:rsidRPr="00C91693" w:rsidRDefault="008E1AF8" w:rsidP="008E1AF8">
            <w:pPr>
              <w:jc w:val="center"/>
              <w:rPr>
                <w:szCs w:val="22"/>
              </w:rPr>
            </w:pPr>
          </w:p>
          <w:p w14:paraId="10E169BE" w14:textId="77777777" w:rsidR="008E1AF8" w:rsidRPr="0016236F" w:rsidRDefault="008E1AF8" w:rsidP="008E1AF8">
            <w:pPr>
              <w:jc w:val="center"/>
              <w:rPr>
                <w:szCs w:val="22"/>
              </w:rPr>
            </w:pPr>
            <w:r>
              <w:rPr>
                <w:szCs w:val="22"/>
                <w:lang w:val="es"/>
              </w:rPr>
              <w:t>****</w:t>
            </w:r>
          </w:p>
        </w:tc>
      </w:tr>
      <w:tr w:rsidR="008E1AF8" w:rsidRPr="0016236F" w14:paraId="4BC1ED91" w14:textId="77777777" w:rsidTr="008E1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tcBorders>
              <w:top w:val="single" w:sz="2" w:space="0" w:color="000000"/>
              <w:left w:val="single" w:sz="2" w:space="0" w:color="000000"/>
              <w:bottom w:val="single" w:sz="2" w:space="0" w:color="000000"/>
              <w:right w:val="single" w:sz="2" w:space="0" w:color="000000"/>
            </w:tcBorders>
            <w:shd w:val="clear" w:color="auto" w:fill="auto"/>
          </w:tcPr>
          <w:p w14:paraId="1842CB7E" w14:textId="77777777" w:rsidR="008E1AF8" w:rsidRPr="00C91693" w:rsidRDefault="008E1AF8" w:rsidP="008E1AF8">
            <w:pPr>
              <w:widowControl w:val="0"/>
              <w:rPr>
                <w:szCs w:val="22"/>
              </w:rPr>
            </w:pPr>
          </w:p>
          <w:p w14:paraId="55856AF4" w14:textId="77777777" w:rsidR="008E1AF8" w:rsidRPr="00C91693" w:rsidRDefault="008E1AF8" w:rsidP="008E1AF8">
            <w:pPr>
              <w:widowControl w:val="0"/>
              <w:rPr>
                <w:szCs w:val="22"/>
              </w:rPr>
            </w:pPr>
            <w:r>
              <w:rPr>
                <w:szCs w:val="22"/>
                <w:lang w:val="es"/>
              </w:rPr>
              <w:t>Una mejor comprensión de la P.I. y su contribución potencial al desarrollo en los países en desarrollo y los PMA;</w:t>
            </w:r>
          </w:p>
          <w:p w14:paraId="7A64E5BC" w14:textId="77777777" w:rsidR="008E1AF8" w:rsidRPr="00C91693" w:rsidRDefault="008E1AF8" w:rsidP="008E1AF8">
            <w:pPr>
              <w:rPr>
                <w:szCs w:val="22"/>
              </w:rPr>
            </w:pPr>
          </w:p>
          <w:p w14:paraId="0BCE4800" w14:textId="77777777" w:rsidR="008E1AF8" w:rsidRPr="00C91693" w:rsidRDefault="008E1AF8" w:rsidP="008E1AF8">
            <w:pPr>
              <w:rPr>
                <w:szCs w:val="22"/>
              </w:rPr>
            </w:pPr>
            <w:r>
              <w:rPr>
                <w:szCs w:val="22"/>
                <w:lang w:val="es"/>
              </w:rPr>
              <w:t>Determinar con precisión las prioridades y necesidades especiales de los países en desarrollo y de los PMA en el ámbito de la P.I. y el desarrollo, incluidas las actividades normativas en el ámbito nacional, regional e internacional;</w:t>
            </w:r>
          </w:p>
          <w:p w14:paraId="03ACCE4B" w14:textId="77777777" w:rsidR="008E1AF8" w:rsidRPr="00C91693" w:rsidRDefault="008E1AF8" w:rsidP="008E1AF8">
            <w:pPr>
              <w:rPr>
                <w:szCs w:val="22"/>
              </w:rPr>
            </w:pPr>
          </w:p>
          <w:p w14:paraId="1772BFC2" w14:textId="77777777" w:rsidR="008E1AF8" w:rsidRPr="00C91693" w:rsidRDefault="008E1AF8" w:rsidP="008E1AF8">
            <w:pPr>
              <w:rPr>
                <w:szCs w:val="22"/>
              </w:rPr>
            </w:pPr>
            <w:r>
              <w:rPr>
                <w:szCs w:val="22"/>
                <w:lang w:val="es"/>
              </w:rPr>
              <w:t xml:space="preserve">Establecer procesos de toma de decisiones en materia de políticas de P.I., a nivel nacional y regional en la esfera </w:t>
            </w:r>
            <w:r>
              <w:rPr>
                <w:szCs w:val="22"/>
                <w:lang w:val="es"/>
              </w:rPr>
              <w:lastRenderedPageBreak/>
              <w:t>del Sur, que sean más fundamentados y tengan en cuenta su propio contexto socioeconómico;</w:t>
            </w:r>
          </w:p>
          <w:p w14:paraId="283324E8" w14:textId="77777777" w:rsidR="008E1AF8" w:rsidRPr="00C91693" w:rsidRDefault="008E1AF8" w:rsidP="008E1AF8">
            <w:pPr>
              <w:rPr>
                <w:szCs w:val="22"/>
              </w:rPr>
            </w:pPr>
          </w:p>
          <w:p w14:paraId="4D1BB14C" w14:textId="77777777" w:rsidR="008E1AF8" w:rsidRPr="00C91693" w:rsidRDefault="008E1AF8" w:rsidP="008E1AF8">
            <w:pPr>
              <w:rPr>
                <w:szCs w:val="22"/>
              </w:rPr>
            </w:pPr>
            <w:r>
              <w:rPr>
                <w:szCs w:val="22"/>
                <w:lang w:val="es"/>
              </w:rPr>
              <w:t xml:space="preserve">Mejorar la protección de las creaciones nacionales y fomentar la innovación en los países en desarrollo y los PMA; </w:t>
            </w:r>
          </w:p>
          <w:p w14:paraId="3A6D825B" w14:textId="77777777" w:rsidR="008E1AF8" w:rsidRPr="00C91693" w:rsidRDefault="008E1AF8" w:rsidP="008E1AF8">
            <w:pPr>
              <w:rPr>
                <w:szCs w:val="22"/>
              </w:rPr>
            </w:pPr>
          </w:p>
          <w:p w14:paraId="162EBD6B" w14:textId="77777777" w:rsidR="008E1AF8" w:rsidRPr="00C91693" w:rsidRDefault="008E1AF8" w:rsidP="008E1AF8">
            <w:pPr>
              <w:rPr>
                <w:szCs w:val="22"/>
              </w:rPr>
            </w:pPr>
            <w:r>
              <w:rPr>
                <w:szCs w:val="22"/>
                <w:lang w:val="es"/>
              </w:rPr>
              <w:t>Promocionar la transferencia y difusión de la tecnología;</w:t>
            </w:r>
          </w:p>
          <w:p w14:paraId="1A257BFA" w14:textId="77777777" w:rsidR="008E1AF8" w:rsidRPr="00C91693" w:rsidRDefault="008E1AF8" w:rsidP="008E1AF8">
            <w:pPr>
              <w:rPr>
                <w:szCs w:val="22"/>
              </w:rPr>
            </w:pPr>
          </w:p>
          <w:p w14:paraId="2B11F1F3" w14:textId="77777777" w:rsidR="008E1AF8" w:rsidRPr="00C91693" w:rsidRDefault="008E1AF8" w:rsidP="008E1AF8">
            <w:pPr>
              <w:rPr>
                <w:szCs w:val="22"/>
              </w:rPr>
            </w:pPr>
            <w:r>
              <w:rPr>
                <w:szCs w:val="22"/>
                <w:lang w:val="es"/>
              </w:rPr>
              <w:t xml:space="preserve">Mejorar la infraestructura y fortalecer las capacidades de los países en desarrollo y de los PMA para hacer un uso más eficaz de la P.I. en pro del desarrollo, teniendo en cuenta las condiciones socioeconómicas imperantes en cada país, y sus diferentes niveles de desarrollo; y </w:t>
            </w:r>
          </w:p>
          <w:p w14:paraId="6A7BBFBB" w14:textId="77777777" w:rsidR="008E1AF8" w:rsidRPr="00C91693" w:rsidRDefault="008E1AF8" w:rsidP="008E1AF8">
            <w:pPr>
              <w:rPr>
                <w:szCs w:val="22"/>
              </w:rPr>
            </w:pPr>
          </w:p>
          <w:p w14:paraId="28775B93" w14:textId="77777777" w:rsidR="008E1AF8" w:rsidRPr="00C91693" w:rsidRDefault="008E1AF8" w:rsidP="008E1AF8">
            <w:pPr>
              <w:rPr>
                <w:szCs w:val="22"/>
              </w:rPr>
            </w:pPr>
            <w:r>
              <w:rPr>
                <w:szCs w:val="22"/>
                <w:lang w:val="es"/>
              </w:rPr>
              <w:t>Fortalecer las capacidades de los países en desarrollo y de los PMA de modo tal que puedan compartir sus conocimientos y experiencia en el ámbito de la P.I. y el desarrollo.</w:t>
            </w:r>
          </w:p>
          <w:p w14:paraId="0600ECCC" w14:textId="77777777" w:rsidR="008E1AF8" w:rsidRPr="00C91693" w:rsidRDefault="008E1AF8" w:rsidP="008E1AF8">
            <w:pPr>
              <w:keepNext/>
              <w:keepLines/>
              <w:rPr>
                <w:szCs w:val="22"/>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6C891224" w14:textId="77777777" w:rsidR="008E1AF8" w:rsidRPr="00C91693" w:rsidRDefault="008E1AF8" w:rsidP="008E1AF8">
            <w:pPr>
              <w:autoSpaceDE w:val="0"/>
              <w:autoSpaceDN w:val="0"/>
              <w:adjustRightInd w:val="0"/>
              <w:rPr>
                <w:szCs w:val="22"/>
              </w:rPr>
            </w:pPr>
          </w:p>
          <w:p w14:paraId="6189EC95" w14:textId="77777777" w:rsidR="008E1AF8" w:rsidRPr="00C91693" w:rsidRDefault="008E1AF8" w:rsidP="008E1AF8">
            <w:pPr>
              <w:autoSpaceDE w:val="0"/>
              <w:autoSpaceDN w:val="0"/>
              <w:adjustRightInd w:val="0"/>
              <w:rPr>
                <w:szCs w:val="22"/>
              </w:rPr>
            </w:pPr>
            <w:r>
              <w:rPr>
                <w:szCs w:val="22"/>
                <w:lang w:val="es"/>
              </w:rPr>
              <w:t>Repercusiones en las prácticas de los Estados miembros, en particular las relativas a la concepción de las políticas y legislaciones nacionales en materia de P.I., y su aplicación, así como en la utilización de las flexibilidades previstas en relación con la P.I. (Cuestionario).</w:t>
            </w:r>
          </w:p>
          <w:p w14:paraId="0345F390" w14:textId="77777777" w:rsidR="008E1AF8" w:rsidRPr="00C91693" w:rsidRDefault="008E1AF8" w:rsidP="008E1AF8">
            <w:pPr>
              <w:autoSpaceDE w:val="0"/>
              <w:autoSpaceDN w:val="0"/>
              <w:adjustRightInd w:val="0"/>
              <w:rPr>
                <w:szCs w:val="22"/>
              </w:rPr>
            </w:pPr>
          </w:p>
          <w:p w14:paraId="2D9D9037" w14:textId="77777777" w:rsidR="008E1AF8" w:rsidRPr="00C91693" w:rsidRDefault="008E1AF8" w:rsidP="008E1AF8">
            <w:pPr>
              <w:autoSpaceDE w:val="0"/>
              <w:autoSpaceDN w:val="0"/>
              <w:adjustRightInd w:val="0"/>
              <w:rPr>
                <w:szCs w:val="22"/>
              </w:rPr>
            </w:pPr>
            <w:r>
              <w:rPr>
                <w:szCs w:val="22"/>
                <w:lang w:val="es"/>
              </w:rPr>
              <w:t>Estadísticas sobre la utilización del mecanismo de vinculación.</w:t>
            </w:r>
          </w:p>
          <w:p w14:paraId="10B24A9A" w14:textId="77777777" w:rsidR="008E1AF8" w:rsidRPr="00C91693" w:rsidRDefault="008E1AF8" w:rsidP="008E1AF8">
            <w:pPr>
              <w:autoSpaceDE w:val="0"/>
              <w:autoSpaceDN w:val="0"/>
              <w:adjustRightInd w:val="0"/>
              <w:rPr>
                <w:szCs w:val="22"/>
              </w:rPr>
            </w:pPr>
          </w:p>
          <w:p w14:paraId="22E4BE67" w14:textId="77777777" w:rsidR="008E1AF8" w:rsidRPr="00C91693" w:rsidRDefault="008E1AF8" w:rsidP="008E1AF8">
            <w:pPr>
              <w:autoSpaceDE w:val="0"/>
              <w:autoSpaceDN w:val="0"/>
              <w:adjustRightInd w:val="0"/>
              <w:rPr>
                <w:szCs w:val="22"/>
              </w:rPr>
            </w:pPr>
          </w:p>
          <w:p w14:paraId="3C6941B2" w14:textId="77777777" w:rsidR="008E1AF8" w:rsidRPr="00C91693" w:rsidRDefault="008E1AF8" w:rsidP="008E1AF8">
            <w:pPr>
              <w:autoSpaceDE w:val="0"/>
              <w:autoSpaceDN w:val="0"/>
              <w:adjustRightInd w:val="0"/>
              <w:rPr>
                <w:szCs w:val="22"/>
              </w:rPr>
            </w:pPr>
          </w:p>
          <w:p w14:paraId="2D0A200F" w14:textId="77777777" w:rsidR="008E1AF8" w:rsidRPr="00C91693" w:rsidRDefault="008E1AF8" w:rsidP="008E1AF8">
            <w:pPr>
              <w:autoSpaceDE w:val="0"/>
              <w:autoSpaceDN w:val="0"/>
              <w:adjustRightInd w:val="0"/>
              <w:rPr>
                <w:szCs w:val="22"/>
              </w:rPr>
            </w:pPr>
            <w:r>
              <w:rPr>
                <w:szCs w:val="22"/>
                <w:lang w:val="es"/>
              </w:rPr>
              <w:t>Estadísticas y opiniones respecto del uso de la página web.</w:t>
            </w:r>
          </w:p>
          <w:p w14:paraId="787CA37B" w14:textId="77777777" w:rsidR="008E1AF8" w:rsidRPr="00C91693" w:rsidRDefault="008E1AF8" w:rsidP="008E1AF8">
            <w:pPr>
              <w:autoSpaceDE w:val="0"/>
              <w:autoSpaceDN w:val="0"/>
              <w:adjustRightInd w:val="0"/>
              <w:rPr>
                <w:szCs w:val="22"/>
              </w:rPr>
            </w:pPr>
          </w:p>
          <w:p w14:paraId="6098A330" w14:textId="77777777" w:rsidR="008E1AF8" w:rsidRPr="00C91693" w:rsidRDefault="008E1AF8" w:rsidP="008E1AF8">
            <w:pPr>
              <w:autoSpaceDE w:val="0"/>
              <w:autoSpaceDN w:val="0"/>
              <w:adjustRightInd w:val="0"/>
              <w:rPr>
                <w:szCs w:val="22"/>
              </w:rPr>
            </w:pPr>
            <w:r>
              <w:rPr>
                <w:szCs w:val="22"/>
                <w:lang w:val="es"/>
              </w:rPr>
              <w:t>Estadísticas y opiniones sobre la utilización de la red virtual.</w:t>
            </w:r>
          </w:p>
          <w:p w14:paraId="5AB94BDE" w14:textId="77777777" w:rsidR="008E1AF8" w:rsidRPr="00C91693" w:rsidRDefault="008E1AF8" w:rsidP="008E1AF8">
            <w:pPr>
              <w:autoSpaceDE w:val="0"/>
              <w:autoSpaceDN w:val="0"/>
              <w:adjustRightInd w:val="0"/>
              <w:rPr>
                <w:szCs w:val="22"/>
              </w:rPr>
            </w:pPr>
          </w:p>
          <w:p w14:paraId="11A05EEA" w14:textId="77777777" w:rsidR="008E1AF8" w:rsidRPr="00C91693" w:rsidRDefault="008E1AF8" w:rsidP="008E1AF8">
            <w:pPr>
              <w:autoSpaceDE w:val="0"/>
              <w:autoSpaceDN w:val="0"/>
              <w:adjustRightInd w:val="0"/>
              <w:rPr>
                <w:szCs w:val="22"/>
              </w:rPr>
            </w:pPr>
            <w:r>
              <w:rPr>
                <w:szCs w:val="22"/>
                <w:lang w:val="es"/>
              </w:rPr>
              <w:lastRenderedPageBreak/>
              <w:t>Estadísticas sobre la utilización, por parte de los países en desarrollo y de los PMA, de los servicios prestados por los consultores.</w:t>
            </w:r>
          </w:p>
          <w:p w14:paraId="5065F3A0" w14:textId="77777777" w:rsidR="008E1AF8" w:rsidRPr="00C91693" w:rsidRDefault="008E1AF8" w:rsidP="008E1AF8">
            <w:pPr>
              <w:keepNext/>
              <w:keepLines/>
              <w:rPr>
                <w:szCs w:val="22"/>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724018F0" w14:textId="77777777" w:rsidR="008E1AF8" w:rsidRPr="00C91693" w:rsidRDefault="008E1AF8" w:rsidP="008E1AF8">
            <w:pPr>
              <w:rPr>
                <w:szCs w:val="22"/>
              </w:rPr>
            </w:pPr>
          </w:p>
          <w:p w14:paraId="2009AAE5" w14:textId="77777777" w:rsidR="008E1AF8" w:rsidRPr="00C91693" w:rsidRDefault="008E1AF8" w:rsidP="008E1AF8">
            <w:pPr>
              <w:rPr>
                <w:szCs w:val="22"/>
              </w:rPr>
            </w:pPr>
            <w:r>
              <w:rPr>
                <w:szCs w:val="22"/>
                <w:lang w:val="es"/>
              </w:rPr>
              <w:t xml:space="preserve">Para obtener una evaluación exhaustiva de los efectos, pertinencia y eficacia del proyecto, véase el informe de evaluación final del proyecto [documento CDIP/13/4].    </w:t>
            </w:r>
          </w:p>
          <w:p w14:paraId="2DEDE8D6" w14:textId="77777777" w:rsidR="008E1AF8" w:rsidRPr="00C91693" w:rsidRDefault="008E1AF8" w:rsidP="008E1AF8">
            <w:pPr>
              <w:rPr>
                <w:szCs w:val="22"/>
              </w:rPr>
            </w:pPr>
          </w:p>
          <w:p w14:paraId="1B0A24D3" w14:textId="77777777" w:rsidR="008E1AF8" w:rsidRPr="00C91693" w:rsidRDefault="008E1AF8" w:rsidP="008E1AF8">
            <w:pPr>
              <w:rPr>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14:paraId="6F336646" w14:textId="77777777" w:rsidR="008E1AF8" w:rsidRPr="00C91693" w:rsidRDefault="008E1AF8" w:rsidP="008E1AF8">
            <w:pPr>
              <w:keepNext/>
              <w:keepLines/>
              <w:jc w:val="center"/>
              <w:rPr>
                <w:szCs w:val="22"/>
              </w:rPr>
            </w:pPr>
          </w:p>
          <w:p w14:paraId="21E79167" w14:textId="77777777" w:rsidR="008E1AF8" w:rsidRPr="0016236F" w:rsidRDefault="008E1AF8" w:rsidP="008E1AF8">
            <w:pPr>
              <w:keepNext/>
              <w:keepLines/>
              <w:jc w:val="center"/>
              <w:rPr>
                <w:szCs w:val="22"/>
              </w:rPr>
            </w:pPr>
            <w:r>
              <w:rPr>
                <w:szCs w:val="22"/>
                <w:lang w:val="es"/>
              </w:rPr>
              <w:t>****</w:t>
            </w:r>
          </w:p>
        </w:tc>
      </w:tr>
    </w:tbl>
    <w:p w14:paraId="69C3A2A6" w14:textId="77777777" w:rsidR="008E1AF8" w:rsidRPr="0016236F" w:rsidRDefault="008E1AF8" w:rsidP="008E1AF8">
      <w:pPr>
        <w:rPr>
          <w:szCs w:val="22"/>
        </w:rPr>
      </w:pPr>
    </w:p>
    <w:p w14:paraId="1143A561" w14:textId="77777777" w:rsidR="008E1AF8" w:rsidRPr="0016236F" w:rsidRDefault="008E1AF8" w:rsidP="008E1AF8">
      <w:pPr>
        <w:pStyle w:val="Endofdocument-Annex"/>
      </w:pPr>
      <w:r>
        <w:rPr>
          <w:lang w:val="es"/>
        </w:rPr>
        <w:t>[Sigue el Anexo VII]</w:t>
      </w:r>
    </w:p>
    <w:p w14:paraId="6B2C435E" w14:textId="77777777" w:rsidR="008E1AF8" w:rsidRPr="0016236F" w:rsidRDefault="008E1AF8" w:rsidP="008E1AF8">
      <w:pPr>
        <w:pStyle w:val="Endofdocument-Annex"/>
      </w:pPr>
    </w:p>
    <w:p w14:paraId="1C2151C8" w14:textId="77777777" w:rsidR="008E1AF8" w:rsidRPr="0016236F" w:rsidRDefault="008E1AF8" w:rsidP="008E1AF8">
      <w:pPr>
        <w:sectPr w:rsidR="008E1AF8" w:rsidRPr="0016236F" w:rsidSect="008E1AF8">
          <w:headerReference w:type="default" r:id="rId70"/>
          <w:footerReference w:type="default" r:id="rId71"/>
          <w:headerReference w:type="first" r:id="rId72"/>
          <w:footerReference w:type="first" r:id="rId73"/>
          <w:pgSz w:w="11907" w:h="16840" w:code="9"/>
          <w:pgMar w:top="992" w:right="1418" w:bottom="1134" w:left="1418" w:header="510" w:footer="1021" w:gutter="0"/>
          <w:pgNumType w:start="1"/>
          <w:cols w:space="720"/>
          <w:titlePg/>
        </w:sectPr>
      </w:pPr>
    </w:p>
    <w:p w14:paraId="454B1709" w14:textId="77777777" w:rsidR="008E1AF8" w:rsidRPr="00C91693" w:rsidRDefault="008E1AF8" w:rsidP="008E1AF8">
      <w:pPr>
        <w:rPr>
          <w:bCs/>
        </w:rPr>
      </w:pPr>
      <w:r>
        <w:rPr>
          <w:i/>
          <w:iCs/>
          <w:szCs w:val="22"/>
          <w:lang w:val="es"/>
        </w:rPr>
        <w:lastRenderedPageBreak/>
        <w:t>Recomendación 1:</w:t>
      </w:r>
      <w:r>
        <w:rPr>
          <w:lang w:val="es"/>
        </w:rPr>
        <w:t xml:space="preserve">  La asistencia técnica de la OMPI deberá, entre otras cosas, estar orientada a potenciar el desarrollo y obedecer a una demanda, ser transparente y tener en cuenta las prioridades y necesidades especiales de los países en desarrollo, especialmente las de los países menos adelantados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p>
    <w:p w14:paraId="6CBF82A4" w14:textId="77777777" w:rsidR="008E1AF8" w:rsidRPr="00C91693" w:rsidRDefault="008E1AF8" w:rsidP="008E1AF8">
      <w:pPr>
        <w:rPr>
          <w:bCs/>
        </w:rPr>
      </w:pPr>
    </w:p>
    <w:p w14:paraId="0A03CDA2" w14:textId="77777777" w:rsidR="008E1AF8" w:rsidRPr="00C91693" w:rsidRDefault="008E1AF8" w:rsidP="008E1AF8">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3"/>
        <w:gridCol w:w="7398"/>
      </w:tblGrid>
      <w:tr w:rsidR="008E1AF8" w:rsidRPr="0016236F" w14:paraId="09C4A8B8" w14:textId="77777777" w:rsidTr="008E1AF8">
        <w:trPr>
          <w:trHeight w:val="374"/>
          <w:tblHeader/>
        </w:trPr>
        <w:tc>
          <w:tcPr>
            <w:tcW w:w="6403" w:type="dxa"/>
            <w:shd w:val="clear" w:color="auto" w:fill="auto"/>
            <w:vAlign w:val="center"/>
          </w:tcPr>
          <w:p w14:paraId="4EF483A9" w14:textId="77777777" w:rsidR="008E1AF8" w:rsidRPr="0016236F" w:rsidRDefault="008E1AF8" w:rsidP="008E1AF8">
            <w:pPr>
              <w:keepNext/>
              <w:autoSpaceDE w:val="0"/>
              <w:spacing w:before="240" w:after="60"/>
              <w:outlineLvl w:val="2"/>
              <w:rPr>
                <w:bCs/>
                <w:szCs w:val="26"/>
                <w:u w:val="single"/>
              </w:rPr>
            </w:pPr>
            <w:r>
              <w:rPr>
                <w:lang w:val="es"/>
              </w:rPr>
              <w:t xml:space="preserve"> </w:t>
            </w:r>
            <w:r>
              <w:rPr>
                <w:szCs w:val="26"/>
                <w:u w:val="single"/>
                <w:lang w:val="es"/>
              </w:rPr>
              <w:t>Estrategias de ejecución</w:t>
            </w:r>
          </w:p>
          <w:p w14:paraId="156BD2FF" w14:textId="77777777" w:rsidR="008E1AF8" w:rsidRPr="0016236F" w:rsidRDefault="008E1AF8" w:rsidP="008E1AF8"/>
        </w:tc>
        <w:tc>
          <w:tcPr>
            <w:tcW w:w="7398" w:type="dxa"/>
            <w:tcBorders>
              <w:bottom w:val="single" w:sz="4" w:space="0" w:color="auto"/>
            </w:tcBorders>
            <w:shd w:val="clear" w:color="auto" w:fill="auto"/>
            <w:vAlign w:val="center"/>
          </w:tcPr>
          <w:p w14:paraId="648A49FD" w14:textId="77777777" w:rsidR="008E1AF8" w:rsidRPr="0016236F" w:rsidRDefault="008E1AF8" w:rsidP="008E1AF8">
            <w:pPr>
              <w:keepNext/>
              <w:autoSpaceDE w:val="0"/>
              <w:spacing w:before="240" w:after="60"/>
              <w:outlineLvl w:val="2"/>
              <w:rPr>
                <w:bCs/>
                <w:szCs w:val="26"/>
                <w:u w:val="single"/>
              </w:rPr>
            </w:pPr>
            <w:r>
              <w:rPr>
                <w:szCs w:val="26"/>
                <w:u w:val="single"/>
                <w:lang w:val="es"/>
              </w:rPr>
              <w:t>Logros</w:t>
            </w:r>
          </w:p>
          <w:p w14:paraId="28456872" w14:textId="77777777" w:rsidR="008E1AF8" w:rsidRPr="0016236F" w:rsidRDefault="008E1AF8" w:rsidP="008E1AF8"/>
        </w:tc>
      </w:tr>
      <w:tr w:rsidR="008E1AF8" w:rsidRPr="00C91693" w14:paraId="76BE9962" w14:textId="77777777" w:rsidTr="008E1AF8">
        <w:tblPrEx>
          <w:tblCellMar>
            <w:top w:w="108" w:type="dxa"/>
            <w:bottom w:w="108" w:type="dxa"/>
          </w:tblCellMar>
        </w:tblPrEx>
        <w:trPr>
          <w:trHeight w:val="2668"/>
        </w:trPr>
        <w:tc>
          <w:tcPr>
            <w:tcW w:w="6403" w:type="dxa"/>
            <w:shd w:val="clear" w:color="auto" w:fill="auto"/>
          </w:tcPr>
          <w:p w14:paraId="58896360" w14:textId="77777777" w:rsidR="008E1AF8" w:rsidRPr="00C91693" w:rsidRDefault="008E1AF8" w:rsidP="008E1AF8"/>
          <w:p w14:paraId="29B62D1F" w14:textId="77777777" w:rsidR="008E1AF8" w:rsidRPr="00C91693" w:rsidRDefault="008E1AF8" w:rsidP="008E1AF8">
            <w:r>
              <w:rPr>
                <w:lang w:val="es"/>
              </w:rPr>
              <w:t>La asistencia técnica se emprendió a instancias de los Estados miembros y se concibió, formuló y aplicó tras mantener extensas consultas y en estrecha cooperación con los países interesados, con el fin de responder plena y específicamente a sus necesidades, prioridades y niveles de desarrollo, centrando especialmente la atención en las necesidades de los PMA.</w:t>
            </w:r>
          </w:p>
          <w:p w14:paraId="4CEDD088" w14:textId="77777777" w:rsidR="008E1AF8" w:rsidRPr="00C91693" w:rsidRDefault="008E1AF8" w:rsidP="008E1AF8"/>
          <w:p w14:paraId="5A65DC2E" w14:textId="77777777" w:rsidR="008E1AF8" w:rsidRPr="00C91693" w:rsidRDefault="008E1AF8" w:rsidP="008E1AF8">
            <w:r>
              <w:rPr>
                <w:lang w:val="es"/>
              </w:rPr>
              <w:t>Se prestó asistencia a los países para formular estrategias nacionales de propiedad intelectual (P.I.), dando participación a todas las partes interesadas.  El objetivo global de esas estrategias fue contribuir al desarrollo económico, social, cultural y tecnológico de los países beneficiarios mediante la utilización eficaz del sistema de P.I.</w:t>
            </w:r>
          </w:p>
          <w:p w14:paraId="10BCA456" w14:textId="77777777" w:rsidR="008E1AF8" w:rsidRPr="00C91693" w:rsidRDefault="008E1AF8" w:rsidP="008E1AF8"/>
          <w:p w14:paraId="2FF91FA1" w14:textId="77777777" w:rsidR="008E1AF8" w:rsidRPr="00C91693" w:rsidRDefault="008E1AF8" w:rsidP="008E1AF8">
            <w:r>
              <w:rPr>
                <w:lang w:val="es"/>
              </w:rPr>
              <w:t>La responsabilidad de elaboración de los procesos recayó principalmente en los países interesados, manteniendo la OMPI el pleno compromiso de brindar toda la asistencia técnica y la cooperación necesarias de manera eficiente, oportuna y económica.</w:t>
            </w:r>
          </w:p>
        </w:tc>
        <w:tc>
          <w:tcPr>
            <w:tcW w:w="7398" w:type="dxa"/>
            <w:shd w:val="clear" w:color="auto" w:fill="auto"/>
          </w:tcPr>
          <w:p w14:paraId="033F39A9" w14:textId="77777777" w:rsidR="008E1AF8" w:rsidRPr="00C91693" w:rsidRDefault="008E1AF8" w:rsidP="008E1AF8"/>
          <w:p w14:paraId="2B93B787" w14:textId="77777777" w:rsidR="008E1AF8" w:rsidRPr="00C91693" w:rsidRDefault="008E1AF8" w:rsidP="008E1AF8">
            <w:r>
              <w:rPr>
                <w:lang w:val="es"/>
              </w:rPr>
              <w:t xml:space="preserve">Se han elaborado y se ejecutan actividades de asistencia técnica en materia de P.I. y programas de formación en todas las regiones, teniendo en cuenta las necesidades específicas de los países y su nivel de desarrollo. </w:t>
            </w:r>
          </w:p>
          <w:p w14:paraId="5CF4732F" w14:textId="77777777" w:rsidR="008E1AF8" w:rsidRPr="00C91693" w:rsidRDefault="008E1AF8" w:rsidP="008E1AF8"/>
          <w:p w14:paraId="28F3CB4F" w14:textId="3ADE0510" w:rsidR="008E1AF8" w:rsidRPr="00C91693" w:rsidRDefault="008E1AF8" w:rsidP="008E1AF8">
            <w:r>
              <w:rPr>
                <w:lang w:val="es"/>
              </w:rPr>
              <w:t xml:space="preserve">Las bases de datos especializadas continuaron utilizándose como recurso para documentar la prestación de asistencia técnica y elaborar informes al respecto, en particular la Base de datos de asistencia técnica en materia de P.I. (IP-TAD) (que puede consultarse en http://www.wipo.int/tad/es/), </w:t>
            </w:r>
            <w:r w:rsidR="00334EBE">
              <w:rPr>
                <w:lang w:val="es"/>
              </w:rPr>
              <w:t xml:space="preserve">la </w:t>
            </w:r>
            <w:r>
              <w:rPr>
                <w:lang w:val="es"/>
              </w:rPr>
              <w:t xml:space="preserve">lista de consultores (ROC) y las nuevas interfaces creadas específicamente para almacenar información sobre la cooperación Sur-Sur y la Base de datos de vinculación para atender las necesidades de desarrollo en materia de P.I. (IP-DMD).  </w:t>
            </w:r>
          </w:p>
          <w:p w14:paraId="2BCB6B7E" w14:textId="77777777" w:rsidR="008E1AF8" w:rsidRPr="00C91693" w:rsidRDefault="008E1AF8" w:rsidP="008E1AF8"/>
          <w:p w14:paraId="35E799CA" w14:textId="77777777" w:rsidR="008E1AF8" w:rsidRPr="00C91693" w:rsidRDefault="008E1AF8" w:rsidP="008E1AF8">
            <w:r>
              <w:rPr>
                <w:lang w:val="es"/>
              </w:rPr>
              <w:t>Nueve países (seis de África, dos de Asia y el Pacífico y uno de América Latina y el Caribe) pusieron en marcha el proceso de formular estrategias y planes de desarrollo nacionales sobre P.I., y 18 países (seis de África, tres de la región árabe, cuatro de Asia y el Pacífico y cinco de América Latina y el Caribe) todavía estaban trabajando en su formulación o adopción a finales de 2014.</w:t>
            </w:r>
          </w:p>
          <w:p w14:paraId="1103AC22" w14:textId="77777777" w:rsidR="008E1AF8" w:rsidRPr="00C91693" w:rsidRDefault="008E1AF8" w:rsidP="008E1AF8"/>
          <w:p w14:paraId="54EF4E58" w14:textId="77777777" w:rsidR="008E1AF8" w:rsidRPr="00C91693" w:rsidRDefault="008E1AF8" w:rsidP="008E1AF8">
            <w:r>
              <w:rPr>
                <w:lang w:val="es"/>
              </w:rPr>
              <w:t xml:space="preserve">A fin de recabar datos de referencia que se puedan utilizar en procesos nacionales de formulación de estrategias en materia de P.I. se creó una nueva base de datos, la base de datos relativa a las estrategias </w:t>
            </w:r>
            <w:r>
              <w:rPr>
                <w:lang w:val="es"/>
              </w:rPr>
              <w:lastRenderedPageBreak/>
              <w:t>nacionales de P.I. (NIPS-D).</w:t>
            </w:r>
          </w:p>
          <w:p w14:paraId="7B9D766F" w14:textId="77777777" w:rsidR="008E1AF8" w:rsidRPr="00C91693" w:rsidRDefault="008E1AF8" w:rsidP="008E1AF8"/>
          <w:p w14:paraId="62D572D0" w14:textId="77777777" w:rsidR="008E1AF8" w:rsidRPr="00C91693" w:rsidRDefault="008E1AF8" w:rsidP="008E1AF8">
            <w:r>
              <w:rPr>
                <w:lang w:val="es"/>
              </w:rPr>
              <w:t>En el empeño por sacar el máximo partido de las bases de datos de asistencia técnica, se recabaron observaciones de los usuarios con miras a mejorar sus funciones y a aumentar su posible utilización, no solo a los fines de documentación y elaboración de informes de toda la Organización, sino también en beneficio de los Estados miembros, adaptándolas apropiadamente. En este sentido, y a petición de dos Estados miembros, la base de datos IP-TAD y la lista ROC se adaptaron para satisfacer los requisitos de documentación y elaboración de informes de las actividades llevadas a cabo a escala nacional.</w:t>
            </w:r>
          </w:p>
          <w:p w14:paraId="31A28462" w14:textId="77777777" w:rsidR="008E1AF8" w:rsidRPr="00C91693" w:rsidRDefault="008E1AF8" w:rsidP="008E1AF8"/>
          <w:p w14:paraId="42BD6FE1" w14:textId="77777777" w:rsidR="008E1AF8" w:rsidRPr="00C91693" w:rsidRDefault="008E1AF8" w:rsidP="008E1AF8">
            <w:r>
              <w:rPr>
                <w:lang w:val="es"/>
              </w:rPr>
              <w:t>Además de las actividades registradas en la base de datos IP–TAD, puede encontrarse más información sobre los logros relativos a esta recomendación en el Informe sobre el rendimiento de los programas en 2014 (documento WO/PBC/23/2), en particular en los programas 9 y 10.</w:t>
            </w:r>
          </w:p>
          <w:p w14:paraId="7879E121" w14:textId="77777777" w:rsidR="008E1AF8" w:rsidRPr="00C91693" w:rsidRDefault="008E1AF8" w:rsidP="008E1AF8"/>
        </w:tc>
      </w:tr>
    </w:tbl>
    <w:p w14:paraId="090F421C" w14:textId="77777777" w:rsidR="008E1AF8" w:rsidRPr="00C91693" w:rsidRDefault="008E1AF8" w:rsidP="008E1AF8">
      <w:pPr>
        <w:rPr>
          <w:bCs/>
          <w:i/>
          <w:szCs w:val="22"/>
        </w:rPr>
      </w:pPr>
    </w:p>
    <w:p w14:paraId="2967E93D" w14:textId="62C85A37" w:rsidR="008E1AF8" w:rsidRPr="00C91693" w:rsidRDefault="008E1AF8" w:rsidP="008E1AF8">
      <w:pPr>
        <w:rPr>
          <w:bCs/>
          <w:i/>
          <w:szCs w:val="22"/>
        </w:rPr>
      </w:pPr>
    </w:p>
    <w:p w14:paraId="2E6C5545" w14:textId="77777777" w:rsidR="00321E1F" w:rsidRDefault="00321E1F">
      <w:pPr>
        <w:rPr>
          <w:i/>
          <w:iCs/>
          <w:szCs w:val="22"/>
          <w:lang w:val="es"/>
        </w:rPr>
      </w:pPr>
      <w:r>
        <w:rPr>
          <w:i/>
          <w:iCs/>
          <w:szCs w:val="22"/>
          <w:lang w:val="es"/>
        </w:rPr>
        <w:br w:type="page"/>
      </w:r>
    </w:p>
    <w:p w14:paraId="126BA46D" w14:textId="53097F7A" w:rsidR="008E1AF8" w:rsidRPr="00C91693" w:rsidRDefault="008E1AF8" w:rsidP="008E1AF8">
      <w:pPr>
        <w:rPr>
          <w:bCs/>
        </w:rPr>
      </w:pPr>
      <w:r>
        <w:rPr>
          <w:i/>
          <w:iCs/>
          <w:szCs w:val="22"/>
          <w:lang w:val="es"/>
        </w:rPr>
        <w:lastRenderedPageBreak/>
        <w:t>Recomendación 3:</w:t>
      </w:r>
      <w:r>
        <w:rPr>
          <w:i/>
          <w:iCs/>
          <w:szCs w:val="28"/>
          <w:lang w:val="es"/>
        </w:rPr>
        <w:t xml:space="preserve"> </w:t>
      </w:r>
      <w:r>
        <w:rPr>
          <w:lang w:val="es"/>
        </w:rPr>
        <w:t xml:space="preserve"> Aumentar la asignación de recursos humanos y financieros a los programas de asistencia técnica de la OMPI con el fin de fomentar, entre otras cosas, una cultura de P.I. orientada a impulsar el desarrollo, haciendo hincapié en la introducción de la P.I. en los diferentes niveles de enseñanza y en una mayor sensibilización del público acerca de la P.I.</w:t>
      </w:r>
    </w:p>
    <w:p w14:paraId="468FA637" w14:textId="77777777" w:rsidR="008E1AF8" w:rsidRPr="00C91693" w:rsidRDefault="008E1AF8" w:rsidP="008E1AF8">
      <w:pPr>
        <w:rPr>
          <w:bCs/>
        </w:rPr>
      </w:pPr>
    </w:p>
    <w:p w14:paraId="0FE863CD" w14:textId="77777777" w:rsidR="008E1AF8" w:rsidRPr="00C91693" w:rsidRDefault="008E1AF8" w:rsidP="008E1AF8">
      <w:pPr>
        <w:rPr>
          <w:bCs/>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6"/>
        <w:gridCol w:w="9364"/>
      </w:tblGrid>
      <w:tr w:rsidR="008E1AF8" w:rsidRPr="0016236F" w14:paraId="3E50362E" w14:textId="77777777" w:rsidTr="008E1AF8">
        <w:trPr>
          <w:trHeight w:val="392"/>
          <w:tblHeader/>
        </w:trPr>
        <w:tc>
          <w:tcPr>
            <w:tcW w:w="4386" w:type="dxa"/>
            <w:tcBorders>
              <w:bottom w:val="single" w:sz="4" w:space="0" w:color="auto"/>
            </w:tcBorders>
            <w:shd w:val="clear" w:color="auto" w:fill="auto"/>
          </w:tcPr>
          <w:p w14:paraId="61495E73" w14:textId="77777777" w:rsidR="008E1AF8" w:rsidRPr="0016236F" w:rsidRDefault="008E1AF8" w:rsidP="00321E1F">
            <w:pPr>
              <w:autoSpaceDE w:val="0"/>
              <w:spacing w:before="240" w:after="60"/>
              <w:outlineLvl w:val="2"/>
              <w:rPr>
                <w:bCs/>
                <w:u w:val="single"/>
              </w:rPr>
            </w:pPr>
            <w:r>
              <w:rPr>
                <w:u w:val="single"/>
                <w:lang w:val="es"/>
              </w:rPr>
              <w:t>Estrategias de ejecución</w:t>
            </w:r>
          </w:p>
        </w:tc>
        <w:tc>
          <w:tcPr>
            <w:tcW w:w="9364" w:type="dxa"/>
            <w:tcBorders>
              <w:bottom w:val="single" w:sz="4" w:space="0" w:color="auto"/>
            </w:tcBorders>
            <w:shd w:val="clear" w:color="auto" w:fill="auto"/>
            <w:vAlign w:val="center"/>
          </w:tcPr>
          <w:p w14:paraId="56B95DB5" w14:textId="77777777" w:rsidR="008E1AF8" w:rsidRPr="0016236F" w:rsidRDefault="008E1AF8" w:rsidP="008E1AF8">
            <w:pPr>
              <w:keepNext/>
              <w:autoSpaceDE w:val="0"/>
              <w:spacing w:before="240" w:after="60"/>
              <w:outlineLvl w:val="2"/>
              <w:rPr>
                <w:bCs/>
                <w:szCs w:val="26"/>
                <w:u w:val="single"/>
              </w:rPr>
            </w:pPr>
            <w:r>
              <w:rPr>
                <w:szCs w:val="26"/>
                <w:u w:val="single"/>
                <w:lang w:val="es"/>
              </w:rPr>
              <w:t>Logros</w:t>
            </w:r>
          </w:p>
          <w:p w14:paraId="204CD33B" w14:textId="77777777" w:rsidR="008E1AF8" w:rsidRPr="0016236F" w:rsidRDefault="008E1AF8" w:rsidP="008E1AF8"/>
        </w:tc>
      </w:tr>
      <w:tr w:rsidR="008E1AF8" w:rsidRPr="00C91693" w14:paraId="222B7099" w14:textId="77777777" w:rsidTr="00321E1F">
        <w:tblPrEx>
          <w:tblCellMar>
            <w:top w:w="108" w:type="dxa"/>
            <w:bottom w:w="108" w:type="dxa"/>
          </w:tblCellMar>
        </w:tblPrEx>
        <w:trPr>
          <w:trHeight w:val="1617"/>
        </w:trPr>
        <w:tc>
          <w:tcPr>
            <w:tcW w:w="4386" w:type="dxa"/>
            <w:tcBorders>
              <w:bottom w:val="single" w:sz="4" w:space="0" w:color="auto"/>
            </w:tcBorders>
            <w:shd w:val="clear" w:color="auto" w:fill="auto"/>
          </w:tcPr>
          <w:p w14:paraId="263B61F2" w14:textId="77777777" w:rsidR="008E1AF8" w:rsidRPr="00C91693" w:rsidRDefault="008E1AF8" w:rsidP="00321E1F">
            <w:pPr>
              <w:autoSpaceDE w:val="0"/>
              <w:spacing w:before="240" w:after="60"/>
              <w:outlineLvl w:val="3"/>
              <w:rPr>
                <w:bCs/>
                <w:i/>
                <w:szCs w:val="28"/>
              </w:rPr>
            </w:pPr>
            <w:r>
              <w:rPr>
                <w:i/>
                <w:iCs/>
                <w:szCs w:val="28"/>
                <w:lang w:val="es"/>
              </w:rPr>
              <w:t>Fomentar una cultura de la P.I. orientada hacia el desarrollo y una mayor sensibilización del público acerca de la P.I.</w:t>
            </w:r>
          </w:p>
          <w:p w14:paraId="4F295595" w14:textId="77777777" w:rsidR="008E1AF8" w:rsidRPr="00C91693" w:rsidRDefault="008E1AF8" w:rsidP="008E1AF8">
            <w:pPr>
              <w:rPr>
                <w:u w:val="single"/>
              </w:rPr>
            </w:pPr>
          </w:p>
          <w:p w14:paraId="7FC518B4" w14:textId="34895175" w:rsidR="008E1AF8" w:rsidRPr="00C91693" w:rsidRDefault="008E1AF8" w:rsidP="008E1AF8">
            <w:r>
              <w:rPr>
                <w:lang w:val="es"/>
              </w:rPr>
              <w:t xml:space="preserve">Sigue siendo parte integrante de los programas y actividades de la OMPI fomentar la concienciación, en todos los sectores de la sociedad, acerca de la importancia de la función que desempeña la P.I. en el desarrollo nacional, así como el debate y el diálogo equilibrado y con conocimiento de causa sobre las cuestiones de P.I.  Como parte del proceso de fomentar una cultura de la P.I. orientada hacia el desarrollo, la OMPI promueve la participación de todas las partes interesadas de ámbito nacional mediante distintos programas y actividades.  Algunos programas están hechos a medida para las instituciones públicas, las partes interesadas en la P.I. y sus usuarios, y se dirigen a distintos sectores de la sociedad, entre otros, las universidades y los centros de investigación, las pequeñas y medianas </w:t>
            </w:r>
            <w:r>
              <w:rPr>
                <w:lang w:val="es"/>
              </w:rPr>
              <w:lastRenderedPageBreak/>
              <w:t>empresas (</w:t>
            </w:r>
            <w:r w:rsidR="000A424D">
              <w:rPr>
                <w:lang w:val="es"/>
              </w:rPr>
              <w:t>pymes</w:t>
            </w:r>
            <w:r>
              <w:rPr>
                <w:lang w:val="es"/>
              </w:rPr>
              <w:t xml:space="preserve">), las industrias culturales, los diplomáticos, los funcionarios del poder judicial, los funcionarios gubernamentales y la sociedad civil.  </w:t>
            </w:r>
          </w:p>
        </w:tc>
        <w:tc>
          <w:tcPr>
            <w:tcW w:w="9364" w:type="dxa"/>
            <w:tcBorders>
              <w:bottom w:val="single" w:sz="4" w:space="0" w:color="auto"/>
            </w:tcBorders>
            <w:shd w:val="clear" w:color="auto" w:fill="auto"/>
          </w:tcPr>
          <w:p w14:paraId="4751C0F4" w14:textId="77777777" w:rsidR="008E1AF8" w:rsidRPr="00C91693" w:rsidRDefault="008E1AF8" w:rsidP="008E1AF8"/>
          <w:p w14:paraId="26642B61" w14:textId="77777777" w:rsidR="008E1AF8" w:rsidRPr="00C91693" w:rsidRDefault="008E1AF8" w:rsidP="008E1AF8">
            <w:r>
              <w:rPr>
                <w:lang w:val="es"/>
              </w:rPr>
              <w:t>La OMPI puso en marcha el boletín quincenal WIPO WIRE en seis idiomas para un acceso fácil y periódico a las noticias de la OMPI y las novedades en materia de P.I.</w:t>
            </w:r>
          </w:p>
          <w:p w14:paraId="6BE100CD" w14:textId="77777777" w:rsidR="008E1AF8" w:rsidRPr="00C91693" w:rsidRDefault="008E1AF8" w:rsidP="008E1AF8"/>
          <w:p w14:paraId="31E8AD23" w14:textId="77777777" w:rsidR="008E1AF8" w:rsidRPr="00C91693" w:rsidRDefault="008E1AF8" w:rsidP="008E1AF8">
            <w:r>
              <w:rPr>
                <w:lang w:val="es"/>
              </w:rPr>
              <w:t>También presentó una nueva plataforma de boletines en seis idiomas para una mayor difusión y una selección más fácil de noticias sobre temas esenciales de la OMPI y la P.I.</w:t>
            </w:r>
          </w:p>
          <w:p w14:paraId="4646EA83" w14:textId="77777777" w:rsidR="008E1AF8" w:rsidRPr="00C91693" w:rsidRDefault="008E1AF8" w:rsidP="008E1AF8"/>
          <w:p w14:paraId="299F726B" w14:textId="77777777" w:rsidR="008E1AF8" w:rsidRPr="00C91693" w:rsidRDefault="008E1AF8" w:rsidP="008E1AF8">
            <w:r>
              <w:rPr>
                <w:lang w:val="es"/>
              </w:rPr>
              <w:t>La campaña del Día Mundial de la P.I. de 2015 sobre el tema “Movilízate por la música” logró una amplia participación de los Estados miembros:  se programaron 349 actividades en 105 países;  se registraron más de 40.000 visitantes únicos a la página web dedicada al Día Mundial de la P.I. y se obtuvieron más de 800.000 impresiones en todo el mundo en relación con el contenido compartido en Facebook.</w:t>
            </w:r>
          </w:p>
          <w:p w14:paraId="64F529A4" w14:textId="77777777" w:rsidR="008E1AF8" w:rsidRPr="00C91693" w:rsidRDefault="008E1AF8" w:rsidP="008E1AF8"/>
          <w:p w14:paraId="2C4B7051" w14:textId="77777777" w:rsidR="008E1AF8" w:rsidRPr="00C91693" w:rsidRDefault="008E1AF8" w:rsidP="008E1AF8">
            <w:r>
              <w:rPr>
                <w:lang w:val="es"/>
              </w:rPr>
              <w:t>Comprensión más amplia de la función de la P.I. entre los encargados de la formulación de políticas y el público en general por medio de un flujo continuo de vídeos nuevos en el canal de Youtube de la OMPI, que superó los ocho millones de visualizaciones únicas a finales de 2014.</w:t>
            </w:r>
          </w:p>
          <w:p w14:paraId="652090F1" w14:textId="77777777" w:rsidR="008E1AF8" w:rsidRPr="00C91693" w:rsidRDefault="008E1AF8" w:rsidP="008E1AF8"/>
          <w:p w14:paraId="2D654C43" w14:textId="77777777" w:rsidR="008E1AF8" w:rsidRPr="00C91693" w:rsidRDefault="008E1AF8" w:rsidP="008E1AF8">
            <w:r>
              <w:rPr>
                <w:lang w:val="es"/>
              </w:rPr>
              <w:t>Además de las actividades registradas en la base de datos IP–TAD, puede encontrarse más información sobre los logros relativos a esta recomendación en el Informe sobre el rendimiento de los programas en 2014 (documento WO/PBC/23/2), en particular en el programa 19.</w:t>
            </w:r>
          </w:p>
        </w:tc>
      </w:tr>
    </w:tbl>
    <w:p w14:paraId="778B5148" w14:textId="6B5E0B0E" w:rsidR="00321E1F" w:rsidRDefault="00321E1F" w:rsidP="008E1AF8">
      <w:pPr>
        <w:rPr>
          <w:bCs/>
        </w:rPr>
      </w:pPr>
    </w:p>
    <w:p w14:paraId="11DAFE4B" w14:textId="1800436C" w:rsidR="002A6A48" w:rsidRDefault="002A6A48">
      <w:pPr>
        <w:rPr>
          <w:bCs/>
        </w:rPr>
      </w:pPr>
      <w:r>
        <w:rPr>
          <w:bCs/>
        </w:rPr>
        <w:br w:type="page"/>
      </w:r>
    </w:p>
    <w:p w14:paraId="2E6B746B" w14:textId="77777777" w:rsidR="008E1AF8" w:rsidRPr="00C91693" w:rsidRDefault="008E1AF8" w:rsidP="008E1AF8">
      <w:pPr>
        <w:rPr>
          <w:bCs/>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4386"/>
        <w:gridCol w:w="9364"/>
      </w:tblGrid>
      <w:tr w:rsidR="008E1AF8" w:rsidRPr="00C91693" w14:paraId="33746AF1" w14:textId="77777777" w:rsidTr="008E1AF8">
        <w:trPr>
          <w:trHeight w:val="1035"/>
        </w:trPr>
        <w:tc>
          <w:tcPr>
            <w:tcW w:w="4386" w:type="dxa"/>
            <w:shd w:val="clear" w:color="auto" w:fill="auto"/>
          </w:tcPr>
          <w:p w14:paraId="36BA1DBC" w14:textId="77777777" w:rsidR="008E1AF8" w:rsidRPr="00C91693" w:rsidRDefault="008E1AF8" w:rsidP="00321E1F">
            <w:pPr>
              <w:autoSpaceDE w:val="0"/>
              <w:spacing w:before="240" w:after="60"/>
              <w:outlineLvl w:val="3"/>
              <w:rPr>
                <w:bCs/>
                <w:i/>
                <w:szCs w:val="28"/>
              </w:rPr>
            </w:pPr>
            <w:r>
              <w:rPr>
                <w:i/>
                <w:iCs/>
                <w:szCs w:val="28"/>
                <w:lang w:val="es"/>
              </w:rPr>
              <w:t>Introducir la P.I. en los diferentes niveles de enseñanza</w:t>
            </w:r>
          </w:p>
          <w:p w14:paraId="1D138267" w14:textId="77777777" w:rsidR="008E1AF8" w:rsidRPr="00C91693" w:rsidRDefault="008E1AF8" w:rsidP="008E1AF8">
            <w:pPr>
              <w:rPr>
                <w:bCs/>
              </w:rPr>
            </w:pPr>
          </w:p>
          <w:p w14:paraId="107E5960" w14:textId="77777777" w:rsidR="008E1AF8" w:rsidRPr="00C91693" w:rsidRDefault="008E1AF8" w:rsidP="008E1AF8">
            <w:pPr>
              <w:rPr>
                <w:u w:val="single"/>
              </w:rPr>
            </w:pPr>
            <w:r>
              <w:rPr>
                <w:lang w:val="es"/>
              </w:rPr>
              <w:t>La OMPI ofreció y creó programas conjuntos con instituciones académicas en los que se otorgaron títulos o diplomas.  La OMPI estableció vínculos de cooperación estratégica con instituciones académicas, especialmente de países en desarrollo, PMA y países con economías en transición.  En este tipo de actividades, también se elaboró material didáctico y de formación y planes de estudios sobre P.I.  Se elaboraron nuevos cursos de enseñanza a distancia que pasaron a formar parte de los planes de estudios de las instituciones.  Se hizo hincapié especialmente en seguir incluyendo en los programas de la Academia de la OMPI los aspectos del sistema de P.I. relacionados con el desarrollo.</w:t>
            </w:r>
          </w:p>
        </w:tc>
        <w:tc>
          <w:tcPr>
            <w:tcW w:w="9364" w:type="dxa"/>
            <w:tcBorders>
              <w:bottom w:val="single" w:sz="4" w:space="0" w:color="auto"/>
            </w:tcBorders>
            <w:shd w:val="clear" w:color="auto" w:fill="auto"/>
          </w:tcPr>
          <w:p w14:paraId="5A3774F1" w14:textId="77777777" w:rsidR="008E1AF8" w:rsidRPr="00C91693" w:rsidRDefault="008E1AF8" w:rsidP="008E1AF8"/>
          <w:p w14:paraId="1C8E1CD1" w14:textId="77777777" w:rsidR="008E1AF8" w:rsidRPr="00C91693" w:rsidRDefault="008E1AF8" w:rsidP="008E1AF8">
            <w:r>
              <w:rPr>
                <w:lang w:val="es"/>
              </w:rPr>
              <w:t>Todos los programas elaborados por la Academia de la OMPI tienen en cuenta el uso de la P.I. para la promoción del equilibrio adecuado entre la protección de la P.I. y el interés público.  Los contenidos de la formación se actualizan constantemente tomando en consideración nuevos aspectos de la P.I. en relación con el desarrollo social y económico.</w:t>
            </w:r>
          </w:p>
          <w:p w14:paraId="12F43A8C" w14:textId="77777777" w:rsidR="008E1AF8" w:rsidRPr="00C91693" w:rsidRDefault="008E1AF8" w:rsidP="008E1AF8"/>
          <w:p w14:paraId="3E76BE50" w14:textId="77777777" w:rsidR="008E1AF8" w:rsidRPr="00C91693" w:rsidRDefault="008E1AF8" w:rsidP="008E1AF8">
            <w:r>
              <w:rPr>
                <w:lang w:val="es"/>
              </w:rPr>
              <w:t>La Academia ha preparado programas de formación para formadores dirigidos a más de 80 expertos nacionales en P.I. en cuatro países.  Se confía en que estos expertos concluyan la formación y reciban sus certificados durante el bienio 2016-17.</w:t>
            </w:r>
          </w:p>
          <w:p w14:paraId="6C6FD867" w14:textId="77777777" w:rsidR="008E1AF8" w:rsidRPr="00C91693" w:rsidRDefault="008E1AF8" w:rsidP="008E1AF8"/>
          <w:p w14:paraId="19CDE35A" w14:textId="77777777" w:rsidR="008E1AF8" w:rsidRPr="00C91693" w:rsidRDefault="008E1AF8" w:rsidP="008E1AF8">
            <w:r>
              <w:rPr>
                <w:lang w:val="es"/>
              </w:rPr>
              <w:t xml:space="preserve">El Programa para instituciones académicas continuó promoviendo sus asociaciones con seis universidades, en colaboración con organizaciones regionales y oficinas de la P.I. en la Argentina, Australia, Camerún, Italia, la República de Corea y Zimbabwe, mediante la oferta de programas conjuntos de máster sobre P.I. en inglés, francés y español.  Asimismo, la Academia de la OMPI contribuyó a la organización de programas de máster sobre propiedad intelectual en la Universidad de Los Andes (Venezuela), e inició contactos al objeto de preparar un programa académico para un programa de máster sobre P.I. en Túnez.  En 2015 se firmó un acuerdo de cooperación con la Universidad Bilkent (Turquía) para ofrecer conjuntamente un programa de máster. </w:t>
            </w:r>
          </w:p>
          <w:p w14:paraId="0A97B7CF" w14:textId="77777777" w:rsidR="008E1AF8" w:rsidRPr="00C91693" w:rsidRDefault="008E1AF8" w:rsidP="008E1AF8"/>
          <w:p w14:paraId="797337F1" w14:textId="77777777" w:rsidR="008E1AF8" w:rsidRPr="00C91693" w:rsidRDefault="008E1AF8" w:rsidP="008E1AF8">
            <w:r>
              <w:rPr>
                <w:lang w:val="es"/>
              </w:rPr>
              <w:t xml:space="preserve">La Academia ha promovido la participación de profesores universitarios de países en desarrollo y PMA en debates internacionales, en particular en la edición anual del Coloquio OMPI-OMC para profesores de P.I. y en la reunión anual de la Asociación Internacional para el Progreso de la Enseñanza y de la Investigación de la Propiedad Intelectual (ATRIP). </w:t>
            </w:r>
          </w:p>
          <w:p w14:paraId="54361E26" w14:textId="77777777" w:rsidR="008E1AF8" w:rsidRPr="00C91693" w:rsidRDefault="008E1AF8" w:rsidP="008E1AF8"/>
          <w:p w14:paraId="3B2F6C8D" w14:textId="77777777" w:rsidR="008E1AF8" w:rsidRPr="00C91693" w:rsidRDefault="008E1AF8" w:rsidP="008E1AF8">
            <w:r>
              <w:rPr>
                <w:lang w:val="es"/>
              </w:rPr>
              <w:t xml:space="preserve">El Programa de Enseñanza a Distancia colaboró con nueve universidades oficiales en la oferta de 22 sesiones especiales de cursos de enseñanza a distancia para sus alumnos.  El programa también coopera con seis oficinas nacionales de P.I. que ofrecen sesiones especiales de cursos generales de enseñanza a distancia sobre P.I. para universidades nacionales. </w:t>
            </w:r>
          </w:p>
          <w:p w14:paraId="25642169" w14:textId="77777777" w:rsidR="008E1AF8" w:rsidRPr="00C91693" w:rsidRDefault="008E1AF8" w:rsidP="008E1AF8"/>
          <w:p w14:paraId="0D6277DD" w14:textId="77777777" w:rsidR="008E1AF8" w:rsidRPr="00C91693" w:rsidRDefault="008E1AF8" w:rsidP="008E1AF8">
            <w:r>
              <w:rPr>
                <w:lang w:val="es"/>
              </w:rPr>
              <w:t>La Academia también ha continuado desarrollando formación presencial para funcionarios gubernamentales de países en desarrollo y PMA.</w:t>
            </w:r>
          </w:p>
          <w:p w14:paraId="159D0E0A" w14:textId="77777777" w:rsidR="008E1AF8" w:rsidRPr="00C91693" w:rsidRDefault="008E1AF8" w:rsidP="008E1AF8"/>
          <w:p w14:paraId="45304450" w14:textId="77777777" w:rsidR="008E1AF8" w:rsidRPr="00C91693" w:rsidRDefault="008E1AF8" w:rsidP="008E1AF8">
            <w:r>
              <w:rPr>
                <w:lang w:val="es"/>
              </w:rPr>
              <w:lastRenderedPageBreak/>
              <w:t xml:space="preserve">El proyecto de creación de academias nacionales fue evaluado satisfactoriamente e incorporado al presupuesto ordinario de la Academia de la OMPI.  Además de las seis academias nacionales de P.I. en fase de pruebas (cinco de las cuales se encuentran en funcionamiento y han otorgado certificados a más de 21.000 ciudadanos por cursos relacionados con la P.I.), la Academia ha firmado acuerdos de cooperación con dos países y ha concebido estrategias de cooperación para otros seis durante el período objeto de examen.  </w:t>
            </w:r>
          </w:p>
          <w:p w14:paraId="67B9911E" w14:textId="77777777" w:rsidR="008E1AF8" w:rsidRPr="00C91693" w:rsidRDefault="008E1AF8" w:rsidP="008E1AF8"/>
          <w:p w14:paraId="550126DB" w14:textId="77777777" w:rsidR="008E1AF8" w:rsidRPr="00C91693" w:rsidRDefault="008E1AF8" w:rsidP="008E1AF8">
            <w:r>
              <w:rPr>
                <w:lang w:val="es"/>
              </w:rPr>
              <w:t>Además de las actividades registradas en la base de datos IP–TAD, puede encontrarse más información sobre los logros relativos a esta recomendación en el Informe sobre el rendimiento de los programas en 2014 (documento WO/PBC/23/2), en particular en el programa 11.</w:t>
            </w:r>
          </w:p>
          <w:p w14:paraId="283C7C2C" w14:textId="77777777" w:rsidR="008E1AF8" w:rsidRPr="00C91693" w:rsidRDefault="008E1AF8" w:rsidP="008E1AF8"/>
        </w:tc>
      </w:tr>
    </w:tbl>
    <w:p w14:paraId="143779EB" w14:textId="0325A47F" w:rsidR="008E1AF8" w:rsidRPr="00C91693" w:rsidRDefault="008E1AF8" w:rsidP="008E1AF8">
      <w:pPr>
        <w:spacing w:after="200" w:line="276" w:lineRule="auto"/>
        <w:rPr>
          <w:bCs/>
        </w:rPr>
      </w:pPr>
      <w:r>
        <w:rPr>
          <w:lang w:val="es"/>
        </w:rPr>
        <w:lastRenderedPageBreak/>
        <w:br w:type="page"/>
      </w:r>
      <w:r>
        <w:rPr>
          <w:i/>
          <w:iCs/>
          <w:lang w:val="es"/>
        </w:rPr>
        <w:lastRenderedPageBreak/>
        <w:t>Recomendación 4:</w:t>
      </w:r>
      <w:r>
        <w:rPr>
          <w:lang w:val="es"/>
        </w:rPr>
        <w:t xml:space="preserve">  Destacar, en particular, las necesidades de las </w:t>
      </w:r>
      <w:r w:rsidR="000A424D">
        <w:rPr>
          <w:lang w:val="es"/>
        </w:rPr>
        <w:t>pymes</w:t>
      </w:r>
      <w:r>
        <w:rPr>
          <w:lang w:val="es"/>
        </w:rPr>
        <w:t xml:space="preserve"> y las instituciones de investigación científica, así como las industrias culturales, y asistir a los Estados miembros, cuando estos lo soliciten, en el establecimiento de estrategias nacionales adecuadas en el campo de la P.I.</w:t>
      </w:r>
    </w:p>
    <w:tbl>
      <w:tblPr>
        <w:tblW w:w="13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9"/>
        <w:gridCol w:w="7599"/>
      </w:tblGrid>
      <w:tr w:rsidR="008E1AF8" w:rsidRPr="0016236F" w14:paraId="605B88EB" w14:textId="77777777" w:rsidTr="008E1AF8">
        <w:trPr>
          <w:trHeight w:val="84"/>
          <w:tblHeader/>
        </w:trPr>
        <w:tc>
          <w:tcPr>
            <w:tcW w:w="6369" w:type="dxa"/>
            <w:shd w:val="clear" w:color="auto" w:fill="auto"/>
          </w:tcPr>
          <w:p w14:paraId="338A95A0" w14:textId="77777777" w:rsidR="008E1AF8" w:rsidRPr="0016236F" w:rsidRDefault="008E1AF8" w:rsidP="00321E1F">
            <w:pPr>
              <w:autoSpaceDE w:val="0"/>
              <w:spacing w:before="240" w:after="60"/>
              <w:outlineLvl w:val="2"/>
              <w:rPr>
                <w:bCs/>
                <w:u w:val="single"/>
              </w:rPr>
            </w:pPr>
            <w:r>
              <w:rPr>
                <w:u w:val="single"/>
                <w:lang w:val="es"/>
              </w:rPr>
              <w:t>Estrategias de ejecución</w:t>
            </w:r>
          </w:p>
        </w:tc>
        <w:tc>
          <w:tcPr>
            <w:tcW w:w="7599" w:type="dxa"/>
            <w:shd w:val="clear" w:color="auto" w:fill="auto"/>
            <w:vAlign w:val="center"/>
          </w:tcPr>
          <w:p w14:paraId="669AEBF8" w14:textId="77777777" w:rsidR="008E1AF8" w:rsidRPr="008146F7" w:rsidRDefault="008E1AF8" w:rsidP="008E1AF8">
            <w:pPr>
              <w:keepNext/>
              <w:autoSpaceDE w:val="0"/>
              <w:spacing w:before="240" w:after="60"/>
              <w:outlineLvl w:val="2"/>
              <w:rPr>
                <w:bCs/>
                <w:szCs w:val="26"/>
                <w:u w:val="single"/>
              </w:rPr>
            </w:pPr>
            <w:r>
              <w:rPr>
                <w:szCs w:val="26"/>
                <w:u w:val="single"/>
                <w:lang w:val="es"/>
              </w:rPr>
              <w:t>Logros</w:t>
            </w:r>
          </w:p>
        </w:tc>
      </w:tr>
      <w:tr w:rsidR="002A6A48" w:rsidRPr="00C91693" w14:paraId="59DCD98A" w14:textId="77777777" w:rsidTr="008E1AF8">
        <w:tblPrEx>
          <w:tblCellMar>
            <w:top w:w="108" w:type="dxa"/>
            <w:bottom w:w="108" w:type="dxa"/>
          </w:tblCellMar>
        </w:tblPrEx>
        <w:trPr>
          <w:trHeight w:val="31"/>
          <w:tblHeader/>
        </w:trPr>
        <w:tc>
          <w:tcPr>
            <w:tcW w:w="6369" w:type="dxa"/>
            <w:shd w:val="clear" w:color="auto" w:fill="auto"/>
          </w:tcPr>
          <w:p w14:paraId="3F5A9339" w14:textId="48881D4C" w:rsidR="002A6A48" w:rsidRPr="00C91693" w:rsidRDefault="002A6A48" w:rsidP="002A6A48">
            <w:pPr>
              <w:autoSpaceDE w:val="0"/>
              <w:spacing w:before="240" w:after="60"/>
              <w:outlineLvl w:val="3"/>
              <w:rPr>
                <w:bCs/>
                <w:i/>
                <w:szCs w:val="28"/>
              </w:rPr>
            </w:pPr>
            <w:r>
              <w:rPr>
                <w:i/>
                <w:iCs/>
                <w:szCs w:val="28"/>
                <w:lang w:val="es"/>
              </w:rPr>
              <w:t xml:space="preserve">Estrategia para las </w:t>
            </w:r>
            <w:r w:rsidR="000A424D">
              <w:rPr>
                <w:i/>
                <w:iCs/>
                <w:szCs w:val="28"/>
                <w:lang w:val="es"/>
              </w:rPr>
              <w:t>pymes</w:t>
            </w:r>
          </w:p>
          <w:p w14:paraId="10CEB838" w14:textId="77777777" w:rsidR="002A6A48" w:rsidRPr="00C91693" w:rsidRDefault="002A6A48" w:rsidP="002A6A48"/>
          <w:p w14:paraId="657DECE5" w14:textId="20644E64" w:rsidR="002A6A48" w:rsidRPr="00C91693" w:rsidRDefault="002A6A48" w:rsidP="002A6A48">
            <w:pPr>
              <w:widowControl w:val="0"/>
            </w:pPr>
            <w:r>
              <w:rPr>
                <w:lang w:val="es"/>
              </w:rPr>
              <w:t xml:space="preserve">Facilitar el desarrollo de políticas y estrategias apropiadas en materia de P.I. para las </w:t>
            </w:r>
            <w:r w:rsidR="000A424D">
              <w:rPr>
                <w:lang w:val="es"/>
              </w:rPr>
              <w:t>pymes</w:t>
            </w:r>
            <w:r>
              <w:rPr>
                <w:lang w:val="es"/>
              </w:rPr>
              <w:t xml:space="preserve"> por parte de los Estados miembros.</w:t>
            </w:r>
          </w:p>
          <w:p w14:paraId="2AF60202" w14:textId="77777777" w:rsidR="002A6A48" w:rsidRPr="00C91693" w:rsidRDefault="002A6A48" w:rsidP="002A6A48">
            <w:pPr>
              <w:widowControl w:val="0"/>
            </w:pPr>
          </w:p>
          <w:p w14:paraId="3AB7C105" w14:textId="77777777" w:rsidR="002A6A48" w:rsidRPr="00C91693" w:rsidRDefault="002A6A48" w:rsidP="002A6A48">
            <w:pPr>
              <w:widowControl w:val="0"/>
            </w:pPr>
          </w:p>
          <w:p w14:paraId="3674C2CB" w14:textId="3F579853" w:rsidR="002A6A48" w:rsidRPr="00C91693" w:rsidRDefault="002A6A48" w:rsidP="002A6A48">
            <w:pPr>
              <w:widowControl w:val="0"/>
            </w:pPr>
            <w:r>
              <w:rPr>
                <w:lang w:val="es"/>
              </w:rPr>
              <w:t xml:space="preserve">Mejorar la capacidad de las </w:t>
            </w:r>
            <w:r w:rsidR="000A424D">
              <w:rPr>
                <w:lang w:val="es"/>
              </w:rPr>
              <w:t>pymes</w:t>
            </w:r>
            <w:r>
              <w:rPr>
                <w:lang w:val="es"/>
              </w:rPr>
              <w:t xml:space="preserve"> y las instituciones que las apoyan para mejorar la utilización del sistema de P.I. con el fin de fomentar la competitividad. </w:t>
            </w:r>
          </w:p>
          <w:p w14:paraId="3861C7C1" w14:textId="77777777" w:rsidR="002A6A48" w:rsidRPr="00C91693" w:rsidRDefault="002A6A48" w:rsidP="002A6A48">
            <w:pPr>
              <w:widowControl w:val="0"/>
            </w:pPr>
          </w:p>
          <w:p w14:paraId="1A390112" w14:textId="77777777" w:rsidR="002A6A48" w:rsidRPr="00C91693" w:rsidRDefault="002A6A48" w:rsidP="002A6A48">
            <w:pPr>
              <w:widowControl w:val="0"/>
            </w:pPr>
          </w:p>
          <w:p w14:paraId="17EACDBB" w14:textId="5AA52B12" w:rsidR="002A6A48" w:rsidRPr="00C91693" w:rsidRDefault="002A6A48" w:rsidP="002A6A48">
            <w:pPr>
              <w:widowControl w:val="0"/>
            </w:pPr>
            <w:r>
              <w:rPr>
                <w:lang w:val="es"/>
              </w:rPr>
              <w:t xml:space="preserve">Elaborar contenidos relacionados con las </w:t>
            </w:r>
            <w:r w:rsidR="000A424D">
              <w:rPr>
                <w:lang w:val="es"/>
              </w:rPr>
              <w:t>pymes</w:t>
            </w:r>
            <w:r>
              <w:rPr>
                <w:lang w:val="es"/>
              </w:rPr>
              <w:t xml:space="preserve"> para orientar las actividades de fortalecimiento de capacidades y formación dirigiéndolas principalmente a las instituciones que apoyan a las </w:t>
            </w:r>
            <w:r w:rsidR="000A424D">
              <w:rPr>
                <w:lang w:val="es"/>
              </w:rPr>
              <w:t>pymes</w:t>
            </w:r>
            <w:r>
              <w:rPr>
                <w:lang w:val="es"/>
              </w:rPr>
              <w:t>.</w:t>
            </w:r>
          </w:p>
          <w:p w14:paraId="25E34FA2" w14:textId="77777777" w:rsidR="002A6A48" w:rsidRPr="00C91693" w:rsidRDefault="002A6A48" w:rsidP="002A6A48">
            <w:pPr>
              <w:widowControl w:val="0"/>
            </w:pPr>
          </w:p>
          <w:p w14:paraId="1C72C562" w14:textId="77777777" w:rsidR="002A6A48" w:rsidRPr="00C91693" w:rsidRDefault="002A6A48" w:rsidP="002A6A48">
            <w:pPr>
              <w:widowControl w:val="0"/>
            </w:pPr>
          </w:p>
          <w:p w14:paraId="380661F3" w14:textId="33B3206A" w:rsidR="002A6A48" w:rsidRPr="002A6A48" w:rsidRDefault="002A6A48" w:rsidP="002A6A48">
            <w:pPr>
              <w:widowControl w:val="0"/>
              <w:rPr>
                <w:i/>
                <w:iCs/>
                <w:szCs w:val="28"/>
              </w:rPr>
            </w:pPr>
            <w:r>
              <w:rPr>
                <w:lang w:val="es"/>
              </w:rPr>
              <w:t>Se procuró en particular respaldar a los países en desarrollo, f</w:t>
            </w:r>
            <w:r w:rsidR="00525DD7">
              <w:rPr>
                <w:lang w:val="es"/>
              </w:rPr>
              <w:t>ortaleciendo los vínculos entre</w:t>
            </w:r>
            <w:r>
              <w:rPr>
                <w:lang w:val="es"/>
              </w:rPr>
              <w:t xml:space="preserve"> las instituciones de investigación, la industria local y las </w:t>
            </w:r>
            <w:r w:rsidR="000A424D">
              <w:rPr>
                <w:lang w:val="es"/>
              </w:rPr>
              <w:t>pymes</w:t>
            </w:r>
            <w:r>
              <w:rPr>
                <w:lang w:val="es"/>
              </w:rPr>
              <w:t>, para crear asociaciones entre las instituciones públicas y privadas con el fin de maximizar el valor de los activos de P.I. y crear sinergias entre los organismos de apoyo a la ciencia, el comercio, la cultura y el gobierno.</w:t>
            </w:r>
          </w:p>
        </w:tc>
        <w:tc>
          <w:tcPr>
            <w:tcW w:w="7599" w:type="dxa"/>
            <w:shd w:val="clear" w:color="auto" w:fill="auto"/>
          </w:tcPr>
          <w:p w14:paraId="16D873F1" w14:textId="77777777" w:rsidR="002A6A48" w:rsidRPr="0016236F" w:rsidRDefault="002A6A48" w:rsidP="002A6A48"/>
          <w:p w14:paraId="08E49914" w14:textId="6283302A" w:rsidR="002A6A48" w:rsidRPr="0016236F" w:rsidRDefault="002A6A48" w:rsidP="002A6A48">
            <w:r>
              <w:rPr>
                <w:lang w:val="es"/>
              </w:rPr>
              <w:t xml:space="preserve">Se organizaron 20 seminarios, talleres o programas de formación de formadores sobre la gestión de la P.I. para las </w:t>
            </w:r>
            <w:r w:rsidR="000A424D">
              <w:rPr>
                <w:lang w:val="es"/>
              </w:rPr>
              <w:t>pymes</w:t>
            </w:r>
            <w:r>
              <w:rPr>
                <w:lang w:val="es"/>
              </w:rPr>
              <w:t xml:space="preserve"> en 19 países.</w:t>
            </w:r>
          </w:p>
          <w:p w14:paraId="44D15467" w14:textId="77777777" w:rsidR="002A6A48" w:rsidRPr="0016236F" w:rsidRDefault="002A6A48" w:rsidP="002A6A48"/>
          <w:p w14:paraId="2D9FDFD7" w14:textId="19D6497F" w:rsidR="002A6A48" w:rsidRPr="0016236F" w:rsidRDefault="002A6A48" w:rsidP="002A6A48">
            <w:r>
              <w:rPr>
                <w:lang w:val="es"/>
              </w:rPr>
              <w:t xml:space="preserve">Estos programas beneficiaron a más de 900 representantes de </w:t>
            </w:r>
            <w:r w:rsidR="000A424D">
              <w:rPr>
                <w:lang w:val="es"/>
              </w:rPr>
              <w:t>pymes</w:t>
            </w:r>
            <w:r>
              <w:rPr>
                <w:lang w:val="es"/>
              </w:rPr>
              <w:t xml:space="preserve"> y de instituciones de apoyo a las </w:t>
            </w:r>
            <w:r w:rsidR="000A424D">
              <w:rPr>
                <w:lang w:val="es"/>
              </w:rPr>
              <w:t>pymes</w:t>
            </w:r>
            <w:r>
              <w:rPr>
                <w:lang w:val="es"/>
              </w:rPr>
              <w:t xml:space="preserve"> de 50 países, de los que 15 eran PMA y 35 eran países en desarrollo y países con economías en transición. </w:t>
            </w:r>
          </w:p>
          <w:p w14:paraId="695B0E93" w14:textId="77777777" w:rsidR="002A6A48" w:rsidRPr="0016236F" w:rsidRDefault="002A6A48" w:rsidP="002A6A48"/>
          <w:p w14:paraId="654B0494" w14:textId="7183E346" w:rsidR="002A6A48" w:rsidRPr="00C91693" w:rsidRDefault="002A6A48" w:rsidP="002A6A48">
            <w:r>
              <w:rPr>
                <w:lang w:val="es"/>
              </w:rPr>
              <w:t xml:space="preserve">Al curso internacional sobre la gestión de activos de P.I. para el éxito de las empresas basado en IP PANORAMATM, impartido por Internet y con entrega de certificado, </w:t>
            </w:r>
            <w:r w:rsidR="00525DD7">
              <w:rPr>
                <w:lang w:val="es"/>
              </w:rPr>
              <w:t>asistieron</w:t>
            </w:r>
            <w:r>
              <w:rPr>
                <w:lang w:val="es"/>
              </w:rPr>
              <w:t xml:space="preserve"> 709 estudiantes, y 38 personas participaron posteriormente en un programa sobre la gestión de activos de P.I., impartido por otros medios.</w:t>
            </w:r>
          </w:p>
          <w:p w14:paraId="09FB802E" w14:textId="77777777" w:rsidR="002A6A48" w:rsidRPr="00C91693" w:rsidRDefault="002A6A48" w:rsidP="002A6A48"/>
          <w:p w14:paraId="10711318" w14:textId="77777777" w:rsidR="002A6A48" w:rsidRPr="00C91693" w:rsidRDefault="002A6A48" w:rsidP="002A6A48">
            <w:r>
              <w:rPr>
                <w:lang w:val="es"/>
              </w:rPr>
              <w:t>La OMPI, la Oficina Surcoreana de Propiedad Intelectual (KIPO) y la Asociación Surcoreana de Inventoras (KWIA) organizaron un taller internacional para mujeres inventoras y empresarias, en el que participaron 137 mujeres inventoras y empresarias procedentes de 17 países.</w:t>
            </w:r>
          </w:p>
          <w:p w14:paraId="5CF643E7" w14:textId="77777777" w:rsidR="002A6A48" w:rsidRPr="00C91693" w:rsidRDefault="002A6A48" w:rsidP="002A6A48"/>
          <w:p w14:paraId="6E97D9FE" w14:textId="77777777" w:rsidR="002A6A48" w:rsidRPr="00C91693" w:rsidRDefault="002A6A48" w:rsidP="002A6A48">
            <w:r>
              <w:rPr>
                <w:lang w:val="es"/>
              </w:rPr>
              <w:t xml:space="preserve">Se concluyó la preparación de un nuevo libro, titulado </w:t>
            </w:r>
            <w:r>
              <w:rPr>
                <w:i/>
                <w:iCs/>
                <w:lang w:val="es"/>
              </w:rPr>
              <w:t>Confidence - An Introduction to Trade Secrets for Small and Medium-sized Enterprises</w:t>
            </w:r>
            <w:r>
              <w:rPr>
                <w:lang w:val="es"/>
              </w:rPr>
              <w:t>, y otras dos publicaciones se encuentran en el proceso de revisión final.</w:t>
            </w:r>
          </w:p>
          <w:p w14:paraId="5292E6C0" w14:textId="77777777" w:rsidR="002A6A48" w:rsidRPr="00C91693" w:rsidRDefault="002A6A48" w:rsidP="002A6A48"/>
          <w:p w14:paraId="67E867A3" w14:textId="229C95A9" w:rsidR="002A6A48" w:rsidRPr="0016236F" w:rsidRDefault="002A6A48" w:rsidP="002A6A48">
            <w:r>
              <w:rPr>
                <w:lang w:val="es"/>
              </w:rPr>
              <w:t xml:space="preserve">Se han destinado esfuerzos considerables al desarrollo de la iniciativa </w:t>
            </w:r>
            <w:r>
              <w:rPr>
                <w:i/>
                <w:iCs/>
                <w:lang w:val="es"/>
              </w:rPr>
              <w:t xml:space="preserve">IP Panorama Mobile </w:t>
            </w:r>
            <w:r>
              <w:rPr>
                <w:lang w:val="es"/>
              </w:rPr>
              <w:t xml:space="preserve">para usuarios de teléfonos inteligentes.  El trabajo que se confía en concluir para finales de este año facilitará aún más el acceso de las </w:t>
            </w:r>
            <w:r w:rsidR="000A424D">
              <w:rPr>
                <w:lang w:val="es"/>
              </w:rPr>
              <w:t>pymes</w:t>
            </w:r>
            <w:r>
              <w:rPr>
                <w:lang w:val="es"/>
              </w:rPr>
              <w:t xml:space="preserve"> a información relacionada con la P.I. y las empresas, así como las actividades de difusión dirigidas a ellas.</w:t>
            </w:r>
          </w:p>
        </w:tc>
      </w:tr>
      <w:tr w:rsidR="008E1AF8" w:rsidRPr="00C91693" w14:paraId="6340D6C7" w14:textId="77777777" w:rsidTr="008E1AF8">
        <w:tblPrEx>
          <w:tblCellMar>
            <w:top w:w="108" w:type="dxa"/>
            <w:bottom w:w="108" w:type="dxa"/>
          </w:tblCellMar>
        </w:tblPrEx>
        <w:trPr>
          <w:trHeight w:val="31"/>
          <w:tblHeader/>
        </w:trPr>
        <w:tc>
          <w:tcPr>
            <w:tcW w:w="6369" w:type="dxa"/>
            <w:shd w:val="clear" w:color="auto" w:fill="auto"/>
          </w:tcPr>
          <w:p w14:paraId="0126935F" w14:textId="77777777" w:rsidR="008E1AF8" w:rsidRPr="00C91693" w:rsidRDefault="008E1AF8" w:rsidP="008E1AF8"/>
          <w:p w14:paraId="028AF67C" w14:textId="49F25A6E" w:rsidR="008E1AF8" w:rsidRPr="00C91693" w:rsidRDefault="008E1AF8" w:rsidP="002A6A48">
            <w:r>
              <w:rPr>
                <w:lang w:val="es"/>
              </w:rPr>
              <w:t>Además, la OMPI siguió fomentando mediante diversas actividades la sensibilización en general acerca de la importancia de la P.I. para la competitividad de las empresas y fortaleciendo las capacidades en el ámbito local ofreciendo formación a formadores por medio de talleres y seminarios y otro tipo de actividades presenciales, así como mediante la creación y difusión de material (artículos y publicaciones impresos y en línea, productos multimedia, etc.) sobre la P.I. y las empresas.</w:t>
            </w:r>
          </w:p>
        </w:tc>
        <w:tc>
          <w:tcPr>
            <w:tcW w:w="7599" w:type="dxa"/>
            <w:shd w:val="clear" w:color="auto" w:fill="auto"/>
          </w:tcPr>
          <w:p w14:paraId="1D661226" w14:textId="77777777" w:rsidR="008E1AF8" w:rsidRPr="00C91693" w:rsidRDefault="008E1AF8" w:rsidP="008E1AF8"/>
          <w:p w14:paraId="6FD2F74C" w14:textId="77777777" w:rsidR="008E1AF8" w:rsidRPr="00C91693" w:rsidRDefault="008E1AF8" w:rsidP="008E1AF8">
            <w:r>
              <w:rPr>
                <w:lang w:val="es"/>
              </w:rPr>
              <w:t>Además de las actividades registradas en la base de datos IP–TAD, puede encontrarse más información sobre los logros relativos a esta recomendación en el Informe sobre el rendimiento de los programas en 2014 (documento WO/PBC/23/2), en particular en el programa 30.</w:t>
            </w:r>
          </w:p>
          <w:p w14:paraId="0B6600FE" w14:textId="77777777" w:rsidR="008E1AF8" w:rsidRPr="00C91693" w:rsidRDefault="008E1AF8" w:rsidP="008E1AF8"/>
        </w:tc>
      </w:tr>
      <w:tr w:rsidR="008E1AF8" w:rsidRPr="00C91693" w14:paraId="181ACE2B" w14:textId="77777777" w:rsidTr="008E1AF8">
        <w:tblPrEx>
          <w:tblCellMar>
            <w:top w:w="108" w:type="dxa"/>
            <w:bottom w:w="108" w:type="dxa"/>
          </w:tblCellMar>
        </w:tblPrEx>
        <w:trPr>
          <w:trHeight w:val="31"/>
          <w:tblHeader/>
        </w:trPr>
        <w:tc>
          <w:tcPr>
            <w:tcW w:w="6369" w:type="dxa"/>
            <w:shd w:val="clear" w:color="auto" w:fill="auto"/>
          </w:tcPr>
          <w:p w14:paraId="497C8D93" w14:textId="77777777" w:rsidR="008E1AF8" w:rsidRPr="00C91693" w:rsidRDefault="008E1AF8" w:rsidP="002A6A48">
            <w:pPr>
              <w:autoSpaceDE w:val="0"/>
              <w:spacing w:before="240" w:after="60"/>
              <w:outlineLvl w:val="3"/>
              <w:rPr>
                <w:bCs/>
                <w:i/>
                <w:szCs w:val="28"/>
              </w:rPr>
            </w:pPr>
            <w:r>
              <w:rPr>
                <w:i/>
                <w:iCs/>
                <w:lang w:val="es"/>
              </w:rPr>
              <w:lastRenderedPageBreak/>
              <w:t>Estrategia</w:t>
            </w:r>
            <w:r>
              <w:rPr>
                <w:i/>
                <w:iCs/>
                <w:szCs w:val="28"/>
                <w:lang w:val="es"/>
              </w:rPr>
              <w:t xml:space="preserve"> para las industrias creativas</w:t>
            </w:r>
          </w:p>
          <w:p w14:paraId="4A500EDA" w14:textId="77777777" w:rsidR="008E1AF8" w:rsidRPr="00C91693" w:rsidRDefault="008E1AF8" w:rsidP="008E1AF8"/>
          <w:p w14:paraId="7C56A1D9" w14:textId="77777777" w:rsidR="008E1AF8" w:rsidRPr="00C91693" w:rsidRDefault="008E1AF8" w:rsidP="008E1AF8">
            <w:r>
              <w:rPr>
                <w:lang w:val="es"/>
              </w:rPr>
              <w:t xml:space="preserve">Se realizaron estudios sobre la contribución económica de las industrias relacionadas con el derecho de autor.  Los objetivos principales de esos estudios eran permitir a los países identificar las industrias relacionadas con el derecho de autor y realizar un análisis comparativo de la contribución económica de esas industrias en relación con otros sectores de la economía o industrias similares en otros países.  Además, los estudios permitieron a los encargados de formular políticas determinar las opciones de políticas adecuadas. </w:t>
            </w:r>
          </w:p>
          <w:p w14:paraId="228C0E2D" w14:textId="77777777" w:rsidR="008E1AF8" w:rsidRPr="00C91693" w:rsidRDefault="008E1AF8" w:rsidP="008E1AF8"/>
          <w:p w14:paraId="72089010" w14:textId="77777777" w:rsidR="008E1AF8" w:rsidRPr="00C91693" w:rsidRDefault="008E1AF8" w:rsidP="008E1AF8">
            <w:r>
              <w:rPr>
                <w:lang w:val="es"/>
              </w:rPr>
              <w:t>Asimismo, se elaboró material práctico para determinados sectores creativos a fin de satisfacer las necesidades de cada sector, que fue utilizado en seminarios celebrados en varios países.</w:t>
            </w:r>
          </w:p>
          <w:p w14:paraId="4D8BAD19" w14:textId="77777777" w:rsidR="008E1AF8" w:rsidRPr="00C91693" w:rsidRDefault="008E1AF8" w:rsidP="008E1AF8"/>
          <w:p w14:paraId="027C7885" w14:textId="77777777" w:rsidR="008E1AF8" w:rsidRPr="00C91693" w:rsidRDefault="008E1AF8" w:rsidP="008E1AF8">
            <w:r>
              <w:rPr>
                <w:lang w:val="es"/>
              </w:rPr>
              <w:t>Se establecieron y fomentaron vínculos de cooperación con gobiernos y organizaciones internacionales interesados.</w:t>
            </w:r>
          </w:p>
        </w:tc>
        <w:tc>
          <w:tcPr>
            <w:tcW w:w="7599" w:type="dxa"/>
            <w:shd w:val="clear" w:color="auto" w:fill="auto"/>
          </w:tcPr>
          <w:p w14:paraId="7C283106" w14:textId="77777777" w:rsidR="008E1AF8" w:rsidRPr="00C91693" w:rsidRDefault="008E1AF8" w:rsidP="008E1AF8"/>
          <w:p w14:paraId="2CEDA18E" w14:textId="77777777" w:rsidR="008E1AF8" w:rsidRPr="00C91693" w:rsidRDefault="008E1AF8" w:rsidP="008E1AF8">
            <w:r>
              <w:rPr>
                <w:lang w:val="es"/>
              </w:rPr>
              <w:t>Se brindó más asistencia a los países que querían estudiar la capacidad potencial y el rendimiento de su sector creativo.  Se llevaron a cabo estudios sobre la contribución económica de las industrias creativas en tres países y se pusieron en marcha estudios del mismo tipo en otros dos.  Los estudios se continúan utilizando como aportaciones a la formulación de políticas basadas en datos contrastados.  En colaboración con varios asociados se facilitó información nueva sobre los ingresos relacionados con el derecho de autor.</w:t>
            </w:r>
          </w:p>
          <w:p w14:paraId="335B7E0F" w14:textId="77777777" w:rsidR="008E1AF8" w:rsidRPr="00C91693" w:rsidRDefault="008E1AF8" w:rsidP="008E1AF8"/>
          <w:p w14:paraId="57FFC523" w14:textId="77777777" w:rsidR="008E1AF8" w:rsidRPr="00C91693" w:rsidRDefault="008E1AF8" w:rsidP="008E1AF8">
            <w:r>
              <w:rPr>
                <w:lang w:val="es"/>
              </w:rPr>
              <w:t>Las actividades de fortalecimiento de capacidades y de sensibilización en las industrias creativas continuaron en todas las regiones por conducto de actividades más específicas, aunque en menor cantidad, habida cuenta de las limitaciones presupuestarias.  Las actividades se basaron en herramientas de la OMPI sobre cómo ganarse la vida en las industrias creativas.</w:t>
            </w:r>
          </w:p>
          <w:p w14:paraId="0A3AB8B1" w14:textId="77777777" w:rsidR="008E1AF8" w:rsidRPr="00C91693" w:rsidRDefault="008E1AF8" w:rsidP="008E1AF8"/>
          <w:p w14:paraId="09CC2423" w14:textId="77777777" w:rsidR="008E1AF8" w:rsidRPr="00C91693" w:rsidRDefault="008E1AF8" w:rsidP="008E1AF8">
            <w:r>
              <w:rPr>
                <w:lang w:val="es"/>
              </w:rPr>
              <w:t>Las asociaciones establecidas en el ámbito de las industrias creativas tuvieron continuidad y hubo aproximaciones a nuevos asociados para que unieran sus fuerzas a la OMPI en esta esfera.</w:t>
            </w:r>
          </w:p>
          <w:p w14:paraId="77931147" w14:textId="77777777" w:rsidR="008E1AF8" w:rsidRPr="00C91693" w:rsidRDefault="008E1AF8" w:rsidP="008E1AF8"/>
          <w:p w14:paraId="600AC455" w14:textId="77777777" w:rsidR="008E1AF8" w:rsidRPr="00C91693" w:rsidRDefault="008E1AF8" w:rsidP="008E1AF8">
            <w:r>
              <w:rPr>
                <w:lang w:val="es"/>
              </w:rPr>
              <w:t>Además de las actividades registradas en la base de datos IP–TAD, puede encontrarse más información sobre los logros relativos a esta recomendación en el Informe sobre el rendimiento de los programas en 2014 (documento WO/PBC/23/2), en particular en el programa 3.</w:t>
            </w:r>
          </w:p>
        </w:tc>
      </w:tr>
      <w:tr w:rsidR="008E1AF8" w:rsidRPr="00C91693" w14:paraId="1D626089" w14:textId="77777777" w:rsidTr="008E1AF8">
        <w:tblPrEx>
          <w:tblCellMar>
            <w:top w:w="108" w:type="dxa"/>
            <w:bottom w:w="108" w:type="dxa"/>
          </w:tblCellMar>
        </w:tblPrEx>
        <w:trPr>
          <w:trHeight w:val="1519"/>
          <w:tblHeader/>
        </w:trPr>
        <w:tc>
          <w:tcPr>
            <w:tcW w:w="6369" w:type="dxa"/>
            <w:shd w:val="clear" w:color="auto" w:fill="auto"/>
          </w:tcPr>
          <w:p w14:paraId="57640091" w14:textId="77777777" w:rsidR="008E1AF8" w:rsidRPr="00C91693" w:rsidRDefault="008E1AF8" w:rsidP="002A6A48">
            <w:pPr>
              <w:autoSpaceDE w:val="0"/>
              <w:spacing w:before="240" w:after="60"/>
              <w:outlineLvl w:val="3"/>
              <w:rPr>
                <w:bCs/>
                <w:i/>
                <w:szCs w:val="28"/>
              </w:rPr>
            </w:pPr>
            <w:r>
              <w:rPr>
                <w:i/>
                <w:iCs/>
                <w:szCs w:val="28"/>
                <w:lang w:val="es"/>
              </w:rPr>
              <w:lastRenderedPageBreak/>
              <w:t>Estrategia para las universidades y las instituciones de investigación</w:t>
            </w:r>
          </w:p>
          <w:p w14:paraId="32769650" w14:textId="77777777" w:rsidR="008E1AF8" w:rsidRPr="00C91693" w:rsidRDefault="008E1AF8" w:rsidP="008E1AF8"/>
          <w:p w14:paraId="0A715A86" w14:textId="77777777" w:rsidR="008E1AF8" w:rsidRPr="00C91693" w:rsidRDefault="008E1AF8" w:rsidP="008E1AF8">
            <w:r>
              <w:rPr>
                <w:lang w:val="es"/>
              </w:rPr>
              <w:t xml:space="preserve">Se han intensificado considerablemente las actividades de la OMPI de apoyo a instituciones de investigación (incluidas las universidades) a raíz de la demanda creciente de los Estados miembros.  El apoyo se centró en tres tipos de actividades, principalmente.  En primer lugar, se apoyó a las instituciones de I+D y a las universidades con miras a elaborar políticas institucionales de P.I. que faciliten la gestión de los activos de P.I. conforme a sus misiones y mandatos.  En segundo lugar, la OMPI apoyó la creación de redes de instituciones de I+D con centros de P.I. a fin de que los Estados miembros puedan establecer infraestructuras rentables en materia de innovación.  </w:t>
            </w:r>
          </w:p>
          <w:p w14:paraId="39AA89E4" w14:textId="77777777" w:rsidR="008E1AF8" w:rsidRPr="00C91693" w:rsidRDefault="008E1AF8" w:rsidP="008E1AF8"/>
          <w:p w14:paraId="5E78C70B" w14:textId="77777777" w:rsidR="008E1AF8" w:rsidRPr="00C91693" w:rsidRDefault="008E1AF8" w:rsidP="008E1AF8">
            <w:r>
              <w:rPr>
                <w:lang w:val="es"/>
              </w:rPr>
              <w:t>En tercer lugar, la OMPI ofreció programas adaptados de formación práctica en negociación de licencias de tecnología, evaluación de patentes, redacción de solicitudes de patente y gestión y comercialización de tecnología para las instituciones de I+D y las universidades, previa petición.</w:t>
            </w:r>
          </w:p>
          <w:p w14:paraId="5A78DB51" w14:textId="77777777" w:rsidR="008E1AF8" w:rsidRPr="00C91693" w:rsidRDefault="008E1AF8" w:rsidP="008E1AF8">
            <w:pPr>
              <w:rPr>
                <w:highlight w:val="yellow"/>
                <w:u w:val="single"/>
              </w:rPr>
            </w:pPr>
          </w:p>
        </w:tc>
        <w:tc>
          <w:tcPr>
            <w:tcW w:w="7599" w:type="dxa"/>
            <w:shd w:val="clear" w:color="auto" w:fill="auto"/>
          </w:tcPr>
          <w:p w14:paraId="6982A8F6" w14:textId="77777777" w:rsidR="008E1AF8" w:rsidRPr="00C91693" w:rsidRDefault="008E1AF8" w:rsidP="008E1AF8">
            <w:pPr>
              <w:rPr>
                <w:szCs w:val="22"/>
              </w:rPr>
            </w:pPr>
          </w:p>
          <w:p w14:paraId="5498CCD8" w14:textId="77777777" w:rsidR="008E1AF8" w:rsidRPr="00C91693" w:rsidRDefault="008E1AF8" w:rsidP="008E1AF8">
            <w:pPr>
              <w:rPr>
                <w:szCs w:val="22"/>
              </w:rPr>
            </w:pPr>
            <w:r>
              <w:rPr>
                <w:szCs w:val="22"/>
                <w:lang w:val="es"/>
              </w:rPr>
              <w:t xml:space="preserve">La OMPI continuó prestando apoyo a los países en desarrollo a fin de establecer el ecosistema necesario para concebir, desarrollar y aprovechar sistemáticamente la P.I. creada a nivel local, mediante proyectos nacionales y regionales como el establecimiento de oficinas de transferencia de tecnología en Túnez y Argelia.  En ese contexto, se crearon programas de formación con un alto nivel de adaptación (por vídeo e </w:t>
            </w:r>
            <w:r>
              <w:rPr>
                <w:i/>
                <w:iCs/>
                <w:szCs w:val="22"/>
                <w:lang w:val="es"/>
              </w:rPr>
              <w:t>in situ</w:t>
            </w:r>
            <w:r>
              <w:rPr>
                <w:szCs w:val="22"/>
                <w:lang w:val="es"/>
              </w:rPr>
              <w:t>) al objeto de ayudar a las instituciones destinatarias a desarrollar políticas institucionales de P.I.</w:t>
            </w:r>
          </w:p>
          <w:p w14:paraId="04F74E64" w14:textId="77777777" w:rsidR="008E1AF8" w:rsidRPr="00C91693" w:rsidRDefault="008E1AF8" w:rsidP="008E1AF8">
            <w:pPr>
              <w:rPr>
                <w:szCs w:val="22"/>
              </w:rPr>
            </w:pPr>
          </w:p>
          <w:p w14:paraId="1E871697" w14:textId="77777777" w:rsidR="008E1AF8" w:rsidRPr="00C91693" w:rsidRDefault="008E1AF8" w:rsidP="008E1AF8">
            <w:pPr>
              <w:rPr>
                <w:szCs w:val="22"/>
              </w:rPr>
            </w:pPr>
            <w:r>
              <w:rPr>
                <w:szCs w:val="22"/>
                <w:lang w:val="es"/>
              </w:rPr>
              <w:t>En el período objeto de examen, la OMPI organizó 29 programas de formación sobre comercialización de P.I.: siete de ellos en el ámbito de la gestión de los derechos de P.I. en instituciones académicas, nueve cursos sobre negociación de licencias de tecnología y cinco actividades de formación sobre valoración de la P.I.</w:t>
            </w:r>
          </w:p>
          <w:p w14:paraId="3F7A648A" w14:textId="77777777" w:rsidR="008E1AF8" w:rsidRPr="00C91693" w:rsidRDefault="008E1AF8" w:rsidP="008E1AF8">
            <w:pPr>
              <w:rPr>
                <w:szCs w:val="22"/>
              </w:rPr>
            </w:pPr>
          </w:p>
          <w:p w14:paraId="556FD920" w14:textId="4649D75D" w:rsidR="008E1AF8" w:rsidRPr="00C91693" w:rsidRDefault="008E1AF8" w:rsidP="008E1AF8">
            <w:pPr>
              <w:rPr>
                <w:szCs w:val="22"/>
              </w:rPr>
            </w:pPr>
            <w:r>
              <w:rPr>
                <w:szCs w:val="22"/>
                <w:lang w:val="es"/>
              </w:rPr>
              <w:t xml:space="preserve">Los programas de fortalecimiento de capacidades de la OMPI para universidades e instituciones de I+D se ajustaron a esta demanda en evolución mediante la concepción y la oferta de programas de formación como componente de proyectos a largo plazo (como el proyecto de las oficinas de transferencia de tecnología), garantizando de esta forma su seguimiento y sostenibilidad, y mediante la mejora de su capacidad para responder a las necesidades de formación de </w:t>
            </w:r>
            <w:r w:rsidR="00334EBE">
              <w:rPr>
                <w:szCs w:val="22"/>
                <w:lang w:val="es"/>
              </w:rPr>
              <w:t>destinatarios específico</w:t>
            </w:r>
            <w:r>
              <w:rPr>
                <w:szCs w:val="22"/>
                <w:lang w:val="es"/>
              </w:rPr>
              <w:t xml:space="preserve">s o de materias científicas concretas.  Además, se prestó especial atención a la elevada adaptación de los programas en consonancia con las condiciones correspondientes de los países en desarrollo y los PMA por medio de, entre otras cosas, el empleo de casos reales y tecnologías desarrolladas por las universidades y las instituciones de I+D participantes. La calidad de los aportes concretos fue objeto de seguimiento de una forma más exhaustiva, lo que tuvo como consecuencia un aumento de la tasa de satisfacción de la misma audiencia destinataria medida en los intervalos temporales y en relación con los programas similares (evaluaciones de prueba realizadas en el marco del Programa de transferencia de tecnología de la OMPI y el Fondo fiduciario de Australia). </w:t>
            </w:r>
          </w:p>
          <w:p w14:paraId="3EE9760B" w14:textId="77777777" w:rsidR="008E1AF8" w:rsidRPr="00C91693" w:rsidRDefault="008E1AF8" w:rsidP="008E1AF8">
            <w:pPr>
              <w:rPr>
                <w:szCs w:val="22"/>
              </w:rPr>
            </w:pPr>
          </w:p>
        </w:tc>
      </w:tr>
      <w:tr w:rsidR="008E1AF8" w:rsidRPr="00C91693" w14:paraId="0DC517B5" w14:textId="77777777" w:rsidTr="008E1AF8">
        <w:tblPrEx>
          <w:tblCellMar>
            <w:top w:w="108" w:type="dxa"/>
            <w:bottom w:w="108" w:type="dxa"/>
          </w:tblCellMar>
        </w:tblPrEx>
        <w:trPr>
          <w:trHeight w:val="708"/>
          <w:tblHeader/>
        </w:trPr>
        <w:tc>
          <w:tcPr>
            <w:tcW w:w="6369" w:type="dxa"/>
            <w:shd w:val="clear" w:color="auto" w:fill="auto"/>
          </w:tcPr>
          <w:p w14:paraId="621E27C2" w14:textId="77777777" w:rsidR="008E1AF8" w:rsidRPr="00C91693" w:rsidRDefault="008E1AF8" w:rsidP="002A6A48">
            <w:pPr>
              <w:autoSpaceDE w:val="0"/>
              <w:spacing w:before="240" w:after="60"/>
              <w:outlineLvl w:val="3"/>
              <w:rPr>
                <w:bCs/>
                <w:i/>
                <w:szCs w:val="28"/>
              </w:rPr>
            </w:pPr>
          </w:p>
        </w:tc>
        <w:tc>
          <w:tcPr>
            <w:tcW w:w="7599" w:type="dxa"/>
            <w:shd w:val="clear" w:color="auto" w:fill="auto"/>
          </w:tcPr>
          <w:p w14:paraId="39E81BF6" w14:textId="77777777" w:rsidR="008E1AF8" w:rsidRPr="00C91693" w:rsidRDefault="008E1AF8" w:rsidP="008E1AF8">
            <w:pPr>
              <w:rPr>
                <w:szCs w:val="22"/>
              </w:rPr>
            </w:pPr>
          </w:p>
          <w:p w14:paraId="18858815" w14:textId="77777777" w:rsidR="008E1AF8" w:rsidRPr="00C91693" w:rsidRDefault="008E1AF8" w:rsidP="008E1AF8">
            <w:pPr>
              <w:rPr>
                <w:szCs w:val="22"/>
              </w:rPr>
            </w:pPr>
            <w:r>
              <w:rPr>
                <w:szCs w:val="22"/>
                <w:lang w:val="es"/>
              </w:rPr>
              <w:t>Aumentó el número de usuarios directos e indirectos de los conocimientos divulgados por conducto de los cursos.  Este Programa continuó recibiendo el apoyo del Fondo fiduciario del Gobierno de Australia, generó condiciones muy propicias para programas de seguimiento oportunos en los países destinatarios y dio lugar a avances notables en las destrezas profesionales de los participantes en un corto período de tiempo.</w:t>
            </w:r>
          </w:p>
          <w:p w14:paraId="55C24DB1" w14:textId="77777777" w:rsidR="008E1AF8" w:rsidRPr="00C91693" w:rsidRDefault="008E1AF8" w:rsidP="008E1AF8">
            <w:pPr>
              <w:rPr>
                <w:szCs w:val="22"/>
              </w:rPr>
            </w:pPr>
          </w:p>
          <w:p w14:paraId="1A2B64C2" w14:textId="77777777" w:rsidR="008E1AF8" w:rsidRPr="00C91693" w:rsidRDefault="008E1AF8" w:rsidP="008E1AF8">
            <w:pPr>
              <w:rPr>
                <w:szCs w:val="22"/>
              </w:rPr>
            </w:pPr>
            <w:r>
              <w:rPr>
                <w:szCs w:val="22"/>
                <w:lang w:val="es"/>
              </w:rPr>
              <w:t>Además de las actividades registradas en la base de datos IP–TAD, puede encontrarse más información sobre los logros relativos a esta recomendación en el Informe sobre el rendimiento de los programas en 2014 (documento WO/PBC/23/2), en particular en el programa</w:t>
            </w:r>
            <w:r>
              <w:rPr>
                <w:color w:val="FFFFFF" w:themeColor="background1"/>
                <w:szCs w:val="22"/>
                <w:lang w:val="es"/>
              </w:rPr>
              <w:t> </w:t>
            </w:r>
            <w:r>
              <w:rPr>
                <w:szCs w:val="22"/>
                <w:lang w:val="es"/>
              </w:rPr>
              <w:t>30.</w:t>
            </w:r>
          </w:p>
        </w:tc>
      </w:tr>
      <w:tr w:rsidR="008E1AF8" w:rsidRPr="00C91693" w14:paraId="296AA9AC" w14:textId="77777777" w:rsidTr="008E1AF8">
        <w:tblPrEx>
          <w:tblCellMar>
            <w:top w:w="108" w:type="dxa"/>
            <w:bottom w:w="108" w:type="dxa"/>
          </w:tblCellMar>
        </w:tblPrEx>
        <w:trPr>
          <w:trHeight w:val="194"/>
          <w:tblHeader/>
        </w:trPr>
        <w:tc>
          <w:tcPr>
            <w:tcW w:w="6369" w:type="dxa"/>
            <w:shd w:val="clear" w:color="auto" w:fill="auto"/>
          </w:tcPr>
          <w:p w14:paraId="5D2B3B31" w14:textId="77777777" w:rsidR="008E1AF8" w:rsidRPr="00C91693" w:rsidRDefault="008E1AF8" w:rsidP="002A6A48">
            <w:pPr>
              <w:autoSpaceDE w:val="0"/>
              <w:spacing w:before="240" w:after="60"/>
              <w:outlineLvl w:val="3"/>
              <w:rPr>
                <w:bCs/>
                <w:i/>
                <w:szCs w:val="28"/>
              </w:rPr>
            </w:pPr>
            <w:r>
              <w:rPr>
                <w:i/>
                <w:iCs/>
                <w:szCs w:val="28"/>
                <w:lang w:val="es"/>
              </w:rPr>
              <w:t xml:space="preserve">Estrategia para apoyar la elaboración de estrategias nacionales de P.I. </w:t>
            </w:r>
          </w:p>
          <w:p w14:paraId="5E8AA8BB" w14:textId="77777777" w:rsidR="008E1AF8" w:rsidRPr="00C91693" w:rsidRDefault="008E1AF8" w:rsidP="008E1AF8"/>
          <w:p w14:paraId="0877F749" w14:textId="13DF0D9F" w:rsidR="008E1AF8" w:rsidRPr="00C91693" w:rsidRDefault="008E1AF8" w:rsidP="008E1AF8">
            <w:r>
              <w:rPr>
                <w:lang w:val="es"/>
              </w:rPr>
              <w:t xml:space="preserve">Se prestó apoyo a los Estados miembros para que integren las estrategias de P.I. en la planificación nacional de desarrollo económico.  Esta tarea conllevó la elaboración de herramientas prácticas que hacen hincapié en la importancia de las opciones nacionales para elaborar y poner en práctica estrategias de P.I.  Al elaborar estrategias nacionales de P.I. se tuvieron en cuenta las necesidades de las </w:t>
            </w:r>
            <w:r w:rsidR="000A424D">
              <w:rPr>
                <w:lang w:val="es"/>
              </w:rPr>
              <w:t>pymes</w:t>
            </w:r>
            <w:r>
              <w:rPr>
                <w:lang w:val="es"/>
              </w:rPr>
              <w:t xml:space="preserve"> y de las instituciones de investigación científica, así como las del ámbito de las industrias culturales.</w:t>
            </w:r>
          </w:p>
          <w:p w14:paraId="7D566DD4" w14:textId="77777777" w:rsidR="008E1AF8" w:rsidRPr="00C91693" w:rsidRDefault="008E1AF8" w:rsidP="008E1AF8">
            <w:pPr>
              <w:rPr>
                <w:u w:val="single"/>
              </w:rPr>
            </w:pPr>
          </w:p>
        </w:tc>
        <w:tc>
          <w:tcPr>
            <w:tcW w:w="7599" w:type="dxa"/>
            <w:shd w:val="clear" w:color="auto" w:fill="auto"/>
          </w:tcPr>
          <w:p w14:paraId="77C054B3" w14:textId="77777777" w:rsidR="008E1AF8" w:rsidRPr="00C91693" w:rsidRDefault="008E1AF8" w:rsidP="008E1AF8"/>
          <w:p w14:paraId="287E4C71" w14:textId="77777777" w:rsidR="008E1AF8" w:rsidRPr="00C91693" w:rsidRDefault="008E1AF8" w:rsidP="008E1AF8">
            <w:r>
              <w:rPr>
                <w:lang w:val="es"/>
              </w:rPr>
              <w:t>Se elaboró una serie de herramientas prácticas como metodología para la formulación de estrategias nacionales de P.I. en el marco del proyecto sobre mejora de la capacidad de las instituciones de P.I. de ámbito nacional, subregional y regional y de los respectivos usuarios (documento CDIP/3/INF/2).</w:t>
            </w:r>
          </w:p>
          <w:p w14:paraId="104756CE" w14:textId="77777777" w:rsidR="008E1AF8" w:rsidRPr="00C91693" w:rsidRDefault="008E1AF8" w:rsidP="008E1AF8"/>
          <w:p w14:paraId="1BD9E8D1" w14:textId="77777777" w:rsidR="008E1AF8" w:rsidRPr="00C91693" w:rsidRDefault="008E1AF8" w:rsidP="008E1AF8">
            <w:r>
              <w:rPr>
                <w:lang w:val="es"/>
              </w:rPr>
              <w:t>Se pusieron en marcha 13 estrategias nacionales de P.I., 40 estrategias fueron adaptadas o se encontraban en fase de aplicación y cinco fueron modificadas.  En el proceso de formulación, durante el período de examen, se incorporaron 18 estrategias nacionales de P.I. a distintos PMA.</w:t>
            </w:r>
          </w:p>
          <w:p w14:paraId="11C55473" w14:textId="77777777" w:rsidR="008E1AF8" w:rsidRPr="00C91693" w:rsidRDefault="008E1AF8" w:rsidP="008E1AF8"/>
          <w:p w14:paraId="5A456DEF" w14:textId="77777777" w:rsidR="008E1AF8" w:rsidRPr="00C91693" w:rsidRDefault="008E1AF8" w:rsidP="008E1AF8">
            <w:r>
              <w:rPr>
                <w:lang w:val="es"/>
              </w:rPr>
              <w:t>Además de las actividades registradas en la base de datos IP–TAD, puede encontrarse más información sobre los logros relativos a esta recomendación en el Informe sobre el rendimiento de los programas en 2014 (documento WO/PBC/23/2), en particular en los programas 9 y 10.</w:t>
            </w:r>
          </w:p>
          <w:p w14:paraId="34973F78" w14:textId="77777777" w:rsidR="008E1AF8" w:rsidRPr="00C91693" w:rsidRDefault="008E1AF8" w:rsidP="008E1AF8"/>
        </w:tc>
      </w:tr>
      <w:tr w:rsidR="008E1AF8" w:rsidRPr="00C91693" w14:paraId="597D7422" w14:textId="77777777" w:rsidTr="008E1AF8">
        <w:tblPrEx>
          <w:tblCellMar>
            <w:top w:w="108" w:type="dxa"/>
            <w:bottom w:w="108" w:type="dxa"/>
          </w:tblCellMar>
        </w:tblPrEx>
        <w:trPr>
          <w:trHeight w:val="303"/>
          <w:tblHeader/>
        </w:trPr>
        <w:tc>
          <w:tcPr>
            <w:tcW w:w="6369" w:type="dxa"/>
            <w:shd w:val="clear" w:color="auto" w:fill="auto"/>
          </w:tcPr>
          <w:p w14:paraId="7BFC0578" w14:textId="77777777" w:rsidR="008E1AF8" w:rsidRPr="00C91693" w:rsidRDefault="008E1AF8" w:rsidP="008E1AF8"/>
          <w:p w14:paraId="0E6AD292" w14:textId="77777777" w:rsidR="008E1AF8" w:rsidRPr="00C91693" w:rsidRDefault="008E1AF8" w:rsidP="008E1AF8">
            <w:r>
              <w:rPr>
                <w:lang w:val="es"/>
              </w:rPr>
              <w:t>Contribuye a la aplicación de la recomendación 4 un proyecto temático sobre propiedad intelectual y desarrollo de las marcas de producto para el fomento de las empresas de países en desarrollo y países menos adelantados (PMA) (documento CDIP/5/5).</w:t>
            </w:r>
          </w:p>
        </w:tc>
        <w:tc>
          <w:tcPr>
            <w:tcW w:w="7599" w:type="dxa"/>
            <w:shd w:val="clear" w:color="auto" w:fill="auto"/>
          </w:tcPr>
          <w:p w14:paraId="331CD5D3" w14:textId="77777777" w:rsidR="008E1AF8" w:rsidRPr="00C91693" w:rsidRDefault="008E1AF8" w:rsidP="008E1AF8"/>
          <w:p w14:paraId="7443CEA0" w14:textId="77777777" w:rsidR="008E1AF8" w:rsidRPr="00C91693" w:rsidRDefault="008E1AF8" w:rsidP="008E1AF8">
            <w:r>
              <w:rPr>
                <w:lang w:val="es"/>
              </w:rPr>
              <w:t xml:space="preserve">Tras la conclusión del proyecto temático sobre propiedad intelectual y desarrollo de marcas de producto para el fomento de las empresas de países en desarrollo y países menos adelantados (documento CDIP/5/5), ejecutado desde 2010 hasta 2013 en Panamá, Tailandia y Uganda, se agruparon y desarrollaron varias directrices utilizadas en los programas de fortalecimiento de capacidades sobre la identificación, la protección y el desarrollo de marcas de productos vinculados con el origen e indicaciones geográficas.  Véanse los informes sobre la marcha de las actividades </w:t>
            </w:r>
            <w:hyperlink r:id="rId74" w:tgtFrame="_self" w:history="1">
              <w:r>
                <w:rPr>
                  <w:rStyle w:val="Hyperlink"/>
                  <w:lang w:val="es"/>
                </w:rPr>
                <w:t>CDIP/8/2</w:t>
              </w:r>
            </w:hyperlink>
            <w:r>
              <w:rPr>
                <w:lang w:val="es"/>
              </w:rPr>
              <w:t xml:space="preserve">, </w:t>
            </w:r>
            <w:hyperlink r:id="rId75" w:tgtFrame="_self" w:history="1">
              <w:r>
                <w:rPr>
                  <w:rStyle w:val="Hyperlink"/>
                  <w:lang w:val="es"/>
                </w:rPr>
                <w:t>CDIP/10/2</w:t>
              </w:r>
            </w:hyperlink>
            <w:r>
              <w:rPr>
                <w:lang w:val="es"/>
              </w:rPr>
              <w:t xml:space="preserve"> y </w:t>
            </w:r>
            <w:hyperlink r:id="rId76" w:tgtFrame="_self" w:history="1">
              <w:r>
                <w:rPr>
                  <w:rStyle w:val="Hyperlink"/>
                  <w:lang w:val="es"/>
                </w:rPr>
                <w:t>CDIP/12/2</w:t>
              </w:r>
            </w:hyperlink>
            <w:r>
              <w:rPr>
                <w:lang w:val="es"/>
              </w:rPr>
              <w:t xml:space="preserve"> y el informe de evaluación </w:t>
            </w:r>
            <w:hyperlink r:id="rId77" w:tgtFrame="_self" w:history="1">
              <w:r>
                <w:rPr>
                  <w:rStyle w:val="Hyperlink"/>
                  <w:lang w:val="es"/>
                </w:rPr>
                <w:t>CDIP/13/3</w:t>
              </w:r>
            </w:hyperlink>
            <w:r>
              <w:rPr>
                <w:u w:val="single"/>
                <w:lang w:val="es"/>
              </w:rPr>
              <w:t>.</w:t>
            </w:r>
          </w:p>
          <w:p w14:paraId="685ABB32" w14:textId="77777777" w:rsidR="008E1AF8" w:rsidRPr="00C91693" w:rsidRDefault="008E1AF8" w:rsidP="008E1AF8"/>
          <w:p w14:paraId="7BCC5CBB" w14:textId="77777777" w:rsidR="008E1AF8" w:rsidRPr="00C91693" w:rsidRDefault="008E1AF8" w:rsidP="008E1AF8">
            <w:r>
              <w:rPr>
                <w:lang w:val="es"/>
              </w:rPr>
              <w:t xml:space="preserve">Ocho países han aplicado la metodología de los proyectos de la Agenda para el Desarrollo para formular nuevos proyectos de P.I. y desarrollo de marcas de productos vinculados con el origen. </w:t>
            </w:r>
          </w:p>
          <w:p w14:paraId="6A0E5D87" w14:textId="77777777" w:rsidR="008E1AF8" w:rsidRPr="00C91693" w:rsidRDefault="008E1AF8" w:rsidP="008E1AF8"/>
          <w:p w14:paraId="4426FDF4" w14:textId="77777777" w:rsidR="008E1AF8" w:rsidRPr="00C91693" w:rsidRDefault="008E1AF8" w:rsidP="008E1AF8">
            <w:r>
              <w:rPr>
                <w:lang w:val="es"/>
              </w:rPr>
              <w:t>En algunos casos, se establecieron asociaciones con donantes (p. ej., la Unión Europea, el Banco Interamericano de Desarrollo y el Organismo de Fomento de las Exportaciones de los Estados del Caribe) a fin de respaldar los esfuerzos de los gobiernos y las instituciones nacionales para garantizar la protección de la P.I. y promover el desarrollo de marcas de sus productos vinculados con el origen.</w:t>
            </w:r>
          </w:p>
          <w:p w14:paraId="26E9416C" w14:textId="77777777" w:rsidR="008E1AF8" w:rsidRPr="00C91693" w:rsidRDefault="008E1AF8" w:rsidP="008E1AF8"/>
          <w:p w14:paraId="5D7FA686" w14:textId="77777777" w:rsidR="008E1AF8" w:rsidRPr="00C91693" w:rsidRDefault="008E1AF8" w:rsidP="008E1AF8">
            <w:pPr>
              <w:rPr>
                <w:szCs w:val="22"/>
              </w:rPr>
            </w:pPr>
            <w:r>
              <w:rPr>
                <w:szCs w:val="22"/>
                <w:lang w:val="es"/>
              </w:rPr>
              <w:t xml:space="preserve">Este proyecto se incorporó a la actividad ordinaria de la Organización. </w:t>
            </w:r>
            <w:r>
              <w:rPr>
                <w:lang w:val="es"/>
              </w:rPr>
              <w:t xml:space="preserve">Además de las actividades registradas en la base de datos IP–TAD, </w:t>
            </w:r>
            <w:r>
              <w:rPr>
                <w:szCs w:val="22"/>
                <w:lang w:val="es"/>
              </w:rPr>
              <w:t>puede encontrarse más información en el Informe sobre el rendimiento de los programas en 2014 (documento WO/PBC/23/2), en particular en el programa 9.</w:t>
            </w:r>
          </w:p>
          <w:p w14:paraId="052437CD" w14:textId="77777777" w:rsidR="008E1AF8" w:rsidRPr="00C91693" w:rsidRDefault="008E1AF8" w:rsidP="008E1AF8">
            <w:pPr>
              <w:rPr>
                <w:szCs w:val="22"/>
              </w:rPr>
            </w:pPr>
          </w:p>
        </w:tc>
      </w:tr>
      <w:tr w:rsidR="008E1AF8" w:rsidRPr="00C91693" w14:paraId="4086B781" w14:textId="77777777" w:rsidTr="008E1AF8">
        <w:tblPrEx>
          <w:tblCellMar>
            <w:top w:w="108" w:type="dxa"/>
            <w:bottom w:w="108" w:type="dxa"/>
          </w:tblCellMar>
        </w:tblPrEx>
        <w:trPr>
          <w:trHeight w:val="303"/>
          <w:tblHeader/>
        </w:trPr>
        <w:tc>
          <w:tcPr>
            <w:tcW w:w="6369" w:type="dxa"/>
            <w:shd w:val="clear" w:color="auto" w:fill="auto"/>
          </w:tcPr>
          <w:p w14:paraId="3CDD3330" w14:textId="77777777" w:rsidR="008E1AF8" w:rsidRPr="00C91693" w:rsidRDefault="008E1AF8" w:rsidP="008E1AF8"/>
          <w:p w14:paraId="0D01956D" w14:textId="77777777" w:rsidR="008E1AF8" w:rsidRPr="00C91693" w:rsidRDefault="008E1AF8" w:rsidP="008E1AF8">
            <w:r>
              <w:rPr>
                <w:lang w:val="es"/>
              </w:rPr>
              <w:t>Se puso en marcha un proyecto piloto sobre la propiedad intelectual (P.I.) y la gestión de diseños para fomentar las actividades comerciales en los países en desarrollo y los PMA.</w:t>
            </w:r>
          </w:p>
        </w:tc>
        <w:tc>
          <w:tcPr>
            <w:tcW w:w="7599" w:type="dxa"/>
            <w:shd w:val="clear" w:color="auto" w:fill="auto"/>
          </w:tcPr>
          <w:p w14:paraId="10CE3A09" w14:textId="77777777" w:rsidR="008E1AF8" w:rsidRPr="00C91693" w:rsidRDefault="008E1AF8" w:rsidP="008E1AF8"/>
          <w:p w14:paraId="52953107" w14:textId="77777777" w:rsidR="008E1AF8" w:rsidRPr="00C91693" w:rsidRDefault="008E1AF8" w:rsidP="008E1AF8">
            <w:r>
              <w:rPr>
                <w:lang w:val="es"/>
              </w:rPr>
              <w:t xml:space="preserve">La ejecución de este proyecto, cuya información figura en el documento CDIP/12/6, comenzó en enero de 2014.  Para consultar más información sobre la ejecución de este proyecto, véase el Anexo II del presente documento.  </w:t>
            </w:r>
          </w:p>
        </w:tc>
      </w:tr>
    </w:tbl>
    <w:p w14:paraId="0B3AA12A" w14:textId="77777777" w:rsidR="008E1AF8" w:rsidRPr="00C91693" w:rsidRDefault="008E1AF8" w:rsidP="008E1AF8">
      <w:pPr>
        <w:rPr>
          <w:bCs/>
          <w:i/>
          <w:szCs w:val="22"/>
        </w:rPr>
      </w:pPr>
    </w:p>
    <w:p w14:paraId="63457ECE" w14:textId="4E4BD7F2" w:rsidR="008E1AF8" w:rsidRPr="00C91693" w:rsidRDefault="008E1AF8" w:rsidP="008E1AF8">
      <w:pPr>
        <w:rPr>
          <w:bCs/>
          <w:i/>
          <w:szCs w:val="22"/>
        </w:rPr>
      </w:pPr>
    </w:p>
    <w:p w14:paraId="7C1E87AA" w14:textId="77777777" w:rsidR="008E1AF8" w:rsidRPr="00C91693" w:rsidRDefault="008E1AF8" w:rsidP="008E1AF8">
      <w:pPr>
        <w:spacing w:after="200" w:line="276" w:lineRule="auto"/>
        <w:rPr>
          <w:b/>
        </w:rPr>
      </w:pPr>
      <w:r>
        <w:rPr>
          <w:i/>
          <w:iCs/>
          <w:szCs w:val="22"/>
          <w:lang w:val="es"/>
        </w:rPr>
        <w:t>Recomendación 6:</w:t>
      </w:r>
      <w:r>
        <w:rPr>
          <w:i/>
          <w:iCs/>
          <w:szCs w:val="28"/>
          <w:lang w:val="es"/>
        </w:rPr>
        <w:t xml:space="preserve">  </w:t>
      </w:r>
      <w:r>
        <w:rPr>
          <w:lang w:val="es"/>
        </w:rPr>
        <w:t>El personal y los consultores de la OMPI encargados de la asistencia técnica seguirán siendo neutrales y responsables, prestando particular atención al Código de Ética Profesional en vigor y evitando eventuales conflictos de interés.  La OMPI elaborará una lista de los consultores encargados de la asistencia técnica al servicio de la OMPI, lista que será ampliamente difundida entre sus Estados miembros.</w:t>
      </w: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4"/>
        <w:gridCol w:w="8806"/>
      </w:tblGrid>
      <w:tr w:rsidR="008E1AF8" w:rsidRPr="0016236F" w14:paraId="39B64937" w14:textId="77777777" w:rsidTr="008E1AF8">
        <w:trPr>
          <w:trHeight w:val="392"/>
          <w:tblHeader/>
        </w:trPr>
        <w:tc>
          <w:tcPr>
            <w:tcW w:w="6044" w:type="dxa"/>
            <w:shd w:val="clear" w:color="auto" w:fill="auto"/>
          </w:tcPr>
          <w:p w14:paraId="3A477500" w14:textId="77777777" w:rsidR="008E1AF8" w:rsidRPr="0016236F" w:rsidRDefault="008E1AF8" w:rsidP="008E1AF8">
            <w:pPr>
              <w:keepNext/>
              <w:autoSpaceDE w:val="0"/>
              <w:spacing w:before="240" w:after="60"/>
              <w:outlineLvl w:val="2"/>
              <w:rPr>
                <w:bCs/>
                <w:u w:val="single"/>
              </w:rPr>
            </w:pPr>
            <w:r>
              <w:rPr>
                <w:u w:val="single"/>
                <w:lang w:val="es"/>
              </w:rPr>
              <w:t>Estrategias de ejecución</w:t>
            </w:r>
          </w:p>
        </w:tc>
        <w:tc>
          <w:tcPr>
            <w:tcW w:w="8806" w:type="dxa"/>
            <w:shd w:val="clear" w:color="auto" w:fill="auto"/>
            <w:vAlign w:val="center"/>
          </w:tcPr>
          <w:p w14:paraId="62605E95" w14:textId="77777777" w:rsidR="008E1AF8" w:rsidRPr="0016236F" w:rsidRDefault="008E1AF8" w:rsidP="008E1AF8">
            <w:pPr>
              <w:keepNext/>
              <w:autoSpaceDE w:val="0"/>
              <w:spacing w:before="240" w:after="60"/>
              <w:outlineLvl w:val="2"/>
              <w:rPr>
                <w:bCs/>
                <w:szCs w:val="26"/>
                <w:u w:val="single"/>
              </w:rPr>
            </w:pPr>
            <w:r>
              <w:rPr>
                <w:szCs w:val="26"/>
                <w:u w:val="single"/>
                <w:lang w:val="es"/>
              </w:rPr>
              <w:t>Logros</w:t>
            </w:r>
          </w:p>
          <w:p w14:paraId="26197550" w14:textId="77777777" w:rsidR="008E1AF8" w:rsidRPr="0016236F" w:rsidRDefault="008E1AF8" w:rsidP="008E1AF8"/>
        </w:tc>
      </w:tr>
      <w:tr w:rsidR="008E1AF8" w:rsidRPr="00C91693" w14:paraId="792D2F87" w14:textId="77777777" w:rsidTr="008E1AF8">
        <w:tblPrEx>
          <w:tblCellMar>
            <w:top w:w="108" w:type="dxa"/>
            <w:bottom w:w="108" w:type="dxa"/>
          </w:tblCellMar>
        </w:tblPrEx>
        <w:tc>
          <w:tcPr>
            <w:tcW w:w="6044" w:type="dxa"/>
            <w:shd w:val="clear" w:color="auto" w:fill="auto"/>
          </w:tcPr>
          <w:p w14:paraId="2123A3F1" w14:textId="77777777" w:rsidR="008E1AF8" w:rsidRPr="00C91693" w:rsidRDefault="008E1AF8" w:rsidP="008E1AF8"/>
          <w:p w14:paraId="6F5509AC" w14:textId="77777777" w:rsidR="008E1AF8" w:rsidRPr="00C91693" w:rsidRDefault="008E1AF8" w:rsidP="008E1AF8">
            <w:r>
              <w:rPr>
                <w:lang w:val="es"/>
              </w:rPr>
              <w:t>Incorporar las normas de conducta de la administración pública internacional de las Naciones Unidas en los contratos suscritos con todos los empleados de la OMPI, incluidos los consultores contratados por la Organización.</w:t>
            </w:r>
          </w:p>
        </w:tc>
        <w:tc>
          <w:tcPr>
            <w:tcW w:w="8806" w:type="dxa"/>
            <w:shd w:val="clear" w:color="auto" w:fill="auto"/>
          </w:tcPr>
          <w:p w14:paraId="2C61035F" w14:textId="77777777" w:rsidR="008E1AF8" w:rsidRPr="00412CAB" w:rsidRDefault="008E1AF8" w:rsidP="008E1AF8">
            <w:pPr>
              <w:pStyle w:val="Default"/>
              <w:rPr>
                <w:sz w:val="22"/>
                <w:szCs w:val="22"/>
                <w:lang w:val="es-ES"/>
              </w:rPr>
            </w:pPr>
          </w:p>
          <w:p w14:paraId="20CB1EF7" w14:textId="77777777" w:rsidR="008E1AF8" w:rsidRPr="00412CAB" w:rsidRDefault="008E1AF8" w:rsidP="008E1AF8">
            <w:pPr>
              <w:pStyle w:val="Default"/>
              <w:rPr>
                <w:szCs w:val="22"/>
                <w:lang w:val="es-ES"/>
              </w:rPr>
            </w:pPr>
            <w:r>
              <w:rPr>
                <w:sz w:val="22"/>
                <w:szCs w:val="22"/>
                <w:lang w:val="es"/>
              </w:rPr>
              <w:t xml:space="preserve">Tras la aplicación de las revisiones del Estatuto y el Reglamento del Personal sobre el nuevo sistema de justicia interna el 1 de enero de 2014, se emitieron órdenes de servicio en las que se estipulan los procedimientos aplicables a las demandas y conflictos en relación con el entorno laboral, y la aplicación de medidas disciplinarias, proporcionando un marco reglamentario claro con objeto de, entre otras cosas, reforzar los valores de integridad, imparcialidad y responsabilidad del personal de la OMPI. </w:t>
            </w:r>
          </w:p>
          <w:p w14:paraId="2B6FC033" w14:textId="77777777" w:rsidR="008E1AF8" w:rsidRPr="00C91693" w:rsidRDefault="008E1AF8" w:rsidP="008E1AF8"/>
        </w:tc>
      </w:tr>
      <w:tr w:rsidR="008E1AF8" w:rsidRPr="00C91693" w14:paraId="5CC77284" w14:textId="77777777" w:rsidTr="008E1AF8">
        <w:tblPrEx>
          <w:tblCellMar>
            <w:top w:w="108" w:type="dxa"/>
            <w:bottom w:w="108" w:type="dxa"/>
          </w:tblCellMar>
        </w:tblPrEx>
        <w:tc>
          <w:tcPr>
            <w:tcW w:w="6044" w:type="dxa"/>
            <w:shd w:val="clear" w:color="auto" w:fill="auto"/>
          </w:tcPr>
          <w:p w14:paraId="5585476D" w14:textId="77777777" w:rsidR="008E1AF8" w:rsidRPr="00C91693" w:rsidRDefault="008E1AF8" w:rsidP="008E1AF8"/>
          <w:p w14:paraId="75120453" w14:textId="77777777" w:rsidR="008E1AF8" w:rsidRPr="00C91693" w:rsidRDefault="008E1AF8" w:rsidP="008E1AF8">
            <w:r>
              <w:rPr>
                <w:lang w:val="es"/>
              </w:rPr>
              <w:t>Fomentar la sensibilización acerca de los sistemas de ética e integridad y conocer más adecuadamente su importancia.</w:t>
            </w:r>
          </w:p>
          <w:p w14:paraId="4F3CDB4A" w14:textId="77777777" w:rsidR="008E1AF8" w:rsidRPr="00C91693" w:rsidRDefault="008E1AF8" w:rsidP="008E1AF8"/>
        </w:tc>
        <w:tc>
          <w:tcPr>
            <w:tcW w:w="8806" w:type="dxa"/>
            <w:shd w:val="clear" w:color="auto" w:fill="auto"/>
          </w:tcPr>
          <w:p w14:paraId="6CB57860" w14:textId="77777777" w:rsidR="008E1AF8" w:rsidRPr="00C91693" w:rsidRDefault="008E1AF8" w:rsidP="008E1AF8"/>
          <w:p w14:paraId="08D7FA8E" w14:textId="77777777" w:rsidR="008E1AF8" w:rsidRPr="00C91693" w:rsidRDefault="008E1AF8" w:rsidP="008E1AF8">
            <w:r>
              <w:rPr>
                <w:lang w:val="es"/>
              </w:rPr>
              <w:t xml:space="preserve">Se creó la Oficina de Ética Profesional, que continuó brindando asesoramiento al personal de la OMPI. Se organizaron actividades de formación sobre ética profesional dirigidas al personal y los consultores de la OMPI. </w:t>
            </w:r>
          </w:p>
          <w:p w14:paraId="60B3E0D7" w14:textId="77777777" w:rsidR="008E1AF8" w:rsidRPr="00C91693" w:rsidRDefault="008E1AF8" w:rsidP="008E1AF8"/>
          <w:p w14:paraId="6FC58E57" w14:textId="77777777" w:rsidR="008E1AF8" w:rsidRPr="00C91693" w:rsidRDefault="008E1AF8" w:rsidP="008E1AF8">
            <w:r>
              <w:rPr>
                <w:lang w:val="es"/>
              </w:rPr>
              <w:t>A fin de evitar conflictos de interés, y con el objeto de que se respete el código de ética profesional y las normas profesionales, la Sección de Evaluación de la OMPI solicita a todos los consultores dedicados a labores de evaluación que reconozcan su sometimiento a las normas y la ética profesional del Grupo de Evaluación de las Naciones Unidas (UNEG) y que confirmen asimismo que están libres de conflictos de interés, es decir, que no han formado parte de las actividades de los programas que son objeto de evaluación.</w:t>
            </w:r>
          </w:p>
          <w:p w14:paraId="08F29193" w14:textId="77777777" w:rsidR="008E1AF8" w:rsidRPr="00C91693" w:rsidRDefault="008E1AF8" w:rsidP="008E1AF8"/>
        </w:tc>
      </w:tr>
      <w:tr w:rsidR="008E1AF8" w:rsidRPr="00C91693" w14:paraId="09D276D6" w14:textId="77777777" w:rsidTr="008E1AF8">
        <w:tblPrEx>
          <w:tblCellMar>
            <w:top w:w="108" w:type="dxa"/>
            <w:bottom w:w="108" w:type="dxa"/>
          </w:tblCellMar>
        </w:tblPrEx>
        <w:tc>
          <w:tcPr>
            <w:tcW w:w="6044" w:type="dxa"/>
            <w:shd w:val="clear" w:color="auto" w:fill="auto"/>
          </w:tcPr>
          <w:p w14:paraId="6A81220B" w14:textId="77777777" w:rsidR="008E1AF8" w:rsidRPr="00C91693" w:rsidRDefault="008E1AF8" w:rsidP="008E1AF8"/>
          <w:p w14:paraId="7703F601" w14:textId="77777777" w:rsidR="008E1AF8" w:rsidRPr="00C91693" w:rsidRDefault="008E1AF8" w:rsidP="008E1AF8">
            <w:r>
              <w:rPr>
                <w:lang w:val="es"/>
              </w:rPr>
              <w:t>Fomentar la capacidad de la OMPI para investigar las infracciones en la Organización.</w:t>
            </w:r>
          </w:p>
          <w:p w14:paraId="6E0187C9" w14:textId="77777777" w:rsidR="008E1AF8" w:rsidRPr="00C91693" w:rsidRDefault="008E1AF8" w:rsidP="008E1AF8"/>
        </w:tc>
        <w:tc>
          <w:tcPr>
            <w:tcW w:w="8806" w:type="dxa"/>
            <w:shd w:val="clear" w:color="auto" w:fill="auto"/>
          </w:tcPr>
          <w:p w14:paraId="4BC31AC9" w14:textId="77777777" w:rsidR="008E1AF8" w:rsidRPr="00C91693" w:rsidRDefault="008E1AF8" w:rsidP="008E1AF8">
            <w:pPr>
              <w:keepNext/>
            </w:pPr>
          </w:p>
          <w:p w14:paraId="16E77919" w14:textId="77777777" w:rsidR="008E1AF8" w:rsidRPr="00C91693" w:rsidRDefault="008E1AF8" w:rsidP="008E1AF8">
            <w:pPr>
              <w:keepNext/>
              <w:jc w:val="both"/>
            </w:pPr>
            <w:r>
              <w:rPr>
                <w:lang w:val="es"/>
              </w:rPr>
              <w:t xml:space="preserve">Se ha dotado a la Sección de Investigaciones de la División de Supervisión Interna de recursos suficientes, de un Jefe de Sección, y de un Oficial Principal de Investigaciones, además de recursos no relativos al personal, a fin de que pueda </w:t>
            </w:r>
            <w:r>
              <w:rPr>
                <w:lang w:val="es"/>
              </w:rPr>
              <w:lastRenderedPageBreak/>
              <w:t xml:space="preserve">responder a todas las reclamaciones recibidas.  Las estadísticas de las investigaciones están debidamente documentadas en los informes a las asambleas y a la Comisión Consultiva Independiente de Supervisión (CCIS). </w:t>
            </w:r>
          </w:p>
          <w:p w14:paraId="491D7306" w14:textId="77777777" w:rsidR="008E1AF8" w:rsidRPr="00C91693" w:rsidRDefault="008E1AF8" w:rsidP="008E1AF8">
            <w:pPr>
              <w:keepNext/>
            </w:pPr>
          </w:p>
        </w:tc>
      </w:tr>
      <w:tr w:rsidR="008E1AF8" w:rsidRPr="00C91693" w14:paraId="772D265E" w14:textId="77777777" w:rsidTr="008E1AF8">
        <w:tblPrEx>
          <w:tblCellMar>
            <w:top w:w="108" w:type="dxa"/>
            <w:bottom w:w="108" w:type="dxa"/>
          </w:tblCellMar>
        </w:tblPrEx>
        <w:trPr>
          <w:trHeight w:val="633"/>
        </w:trPr>
        <w:tc>
          <w:tcPr>
            <w:tcW w:w="6044" w:type="dxa"/>
            <w:shd w:val="clear" w:color="auto" w:fill="auto"/>
          </w:tcPr>
          <w:p w14:paraId="6A25B86C" w14:textId="77777777" w:rsidR="008E1AF8" w:rsidRPr="00C91693" w:rsidRDefault="008E1AF8" w:rsidP="008E1AF8"/>
          <w:p w14:paraId="4420E86B" w14:textId="77777777" w:rsidR="008E1AF8" w:rsidRPr="00C91693" w:rsidRDefault="008E1AF8" w:rsidP="008E1AF8">
            <w:r>
              <w:rPr>
                <w:lang w:val="es"/>
              </w:rPr>
              <w:t>Crear y poner a disposición de los usuarios una lista de los consultores de la OMPI en materia de asistencia técnica.</w:t>
            </w:r>
          </w:p>
        </w:tc>
        <w:tc>
          <w:tcPr>
            <w:tcW w:w="8806" w:type="dxa"/>
            <w:shd w:val="clear" w:color="auto" w:fill="auto"/>
          </w:tcPr>
          <w:p w14:paraId="3D811AE7" w14:textId="77777777" w:rsidR="008E1AF8" w:rsidRPr="00C91693" w:rsidRDefault="008E1AF8" w:rsidP="008E1AF8"/>
          <w:p w14:paraId="1CF1D514" w14:textId="77777777" w:rsidR="008E1AF8" w:rsidRPr="00C91693" w:rsidRDefault="008E1AF8" w:rsidP="008E1AF8">
            <w:r>
              <w:rPr>
                <w:lang w:val="es"/>
              </w:rPr>
              <w:t>Se actualizó la lista de consultores, que se integró en el proyecto sobre Base de datos de asistencia técnica en materia de propiedad intelectual (IP–TAD).  La base de datos puede consultarse en http://www.wipo.int/roc/es/index.jsp.</w:t>
            </w:r>
          </w:p>
          <w:p w14:paraId="04882CD9" w14:textId="77777777" w:rsidR="008E1AF8" w:rsidRPr="00C91693" w:rsidRDefault="008E1AF8" w:rsidP="008E1AF8"/>
        </w:tc>
      </w:tr>
    </w:tbl>
    <w:p w14:paraId="1A25E46E" w14:textId="77777777" w:rsidR="008E1AF8" w:rsidRPr="00C91693" w:rsidRDefault="008E1AF8" w:rsidP="008E1AF8">
      <w:pPr>
        <w:rPr>
          <w:bCs/>
        </w:rPr>
      </w:pPr>
      <w:r>
        <w:rPr>
          <w:lang w:val="es"/>
        </w:rPr>
        <w:br w:type="page"/>
      </w:r>
      <w:r>
        <w:rPr>
          <w:i/>
          <w:iCs/>
          <w:szCs w:val="22"/>
          <w:lang w:val="es"/>
        </w:rPr>
        <w:lastRenderedPageBreak/>
        <w:t>Recomendación 7:</w:t>
      </w:r>
      <w:r>
        <w:rPr>
          <w:szCs w:val="22"/>
          <w:lang w:val="es"/>
        </w:rPr>
        <w:t xml:space="preserve"> </w:t>
      </w:r>
      <w:r>
        <w:rPr>
          <w:i/>
          <w:iCs/>
          <w:szCs w:val="22"/>
          <w:lang w:val="es"/>
        </w:rPr>
        <w:t xml:space="preserve"> </w:t>
      </w:r>
      <w:r>
        <w:rPr>
          <w:szCs w:val="22"/>
          <w:lang w:val="es"/>
        </w:rPr>
        <w:t>Promover medidas que</w:t>
      </w:r>
      <w:r>
        <w:rPr>
          <w:lang w:val="es"/>
        </w:rPr>
        <w:t xml:space="preserve"> ayuden a los países a luchar contra las prácticas contrarias a la libre competencia relacionadas con la P.I., mediante la cooperación técnica con los países en desarrollo que la soliciten, en especial los PMA, para que comprendan mejor la interconexión de los derechos de propiedad intelectual con las políticas en materia de competencia.</w:t>
      </w:r>
    </w:p>
    <w:p w14:paraId="3AB9023D" w14:textId="77777777" w:rsidR="008E1AF8" w:rsidRPr="00C91693" w:rsidRDefault="008E1AF8" w:rsidP="008E1AF8">
      <w:pPr>
        <w:rPr>
          <w:b/>
        </w:rPr>
      </w:pPr>
    </w:p>
    <w:p w14:paraId="6697B36D" w14:textId="77777777" w:rsidR="008E1AF8" w:rsidRPr="00C91693" w:rsidRDefault="008E1AF8" w:rsidP="008E1AF8">
      <w:pPr>
        <w:rPr>
          <w:b/>
        </w:rPr>
      </w:pPr>
    </w:p>
    <w:tbl>
      <w:tblPr>
        <w:tblW w:w="14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8471"/>
      </w:tblGrid>
      <w:tr w:rsidR="008E1AF8" w:rsidRPr="0016236F" w14:paraId="58E63530" w14:textId="77777777" w:rsidTr="008E1AF8">
        <w:trPr>
          <w:trHeight w:val="392"/>
          <w:tblHeader/>
        </w:trPr>
        <w:tc>
          <w:tcPr>
            <w:tcW w:w="6379" w:type="dxa"/>
            <w:shd w:val="clear" w:color="auto" w:fill="auto"/>
          </w:tcPr>
          <w:p w14:paraId="64CB518F" w14:textId="77777777" w:rsidR="008E1AF8" w:rsidRPr="0016236F" w:rsidRDefault="008E1AF8" w:rsidP="008E1AF8">
            <w:pPr>
              <w:keepNext/>
              <w:autoSpaceDE w:val="0"/>
              <w:spacing w:before="240" w:after="60"/>
              <w:outlineLvl w:val="2"/>
              <w:rPr>
                <w:bCs/>
                <w:u w:val="single"/>
              </w:rPr>
            </w:pPr>
            <w:r>
              <w:rPr>
                <w:u w:val="single"/>
                <w:lang w:val="es"/>
              </w:rPr>
              <w:t>Estrategias de ejecución</w:t>
            </w:r>
          </w:p>
        </w:tc>
        <w:tc>
          <w:tcPr>
            <w:tcW w:w="8471" w:type="dxa"/>
            <w:shd w:val="clear" w:color="auto" w:fill="auto"/>
            <w:vAlign w:val="center"/>
          </w:tcPr>
          <w:p w14:paraId="6704C98B" w14:textId="77777777" w:rsidR="008E1AF8" w:rsidRPr="0016236F" w:rsidRDefault="008E1AF8" w:rsidP="008E1AF8">
            <w:pPr>
              <w:keepNext/>
              <w:autoSpaceDE w:val="0"/>
              <w:spacing w:before="240" w:after="60"/>
              <w:outlineLvl w:val="2"/>
              <w:rPr>
                <w:bCs/>
                <w:szCs w:val="26"/>
                <w:u w:val="single"/>
              </w:rPr>
            </w:pPr>
            <w:r>
              <w:rPr>
                <w:szCs w:val="26"/>
                <w:u w:val="single"/>
                <w:lang w:val="es"/>
              </w:rPr>
              <w:t>Logros</w:t>
            </w:r>
          </w:p>
          <w:p w14:paraId="3DB4B73B" w14:textId="77777777" w:rsidR="008E1AF8" w:rsidRPr="0016236F" w:rsidRDefault="008E1AF8" w:rsidP="008E1AF8"/>
        </w:tc>
      </w:tr>
      <w:tr w:rsidR="008E1AF8" w:rsidRPr="0016236F" w14:paraId="68D8FA09" w14:textId="77777777" w:rsidTr="008E1AF8">
        <w:tblPrEx>
          <w:tblCellMar>
            <w:top w:w="108" w:type="dxa"/>
            <w:bottom w:w="108" w:type="dxa"/>
          </w:tblCellMar>
        </w:tblPrEx>
        <w:trPr>
          <w:trHeight w:val="935"/>
        </w:trPr>
        <w:tc>
          <w:tcPr>
            <w:tcW w:w="6379" w:type="dxa"/>
            <w:shd w:val="clear" w:color="auto" w:fill="auto"/>
          </w:tcPr>
          <w:p w14:paraId="12935BB7" w14:textId="77777777" w:rsidR="008E1AF8" w:rsidRPr="00C91693" w:rsidRDefault="008E1AF8" w:rsidP="008E1AF8"/>
          <w:p w14:paraId="3A3236D3" w14:textId="77777777" w:rsidR="008E1AF8" w:rsidRPr="00C91693" w:rsidRDefault="008E1AF8" w:rsidP="008E1AF8">
            <w:r>
              <w:rPr>
                <w:lang w:val="es"/>
              </w:rPr>
              <w:t>La OMPI proporciona a quien lo solicite asistencia y asesoramiento legislativos para prevenir o resolver cualquier problema relacionado con prácticas contrarias a la libre competencia relacionadas con la P.I.  Ello incluye el examen del alcance concreto de los derechos exclusivos de P.I., en particular las excepciones y limitaciones que cabe imponer a esos derechos, así como el uso de opciones legales como las licencias obligatorias y otras medidas contempladas en las normas internacionales.  También se brinda asesoramiento a quien lo solicite sobre cuestiones relacionadas con cláusulas que limiten el comercio y otras cláusulas de los contratos de licencia de derechos de P.I. que puedan perjudicar la competencia.</w:t>
            </w:r>
          </w:p>
          <w:p w14:paraId="336E1119" w14:textId="77777777" w:rsidR="008E1AF8" w:rsidRPr="00C91693" w:rsidRDefault="008E1AF8" w:rsidP="008E1AF8"/>
          <w:p w14:paraId="2092BAC2" w14:textId="77777777" w:rsidR="008E1AF8" w:rsidRPr="00C91693" w:rsidRDefault="008E1AF8" w:rsidP="008E1AF8">
            <w:r>
              <w:rPr>
                <w:lang w:val="es"/>
              </w:rPr>
              <w:t xml:space="preserve">Además, en el marco de esta recomendación, se elaboró y ejecutó un proyecto temático sobre P.I. y políticas en materia de competencia (documento CDIP/4/4 Rev.). </w:t>
            </w:r>
          </w:p>
          <w:p w14:paraId="381373AD" w14:textId="77777777" w:rsidR="008E1AF8" w:rsidRPr="0016236F" w:rsidRDefault="008E1AF8" w:rsidP="008E1AF8"/>
        </w:tc>
        <w:tc>
          <w:tcPr>
            <w:tcW w:w="8471" w:type="dxa"/>
            <w:shd w:val="clear" w:color="auto" w:fill="auto"/>
          </w:tcPr>
          <w:p w14:paraId="5D498D76" w14:textId="77777777" w:rsidR="008E1AF8" w:rsidRPr="00C91693" w:rsidRDefault="008E1AF8" w:rsidP="008E1AF8"/>
          <w:p w14:paraId="69C4CAFF" w14:textId="77777777" w:rsidR="008E1AF8" w:rsidRPr="00C91693" w:rsidRDefault="008E1AF8" w:rsidP="008E1AF8">
            <w:r>
              <w:rPr>
                <w:lang w:val="es"/>
              </w:rPr>
              <w:t xml:space="preserve">Promoción continua de la cooperación, formal o informal, entre las oficinas nacionales de P.I. y las autoridades competentes en materia de competencia, con el fin de asegurar un intercambio de información regular entre los Estados miembros. </w:t>
            </w:r>
          </w:p>
          <w:p w14:paraId="3DAC7E64" w14:textId="77777777" w:rsidR="008E1AF8" w:rsidRPr="00C91693" w:rsidRDefault="008E1AF8" w:rsidP="008E1AF8"/>
          <w:p w14:paraId="1D798F6F" w14:textId="77777777" w:rsidR="008E1AF8" w:rsidRPr="00C91693" w:rsidRDefault="008E1AF8" w:rsidP="008E1AF8">
            <w:r>
              <w:rPr>
                <w:lang w:val="es"/>
              </w:rPr>
              <w:t xml:space="preserve">Mejora de la comprensión de la interrelación entre la P.I. y la competencia en diversas esferas complejas, como los proyectos de investigación en colaboración, la concesión de licencias de P.I y las normas técnicas, por conducto de varios estudios y encuestas llevados a cabo entre los Estados miembros. </w:t>
            </w:r>
          </w:p>
          <w:p w14:paraId="5B804547" w14:textId="77777777" w:rsidR="008E1AF8" w:rsidRPr="00C91693" w:rsidRDefault="008E1AF8" w:rsidP="008E1AF8"/>
          <w:p w14:paraId="62EE9839" w14:textId="77777777" w:rsidR="008E1AF8" w:rsidRPr="00C91693" w:rsidRDefault="008E1AF8" w:rsidP="008E1AF8">
            <w:r>
              <w:rPr>
                <w:lang w:val="es"/>
              </w:rPr>
              <w:t xml:space="preserve">Mayor cooperación y colaboración con las Secretarías de la OCDE, la UNCTAD, la OMPI y la OMC. </w:t>
            </w:r>
          </w:p>
          <w:p w14:paraId="76529DF7" w14:textId="77777777" w:rsidR="008E1AF8" w:rsidRPr="00C91693" w:rsidRDefault="008E1AF8" w:rsidP="008E1AF8"/>
          <w:p w14:paraId="5A831613" w14:textId="77777777" w:rsidR="008E1AF8" w:rsidRPr="00C91693" w:rsidRDefault="008E1AF8" w:rsidP="008E1AF8">
            <w:r>
              <w:rPr>
                <w:lang w:val="es"/>
              </w:rPr>
              <w:t>Prestación de actividades de asistencia a los países en desarrollo sobre legislación y políticas públicas en relación con la interconexión entre la P.I. y la competencia: una actividad concluida; dos pendientes; dos solicitadas; con inminencia.</w:t>
            </w:r>
          </w:p>
          <w:p w14:paraId="71F2AECA" w14:textId="77777777" w:rsidR="008E1AF8" w:rsidRPr="00C91693" w:rsidRDefault="008E1AF8" w:rsidP="008E1AF8"/>
          <w:p w14:paraId="06287E10" w14:textId="77777777" w:rsidR="008E1AF8" w:rsidRPr="0016236F" w:rsidRDefault="008E1AF8" w:rsidP="008E1AF8">
            <w:r>
              <w:rPr>
                <w:lang w:val="es"/>
              </w:rPr>
              <w:t>Además de las actividades registradas en la base de datos IP–TAD, puede encontrarse más información sobre los logros relativos a esta recomendación en el Informe sobre el rendimiento de los programas en 2014 (documento WO/PBC/23/2), en particular en el programa 18.</w:t>
            </w:r>
          </w:p>
          <w:p w14:paraId="5A78D6E5" w14:textId="77777777" w:rsidR="008E1AF8" w:rsidRPr="0016236F" w:rsidRDefault="008E1AF8" w:rsidP="008E1AF8"/>
        </w:tc>
      </w:tr>
    </w:tbl>
    <w:p w14:paraId="66FD2C38" w14:textId="77777777" w:rsidR="008E1AF8" w:rsidRPr="00C91693" w:rsidRDefault="008E1AF8" w:rsidP="008E1AF8">
      <w:pPr>
        <w:rPr>
          <w:bCs/>
          <w:szCs w:val="22"/>
        </w:rPr>
      </w:pPr>
      <w:r>
        <w:rPr>
          <w:lang w:val="es"/>
        </w:rPr>
        <w:br w:type="page"/>
      </w:r>
      <w:r>
        <w:rPr>
          <w:i/>
          <w:iCs/>
          <w:szCs w:val="22"/>
          <w:lang w:val="es"/>
        </w:rPr>
        <w:lastRenderedPageBreak/>
        <w:t>Recomendación 11:</w:t>
      </w:r>
      <w:r>
        <w:rPr>
          <w:szCs w:val="22"/>
          <w:lang w:val="es"/>
        </w:rPr>
        <w:t xml:space="preserve">  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p w14:paraId="19965157" w14:textId="77777777" w:rsidR="008E1AF8" w:rsidRPr="00C91693" w:rsidRDefault="008E1AF8" w:rsidP="008E1AF8">
      <w:pPr>
        <w:rPr>
          <w:bCs/>
        </w:rPr>
      </w:pPr>
    </w:p>
    <w:p w14:paraId="36BB26C9" w14:textId="77777777" w:rsidR="008E1AF8" w:rsidRPr="00C91693" w:rsidRDefault="008E1AF8" w:rsidP="008E1AF8">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4"/>
        <w:gridCol w:w="6379"/>
      </w:tblGrid>
      <w:tr w:rsidR="008E1AF8" w:rsidRPr="0016236F" w14:paraId="3E8B189B" w14:textId="77777777" w:rsidTr="008E1AF8">
        <w:trPr>
          <w:trHeight w:val="392"/>
          <w:tblHeader/>
        </w:trPr>
        <w:tc>
          <w:tcPr>
            <w:tcW w:w="0" w:type="auto"/>
            <w:shd w:val="clear" w:color="auto" w:fill="auto"/>
          </w:tcPr>
          <w:p w14:paraId="44CBBEFE" w14:textId="77777777" w:rsidR="008E1AF8" w:rsidRPr="0016236F" w:rsidRDefault="008E1AF8" w:rsidP="008E1AF8">
            <w:pPr>
              <w:keepNext/>
              <w:autoSpaceDE w:val="0"/>
              <w:spacing w:before="240" w:after="60"/>
              <w:outlineLvl w:val="2"/>
              <w:rPr>
                <w:bCs/>
                <w:u w:val="single"/>
              </w:rPr>
            </w:pPr>
            <w:r>
              <w:rPr>
                <w:u w:val="single"/>
                <w:lang w:val="es"/>
              </w:rPr>
              <w:t>Estrategias de ejecución</w:t>
            </w:r>
          </w:p>
        </w:tc>
        <w:tc>
          <w:tcPr>
            <w:tcW w:w="6379" w:type="dxa"/>
            <w:shd w:val="clear" w:color="auto" w:fill="auto"/>
            <w:vAlign w:val="center"/>
          </w:tcPr>
          <w:p w14:paraId="576AE52C" w14:textId="77777777" w:rsidR="008E1AF8" w:rsidRPr="0016236F" w:rsidRDefault="008E1AF8" w:rsidP="008E1AF8">
            <w:pPr>
              <w:keepNext/>
              <w:autoSpaceDE w:val="0"/>
              <w:spacing w:before="240" w:after="60"/>
              <w:outlineLvl w:val="2"/>
              <w:rPr>
                <w:bCs/>
                <w:szCs w:val="26"/>
                <w:u w:val="single"/>
              </w:rPr>
            </w:pPr>
            <w:r>
              <w:rPr>
                <w:szCs w:val="26"/>
                <w:u w:val="single"/>
                <w:lang w:val="es"/>
              </w:rPr>
              <w:t>Logros</w:t>
            </w:r>
          </w:p>
          <w:p w14:paraId="3AE6AD17" w14:textId="77777777" w:rsidR="008E1AF8" w:rsidRPr="0016236F" w:rsidRDefault="008E1AF8" w:rsidP="008E1AF8"/>
        </w:tc>
      </w:tr>
      <w:tr w:rsidR="008E1AF8" w:rsidRPr="00C91693" w14:paraId="7BEBEC62" w14:textId="77777777" w:rsidTr="008E1AF8">
        <w:tblPrEx>
          <w:tblCellMar>
            <w:top w:w="108" w:type="dxa"/>
            <w:bottom w:w="108" w:type="dxa"/>
          </w:tblCellMar>
        </w:tblPrEx>
        <w:tc>
          <w:tcPr>
            <w:tcW w:w="0" w:type="auto"/>
            <w:shd w:val="clear" w:color="auto" w:fill="auto"/>
          </w:tcPr>
          <w:p w14:paraId="793BD68F" w14:textId="77777777" w:rsidR="008E1AF8" w:rsidRPr="00C91693" w:rsidRDefault="008E1AF8" w:rsidP="008E1AF8"/>
          <w:p w14:paraId="07A32D81" w14:textId="77777777" w:rsidR="008E1AF8" w:rsidRPr="00C91693" w:rsidRDefault="008E1AF8" w:rsidP="008E1AF8">
            <w:r>
              <w:rPr>
                <w:lang w:val="es"/>
              </w:rPr>
              <w:t>Impartir cursos de formación en protección de la P.I. y redacción de solicitudes de patente para científicos, investigadores, administradores de tecnología, inventores y abogados a fin de mejorar los conocimientos sobre el sistema de patentes y de P.I., fortalecer la capacidad de utilización del sistema de patentes por parte de los generadores de P.I., las universidades y las instituciones de I+D a escala nacional, mediante la aplicación de diferentes estrategias de patentes y el uso de las herramientas disponibles, con el objeto de utilizar eficazmente sus creaciones para conseguir un desarrollo sostenible en los países en desarrollo y los PMA.</w:t>
            </w:r>
            <w:r>
              <w:rPr>
                <w:lang w:val="es"/>
              </w:rPr>
              <w:br/>
            </w:r>
          </w:p>
          <w:p w14:paraId="1A156397" w14:textId="77777777" w:rsidR="008E1AF8" w:rsidRPr="00C91693" w:rsidRDefault="008E1AF8" w:rsidP="008E1AF8">
            <w:r>
              <w:rPr>
                <w:lang w:val="es"/>
              </w:rPr>
              <w:t>Elaborar herramientas prácticas para prestar asistencia a los Estados miembros y a sus instituciones de I+D en la creación y la aplicación eficaz de sistemas de transferencia de tecnología.</w:t>
            </w:r>
            <w:r>
              <w:rPr>
                <w:lang w:val="es"/>
              </w:rPr>
              <w:br/>
            </w:r>
          </w:p>
          <w:p w14:paraId="419A5466" w14:textId="77777777" w:rsidR="008E1AF8" w:rsidRPr="00C91693" w:rsidRDefault="008E1AF8" w:rsidP="008E1AF8">
            <w:pPr>
              <w:rPr>
                <w:highlight w:val="yellow"/>
              </w:rPr>
            </w:pPr>
            <w:r>
              <w:rPr>
                <w:lang w:val="es"/>
              </w:rPr>
              <w:t>Fomentar el uso de la información sobre patentes y el acceso a esta.</w:t>
            </w:r>
          </w:p>
        </w:tc>
        <w:tc>
          <w:tcPr>
            <w:tcW w:w="6379" w:type="dxa"/>
            <w:shd w:val="clear" w:color="auto" w:fill="auto"/>
          </w:tcPr>
          <w:p w14:paraId="58A49DE7" w14:textId="77777777" w:rsidR="008E1AF8" w:rsidRPr="00C91693" w:rsidRDefault="008E1AF8" w:rsidP="008E1AF8"/>
          <w:p w14:paraId="3E4A8062" w14:textId="77777777" w:rsidR="008E1AF8" w:rsidRPr="00C91693" w:rsidRDefault="008E1AF8" w:rsidP="008E1AF8">
            <w:r>
              <w:rPr>
                <w:lang w:val="es"/>
              </w:rPr>
              <w:t xml:space="preserve">Continuación del desarrollo de las modalidades adaptadas de los programas de fortalecimiento de capacidades en la esfera de la estrategia de patentes y la redacción de solicitudes de patente.  </w:t>
            </w:r>
          </w:p>
          <w:p w14:paraId="4B2C04CB" w14:textId="77777777" w:rsidR="008E1AF8" w:rsidRPr="00C91693" w:rsidRDefault="008E1AF8" w:rsidP="008E1AF8">
            <w:r>
              <w:rPr>
                <w:lang w:val="es"/>
              </w:rPr>
              <w:t xml:space="preserve">El </w:t>
            </w:r>
            <w:r>
              <w:rPr>
                <w:i/>
                <w:iCs/>
                <w:lang w:val="es"/>
              </w:rPr>
              <w:t>Manual de la OMPI de redacción de solicitudes de patente</w:t>
            </w:r>
            <w:r>
              <w:rPr>
                <w:lang w:val="es"/>
              </w:rPr>
              <w:t xml:space="preserve"> se tradujo también al vietnamita y al lituano.  En el período objeto de examen, la OMPI organizó nueve cursos de redacción de solicitudes de patente en países en desarrollo.</w:t>
            </w:r>
          </w:p>
          <w:p w14:paraId="72C0CDBD" w14:textId="77777777" w:rsidR="008E1AF8" w:rsidRPr="00C91693" w:rsidRDefault="008E1AF8" w:rsidP="008E1AF8"/>
          <w:p w14:paraId="69A1BE60" w14:textId="77777777" w:rsidR="008E1AF8" w:rsidRPr="00C91693" w:rsidRDefault="008E1AF8" w:rsidP="008E1AF8">
            <w:r>
              <w:rPr>
                <w:lang w:val="es"/>
              </w:rPr>
              <w:t>Mejora de las destrezas de búsqueda en bases de datos de patentes y de comprensión e interpretación de documentos de patente.</w:t>
            </w:r>
            <w:r>
              <w:rPr>
                <w:lang w:val="es"/>
              </w:rPr>
              <w:br/>
            </w:r>
          </w:p>
          <w:p w14:paraId="7D11464F" w14:textId="77777777" w:rsidR="008E1AF8" w:rsidRPr="000C1194" w:rsidRDefault="008E1AF8" w:rsidP="008E1AF8">
            <w:pPr>
              <w:rPr>
                <w:szCs w:val="22"/>
                <w:u w:val="single"/>
              </w:rPr>
            </w:pPr>
            <w:r w:rsidRPr="000C1194">
              <w:rPr>
                <w:szCs w:val="22"/>
                <w:lang w:val="es"/>
              </w:rPr>
              <w:t>Mejora del acceso general a la P.I. y a los conocimientos a través de la base de datos de WIPO Re:Search, que puede consultarse en</w:t>
            </w:r>
            <w:r w:rsidRPr="000C1194">
              <w:rPr>
                <w:caps/>
                <w:szCs w:val="22"/>
                <w:lang w:val="es"/>
              </w:rPr>
              <w:t xml:space="preserve">: </w:t>
            </w:r>
            <w:hyperlink r:id="rId78" w:history="1">
              <w:r w:rsidRPr="000C1194">
                <w:rPr>
                  <w:rStyle w:val="Hyperlink"/>
                  <w:szCs w:val="22"/>
                  <w:lang w:val="es"/>
                </w:rPr>
                <w:t>http://www.wipo.int/research/en/</w:t>
              </w:r>
            </w:hyperlink>
          </w:p>
          <w:p w14:paraId="1AC331F2" w14:textId="77777777" w:rsidR="008E1AF8" w:rsidRPr="00C91693" w:rsidRDefault="008E1AF8" w:rsidP="008E1AF8"/>
          <w:p w14:paraId="4D5FE44F" w14:textId="5BBAC5DE" w:rsidR="008E1AF8" w:rsidRPr="00C91693" w:rsidRDefault="008E1AF8" w:rsidP="008E1AF8">
            <w:r>
              <w:rPr>
                <w:lang w:val="es"/>
              </w:rPr>
              <w:t>Servicios a las instituciones de P.I. y a las pequeñas y medianas empresas (</w:t>
            </w:r>
            <w:r w:rsidR="000A424D">
              <w:rPr>
                <w:lang w:val="es"/>
              </w:rPr>
              <w:t>pymes</w:t>
            </w:r>
            <w:r>
              <w:rPr>
                <w:lang w:val="es"/>
              </w:rPr>
              <w:t>), prestados a través de los Servicios de la OMPI de información sobre patentes (WPIS).</w:t>
            </w:r>
          </w:p>
          <w:p w14:paraId="72C68AE8" w14:textId="77777777" w:rsidR="008E1AF8" w:rsidRPr="00C91693" w:rsidRDefault="008E1AF8" w:rsidP="008E1AF8"/>
          <w:p w14:paraId="45CBC8D0" w14:textId="77777777" w:rsidR="008E1AF8" w:rsidRPr="00C91693" w:rsidRDefault="008E1AF8" w:rsidP="008E1AF8">
            <w:r>
              <w:rPr>
                <w:lang w:val="es"/>
              </w:rPr>
              <w:t xml:space="preserve">Asimismo, ha finalizado la fase II de los proyectos de la Agenda para el Desarrollo sobre acceso a bases de datos especializadas (documento CDIP/9/9) y creación de instrumentos de acceso a la información sobre patentes (documento CDIP/10/13). Los informes de evaluación de estos </w:t>
            </w:r>
            <w:r>
              <w:rPr>
                <w:lang w:val="es"/>
              </w:rPr>
              <w:lastRenderedPageBreak/>
              <w:t>proyectos se presentaron en la decimocuarta sesión del CDIP.  Véanse los documentos CDIP/14/5 y CDIP/14/6, respectivamente.</w:t>
            </w:r>
          </w:p>
          <w:p w14:paraId="35E3A802" w14:textId="77777777" w:rsidR="008E1AF8" w:rsidRPr="00C91693" w:rsidRDefault="008E1AF8" w:rsidP="008E1AF8"/>
          <w:p w14:paraId="79B12366" w14:textId="77777777" w:rsidR="008E1AF8" w:rsidRPr="00C91693" w:rsidRDefault="008E1AF8" w:rsidP="008E1AF8"/>
          <w:p w14:paraId="1BA7F59F" w14:textId="77777777" w:rsidR="008E1AF8" w:rsidRPr="00C91693" w:rsidRDefault="008E1AF8" w:rsidP="008E1AF8"/>
          <w:p w14:paraId="15868817" w14:textId="77777777" w:rsidR="008E1AF8" w:rsidRPr="00C91693" w:rsidRDefault="008E1AF8" w:rsidP="008E1AF8">
            <w:r>
              <w:rPr>
                <w:lang w:val="es"/>
              </w:rPr>
              <w:t xml:space="preserve">Además de las actividades registradas en la base de datos IP–TAD, puede encontrarse más información sobre los logros relativos a esta recomendación en a) el Informe sobre el rendimiento de los programas en 2014 (documento WO/PBC/23/2), en particular </w:t>
            </w:r>
          </w:p>
          <w:p w14:paraId="651F9E17" w14:textId="77777777" w:rsidR="008E1AF8" w:rsidRPr="00C91693" w:rsidRDefault="008E1AF8" w:rsidP="008E1AF8">
            <w:r>
              <w:rPr>
                <w:lang w:val="es"/>
              </w:rPr>
              <w:t>en los programas 1, 14 y 30;  b) el informe sobre la marcha de las actividades del proyecto sobre el fortalecimiento de capacidades en el uso de información técnica y científica relativa a tecnologías apropiadas para solucionar determinados problemas de desarrollo – fase II, que figura en el Anexo </w:t>
            </w:r>
            <w:r>
              <w:rPr>
                <w:szCs w:val="22"/>
                <w:lang w:val="es"/>
              </w:rPr>
              <w:t xml:space="preserve">VII </w:t>
            </w:r>
            <w:r>
              <w:rPr>
                <w:lang w:val="es"/>
              </w:rPr>
              <w:t xml:space="preserve"> del documento CDIP/14/2;  y c) los informes sobre la marcha de las actividades y el informe de evaluación del proyecto sobre el fortalecimiento de capacidades en el uso de información técnica y científica relativa a tecnologías apropiadas para solucionar determinados problemas de desarrollo – fase I, que figuran en los documentos CDIP/8/2, CDIP/10/2 y CDIP/12/3, respectivamente.</w:t>
            </w:r>
          </w:p>
          <w:p w14:paraId="0900B9FE" w14:textId="77777777" w:rsidR="008E1AF8" w:rsidRPr="00C91693" w:rsidRDefault="008E1AF8" w:rsidP="008E1AF8">
            <w:pPr>
              <w:rPr>
                <w:highlight w:val="yellow"/>
              </w:rPr>
            </w:pPr>
          </w:p>
        </w:tc>
      </w:tr>
      <w:tr w:rsidR="008E1AF8" w:rsidRPr="0016236F" w14:paraId="6DFB67E1" w14:textId="77777777" w:rsidTr="008E1AF8">
        <w:tblPrEx>
          <w:tblCellMar>
            <w:top w:w="108" w:type="dxa"/>
            <w:bottom w:w="108" w:type="dxa"/>
          </w:tblCellMar>
        </w:tblPrEx>
        <w:trPr>
          <w:trHeight w:val="3436"/>
        </w:trPr>
        <w:tc>
          <w:tcPr>
            <w:tcW w:w="0" w:type="auto"/>
            <w:shd w:val="clear" w:color="auto" w:fill="auto"/>
          </w:tcPr>
          <w:p w14:paraId="24D864C3" w14:textId="77777777" w:rsidR="008E1AF8" w:rsidRPr="00C91693" w:rsidRDefault="008E1AF8" w:rsidP="008E1AF8">
            <w:r>
              <w:rPr>
                <w:lang w:val="es"/>
              </w:rPr>
              <w:lastRenderedPageBreak/>
              <w:t>Fomentar la sensibilización acerca de los aspectos teóricos y prácticos de la gestión colectiva de varias categorías de obras protegidas por derecho de autor, así como en lo que atañe a los artistas intérpretes y ejecutantes.</w:t>
            </w:r>
          </w:p>
          <w:p w14:paraId="1C9E5BBE" w14:textId="77777777" w:rsidR="008E1AF8" w:rsidRPr="00C91693" w:rsidRDefault="008E1AF8" w:rsidP="008E1AF8"/>
        </w:tc>
        <w:tc>
          <w:tcPr>
            <w:tcW w:w="6379" w:type="dxa"/>
            <w:shd w:val="clear" w:color="auto" w:fill="auto"/>
          </w:tcPr>
          <w:p w14:paraId="023245C5" w14:textId="77777777" w:rsidR="008E1AF8" w:rsidRPr="00C91693" w:rsidRDefault="008E1AF8" w:rsidP="008E1AF8">
            <w:r>
              <w:rPr>
                <w:lang w:val="es"/>
              </w:rPr>
              <w:t>Se elaboró nueva documentación para formación en materia de gestión colectiva del derecho de autor y derechos conexos, que se puso a disposición de los Estados miembros.  Se elaboraron programas de formación y publicaciones para promover la sensibilización con la colaboración de nuevos asociados, y se incrementó el alcance geográfico al ampliarse la asistencia a los países de lengua portuguesa en particular.  Junto con los asociados, la OMPI comenzó a explorar iniciativas para respaldar la transparencia, la rendición de cuentas y la gobernanza de la gestión colectiva.</w:t>
            </w:r>
          </w:p>
          <w:p w14:paraId="5DAB3D74" w14:textId="77777777" w:rsidR="008E1AF8" w:rsidRPr="00C91693" w:rsidRDefault="008E1AF8" w:rsidP="008E1AF8"/>
          <w:p w14:paraId="0D616F67" w14:textId="77777777" w:rsidR="008E1AF8" w:rsidRPr="0016236F" w:rsidRDefault="008E1AF8" w:rsidP="008E1AF8">
            <w:r>
              <w:rPr>
                <w:lang w:val="es"/>
              </w:rPr>
              <w:t>Además de las actividades registradas en la base de datos IP–TAD, puede encontrarse más información sobre los logros relativos a esta recomendación en el Informe sobre el rendimiento de los programas en 2014 (documento WO/PBC/23/2), en particular en el programa 3.</w:t>
            </w:r>
          </w:p>
        </w:tc>
      </w:tr>
    </w:tbl>
    <w:p w14:paraId="60CD1C0C" w14:textId="77777777" w:rsidR="008E1AF8" w:rsidRPr="00C91693" w:rsidRDefault="008E1AF8" w:rsidP="008E1AF8">
      <w:pPr>
        <w:rPr>
          <w:bCs/>
          <w:szCs w:val="22"/>
        </w:rPr>
      </w:pPr>
      <w:r>
        <w:rPr>
          <w:lang w:val="es"/>
        </w:rPr>
        <w:br w:type="page"/>
      </w:r>
      <w:r>
        <w:rPr>
          <w:i/>
          <w:iCs/>
          <w:szCs w:val="22"/>
          <w:lang w:val="es"/>
        </w:rPr>
        <w:lastRenderedPageBreak/>
        <w:t>Recomendación 12:</w:t>
      </w:r>
      <w:r>
        <w:rPr>
          <w:szCs w:val="22"/>
          <w:lang w:val="es"/>
        </w:rPr>
        <w:t xml:space="preserve">  Facilitar la incorporación de las cuestiones de desarrollo a las actividades y los debates de asistencia técnica y de otra índole que lleva a cabo la OMPI, con arreglo a su mandato.</w:t>
      </w:r>
    </w:p>
    <w:p w14:paraId="37B9D532" w14:textId="77777777" w:rsidR="008E1AF8" w:rsidRPr="00C91693" w:rsidRDefault="008E1AF8" w:rsidP="008E1AF8">
      <w:pPr>
        <w:rPr>
          <w:b/>
        </w:rPr>
      </w:pPr>
    </w:p>
    <w:p w14:paraId="6F34BB06" w14:textId="77777777" w:rsidR="008E1AF8" w:rsidRPr="00C91693" w:rsidRDefault="008E1AF8" w:rsidP="008E1AF8">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8E1AF8" w:rsidRPr="0016236F" w14:paraId="7AABE05D" w14:textId="77777777" w:rsidTr="008E1AF8">
        <w:trPr>
          <w:trHeight w:val="392"/>
        </w:trPr>
        <w:tc>
          <w:tcPr>
            <w:tcW w:w="6379" w:type="dxa"/>
            <w:shd w:val="clear" w:color="auto" w:fill="auto"/>
          </w:tcPr>
          <w:p w14:paraId="54F7C98B" w14:textId="77777777" w:rsidR="008E1AF8" w:rsidRPr="0016236F" w:rsidRDefault="008E1AF8" w:rsidP="008E1AF8">
            <w:pPr>
              <w:keepNext/>
              <w:autoSpaceDE w:val="0"/>
              <w:spacing w:before="240" w:after="60"/>
              <w:outlineLvl w:val="2"/>
              <w:rPr>
                <w:bCs/>
                <w:u w:val="single"/>
              </w:rPr>
            </w:pPr>
            <w:r>
              <w:rPr>
                <w:u w:val="single"/>
                <w:lang w:val="es"/>
              </w:rPr>
              <w:t>Estrategias de ejecución</w:t>
            </w:r>
          </w:p>
        </w:tc>
        <w:tc>
          <w:tcPr>
            <w:tcW w:w="7371" w:type="dxa"/>
            <w:shd w:val="clear" w:color="auto" w:fill="auto"/>
            <w:vAlign w:val="center"/>
          </w:tcPr>
          <w:p w14:paraId="40FBB6C8" w14:textId="77777777" w:rsidR="008E1AF8" w:rsidRPr="0016236F" w:rsidRDefault="008E1AF8" w:rsidP="008E1AF8">
            <w:pPr>
              <w:keepNext/>
              <w:autoSpaceDE w:val="0"/>
              <w:spacing w:before="240" w:after="60"/>
              <w:outlineLvl w:val="2"/>
              <w:rPr>
                <w:bCs/>
                <w:szCs w:val="26"/>
                <w:u w:val="single"/>
              </w:rPr>
            </w:pPr>
            <w:r>
              <w:rPr>
                <w:szCs w:val="26"/>
                <w:u w:val="single"/>
                <w:lang w:val="es"/>
              </w:rPr>
              <w:t>Logros</w:t>
            </w:r>
          </w:p>
          <w:p w14:paraId="139FF5F8" w14:textId="77777777" w:rsidR="008E1AF8" w:rsidRPr="0016236F" w:rsidRDefault="008E1AF8" w:rsidP="008E1AF8"/>
        </w:tc>
      </w:tr>
      <w:tr w:rsidR="008E1AF8" w:rsidRPr="00C91693" w14:paraId="45A3CC96" w14:textId="77777777" w:rsidTr="008E1AF8">
        <w:tblPrEx>
          <w:tblCellMar>
            <w:top w:w="108" w:type="dxa"/>
            <w:bottom w:w="108" w:type="dxa"/>
          </w:tblCellMar>
        </w:tblPrEx>
        <w:trPr>
          <w:trHeight w:val="2715"/>
        </w:trPr>
        <w:tc>
          <w:tcPr>
            <w:tcW w:w="6379" w:type="dxa"/>
            <w:shd w:val="clear" w:color="auto" w:fill="auto"/>
          </w:tcPr>
          <w:p w14:paraId="2ECB559C" w14:textId="77777777" w:rsidR="008E1AF8" w:rsidRPr="00C91693" w:rsidRDefault="008E1AF8" w:rsidP="008E1AF8"/>
          <w:p w14:paraId="49A004E2" w14:textId="77777777" w:rsidR="008E1AF8" w:rsidRPr="00C91693" w:rsidRDefault="008E1AF8" w:rsidP="008E1AF8">
            <w:r>
              <w:rPr>
                <w:lang w:val="es"/>
              </w:rPr>
              <w:t>A fin de facilitar la incorporación de las cuestiones de desarrollo a todas las esferas de la labor de la OMPI, y especialmente a las actividades fundamentales y de asistencia técnica, en el presupuesto por programas se ha velado por que las recomendaciones adoptadas en el marco de la Agenda de la OMPI para el Desarrollo queden reflejadas debidamente en todos los programas pertinentes.</w:t>
            </w:r>
          </w:p>
          <w:p w14:paraId="1AE82952" w14:textId="77777777" w:rsidR="008E1AF8" w:rsidRPr="00C91693" w:rsidRDefault="008E1AF8" w:rsidP="008E1AF8"/>
          <w:p w14:paraId="5785F2BF" w14:textId="77777777" w:rsidR="008E1AF8" w:rsidRPr="00C91693" w:rsidRDefault="008E1AF8" w:rsidP="008E1AF8">
            <w:r>
              <w:rPr>
                <w:lang w:val="es"/>
              </w:rPr>
              <w:t>En concreto, se han incluido referencias a determinadas recomendaciones de la Agenda para el Desarrollo en las descripciones de cada uno de los programas y se ha creado una nueva sección denominada “Vínculos con la Agenda para el Desarrollo” en todos los programas.  De este modo, se ha podido incorporar la Agenda para el Desarrollo al proceso de programación que tiene lugar habitualmente en la OMPI para velar por que se aplique realmente (véase el presupuesto por programas de 2014/15 para obtener informaciones detalladas acerca de la manera en que se ha incorporado la Agenda para el Desarrollo a las actividades de la OMPI).</w:t>
            </w:r>
          </w:p>
        </w:tc>
        <w:tc>
          <w:tcPr>
            <w:tcW w:w="7371" w:type="dxa"/>
            <w:shd w:val="clear" w:color="auto" w:fill="auto"/>
          </w:tcPr>
          <w:p w14:paraId="48BE7FEC" w14:textId="77777777" w:rsidR="008E1AF8" w:rsidRPr="00C91693" w:rsidRDefault="008E1AF8" w:rsidP="008E1AF8"/>
          <w:p w14:paraId="4F3E6836" w14:textId="77777777" w:rsidR="008E1AF8" w:rsidRPr="00C91693" w:rsidRDefault="008E1AF8" w:rsidP="008E1AF8">
            <w:r>
              <w:rPr>
                <w:lang w:val="es"/>
              </w:rPr>
              <w:t xml:space="preserve">Los procesos de programación de la Organización continúan integrando plenamente las recomendaciones de la Agenda para el Desarrollo, como se refleja en la descripción de los distintos programas en el presupuesto por programas del bienio 2014/15 y en el proyecto de propuesta del presupuesto por programas del bienio 2016/17.  El alcance de la incorporación del desarrollo a la OMPI, teniendo debidamente en cuenta las recomendaciones de la Agenda para el Desarrollo y siguiendo su orientación, se mide según la cuota asignada a actividades para el desarrollo de la organización, que se calcula que asciende al 21,4% para el bienio 2014/15.  En total, 29 de los 38 resultados previstos de la Organización tienen una cuota asignada a actividades para el desarrollo en todas las metas estratégicas.  </w:t>
            </w:r>
          </w:p>
          <w:p w14:paraId="2830B38A" w14:textId="77777777" w:rsidR="008E1AF8" w:rsidRPr="00412CAB" w:rsidRDefault="008E1AF8" w:rsidP="008E1AF8">
            <w:pPr>
              <w:pStyle w:val="ListParagraph"/>
              <w:rPr>
                <w:lang w:val="es-ES"/>
              </w:rPr>
            </w:pPr>
          </w:p>
          <w:p w14:paraId="6F647964" w14:textId="77777777" w:rsidR="008E1AF8" w:rsidRPr="00412CAB" w:rsidRDefault="008E1AF8" w:rsidP="008E1AF8">
            <w:pPr>
              <w:pStyle w:val="ListParagraph"/>
              <w:ind w:left="0"/>
              <w:contextualSpacing w:val="0"/>
              <w:rPr>
                <w:lang w:val="es-ES"/>
              </w:rPr>
            </w:pPr>
            <w:r>
              <w:rPr>
                <w:lang w:val="es"/>
              </w:rPr>
              <w:t>Por primera vez se incorporó la evaluación de la aplicación de las recomendaciones de la Agenda para el Desarrollo al Informe sobre el rendimiento de los programas de 2014 y, en consecuencia, se integró plenamente en la reseña de los avances logrados de cada programa, en lugar de ser examinada en otra sección.</w:t>
            </w:r>
          </w:p>
          <w:p w14:paraId="7C91DD5F" w14:textId="77777777" w:rsidR="008E1AF8" w:rsidRPr="00C91693" w:rsidRDefault="008E1AF8" w:rsidP="008E1AF8"/>
          <w:p w14:paraId="02E682DF" w14:textId="77777777" w:rsidR="008E1AF8" w:rsidRPr="00C91693" w:rsidRDefault="008E1AF8" w:rsidP="008E1AF8">
            <w:r>
              <w:rPr>
                <w:lang w:val="es"/>
              </w:rPr>
              <w:t>Para consultar más información sobre los logros relativos a esta recomendación, véase el Informe sobre el rendimiento de los programas en 2014 (documento WO/PBC/23/2).</w:t>
            </w:r>
          </w:p>
          <w:p w14:paraId="60375424" w14:textId="77777777" w:rsidR="008E1AF8" w:rsidRPr="00412CAB" w:rsidRDefault="008E1AF8" w:rsidP="008E1AF8">
            <w:pPr>
              <w:pStyle w:val="ListParagraph"/>
              <w:ind w:left="0"/>
              <w:contextualSpacing w:val="0"/>
              <w:rPr>
                <w:lang w:val="es-ES"/>
              </w:rPr>
            </w:pPr>
          </w:p>
        </w:tc>
      </w:tr>
    </w:tbl>
    <w:p w14:paraId="37EC695D" w14:textId="77777777" w:rsidR="008E1AF8" w:rsidRPr="00C91693" w:rsidRDefault="008E1AF8" w:rsidP="008E1AF8">
      <w:pPr>
        <w:rPr>
          <w:b/>
        </w:rPr>
      </w:pPr>
    </w:p>
    <w:p w14:paraId="0392EA95" w14:textId="77777777" w:rsidR="008E1AF8" w:rsidRPr="00C91693" w:rsidRDefault="008E1AF8" w:rsidP="008E1AF8">
      <w:pPr>
        <w:rPr>
          <w:bCs/>
          <w:szCs w:val="22"/>
        </w:rPr>
      </w:pPr>
      <w:r>
        <w:rPr>
          <w:lang w:val="es"/>
        </w:rPr>
        <w:br w:type="page"/>
      </w:r>
      <w:r>
        <w:rPr>
          <w:i/>
          <w:iCs/>
          <w:szCs w:val="22"/>
          <w:lang w:val="es"/>
        </w:rPr>
        <w:lastRenderedPageBreak/>
        <w:t>Recomendación 13:</w:t>
      </w:r>
      <w:r>
        <w:rPr>
          <w:szCs w:val="22"/>
          <w:lang w:val="es"/>
        </w:rPr>
        <w:t xml:space="preserve">  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además, las actividades deberán incluir los calendarios de su ejecución.</w:t>
      </w:r>
    </w:p>
    <w:p w14:paraId="363E08C8" w14:textId="77777777" w:rsidR="008E1AF8" w:rsidRPr="00C91693" w:rsidRDefault="008E1AF8" w:rsidP="008E1AF8">
      <w:pPr>
        <w:rPr>
          <w:bCs/>
          <w:szCs w:val="22"/>
        </w:rPr>
      </w:pPr>
    </w:p>
    <w:p w14:paraId="04E3B268" w14:textId="77777777" w:rsidR="008E1AF8" w:rsidRPr="00C91693" w:rsidRDefault="008E1AF8" w:rsidP="008E1AF8">
      <w:pPr>
        <w:rPr>
          <w:bCs/>
          <w:szCs w:val="22"/>
        </w:rPr>
      </w:pPr>
    </w:p>
    <w:p w14:paraId="2E3FF9C7" w14:textId="77777777" w:rsidR="008E1AF8" w:rsidRPr="00C91693" w:rsidRDefault="008E1AF8" w:rsidP="008E1AF8">
      <w:pPr>
        <w:rPr>
          <w:bCs/>
          <w:szCs w:val="22"/>
        </w:rPr>
      </w:pPr>
      <w:r>
        <w:rPr>
          <w:i/>
          <w:iCs/>
          <w:szCs w:val="22"/>
          <w:lang w:val="es"/>
        </w:rPr>
        <w:t>Recomendación 14:</w:t>
      </w:r>
      <w:r>
        <w:rPr>
          <w:szCs w:val="22"/>
          <w:lang w:val="es"/>
        </w:rPr>
        <w:t xml:space="preserve">  En el marco del acuerdo entre la OMPI y la OMC, la OMPI ofrecerá asesoramiento a los países en desarrollo y a los PMA sobre la aplicación y el ejercicio de los derechos y las obligaciones; asimismo, informará sobre las flexibilidades que se recogen en el Acuerdo sobre los ADPIC, así como sobre su utilización.</w:t>
      </w:r>
    </w:p>
    <w:p w14:paraId="675E1165" w14:textId="77777777" w:rsidR="008E1AF8" w:rsidRPr="00C91693" w:rsidRDefault="008E1AF8" w:rsidP="008E1AF8">
      <w:pPr>
        <w:rPr>
          <w:bCs/>
          <w:szCs w:val="22"/>
        </w:rPr>
      </w:pPr>
    </w:p>
    <w:p w14:paraId="1ECE422F" w14:textId="77777777" w:rsidR="008E1AF8" w:rsidRPr="00C91693" w:rsidRDefault="008E1AF8" w:rsidP="008E1AF8">
      <w:pPr>
        <w:rPr>
          <w:bCs/>
          <w:szCs w:val="22"/>
        </w:rPr>
      </w:pPr>
    </w:p>
    <w:p w14:paraId="69CDCD87" w14:textId="77777777" w:rsidR="008E1AF8" w:rsidRPr="00C91693" w:rsidRDefault="008E1AF8" w:rsidP="008E1AF8">
      <w:pPr>
        <w:rPr>
          <w:bCs/>
          <w:szCs w:val="22"/>
        </w:rPr>
      </w:pPr>
      <w:r>
        <w:rPr>
          <w:i/>
          <w:iCs/>
          <w:szCs w:val="22"/>
          <w:lang w:val="es"/>
        </w:rPr>
        <w:t xml:space="preserve">Recomendación 17:  </w:t>
      </w:r>
      <w:r>
        <w:rPr>
          <w:szCs w:val="22"/>
          <w:lang w:val="es"/>
        </w:rPr>
        <w:t>En sus actividades, entre las que figuran las actividades normativas, la OMPI deberá tener en cuenta las flexibilidades establecidas en los acuerdos de P.I. internacionales, especialmente aquellas que afectan a los países en desarrollo y PMA.</w:t>
      </w:r>
    </w:p>
    <w:p w14:paraId="1752A6B0" w14:textId="77777777" w:rsidR="008E1AF8" w:rsidRPr="00C91693" w:rsidRDefault="008E1AF8" w:rsidP="008E1AF8">
      <w:pPr>
        <w:rPr>
          <w:bCs/>
          <w:szCs w:val="22"/>
        </w:rPr>
      </w:pPr>
    </w:p>
    <w:p w14:paraId="58D15DF7" w14:textId="77777777" w:rsidR="008E1AF8" w:rsidRPr="00C91693" w:rsidRDefault="008E1AF8" w:rsidP="008E1AF8">
      <w:pPr>
        <w:rPr>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8E1AF8" w:rsidRPr="0016236F" w14:paraId="02D2A923" w14:textId="77777777" w:rsidTr="008E1AF8">
        <w:trPr>
          <w:trHeight w:val="392"/>
          <w:tblHeader/>
        </w:trPr>
        <w:tc>
          <w:tcPr>
            <w:tcW w:w="6379" w:type="dxa"/>
            <w:shd w:val="clear" w:color="auto" w:fill="auto"/>
          </w:tcPr>
          <w:p w14:paraId="730EB720" w14:textId="77777777" w:rsidR="008E1AF8" w:rsidRPr="0016236F" w:rsidRDefault="008E1AF8" w:rsidP="008E1AF8">
            <w:pPr>
              <w:keepNext/>
              <w:autoSpaceDE w:val="0"/>
              <w:spacing w:before="240" w:after="60"/>
              <w:outlineLvl w:val="2"/>
              <w:rPr>
                <w:bCs/>
                <w:u w:val="single"/>
              </w:rPr>
            </w:pPr>
            <w:r>
              <w:rPr>
                <w:u w:val="single"/>
                <w:lang w:val="es"/>
              </w:rPr>
              <w:t>Estrategias de ejecución</w:t>
            </w:r>
          </w:p>
        </w:tc>
        <w:tc>
          <w:tcPr>
            <w:tcW w:w="7371" w:type="dxa"/>
            <w:shd w:val="clear" w:color="auto" w:fill="auto"/>
            <w:vAlign w:val="center"/>
          </w:tcPr>
          <w:p w14:paraId="16944422" w14:textId="77777777" w:rsidR="008E1AF8" w:rsidRPr="0016236F" w:rsidRDefault="008E1AF8" w:rsidP="008E1AF8">
            <w:pPr>
              <w:keepNext/>
              <w:autoSpaceDE w:val="0"/>
              <w:spacing w:before="240" w:after="60"/>
              <w:outlineLvl w:val="2"/>
              <w:rPr>
                <w:bCs/>
                <w:szCs w:val="26"/>
                <w:u w:val="single"/>
              </w:rPr>
            </w:pPr>
            <w:r>
              <w:rPr>
                <w:szCs w:val="26"/>
                <w:u w:val="single"/>
                <w:lang w:val="es"/>
              </w:rPr>
              <w:t>Logros</w:t>
            </w:r>
          </w:p>
          <w:p w14:paraId="5106896B" w14:textId="77777777" w:rsidR="008E1AF8" w:rsidRPr="0016236F" w:rsidRDefault="008E1AF8" w:rsidP="008E1AF8"/>
        </w:tc>
      </w:tr>
      <w:tr w:rsidR="008E1AF8" w:rsidRPr="00C91693" w14:paraId="10A1B67D" w14:textId="77777777" w:rsidTr="008E1AF8">
        <w:tblPrEx>
          <w:tblCellMar>
            <w:top w:w="108" w:type="dxa"/>
            <w:bottom w:w="108" w:type="dxa"/>
          </w:tblCellMar>
        </w:tblPrEx>
        <w:trPr>
          <w:trHeight w:val="1318"/>
        </w:trPr>
        <w:tc>
          <w:tcPr>
            <w:tcW w:w="6379" w:type="dxa"/>
            <w:shd w:val="clear" w:color="auto" w:fill="auto"/>
          </w:tcPr>
          <w:p w14:paraId="66AF6054" w14:textId="77777777" w:rsidR="008E1AF8" w:rsidRPr="00C91693" w:rsidRDefault="008E1AF8" w:rsidP="008E1AF8"/>
          <w:p w14:paraId="710F74B2" w14:textId="77777777" w:rsidR="008E1AF8" w:rsidRPr="0016236F" w:rsidRDefault="008E1AF8" w:rsidP="008E1AF8">
            <w:r>
              <w:rPr>
                <w:lang w:val="es"/>
              </w:rPr>
              <w:t>La asistencia técnica de la OMPI en la esfera de las flexibilidades se centra en el ámbito legislativo, la concienciación y la capacitación.  Esa asistencia se suministra por varios medios, entre ellos:</w:t>
            </w:r>
          </w:p>
          <w:p w14:paraId="78FCBD02" w14:textId="77777777" w:rsidR="008E1AF8" w:rsidRPr="0016236F" w:rsidRDefault="008E1AF8" w:rsidP="008E1AF8"/>
          <w:p w14:paraId="12EBE898" w14:textId="77777777" w:rsidR="008E1AF8" w:rsidRPr="0016236F" w:rsidRDefault="008E1AF8" w:rsidP="008E1AF8">
            <w:pPr>
              <w:numPr>
                <w:ilvl w:val="0"/>
                <w:numId w:val="19"/>
              </w:numPr>
              <w:autoSpaceDE w:val="0"/>
              <w:autoSpaceDN w:val="0"/>
              <w:adjustRightInd w:val="0"/>
            </w:pPr>
            <w:r>
              <w:rPr>
                <w:lang w:val="es"/>
              </w:rPr>
              <w:t>consultas de alto nivel;</w:t>
            </w:r>
          </w:p>
          <w:p w14:paraId="7F46D439" w14:textId="77777777" w:rsidR="008E1AF8" w:rsidRPr="00C91693" w:rsidRDefault="008E1AF8" w:rsidP="008E1AF8">
            <w:pPr>
              <w:numPr>
                <w:ilvl w:val="0"/>
                <w:numId w:val="19"/>
              </w:numPr>
              <w:autoSpaceDE w:val="0"/>
              <w:autoSpaceDN w:val="0"/>
              <w:adjustRightInd w:val="0"/>
            </w:pPr>
            <w:r>
              <w:rPr>
                <w:lang w:val="es"/>
              </w:rPr>
              <w:t>debate y preparación de proyectos de legislación;</w:t>
            </w:r>
          </w:p>
          <w:p w14:paraId="5B489A13" w14:textId="77777777" w:rsidR="008E1AF8" w:rsidRPr="00C91693" w:rsidRDefault="008E1AF8" w:rsidP="008E1AF8">
            <w:pPr>
              <w:numPr>
                <w:ilvl w:val="0"/>
                <w:numId w:val="19"/>
              </w:numPr>
              <w:autoSpaceDE w:val="0"/>
              <w:autoSpaceDN w:val="0"/>
              <w:adjustRightInd w:val="0"/>
            </w:pPr>
            <w:r>
              <w:rPr>
                <w:lang w:val="es"/>
              </w:rPr>
              <w:t>examen de los proyectos de legislación y normativas y asesoramiento al respecto;</w:t>
            </w:r>
          </w:p>
          <w:p w14:paraId="0B4B9F0D" w14:textId="77777777" w:rsidR="008E1AF8" w:rsidRPr="00C91693" w:rsidRDefault="008E1AF8" w:rsidP="008E1AF8">
            <w:pPr>
              <w:numPr>
                <w:ilvl w:val="0"/>
                <w:numId w:val="19"/>
              </w:numPr>
              <w:autoSpaceDE w:val="0"/>
              <w:autoSpaceDN w:val="0"/>
              <w:adjustRightInd w:val="0"/>
            </w:pPr>
            <w:r>
              <w:rPr>
                <w:lang w:val="es"/>
              </w:rPr>
              <w:t>organización y participación en reuniones;</w:t>
            </w:r>
          </w:p>
          <w:p w14:paraId="6F216886" w14:textId="77777777" w:rsidR="008E1AF8" w:rsidRPr="00C91693" w:rsidRDefault="008E1AF8" w:rsidP="008E1AF8">
            <w:pPr>
              <w:numPr>
                <w:ilvl w:val="0"/>
                <w:numId w:val="19"/>
              </w:numPr>
              <w:autoSpaceDE w:val="0"/>
              <w:autoSpaceDN w:val="0"/>
              <w:adjustRightInd w:val="0"/>
            </w:pPr>
            <w:r>
              <w:rPr>
                <w:lang w:val="es"/>
              </w:rPr>
              <w:t xml:space="preserve">misiones técnicas de expertos y visitas de estudio; </w:t>
            </w:r>
          </w:p>
          <w:p w14:paraId="6FB3BC5C" w14:textId="77777777" w:rsidR="008E1AF8" w:rsidRPr="00C91693" w:rsidRDefault="008E1AF8" w:rsidP="008E1AF8">
            <w:pPr>
              <w:numPr>
                <w:ilvl w:val="0"/>
                <w:numId w:val="19"/>
              </w:numPr>
              <w:autoSpaceDE w:val="0"/>
              <w:autoSpaceDN w:val="0"/>
              <w:adjustRightInd w:val="0"/>
            </w:pPr>
            <w:r>
              <w:rPr>
                <w:lang w:val="es"/>
              </w:rPr>
              <w:t>visitas técnicas de funcionarios gubernamentales de las capitales; y</w:t>
            </w:r>
          </w:p>
          <w:p w14:paraId="5D4E13F9" w14:textId="77777777" w:rsidR="008E1AF8" w:rsidRPr="00C91693" w:rsidRDefault="008E1AF8" w:rsidP="008E1AF8">
            <w:pPr>
              <w:numPr>
                <w:ilvl w:val="0"/>
                <w:numId w:val="19"/>
              </w:numPr>
              <w:autoSpaceDE w:val="0"/>
              <w:autoSpaceDN w:val="0"/>
              <w:adjustRightInd w:val="0"/>
            </w:pPr>
            <w:r>
              <w:rPr>
                <w:lang w:val="es"/>
              </w:rPr>
              <w:t xml:space="preserve">formación y capacitación de los responsables locales de la formulación de políticas. </w:t>
            </w:r>
          </w:p>
          <w:p w14:paraId="17612FB8" w14:textId="77777777" w:rsidR="008E1AF8" w:rsidRPr="00C91693" w:rsidRDefault="008E1AF8" w:rsidP="008E1AF8"/>
          <w:p w14:paraId="06706DC7" w14:textId="77777777" w:rsidR="008E1AF8" w:rsidRPr="00C91693" w:rsidRDefault="008E1AF8" w:rsidP="008E1AF8">
            <w:r>
              <w:rPr>
                <w:lang w:val="es"/>
              </w:rPr>
              <w:t xml:space="preserve">La asistencia legislativa en materia de flexibilidades se </w:t>
            </w:r>
            <w:r>
              <w:rPr>
                <w:lang w:val="es"/>
              </w:rPr>
              <w:lastRenderedPageBreak/>
              <w:t xml:space="preserve">proporciona en función de la demanda y tiene carácter bilateral y confidencial;  se presta del modo más rápido posible en función de los recursos disponibles.  Ese tipo de asistencia permite a los encargados de formular políticas y a los expertos jurídicos de los países en desarrollo y de los PMA tomar decisiones con conocimiento de causa sobre el uso de las opciones jurídicas y de las flexibilidades previstas en el marco jurídico internacional, incluido el Acuerdo sobre los Aspectos de los Derechos de Propiedad Intelectual relacionados con el Comercio (ADPIC), en el grado de aplicación en su legislación nacional.  </w:t>
            </w:r>
          </w:p>
          <w:p w14:paraId="22302D28" w14:textId="77777777" w:rsidR="008E1AF8" w:rsidRPr="00C91693" w:rsidRDefault="008E1AF8" w:rsidP="008E1AF8">
            <w:r>
              <w:rPr>
                <w:lang w:val="es"/>
              </w:rPr>
              <w:t>En el marco del Acuerdo OMPI/OMC, la OMPI proporciona con carácter neutral y confidencial cooperación técnica y asesoramiento jurídico y legislativo a países en desarrollo y a PMA para la aplicación del Acuerdo sobre los ADPIC, teniendo en cuenta las distintas opciones legislativas.  En ese sentido, se han organizado reuniones y consultas conjuntas con la OMC para mejorar la cooperación mutua.</w:t>
            </w:r>
          </w:p>
          <w:p w14:paraId="2D412469" w14:textId="77777777" w:rsidR="008E1AF8" w:rsidRPr="00C91693" w:rsidRDefault="008E1AF8" w:rsidP="008E1AF8"/>
          <w:p w14:paraId="371E918F" w14:textId="77777777" w:rsidR="008E1AF8" w:rsidRPr="00C91693" w:rsidRDefault="008E1AF8" w:rsidP="008E1AF8">
            <w:r>
              <w:rPr>
                <w:lang w:val="es"/>
              </w:rPr>
              <w:t>También se presta asistencia a los países, previa petición, sobre la adhesión a tratados internacionales y su aplicación, como en el caso de los acuerdos regionales, teniendo en cuenta las prioridades y objetivos de desarrollo nacionales.  Se tienen plenamente en cuenta distintas disposiciones concretas relacionadas con los PMA y sus necesidades especiales.</w:t>
            </w:r>
          </w:p>
          <w:p w14:paraId="2AC2E461" w14:textId="77777777" w:rsidR="008E1AF8" w:rsidRPr="00C91693" w:rsidRDefault="008E1AF8" w:rsidP="008E1AF8"/>
          <w:p w14:paraId="11C03761" w14:textId="77777777" w:rsidR="008E1AF8" w:rsidRPr="00C91693" w:rsidRDefault="008E1AF8" w:rsidP="008E1AF8">
            <w:r>
              <w:rPr>
                <w:lang w:val="es"/>
              </w:rPr>
              <w:t xml:space="preserve">La asistencia legislativa referida a la concienciación sobre las flexibilidades y a la aplicación de estas en el sistema de propiedad intelectual se facilita a petición de los países, y toma en consideración las prioridades y necesidades nacionales específicas. </w:t>
            </w:r>
          </w:p>
          <w:p w14:paraId="16194B6C" w14:textId="77777777" w:rsidR="008E1AF8" w:rsidRPr="00C91693" w:rsidRDefault="008E1AF8" w:rsidP="008E1AF8"/>
          <w:p w14:paraId="636F3723" w14:textId="77777777" w:rsidR="008E1AF8" w:rsidRPr="00C91693" w:rsidRDefault="008E1AF8" w:rsidP="008E1AF8">
            <w:r>
              <w:rPr>
                <w:lang w:val="es"/>
              </w:rPr>
              <w:lastRenderedPageBreak/>
              <w:t>En las actividades de normalización, se han tomado medidas para velar por que las actividades del Comité Permanente sobre el Derecho de Patentes (SCP), el Comité Permanente sobre el Derecho de Marcas, Diseños Industriales e Indicaciones Geográficas (SCT, el Comité Permanente de Derecho de Autor y Derechos Conexos (SCCR) y el Comité Intergubernamental sobre Propiedad Intelectual y Recursos Genéticos, Conocimientos Tradicionales y Folclore (CIG) tomen debida cuenta de las flexibilidades en los acuerdos internacionales en materia de propiedad intelectual.</w:t>
            </w:r>
          </w:p>
          <w:p w14:paraId="3CA32FCD" w14:textId="77777777" w:rsidR="008E1AF8" w:rsidRPr="00C91693" w:rsidRDefault="008E1AF8" w:rsidP="008E1AF8"/>
          <w:p w14:paraId="5B6DAF80" w14:textId="77777777" w:rsidR="008E1AF8" w:rsidRPr="00C91693" w:rsidRDefault="008E1AF8" w:rsidP="008E1AF8">
            <w:r>
              <w:rPr>
                <w:lang w:val="es"/>
              </w:rPr>
              <w:t>El asesoramiento de la OMPI sobre legislación tiene en consideración las normas que pueden aplicarse de modo flexible, con las necesidades sociales y económicas de cada país siempre presentes.</w:t>
            </w:r>
          </w:p>
        </w:tc>
        <w:tc>
          <w:tcPr>
            <w:tcW w:w="7371" w:type="dxa"/>
            <w:shd w:val="clear" w:color="auto" w:fill="auto"/>
          </w:tcPr>
          <w:p w14:paraId="19F2AE26" w14:textId="77777777" w:rsidR="008E1AF8" w:rsidRPr="00412CAB" w:rsidRDefault="008E1AF8" w:rsidP="008E1AF8">
            <w:pPr>
              <w:pStyle w:val="Default"/>
              <w:rPr>
                <w:sz w:val="22"/>
                <w:szCs w:val="22"/>
                <w:lang w:val="es-ES"/>
              </w:rPr>
            </w:pPr>
          </w:p>
          <w:p w14:paraId="0E0FA9D2" w14:textId="77777777" w:rsidR="008E1AF8" w:rsidRPr="00412CAB" w:rsidRDefault="008E1AF8" w:rsidP="008E1AF8">
            <w:pPr>
              <w:pStyle w:val="Default"/>
              <w:rPr>
                <w:sz w:val="22"/>
                <w:szCs w:val="22"/>
                <w:lang w:val="es-ES"/>
              </w:rPr>
            </w:pPr>
            <w:r>
              <w:rPr>
                <w:sz w:val="22"/>
                <w:szCs w:val="22"/>
                <w:lang w:val="es"/>
              </w:rPr>
              <w:t>Conforme solicitó el CDIP en su decimotercera sesión, se preparó el documento CDIP/15/6, titulado "Flexibilidades en materia de patentes en el marco jurídico multilateral y su aplicación legislativa en los planos nacional y regional – parte IV", que se debatió en la decimoquinta sesión de Comité y que abarcó:</w:t>
            </w:r>
          </w:p>
          <w:p w14:paraId="09F291BE" w14:textId="77777777" w:rsidR="008E1AF8" w:rsidRPr="00412CAB" w:rsidRDefault="008E1AF8" w:rsidP="008E1AF8">
            <w:pPr>
              <w:pStyle w:val="Default"/>
              <w:rPr>
                <w:sz w:val="22"/>
                <w:szCs w:val="22"/>
                <w:lang w:val="es-ES"/>
              </w:rPr>
            </w:pPr>
          </w:p>
          <w:p w14:paraId="39CDDF32" w14:textId="77777777" w:rsidR="008E1AF8" w:rsidRPr="00412CAB" w:rsidRDefault="008E1AF8" w:rsidP="008E1AF8">
            <w:pPr>
              <w:pStyle w:val="Default"/>
              <w:numPr>
                <w:ilvl w:val="0"/>
                <w:numId w:val="22"/>
              </w:numPr>
              <w:rPr>
                <w:sz w:val="22"/>
                <w:szCs w:val="22"/>
                <w:lang w:val="es-ES"/>
              </w:rPr>
            </w:pPr>
            <w:r>
              <w:rPr>
                <w:sz w:val="22"/>
                <w:szCs w:val="22"/>
                <w:lang w:val="es"/>
              </w:rPr>
              <w:t xml:space="preserve">la flexibilidad para aplicar o no sanciones penales a la hora de hacer valer los derechos de patente (artículo 61 del Acuerdo sobre los ADPIC);  y </w:t>
            </w:r>
          </w:p>
          <w:p w14:paraId="29F84B58" w14:textId="77777777" w:rsidR="008E1AF8" w:rsidRPr="00412CAB" w:rsidRDefault="008E1AF8" w:rsidP="008E1AF8">
            <w:pPr>
              <w:pStyle w:val="Default"/>
              <w:numPr>
                <w:ilvl w:val="0"/>
                <w:numId w:val="22"/>
              </w:numPr>
              <w:rPr>
                <w:sz w:val="22"/>
                <w:szCs w:val="22"/>
                <w:lang w:val="es-ES"/>
              </w:rPr>
            </w:pPr>
            <w:r>
              <w:rPr>
                <w:sz w:val="22"/>
                <w:szCs w:val="22"/>
                <w:lang w:val="es"/>
              </w:rPr>
              <w:t>medidas relativas a la seguridad que pueden dar lugar a una limitación de los derechos de patente (las denominadas “excepciones relativas a la seguridad”) (artículo 73 del Acuerdo sobre los ADPIC).</w:t>
            </w:r>
          </w:p>
          <w:p w14:paraId="356F4211" w14:textId="77777777" w:rsidR="008E1AF8" w:rsidRPr="00412CAB" w:rsidRDefault="008E1AF8" w:rsidP="008E1AF8">
            <w:pPr>
              <w:pStyle w:val="Default"/>
              <w:ind w:left="720"/>
              <w:rPr>
                <w:sz w:val="22"/>
                <w:szCs w:val="22"/>
                <w:lang w:val="es-ES"/>
              </w:rPr>
            </w:pPr>
          </w:p>
          <w:p w14:paraId="08464A84" w14:textId="77777777" w:rsidR="008E1AF8" w:rsidRPr="00412CAB" w:rsidRDefault="008E1AF8" w:rsidP="008E1AF8">
            <w:pPr>
              <w:pStyle w:val="Default"/>
              <w:rPr>
                <w:sz w:val="22"/>
                <w:szCs w:val="22"/>
                <w:lang w:val="es-ES"/>
              </w:rPr>
            </w:pPr>
            <w:r>
              <w:rPr>
                <w:rFonts w:eastAsia="SimSun"/>
                <w:sz w:val="22"/>
                <w:szCs w:val="22"/>
                <w:lang w:val="es"/>
              </w:rPr>
              <w:t xml:space="preserve">Asimismo, el documento </w:t>
            </w:r>
            <w:hyperlink r:id="rId79" w:history="1">
              <w:r w:rsidRPr="004741FF">
                <w:rPr>
                  <w:rStyle w:val="Hyperlink"/>
                  <w:rFonts w:eastAsia="SimSun"/>
                  <w:sz w:val="22"/>
                  <w:szCs w:val="22"/>
                  <w:lang w:val="es"/>
                </w:rPr>
                <w:t>CDIP/13/10 Rev.</w:t>
              </w:r>
            </w:hyperlink>
            <w:r>
              <w:rPr>
                <w:rFonts w:eastAsia="SimSun"/>
                <w:sz w:val="22"/>
                <w:szCs w:val="22"/>
                <w:lang w:val="es"/>
              </w:rPr>
              <w:t xml:space="preserve"> también se presentó en la decimoquinta sesión del CDIP, con observaciones formuladas durante la decimotercera sesión por varias delegaciones.</w:t>
            </w:r>
          </w:p>
          <w:p w14:paraId="0BA5503F" w14:textId="77777777" w:rsidR="008E1AF8" w:rsidRPr="00412CAB" w:rsidRDefault="008E1AF8" w:rsidP="008E1AF8">
            <w:pPr>
              <w:pStyle w:val="Default"/>
              <w:rPr>
                <w:sz w:val="22"/>
                <w:szCs w:val="22"/>
                <w:lang w:val="es-ES"/>
              </w:rPr>
            </w:pPr>
          </w:p>
          <w:p w14:paraId="60042D64" w14:textId="77777777" w:rsidR="008E1AF8" w:rsidRPr="00412CAB" w:rsidRDefault="008E1AF8" w:rsidP="008E1AF8">
            <w:pPr>
              <w:pStyle w:val="Default"/>
              <w:rPr>
                <w:sz w:val="22"/>
                <w:szCs w:val="22"/>
                <w:lang w:val="es-ES"/>
              </w:rPr>
            </w:pPr>
          </w:p>
          <w:p w14:paraId="1B4E517D" w14:textId="77777777" w:rsidR="008E1AF8" w:rsidRPr="00412CAB" w:rsidRDefault="008E1AF8" w:rsidP="008E1AF8">
            <w:pPr>
              <w:pStyle w:val="Default"/>
              <w:rPr>
                <w:szCs w:val="22"/>
                <w:lang w:val="es-ES"/>
              </w:rPr>
            </w:pPr>
            <w:r>
              <w:rPr>
                <w:sz w:val="22"/>
                <w:szCs w:val="22"/>
                <w:lang w:val="es"/>
              </w:rPr>
              <w:t>La OMPI organizó tres seminarios en los que se abordó el tema de las flexibilidades, a saber:</w:t>
            </w:r>
            <w:r>
              <w:rPr>
                <w:szCs w:val="22"/>
                <w:lang w:val="es"/>
              </w:rPr>
              <w:t xml:space="preserve">  </w:t>
            </w:r>
          </w:p>
          <w:p w14:paraId="2698DB10" w14:textId="77777777" w:rsidR="008E1AF8" w:rsidRPr="00412CAB" w:rsidRDefault="008E1AF8" w:rsidP="008E1AF8">
            <w:pPr>
              <w:pStyle w:val="Default"/>
              <w:rPr>
                <w:sz w:val="22"/>
                <w:szCs w:val="22"/>
                <w:lang w:val="es-ES"/>
              </w:rPr>
            </w:pPr>
          </w:p>
          <w:p w14:paraId="5118C68F" w14:textId="77777777" w:rsidR="008E1AF8" w:rsidRPr="00412CAB" w:rsidRDefault="008E1AF8" w:rsidP="008E1AF8">
            <w:pPr>
              <w:pStyle w:val="ListParagraph"/>
              <w:numPr>
                <w:ilvl w:val="0"/>
                <w:numId w:val="23"/>
              </w:numPr>
              <w:rPr>
                <w:szCs w:val="22"/>
                <w:lang w:val="es-ES"/>
              </w:rPr>
            </w:pPr>
            <w:r>
              <w:rPr>
                <w:szCs w:val="22"/>
                <w:lang w:val="es"/>
              </w:rPr>
              <w:t>el taller subregional de la OMPI sobre el sistema de patentes, Panamá (Panamá), celebrado el 20 y 21 de noviembre de 2014;</w:t>
            </w:r>
          </w:p>
          <w:p w14:paraId="3E863C4F" w14:textId="77777777" w:rsidR="008E1AF8" w:rsidRPr="00412CAB" w:rsidRDefault="008E1AF8" w:rsidP="008E1AF8">
            <w:pPr>
              <w:pStyle w:val="ListParagraph"/>
              <w:numPr>
                <w:ilvl w:val="0"/>
                <w:numId w:val="23"/>
              </w:numPr>
              <w:rPr>
                <w:szCs w:val="22"/>
                <w:lang w:val="es-ES"/>
              </w:rPr>
            </w:pPr>
            <w:r>
              <w:rPr>
                <w:szCs w:val="22"/>
                <w:lang w:val="es"/>
              </w:rPr>
              <w:t xml:space="preserve">el taller nacional de la OMPI en materia de política de patentes y su implementación normativa, Santo Domingo (República Dominicana), celebrado el 29 y 30 de abril de 2014;  y </w:t>
            </w:r>
          </w:p>
          <w:p w14:paraId="3EC46CCE" w14:textId="77777777" w:rsidR="008E1AF8" w:rsidRPr="00412CAB" w:rsidRDefault="008E1AF8" w:rsidP="008E1AF8">
            <w:pPr>
              <w:pStyle w:val="ListParagraph"/>
              <w:numPr>
                <w:ilvl w:val="0"/>
                <w:numId w:val="23"/>
              </w:numPr>
              <w:rPr>
                <w:szCs w:val="22"/>
                <w:lang w:val="es-ES"/>
              </w:rPr>
            </w:pPr>
            <w:r>
              <w:rPr>
                <w:szCs w:val="22"/>
                <w:lang w:val="es"/>
              </w:rPr>
              <w:t xml:space="preserve">el seminario regional de la OMPI sobre la problemática de la protección por patente en el ámbito farmacéutico en Bishkek (Kirguistán). </w:t>
            </w:r>
          </w:p>
          <w:p w14:paraId="108EE6F7" w14:textId="77777777" w:rsidR="008E1AF8" w:rsidRPr="00412CAB" w:rsidRDefault="008E1AF8" w:rsidP="008E1AF8">
            <w:pPr>
              <w:pStyle w:val="ListParagraph"/>
              <w:rPr>
                <w:szCs w:val="22"/>
                <w:lang w:val="es-ES"/>
              </w:rPr>
            </w:pPr>
          </w:p>
          <w:p w14:paraId="553F5A2F" w14:textId="77777777" w:rsidR="008E1AF8" w:rsidRPr="00C91693" w:rsidRDefault="008E1AF8" w:rsidP="008E1AF8">
            <w:pPr>
              <w:spacing w:after="200" w:line="276" w:lineRule="auto"/>
              <w:rPr>
                <w:szCs w:val="22"/>
              </w:rPr>
            </w:pPr>
            <w:r>
              <w:rPr>
                <w:szCs w:val="22"/>
                <w:lang w:val="es"/>
              </w:rPr>
              <w:t xml:space="preserve">Conforme solicitó el CDIP en su decimoquinta sesión, la base de datos sobre flexibilidades (que puede consultarse en: </w:t>
            </w:r>
            <w:hyperlink r:id="rId80" w:history="1">
              <w:r>
                <w:rPr>
                  <w:rStyle w:val="Hyperlink"/>
                  <w:szCs w:val="22"/>
                  <w:lang w:val="es"/>
                </w:rPr>
                <w:t>http://www.wipo.int/ip-development/en/agenda/flexibilities/search.jsp</w:t>
              </w:r>
            </w:hyperlink>
            <w:r>
              <w:rPr>
                <w:szCs w:val="22"/>
                <w:lang w:val="es"/>
              </w:rPr>
              <w:t xml:space="preserve">), creada a raíz de una decisión adoptada por el Comité en su sexta sesión, fue actualizada con la inclusión de 954 nuevas disposiciones legislativas relativas a nueve tipos de flexibilidades.  También se añadieron a la base de datos los cuadros en que se clasifican las distintas disposiciones sobre determinadas flexibilidades que figuran en los documentos </w:t>
            </w:r>
            <w:hyperlink r:id="rId81" w:history="1">
              <w:r>
                <w:rPr>
                  <w:szCs w:val="22"/>
                  <w:lang w:val="es"/>
                </w:rPr>
                <w:t>CDIP/5/4 Rev.</w:t>
              </w:r>
            </w:hyperlink>
            <w:r>
              <w:rPr>
                <w:szCs w:val="22"/>
                <w:lang w:val="es"/>
              </w:rPr>
              <w:t>, CDIP/7/3 Add., CDIP/13/10 Rev. y CDIP/15/6.</w:t>
            </w:r>
          </w:p>
          <w:p w14:paraId="7A73AFB6" w14:textId="77777777" w:rsidR="008E1AF8" w:rsidRPr="008E1AF8" w:rsidRDefault="008E1AF8" w:rsidP="008E1AF8">
            <w:pPr>
              <w:pStyle w:val="Default"/>
              <w:rPr>
                <w:sz w:val="22"/>
                <w:szCs w:val="22"/>
                <w:lang w:val="es-ES"/>
              </w:rPr>
            </w:pPr>
            <w:r>
              <w:rPr>
                <w:rFonts w:eastAsia="SimSun"/>
                <w:sz w:val="22"/>
                <w:szCs w:val="22"/>
                <w:lang w:val="es"/>
              </w:rPr>
              <w:t xml:space="preserve">Además de las actividades registradas en la base de datos IP–TAD, puede encontrarse más información sobre las actividades de la OMPI relacionadas con las flexibilidades en las actividades de la OMPI de asistencia técnica y establecimiento de normas en las páginas del sitio web de la OMPI sobre flexibilidades en el sistema de propiedad </w:t>
            </w:r>
            <w:r>
              <w:rPr>
                <w:rFonts w:eastAsia="SimSun"/>
                <w:sz w:val="22"/>
                <w:szCs w:val="22"/>
                <w:lang w:val="es"/>
              </w:rPr>
              <w:lastRenderedPageBreak/>
              <w:t>intelectual (P.I.) (</w:t>
            </w:r>
            <w:r>
              <w:rPr>
                <w:rFonts w:eastAsia="SimSun"/>
                <w:sz w:val="22"/>
                <w:szCs w:val="22"/>
                <w:u w:val="single"/>
                <w:lang w:val="es"/>
              </w:rPr>
              <w:t>http://www.wipo.int/ip-development/es/agenda/flexibilities/</w:t>
            </w:r>
            <w:r>
              <w:rPr>
                <w:rFonts w:eastAsia="SimSun"/>
                <w:sz w:val="22"/>
                <w:szCs w:val="22"/>
                <w:lang w:val="es"/>
              </w:rPr>
              <w:t xml:space="preserve">), mencionado anteriormente, así como en el documento CDIP/9/11, y en el Informe sobre el rendimiento de los programas en 2014 (documento </w:t>
            </w:r>
            <w:hyperlink r:id="rId82" w:history="1">
              <w:r>
                <w:rPr>
                  <w:rStyle w:val="Hyperlink"/>
                  <w:rFonts w:eastAsia="SimSun"/>
                  <w:szCs w:val="22"/>
                  <w:lang w:val="es"/>
                </w:rPr>
                <w:t>WO/PBC/23/2</w:t>
              </w:r>
            </w:hyperlink>
            <w:r>
              <w:rPr>
                <w:rFonts w:eastAsia="SimSun"/>
                <w:sz w:val="22"/>
                <w:szCs w:val="22"/>
                <w:lang w:val="es"/>
              </w:rPr>
              <w:t xml:space="preserve">), en particular en los programas 1, 2, 3, 4, 8, 9 y 10. </w:t>
            </w:r>
          </w:p>
          <w:p w14:paraId="4328D5DF" w14:textId="77777777" w:rsidR="008E1AF8" w:rsidRPr="00C91693" w:rsidRDefault="008E1AF8" w:rsidP="008E1AF8">
            <w:pPr>
              <w:autoSpaceDE w:val="0"/>
            </w:pPr>
          </w:p>
        </w:tc>
      </w:tr>
    </w:tbl>
    <w:p w14:paraId="26E29129" w14:textId="77777777" w:rsidR="008E1AF8" w:rsidRPr="00C91693" w:rsidRDefault="008E1AF8" w:rsidP="008E1AF8">
      <w:pPr>
        <w:rPr>
          <w:bCs/>
          <w:i/>
          <w:szCs w:val="22"/>
        </w:rPr>
      </w:pPr>
    </w:p>
    <w:p w14:paraId="5CE78AC3" w14:textId="77777777" w:rsidR="008E1AF8" w:rsidRPr="00C91693" w:rsidRDefault="008E1AF8" w:rsidP="008E1AF8">
      <w:pPr>
        <w:rPr>
          <w:bCs/>
          <w:i/>
          <w:szCs w:val="22"/>
        </w:rPr>
      </w:pPr>
      <w:r>
        <w:rPr>
          <w:i/>
          <w:iCs/>
          <w:szCs w:val="22"/>
          <w:lang w:val="es"/>
        </w:rPr>
        <w:br w:type="page"/>
      </w:r>
    </w:p>
    <w:p w14:paraId="39C355DF" w14:textId="77777777" w:rsidR="008E1AF8" w:rsidRPr="00C91693" w:rsidRDefault="008E1AF8" w:rsidP="008E1AF8">
      <w:pPr>
        <w:rPr>
          <w:bCs/>
        </w:rPr>
      </w:pPr>
      <w:r>
        <w:rPr>
          <w:i/>
          <w:iCs/>
          <w:szCs w:val="22"/>
          <w:lang w:val="es"/>
        </w:rPr>
        <w:lastRenderedPageBreak/>
        <w:t>Recomendación 15:</w:t>
      </w:r>
      <w:r>
        <w:rPr>
          <w:lang w:val="es"/>
        </w:rPr>
        <w:t xml:space="preserve">  Las actividades normativas deberán:</w:t>
      </w:r>
    </w:p>
    <w:p w14:paraId="15C22F98" w14:textId="77777777" w:rsidR="008E1AF8" w:rsidRPr="00C91693" w:rsidRDefault="008E1AF8" w:rsidP="008E1AF8">
      <w:pPr>
        <w:rPr>
          <w:bCs/>
        </w:rPr>
      </w:pPr>
    </w:p>
    <w:p w14:paraId="55A89D0E" w14:textId="77777777" w:rsidR="008E1AF8" w:rsidRPr="00C91693" w:rsidRDefault="008E1AF8" w:rsidP="008E1AF8">
      <w:pPr>
        <w:numPr>
          <w:ilvl w:val="0"/>
          <w:numId w:val="41"/>
        </w:numPr>
        <w:spacing w:after="220"/>
      </w:pPr>
      <w:r>
        <w:rPr>
          <w:lang w:val="es"/>
        </w:rPr>
        <w:t xml:space="preserve">ser inclusivas y estar orientadas hacia los miembros; </w:t>
      </w:r>
    </w:p>
    <w:p w14:paraId="409DFCD3" w14:textId="77777777" w:rsidR="008E1AF8" w:rsidRPr="00C91693" w:rsidRDefault="008E1AF8" w:rsidP="008E1AF8">
      <w:pPr>
        <w:numPr>
          <w:ilvl w:val="0"/>
          <w:numId w:val="41"/>
        </w:numPr>
        <w:spacing w:after="220"/>
      </w:pPr>
      <w:r>
        <w:rPr>
          <w:lang w:val="es"/>
        </w:rPr>
        <w:t xml:space="preserve">tener en cuenta los distintos niveles de desarrollo; </w:t>
      </w:r>
    </w:p>
    <w:p w14:paraId="07F90339" w14:textId="77777777" w:rsidR="008E1AF8" w:rsidRPr="00C91693" w:rsidRDefault="008E1AF8" w:rsidP="008E1AF8">
      <w:pPr>
        <w:numPr>
          <w:ilvl w:val="0"/>
          <w:numId w:val="41"/>
        </w:numPr>
        <w:spacing w:after="220"/>
      </w:pPr>
      <w:r>
        <w:rPr>
          <w:lang w:val="es"/>
        </w:rPr>
        <w:t>tomar en consideración el equilibrio entre los costos y los beneficios;  y</w:t>
      </w:r>
    </w:p>
    <w:p w14:paraId="76FD49A4" w14:textId="77777777" w:rsidR="008E1AF8" w:rsidRPr="00C91693" w:rsidRDefault="008E1AF8" w:rsidP="008E1AF8">
      <w:pPr>
        <w:numPr>
          <w:ilvl w:val="0"/>
          <w:numId w:val="41"/>
        </w:numPr>
        <w:spacing w:after="220"/>
      </w:pPr>
      <w:r>
        <w:rPr>
          <w:lang w:val="es"/>
        </w:rPr>
        <w:t>ser un proceso participativo que tenga en cuenta los intereses y las prioridades de todos los Estados miembros y el punto de vista de otras partes interesadas, por ejemplo, las organizaciones intergubernamentales (OIG) y las organizaciones no gubernamentales (ONG) acreditadas;  y estar en consonancia con el principio de neutralidad de la Secretaría de la OMPI.</w:t>
      </w:r>
    </w:p>
    <w:p w14:paraId="6DFF11A9" w14:textId="77777777" w:rsidR="008E1AF8" w:rsidRPr="00C91693" w:rsidRDefault="008E1AF8" w:rsidP="008E1AF8">
      <w:pPr>
        <w:spacing w:after="220"/>
        <w:ind w:left="567"/>
      </w:pPr>
    </w:p>
    <w:p w14:paraId="6D556E9D" w14:textId="77777777" w:rsidR="008E1AF8" w:rsidRPr="00C91693" w:rsidRDefault="008E1AF8" w:rsidP="008E1AF8">
      <w:pPr>
        <w:rPr>
          <w:bCs/>
        </w:rPr>
      </w:pPr>
      <w:r>
        <w:rPr>
          <w:i/>
          <w:iCs/>
          <w:szCs w:val="22"/>
          <w:lang w:val="es"/>
        </w:rPr>
        <w:t>Recomendación 21:</w:t>
      </w:r>
      <w:r>
        <w:rPr>
          <w:lang w:val="es"/>
        </w:rPr>
        <w:t xml:space="preserve"> Antes de iniciar nuevas actividades normativas, la OMPI deberá celebrar consultas informales, abiertas y equilibradas, cuando proceda, mediante un proceso impulsado por los miembros en el que se fomente la participación de expertos de los Estados miembros, especialmente de los países en desarrollo y los PMA.</w:t>
      </w:r>
    </w:p>
    <w:p w14:paraId="01815E5F" w14:textId="77777777" w:rsidR="008E1AF8" w:rsidRPr="00C91693" w:rsidRDefault="008E1AF8" w:rsidP="008E1AF8">
      <w:pPr>
        <w:rPr>
          <w:bCs/>
        </w:rPr>
      </w:pPr>
    </w:p>
    <w:p w14:paraId="5B0E1430" w14:textId="77777777" w:rsidR="008E1AF8" w:rsidRPr="00C91693" w:rsidRDefault="008E1AF8" w:rsidP="008E1AF8">
      <w:pPr>
        <w:rPr>
          <w:bCs/>
        </w:rPr>
      </w:pPr>
    </w:p>
    <w:p w14:paraId="46295FB0" w14:textId="77777777" w:rsidR="008E1AF8" w:rsidRPr="00C91693" w:rsidRDefault="008E1AF8" w:rsidP="008E1AF8">
      <w:pPr>
        <w:rPr>
          <w:bCs/>
        </w:rPr>
      </w:pPr>
      <w:r>
        <w:rPr>
          <w:i/>
          <w:iCs/>
          <w:lang w:val="es"/>
        </w:rPr>
        <w:t>Recomendación 44:</w:t>
      </w:r>
      <w:r>
        <w:rPr>
          <w:lang w:val="es"/>
        </w:rPr>
        <w:t xml:space="preserve">  De acuerdo con el carácter de la OMPI de organización del sistema de las Naciones Unidas atenta a las necesidades de sus Miembros, la Oficina Internacional organizará, a petición de los Estados miembros, reuniones formales e informales o consultas sobre actividades normativas de la OMPI. Estas se celebrarán principalmente en Ginebra de un modo abierto y transparente para todos los miembros.  Cuando dichas reuniones tengan lugar fuera de Ginebra, se informará a los Estados miembros por vías oficiales y con la suficiente antelación, y se les consultará sobre el proyecto del orden del día y el programa.</w:t>
      </w:r>
    </w:p>
    <w:p w14:paraId="3C48B79B" w14:textId="77777777" w:rsidR="008E1AF8" w:rsidRPr="00C91693" w:rsidRDefault="008E1AF8" w:rsidP="008E1AF8">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8E1AF8" w:rsidRPr="0016236F" w14:paraId="76B071B3" w14:textId="77777777" w:rsidTr="008E1AF8">
        <w:trPr>
          <w:trHeight w:val="392"/>
          <w:tblHeader/>
        </w:trPr>
        <w:tc>
          <w:tcPr>
            <w:tcW w:w="6379" w:type="dxa"/>
            <w:shd w:val="clear" w:color="auto" w:fill="auto"/>
          </w:tcPr>
          <w:p w14:paraId="4CB898E3" w14:textId="77777777" w:rsidR="008E1AF8" w:rsidRPr="0016236F" w:rsidRDefault="008E1AF8" w:rsidP="008E1AF8">
            <w:pPr>
              <w:keepNext/>
              <w:autoSpaceDE w:val="0"/>
              <w:spacing w:before="240" w:after="60"/>
              <w:outlineLvl w:val="2"/>
              <w:rPr>
                <w:bCs/>
                <w:u w:val="single"/>
              </w:rPr>
            </w:pPr>
            <w:r>
              <w:rPr>
                <w:u w:val="single"/>
                <w:lang w:val="es"/>
              </w:rPr>
              <w:lastRenderedPageBreak/>
              <w:t>Estrategias de ejecución</w:t>
            </w:r>
          </w:p>
        </w:tc>
        <w:tc>
          <w:tcPr>
            <w:tcW w:w="7371" w:type="dxa"/>
            <w:shd w:val="clear" w:color="auto" w:fill="auto"/>
            <w:vAlign w:val="center"/>
          </w:tcPr>
          <w:p w14:paraId="60CE25AA" w14:textId="77777777" w:rsidR="008E1AF8" w:rsidRPr="0016236F" w:rsidRDefault="008E1AF8" w:rsidP="008E1AF8">
            <w:pPr>
              <w:keepNext/>
              <w:autoSpaceDE w:val="0"/>
              <w:spacing w:before="240" w:after="60"/>
              <w:outlineLvl w:val="2"/>
              <w:rPr>
                <w:bCs/>
                <w:szCs w:val="26"/>
                <w:u w:val="single"/>
              </w:rPr>
            </w:pPr>
            <w:r>
              <w:rPr>
                <w:szCs w:val="26"/>
                <w:u w:val="single"/>
                <w:lang w:val="es"/>
              </w:rPr>
              <w:t>Logros</w:t>
            </w:r>
          </w:p>
          <w:p w14:paraId="5F87C57F" w14:textId="77777777" w:rsidR="008E1AF8" w:rsidRPr="0016236F" w:rsidRDefault="008E1AF8" w:rsidP="008E1AF8"/>
        </w:tc>
      </w:tr>
      <w:tr w:rsidR="008E1AF8" w:rsidRPr="00C91693" w14:paraId="4066731A" w14:textId="77777777" w:rsidTr="008E1AF8">
        <w:tblPrEx>
          <w:tblCellMar>
            <w:top w:w="108" w:type="dxa"/>
            <w:bottom w:w="108" w:type="dxa"/>
          </w:tblCellMar>
        </w:tblPrEx>
        <w:trPr>
          <w:trHeight w:val="2037"/>
        </w:trPr>
        <w:tc>
          <w:tcPr>
            <w:tcW w:w="6379" w:type="dxa"/>
            <w:shd w:val="clear" w:color="auto" w:fill="auto"/>
          </w:tcPr>
          <w:p w14:paraId="6A06D4B0" w14:textId="77777777" w:rsidR="008E1AF8" w:rsidRPr="00C91693" w:rsidRDefault="008E1AF8" w:rsidP="008E1AF8"/>
          <w:p w14:paraId="231A5D19" w14:textId="0DB743F3" w:rsidR="008E1AF8" w:rsidRPr="00C91693" w:rsidRDefault="008E1AF8" w:rsidP="008E1AF8">
            <w:r>
              <w:rPr>
                <w:lang w:val="es"/>
              </w:rPr>
              <w:t xml:space="preserve">Estas recomendaciones se </w:t>
            </w:r>
            <w:r w:rsidR="00525DD7">
              <w:rPr>
                <w:lang w:val="es"/>
              </w:rPr>
              <w:t>han</w:t>
            </w:r>
            <w:r>
              <w:rPr>
                <w:lang w:val="es"/>
              </w:rPr>
              <w:t xml:space="preserve"> aplicado en el contexto del SCP, el SCCR, el CIG y el SCT. </w:t>
            </w:r>
          </w:p>
          <w:p w14:paraId="457256E8" w14:textId="77777777" w:rsidR="008E1AF8" w:rsidRPr="00C91693" w:rsidRDefault="008E1AF8" w:rsidP="008E1AF8"/>
          <w:p w14:paraId="4E7CDF6B" w14:textId="77777777" w:rsidR="008E1AF8" w:rsidRPr="00C91693" w:rsidRDefault="008E1AF8" w:rsidP="008E1AF8"/>
          <w:p w14:paraId="2793DD3F" w14:textId="77777777" w:rsidR="008E1AF8" w:rsidRPr="00C91693" w:rsidRDefault="008E1AF8" w:rsidP="008E1AF8">
            <w:r>
              <w:rPr>
                <w:lang w:val="es"/>
              </w:rPr>
              <w:t>La OMPI financia la asistencia a sus actividades normativas de los participantes designados procedentes de los países en desarrollo.</w:t>
            </w:r>
          </w:p>
          <w:p w14:paraId="6E9B7766" w14:textId="77777777" w:rsidR="008E1AF8" w:rsidRPr="00C91693" w:rsidRDefault="008E1AF8" w:rsidP="008E1AF8"/>
          <w:p w14:paraId="5D408920" w14:textId="77777777" w:rsidR="008E1AF8" w:rsidRPr="00C91693" w:rsidRDefault="008E1AF8" w:rsidP="008E1AF8">
            <w:pPr>
              <w:rPr>
                <w:highlight w:val="yellow"/>
              </w:rPr>
            </w:pPr>
            <w:r>
              <w:rPr>
                <w:lang w:val="es"/>
              </w:rPr>
              <w:t>Estas actividades están impulsadas por los miembros, y los procesos muestran un equilibrio entre costos y beneficios, son inclusivos y participativos.</w:t>
            </w:r>
          </w:p>
        </w:tc>
        <w:tc>
          <w:tcPr>
            <w:tcW w:w="7371" w:type="dxa"/>
            <w:shd w:val="clear" w:color="auto" w:fill="auto"/>
          </w:tcPr>
          <w:p w14:paraId="0FD9813F" w14:textId="77777777" w:rsidR="008E1AF8" w:rsidRPr="00C91693" w:rsidRDefault="008E1AF8" w:rsidP="008E1AF8"/>
          <w:p w14:paraId="26400197" w14:textId="77777777" w:rsidR="008E1AF8" w:rsidRPr="00C91693" w:rsidRDefault="008E1AF8" w:rsidP="008E1AF8">
            <w:pPr>
              <w:rPr>
                <w:iCs/>
              </w:rPr>
            </w:pPr>
            <w:r>
              <w:rPr>
                <w:lang w:val="es"/>
              </w:rPr>
              <w:t>Durante la vigesimoprimera sesión del SCP, que tuvo lugar del 3 al 7 de noviembre de 2014, los Estados miembros continuaron discutiendo los siguientes asuntos, entre otros:  i) las excepciones y limitaciones a los derechos conferidos por las patentes;  ii) la calidad de las patentes, incluidos los sistemas de oposición;  iii) las patentes y la salud;  iv) la confidencialidad de las comunicaciones entre clientes y sus asesores de patentes;  y v) la transferencia de tecnología.  Asimismo, se solicitó a la Secretaría que preparara dos estudios en relación con la labor futura:</w:t>
            </w:r>
          </w:p>
          <w:p w14:paraId="0089BE13" w14:textId="77777777" w:rsidR="008E1AF8" w:rsidRPr="00C91693" w:rsidRDefault="008E1AF8" w:rsidP="008E1AF8">
            <w:pPr>
              <w:rPr>
                <w:iCs/>
              </w:rPr>
            </w:pPr>
          </w:p>
          <w:p w14:paraId="3F4D8591" w14:textId="77777777" w:rsidR="008E1AF8" w:rsidRPr="00C91693" w:rsidRDefault="008E1AF8" w:rsidP="008E1AF8">
            <w:pPr>
              <w:numPr>
                <w:ilvl w:val="0"/>
                <w:numId w:val="42"/>
              </w:numPr>
              <w:ind w:left="567" w:firstLine="0"/>
              <w:rPr>
                <w:iCs/>
              </w:rPr>
            </w:pPr>
            <w:r>
              <w:rPr>
                <w:lang w:val="es"/>
              </w:rPr>
              <w:t>un estudio sobre la actividad inventiva, en el que se aborden los siguientes elementos:  definición de experto en la materia, métodos empleados para evaluar la actividad inventiva y nivel de actividad inventiva;  y</w:t>
            </w:r>
          </w:p>
          <w:p w14:paraId="1C09DB07" w14:textId="77777777" w:rsidR="008E1AF8" w:rsidRPr="00C91693" w:rsidRDefault="008E1AF8" w:rsidP="008E1AF8">
            <w:pPr>
              <w:ind w:left="567"/>
              <w:rPr>
                <w:iCs/>
              </w:rPr>
            </w:pPr>
          </w:p>
          <w:p w14:paraId="41246832" w14:textId="77777777" w:rsidR="008E1AF8" w:rsidRPr="00C91693" w:rsidRDefault="008E1AF8" w:rsidP="008E1AF8">
            <w:pPr>
              <w:numPr>
                <w:ilvl w:val="0"/>
                <w:numId w:val="42"/>
              </w:numPr>
              <w:ind w:left="567" w:firstLine="0"/>
              <w:rPr>
                <w:iCs/>
              </w:rPr>
            </w:pPr>
            <w:r>
              <w:rPr>
                <w:lang w:val="es"/>
              </w:rPr>
              <w:t>un estudio sobre la divulgación suficiente, en el que se aborden los siguientes elementos: requisito de divulgación habilitante, requisito de fundamento y requisito de descripción escrita.</w:t>
            </w:r>
          </w:p>
          <w:p w14:paraId="2CBE1909" w14:textId="77777777" w:rsidR="008E1AF8" w:rsidRPr="00C91693" w:rsidRDefault="008E1AF8" w:rsidP="008E1AF8">
            <w:pPr>
              <w:rPr>
                <w:highlight w:val="yellow"/>
              </w:rPr>
            </w:pPr>
          </w:p>
          <w:p w14:paraId="13D34411" w14:textId="77777777" w:rsidR="008E1AF8" w:rsidRPr="0016236F" w:rsidRDefault="008E1AF8" w:rsidP="008E1AF8">
            <w:pPr>
              <w:rPr>
                <w:szCs w:val="22"/>
              </w:rPr>
            </w:pPr>
            <w:r>
              <w:rPr>
                <w:szCs w:val="22"/>
                <w:lang w:val="es"/>
              </w:rPr>
              <w:t xml:space="preserve">El SCCR se reunió en tres ocasiones durante el período objeto de examen y continúa debatiendo sobre las siguientes cuestiones:  </w:t>
            </w:r>
          </w:p>
          <w:p w14:paraId="2AE6F2D4" w14:textId="77777777" w:rsidR="008E1AF8" w:rsidRPr="0016236F" w:rsidRDefault="008E1AF8" w:rsidP="008E1AF8">
            <w:pPr>
              <w:rPr>
                <w:szCs w:val="22"/>
              </w:rPr>
            </w:pPr>
          </w:p>
          <w:p w14:paraId="78FE80C2" w14:textId="77777777" w:rsidR="008E1AF8" w:rsidRPr="00C91693" w:rsidRDefault="008E1AF8" w:rsidP="008E1AF8">
            <w:pPr>
              <w:rPr>
                <w:szCs w:val="22"/>
              </w:rPr>
            </w:pPr>
            <w:r>
              <w:rPr>
                <w:szCs w:val="22"/>
                <w:lang w:val="es"/>
              </w:rPr>
              <w:t>protección de los organismos de radiodifusión, limitaciones y excepciones para bibliotecas y archivos, y limitaciones y excepciones para instituciones educativas y de investigación y para personas con otras discapacidades.</w:t>
            </w:r>
          </w:p>
          <w:p w14:paraId="569E9932" w14:textId="77777777" w:rsidR="008E1AF8" w:rsidRPr="00C91693" w:rsidRDefault="008E1AF8" w:rsidP="008E1AF8">
            <w:pPr>
              <w:rPr>
                <w:sz w:val="20"/>
              </w:rPr>
            </w:pPr>
          </w:p>
          <w:p w14:paraId="1D6803A2" w14:textId="77777777" w:rsidR="008E1AF8" w:rsidRPr="00C91693" w:rsidRDefault="008E1AF8" w:rsidP="008E1AF8">
            <w:r>
              <w:rPr>
                <w:lang w:val="es"/>
              </w:rPr>
              <w:t xml:space="preserve">En sus trigésima segunda y trigésima tercera sesiones, el SCT continuó trabajando en un proyecto de tratado sobre el Derecho de los diseños que se adoptará en una eventual conferencia diplomática.  También se analizó el estudio preparado por la Secretaría, y una propuesta de la </w:t>
            </w:r>
            <w:r>
              <w:rPr>
                <w:lang w:val="es"/>
              </w:rPr>
              <w:lastRenderedPageBreak/>
              <w:t xml:space="preserve">Delegación de Jamaica sobre la protección de los nombres de países, así como dos propuestas en relación con las indicaciones geográficas presentadas por Estados miembros. </w:t>
            </w:r>
          </w:p>
          <w:p w14:paraId="3A6029FB" w14:textId="77777777" w:rsidR="008E1AF8" w:rsidRPr="00C91693" w:rsidRDefault="008E1AF8" w:rsidP="008E1AF8"/>
          <w:p w14:paraId="16374AA4" w14:textId="77777777" w:rsidR="008E1AF8" w:rsidRPr="00C91693" w:rsidRDefault="008E1AF8" w:rsidP="008E1AF8">
            <w:r>
              <w:rPr>
                <w:lang w:val="es"/>
              </w:rPr>
              <w:t>Para consultar más información sobre la labor del SCT, véanse estos dos documentos presentados a la Asamblea General de la OMPI, a saber: Informe del Comité Permanente sobre el Derecho de Marcas, Diseños Industriales e Indicaciones Geográficas (SCT), que figura en el documento WO/GA/47/7, y Asuntos relativos a la convocación de una conferencia diplomática para la adopción de un tratado sobre el derecho de los diseños (DLT), que figura en el documento WO/GA/47/8.</w:t>
            </w:r>
          </w:p>
          <w:p w14:paraId="623741DA" w14:textId="77777777" w:rsidR="008E1AF8" w:rsidRPr="00C91693" w:rsidRDefault="008E1AF8" w:rsidP="008E1AF8">
            <w:pPr>
              <w:rPr>
                <w:highlight w:val="yellow"/>
              </w:rPr>
            </w:pPr>
          </w:p>
          <w:p w14:paraId="7CE644F3" w14:textId="77777777" w:rsidR="008E1AF8" w:rsidRPr="00C91693" w:rsidRDefault="008E1AF8" w:rsidP="008E1AF8">
            <w:r>
              <w:rPr>
                <w:lang w:val="es"/>
              </w:rPr>
              <w:t>En las Asambleas Generales de 2014 no se tomó ninguna decisión con respecto al programa de trabajo del CIG para 2015. Para consultar más información sobre la labor del CIG, véase el documento WO/GA/47/12, Asuntos relativos al Comité Intergubernamental sobre Propiedad Intelectual y Recursos Genéticos, Conocimientos Tradicionales y Folclore (CIG).</w:t>
            </w:r>
          </w:p>
          <w:p w14:paraId="28F008AD" w14:textId="77777777" w:rsidR="008E1AF8" w:rsidRPr="00C91693" w:rsidRDefault="008E1AF8" w:rsidP="008E1AF8">
            <w:pPr>
              <w:rPr>
                <w:highlight w:val="magenta"/>
              </w:rPr>
            </w:pPr>
          </w:p>
          <w:p w14:paraId="1B89ABFE" w14:textId="77777777" w:rsidR="008E1AF8" w:rsidRPr="00C91693" w:rsidRDefault="008E1AF8" w:rsidP="008E1AF8">
            <w:r>
              <w:rPr>
                <w:lang w:val="es"/>
              </w:rPr>
              <w:t>Todo el trabajo de los Comités es de carácter incluyente, está impulsado por los miembros y se basa en consultas abiertas y equilibradas en las que participa la sociedad civil en general.</w:t>
            </w:r>
          </w:p>
          <w:p w14:paraId="0B97EC45" w14:textId="77777777" w:rsidR="008E1AF8" w:rsidRPr="00C91693" w:rsidRDefault="008E1AF8" w:rsidP="008E1AF8"/>
          <w:p w14:paraId="5E4FC0FF" w14:textId="77777777" w:rsidR="008E1AF8" w:rsidRPr="00C91693" w:rsidRDefault="008E1AF8" w:rsidP="008E1AF8">
            <w:r>
              <w:rPr>
                <w:lang w:val="es"/>
              </w:rPr>
              <w:t>Además de las actividades registradas en la base de datos IP–TAD, puede encontrarse más información sobre los logros relativos a esta recomendación en el Informe sobre el rendimiento de los programas en 2014 (documento WO/PBC/23/2), en particular en los programas 1, 2, 3 y 4.</w:t>
            </w:r>
          </w:p>
          <w:p w14:paraId="34ABDDBD" w14:textId="77777777" w:rsidR="008E1AF8" w:rsidRPr="00C91693" w:rsidRDefault="008E1AF8" w:rsidP="008E1AF8">
            <w:pPr>
              <w:rPr>
                <w:highlight w:val="yellow"/>
              </w:rPr>
            </w:pPr>
          </w:p>
        </w:tc>
      </w:tr>
    </w:tbl>
    <w:p w14:paraId="355A8550" w14:textId="77777777" w:rsidR="008E1AF8" w:rsidRPr="00C91693" w:rsidRDefault="008E1AF8" w:rsidP="008E1AF8">
      <w:pPr>
        <w:rPr>
          <w:bCs/>
        </w:rPr>
      </w:pPr>
      <w:r>
        <w:rPr>
          <w:lang w:val="es"/>
        </w:rPr>
        <w:lastRenderedPageBreak/>
        <w:br w:type="page"/>
      </w:r>
      <w:r>
        <w:rPr>
          <w:i/>
          <w:iCs/>
          <w:lang w:val="es"/>
        </w:rPr>
        <w:lastRenderedPageBreak/>
        <w:t>Recomendación 16:</w:t>
      </w:r>
      <w:r>
        <w:rPr>
          <w:lang w:val="es"/>
        </w:rPr>
        <w:t xml:space="preserve">  Considerar la preservación del dominio público en los procesos normativos de la OMPI y profundizar el análisis de las consecuencias y los beneficios de un dominio público abundante y accesible.</w:t>
      </w:r>
    </w:p>
    <w:p w14:paraId="6CB911DF" w14:textId="77777777" w:rsidR="008E1AF8" w:rsidRPr="00C91693" w:rsidRDefault="008E1AF8" w:rsidP="008E1AF8">
      <w:pPr>
        <w:rPr>
          <w:bCs/>
        </w:rPr>
      </w:pPr>
    </w:p>
    <w:p w14:paraId="12EF809D" w14:textId="77777777" w:rsidR="008E1AF8" w:rsidRPr="00C91693" w:rsidRDefault="008E1AF8" w:rsidP="008E1AF8">
      <w:pPr>
        <w:rPr>
          <w:bCs/>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8E1AF8" w:rsidRPr="0016236F" w14:paraId="65C6DC23" w14:textId="77777777" w:rsidTr="008E1AF8">
        <w:trPr>
          <w:trHeight w:val="392"/>
        </w:trPr>
        <w:tc>
          <w:tcPr>
            <w:tcW w:w="6379" w:type="dxa"/>
            <w:shd w:val="clear" w:color="auto" w:fill="auto"/>
            <w:vAlign w:val="center"/>
          </w:tcPr>
          <w:p w14:paraId="0925D065" w14:textId="77777777" w:rsidR="008E1AF8" w:rsidRPr="00C91693" w:rsidRDefault="008E1AF8" w:rsidP="008E1AF8">
            <w:pPr>
              <w:rPr>
                <w:u w:val="single"/>
              </w:rPr>
            </w:pPr>
          </w:p>
          <w:p w14:paraId="0AB85F81" w14:textId="77777777" w:rsidR="008E1AF8" w:rsidRPr="0016236F" w:rsidRDefault="008E1AF8" w:rsidP="008E1AF8">
            <w:pPr>
              <w:rPr>
                <w:u w:val="single"/>
              </w:rPr>
            </w:pPr>
            <w:r>
              <w:rPr>
                <w:u w:val="single"/>
                <w:lang w:val="es"/>
              </w:rPr>
              <w:t>Estrategias de ejecución</w:t>
            </w:r>
          </w:p>
          <w:p w14:paraId="5E347CCD" w14:textId="77777777" w:rsidR="008E1AF8" w:rsidRPr="0016236F" w:rsidRDefault="008E1AF8" w:rsidP="008E1AF8">
            <w:pPr>
              <w:rPr>
                <w:u w:val="single"/>
              </w:rPr>
            </w:pPr>
          </w:p>
        </w:tc>
        <w:tc>
          <w:tcPr>
            <w:tcW w:w="7371" w:type="dxa"/>
            <w:shd w:val="clear" w:color="auto" w:fill="auto"/>
            <w:vAlign w:val="center"/>
          </w:tcPr>
          <w:p w14:paraId="1EA4B35E" w14:textId="77777777" w:rsidR="008E1AF8" w:rsidRPr="0016236F" w:rsidRDefault="008E1AF8" w:rsidP="008E1AF8">
            <w:pPr>
              <w:rPr>
                <w:u w:val="single"/>
              </w:rPr>
            </w:pPr>
          </w:p>
          <w:p w14:paraId="2F81F065" w14:textId="77777777" w:rsidR="008E1AF8" w:rsidRPr="0016236F" w:rsidRDefault="008E1AF8" w:rsidP="008E1AF8">
            <w:pPr>
              <w:rPr>
                <w:u w:val="single"/>
              </w:rPr>
            </w:pPr>
            <w:r>
              <w:rPr>
                <w:u w:val="single"/>
                <w:lang w:val="es"/>
              </w:rPr>
              <w:t>Logros</w:t>
            </w:r>
          </w:p>
          <w:p w14:paraId="26F024F7" w14:textId="77777777" w:rsidR="008E1AF8" w:rsidRPr="0016236F" w:rsidRDefault="008E1AF8" w:rsidP="008E1AF8">
            <w:pPr>
              <w:rPr>
                <w:u w:val="single"/>
              </w:rPr>
            </w:pPr>
          </w:p>
        </w:tc>
      </w:tr>
      <w:tr w:rsidR="008E1AF8" w:rsidRPr="00C91693" w14:paraId="177D0E63" w14:textId="77777777" w:rsidTr="008E1AF8">
        <w:tblPrEx>
          <w:tblCellMar>
            <w:top w:w="108" w:type="dxa"/>
            <w:bottom w:w="108" w:type="dxa"/>
          </w:tblCellMar>
        </w:tblPrEx>
        <w:tc>
          <w:tcPr>
            <w:tcW w:w="6379" w:type="dxa"/>
            <w:shd w:val="clear" w:color="auto" w:fill="auto"/>
          </w:tcPr>
          <w:p w14:paraId="18F824B3" w14:textId="77777777" w:rsidR="008E1AF8" w:rsidRPr="00C91693" w:rsidRDefault="008E1AF8" w:rsidP="008E1AF8"/>
          <w:p w14:paraId="02A4B5C8" w14:textId="77777777" w:rsidR="008E1AF8" w:rsidRPr="00C91693" w:rsidRDefault="008E1AF8" w:rsidP="008E1AF8">
            <w:r>
              <w:rPr>
                <w:lang w:val="es"/>
              </w:rPr>
              <w:t xml:space="preserve">Esta recomendación formó parte de un proyecto temático sobre la P.I. y el dominio público (documento CDIP/4/3) y de un proyecto sobre las patentes y el dominio público (documento CDIP/7/5/Rev.).  </w:t>
            </w:r>
          </w:p>
          <w:p w14:paraId="03DE6977" w14:textId="77777777" w:rsidR="008E1AF8" w:rsidRPr="00C91693" w:rsidRDefault="008E1AF8" w:rsidP="008E1AF8"/>
          <w:p w14:paraId="0680A95E" w14:textId="77777777" w:rsidR="008E1AF8" w:rsidRPr="00C91693" w:rsidRDefault="008E1AF8" w:rsidP="008E1AF8">
            <w:r>
              <w:rPr>
                <w:lang w:val="es"/>
              </w:rPr>
              <w:t>Además, la recomendación también ha sido aplicada en el campo de los conocimientos tradicionales, en el que se combinaron medidas prácticas y legales para velar por que los conocimientos tradicionales que se encuentran sin lugar a duda en el dominio público no sean objeto de patentes concedidas indebidamente.</w:t>
            </w:r>
          </w:p>
          <w:p w14:paraId="10EE28EE" w14:textId="77777777" w:rsidR="008E1AF8" w:rsidRPr="00C91693" w:rsidRDefault="008E1AF8" w:rsidP="008E1AF8"/>
        </w:tc>
        <w:tc>
          <w:tcPr>
            <w:tcW w:w="7371" w:type="dxa"/>
            <w:shd w:val="clear" w:color="auto" w:fill="auto"/>
          </w:tcPr>
          <w:p w14:paraId="1BA4DDA3" w14:textId="77777777" w:rsidR="008E1AF8" w:rsidRPr="00C91693" w:rsidRDefault="008E1AF8" w:rsidP="008E1AF8"/>
          <w:p w14:paraId="1ED77233" w14:textId="77777777" w:rsidR="008E1AF8" w:rsidRPr="00C91693" w:rsidRDefault="008E1AF8" w:rsidP="008E1AF8">
            <w:r>
              <w:rPr>
                <w:lang w:val="es"/>
              </w:rPr>
              <w:t xml:space="preserve">El proyecto sobre la P.I. y el dominio público (documento CDIP/4/3 Rev.) se ejecutó con éxito.  Se ha elaborado un informe de evaluación del proyecto, que se sometió a examen del CDIP en su novena sesión (documento CDIP/9/7).  El proyecto se incorporó a los programas ordinarios pertinentes. </w:t>
            </w:r>
          </w:p>
          <w:p w14:paraId="4A44BE4B" w14:textId="77777777" w:rsidR="008E1AF8" w:rsidRPr="00C91693" w:rsidRDefault="008E1AF8" w:rsidP="008E1AF8"/>
          <w:p w14:paraId="4A452870" w14:textId="77777777" w:rsidR="008E1AF8" w:rsidRPr="00C91693" w:rsidRDefault="008E1AF8" w:rsidP="008E1AF8">
            <w:r>
              <w:rPr>
                <w:lang w:val="es"/>
              </w:rPr>
              <w:t xml:space="preserve">Se llevó a cabo el proyecto sobre patentes y dominio público y se presentó un informe de evaluación interna (documento CDIP/13/7) al CDIP, en su decimotercera sesión.  En el marco de dicho proyecto, se presentó al comité, en su duodécima sesión, un estudio sobre las patentes y el dominio público (II) (documento CDIP/12/INF/2 Rev.). </w:t>
            </w:r>
          </w:p>
          <w:p w14:paraId="5A2D231B" w14:textId="77777777" w:rsidR="008E1AF8" w:rsidRPr="00C91693" w:rsidRDefault="008E1AF8" w:rsidP="008E1AF8"/>
          <w:p w14:paraId="10A8BB85" w14:textId="77777777" w:rsidR="008E1AF8" w:rsidRPr="00C91693" w:rsidRDefault="008E1AF8" w:rsidP="008E1AF8">
            <w:r>
              <w:rPr>
                <w:lang w:val="es"/>
              </w:rPr>
              <w:t>Se organizó un seminario internacional del 30 de marzo al 1 de abril de 2015 para referir prácticas, experiencias y estudios de casos relacionados con los recursos genéticos, los conocimientos tradicionales y las expresiones culturales tradicionales.  En una mesa redonda se abordaron las “experiencias regionales, nacionales y locales en relación con el significado y la importancia del 'dominio público' en el contexto de los conocimientos tradicionales y las expresiones culturales tradicionales”.  El seminario tuvo una acogida muy favorable y contó con una nutrida participación de embajadores y otros diplomáticos residentes en Ginebra, funcionarios de las capitales, miembros de los pueblos indígenas y las comunidades locales y representantes de ONG y el sector empresarial.</w:t>
            </w:r>
          </w:p>
          <w:p w14:paraId="342EA8B2" w14:textId="77777777" w:rsidR="008E1AF8" w:rsidRPr="00C91693" w:rsidRDefault="008E1AF8" w:rsidP="008E1AF8"/>
          <w:p w14:paraId="7D0A8429" w14:textId="77777777" w:rsidR="008E1AF8" w:rsidRPr="00C91693" w:rsidRDefault="008E1AF8" w:rsidP="008E1AF8">
            <w:r>
              <w:rPr>
                <w:lang w:val="es"/>
              </w:rPr>
              <w:t xml:space="preserve">Además de las actividades registradas en la base de datos IP–TAD, puede encontrarse más información sobre los logros relativos a esta </w:t>
            </w:r>
            <w:r>
              <w:rPr>
                <w:lang w:val="es"/>
              </w:rPr>
              <w:lastRenderedPageBreak/>
              <w:t>recomendación en el Informe sobre el rendimiento de los programas en 2014 (documento WO/PBC/23/2), en particular en los programas 1, 2, 3 y 4.</w:t>
            </w:r>
          </w:p>
        </w:tc>
      </w:tr>
    </w:tbl>
    <w:p w14:paraId="339D9840" w14:textId="77777777" w:rsidR="008E1AF8" w:rsidRDefault="008E1AF8" w:rsidP="008E1AF8">
      <w:pPr>
        <w:rPr>
          <w:i/>
          <w:iCs/>
          <w:lang w:val="es"/>
        </w:rPr>
      </w:pPr>
    </w:p>
    <w:p w14:paraId="3FE69023" w14:textId="77777777" w:rsidR="008E1AF8" w:rsidRPr="00C91693" w:rsidRDefault="008E1AF8" w:rsidP="008E1AF8">
      <w:pPr>
        <w:rPr>
          <w:bCs/>
        </w:rPr>
      </w:pPr>
      <w:r>
        <w:rPr>
          <w:i/>
          <w:iCs/>
          <w:lang w:val="es"/>
        </w:rPr>
        <w:t>Recomendación 18:</w:t>
      </w:r>
      <w:r>
        <w:rPr>
          <w:lang w:val="es"/>
        </w:rPr>
        <w:t xml:space="preserve">  Instar al Comité Intergubernamental a agilizar el proceso sobre la protección de recursos genéticos, conocimientos tradicionales y folclore, sin perjuicio de ningún posible resultado, como pueda ser la elaboración de un instrumento o instrumentos de dimensión internacional.</w:t>
      </w:r>
    </w:p>
    <w:p w14:paraId="0B347419" w14:textId="77777777" w:rsidR="008E1AF8" w:rsidRPr="00C91693" w:rsidRDefault="008E1AF8" w:rsidP="008E1AF8">
      <w:pPr>
        <w:rPr>
          <w:bCs/>
        </w:rPr>
      </w:pPr>
    </w:p>
    <w:p w14:paraId="76568D57" w14:textId="77777777" w:rsidR="008E1AF8" w:rsidRPr="00C91693" w:rsidRDefault="008E1AF8" w:rsidP="008E1AF8">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8E1AF8" w:rsidRPr="0016236F" w14:paraId="53FA91D1" w14:textId="77777777" w:rsidTr="008E1AF8">
        <w:trPr>
          <w:trHeight w:val="392"/>
        </w:trPr>
        <w:tc>
          <w:tcPr>
            <w:tcW w:w="6379" w:type="dxa"/>
            <w:shd w:val="clear" w:color="auto" w:fill="auto"/>
          </w:tcPr>
          <w:p w14:paraId="71792D87" w14:textId="77777777" w:rsidR="008E1AF8" w:rsidRPr="0016236F" w:rsidRDefault="008E1AF8" w:rsidP="008E1AF8">
            <w:pPr>
              <w:keepNext/>
              <w:autoSpaceDE w:val="0"/>
              <w:spacing w:before="240" w:after="60"/>
              <w:outlineLvl w:val="2"/>
              <w:rPr>
                <w:bCs/>
                <w:u w:val="single"/>
              </w:rPr>
            </w:pPr>
            <w:r>
              <w:rPr>
                <w:u w:val="single"/>
                <w:lang w:val="es"/>
              </w:rPr>
              <w:t>Estrategias de ejecución</w:t>
            </w:r>
          </w:p>
        </w:tc>
        <w:tc>
          <w:tcPr>
            <w:tcW w:w="7371" w:type="dxa"/>
            <w:shd w:val="clear" w:color="auto" w:fill="auto"/>
            <w:vAlign w:val="center"/>
          </w:tcPr>
          <w:p w14:paraId="50D475AD" w14:textId="77777777" w:rsidR="008E1AF8" w:rsidRPr="0016236F" w:rsidRDefault="008E1AF8" w:rsidP="008E1AF8">
            <w:pPr>
              <w:keepNext/>
              <w:autoSpaceDE w:val="0"/>
              <w:spacing w:before="240" w:after="60"/>
              <w:outlineLvl w:val="2"/>
              <w:rPr>
                <w:bCs/>
                <w:szCs w:val="26"/>
                <w:u w:val="single"/>
              </w:rPr>
            </w:pPr>
            <w:r>
              <w:rPr>
                <w:szCs w:val="26"/>
                <w:u w:val="single"/>
                <w:lang w:val="es"/>
              </w:rPr>
              <w:t>Logros</w:t>
            </w:r>
          </w:p>
          <w:p w14:paraId="01B33B67" w14:textId="77777777" w:rsidR="008E1AF8" w:rsidRPr="0016236F" w:rsidRDefault="008E1AF8" w:rsidP="008E1AF8"/>
        </w:tc>
      </w:tr>
      <w:tr w:rsidR="008E1AF8" w:rsidRPr="00C91693" w14:paraId="359BDDBD" w14:textId="77777777" w:rsidTr="008E1AF8">
        <w:tblPrEx>
          <w:tblCellMar>
            <w:top w:w="108" w:type="dxa"/>
            <w:bottom w:w="108" w:type="dxa"/>
          </w:tblCellMar>
        </w:tblPrEx>
        <w:tc>
          <w:tcPr>
            <w:tcW w:w="6379" w:type="dxa"/>
            <w:shd w:val="clear" w:color="auto" w:fill="auto"/>
          </w:tcPr>
          <w:p w14:paraId="4EB8EFFF" w14:textId="77777777" w:rsidR="008E1AF8" w:rsidRPr="00C91693" w:rsidRDefault="008E1AF8" w:rsidP="008E1AF8"/>
          <w:p w14:paraId="27DBD7CA" w14:textId="77777777" w:rsidR="008E1AF8" w:rsidRPr="00C91693" w:rsidRDefault="008E1AF8" w:rsidP="008E1AF8">
            <w:pPr>
              <w:rPr>
                <w:szCs w:val="22"/>
              </w:rPr>
            </w:pPr>
            <w:r>
              <w:rPr>
                <w:lang w:val="es"/>
              </w:rPr>
              <w:t xml:space="preserve">La labor que realiza el CIG obedece a los debates planteados por los Estados miembros, con arreglo al mandato y al programa de trabajo establecidos por la Asamblea General.  Atendiendo a la solicitud de los Estados miembros, la Secretaría proporciona importantes recursos y conocimientos destinados a </w:t>
            </w:r>
            <w:r>
              <w:rPr>
                <w:szCs w:val="22"/>
                <w:lang w:val="es"/>
              </w:rPr>
              <w:t>facilitar las negociaciones en el CIG y crear un ambiente propicio en el Comité.</w:t>
            </w:r>
          </w:p>
          <w:p w14:paraId="37F2252B" w14:textId="77777777" w:rsidR="008E1AF8" w:rsidRPr="00C91693" w:rsidRDefault="008E1AF8" w:rsidP="008E1AF8"/>
        </w:tc>
        <w:tc>
          <w:tcPr>
            <w:tcW w:w="7371" w:type="dxa"/>
            <w:shd w:val="clear" w:color="auto" w:fill="auto"/>
          </w:tcPr>
          <w:p w14:paraId="5F88B2B8" w14:textId="77777777" w:rsidR="008E1AF8" w:rsidRPr="00C91693" w:rsidRDefault="008E1AF8" w:rsidP="008E1AF8">
            <w:pPr>
              <w:autoSpaceDE w:val="0"/>
            </w:pPr>
          </w:p>
          <w:p w14:paraId="1A3D1D5B" w14:textId="77777777" w:rsidR="008E1AF8" w:rsidRPr="00C91693" w:rsidRDefault="008E1AF8" w:rsidP="008E1AF8">
            <w:pPr>
              <w:autoSpaceDE w:val="0"/>
            </w:pPr>
            <w:r>
              <w:rPr>
                <w:lang w:val="es"/>
              </w:rPr>
              <w:t>En las Asambleas Generales de 2014 no se tomó ninguna decisión con respecto al programa de trabajo del CIG para 2015.  Por consiguiente, hasta este momento el CIG no se ha reunido desde septiembre de 2014.</w:t>
            </w:r>
          </w:p>
        </w:tc>
      </w:tr>
    </w:tbl>
    <w:p w14:paraId="37965F8C" w14:textId="77777777" w:rsidR="008E1AF8" w:rsidRPr="00C91693" w:rsidRDefault="008E1AF8" w:rsidP="008E1AF8">
      <w:pPr>
        <w:rPr>
          <w:b/>
        </w:rPr>
      </w:pPr>
    </w:p>
    <w:p w14:paraId="1EDC4711" w14:textId="77777777" w:rsidR="008E1AF8" w:rsidRPr="00C91693" w:rsidRDefault="008E1AF8" w:rsidP="008E1AF8">
      <w:pPr>
        <w:rPr>
          <w:bCs/>
        </w:rPr>
      </w:pPr>
      <w:r>
        <w:rPr>
          <w:lang w:val="es"/>
        </w:rPr>
        <w:br w:type="page"/>
      </w:r>
      <w:r>
        <w:rPr>
          <w:i/>
          <w:iCs/>
          <w:szCs w:val="22"/>
          <w:lang w:val="es"/>
        </w:rPr>
        <w:lastRenderedPageBreak/>
        <w:t>Recomendación 19:</w:t>
      </w:r>
      <w:r>
        <w:rPr>
          <w:lang w:val="es"/>
        </w:rPr>
        <w:t xml:space="preserve">  En el marco del mandato de la OMPI, emprender los debates sobre cómo facilitar aún más a los países en desarrollo y los PMA el acceso a la información y la tecnología, a fin de fomentar la creatividad y la innovación y fortalecer tales actividades en curso en la OMPI.</w:t>
      </w:r>
    </w:p>
    <w:p w14:paraId="039F1C6A" w14:textId="77777777" w:rsidR="008E1AF8" w:rsidRPr="00C91693" w:rsidRDefault="008E1AF8" w:rsidP="008E1AF8">
      <w:pPr>
        <w:rPr>
          <w:bCs/>
        </w:rPr>
      </w:pPr>
    </w:p>
    <w:p w14:paraId="0A11BBB1" w14:textId="77777777" w:rsidR="008E1AF8" w:rsidRPr="00C91693" w:rsidRDefault="008E1AF8" w:rsidP="008E1AF8">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8E1AF8" w:rsidRPr="0016236F" w14:paraId="2E996670" w14:textId="77777777" w:rsidTr="008E1AF8">
        <w:trPr>
          <w:trHeight w:val="392"/>
          <w:tblHeader/>
        </w:trPr>
        <w:tc>
          <w:tcPr>
            <w:tcW w:w="6379" w:type="dxa"/>
            <w:shd w:val="clear" w:color="auto" w:fill="auto"/>
          </w:tcPr>
          <w:p w14:paraId="655A3D15" w14:textId="77777777" w:rsidR="008E1AF8" w:rsidRPr="0016236F" w:rsidRDefault="008E1AF8" w:rsidP="008E1AF8">
            <w:pPr>
              <w:keepNext/>
              <w:autoSpaceDE w:val="0"/>
              <w:spacing w:before="240" w:after="60"/>
              <w:outlineLvl w:val="2"/>
              <w:rPr>
                <w:bCs/>
                <w:u w:val="single"/>
              </w:rPr>
            </w:pPr>
            <w:r>
              <w:rPr>
                <w:u w:val="single"/>
                <w:lang w:val="es"/>
              </w:rPr>
              <w:t>Estrategias de ejecución</w:t>
            </w:r>
          </w:p>
        </w:tc>
        <w:tc>
          <w:tcPr>
            <w:tcW w:w="7371" w:type="dxa"/>
            <w:shd w:val="clear" w:color="auto" w:fill="auto"/>
            <w:vAlign w:val="center"/>
          </w:tcPr>
          <w:p w14:paraId="51E628EB" w14:textId="77777777" w:rsidR="008E1AF8" w:rsidRPr="0016236F" w:rsidRDefault="008E1AF8" w:rsidP="008E1AF8">
            <w:pPr>
              <w:keepNext/>
              <w:autoSpaceDE w:val="0"/>
              <w:spacing w:before="240" w:after="60"/>
              <w:outlineLvl w:val="2"/>
              <w:rPr>
                <w:bCs/>
                <w:szCs w:val="26"/>
                <w:u w:val="single"/>
              </w:rPr>
            </w:pPr>
            <w:r>
              <w:rPr>
                <w:szCs w:val="26"/>
                <w:u w:val="single"/>
                <w:lang w:val="es"/>
              </w:rPr>
              <w:t>Logros</w:t>
            </w:r>
          </w:p>
          <w:p w14:paraId="05BC947E" w14:textId="77777777" w:rsidR="008E1AF8" w:rsidRPr="0016236F" w:rsidRDefault="008E1AF8" w:rsidP="008E1AF8"/>
        </w:tc>
      </w:tr>
      <w:tr w:rsidR="008E1AF8" w:rsidRPr="00C91693" w14:paraId="6CD040F3" w14:textId="77777777" w:rsidTr="008E1AF8">
        <w:tblPrEx>
          <w:tblCellMar>
            <w:top w:w="108" w:type="dxa"/>
            <w:bottom w:w="108" w:type="dxa"/>
          </w:tblCellMar>
        </w:tblPrEx>
        <w:tc>
          <w:tcPr>
            <w:tcW w:w="6379" w:type="dxa"/>
            <w:shd w:val="clear" w:color="auto" w:fill="auto"/>
          </w:tcPr>
          <w:p w14:paraId="4DFBA729" w14:textId="77777777" w:rsidR="008E1AF8" w:rsidRPr="00C91693" w:rsidRDefault="008E1AF8" w:rsidP="008E1AF8">
            <w:r>
              <w:rPr>
                <w:lang w:val="es"/>
              </w:rPr>
              <w:t xml:space="preserve">Además de la aplicación de esta recomendación por los programas 1, 3, 9, 14 y 15, como se describe en el Informe sobre el rendimiento de los programas en 2014-2015, la recomendación 19 se aborda en los siguientes proyectos aprobados por el Comité </w:t>
            </w:r>
            <w:bookmarkStart w:id="8" w:name="_GoBack"/>
            <w:bookmarkEnd w:id="8"/>
            <w:r>
              <w:rPr>
                <w:lang w:val="es"/>
              </w:rPr>
              <w:t>de Desarrollo y Propiedad Intelectual (CDIP):</w:t>
            </w:r>
          </w:p>
          <w:p w14:paraId="4A48ACE1" w14:textId="77777777" w:rsidR="008E1AF8" w:rsidRPr="00C91693" w:rsidRDefault="008E1AF8" w:rsidP="008E1AF8">
            <w:pPr>
              <w:numPr>
                <w:ilvl w:val="0"/>
                <w:numId w:val="21"/>
              </w:numPr>
              <w:autoSpaceDE w:val="0"/>
              <w:autoSpaceDN w:val="0"/>
              <w:adjustRightInd w:val="0"/>
            </w:pPr>
            <w:r>
              <w:rPr>
                <w:lang w:val="es"/>
              </w:rPr>
              <w:t xml:space="preserve">proyecto sobre la propiedad intelectual, las tecnologías de la información y la comunicación (TIC), la brecha digital y el acceso a los conocimientos (documento CDIP/4/5 Rev.); </w:t>
            </w:r>
          </w:p>
          <w:p w14:paraId="611D1D89" w14:textId="77777777" w:rsidR="008E1AF8" w:rsidRPr="00C91693" w:rsidRDefault="008E1AF8" w:rsidP="008E1AF8">
            <w:pPr>
              <w:autoSpaceDE w:val="0"/>
              <w:autoSpaceDN w:val="0"/>
              <w:adjustRightInd w:val="0"/>
              <w:ind w:left="567"/>
            </w:pPr>
          </w:p>
          <w:p w14:paraId="3502FCE4" w14:textId="77777777" w:rsidR="008E1AF8" w:rsidRPr="00C91693" w:rsidRDefault="008E1AF8" w:rsidP="008E1AF8">
            <w:pPr>
              <w:numPr>
                <w:ilvl w:val="0"/>
                <w:numId w:val="21"/>
              </w:numPr>
              <w:autoSpaceDE w:val="0"/>
              <w:autoSpaceDN w:val="0"/>
              <w:adjustRightInd w:val="0"/>
            </w:pPr>
            <w:r>
              <w:rPr>
                <w:lang w:val="es"/>
              </w:rPr>
              <w:t>fases I y II del proyecto de creación de instrumentos de acceso a la información sobre patentes (documentos CDIP/4/6 y CDIP/10/13);</w:t>
            </w:r>
          </w:p>
          <w:p w14:paraId="4EAC94CA" w14:textId="77777777" w:rsidR="008E1AF8" w:rsidRPr="00C91693" w:rsidRDefault="008E1AF8" w:rsidP="008E1AF8">
            <w:pPr>
              <w:autoSpaceDE w:val="0"/>
              <w:autoSpaceDN w:val="0"/>
              <w:adjustRightInd w:val="0"/>
              <w:ind w:left="567"/>
            </w:pPr>
          </w:p>
          <w:p w14:paraId="4DD4DAAE" w14:textId="77777777" w:rsidR="008E1AF8" w:rsidRPr="00C91693" w:rsidRDefault="008E1AF8" w:rsidP="008E1AF8">
            <w:pPr>
              <w:numPr>
                <w:ilvl w:val="0"/>
                <w:numId w:val="21"/>
              </w:numPr>
            </w:pPr>
            <w:r>
              <w:rPr>
                <w:lang w:val="es"/>
              </w:rPr>
              <w:t>fase I concluida del proyecto sobre el fortalecimiento de capacidades en el uso de información técnica y científica relativa a tecnologías apropiadas para solucionar determinados problemas de desarrollo, (documento CDIP/5/6 Rev.), y fase II (documento CDIP/13/9) del mismo proyecto, en ejecución desde junio de 2014;</w:t>
            </w:r>
          </w:p>
          <w:p w14:paraId="79D6221E" w14:textId="77777777" w:rsidR="008E1AF8" w:rsidRPr="00C91693" w:rsidRDefault="008E1AF8" w:rsidP="008E1AF8">
            <w:pPr>
              <w:autoSpaceDE w:val="0"/>
              <w:autoSpaceDN w:val="0"/>
              <w:adjustRightInd w:val="0"/>
              <w:ind w:left="567"/>
            </w:pPr>
          </w:p>
          <w:p w14:paraId="26E7E218" w14:textId="77777777" w:rsidR="008E1AF8" w:rsidRPr="00C91693" w:rsidRDefault="008E1AF8" w:rsidP="008E1AF8">
            <w:pPr>
              <w:numPr>
                <w:ilvl w:val="0"/>
                <w:numId w:val="21"/>
              </w:numPr>
              <w:autoSpaceDE w:val="0"/>
              <w:autoSpaceDN w:val="0"/>
              <w:adjustRightInd w:val="0"/>
            </w:pPr>
            <w:r>
              <w:rPr>
                <w:lang w:val="es"/>
              </w:rPr>
              <w:t>proyecto de intensificación de la cooperación Sur-Sur en materia de P.I. y desarrollo entre los países en desarrollo y los PMA (documento CDIP/7/6);</w:t>
            </w:r>
          </w:p>
          <w:p w14:paraId="28D97CAD" w14:textId="77777777" w:rsidR="008E1AF8" w:rsidRPr="00C91693" w:rsidRDefault="008E1AF8" w:rsidP="008E1AF8">
            <w:pPr>
              <w:autoSpaceDE w:val="0"/>
              <w:autoSpaceDN w:val="0"/>
              <w:adjustRightInd w:val="0"/>
              <w:ind w:left="567"/>
            </w:pPr>
          </w:p>
          <w:p w14:paraId="3A90B70A" w14:textId="77777777" w:rsidR="008E1AF8" w:rsidRPr="00C91693" w:rsidRDefault="008E1AF8" w:rsidP="008E1AF8">
            <w:pPr>
              <w:numPr>
                <w:ilvl w:val="0"/>
                <w:numId w:val="21"/>
              </w:numPr>
              <w:autoSpaceDE w:val="0"/>
              <w:autoSpaceDN w:val="0"/>
              <w:adjustRightInd w:val="0"/>
              <w:rPr>
                <w:color w:val="FF0000"/>
              </w:rPr>
            </w:pPr>
            <w:r>
              <w:rPr>
                <w:lang w:val="es"/>
              </w:rPr>
              <w:t xml:space="preserve">proyecto sobre propiedad intelectual y </w:t>
            </w:r>
            <w:r>
              <w:rPr>
                <w:lang w:val="es"/>
              </w:rPr>
              <w:lastRenderedPageBreak/>
              <w:t>transferencia de tecnología: desafíos comunes y búsqueda de soluciones (documento CDIP/6/4 Rev.), en ejecución desde enero de 2011.</w:t>
            </w:r>
          </w:p>
        </w:tc>
        <w:tc>
          <w:tcPr>
            <w:tcW w:w="7371" w:type="dxa"/>
            <w:shd w:val="clear" w:color="auto" w:fill="auto"/>
          </w:tcPr>
          <w:p w14:paraId="5CCACB54" w14:textId="77777777" w:rsidR="008E1AF8" w:rsidRPr="00C91693" w:rsidRDefault="008E1AF8" w:rsidP="008E1AF8">
            <w:pPr>
              <w:rPr>
                <w:bCs/>
              </w:rPr>
            </w:pPr>
            <w:r>
              <w:rPr>
                <w:lang w:val="es"/>
              </w:rPr>
              <w:lastRenderedPageBreak/>
              <w:t>Además de las actividades registradas en la base de datos IP–TAD, puede encontrarse más información sobre los logros relativos a esta recomendación en el Informe sobre el rendimiento de los programas en 2014 (documento WO/PBC/23/2), en particular en los programas 1, 3, 9, 14 y 15.</w:t>
            </w:r>
          </w:p>
          <w:p w14:paraId="6AE74768" w14:textId="77777777" w:rsidR="008E1AF8" w:rsidRPr="00C91693" w:rsidRDefault="008E1AF8" w:rsidP="008E1AF8">
            <w:pPr>
              <w:rPr>
                <w:bCs/>
              </w:rPr>
            </w:pPr>
          </w:p>
          <w:p w14:paraId="45AB3E38" w14:textId="77777777" w:rsidR="008E1AF8" w:rsidRPr="00C91693" w:rsidRDefault="008E1AF8" w:rsidP="008E1AF8">
            <w:pPr>
              <w:rPr>
                <w:bCs/>
              </w:rPr>
            </w:pPr>
            <w:r>
              <w:rPr>
                <w:lang w:val="es"/>
              </w:rPr>
              <w:t>Véanse los informes de evaluación de los siguientes proyectos: el proyecto relativo a la propiedad intelectual, las tecnologías de la información y la comunicación (TIC), la brecha digital y el acceso a los conocimientos (documento CDIP/10/5); las fases I y II del proyecto de creación de instrumentos de acceso a la información sobre patentes (documentos CDIP/10/6 y CDIP/14/6); la fase I del proyecto sobre el fortalecimiento de capacidades en el uso de información técnica y científica relativa a tecnologías apropiadas para solucionar determinados problemas de desarrollo (documento CDIP/12/3), y el proyecto relativo a la intensificación de la cooperación Sur-Sur en materia de P.I. y desarrollo entre los países en desarrollo y los PMA (documento CDIP/13/4).</w:t>
            </w:r>
          </w:p>
          <w:p w14:paraId="557EB14D" w14:textId="77777777" w:rsidR="008E1AF8" w:rsidRPr="00C91693" w:rsidRDefault="008E1AF8" w:rsidP="008E1AF8">
            <w:pPr>
              <w:rPr>
                <w:bCs/>
              </w:rPr>
            </w:pPr>
          </w:p>
          <w:p w14:paraId="7864B155" w14:textId="77777777" w:rsidR="008E1AF8" w:rsidRPr="00C91693" w:rsidRDefault="008E1AF8" w:rsidP="008E1AF8">
            <w:pPr>
              <w:rPr>
                <w:bCs/>
              </w:rPr>
            </w:pPr>
            <w:r>
              <w:rPr>
                <w:lang w:val="es"/>
              </w:rPr>
              <w:t>Véase asimismo el informe sobre la marcha de las actividades del proyecto sobre el fortalecimiento de capacidades en el uso de información técnica y científica relativa a tecnologías apropiadas para solucionar determinados problemas de desarrollo – fase II, que figura en el Anexo </w:t>
            </w:r>
            <w:r>
              <w:rPr>
                <w:szCs w:val="22"/>
                <w:lang w:val="es"/>
              </w:rPr>
              <w:t xml:space="preserve">VII </w:t>
            </w:r>
            <w:r>
              <w:rPr>
                <w:lang w:val="es"/>
              </w:rPr>
              <w:t xml:space="preserve"> del documento CDIP/14/2.</w:t>
            </w:r>
          </w:p>
          <w:p w14:paraId="49F40C54" w14:textId="77777777" w:rsidR="008E1AF8" w:rsidRPr="00C91693" w:rsidRDefault="008E1AF8" w:rsidP="008E1AF8">
            <w:pPr>
              <w:rPr>
                <w:bCs/>
              </w:rPr>
            </w:pPr>
          </w:p>
          <w:p w14:paraId="3289D57F" w14:textId="77777777" w:rsidR="008E1AF8" w:rsidRPr="00C91693" w:rsidRDefault="008E1AF8" w:rsidP="008E1AF8">
            <w:pPr>
              <w:rPr>
                <w:b/>
              </w:rPr>
            </w:pPr>
            <w:r>
              <w:rPr>
                <w:lang w:val="es"/>
              </w:rPr>
              <w:t>Véase también el informe de fin de proyecto sobre los dos proyectos restantes que figuran en el documento CDIP/16/2, en el Anexo V y el Anexo VI, respectivamente, del presente documento.</w:t>
            </w:r>
          </w:p>
        </w:tc>
      </w:tr>
    </w:tbl>
    <w:p w14:paraId="0C58A5FD" w14:textId="77777777" w:rsidR="008E1AF8" w:rsidRPr="00C91693" w:rsidRDefault="008E1AF8" w:rsidP="008E1AF8">
      <w:pPr>
        <w:rPr>
          <w:bCs/>
        </w:rPr>
      </w:pPr>
      <w:r>
        <w:rPr>
          <w:lang w:val="es"/>
        </w:rPr>
        <w:lastRenderedPageBreak/>
        <w:br w:type="page"/>
      </w:r>
      <w:r>
        <w:rPr>
          <w:i/>
          <w:iCs/>
          <w:lang w:val="es"/>
        </w:rPr>
        <w:lastRenderedPageBreak/>
        <w:t>Recomendación 35:</w:t>
      </w:r>
      <w:r>
        <w:rPr>
          <w:lang w:val="es"/>
        </w:rPr>
        <w:t xml:space="preserve">  Solicitar a la OMPI que emprenda, a petición de los Estados miembros, nuevos estudios destinados a evaluar las consecuencias económicas, sociales y culturales de la utilización de sistemas de P.I. en dichos Estados.</w:t>
      </w:r>
    </w:p>
    <w:p w14:paraId="3FE48A31" w14:textId="77777777" w:rsidR="008E1AF8" w:rsidRPr="00C91693" w:rsidRDefault="008E1AF8" w:rsidP="008E1AF8">
      <w:pPr>
        <w:rPr>
          <w:bCs/>
        </w:rPr>
      </w:pPr>
    </w:p>
    <w:p w14:paraId="3D9644E1" w14:textId="77777777" w:rsidR="008E1AF8" w:rsidRPr="00C91693" w:rsidRDefault="008E1AF8" w:rsidP="008E1AF8">
      <w:pPr>
        <w:rPr>
          <w:bCs/>
        </w:rPr>
      </w:pPr>
    </w:p>
    <w:p w14:paraId="48DD45BA" w14:textId="77777777" w:rsidR="008E1AF8" w:rsidRPr="00C91693" w:rsidRDefault="008E1AF8" w:rsidP="008E1AF8">
      <w:pPr>
        <w:rPr>
          <w:bCs/>
        </w:rPr>
      </w:pPr>
      <w:r>
        <w:rPr>
          <w:i/>
          <w:iCs/>
          <w:lang w:val="es"/>
        </w:rPr>
        <w:t>Recomendación 37:</w:t>
      </w:r>
      <w:r>
        <w:rPr>
          <w:lang w:val="es"/>
        </w:rPr>
        <w:t xml:space="preserve">  La OMPI podrá efectuar estudios, a petición de los interesados y conforme a lo dispuesto por los Estados miembros, sobre la protección de la propiedad intelectual, a fin de determinar las posibles relaciones y la mutua incidencia entre la P.I. y el desarrollo.</w:t>
      </w:r>
    </w:p>
    <w:p w14:paraId="6BC8D02D" w14:textId="77777777" w:rsidR="008E1AF8" w:rsidRPr="00C91693" w:rsidRDefault="008E1AF8" w:rsidP="008E1AF8">
      <w:pPr>
        <w:rPr>
          <w:bCs/>
        </w:rPr>
      </w:pPr>
    </w:p>
    <w:p w14:paraId="11E745DD" w14:textId="77777777" w:rsidR="008E1AF8" w:rsidRPr="00C91693" w:rsidRDefault="008E1AF8" w:rsidP="008E1AF8">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8E1AF8" w:rsidRPr="0016236F" w14:paraId="374FBFC3" w14:textId="77777777" w:rsidTr="008E1AF8">
        <w:trPr>
          <w:trHeight w:val="392"/>
        </w:trPr>
        <w:tc>
          <w:tcPr>
            <w:tcW w:w="6379" w:type="dxa"/>
            <w:shd w:val="clear" w:color="auto" w:fill="auto"/>
            <w:vAlign w:val="center"/>
          </w:tcPr>
          <w:p w14:paraId="706FD7F8" w14:textId="77777777" w:rsidR="008E1AF8" w:rsidRPr="0016236F" w:rsidRDefault="008E1AF8" w:rsidP="008E1AF8">
            <w:pPr>
              <w:pStyle w:val="Heading3"/>
            </w:pPr>
            <w:r>
              <w:rPr>
                <w:bCs w:val="0"/>
                <w:lang w:val="es"/>
              </w:rPr>
              <w:t>Estrategias de ejecución</w:t>
            </w:r>
          </w:p>
          <w:p w14:paraId="0DBD3723" w14:textId="77777777" w:rsidR="008E1AF8" w:rsidRPr="0016236F" w:rsidRDefault="008E1AF8" w:rsidP="008E1AF8"/>
        </w:tc>
        <w:tc>
          <w:tcPr>
            <w:tcW w:w="7371" w:type="dxa"/>
            <w:shd w:val="clear" w:color="auto" w:fill="auto"/>
            <w:vAlign w:val="center"/>
          </w:tcPr>
          <w:p w14:paraId="2EF8FEBA" w14:textId="77777777" w:rsidR="008E1AF8" w:rsidRPr="0016236F" w:rsidRDefault="008E1AF8" w:rsidP="008E1AF8">
            <w:pPr>
              <w:pStyle w:val="Heading3"/>
            </w:pPr>
            <w:r>
              <w:rPr>
                <w:bCs w:val="0"/>
                <w:lang w:val="es"/>
              </w:rPr>
              <w:t>Logros</w:t>
            </w:r>
          </w:p>
          <w:p w14:paraId="2150E436" w14:textId="77777777" w:rsidR="008E1AF8" w:rsidRPr="0016236F" w:rsidRDefault="008E1AF8" w:rsidP="008E1AF8"/>
        </w:tc>
      </w:tr>
      <w:tr w:rsidR="008E1AF8" w:rsidRPr="00C91693" w14:paraId="021A7092" w14:textId="77777777" w:rsidTr="008E1AF8">
        <w:tblPrEx>
          <w:tblCellMar>
            <w:top w:w="108" w:type="dxa"/>
            <w:bottom w:w="108" w:type="dxa"/>
          </w:tblCellMar>
        </w:tblPrEx>
        <w:trPr>
          <w:trHeight w:val="990"/>
        </w:trPr>
        <w:tc>
          <w:tcPr>
            <w:tcW w:w="6379" w:type="dxa"/>
            <w:shd w:val="clear" w:color="auto" w:fill="auto"/>
          </w:tcPr>
          <w:p w14:paraId="097C7502" w14:textId="77777777" w:rsidR="008E1AF8" w:rsidRPr="00C91693" w:rsidRDefault="008E1AF8" w:rsidP="008E1AF8"/>
          <w:p w14:paraId="06A1870D" w14:textId="77777777" w:rsidR="008E1AF8" w:rsidRPr="00C91693" w:rsidRDefault="008E1AF8" w:rsidP="008E1AF8">
            <w:r>
              <w:rPr>
                <w:lang w:val="es"/>
              </w:rPr>
              <w:t>Fortalecer la capacidad de los economistas, sobre todo los de los países en desarrollo y los países con economías en transición, para emprender estudios empíricos sobre los aspectos económicos de la P.I.</w:t>
            </w:r>
          </w:p>
          <w:p w14:paraId="7DC6AF79" w14:textId="77777777" w:rsidR="008E1AF8" w:rsidRPr="00C91693" w:rsidRDefault="008E1AF8" w:rsidP="008E1AF8"/>
        </w:tc>
        <w:tc>
          <w:tcPr>
            <w:tcW w:w="7371" w:type="dxa"/>
            <w:vMerge w:val="restart"/>
            <w:shd w:val="clear" w:color="auto" w:fill="auto"/>
          </w:tcPr>
          <w:p w14:paraId="4A46A62C" w14:textId="77777777" w:rsidR="008E1AF8" w:rsidRPr="00C91693" w:rsidRDefault="008E1AF8" w:rsidP="008E1AF8"/>
          <w:p w14:paraId="1361D182" w14:textId="77777777" w:rsidR="008E1AF8" w:rsidRPr="00C91693" w:rsidRDefault="008E1AF8" w:rsidP="008E1AF8">
            <w:r>
              <w:rPr>
                <w:lang w:val="es"/>
              </w:rPr>
              <w:t>Publicación del Índice Mundial de Innovación de 2014, herramienta para que los países en desarrollo y los países con economías en transición midan sus resultados de innovación, en particular mediante la identificación de los principales puntos fuertes y débiles de sus resultados de innovación.</w:t>
            </w:r>
          </w:p>
          <w:p w14:paraId="2AAF34CE" w14:textId="77777777" w:rsidR="008E1AF8" w:rsidRPr="00C91693" w:rsidRDefault="008E1AF8" w:rsidP="008E1AF8"/>
          <w:p w14:paraId="1E898EBE" w14:textId="77777777" w:rsidR="008E1AF8" w:rsidRPr="00C91693" w:rsidRDefault="008E1AF8" w:rsidP="008E1AF8">
            <w:r>
              <w:rPr>
                <w:lang w:val="es"/>
              </w:rPr>
              <w:t>Entre junio de 2014 y junio de 2015 se publicaron en el sitio web de la OMPI siete nuevos documentos de trabajo sobre economía.</w:t>
            </w:r>
          </w:p>
          <w:p w14:paraId="1E35C294" w14:textId="77777777" w:rsidR="008E1AF8" w:rsidRPr="00C91693" w:rsidRDefault="008E1AF8" w:rsidP="008E1AF8"/>
          <w:p w14:paraId="0F765A0C" w14:textId="77777777" w:rsidR="008E1AF8" w:rsidRPr="00C91693" w:rsidRDefault="008E1AF8" w:rsidP="008E1AF8">
            <w:r>
              <w:rPr>
                <w:lang w:val="es"/>
              </w:rPr>
              <w:t>La ejecución de la fase II del proyecto sobre P.I. y desarrollo socioeconómico comenzó el 1 de enero de 2015.</w:t>
            </w:r>
          </w:p>
          <w:p w14:paraId="4A692D44" w14:textId="77777777" w:rsidR="008E1AF8" w:rsidRPr="00C91693" w:rsidRDefault="008E1AF8" w:rsidP="008E1AF8"/>
          <w:p w14:paraId="3FFA584E" w14:textId="77777777" w:rsidR="008E1AF8" w:rsidRPr="00C91693" w:rsidRDefault="008E1AF8" w:rsidP="008E1AF8">
            <w:r>
              <w:rPr>
                <w:lang w:val="es"/>
              </w:rPr>
              <w:t>Además de las actividades registradas en la base de datos IP–TAD, puede encontrarse más información sobre los logros relativos a esta recomendación en el Informe sobre el rendimiento de los programas en 2014 (documento WO/PBC/23/2), en particular en el programa 16.</w:t>
            </w:r>
          </w:p>
        </w:tc>
      </w:tr>
      <w:tr w:rsidR="008E1AF8" w:rsidRPr="00C91693" w14:paraId="77A71628" w14:textId="77777777" w:rsidTr="008E1AF8">
        <w:tblPrEx>
          <w:tblCellMar>
            <w:top w:w="108" w:type="dxa"/>
            <w:bottom w:w="108" w:type="dxa"/>
          </w:tblCellMar>
        </w:tblPrEx>
        <w:tc>
          <w:tcPr>
            <w:tcW w:w="6379" w:type="dxa"/>
            <w:shd w:val="clear" w:color="auto" w:fill="auto"/>
          </w:tcPr>
          <w:p w14:paraId="4B5D4869" w14:textId="77777777" w:rsidR="008E1AF8" w:rsidRPr="00C91693" w:rsidRDefault="008E1AF8" w:rsidP="008E1AF8"/>
          <w:p w14:paraId="54AFC6E7" w14:textId="77777777" w:rsidR="008E1AF8" w:rsidRPr="00C91693" w:rsidRDefault="008E1AF8" w:rsidP="008E1AF8">
            <w:r>
              <w:rPr>
                <w:lang w:val="es"/>
              </w:rPr>
              <w:t>Redacción de documentos de referencia para ofrecer un panorama general de los estudios económicos empíricos en materia de derechos de propiedad intelectual, señalar las lagunas en materia de investigación, y proponer nuevos campos de investigación.</w:t>
            </w:r>
          </w:p>
          <w:p w14:paraId="766E65D4" w14:textId="77777777" w:rsidR="008E1AF8" w:rsidRPr="00C91693" w:rsidRDefault="008E1AF8" w:rsidP="008E1AF8"/>
        </w:tc>
        <w:tc>
          <w:tcPr>
            <w:tcW w:w="7371" w:type="dxa"/>
            <w:vMerge/>
            <w:shd w:val="clear" w:color="auto" w:fill="auto"/>
          </w:tcPr>
          <w:p w14:paraId="04457506" w14:textId="77777777" w:rsidR="008E1AF8" w:rsidRPr="00C91693" w:rsidRDefault="008E1AF8" w:rsidP="008E1AF8"/>
        </w:tc>
      </w:tr>
      <w:tr w:rsidR="008E1AF8" w:rsidRPr="00C91693" w14:paraId="28DB5427" w14:textId="77777777" w:rsidTr="008E1AF8">
        <w:tblPrEx>
          <w:tblCellMar>
            <w:top w:w="108" w:type="dxa"/>
            <w:bottom w:w="108" w:type="dxa"/>
          </w:tblCellMar>
        </w:tblPrEx>
        <w:tc>
          <w:tcPr>
            <w:tcW w:w="6379" w:type="dxa"/>
            <w:shd w:val="clear" w:color="auto" w:fill="auto"/>
          </w:tcPr>
          <w:p w14:paraId="6009F876" w14:textId="77777777" w:rsidR="008E1AF8" w:rsidRPr="00C91693" w:rsidRDefault="008E1AF8" w:rsidP="008E1AF8"/>
          <w:p w14:paraId="798DB156" w14:textId="77777777" w:rsidR="008E1AF8" w:rsidRPr="0016236F" w:rsidRDefault="008E1AF8" w:rsidP="008E1AF8">
            <w:pPr>
              <w:rPr>
                <w:bCs/>
              </w:rPr>
            </w:pPr>
            <w:r>
              <w:rPr>
                <w:lang w:val="es"/>
              </w:rPr>
              <w:t>Estas recomendaciones se están abordando en el proyecto titulado "Proyecto sobre propiedad intelectual y desarrollo socioeconómico” (proyecto DA_35_37_01, que se expone en el documento CDIP/5/7 Rev.).</w:t>
            </w:r>
          </w:p>
          <w:p w14:paraId="4BD934B7" w14:textId="77777777" w:rsidR="008E1AF8" w:rsidRPr="00C91693" w:rsidRDefault="008E1AF8" w:rsidP="008E1AF8"/>
        </w:tc>
        <w:tc>
          <w:tcPr>
            <w:tcW w:w="7371" w:type="dxa"/>
            <w:vMerge/>
            <w:shd w:val="clear" w:color="auto" w:fill="auto"/>
          </w:tcPr>
          <w:p w14:paraId="66C82FB6" w14:textId="77777777" w:rsidR="008E1AF8" w:rsidRPr="00C91693" w:rsidRDefault="008E1AF8" w:rsidP="008E1AF8"/>
        </w:tc>
      </w:tr>
    </w:tbl>
    <w:p w14:paraId="01381963" w14:textId="77777777" w:rsidR="008E1AF8" w:rsidRPr="00C91693" w:rsidRDefault="008E1AF8" w:rsidP="008E1AF8">
      <w:pPr>
        <w:rPr>
          <w:bCs/>
        </w:rPr>
      </w:pPr>
      <w:r>
        <w:rPr>
          <w:color w:val="FF0000"/>
          <w:lang w:val="es"/>
        </w:rPr>
        <w:br w:type="page"/>
      </w:r>
      <w:r>
        <w:rPr>
          <w:i/>
          <w:iCs/>
          <w:lang w:val="es"/>
        </w:rPr>
        <w:lastRenderedPageBreak/>
        <w:t>Recomendación 42:</w:t>
      </w:r>
      <w:r>
        <w:rPr>
          <w:lang w:val="es"/>
        </w:rPr>
        <w:t xml:space="preserve">  Incrementar las medidas destinadas a garantizar una amplia participación de la sociedad civil en general en las actividades de la OMPI, de conformidad con sus criterios relativos a la admisión y acreditación de ONG, manteniendo el examen de esta cuestión.</w:t>
      </w:r>
    </w:p>
    <w:p w14:paraId="6032ADCD" w14:textId="77777777" w:rsidR="008E1AF8" w:rsidRPr="00C91693" w:rsidRDefault="008E1AF8" w:rsidP="008E1AF8">
      <w:pPr>
        <w:rPr>
          <w:b/>
        </w:rPr>
      </w:pPr>
    </w:p>
    <w:p w14:paraId="13426C37" w14:textId="77777777" w:rsidR="008E1AF8" w:rsidRPr="00C91693" w:rsidRDefault="008E1AF8" w:rsidP="008E1AF8">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7371"/>
      </w:tblGrid>
      <w:tr w:rsidR="008E1AF8" w:rsidRPr="0016236F" w14:paraId="13F3E867" w14:textId="77777777" w:rsidTr="008E1AF8">
        <w:trPr>
          <w:trHeight w:val="392"/>
        </w:trPr>
        <w:tc>
          <w:tcPr>
            <w:tcW w:w="6379" w:type="dxa"/>
            <w:shd w:val="clear" w:color="auto" w:fill="auto"/>
            <w:vAlign w:val="center"/>
          </w:tcPr>
          <w:p w14:paraId="763E37A5" w14:textId="77777777" w:rsidR="008E1AF8" w:rsidRPr="0016236F" w:rsidRDefault="008E1AF8" w:rsidP="008E1AF8">
            <w:pPr>
              <w:pStyle w:val="Heading3"/>
            </w:pPr>
            <w:r>
              <w:rPr>
                <w:bCs w:val="0"/>
                <w:lang w:val="es"/>
              </w:rPr>
              <w:t>Estrategias de ejecución</w:t>
            </w:r>
          </w:p>
          <w:p w14:paraId="4BE9A196" w14:textId="77777777" w:rsidR="008E1AF8" w:rsidRPr="0016236F" w:rsidRDefault="008E1AF8" w:rsidP="008E1AF8"/>
        </w:tc>
        <w:tc>
          <w:tcPr>
            <w:tcW w:w="7371" w:type="dxa"/>
            <w:shd w:val="clear" w:color="auto" w:fill="auto"/>
            <w:vAlign w:val="center"/>
          </w:tcPr>
          <w:p w14:paraId="5CE8DFDE" w14:textId="77777777" w:rsidR="008E1AF8" w:rsidRPr="0016236F" w:rsidRDefault="008E1AF8" w:rsidP="008E1AF8">
            <w:pPr>
              <w:pStyle w:val="Heading3"/>
            </w:pPr>
            <w:r>
              <w:rPr>
                <w:bCs w:val="0"/>
                <w:lang w:val="es"/>
              </w:rPr>
              <w:t>Logros</w:t>
            </w:r>
          </w:p>
          <w:p w14:paraId="6CE12276" w14:textId="77777777" w:rsidR="008E1AF8" w:rsidRPr="0016236F" w:rsidRDefault="008E1AF8" w:rsidP="008E1AF8"/>
        </w:tc>
      </w:tr>
      <w:tr w:rsidR="008E1AF8" w:rsidRPr="00C91693" w14:paraId="454E68E6" w14:textId="77777777" w:rsidTr="008E1AF8">
        <w:tblPrEx>
          <w:tblCellMar>
            <w:top w:w="108" w:type="dxa"/>
            <w:bottom w:w="108" w:type="dxa"/>
          </w:tblCellMar>
        </w:tblPrEx>
        <w:tc>
          <w:tcPr>
            <w:tcW w:w="6379" w:type="dxa"/>
            <w:shd w:val="clear" w:color="auto" w:fill="auto"/>
          </w:tcPr>
          <w:p w14:paraId="0F2781AD" w14:textId="77777777" w:rsidR="008E1AF8" w:rsidRPr="00C91693" w:rsidRDefault="008E1AF8" w:rsidP="008E1AF8"/>
          <w:p w14:paraId="79A67D8C" w14:textId="77777777" w:rsidR="008E1AF8" w:rsidRPr="00C91693" w:rsidRDefault="008E1AF8" w:rsidP="008E1AF8">
            <w:r>
              <w:rPr>
                <w:lang w:val="es"/>
              </w:rPr>
              <w:t>Los actuales procedimientos y requisitos vigentes para la concesión de la condición de observador de la OMPI a las ONG y las OIG son conformes a la presente recomendación.  El trámite de examen previo a la concesión de la condición de observador a una organización sirve a dos propósitos:  velar por la seriedad y solvencia del solicitante y determinar la importancia de sus actividades en lo que se refiere al campo de la P.I.;  en consecuencia, se entiende que es preciso seguir en esta misma dirección. Por otra parte, en el caso de las solicitudes presentadas por ONG, ha resultado sumamente importante la costumbre de mantener consultas con el Estado en cuestión, lo cual también deberá proseguirse para lograr que participen organizaciones que sean afines a las actividades de la OMPI y a las recomendaciones de la Agenda para el Desarrollo.  Más allá de estos procedimientos de acreditación, la OMPI sigue identificando y favoreciendo iniciativas que faciliten la participación activa de los observadores, y la sociedad civil en general, en sus actividades.</w:t>
            </w:r>
          </w:p>
          <w:p w14:paraId="032B4A71" w14:textId="77777777" w:rsidR="008E1AF8" w:rsidRPr="00C91693" w:rsidRDefault="008E1AF8" w:rsidP="008E1AF8"/>
        </w:tc>
        <w:tc>
          <w:tcPr>
            <w:tcW w:w="7371" w:type="dxa"/>
            <w:shd w:val="clear" w:color="auto" w:fill="auto"/>
          </w:tcPr>
          <w:p w14:paraId="2ED377CA" w14:textId="77777777" w:rsidR="008E1AF8" w:rsidRPr="00C91693" w:rsidRDefault="008E1AF8" w:rsidP="008E1AF8"/>
          <w:p w14:paraId="01A756B5" w14:textId="77777777" w:rsidR="008E1AF8" w:rsidRPr="00C91693" w:rsidRDefault="008E1AF8" w:rsidP="008E1AF8">
            <w:r>
              <w:rPr>
                <w:lang w:val="es"/>
              </w:rPr>
              <w:t xml:space="preserve">Se ha puesto en práctica la recomendación en lo que se refiere a la participación de observadores en las Asambleas de los Estados Miembros de la OMPI.  Durante 2014, nueve ONG internacionales y tres ONG nacionales obtuvieron la condición de observador en la OMPI.  Asimismo, la acreditación con carácter </w:t>
            </w:r>
            <w:r>
              <w:rPr>
                <w:i/>
                <w:iCs/>
                <w:lang w:val="es"/>
              </w:rPr>
              <w:t>ad hoc</w:t>
            </w:r>
            <w:r>
              <w:rPr>
                <w:lang w:val="es"/>
              </w:rPr>
              <w:t xml:space="preserve"> también ha facilitado la participación de ONG en órganos subsidiarios y en varios comités permanentes y reuniones organizadas por la OMPI, como el SCP, el SCCR, el SCT el IGC y el CDIP. </w:t>
            </w:r>
          </w:p>
          <w:p w14:paraId="0BB60B77" w14:textId="77777777" w:rsidR="008E1AF8" w:rsidRPr="00C91693" w:rsidRDefault="008E1AF8" w:rsidP="008E1AF8"/>
          <w:p w14:paraId="61E28010" w14:textId="77777777" w:rsidR="008E1AF8" w:rsidRPr="00C91693" w:rsidRDefault="008E1AF8" w:rsidP="008E1AF8">
            <w:r>
              <w:rPr>
                <w:lang w:val="es"/>
              </w:rPr>
              <w:t xml:space="preserve">El Director General acogió la cuarta reunión anual abierta con todas las ONG acreditadas en abril de 2015, que continúa siendo un valioso foro para el intercambio directo de opiniones sobre el sistema internacional de P.I., en general, y sobre el trabajo de la OMPI, más concretamente. </w:t>
            </w:r>
          </w:p>
          <w:p w14:paraId="4957D51E" w14:textId="77777777" w:rsidR="008E1AF8" w:rsidRPr="00C91693" w:rsidRDefault="008E1AF8" w:rsidP="008E1AF8"/>
          <w:p w14:paraId="4997C653" w14:textId="77777777" w:rsidR="008E1AF8" w:rsidRPr="00C91693" w:rsidRDefault="008E1AF8" w:rsidP="008E1AF8">
            <w:r>
              <w:rPr>
                <w:lang w:val="es"/>
              </w:rPr>
              <w:t>Además, la OMPI contribuyó a establecer varios foros por cuyo conducto fomentó la participación y la cooperación con partes interesadas no gubernamentales, en particular mediante talleres y seminarios, consultas sobre proyectos específicos y actividades paralelas para dar continuidad a intercambios abiertos, transparentes y dinámicos con estas partes interesadas.</w:t>
            </w:r>
          </w:p>
          <w:p w14:paraId="5EA0439B" w14:textId="77777777" w:rsidR="008E1AF8" w:rsidRPr="00C91693" w:rsidRDefault="008E1AF8" w:rsidP="008E1AF8"/>
        </w:tc>
      </w:tr>
    </w:tbl>
    <w:p w14:paraId="6C1B265B" w14:textId="77777777" w:rsidR="008E1AF8" w:rsidRPr="00C91693" w:rsidRDefault="008E1AF8" w:rsidP="008E1AF8"/>
    <w:p w14:paraId="689B52FD" w14:textId="77777777" w:rsidR="008E1AF8" w:rsidRPr="00C91693" w:rsidRDefault="008E1AF8" w:rsidP="008E1AF8">
      <w:pPr>
        <w:rPr>
          <w:bCs/>
          <w:i/>
          <w:szCs w:val="22"/>
        </w:rPr>
      </w:pPr>
    </w:p>
    <w:p w14:paraId="29CB9D56" w14:textId="77777777" w:rsidR="008E1AF8" w:rsidRPr="00C91693" w:rsidRDefault="008E1AF8" w:rsidP="008E1AF8">
      <w:pPr>
        <w:rPr>
          <w:bCs/>
          <w:i/>
          <w:szCs w:val="22"/>
        </w:rPr>
      </w:pPr>
    </w:p>
    <w:p w14:paraId="035FB587" w14:textId="77777777" w:rsidR="008E1AF8" w:rsidRPr="00412CAB" w:rsidRDefault="008E1AF8" w:rsidP="008E1AF8">
      <w:pPr>
        <w:pStyle w:val="Endofdocument-Annex"/>
        <w:ind w:left="8369" w:firstLine="136"/>
        <w:rPr>
          <w:lang w:val="es-ES"/>
        </w:rPr>
      </w:pPr>
      <w:r>
        <w:rPr>
          <w:lang w:val="es"/>
        </w:rPr>
        <w:t>[Fin del Anexo VII y del documento]</w:t>
      </w:r>
    </w:p>
    <w:p w14:paraId="09C3A1E3" w14:textId="77777777" w:rsidR="008E1AF8" w:rsidRPr="00BA42C9" w:rsidRDefault="008E1AF8" w:rsidP="008E1AF8"/>
    <w:sectPr w:rsidR="008E1AF8" w:rsidRPr="00BA42C9" w:rsidSect="00BA42C9">
      <w:headerReference w:type="default" r:id="rId83"/>
      <w:headerReference w:type="first" r:id="rId84"/>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21353" w14:textId="77777777" w:rsidR="00C342A6" w:rsidRDefault="00C342A6">
      <w:r>
        <w:separator/>
      </w:r>
    </w:p>
  </w:endnote>
  <w:endnote w:type="continuationSeparator" w:id="0">
    <w:p w14:paraId="034D67AD" w14:textId="77777777" w:rsidR="00C342A6" w:rsidRPr="009D30E6" w:rsidRDefault="00C342A6" w:rsidP="007E663E">
      <w:pPr>
        <w:rPr>
          <w:sz w:val="17"/>
          <w:szCs w:val="17"/>
        </w:rPr>
      </w:pPr>
      <w:r w:rsidRPr="009D30E6">
        <w:rPr>
          <w:sz w:val="17"/>
          <w:szCs w:val="17"/>
        </w:rPr>
        <w:separator/>
      </w:r>
    </w:p>
    <w:p w14:paraId="4B8F0CAC" w14:textId="77777777" w:rsidR="00C342A6" w:rsidRPr="007E663E" w:rsidRDefault="00C342A6" w:rsidP="007E663E">
      <w:pPr>
        <w:spacing w:after="60"/>
        <w:rPr>
          <w:sz w:val="17"/>
          <w:szCs w:val="17"/>
        </w:rPr>
      </w:pPr>
      <w:r>
        <w:rPr>
          <w:sz w:val="17"/>
        </w:rPr>
        <w:t>[Continuación de la nota de la página anterior]</w:t>
      </w:r>
    </w:p>
  </w:endnote>
  <w:endnote w:type="continuationNotice" w:id="1">
    <w:p w14:paraId="17614114" w14:textId="77777777" w:rsidR="00C342A6" w:rsidRPr="007E663E" w:rsidRDefault="00C342A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54AF4" w14:textId="77777777" w:rsidR="00A3265D" w:rsidRPr="00BB5AA5" w:rsidRDefault="00A3265D" w:rsidP="0024394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FB108" w14:textId="77777777" w:rsidR="00A3265D" w:rsidRDefault="00A3265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FA538" w14:textId="77777777" w:rsidR="00A3265D" w:rsidRPr="004D78FB" w:rsidRDefault="00A3265D">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19C56" w14:textId="77777777" w:rsidR="00A3265D" w:rsidRDefault="00A326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97F7A" w14:textId="77777777" w:rsidR="00A3265D" w:rsidRDefault="00A326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08A0A" w14:textId="77777777" w:rsidR="00A3265D" w:rsidRPr="00DA6E3A" w:rsidRDefault="00A3265D" w:rsidP="002439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059C2" w14:textId="77777777" w:rsidR="00A3265D" w:rsidRDefault="00A3265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07D67" w14:textId="77777777" w:rsidR="00A3265D" w:rsidRDefault="00A3265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BD6CB" w14:textId="77777777" w:rsidR="00A3265D" w:rsidRDefault="00A3265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7D77E" w14:textId="77777777" w:rsidR="00A3265D" w:rsidRPr="004D78FB" w:rsidRDefault="00A3265D">
    <w:pPr>
      <w:pStyle w:val="Foote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D8E3D" w14:textId="77777777" w:rsidR="00A3265D" w:rsidRDefault="00A32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81332" w14:textId="77777777" w:rsidR="00C342A6" w:rsidRDefault="00C342A6">
      <w:r>
        <w:separator/>
      </w:r>
    </w:p>
  </w:footnote>
  <w:footnote w:type="continuationSeparator" w:id="0">
    <w:p w14:paraId="1F7B9FE5" w14:textId="77777777" w:rsidR="00C342A6" w:rsidRPr="009D30E6" w:rsidRDefault="00C342A6" w:rsidP="007E663E">
      <w:pPr>
        <w:rPr>
          <w:sz w:val="17"/>
          <w:szCs w:val="17"/>
        </w:rPr>
      </w:pPr>
      <w:r w:rsidRPr="009D30E6">
        <w:rPr>
          <w:sz w:val="17"/>
          <w:szCs w:val="17"/>
        </w:rPr>
        <w:separator/>
      </w:r>
    </w:p>
    <w:p w14:paraId="64B1DED1" w14:textId="77777777" w:rsidR="00C342A6" w:rsidRPr="007E663E" w:rsidRDefault="00C342A6" w:rsidP="007E663E">
      <w:pPr>
        <w:spacing w:after="60"/>
        <w:rPr>
          <w:sz w:val="17"/>
          <w:szCs w:val="17"/>
        </w:rPr>
      </w:pPr>
      <w:r>
        <w:rPr>
          <w:sz w:val="17"/>
        </w:rPr>
        <w:t>[Continuación de la nota de la página anterior]</w:t>
      </w:r>
    </w:p>
  </w:footnote>
  <w:footnote w:type="continuationNotice" w:id="1">
    <w:p w14:paraId="1066615B" w14:textId="77777777" w:rsidR="00C342A6" w:rsidRPr="007E663E" w:rsidRDefault="00C342A6" w:rsidP="007E663E">
      <w:pPr>
        <w:spacing w:before="60"/>
        <w:jc w:val="right"/>
        <w:rPr>
          <w:sz w:val="17"/>
          <w:szCs w:val="17"/>
        </w:rPr>
      </w:pPr>
      <w:r w:rsidRPr="007E663E">
        <w:rPr>
          <w:sz w:val="17"/>
          <w:szCs w:val="17"/>
        </w:rPr>
        <w:t>[Sigue la nota en la página siguiente]</w:t>
      </w:r>
    </w:p>
  </w:footnote>
  <w:footnote w:id="2">
    <w:p w14:paraId="07B74946" w14:textId="139FE2B1" w:rsidR="00A3265D" w:rsidRPr="002E5493" w:rsidRDefault="00A3265D" w:rsidP="00C91693">
      <w:pPr>
        <w:pStyle w:val="FootnoteText"/>
        <w:rPr>
          <w:szCs w:val="18"/>
        </w:rPr>
      </w:pPr>
      <w:bookmarkStart w:id="5" w:name="OLE_LINK1"/>
      <w:bookmarkStart w:id="6" w:name="OLE_LINK2"/>
      <w:bookmarkStart w:id="7" w:name="_Hlk331668138"/>
      <w:r w:rsidRPr="0073118C">
        <w:rPr>
          <w:rStyle w:val="FootnoteReference"/>
          <w:sz w:val="20"/>
        </w:rPr>
        <w:footnoteRef/>
      </w:r>
      <w:r w:rsidRPr="002E5493">
        <w:rPr>
          <w:sz w:val="20"/>
        </w:rPr>
        <w:t xml:space="preserve"> </w:t>
      </w:r>
      <w:r w:rsidRPr="002E5493">
        <w:rPr>
          <w:sz w:val="20"/>
        </w:rPr>
        <w:tab/>
      </w:r>
      <w:bookmarkEnd w:id="5"/>
      <w:bookmarkEnd w:id="6"/>
      <w:bookmarkEnd w:id="7"/>
      <w:r w:rsidRPr="00D51ACE">
        <w:rPr>
          <w:sz w:val="20"/>
          <w:lang w:val="es-ES_tradnl"/>
        </w:rPr>
        <w:t>Conforme a la sección 3.2 del documento inicial del proyecto</w:t>
      </w:r>
      <w:r w:rsidRPr="00D51ACE">
        <w:rPr>
          <w:szCs w:val="18"/>
          <w:lang w:val="es-ES_tradnl"/>
        </w:rPr>
        <w:t>.</w:t>
      </w:r>
    </w:p>
  </w:footnote>
  <w:footnote w:id="3">
    <w:p w14:paraId="6C93684B" w14:textId="77777777" w:rsidR="00A3265D" w:rsidRPr="00D51ACE" w:rsidRDefault="00A3265D" w:rsidP="00F52FE0">
      <w:pPr>
        <w:pStyle w:val="FootnoteText"/>
        <w:rPr>
          <w:szCs w:val="18"/>
          <w:lang w:val="es-ES_tradnl"/>
        </w:rPr>
      </w:pPr>
      <w:r w:rsidRPr="00D51ACE">
        <w:rPr>
          <w:rStyle w:val="FootnoteReference"/>
          <w:sz w:val="20"/>
        </w:rPr>
        <w:footnoteRef/>
      </w:r>
      <w:r w:rsidRPr="00D51ACE">
        <w:rPr>
          <w:sz w:val="20"/>
          <w:lang w:val="es-ES_tradnl"/>
        </w:rPr>
        <w:t xml:space="preserve"> </w:t>
      </w:r>
      <w:r w:rsidRPr="00D51ACE">
        <w:rPr>
          <w:sz w:val="20"/>
          <w:lang w:val="es-ES_tradnl"/>
        </w:rPr>
        <w:tab/>
        <w:t>Conforme a la sección 3.2 del documento inicial del proyecto</w:t>
      </w:r>
      <w:r w:rsidRPr="00D51ACE">
        <w:rPr>
          <w:szCs w:val="18"/>
          <w:lang w:val="es-ES_tradnl"/>
        </w:rPr>
        <w:t>.</w:t>
      </w:r>
    </w:p>
  </w:footnote>
  <w:footnote w:id="4">
    <w:p w14:paraId="752B3DEC" w14:textId="77777777" w:rsidR="00A3265D" w:rsidRPr="00D51ACE" w:rsidRDefault="00A3265D" w:rsidP="009958BE">
      <w:pPr>
        <w:pStyle w:val="FootnoteText"/>
        <w:rPr>
          <w:szCs w:val="18"/>
          <w:lang w:val="es-ES_tradnl"/>
        </w:rPr>
      </w:pPr>
      <w:r w:rsidRPr="00D51ACE">
        <w:rPr>
          <w:rStyle w:val="FootnoteReference"/>
          <w:sz w:val="20"/>
        </w:rPr>
        <w:footnoteRef/>
      </w:r>
      <w:r w:rsidRPr="00D51ACE">
        <w:rPr>
          <w:sz w:val="20"/>
          <w:lang w:val="es-ES_tradnl"/>
        </w:rPr>
        <w:t xml:space="preserve"> </w:t>
      </w:r>
      <w:r w:rsidRPr="00D51ACE">
        <w:rPr>
          <w:sz w:val="20"/>
          <w:lang w:val="es-ES_tradnl"/>
        </w:rPr>
        <w:tab/>
      </w:r>
      <w:r w:rsidRPr="009958BE">
        <w:rPr>
          <w:sz w:val="20"/>
          <w:lang w:val="es-ES_tradnl"/>
        </w:rPr>
        <w:t>Conforme a la sección 3.2 del documento inicial del proyecto.</w:t>
      </w:r>
    </w:p>
  </w:footnote>
  <w:footnote w:id="5">
    <w:p w14:paraId="3F251060" w14:textId="32C13E17" w:rsidR="00A3265D" w:rsidRPr="002E5493" w:rsidRDefault="00A3265D" w:rsidP="00C91693">
      <w:pPr>
        <w:pStyle w:val="FootnoteText"/>
      </w:pPr>
      <w:r>
        <w:rPr>
          <w:rStyle w:val="FootnoteReference"/>
        </w:rPr>
        <w:footnoteRef/>
      </w:r>
      <w:r w:rsidRPr="002E5493">
        <w:t xml:space="preserve"> </w:t>
      </w:r>
      <w:r w:rsidRPr="002E5493">
        <w:tab/>
      </w:r>
      <w:r w:rsidRPr="00D51ACE">
        <w:rPr>
          <w:sz w:val="20"/>
          <w:lang w:val="es-ES_tradnl"/>
        </w:rPr>
        <w:t>Conforme a la sección 3.2 del documento inicial del proyecto</w:t>
      </w:r>
      <w:r w:rsidRPr="00D51ACE">
        <w:rPr>
          <w:szCs w:val="18"/>
          <w:lang w:val="es-ES_tradnl"/>
        </w:rPr>
        <w:t>.</w:t>
      </w:r>
    </w:p>
  </w:footnote>
  <w:footnote w:id="6">
    <w:p w14:paraId="0BF20FF0" w14:textId="53387802" w:rsidR="00A3265D" w:rsidRPr="002E5493" w:rsidRDefault="00A3265D" w:rsidP="00C91693">
      <w:pPr>
        <w:pStyle w:val="FootnoteText"/>
      </w:pPr>
      <w:r>
        <w:rPr>
          <w:rStyle w:val="FootnoteReference"/>
        </w:rPr>
        <w:footnoteRef/>
      </w:r>
      <w:r w:rsidRPr="002E5493">
        <w:t xml:space="preserve"> </w:t>
      </w:r>
      <w:r w:rsidRPr="002E5493">
        <w:tab/>
      </w:r>
      <w:r w:rsidRPr="00D51ACE">
        <w:rPr>
          <w:sz w:val="20"/>
          <w:lang w:val="es-ES_tradnl"/>
        </w:rPr>
        <w:t>Conforme a la sección 3.2 del documento inicial del proyecto</w:t>
      </w:r>
      <w:r w:rsidRPr="00D51ACE">
        <w:rPr>
          <w:szCs w:val="18"/>
          <w:lang w:val="es-ES_tradnl"/>
        </w:rPr>
        <w:t>.</w:t>
      </w:r>
    </w:p>
  </w:footnote>
  <w:footnote w:id="7">
    <w:p w14:paraId="0B330C79" w14:textId="77777777" w:rsidR="00A3265D" w:rsidRPr="000C1194" w:rsidRDefault="00A3265D" w:rsidP="00C91693">
      <w:pPr>
        <w:pStyle w:val="FootnoteText"/>
        <w:rPr>
          <w:sz w:val="20"/>
        </w:rPr>
      </w:pPr>
      <w:r>
        <w:rPr>
          <w:rStyle w:val="FootnoteReference"/>
          <w:lang w:val="es"/>
        </w:rPr>
        <w:footnoteRef/>
      </w:r>
      <w:r>
        <w:rPr>
          <w:lang w:val="es"/>
        </w:rPr>
        <w:t xml:space="preserve"> </w:t>
      </w:r>
      <w:r>
        <w:rPr>
          <w:lang w:val="es"/>
        </w:rPr>
        <w:tab/>
        <w:t>S</w:t>
      </w:r>
      <w:r w:rsidRPr="000C1194">
        <w:rPr>
          <w:sz w:val="20"/>
          <w:lang w:val="es"/>
        </w:rPr>
        <w:t>egún la sección 3.2 del documento original del proyecto.</w:t>
      </w:r>
    </w:p>
  </w:footnote>
  <w:footnote w:id="8">
    <w:p w14:paraId="692AC46F" w14:textId="77777777" w:rsidR="00A3265D" w:rsidRPr="000C1194" w:rsidRDefault="00A3265D" w:rsidP="00C91693">
      <w:pPr>
        <w:pStyle w:val="FootnoteText"/>
        <w:rPr>
          <w:sz w:val="20"/>
        </w:rPr>
      </w:pPr>
      <w:r w:rsidRPr="000C1194">
        <w:rPr>
          <w:rStyle w:val="FootnoteReference"/>
          <w:sz w:val="20"/>
          <w:lang w:val="es"/>
        </w:rPr>
        <w:footnoteRef/>
      </w:r>
      <w:r w:rsidRPr="000C1194">
        <w:rPr>
          <w:sz w:val="20"/>
          <w:lang w:val="es"/>
        </w:rPr>
        <w:t xml:space="preserve"> </w:t>
      </w:r>
      <w:r w:rsidRPr="000C1194">
        <w:rPr>
          <w:sz w:val="20"/>
          <w:lang w:val="es"/>
        </w:rPr>
        <w:tab/>
        <w:t>Según la sección 3.2 del documento original del proyecto.</w:t>
      </w:r>
    </w:p>
  </w:footnote>
  <w:footnote w:id="9">
    <w:p w14:paraId="31262A87" w14:textId="77777777" w:rsidR="00A3265D" w:rsidRPr="000C1194" w:rsidRDefault="00A3265D" w:rsidP="008E1AF8">
      <w:pPr>
        <w:pStyle w:val="FootnoteText"/>
        <w:rPr>
          <w:sz w:val="20"/>
        </w:rPr>
      </w:pPr>
      <w:r w:rsidRPr="000C1194">
        <w:rPr>
          <w:rStyle w:val="FootnoteReference"/>
          <w:sz w:val="20"/>
          <w:lang w:val="es"/>
        </w:rPr>
        <w:footnoteRef/>
      </w:r>
      <w:r w:rsidRPr="000C1194">
        <w:rPr>
          <w:sz w:val="20"/>
          <w:lang w:val="es"/>
        </w:rPr>
        <w:t xml:space="preserve"> </w:t>
      </w:r>
      <w:r w:rsidRPr="000C1194">
        <w:rPr>
          <w:sz w:val="20"/>
          <w:lang w:val="es"/>
        </w:rPr>
        <w:tab/>
        <w:t>Según la sección 3.2 del documento original del proyecto.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B0AA9" w14:textId="77777777" w:rsidR="00A3265D" w:rsidRDefault="00A3265D" w:rsidP="00477D6B">
    <w:pPr>
      <w:jc w:val="right"/>
    </w:pPr>
    <w:r>
      <w:t>CDIP/16/2</w:t>
    </w:r>
  </w:p>
  <w:p w14:paraId="2D34C1AC" w14:textId="77777777" w:rsidR="00A3265D" w:rsidRDefault="00A3265D" w:rsidP="00477D6B">
    <w:pPr>
      <w:jc w:val="right"/>
    </w:pPr>
    <w:r>
      <w:t xml:space="preserve">página </w:t>
    </w:r>
    <w:r>
      <w:fldChar w:fldCharType="begin"/>
    </w:r>
    <w:r>
      <w:instrText xml:space="preserve"> PAGE  \* MERGEFORMAT </w:instrText>
    </w:r>
    <w:r>
      <w:fldChar w:fldCharType="separate"/>
    </w:r>
    <w:r w:rsidR="00A017D6">
      <w:rPr>
        <w:noProof/>
      </w:rPr>
      <w:t>2</w:t>
    </w:r>
    <w:r>
      <w:fldChar w:fldCharType="end"/>
    </w:r>
  </w:p>
  <w:p w14:paraId="5BF6B9E0" w14:textId="77777777" w:rsidR="00A3265D" w:rsidRDefault="00A3265D" w:rsidP="00477D6B">
    <w:pPr>
      <w:jc w:val="right"/>
    </w:pPr>
  </w:p>
  <w:p w14:paraId="2345B0C6" w14:textId="77777777" w:rsidR="00A3265D" w:rsidRDefault="00A3265D"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42E9B" w14:textId="77777777" w:rsidR="00A3265D" w:rsidRDefault="00A3265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53FA8" w14:textId="77777777" w:rsidR="00A3265D" w:rsidRDefault="00A3265D" w:rsidP="00243943">
    <w:pPr>
      <w:pStyle w:val="Header"/>
      <w:jc w:val="right"/>
    </w:pPr>
    <w:r>
      <w:t>CDIP/16/2</w:t>
    </w:r>
  </w:p>
  <w:p w14:paraId="7CC7EFC9" w14:textId="77777777" w:rsidR="00A3265D" w:rsidRDefault="00A3265D" w:rsidP="00243943">
    <w:pPr>
      <w:pStyle w:val="Header"/>
      <w:ind w:right="-1"/>
      <w:jc w:val="right"/>
      <w:rPr>
        <w:rStyle w:val="PageNumber"/>
      </w:rPr>
    </w:pPr>
    <w:r>
      <w:rPr>
        <w:rStyle w:val="PageNumber"/>
      </w:rPr>
      <w:t xml:space="preserve">Anexo IV, página </w:t>
    </w:r>
    <w:r>
      <w:rPr>
        <w:rStyle w:val="PageNumber"/>
      </w:rPr>
      <w:fldChar w:fldCharType="begin"/>
    </w:r>
    <w:r>
      <w:rPr>
        <w:rStyle w:val="PageNumber"/>
      </w:rPr>
      <w:instrText xml:space="preserve"> PAGE </w:instrText>
    </w:r>
    <w:r>
      <w:rPr>
        <w:rStyle w:val="PageNumber"/>
      </w:rPr>
      <w:fldChar w:fldCharType="separate"/>
    </w:r>
    <w:r w:rsidR="00A017D6">
      <w:rPr>
        <w:rStyle w:val="PageNumber"/>
        <w:noProof/>
      </w:rPr>
      <w:t>6</w:t>
    </w:r>
    <w:r>
      <w:rPr>
        <w:rStyle w:val="PageNumbe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132C0" w14:textId="77777777" w:rsidR="00A3265D" w:rsidRDefault="00A3265D" w:rsidP="00243943">
    <w:pPr>
      <w:pStyle w:val="Header"/>
      <w:jc w:val="right"/>
    </w:pPr>
    <w:r>
      <w:t>CDIP/16/2</w:t>
    </w:r>
  </w:p>
  <w:p w14:paraId="60448D45" w14:textId="77777777" w:rsidR="00A3265D" w:rsidRDefault="00A3265D" w:rsidP="00243943">
    <w:pPr>
      <w:pStyle w:val="Header"/>
      <w:jc w:val="right"/>
    </w:pPr>
    <w:r>
      <w:t>ANEXO IV</w:t>
    </w:r>
  </w:p>
  <w:p w14:paraId="40EC7FA3" w14:textId="77777777" w:rsidR="00A3265D" w:rsidRDefault="00A3265D" w:rsidP="00243943">
    <w:pPr>
      <w:pStyle w:val="Header"/>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A4534" w14:textId="77777777" w:rsidR="00A3265D" w:rsidRDefault="00A3265D" w:rsidP="008E1AF8">
    <w:pPr>
      <w:jc w:val="right"/>
    </w:pPr>
    <w:r>
      <w:rPr>
        <w:rStyle w:val="PageNumber"/>
        <w:lang w:val="es"/>
      </w:rPr>
      <w:tab/>
    </w:r>
    <w:r>
      <w:rPr>
        <w:rStyle w:val="PageNumber"/>
        <w:lang w:val="es"/>
      </w:rPr>
      <w:tab/>
    </w:r>
    <w:r>
      <w:rPr>
        <w:rStyle w:val="PageNumber"/>
        <w:lang w:val="es"/>
      </w:rPr>
      <w:tab/>
    </w:r>
    <w:r>
      <w:rPr>
        <w:lang w:val="es"/>
      </w:rPr>
      <w:t>CDIP/16/2</w:t>
    </w:r>
  </w:p>
  <w:p w14:paraId="767D8C4B" w14:textId="77777777" w:rsidR="00A3265D" w:rsidRDefault="00A3265D" w:rsidP="008E1AF8">
    <w:pPr>
      <w:pStyle w:val="Header"/>
      <w:jc w:val="right"/>
    </w:pPr>
    <w:r>
      <w:rPr>
        <w:lang w:val="es"/>
      </w:rPr>
      <w:t xml:space="preserve">Anexo V, página </w:t>
    </w:r>
    <w:sdt>
      <w:sdtPr>
        <w:id w:val="1764645961"/>
        <w:docPartObj>
          <w:docPartGallery w:val="Page Numbers (Top of Page)"/>
          <w:docPartUnique/>
        </w:docPartObj>
      </w:sdtPr>
      <w:sdtEndPr>
        <w:rPr>
          <w:noProof/>
        </w:rPr>
      </w:sdtEndPr>
      <w:sdtContent>
        <w:r>
          <w:rPr>
            <w:lang w:val="es"/>
          </w:rPr>
          <w:fldChar w:fldCharType="begin"/>
        </w:r>
        <w:r>
          <w:rPr>
            <w:lang w:val="es"/>
          </w:rPr>
          <w:instrText xml:space="preserve"> PAGE   \* MERGEFORMAT </w:instrText>
        </w:r>
        <w:r>
          <w:rPr>
            <w:lang w:val="es"/>
          </w:rPr>
          <w:fldChar w:fldCharType="separate"/>
        </w:r>
        <w:r w:rsidR="00A017D6">
          <w:rPr>
            <w:noProof/>
            <w:lang w:val="es"/>
          </w:rPr>
          <w:t>11</w:t>
        </w:r>
        <w:r>
          <w:rPr>
            <w:noProof/>
            <w:lang w:val="es"/>
          </w:rPr>
          <w:fldChar w:fldCharType="end"/>
        </w:r>
      </w:sdtContent>
    </w:sdt>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91834" w14:textId="77777777" w:rsidR="00A3265D" w:rsidRDefault="00A3265D" w:rsidP="008E1AF8">
    <w:pPr>
      <w:pStyle w:val="Header"/>
      <w:jc w:val="right"/>
    </w:pPr>
    <w:r>
      <w:rPr>
        <w:lang w:val="es"/>
      </w:rPr>
      <w:t>CDIP/16/2</w:t>
    </w:r>
  </w:p>
  <w:p w14:paraId="7FB25010" w14:textId="77777777" w:rsidR="00A3265D" w:rsidRDefault="00A3265D" w:rsidP="008E1AF8">
    <w:pPr>
      <w:pStyle w:val="Header"/>
      <w:jc w:val="right"/>
    </w:pPr>
    <w:r>
      <w:rPr>
        <w:lang w:val="es"/>
      </w:rPr>
      <w:t>ANEXO V</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E8340" w14:textId="77777777" w:rsidR="00A3265D" w:rsidRDefault="00A3265D" w:rsidP="008E1AF8">
    <w:pPr>
      <w:pStyle w:val="Header"/>
      <w:tabs>
        <w:tab w:val="left" w:pos="6111"/>
        <w:tab w:val="right" w:pos="8711"/>
      </w:tabs>
      <w:ind w:right="360"/>
      <w:rPr>
        <w:rStyle w:val="PageNumber"/>
      </w:rPr>
    </w:pPr>
    <w:r>
      <w:rPr>
        <w:rStyle w:val="PageNumber"/>
        <w:lang w:val="es"/>
      </w:rPr>
      <w:tab/>
    </w:r>
    <w:r>
      <w:rPr>
        <w:rStyle w:val="PageNumber"/>
        <w:lang w:val="es"/>
      </w:rPr>
      <w:tab/>
    </w:r>
    <w:r>
      <w:rPr>
        <w:rStyle w:val="PageNumber"/>
        <w:lang w:val="es"/>
      </w:rPr>
      <w:tab/>
      <w:t>CDIP/16/2</w:t>
    </w:r>
  </w:p>
  <w:p w14:paraId="31DE10EF" w14:textId="77777777" w:rsidR="00A3265D" w:rsidRDefault="00A3265D" w:rsidP="008E1AF8">
    <w:pPr>
      <w:pStyle w:val="Header"/>
      <w:ind w:right="360"/>
      <w:jc w:val="right"/>
      <w:rPr>
        <w:rStyle w:val="PageNumber"/>
      </w:rPr>
    </w:pPr>
    <w:r>
      <w:rPr>
        <w:rStyle w:val="PageNumber"/>
        <w:lang w:val="es"/>
      </w:rPr>
      <w:t xml:space="preserve">Anexo VI, página </w:t>
    </w:r>
    <w:r>
      <w:rPr>
        <w:rStyle w:val="PageNumber"/>
        <w:lang w:val="es"/>
      </w:rPr>
      <w:fldChar w:fldCharType="begin"/>
    </w:r>
    <w:r>
      <w:rPr>
        <w:rStyle w:val="PageNumber"/>
        <w:lang w:val="es"/>
      </w:rPr>
      <w:instrText xml:space="preserve"> PAGE   \* MERGEFORMAT </w:instrText>
    </w:r>
    <w:r>
      <w:rPr>
        <w:rStyle w:val="PageNumber"/>
        <w:lang w:val="es"/>
      </w:rPr>
      <w:fldChar w:fldCharType="separate"/>
    </w:r>
    <w:r w:rsidR="00A017D6">
      <w:rPr>
        <w:rStyle w:val="PageNumber"/>
        <w:noProof/>
        <w:lang w:val="es"/>
      </w:rPr>
      <w:t>14</w:t>
    </w:r>
    <w:r>
      <w:rPr>
        <w:rStyle w:val="PageNumber"/>
        <w:noProof/>
        <w:lang w:val="es"/>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D7004" w14:textId="77777777" w:rsidR="00A3265D" w:rsidRDefault="00A3265D" w:rsidP="008E1AF8">
    <w:pPr>
      <w:pStyle w:val="Header"/>
      <w:jc w:val="right"/>
    </w:pPr>
    <w:r>
      <w:rPr>
        <w:lang w:val="es"/>
      </w:rPr>
      <w:t>CDIP/16/2</w:t>
    </w:r>
  </w:p>
  <w:p w14:paraId="4B9F2D42" w14:textId="77777777" w:rsidR="00A3265D" w:rsidRDefault="00A3265D" w:rsidP="008E1AF8">
    <w:pPr>
      <w:pStyle w:val="Header"/>
      <w:jc w:val="right"/>
    </w:pPr>
    <w:r>
      <w:rPr>
        <w:lang w:val="es"/>
      </w:rPr>
      <w:t>ANEXO VI</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DD1C1" w14:textId="77777777" w:rsidR="00A3265D" w:rsidRDefault="00A3265D" w:rsidP="00477D6B">
    <w:pPr>
      <w:jc w:val="right"/>
    </w:pPr>
    <w:bookmarkStart w:id="9" w:name="Code2"/>
    <w:bookmarkEnd w:id="9"/>
    <w:r>
      <w:t>CDIP/16/2</w:t>
    </w:r>
  </w:p>
  <w:p w14:paraId="3D44B414" w14:textId="77777777" w:rsidR="00A3265D" w:rsidRDefault="00A3265D" w:rsidP="00477D6B">
    <w:pPr>
      <w:jc w:val="right"/>
    </w:pPr>
    <w:r>
      <w:t xml:space="preserve">Anexo VII, página </w:t>
    </w:r>
    <w:r>
      <w:fldChar w:fldCharType="begin"/>
    </w:r>
    <w:r>
      <w:instrText xml:space="preserve"> PAGE  \* MERGEFORMAT </w:instrText>
    </w:r>
    <w:r>
      <w:fldChar w:fldCharType="separate"/>
    </w:r>
    <w:r w:rsidR="00A017D6">
      <w:rPr>
        <w:noProof/>
      </w:rPr>
      <w:t>31</w:t>
    </w:r>
    <w:r>
      <w:fldChar w:fldCharType="end"/>
    </w:r>
  </w:p>
  <w:p w14:paraId="0FBD2A60" w14:textId="77777777" w:rsidR="00A3265D" w:rsidRDefault="00A3265D" w:rsidP="00477D6B">
    <w:pP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80D68" w14:textId="77777777" w:rsidR="00A3265D" w:rsidRDefault="00A3265D" w:rsidP="00243943">
    <w:pPr>
      <w:pStyle w:val="Header"/>
      <w:jc w:val="right"/>
    </w:pPr>
    <w:r>
      <w:t>CDIP/16/2</w:t>
    </w:r>
  </w:p>
  <w:p w14:paraId="6557326F" w14:textId="77777777" w:rsidR="00A3265D" w:rsidRDefault="00A3265D" w:rsidP="00243943">
    <w:pPr>
      <w:pStyle w:val="Header"/>
      <w:jc w:val="right"/>
    </w:pPr>
    <w:r>
      <w:t>ANEXO VII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A5CE5" w14:textId="77777777" w:rsidR="00A3265D" w:rsidRDefault="00A3265D" w:rsidP="00243943">
    <w:pPr>
      <w:pStyle w:val="Header"/>
      <w:ind w:right="360"/>
      <w:jc w:val="right"/>
      <w:rPr>
        <w:rStyle w:val="PageNumber"/>
      </w:rPr>
    </w:pPr>
    <w:r>
      <w:rPr>
        <w:rStyle w:val="PageNumber"/>
      </w:rPr>
      <w:t>CDIP/16/2</w:t>
    </w:r>
  </w:p>
  <w:p w14:paraId="65EA917C" w14:textId="77777777" w:rsidR="00A3265D" w:rsidRDefault="00A3265D" w:rsidP="00243943">
    <w:pPr>
      <w:pStyle w:val="Header"/>
      <w:ind w:right="360"/>
      <w:jc w:val="right"/>
      <w:rPr>
        <w:rStyle w:val="PageNumber"/>
      </w:rPr>
    </w:pPr>
    <w:r>
      <w:rPr>
        <w:rStyle w:val="PageNumber"/>
      </w:rPr>
      <w:t xml:space="preserve">Anexo I, página </w:t>
    </w:r>
    <w:r>
      <w:rPr>
        <w:rStyle w:val="PageNumber"/>
      </w:rPr>
      <w:fldChar w:fldCharType="begin"/>
    </w:r>
    <w:r>
      <w:rPr>
        <w:rStyle w:val="PageNumber"/>
      </w:rPr>
      <w:instrText xml:space="preserve"> PAGE </w:instrText>
    </w:r>
    <w:r>
      <w:rPr>
        <w:rStyle w:val="PageNumber"/>
      </w:rPr>
      <w:fldChar w:fldCharType="separate"/>
    </w:r>
    <w:r w:rsidR="00A017D6">
      <w:rPr>
        <w:rStyle w:val="PageNumber"/>
        <w:noProof/>
      </w:rPr>
      <w:t>11</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36E40" w14:textId="77777777" w:rsidR="00A3265D" w:rsidRDefault="00A3265D" w:rsidP="00243943">
    <w:pPr>
      <w:pStyle w:val="Header"/>
      <w:jc w:val="right"/>
    </w:pPr>
    <w:r>
      <w:t>CDIP/16/2</w:t>
    </w:r>
  </w:p>
  <w:p w14:paraId="01493FD5" w14:textId="77777777" w:rsidR="00A3265D" w:rsidRDefault="00A3265D" w:rsidP="00243943">
    <w:pPr>
      <w:pStyle w:val="Header"/>
      <w:jc w:val="right"/>
    </w:pPr>
    <w:r>
      <w:t>ANEXO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AD139" w14:textId="77777777" w:rsidR="00A3265D" w:rsidRDefault="00A3265D" w:rsidP="00243943">
    <w:pPr>
      <w:pStyle w:val="Header"/>
      <w:ind w:right="360"/>
      <w:jc w:val="right"/>
      <w:rPr>
        <w:rStyle w:val="PageNumber"/>
      </w:rPr>
    </w:pPr>
    <w:r>
      <w:rPr>
        <w:rStyle w:val="PageNumber"/>
      </w:rPr>
      <w:t>CDIP/16/2</w:t>
    </w:r>
  </w:p>
  <w:p w14:paraId="04594BB5" w14:textId="77777777" w:rsidR="00A3265D" w:rsidRDefault="00A3265D" w:rsidP="00243943">
    <w:pPr>
      <w:pStyle w:val="Header"/>
      <w:ind w:right="360"/>
      <w:jc w:val="right"/>
      <w:rPr>
        <w:rStyle w:val="PageNumber"/>
      </w:rPr>
    </w:pPr>
    <w:r>
      <w:rPr>
        <w:rStyle w:val="PageNumber"/>
      </w:rPr>
      <w:t xml:space="preserve">Anexo II, página </w:t>
    </w:r>
    <w:r>
      <w:rPr>
        <w:rStyle w:val="PageNumber"/>
      </w:rPr>
      <w:fldChar w:fldCharType="begin"/>
    </w:r>
    <w:r>
      <w:rPr>
        <w:rStyle w:val="PageNumber"/>
      </w:rPr>
      <w:instrText xml:space="preserve"> PAGE </w:instrText>
    </w:r>
    <w:r>
      <w:rPr>
        <w:rStyle w:val="PageNumber"/>
      </w:rPr>
      <w:fldChar w:fldCharType="separate"/>
    </w:r>
    <w:r w:rsidR="00A017D6">
      <w:rPr>
        <w:rStyle w:val="PageNumber"/>
        <w:noProof/>
      </w:rPr>
      <w:t>13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9AC53" w14:textId="77777777" w:rsidR="00A3265D" w:rsidRDefault="00A3265D" w:rsidP="00243943">
    <w:pPr>
      <w:pStyle w:val="Header"/>
      <w:jc w:val="right"/>
    </w:pPr>
    <w:r>
      <w:rPr>
        <w:rStyle w:val="PageNumber"/>
      </w:rPr>
      <w:t>CDIP/16/2</w:t>
    </w:r>
  </w:p>
  <w:p w14:paraId="78C4C397" w14:textId="77777777" w:rsidR="00A3265D" w:rsidRDefault="00A3265D" w:rsidP="00243943">
    <w:pPr>
      <w:pStyle w:val="Header"/>
      <w:jc w:val="right"/>
    </w:pPr>
    <w:r>
      <w:t>ANEXO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50D09" w14:textId="77777777" w:rsidR="00A3265D" w:rsidRDefault="00A3265D" w:rsidP="00243943">
    <w:pPr>
      <w:pStyle w:val="Header"/>
      <w:jc w:val="right"/>
    </w:pPr>
    <w:r>
      <w:t>CDIP/16/2</w:t>
    </w:r>
  </w:p>
  <w:p w14:paraId="37620C8E" w14:textId="77777777" w:rsidR="00A3265D" w:rsidRDefault="00A3265D" w:rsidP="00243943">
    <w:pPr>
      <w:pStyle w:val="Header"/>
      <w:jc w:val="right"/>
    </w:pPr>
    <w:r>
      <w:t xml:space="preserve">Anexo II, página </w:t>
    </w:r>
    <w:r>
      <w:fldChar w:fldCharType="begin"/>
    </w:r>
    <w:r>
      <w:instrText xml:space="preserve"> PAGE   \* MERGEFORMAT </w:instrText>
    </w:r>
    <w:r>
      <w:fldChar w:fldCharType="separate"/>
    </w:r>
    <w:r w:rsidR="00A017D6">
      <w:rPr>
        <w:noProof/>
      </w:rPr>
      <w:t>14</w:t>
    </w:r>
    <w:r>
      <w:rPr>
        <w:noProof/>
      </w:rPr>
      <w:fldChar w:fldCharType="end"/>
    </w:r>
  </w:p>
  <w:p w14:paraId="478867D8" w14:textId="77777777" w:rsidR="00A3265D" w:rsidRDefault="00A3265D" w:rsidP="00243943">
    <w:pPr>
      <w:pStyle w:val="Header"/>
      <w:jc w:val="center"/>
    </w:pPr>
  </w:p>
  <w:p w14:paraId="5704B584" w14:textId="77777777" w:rsidR="00A3265D" w:rsidRDefault="00A3265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ED9DC" w14:textId="77777777" w:rsidR="00A3265D" w:rsidRDefault="00A3265D" w:rsidP="002439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1C58AB69" w14:textId="77777777" w:rsidR="00A3265D" w:rsidRDefault="00A3265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81832" w14:textId="77777777" w:rsidR="00A3265D" w:rsidRDefault="00A3265D" w:rsidP="00243943">
    <w:pPr>
      <w:pStyle w:val="Header"/>
      <w:jc w:val="right"/>
    </w:pPr>
    <w:r>
      <w:t>CDIP/16/2</w:t>
    </w:r>
  </w:p>
  <w:p w14:paraId="096541FC" w14:textId="77777777" w:rsidR="00A3265D" w:rsidRDefault="00A3265D" w:rsidP="00243943">
    <w:pPr>
      <w:pStyle w:val="Header"/>
      <w:jc w:val="right"/>
      <w:rPr>
        <w:noProof/>
      </w:rPr>
    </w:pPr>
    <w:r>
      <w:t xml:space="preserve">Anexo III, página </w:t>
    </w:r>
    <w:r>
      <w:fldChar w:fldCharType="begin"/>
    </w:r>
    <w:r>
      <w:instrText xml:space="preserve"> PAGE   \* MERGEFORMAT </w:instrText>
    </w:r>
    <w:r>
      <w:fldChar w:fldCharType="separate"/>
    </w:r>
    <w:r w:rsidR="00A017D6">
      <w:rPr>
        <w:noProof/>
      </w:rPr>
      <w:t>9</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4952F" w14:textId="77777777" w:rsidR="00A3265D" w:rsidRDefault="00A3265D" w:rsidP="00243943">
    <w:pPr>
      <w:pStyle w:val="Header"/>
      <w:jc w:val="right"/>
    </w:pPr>
    <w:r>
      <w:t>CDIP/16/2</w:t>
    </w:r>
  </w:p>
  <w:p w14:paraId="00ABD883" w14:textId="77777777" w:rsidR="00A3265D" w:rsidRDefault="00A3265D" w:rsidP="00243943">
    <w:pPr>
      <w:pStyle w:val="Header"/>
      <w:jc w:val="right"/>
    </w:pPr>
    <w:r>
      <w:t>ANEXO III</w:t>
    </w:r>
  </w:p>
  <w:p w14:paraId="5B9DC20D" w14:textId="77777777" w:rsidR="00A3265D" w:rsidRDefault="00A326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35E"/>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6CD29E3"/>
    <w:multiLevelType w:val="multilevel"/>
    <w:tmpl w:val="6B14738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6FC230B"/>
    <w:multiLevelType w:val="multilevel"/>
    <w:tmpl w:val="15605C3A"/>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B54FAF"/>
    <w:multiLevelType w:val="multilevel"/>
    <w:tmpl w:val="7542046C"/>
    <w:lvl w:ilvl="0">
      <w:start w:val="1"/>
      <w:numFmt w:val="lowerRoman"/>
      <w:lvlRestart w:val="0"/>
      <w:lvlText w:val="(%1)"/>
      <w:lvlJc w:val="left"/>
      <w:pPr>
        <w:tabs>
          <w:tab w:val="num" w:pos="567"/>
        </w:tabs>
        <w:ind w:left="567" w:firstLine="0"/>
      </w:pPr>
      <w:rPr>
        <w:rFonts w:ascii="Arial" w:eastAsia="SimSun" w:hAnsi="Arial" w:cs="Arial" w:hint="default"/>
        <w:color w:val="auto"/>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nsid w:val="0A9D5641"/>
    <w:multiLevelType w:val="hybridMultilevel"/>
    <w:tmpl w:val="E83C0790"/>
    <w:lvl w:ilvl="0" w:tplc="A2424AE4">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0B8A61B4"/>
    <w:multiLevelType w:val="hybridMultilevel"/>
    <w:tmpl w:val="F3EEA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42931"/>
    <w:multiLevelType w:val="hybridMultilevel"/>
    <w:tmpl w:val="F092B5CC"/>
    <w:lvl w:ilvl="0" w:tplc="5D447F62">
      <w:start w:val="1"/>
      <w:numFmt w:val="lowerLetter"/>
      <w:lvlText w:val="%1)"/>
      <w:lvlJc w:val="left"/>
      <w:pPr>
        <w:ind w:left="720" w:hanging="360"/>
      </w:pPr>
      <w:rPr>
        <w:rFonts w:ascii="Arial" w:eastAsia="SimSu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601ADD"/>
    <w:multiLevelType w:val="hybridMultilevel"/>
    <w:tmpl w:val="9D60DC08"/>
    <w:lvl w:ilvl="0" w:tplc="DC843384">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B75126A"/>
    <w:multiLevelType w:val="multilevel"/>
    <w:tmpl w:val="706431E2"/>
    <w:lvl w:ilvl="0">
      <w:start w:val="1"/>
      <w:numFmt w:val="lowerLetter"/>
      <w:lvlText w:val="(%1)"/>
      <w:lvlJc w:val="left"/>
      <w:pPr>
        <w:tabs>
          <w:tab w:val="num" w:pos="567"/>
        </w:tabs>
        <w:ind w:left="0" w:firstLine="0"/>
      </w:pPr>
      <w:rPr>
        <w:rFonts w:ascii="Arial" w:eastAsia="Times New Roman" w:hAnsi="Arial" w:cs="Arial" w:hint="default"/>
        <w:i w:val="0"/>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43C58D6"/>
    <w:multiLevelType w:val="hybridMultilevel"/>
    <w:tmpl w:val="0604076E"/>
    <w:lvl w:ilvl="0" w:tplc="D310A4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B22493"/>
    <w:multiLevelType w:val="multilevel"/>
    <w:tmpl w:val="2E92E7B8"/>
    <w:lvl w:ilvl="0">
      <w:start w:val="1"/>
      <w:numFmt w:val="lowerLetter"/>
      <w:lvlText w:val="%1)"/>
      <w:lvlJc w:val="left"/>
      <w:pPr>
        <w:tabs>
          <w:tab w:val="num" w:pos="567"/>
        </w:tabs>
        <w:ind w:left="0" w:firstLine="0"/>
      </w:pPr>
      <w:rPr>
        <w:rFonts w:ascii="Arial" w:eastAsia="Times New Roman" w:hAnsi="Arial" w:cs="Arial" w:hint="default"/>
        <w:i w:val="0"/>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33852426"/>
    <w:multiLevelType w:val="hybridMultilevel"/>
    <w:tmpl w:val="0D20CB3A"/>
    <w:lvl w:ilvl="0" w:tplc="069AB5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EF7B15"/>
    <w:multiLevelType w:val="multilevel"/>
    <w:tmpl w:val="2CE47F82"/>
    <w:lvl w:ilvl="0">
      <w:start w:val="1"/>
      <w:numFmt w:val="lowerLetter"/>
      <w:lvlText w:val="%1)"/>
      <w:lvlJc w:val="left"/>
      <w:pPr>
        <w:tabs>
          <w:tab w:val="num" w:pos="567"/>
        </w:tabs>
        <w:ind w:left="0" w:firstLine="0"/>
      </w:pPr>
      <w:rPr>
        <w:rFonts w:ascii="Arial" w:eastAsia="Times New Roman" w:hAnsi="Arial" w:cs="Arial" w:hint="default"/>
        <w:i w:val="0"/>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35C878F5"/>
    <w:multiLevelType w:val="hybridMultilevel"/>
    <w:tmpl w:val="27D44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77F56"/>
    <w:multiLevelType w:val="hybridMultilevel"/>
    <w:tmpl w:val="DCA0AA2C"/>
    <w:lvl w:ilvl="0" w:tplc="0409000F">
      <w:start w:val="1"/>
      <w:numFmt w:val="decimal"/>
      <w:lvlText w:val="%1."/>
      <w:lvlJc w:val="left"/>
      <w:pPr>
        <w:ind w:left="720" w:hanging="360"/>
      </w:pPr>
    </w:lvl>
    <w:lvl w:ilvl="1" w:tplc="C4629B2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B76664D"/>
    <w:multiLevelType w:val="multilevel"/>
    <w:tmpl w:val="EC88AD9C"/>
    <w:lvl w:ilvl="0">
      <w:start w:val="1"/>
      <w:numFmt w:val="lowerRoman"/>
      <w:lvlText w:val="(%1)"/>
      <w:lvlJc w:val="left"/>
      <w:pPr>
        <w:ind w:left="1890" w:hanging="360"/>
      </w:pPr>
      <w:rPr>
        <w:rFonts w:hint="default"/>
      </w:r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17">
    <w:nsid w:val="3C875534"/>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nsid w:val="3CAA0C61"/>
    <w:multiLevelType w:val="multilevel"/>
    <w:tmpl w:val="C1321A76"/>
    <w:lvl w:ilvl="0">
      <w:start w:val="1"/>
      <w:numFmt w:val="lowerLetter"/>
      <w:lvlText w:val="(%1)"/>
      <w:lvlJc w:val="left"/>
      <w:pPr>
        <w:ind w:left="1260" w:hanging="360"/>
      </w:pPr>
      <w:rPr>
        <w:rFonts w:ascii="Arial" w:eastAsia="SimSun" w:hAnsi="Arial" w:cs="Arial"/>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9">
    <w:nsid w:val="48C916AC"/>
    <w:multiLevelType w:val="multilevel"/>
    <w:tmpl w:val="9B34821A"/>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296A79"/>
    <w:multiLevelType w:val="hybridMultilevel"/>
    <w:tmpl w:val="F25427E6"/>
    <w:lvl w:ilvl="0" w:tplc="0512DFA2">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405B6D"/>
    <w:multiLevelType w:val="hybridMultilevel"/>
    <w:tmpl w:val="4D320DD2"/>
    <w:lvl w:ilvl="0" w:tplc="93A00A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FB472F"/>
    <w:multiLevelType w:val="multilevel"/>
    <w:tmpl w:val="706431E2"/>
    <w:lvl w:ilvl="0">
      <w:start w:val="1"/>
      <w:numFmt w:val="lowerLetter"/>
      <w:lvlText w:val="(%1)"/>
      <w:lvlJc w:val="left"/>
      <w:pPr>
        <w:tabs>
          <w:tab w:val="num" w:pos="567"/>
        </w:tabs>
        <w:ind w:left="0" w:firstLine="0"/>
      </w:pPr>
      <w:rPr>
        <w:rFonts w:ascii="Arial" w:eastAsia="Times New Roman" w:hAnsi="Arial" w:cs="Arial" w:hint="default"/>
        <w:i w:val="0"/>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561A637C"/>
    <w:multiLevelType w:val="hybridMultilevel"/>
    <w:tmpl w:val="12F0D38A"/>
    <w:lvl w:ilvl="0" w:tplc="4B103566">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nsid w:val="57F76489"/>
    <w:multiLevelType w:val="multilevel"/>
    <w:tmpl w:val="4C2EDD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87F3DA5"/>
    <w:multiLevelType w:val="multilevel"/>
    <w:tmpl w:val="85AC86F4"/>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7">
    <w:nsid w:val="5CA0343E"/>
    <w:multiLevelType w:val="hybridMultilevel"/>
    <w:tmpl w:val="D0CA77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EAD4CB3"/>
    <w:multiLevelType w:val="multilevel"/>
    <w:tmpl w:val="270EA468"/>
    <w:lvl w:ilvl="0">
      <w:start w:val="1"/>
      <w:numFmt w:val="lowerLetter"/>
      <w:lvlText w:val="%1)"/>
      <w:lvlJc w:val="left"/>
      <w:pPr>
        <w:tabs>
          <w:tab w:val="num" w:pos="567"/>
        </w:tabs>
        <w:ind w:left="567" w:firstLine="0"/>
      </w:pPr>
      <w:rPr>
        <w:rFonts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9">
    <w:nsid w:val="654B38B3"/>
    <w:multiLevelType w:val="multilevel"/>
    <w:tmpl w:val="DD3E5404"/>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665C34C0"/>
    <w:multiLevelType w:val="hybridMultilevel"/>
    <w:tmpl w:val="EFA66AE8"/>
    <w:lvl w:ilvl="0" w:tplc="DE34F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66A3E8B"/>
    <w:multiLevelType w:val="hybridMultilevel"/>
    <w:tmpl w:val="09AE9EF4"/>
    <w:lvl w:ilvl="0" w:tplc="DE34FE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66D2CA6"/>
    <w:multiLevelType w:val="multilevel"/>
    <w:tmpl w:val="ED72BCFC"/>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657"/>
        </w:tabs>
        <w:ind w:left="90" w:firstLine="0"/>
      </w:pPr>
      <w:rPr>
        <w:rFonts w:cs="Times New Roman" w:hint="default"/>
      </w:rPr>
    </w:lvl>
    <w:lvl w:ilvl="2">
      <w:start w:val="1"/>
      <w:numFmt w:val="lowerRoman"/>
      <w:lvlText w:val="(%3)"/>
      <w:lvlJc w:val="left"/>
      <w:pPr>
        <w:tabs>
          <w:tab w:val="num" w:pos="2268"/>
        </w:tabs>
        <w:ind w:left="1701" w:firstLine="0"/>
      </w:pPr>
      <w:rPr>
        <w:rFonts w:cs="Times New Roman"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3">
    <w:nsid w:val="676131C7"/>
    <w:multiLevelType w:val="hybridMultilevel"/>
    <w:tmpl w:val="C1321A76"/>
    <w:lvl w:ilvl="0" w:tplc="676C0BDC">
      <w:start w:val="1"/>
      <w:numFmt w:val="lowerLetter"/>
      <w:lvlText w:val="(%1)"/>
      <w:lvlJc w:val="left"/>
      <w:pPr>
        <w:ind w:left="1260" w:hanging="360"/>
      </w:pPr>
      <w:rPr>
        <w:rFonts w:ascii="Arial" w:eastAsia="SimSun" w:hAnsi="Arial" w:cs="Arial"/>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679D3551"/>
    <w:multiLevelType w:val="multilevel"/>
    <w:tmpl w:val="3EBE56A4"/>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1701"/>
        </w:tabs>
        <w:ind w:left="1134" w:firstLine="0"/>
      </w:pPr>
      <w:rPr>
        <w:rFonts w:cs="Times New Roman" w:hint="default"/>
      </w:rPr>
    </w:lvl>
    <w:lvl w:ilvl="2">
      <w:start w:val="1"/>
      <w:numFmt w:val="lowerRoman"/>
      <w:lvlText w:val="(%3)"/>
      <w:lvlJc w:val="left"/>
      <w:pPr>
        <w:tabs>
          <w:tab w:val="num" w:pos="2268"/>
        </w:tabs>
        <w:ind w:left="1701" w:firstLine="0"/>
      </w:pPr>
      <w:rPr>
        <w:rFonts w:cs="Times New Roman"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5">
    <w:nsid w:val="6AC1371F"/>
    <w:multiLevelType w:val="hybridMultilevel"/>
    <w:tmpl w:val="36DC1F34"/>
    <w:lvl w:ilvl="0" w:tplc="5A6435E2">
      <w:start w:val="1"/>
      <w:numFmt w:val="decimal"/>
      <w:lvlText w:val="%1."/>
      <w:lvlJc w:val="left"/>
      <w:pPr>
        <w:ind w:left="360" w:hanging="360"/>
      </w:pPr>
      <w:rPr>
        <w:rFonts w:asciiTheme="minorBidi" w:hAnsiTheme="minorBid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E312264"/>
    <w:multiLevelType w:val="multilevel"/>
    <w:tmpl w:val="F44EE856"/>
    <w:lvl w:ilvl="0">
      <w:start w:val="1"/>
      <w:numFmt w:val="lowerRoman"/>
      <w:lvlText w:val="(%1)"/>
      <w:lvlJc w:val="left"/>
      <w:pPr>
        <w:ind w:left="1890" w:hanging="360"/>
      </w:pPr>
      <w:rPr>
        <w:rFonts w:hint="default"/>
      </w:r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37">
    <w:nsid w:val="75087F4F"/>
    <w:multiLevelType w:val="hybridMultilevel"/>
    <w:tmpl w:val="8B524194"/>
    <w:lvl w:ilvl="0" w:tplc="B6E4E3AA">
      <w:start w:val="1"/>
      <w:numFmt w:val="lowerRoman"/>
      <w:lvlText w:val="(%1)"/>
      <w:lvlJc w:val="left"/>
      <w:pPr>
        <w:ind w:left="1707" w:hanging="114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8">
    <w:nsid w:val="77B82FF6"/>
    <w:multiLevelType w:val="hybridMultilevel"/>
    <w:tmpl w:val="4C2EDD98"/>
    <w:lvl w:ilvl="0" w:tplc="DE34F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983095"/>
    <w:multiLevelType w:val="hybridMultilevel"/>
    <w:tmpl w:val="09AE9EF4"/>
    <w:lvl w:ilvl="0" w:tplc="DE34FED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
  </w:num>
  <w:num w:numId="3">
    <w:abstractNumId w:val="9"/>
  </w:num>
  <w:num w:numId="4">
    <w:abstractNumId w:val="15"/>
  </w:num>
  <w:num w:numId="5">
    <w:abstractNumId w:val="33"/>
  </w:num>
  <w:num w:numId="6">
    <w:abstractNumId w:val="4"/>
  </w:num>
  <w:num w:numId="7">
    <w:abstractNumId w:val="24"/>
  </w:num>
  <w:num w:numId="8">
    <w:abstractNumId w:val="21"/>
  </w:num>
  <w:num w:numId="9">
    <w:abstractNumId w:val="32"/>
  </w:num>
  <w:num w:numId="10">
    <w:abstractNumId w:val="26"/>
  </w:num>
  <w:num w:numId="11">
    <w:abstractNumId w:val="34"/>
  </w:num>
  <w:num w:numId="12">
    <w:abstractNumId w:val="2"/>
  </w:num>
  <w:num w:numId="13">
    <w:abstractNumId w:val="19"/>
  </w:num>
  <w:num w:numId="14">
    <w:abstractNumId w:val="22"/>
  </w:num>
  <w:num w:numId="15">
    <w:abstractNumId w:val="27"/>
  </w:num>
  <w:num w:numId="16">
    <w:abstractNumId w:val="5"/>
  </w:num>
  <w:num w:numId="17">
    <w:abstractNumId w:val="35"/>
  </w:num>
  <w:num w:numId="18">
    <w:abstractNumId w:val="17"/>
  </w:num>
  <w:num w:numId="19">
    <w:abstractNumId w:val="1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0"/>
  </w:num>
  <w:num w:numId="23">
    <w:abstractNumId w:val="12"/>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3"/>
  </w:num>
  <w:num w:numId="27">
    <w:abstractNumId w:val="23"/>
  </w:num>
  <w:num w:numId="28">
    <w:abstractNumId w:val="14"/>
  </w:num>
  <w:num w:numId="29">
    <w:abstractNumId w:val="39"/>
  </w:num>
  <w:num w:numId="30">
    <w:abstractNumId w:val="11"/>
  </w:num>
  <w:num w:numId="31">
    <w:abstractNumId w:val="31"/>
  </w:num>
  <w:num w:numId="32">
    <w:abstractNumId w:val="38"/>
  </w:num>
  <w:num w:numId="33">
    <w:abstractNumId w:val="8"/>
  </w:num>
  <w:num w:numId="34">
    <w:abstractNumId w:val="0"/>
  </w:num>
  <w:num w:numId="35">
    <w:abstractNumId w:val="25"/>
  </w:num>
  <w:num w:numId="36">
    <w:abstractNumId w:val="7"/>
  </w:num>
  <w:num w:numId="37">
    <w:abstractNumId w:val="18"/>
  </w:num>
  <w:num w:numId="38">
    <w:abstractNumId w:val="6"/>
  </w:num>
  <w:num w:numId="39">
    <w:abstractNumId w:val="16"/>
  </w:num>
  <w:num w:numId="40">
    <w:abstractNumId w:val="36"/>
  </w:num>
  <w:num w:numId="41">
    <w:abstractNumId w:val="28"/>
  </w:num>
  <w:num w:numId="42">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93"/>
    <w:rsid w:val="00010686"/>
    <w:rsid w:val="00013BBD"/>
    <w:rsid w:val="00016B36"/>
    <w:rsid w:val="00020B89"/>
    <w:rsid w:val="00020F5B"/>
    <w:rsid w:val="000262F9"/>
    <w:rsid w:val="00033B31"/>
    <w:rsid w:val="00040767"/>
    <w:rsid w:val="0004215E"/>
    <w:rsid w:val="0004553D"/>
    <w:rsid w:val="00045EFC"/>
    <w:rsid w:val="0004670F"/>
    <w:rsid w:val="000467BD"/>
    <w:rsid w:val="00052915"/>
    <w:rsid w:val="00054E18"/>
    <w:rsid w:val="00056E22"/>
    <w:rsid w:val="000609BC"/>
    <w:rsid w:val="00060BCC"/>
    <w:rsid w:val="0006207A"/>
    <w:rsid w:val="000729CA"/>
    <w:rsid w:val="00073DFF"/>
    <w:rsid w:val="00075C60"/>
    <w:rsid w:val="00080878"/>
    <w:rsid w:val="00083412"/>
    <w:rsid w:val="000873F9"/>
    <w:rsid w:val="000904ED"/>
    <w:rsid w:val="000A424D"/>
    <w:rsid w:val="000A7CEC"/>
    <w:rsid w:val="000B16D8"/>
    <w:rsid w:val="000C1759"/>
    <w:rsid w:val="000C570B"/>
    <w:rsid w:val="000C76A0"/>
    <w:rsid w:val="000D0BE0"/>
    <w:rsid w:val="000D4D36"/>
    <w:rsid w:val="000E0145"/>
    <w:rsid w:val="000E2808"/>
    <w:rsid w:val="000E3712"/>
    <w:rsid w:val="000E39D1"/>
    <w:rsid w:val="000E3BB3"/>
    <w:rsid w:val="000F5E56"/>
    <w:rsid w:val="0010203E"/>
    <w:rsid w:val="00102EC8"/>
    <w:rsid w:val="00104DAE"/>
    <w:rsid w:val="0011219B"/>
    <w:rsid w:val="00113BCF"/>
    <w:rsid w:val="00113EAC"/>
    <w:rsid w:val="001141DB"/>
    <w:rsid w:val="001147BD"/>
    <w:rsid w:val="00123B4E"/>
    <w:rsid w:val="00125F82"/>
    <w:rsid w:val="001269EE"/>
    <w:rsid w:val="00126F16"/>
    <w:rsid w:val="00130A73"/>
    <w:rsid w:val="00131B7D"/>
    <w:rsid w:val="0013602B"/>
    <w:rsid w:val="001362EE"/>
    <w:rsid w:val="00137D5A"/>
    <w:rsid w:val="00142AED"/>
    <w:rsid w:val="00150C04"/>
    <w:rsid w:val="00152CEA"/>
    <w:rsid w:val="001555C5"/>
    <w:rsid w:val="00155D43"/>
    <w:rsid w:val="00167ACF"/>
    <w:rsid w:val="00177237"/>
    <w:rsid w:val="001801F5"/>
    <w:rsid w:val="001832A6"/>
    <w:rsid w:val="0018416D"/>
    <w:rsid w:val="001842D2"/>
    <w:rsid w:val="001844CE"/>
    <w:rsid w:val="00191146"/>
    <w:rsid w:val="001A1608"/>
    <w:rsid w:val="001A1C52"/>
    <w:rsid w:val="001A2FA4"/>
    <w:rsid w:val="001A7948"/>
    <w:rsid w:val="001B2AE3"/>
    <w:rsid w:val="001B32A7"/>
    <w:rsid w:val="001B688A"/>
    <w:rsid w:val="001C0879"/>
    <w:rsid w:val="001D0547"/>
    <w:rsid w:val="001D0EF8"/>
    <w:rsid w:val="001D643C"/>
    <w:rsid w:val="001E09A4"/>
    <w:rsid w:val="001E1362"/>
    <w:rsid w:val="001F1362"/>
    <w:rsid w:val="001F7028"/>
    <w:rsid w:val="001F78F7"/>
    <w:rsid w:val="00203817"/>
    <w:rsid w:val="00204E1E"/>
    <w:rsid w:val="0021668A"/>
    <w:rsid w:val="002214D6"/>
    <w:rsid w:val="0022177F"/>
    <w:rsid w:val="00222270"/>
    <w:rsid w:val="00224E00"/>
    <w:rsid w:val="00235A23"/>
    <w:rsid w:val="00236A30"/>
    <w:rsid w:val="00243943"/>
    <w:rsid w:val="00246C69"/>
    <w:rsid w:val="002502E2"/>
    <w:rsid w:val="00252E76"/>
    <w:rsid w:val="00254F32"/>
    <w:rsid w:val="002634C4"/>
    <w:rsid w:val="00264EBF"/>
    <w:rsid w:val="00270379"/>
    <w:rsid w:val="00275848"/>
    <w:rsid w:val="00280177"/>
    <w:rsid w:val="002803E6"/>
    <w:rsid w:val="00281AAF"/>
    <w:rsid w:val="002924C9"/>
    <w:rsid w:val="00293BFD"/>
    <w:rsid w:val="0029754F"/>
    <w:rsid w:val="00297F35"/>
    <w:rsid w:val="002A6A48"/>
    <w:rsid w:val="002B41F8"/>
    <w:rsid w:val="002B5EE3"/>
    <w:rsid w:val="002C055D"/>
    <w:rsid w:val="002C06AD"/>
    <w:rsid w:val="002C15ED"/>
    <w:rsid w:val="002C4BAD"/>
    <w:rsid w:val="002D4220"/>
    <w:rsid w:val="002E0D5F"/>
    <w:rsid w:val="002E0F47"/>
    <w:rsid w:val="002E44F5"/>
    <w:rsid w:val="002E5493"/>
    <w:rsid w:val="002F4AC7"/>
    <w:rsid w:val="002F4E68"/>
    <w:rsid w:val="002F599D"/>
    <w:rsid w:val="002F5B0D"/>
    <w:rsid w:val="002F5CD8"/>
    <w:rsid w:val="002F7060"/>
    <w:rsid w:val="002F7F90"/>
    <w:rsid w:val="00303A9B"/>
    <w:rsid w:val="00303C2B"/>
    <w:rsid w:val="003164B0"/>
    <w:rsid w:val="00316526"/>
    <w:rsid w:val="00321E1F"/>
    <w:rsid w:val="00322EB7"/>
    <w:rsid w:val="00322EFF"/>
    <w:rsid w:val="0032329D"/>
    <w:rsid w:val="00323ACE"/>
    <w:rsid w:val="00324966"/>
    <w:rsid w:val="00330FAA"/>
    <w:rsid w:val="00333C8F"/>
    <w:rsid w:val="00334EBE"/>
    <w:rsid w:val="00340540"/>
    <w:rsid w:val="003415C6"/>
    <w:rsid w:val="00344E34"/>
    <w:rsid w:val="0034785E"/>
    <w:rsid w:val="00352E48"/>
    <w:rsid w:val="00354647"/>
    <w:rsid w:val="00365F22"/>
    <w:rsid w:val="0036627B"/>
    <w:rsid w:val="00377273"/>
    <w:rsid w:val="00383BB9"/>
    <w:rsid w:val="003845C1"/>
    <w:rsid w:val="00387287"/>
    <w:rsid w:val="00390056"/>
    <w:rsid w:val="00391D69"/>
    <w:rsid w:val="003A1B1D"/>
    <w:rsid w:val="003A6CDD"/>
    <w:rsid w:val="003A7462"/>
    <w:rsid w:val="003A76C5"/>
    <w:rsid w:val="003B0DAE"/>
    <w:rsid w:val="003B376B"/>
    <w:rsid w:val="003B3E3B"/>
    <w:rsid w:val="003C07CD"/>
    <w:rsid w:val="003C7A7F"/>
    <w:rsid w:val="003D0E32"/>
    <w:rsid w:val="003D7699"/>
    <w:rsid w:val="003E3F3B"/>
    <w:rsid w:val="003E4427"/>
    <w:rsid w:val="003E48F1"/>
    <w:rsid w:val="003F22F6"/>
    <w:rsid w:val="003F347A"/>
    <w:rsid w:val="003F461A"/>
    <w:rsid w:val="003F6592"/>
    <w:rsid w:val="00401EA1"/>
    <w:rsid w:val="0040406D"/>
    <w:rsid w:val="00404C0D"/>
    <w:rsid w:val="004074C2"/>
    <w:rsid w:val="0041719F"/>
    <w:rsid w:val="004218E3"/>
    <w:rsid w:val="00423E3E"/>
    <w:rsid w:val="00424F94"/>
    <w:rsid w:val="00427AF4"/>
    <w:rsid w:val="00427C92"/>
    <w:rsid w:val="00430190"/>
    <w:rsid w:val="0044068D"/>
    <w:rsid w:val="004415B6"/>
    <w:rsid w:val="00443BD9"/>
    <w:rsid w:val="00444EAF"/>
    <w:rsid w:val="00446438"/>
    <w:rsid w:val="0045231F"/>
    <w:rsid w:val="0045693C"/>
    <w:rsid w:val="0046241B"/>
    <w:rsid w:val="00462469"/>
    <w:rsid w:val="004647DA"/>
    <w:rsid w:val="00465460"/>
    <w:rsid w:val="004754A1"/>
    <w:rsid w:val="00477808"/>
    <w:rsid w:val="00477D6B"/>
    <w:rsid w:val="004814E8"/>
    <w:rsid w:val="00484319"/>
    <w:rsid w:val="004861B7"/>
    <w:rsid w:val="004878A2"/>
    <w:rsid w:val="00487CA2"/>
    <w:rsid w:val="00493B1D"/>
    <w:rsid w:val="00497FCA"/>
    <w:rsid w:val="004A0E7F"/>
    <w:rsid w:val="004A4406"/>
    <w:rsid w:val="004A69D3"/>
    <w:rsid w:val="004A6B6F"/>
    <w:rsid w:val="004A6C37"/>
    <w:rsid w:val="004A7F93"/>
    <w:rsid w:val="004B0B0A"/>
    <w:rsid w:val="004B4909"/>
    <w:rsid w:val="004B6E72"/>
    <w:rsid w:val="004C1A11"/>
    <w:rsid w:val="004C1AF3"/>
    <w:rsid w:val="004C64AE"/>
    <w:rsid w:val="004D183B"/>
    <w:rsid w:val="004D2FE6"/>
    <w:rsid w:val="004D3F47"/>
    <w:rsid w:val="004D5DE9"/>
    <w:rsid w:val="004D6C81"/>
    <w:rsid w:val="004E297D"/>
    <w:rsid w:val="004E4861"/>
    <w:rsid w:val="004F1FBC"/>
    <w:rsid w:val="004F6FFB"/>
    <w:rsid w:val="00501D5D"/>
    <w:rsid w:val="0050703C"/>
    <w:rsid w:val="0051285C"/>
    <w:rsid w:val="00514DA1"/>
    <w:rsid w:val="005171E8"/>
    <w:rsid w:val="00517DE4"/>
    <w:rsid w:val="00523FA9"/>
    <w:rsid w:val="00525DD7"/>
    <w:rsid w:val="00526DAC"/>
    <w:rsid w:val="005332F0"/>
    <w:rsid w:val="005341FD"/>
    <w:rsid w:val="00534AA9"/>
    <w:rsid w:val="00547C78"/>
    <w:rsid w:val="0055013B"/>
    <w:rsid w:val="00564761"/>
    <w:rsid w:val="00571B99"/>
    <w:rsid w:val="00575D8E"/>
    <w:rsid w:val="0058091E"/>
    <w:rsid w:val="00580A37"/>
    <w:rsid w:val="005818EC"/>
    <w:rsid w:val="00583668"/>
    <w:rsid w:val="005839AA"/>
    <w:rsid w:val="00584C8F"/>
    <w:rsid w:val="005907EF"/>
    <w:rsid w:val="00592972"/>
    <w:rsid w:val="00596E33"/>
    <w:rsid w:val="005A69D2"/>
    <w:rsid w:val="005B2C24"/>
    <w:rsid w:val="005C1447"/>
    <w:rsid w:val="005C35A2"/>
    <w:rsid w:val="005C4175"/>
    <w:rsid w:val="005C41B5"/>
    <w:rsid w:val="005D162A"/>
    <w:rsid w:val="005D7779"/>
    <w:rsid w:val="005E270B"/>
    <w:rsid w:val="005E3445"/>
    <w:rsid w:val="005E49B0"/>
    <w:rsid w:val="005E4CD6"/>
    <w:rsid w:val="005E5677"/>
    <w:rsid w:val="005E5AF6"/>
    <w:rsid w:val="005E78BB"/>
    <w:rsid w:val="005F0484"/>
    <w:rsid w:val="005F30DD"/>
    <w:rsid w:val="005F3AB5"/>
    <w:rsid w:val="005F6C2B"/>
    <w:rsid w:val="005F7835"/>
    <w:rsid w:val="00605827"/>
    <w:rsid w:val="00615757"/>
    <w:rsid w:val="00624BF5"/>
    <w:rsid w:val="00625747"/>
    <w:rsid w:val="006257C6"/>
    <w:rsid w:val="00630D36"/>
    <w:rsid w:val="00633662"/>
    <w:rsid w:val="00637D3E"/>
    <w:rsid w:val="00637D4D"/>
    <w:rsid w:val="00644423"/>
    <w:rsid w:val="00650AB0"/>
    <w:rsid w:val="00650CEE"/>
    <w:rsid w:val="006615A0"/>
    <w:rsid w:val="00665F61"/>
    <w:rsid w:val="00667A66"/>
    <w:rsid w:val="00671A38"/>
    <w:rsid w:val="00675021"/>
    <w:rsid w:val="00686265"/>
    <w:rsid w:val="006877DB"/>
    <w:rsid w:val="00687916"/>
    <w:rsid w:val="00691071"/>
    <w:rsid w:val="006942C2"/>
    <w:rsid w:val="006952E7"/>
    <w:rsid w:val="00695623"/>
    <w:rsid w:val="006A06C6"/>
    <w:rsid w:val="006A2E22"/>
    <w:rsid w:val="006B1643"/>
    <w:rsid w:val="006B175D"/>
    <w:rsid w:val="006B68B6"/>
    <w:rsid w:val="006D17A8"/>
    <w:rsid w:val="006D1AD1"/>
    <w:rsid w:val="006E1E6C"/>
    <w:rsid w:val="006F0E8D"/>
    <w:rsid w:val="006F3E1A"/>
    <w:rsid w:val="006F6852"/>
    <w:rsid w:val="006F726C"/>
    <w:rsid w:val="006F7557"/>
    <w:rsid w:val="006F7AD0"/>
    <w:rsid w:val="00702D35"/>
    <w:rsid w:val="007070A1"/>
    <w:rsid w:val="00707603"/>
    <w:rsid w:val="0071723B"/>
    <w:rsid w:val="00721E4A"/>
    <w:rsid w:val="007224C8"/>
    <w:rsid w:val="00730146"/>
    <w:rsid w:val="0073185E"/>
    <w:rsid w:val="007322A0"/>
    <w:rsid w:val="00735EFE"/>
    <w:rsid w:val="00740B46"/>
    <w:rsid w:val="00752566"/>
    <w:rsid w:val="00760C30"/>
    <w:rsid w:val="0076105E"/>
    <w:rsid w:val="0076212A"/>
    <w:rsid w:val="007622C4"/>
    <w:rsid w:val="0076745F"/>
    <w:rsid w:val="00772925"/>
    <w:rsid w:val="0078188C"/>
    <w:rsid w:val="00786135"/>
    <w:rsid w:val="00794BE2"/>
    <w:rsid w:val="007A022A"/>
    <w:rsid w:val="007A0337"/>
    <w:rsid w:val="007A2E97"/>
    <w:rsid w:val="007A3938"/>
    <w:rsid w:val="007B0569"/>
    <w:rsid w:val="007B51FF"/>
    <w:rsid w:val="007B71FE"/>
    <w:rsid w:val="007B7F41"/>
    <w:rsid w:val="007C2678"/>
    <w:rsid w:val="007C2E40"/>
    <w:rsid w:val="007C2FA3"/>
    <w:rsid w:val="007C6785"/>
    <w:rsid w:val="007C68C2"/>
    <w:rsid w:val="007D41BF"/>
    <w:rsid w:val="007D6C29"/>
    <w:rsid w:val="007D781E"/>
    <w:rsid w:val="007E138E"/>
    <w:rsid w:val="007E4073"/>
    <w:rsid w:val="007E663E"/>
    <w:rsid w:val="007F6742"/>
    <w:rsid w:val="007F742C"/>
    <w:rsid w:val="00815082"/>
    <w:rsid w:val="0081574B"/>
    <w:rsid w:val="008225F8"/>
    <w:rsid w:val="008261FB"/>
    <w:rsid w:val="008267FC"/>
    <w:rsid w:val="00826E09"/>
    <w:rsid w:val="00832D3A"/>
    <w:rsid w:val="00832DAF"/>
    <w:rsid w:val="00832EE6"/>
    <w:rsid w:val="0084239A"/>
    <w:rsid w:val="00845A05"/>
    <w:rsid w:val="008465A2"/>
    <w:rsid w:val="008465E9"/>
    <w:rsid w:val="00850C51"/>
    <w:rsid w:val="00854BB5"/>
    <w:rsid w:val="0086028D"/>
    <w:rsid w:val="00861BF6"/>
    <w:rsid w:val="00862263"/>
    <w:rsid w:val="00867D40"/>
    <w:rsid w:val="008838BA"/>
    <w:rsid w:val="0088395E"/>
    <w:rsid w:val="008847BC"/>
    <w:rsid w:val="00887821"/>
    <w:rsid w:val="00892A08"/>
    <w:rsid w:val="008A3DD8"/>
    <w:rsid w:val="008B201A"/>
    <w:rsid w:val="008B2CC1"/>
    <w:rsid w:val="008B54D5"/>
    <w:rsid w:val="008C3B99"/>
    <w:rsid w:val="008C6A0A"/>
    <w:rsid w:val="008C7E29"/>
    <w:rsid w:val="008D0222"/>
    <w:rsid w:val="008D452D"/>
    <w:rsid w:val="008E0EC5"/>
    <w:rsid w:val="008E1AF8"/>
    <w:rsid w:val="008E6BD6"/>
    <w:rsid w:val="008F529F"/>
    <w:rsid w:val="008F761A"/>
    <w:rsid w:val="008F7866"/>
    <w:rsid w:val="00901411"/>
    <w:rsid w:val="00903C90"/>
    <w:rsid w:val="00903EA9"/>
    <w:rsid w:val="0090731E"/>
    <w:rsid w:val="00910CBE"/>
    <w:rsid w:val="0091421A"/>
    <w:rsid w:val="00914788"/>
    <w:rsid w:val="009151C7"/>
    <w:rsid w:val="00915B8B"/>
    <w:rsid w:val="0093352D"/>
    <w:rsid w:val="009418A2"/>
    <w:rsid w:val="009421ED"/>
    <w:rsid w:val="00942E25"/>
    <w:rsid w:val="00943F48"/>
    <w:rsid w:val="00944484"/>
    <w:rsid w:val="00951A43"/>
    <w:rsid w:val="00954B6E"/>
    <w:rsid w:val="00966267"/>
    <w:rsid w:val="00966A22"/>
    <w:rsid w:val="00972F03"/>
    <w:rsid w:val="00981858"/>
    <w:rsid w:val="009873FC"/>
    <w:rsid w:val="00991EC6"/>
    <w:rsid w:val="00992489"/>
    <w:rsid w:val="009933FF"/>
    <w:rsid w:val="009958BE"/>
    <w:rsid w:val="00997AF2"/>
    <w:rsid w:val="009A0085"/>
    <w:rsid w:val="009A0C8B"/>
    <w:rsid w:val="009A397A"/>
    <w:rsid w:val="009A4603"/>
    <w:rsid w:val="009A4F67"/>
    <w:rsid w:val="009A7A51"/>
    <w:rsid w:val="009B2346"/>
    <w:rsid w:val="009B6241"/>
    <w:rsid w:val="009C1933"/>
    <w:rsid w:val="009C1ED5"/>
    <w:rsid w:val="009C32BB"/>
    <w:rsid w:val="009C666E"/>
    <w:rsid w:val="009D105C"/>
    <w:rsid w:val="009D188D"/>
    <w:rsid w:val="009D1AAC"/>
    <w:rsid w:val="009E1A7C"/>
    <w:rsid w:val="009F4A1C"/>
    <w:rsid w:val="00A0036A"/>
    <w:rsid w:val="00A00567"/>
    <w:rsid w:val="00A017D6"/>
    <w:rsid w:val="00A0455B"/>
    <w:rsid w:val="00A10E3A"/>
    <w:rsid w:val="00A144E6"/>
    <w:rsid w:val="00A16FC0"/>
    <w:rsid w:val="00A17DB5"/>
    <w:rsid w:val="00A21EC5"/>
    <w:rsid w:val="00A246B7"/>
    <w:rsid w:val="00A30DC8"/>
    <w:rsid w:val="00A31197"/>
    <w:rsid w:val="00A3265D"/>
    <w:rsid w:val="00A32C9E"/>
    <w:rsid w:val="00A4709D"/>
    <w:rsid w:val="00A472F2"/>
    <w:rsid w:val="00A55728"/>
    <w:rsid w:val="00A62E08"/>
    <w:rsid w:val="00A7496B"/>
    <w:rsid w:val="00A75B51"/>
    <w:rsid w:val="00A841E0"/>
    <w:rsid w:val="00A936CC"/>
    <w:rsid w:val="00A93CD5"/>
    <w:rsid w:val="00A96BC7"/>
    <w:rsid w:val="00AA0B0E"/>
    <w:rsid w:val="00AA1426"/>
    <w:rsid w:val="00AA3FB4"/>
    <w:rsid w:val="00AA4EF5"/>
    <w:rsid w:val="00AA5D3E"/>
    <w:rsid w:val="00AB2C5C"/>
    <w:rsid w:val="00AB613D"/>
    <w:rsid w:val="00AC0D17"/>
    <w:rsid w:val="00AC12A5"/>
    <w:rsid w:val="00AC3702"/>
    <w:rsid w:val="00AC5B2B"/>
    <w:rsid w:val="00AD0981"/>
    <w:rsid w:val="00AD150B"/>
    <w:rsid w:val="00AD5D37"/>
    <w:rsid w:val="00AE01A0"/>
    <w:rsid w:val="00AE073C"/>
    <w:rsid w:val="00AE2280"/>
    <w:rsid w:val="00AE7D30"/>
    <w:rsid w:val="00AE7F20"/>
    <w:rsid w:val="00AF242D"/>
    <w:rsid w:val="00AF48A5"/>
    <w:rsid w:val="00AF6736"/>
    <w:rsid w:val="00B000E6"/>
    <w:rsid w:val="00B15C58"/>
    <w:rsid w:val="00B218AE"/>
    <w:rsid w:val="00B24842"/>
    <w:rsid w:val="00B2564D"/>
    <w:rsid w:val="00B271C5"/>
    <w:rsid w:val="00B307E3"/>
    <w:rsid w:val="00B3630B"/>
    <w:rsid w:val="00B420A8"/>
    <w:rsid w:val="00B454F0"/>
    <w:rsid w:val="00B478C0"/>
    <w:rsid w:val="00B5071C"/>
    <w:rsid w:val="00B514E4"/>
    <w:rsid w:val="00B52588"/>
    <w:rsid w:val="00B65A0A"/>
    <w:rsid w:val="00B662F6"/>
    <w:rsid w:val="00B66D94"/>
    <w:rsid w:val="00B67CDC"/>
    <w:rsid w:val="00B72D36"/>
    <w:rsid w:val="00B84DCF"/>
    <w:rsid w:val="00B8545B"/>
    <w:rsid w:val="00B91C61"/>
    <w:rsid w:val="00B94456"/>
    <w:rsid w:val="00B94897"/>
    <w:rsid w:val="00B96DD1"/>
    <w:rsid w:val="00BA0F76"/>
    <w:rsid w:val="00BA42C9"/>
    <w:rsid w:val="00BB011F"/>
    <w:rsid w:val="00BB3243"/>
    <w:rsid w:val="00BB67FF"/>
    <w:rsid w:val="00BC3FC5"/>
    <w:rsid w:val="00BC40B0"/>
    <w:rsid w:val="00BC4164"/>
    <w:rsid w:val="00BC6B9F"/>
    <w:rsid w:val="00BD0575"/>
    <w:rsid w:val="00BD063E"/>
    <w:rsid w:val="00BD2DCC"/>
    <w:rsid w:val="00BE09A9"/>
    <w:rsid w:val="00BE2105"/>
    <w:rsid w:val="00BE3D60"/>
    <w:rsid w:val="00BF1A80"/>
    <w:rsid w:val="00BF2A79"/>
    <w:rsid w:val="00BF4815"/>
    <w:rsid w:val="00BF5D4E"/>
    <w:rsid w:val="00BF76E3"/>
    <w:rsid w:val="00C00D49"/>
    <w:rsid w:val="00C1249A"/>
    <w:rsid w:val="00C132DD"/>
    <w:rsid w:val="00C135D5"/>
    <w:rsid w:val="00C1588E"/>
    <w:rsid w:val="00C168C5"/>
    <w:rsid w:val="00C17CF5"/>
    <w:rsid w:val="00C269C5"/>
    <w:rsid w:val="00C31D09"/>
    <w:rsid w:val="00C325EE"/>
    <w:rsid w:val="00C33369"/>
    <w:rsid w:val="00C33ED9"/>
    <w:rsid w:val="00C33F82"/>
    <w:rsid w:val="00C342A6"/>
    <w:rsid w:val="00C364BB"/>
    <w:rsid w:val="00C37178"/>
    <w:rsid w:val="00C40834"/>
    <w:rsid w:val="00C45330"/>
    <w:rsid w:val="00C46E14"/>
    <w:rsid w:val="00C5027D"/>
    <w:rsid w:val="00C50B9E"/>
    <w:rsid w:val="00C526A3"/>
    <w:rsid w:val="00C66DA9"/>
    <w:rsid w:val="00C90559"/>
    <w:rsid w:val="00C91693"/>
    <w:rsid w:val="00C96F22"/>
    <w:rsid w:val="00CA0716"/>
    <w:rsid w:val="00CA2251"/>
    <w:rsid w:val="00CA23E0"/>
    <w:rsid w:val="00CA47DB"/>
    <w:rsid w:val="00CB022B"/>
    <w:rsid w:val="00CB0618"/>
    <w:rsid w:val="00CB0D70"/>
    <w:rsid w:val="00CB2AB0"/>
    <w:rsid w:val="00CB4523"/>
    <w:rsid w:val="00CC0745"/>
    <w:rsid w:val="00CC1E05"/>
    <w:rsid w:val="00CC200E"/>
    <w:rsid w:val="00CC22FB"/>
    <w:rsid w:val="00CC3957"/>
    <w:rsid w:val="00CD06EF"/>
    <w:rsid w:val="00CE09E8"/>
    <w:rsid w:val="00CF22D5"/>
    <w:rsid w:val="00CF4D74"/>
    <w:rsid w:val="00CF7258"/>
    <w:rsid w:val="00D020AC"/>
    <w:rsid w:val="00D102F4"/>
    <w:rsid w:val="00D11CDE"/>
    <w:rsid w:val="00D12781"/>
    <w:rsid w:val="00D12F88"/>
    <w:rsid w:val="00D13AB0"/>
    <w:rsid w:val="00D21100"/>
    <w:rsid w:val="00D225CA"/>
    <w:rsid w:val="00D263EB"/>
    <w:rsid w:val="00D322BA"/>
    <w:rsid w:val="00D450CD"/>
    <w:rsid w:val="00D47496"/>
    <w:rsid w:val="00D50F8D"/>
    <w:rsid w:val="00D51658"/>
    <w:rsid w:val="00D5199C"/>
    <w:rsid w:val="00D56998"/>
    <w:rsid w:val="00D56C7C"/>
    <w:rsid w:val="00D60F76"/>
    <w:rsid w:val="00D613FC"/>
    <w:rsid w:val="00D71B4D"/>
    <w:rsid w:val="00D83668"/>
    <w:rsid w:val="00D85397"/>
    <w:rsid w:val="00D90289"/>
    <w:rsid w:val="00D92203"/>
    <w:rsid w:val="00D93D55"/>
    <w:rsid w:val="00D94715"/>
    <w:rsid w:val="00D9477B"/>
    <w:rsid w:val="00D9742A"/>
    <w:rsid w:val="00DA539F"/>
    <w:rsid w:val="00DA6310"/>
    <w:rsid w:val="00DB05DA"/>
    <w:rsid w:val="00DB3E4A"/>
    <w:rsid w:val="00DB3F32"/>
    <w:rsid w:val="00DB45C6"/>
    <w:rsid w:val="00DB6A73"/>
    <w:rsid w:val="00DB7673"/>
    <w:rsid w:val="00DC4C60"/>
    <w:rsid w:val="00DD473D"/>
    <w:rsid w:val="00DD49F8"/>
    <w:rsid w:val="00DD7DB0"/>
    <w:rsid w:val="00DE13FE"/>
    <w:rsid w:val="00DE3D4E"/>
    <w:rsid w:val="00DE786D"/>
    <w:rsid w:val="00DE7D52"/>
    <w:rsid w:val="00DF15E7"/>
    <w:rsid w:val="00DF1613"/>
    <w:rsid w:val="00DF241C"/>
    <w:rsid w:val="00DF2449"/>
    <w:rsid w:val="00DF4760"/>
    <w:rsid w:val="00DF48EC"/>
    <w:rsid w:val="00DF5B96"/>
    <w:rsid w:val="00DF7C95"/>
    <w:rsid w:val="00E0079A"/>
    <w:rsid w:val="00E024D3"/>
    <w:rsid w:val="00E039DF"/>
    <w:rsid w:val="00E05517"/>
    <w:rsid w:val="00E06267"/>
    <w:rsid w:val="00E156D9"/>
    <w:rsid w:val="00E20503"/>
    <w:rsid w:val="00E26C4D"/>
    <w:rsid w:val="00E31166"/>
    <w:rsid w:val="00E314B6"/>
    <w:rsid w:val="00E319E0"/>
    <w:rsid w:val="00E31F8D"/>
    <w:rsid w:val="00E32889"/>
    <w:rsid w:val="00E32940"/>
    <w:rsid w:val="00E335F9"/>
    <w:rsid w:val="00E33A73"/>
    <w:rsid w:val="00E36BD7"/>
    <w:rsid w:val="00E444DA"/>
    <w:rsid w:val="00E44F7B"/>
    <w:rsid w:val="00E45C84"/>
    <w:rsid w:val="00E47249"/>
    <w:rsid w:val="00E504E5"/>
    <w:rsid w:val="00E52A7F"/>
    <w:rsid w:val="00E5313D"/>
    <w:rsid w:val="00E63736"/>
    <w:rsid w:val="00E7169C"/>
    <w:rsid w:val="00E72A7D"/>
    <w:rsid w:val="00E74BAF"/>
    <w:rsid w:val="00E8023C"/>
    <w:rsid w:val="00E84651"/>
    <w:rsid w:val="00E861AA"/>
    <w:rsid w:val="00E92FFE"/>
    <w:rsid w:val="00E949FF"/>
    <w:rsid w:val="00E96CBC"/>
    <w:rsid w:val="00E9713A"/>
    <w:rsid w:val="00EA06A2"/>
    <w:rsid w:val="00EA0D91"/>
    <w:rsid w:val="00EA6549"/>
    <w:rsid w:val="00EB0A96"/>
    <w:rsid w:val="00EB1338"/>
    <w:rsid w:val="00EB5E8E"/>
    <w:rsid w:val="00EB73E8"/>
    <w:rsid w:val="00EB7A3E"/>
    <w:rsid w:val="00EC364B"/>
    <w:rsid w:val="00EC401A"/>
    <w:rsid w:val="00EC48A5"/>
    <w:rsid w:val="00EC53AF"/>
    <w:rsid w:val="00EC5A6A"/>
    <w:rsid w:val="00ED1966"/>
    <w:rsid w:val="00ED5869"/>
    <w:rsid w:val="00ED5BA5"/>
    <w:rsid w:val="00ED67F8"/>
    <w:rsid w:val="00EE71F0"/>
    <w:rsid w:val="00EE7B01"/>
    <w:rsid w:val="00EF172E"/>
    <w:rsid w:val="00EF530A"/>
    <w:rsid w:val="00EF6622"/>
    <w:rsid w:val="00F010E4"/>
    <w:rsid w:val="00F05515"/>
    <w:rsid w:val="00F17FD8"/>
    <w:rsid w:val="00F27941"/>
    <w:rsid w:val="00F32562"/>
    <w:rsid w:val="00F3433A"/>
    <w:rsid w:val="00F36CE5"/>
    <w:rsid w:val="00F50085"/>
    <w:rsid w:val="00F52FE0"/>
    <w:rsid w:val="00F55408"/>
    <w:rsid w:val="00F623F1"/>
    <w:rsid w:val="00F66152"/>
    <w:rsid w:val="00F7575D"/>
    <w:rsid w:val="00F76FDC"/>
    <w:rsid w:val="00F77DBA"/>
    <w:rsid w:val="00F80845"/>
    <w:rsid w:val="00F84474"/>
    <w:rsid w:val="00F90EEF"/>
    <w:rsid w:val="00F9398D"/>
    <w:rsid w:val="00F97DD5"/>
    <w:rsid w:val="00FA001E"/>
    <w:rsid w:val="00FA0F0D"/>
    <w:rsid w:val="00FA417D"/>
    <w:rsid w:val="00FA42CC"/>
    <w:rsid w:val="00FA786B"/>
    <w:rsid w:val="00FB60C5"/>
    <w:rsid w:val="00FB71FF"/>
    <w:rsid w:val="00FC4556"/>
    <w:rsid w:val="00FD59D1"/>
    <w:rsid w:val="00FD7ABE"/>
    <w:rsid w:val="00FF016B"/>
    <w:rsid w:val="00FF0B4D"/>
    <w:rsid w:val="00FF45B2"/>
    <w:rsid w:val="00FF6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A0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basedOn w:val="DefaultParagraphFont"/>
    <w:link w:val="Heading1"/>
    <w:rsid w:val="00C91693"/>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C91693"/>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C91693"/>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C91693"/>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C91693"/>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C91693"/>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C91693"/>
    <w:rPr>
      <w:rFonts w:ascii="Arial" w:eastAsia="SimSun" w:hAnsi="Arial" w:cs="Arial"/>
      <w:sz w:val="18"/>
      <w:lang w:val="es-ES" w:eastAsia="zh-CN"/>
    </w:rPr>
  </w:style>
  <w:style w:type="character" w:customStyle="1" w:styleId="FooterChar">
    <w:name w:val="Footer Char"/>
    <w:basedOn w:val="DefaultParagraphFont"/>
    <w:link w:val="Footer"/>
    <w:semiHidden/>
    <w:rsid w:val="00C91693"/>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C91693"/>
    <w:rPr>
      <w:rFonts w:ascii="Arial" w:eastAsia="SimSun" w:hAnsi="Arial" w:cs="Arial"/>
      <w:sz w:val="18"/>
      <w:lang w:val="es-ES" w:eastAsia="zh-CN"/>
    </w:rPr>
  </w:style>
  <w:style w:type="character" w:customStyle="1" w:styleId="HeaderChar">
    <w:name w:val="Header Char"/>
    <w:basedOn w:val="DefaultParagraphFont"/>
    <w:link w:val="Header"/>
    <w:uiPriority w:val="99"/>
    <w:rsid w:val="00C91693"/>
    <w:rPr>
      <w:rFonts w:ascii="Arial" w:eastAsia="SimSun" w:hAnsi="Arial" w:cs="Arial"/>
      <w:sz w:val="22"/>
      <w:lang w:val="es-ES" w:eastAsia="zh-CN"/>
    </w:rPr>
  </w:style>
  <w:style w:type="character" w:customStyle="1" w:styleId="SalutationChar">
    <w:name w:val="Salutation Char"/>
    <w:basedOn w:val="DefaultParagraphFont"/>
    <w:link w:val="Salutation"/>
    <w:semiHidden/>
    <w:rsid w:val="00C91693"/>
    <w:rPr>
      <w:rFonts w:ascii="Arial" w:eastAsia="SimSun" w:hAnsi="Arial" w:cs="Arial"/>
      <w:sz w:val="22"/>
      <w:lang w:val="es-ES" w:eastAsia="zh-CN"/>
    </w:rPr>
  </w:style>
  <w:style w:type="character" w:customStyle="1" w:styleId="SignatureChar">
    <w:name w:val="Signature Char"/>
    <w:basedOn w:val="DefaultParagraphFont"/>
    <w:link w:val="Signature"/>
    <w:semiHidden/>
    <w:rsid w:val="00C91693"/>
    <w:rPr>
      <w:rFonts w:ascii="Arial" w:eastAsia="SimSun" w:hAnsi="Arial" w:cs="Arial"/>
      <w:sz w:val="22"/>
      <w:lang w:val="es-ES" w:eastAsia="zh-CN"/>
    </w:rPr>
  </w:style>
  <w:style w:type="paragraph" w:styleId="BalloonText">
    <w:name w:val="Balloon Text"/>
    <w:basedOn w:val="Normal"/>
    <w:link w:val="BalloonTextChar"/>
    <w:rsid w:val="00C91693"/>
    <w:rPr>
      <w:rFonts w:ascii="Tahoma" w:hAnsi="Tahoma" w:cs="Tahoma"/>
      <w:sz w:val="16"/>
      <w:szCs w:val="16"/>
      <w:lang w:val="en-US"/>
    </w:rPr>
  </w:style>
  <w:style w:type="character" w:customStyle="1" w:styleId="BalloonTextChar">
    <w:name w:val="Balloon Text Char"/>
    <w:basedOn w:val="DefaultParagraphFont"/>
    <w:link w:val="BalloonText"/>
    <w:rsid w:val="00C91693"/>
    <w:rPr>
      <w:rFonts w:ascii="Tahoma" w:eastAsia="SimSun" w:hAnsi="Tahoma" w:cs="Tahoma"/>
      <w:sz w:val="16"/>
      <w:szCs w:val="16"/>
      <w:lang w:eastAsia="zh-CN"/>
    </w:rPr>
  </w:style>
  <w:style w:type="paragraph" w:styleId="ListParagraph">
    <w:name w:val="List Paragraph"/>
    <w:basedOn w:val="Normal"/>
    <w:uiPriority w:val="34"/>
    <w:qFormat/>
    <w:rsid w:val="00C91693"/>
    <w:pPr>
      <w:ind w:left="720"/>
      <w:contextualSpacing/>
    </w:pPr>
    <w:rPr>
      <w:lang w:val="en-US"/>
    </w:rPr>
  </w:style>
  <w:style w:type="character" w:styleId="Hyperlink">
    <w:name w:val="Hyperlink"/>
    <w:rsid w:val="00C91693"/>
    <w:rPr>
      <w:color w:val="0000FF"/>
      <w:u w:val="single"/>
    </w:rPr>
  </w:style>
  <w:style w:type="character" w:customStyle="1" w:styleId="Endofdocument-AnnexChar">
    <w:name w:val="[End of document - Annex] Char"/>
    <w:link w:val="Endofdocument-Annex"/>
    <w:rsid w:val="00C91693"/>
    <w:rPr>
      <w:rFonts w:ascii="Arial" w:eastAsia="SimSun" w:hAnsi="Arial" w:cs="Arial"/>
      <w:sz w:val="22"/>
      <w:lang w:eastAsia="zh-CN"/>
    </w:rPr>
  </w:style>
  <w:style w:type="character" w:styleId="PageNumber">
    <w:name w:val="page number"/>
    <w:basedOn w:val="DefaultParagraphFont"/>
    <w:rsid w:val="00C91693"/>
  </w:style>
  <w:style w:type="paragraph" w:styleId="NoSpacing">
    <w:name w:val="No Spacing"/>
    <w:link w:val="NoSpacingChar"/>
    <w:uiPriority w:val="1"/>
    <w:qFormat/>
    <w:rsid w:val="00C91693"/>
    <w:rPr>
      <w:rFonts w:ascii="Calibri" w:hAnsi="Calibri"/>
      <w:sz w:val="22"/>
      <w:szCs w:val="22"/>
      <w:lang w:eastAsia="ja-JP"/>
    </w:rPr>
  </w:style>
  <w:style w:type="character" w:customStyle="1" w:styleId="NoSpacingChar">
    <w:name w:val="No Spacing Char"/>
    <w:link w:val="NoSpacing"/>
    <w:uiPriority w:val="1"/>
    <w:rsid w:val="00C91693"/>
    <w:rPr>
      <w:rFonts w:ascii="Calibri" w:hAnsi="Calibri"/>
      <w:sz w:val="22"/>
      <w:szCs w:val="22"/>
      <w:lang w:eastAsia="ja-JP"/>
    </w:rPr>
  </w:style>
  <w:style w:type="paragraph" w:customStyle="1" w:styleId="Default">
    <w:name w:val="Default"/>
    <w:rsid w:val="00C9169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91693"/>
    <w:rPr>
      <w:color w:val="800080" w:themeColor="followedHyperlink"/>
      <w:u w:val="single"/>
    </w:rPr>
  </w:style>
  <w:style w:type="character" w:styleId="FootnoteReference">
    <w:name w:val="footnote reference"/>
    <w:aliases w:val="callout"/>
    <w:rsid w:val="00C91693"/>
    <w:rPr>
      <w:vertAlign w:val="superscript"/>
    </w:rPr>
  </w:style>
  <w:style w:type="paragraph" w:customStyle="1" w:styleId="CarCar">
    <w:name w:val="Car Car"/>
    <w:basedOn w:val="Normal"/>
    <w:rsid w:val="00C91693"/>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link w:val="EndofdocumentChar"/>
    <w:rsid w:val="00C91693"/>
    <w:pPr>
      <w:ind w:left="4536"/>
      <w:jc w:val="center"/>
    </w:pPr>
    <w:rPr>
      <w:rFonts w:ascii="Times New Roman" w:eastAsia="Times New Roman" w:hAnsi="Times New Roman" w:cs="Times New Roman"/>
      <w:sz w:val="24"/>
      <w:lang w:val="en-US" w:eastAsia="en-US"/>
    </w:rPr>
  </w:style>
  <w:style w:type="character" w:customStyle="1" w:styleId="EndofdocumentChar">
    <w:name w:val="End of document Char"/>
    <w:link w:val="Endofdocument"/>
    <w:rsid w:val="00C91693"/>
    <w:rPr>
      <w:sz w:val="24"/>
    </w:rPr>
  </w:style>
  <w:style w:type="character" w:styleId="Strong">
    <w:name w:val="Strong"/>
    <w:basedOn w:val="DefaultParagraphFont"/>
    <w:uiPriority w:val="22"/>
    <w:qFormat/>
    <w:rsid w:val="00C916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basedOn w:val="DefaultParagraphFont"/>
    <w:link w:val="Heading1"/>
    <w:rsid w:val="00C91693"/>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C91693"/>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C91693"/>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C91693"/>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C91693"/>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C91693"/>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C91693"/>
    <w:rPr>
      <w:rFonts w:ascii="Arial" w:eastAsia="SimSun" w:hAnsi="Arial" w:cs="Arial"/>
      <w:sz w:val="18"/>
      <w:lang w:val="es-ES" w:eastAsia="zh-CN"/>
    </w:rPr>
  </w:style>
  <w:style w:type="character" w:customStyle="1" w:styleId="FooterChar">
    <w:name w:val="Footer Char"/>
    <w:basedOn w:val="DefaultParagraphFont"/>
    <w:link w:val="Footer"/>
    <w:semiHidden/>
    <w:rsid w:val="00C91693"/>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C91693"/>
    <w:rPr>
      <w:rFonts w:ascii="Arial" w:eastAsia="SimSun" w:hAnsi="Arial" w:cs="Arial"/>
      <w:sz w:val="18"/>
      <w:lang w:val="es-ES" w:eastAsia="zh-CN"/>
    </w:rPr>
  </w:style>
  <w:style w:type="character" w:customStyle="1" w:styleId="HeaderChar">
    <w:name w:val="Header Char"/>
    <w:basedOn w:val="DefaultParagraphFont"/>
    <w:link w:val="Header"/>
    <w:uiPriority w:val="99"/>
    <w:rsid w:val="00C91693"/>
    <w:rPr>
      <w:rFonts w:ascii="Arial" w:eastAsia="SimSun" w:hAnsi="Arial" w:cs="Arial"/>
      <w:sz w:val="22"/>
      <w:lang w:val="es-ES" w:eastAsia="zh-CN"/>
    </w:rPr>
  </w:style>
  <w:style w:type="character" w:customStyle="1" w:styleId="SalutationChar">
    <w:name w:val="Salutation Char"/>
    <w:basedOn w:val="DefaultParagraphFont"/>
    <w:link w:val="Salutation"/>
    <w:semiHidden/>
    <w:rsid w:val="00C91693"/>
    <w:rPr>
      <w:rFonts w:ascii="Arial" w:eastAsia="SimSun" w:hAnsi="Arial" w:cs="Arial"/>
      <w:sz w:val="22"/>
      <w:lang w:val="es-ES" w:eastAsia="zh-CN"/>
    </w:rPr>
  </w:style>
  <w:style w:type="character" w:customStyle="1" w:styleId="SignatureChar">
    <w:name w:val="Signature Char"/>
    <w:basedOn w:val="DefaultParagraphFont"/>
    <w:link w:val="Signature"/>
    <w:semiHidden/>
    <w:rsid w:val="00C91693"/>
    <w:rPr>
      <w:rFonts w:ascii="Arial" w:eastAsia="SimSun" w:hAnsi="Arial" w:cs="Arial"/>
      <w:sz w:val="22"/>
      <w:lang w:val="es-ES" w:eastAsia="zh-CN"/>
    </w:rPr>
  </w:style>
  <w:style w:type="paragraph" w:styleId="BalloonText">
    <w:name w:val="Balloon Text"/>
    <w:basedOn w:val="Normal"/>
    <w:link w:val="BalloonTextChar"/>
    <w:rsid w:val="00C91693"/>
    <w:rPr>
      <w:rFonts w:ascii="Tahoma" w:hAnsi="Tahoma" w:cs="Tahoma"/>
      <w:sz w:val="16"/>
      <w:szCs w:val="16"/>
      <w:lang w:val="en-US"/>
    </w:rPr>
  </w:style>
  <w:style w:type="character" w:customStyle="1" w:styleId="BalloonTextChar">
    <w:name w:val="Balloon Text Char"/>
    <w:basedOn w:val="DefaultParagraphFont"/>
    <w:link w:val="BalloonText"/>
    <w:rsid w:val="00C91693"/>
    <w:rPr>
      <w:rFonts w:ascii="Tahoma" w:eastAsia="SimSun" w:hAnsi="Tahoma" w:cs="Tahoma"/>
      <w:sz w:val="16"/>
      <w:szCs w:val="16"/>
      <w:lang w:eastAsia="zh-CN"/>
    </w:rPr>
  </w:style>
  <w:style w:type="paragraph" w:styleId="ListParagraph">
    <w:name w:val="List Paragraph"/>
    <w:basedOn w:val="Normal"/>
    <w:uiPriority w:val="34"/>
    <w:qFormat/>
    <w:rsid w:val="00C91693"/>
    <w:pPr>
      <w:ind w:left="720"/>
      <w:contextualSpacing/>
    </w:pPr>
    <w:rPr>
      <w:lang w:val="en-US"/>
    </w:rPr>
  </w:style>
  <w:style w:type="character" w:styleId="Hyperlink">
    <w:name w:val="Hyperlink"/>
    <w:rsid w:val="00C91693"/>
    <w:rPr>
      <w:color w:val="0000FF"/>
      <w:u w:val="single"/>
    </w:rPr>
  </w:style>
  <w:style w:type="character" w:customStyle="1" w:styleId="Endofdocument-AnnexChar">
    <w:name w:val="[End of document - Annex] Char"/>
    <w:link w:val="Endofdocument-Annex"/>
    <w:rsid w:val="00C91693"/>
    <w:rPr>
      <w:rFonts w:ascii="Arial" w:eastAsia="SimSun" w:hAnsi="Arial" w:cs="Arial"/>
      <w:sz w:val="22"/>
      <w:lang w:eastAsia="zh-CN"/>
    </w:rPr>
  </w:style>
  <w:style w:type="character" w:styleId="PageNumber">
    <w:name w:val="page number"/>
    <w:basedOn w:val="DefaultParagraphFont"/>
    <w:rsid w:val="00C91693"/>
  </w:style>
  <w:style w:type="paragraph" w:styleId="NoSpacing">
    <w:name w:val="No Spacing"/>
    <w:link w:val="NoSpacingChar"/>
    <w:uiPriority w:val="1"/>
    <w:qFormat/>
    <w:rsid w:val="00C91693"/>
    <w:rPr>
      <w:rFonts w:ascii="Calibri" w:hAnsi="Calibri"/>
      <w:sz w:val="22"/>
      <w:szCs w:val="22"/>
      <w:lang w:eastAsia="ja-JP"/>
    </w:rPr>
  </w:style>
  <w:style w:type="character" w:customStyle="1" w:styleId="NoSpacingChar">
    <w:name w:val="No Spacing Char"/>
    <w:link w:val="NoSpacing"/>
    <w:uiPriority w:val="1"/>
    <w:rsid w:val="00C91693"/>
    <w:rPr>
      <w:rFonts w:ascii="Calibri" w:hAnsi="Calibri"/>
      <w:sz w:val="22"/>
      <w:szCs w:val="22"/>
      <w:lang w:eastAsia="ja-JP"/>
    </w:rPr>
  </w:style>
  <w:style w:type="paragraph" w:customStyle="1" w:styleId="Default">
    <w:name w:val="Default"/>
    <w:rsid w:val="00C9169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C91693"/>
    <w:rPr>
      <w:color w:val="800080" w:themeColor="followedHyperlink"/>
      <w:u w:val="single"/>
    </w:rPr>
  </w:style>
  <w:style w:type="character" w:styleId="FootnoteReference">
    <w:name w:val="footnote reference"/>
    <w:aliases w:val="callout"/>
    <w:rsid w:val="00C91693"/>
    <w:rPr>
      <w:vertAlign w:val="superscript"/>
    </w:rPr>
  </w:style>
  <w:style w:type="paragraph" w:customStyle="1" w:styleId="CarCar">
    <w:name w:val="Car Car"/>
    <w:basedOn w:val="Normal"/>
    <w:rsid w:val="00C91693"/>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link w:val="EndofdocumentChar"/>
    <w:rsid w:val="00C91693"/>
    <w:pPr>
      <w:ind w:left="4536"/>
      <w:jc w:val="center"/>
    </w:pPr>
    <w:rPr>
      <w:rFonts w:ascii="Times New Roman" w:eastAsia="Times New Roman" w:hAnsi="Times New Roman" w:cs="Times New Roman"/>
      <w:sz w:val="24"/>
      <w:lang w:val="en-US" w:eastAsia="en-US"/>
    </w:rPr>
  </w:style>
  <w:style w:type="character" w:customStyle="1" w:styleId="EndofdocumentChar">
    <w:name w:val="End of document Char"/>
    <w:link w:val="Endofdocument"/>
    <w:rsid w:val="00C91693"/>
    <w:rPr>
      <w:sz w:val="24"/>
    </w:rPr>
  </w:style>
  <w:style w:type="character" w:styleId="Strong">
    <w:name w:val="Strong"/>
    <w:basedOn w:val="DefaultParagraphFont"/>
    <w:uiPriority w:val="22"/>
    <w:qFormat/>
    <w:rsid w:val="00C916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header" Target="header11.xml"/><Relationship Id="rId39" Type="http://schemas.openxmlformats.org/officeDocument/2006/relationships/hyperlink" Target="http://www.wipo.int/meetings/en/doc_details.jsp?doc_id=287165" TargetMode="External"/><Relationship Id="rId21" Type="http://schemas.openxmlformats.org/officeDocument/2006/relationships/footer" Target="footer3.xml"/><Relationship Id="rId34" Type="http://schemas.openxmlformats.org/officeDocument/2006/relationships/hyperlink" Target="http://www.wipo.int/edocs/mdocs/mdocs/en/cdip_14/cdip_14_2.pdf" TargetMode="External"/><Relationship Id="rId42" Type="http://schemas.openxmlformats.org/officeDocument/2006/relationships/hyperlink" Target="http://www.wipo.int/meetings/en/details.jsp?meeting_id=34205" TargetMode="External"/><Relationship Id="rId47" Type="http://schemas.openxmlformats.org/officeDocument/2006/relationships/hyperlink" Target="http://www.wipo.int/meetings/en/details.jsp?meeting_id=35562" TargetMode="External"/><Relationship Id="rId50" Type="http://schemas.openxmlformats.org/officeDocument/2006/relationships/hyperlink" Target="http://www.wipo.int/meetings/en/doc_details.jsp?doc_id=298371" TargetMode="External"/><Relationship Id="rId55" Type="http://schemas.openxmlformats.org/officeDocument/2006/relationships/hyperlink" Target="http://www.wipo.int/meetings/en/doc_details.jsp?doc_id=217828" TargetMode="External"/><Relationship Id="rId63" Type="http://schemas.openxmlformats.org/officeDocument/2006/relationships/hyperlink" Target="http://www.wipo.int/edocs/mdocs/mdocs/es/cdip_15/cdip_15_5.pdf" TargetMode="External"/><Relationship Id="rId68" Type="http://schemas.openxmlformats.org/officeDocument/2006/relationships/hyperlink" Target="http://www.wipo.int/sscip/tad" TargetMode="External"/><Relationship Id="rId76" Type="http://schemas.openxmlformats.org/officeDocument/2006/relationships/hyperlink" Target="http://www.wipo.int/meetings/es/doc_details.jsp?doc_id=249743" TargetMode="External"/><Relationship Id="rId84" Type="http://schemas.openxmlformats.org/officeDocument/2006/relationships/header" Target="header18.xml"/><Relationship Id="rId7" Type="http://schemas.openxmlformats.org/officeDocument/2006/relationships/footnotes" Target="footnotes.xml"/><Relationship Id="rId71"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eader" Target="header12.xml"/><Relationship Id="rId11" Type="http://schemas.openxmlformats.org/officeDocument/2006/relationships/hyperlink" Target="http://www.wipo.int/meetings/en/doc_details.jsp?doc_id=283200" TargetMode="External"/><Relationship Id="rId24" Type="http://schemas.openxmlformats.org/officeDocument/2006/relationships/footer" Target="footer5.xml"/><Relationship Id="rId32" Type="http://schemas.openxmlformats.org/officeDocument/2006/relationships/hyperlink" Target="http://www.wipo.int/edocs/mdocs/mdocs/en/cdip_9/cdip_9_inf_4.pdf" TargetMode="External"/><Relationship Id="rId37" Type="http://schemas.openxmlformats.org/officeDocument/2006/relationships/hyperlink" Target="http://www.wipo.int/meetings/en/doc_details.jsp?doc_id=287221" TargetMode="External"/><Relationship Id="rId40" Type="http://schemas.openxmlformats.org/officeDocument/2006/relationships/hyperlink" Target="http://www.wipo.int/meetings/en/doc_details.jsp?doc_id=287218" TargetMode="External"/><Relationship Id="rId45" Type="http://schemas.openxmlformats.org/officeDocument/2006/relationships/hyperlink" Target="http://www.wipo.int/edocs/mdocs/mdocs/en/wipo_inn_ge_15/wipo_inn_ge_15_program.pdf" TargetMode="External"/><Relationship Id="rId53" Type="http://schemas.openxmlformats.org/officeDocument/2006/relationships/hyperlink" Target="http://www.wipo.int/meetings/en/doc_details.jsp?doc_id=311558" TargetMode="External"/><Relationship Id="rId58" Type="http://schemas.openxmlformats.org/officeDocument/2006/relationships/hyperlink" Target="http://www.wipo.int/meetings/en/doc_details.jsp?doc_id=311558" TargetMode="External"/><Relationship Id="rId66" Type="http://schemas.openxmlformats.org/officeDocument/2006/relationships/header" Target="header14.xml"/><Relationship Id="rId74" Type="http://schemas.openxmlformats.org/officeDocument/2006/relationships/hyperlink" Target="http://www.wipo.int/meetings/es/doc_details.jsp?doc_id=186340" TargetMode="External"/><Relationship Id="rId79" Type="http://schemas.openxmlformats.org/officeDocument/2006/relationships/hyperlink" Target="http://www.wipo.int/meetings/es/doc_details.jsp?doc_id=296576" TargetMode="External"/><Relationship Id="rId5" Type="http://schemas.openxmlformats.org/officeDocument/2006/relationships/settings" Target="settings.xml"/><Relationship Id="rId61" Type="http://schemas.openxmlformats.org/officeDocument/2006/relationships/hyperlink" Target="http://www.wipo.int/meetings/es/doc_details.jsp?doc_id=290583" TargetMode="External"/><Relationship Id="rId82" Type="http://schemas.openxmlformats.org/officeDocument/2006/relationships/hyperlink" Target="http://www.wipo.int/meetings/es/doc_details.jsp?doc_id=306707"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yperlink" Target="http://www.wipo.int/meetings/en/doc_details.jsp?doc_id=287167" TargetMode="External"/><Relationship Id="rId43" Type="http://schemas.openxmlformats.org/officeDocument/2006/relationships/hyperlink" Target="http://www.wipo.int/meetings/en/doc_details.jsp?doc_id=290583" TargetMode="External"/><Relationship Id="rId48" Type="http://schemas.openxmlformats.org/officeDocument/2006/relationships/hyperlink" Target="http://www.wipo.int/meetings/en/details.jsp?meeting_id=35562" TargetMode="External"/><Relationship Id="rId56" Type="http://schemas.openxmlformats.org/officeDocument/2006/relationships/hyperlink" Target="http://www.wipo.int/meetings/en/doc_details.jsp?doc_id=249743" TargetMode="External"/><Relationship Id="rId64" Type="http://schemas.openxmlformats.org/officeDocument/2006/relationships/header" Target="header13.xml"/><Relationship Id="rId69" Type="http://schemas.openxmlformats.org/officeDocument/2006/relationships/hyperlink" Target="http://www.wipo.int/cooperation/en/south_south/" TargetMode="External"/><Relationship Id="rId77" Type="http://schemas.openxmlformats.org/officeDocument/2006/relationships/hyperlink" Target="http://www.wipo.int/meetings/es/doc_details.jsp?doc_id=268876" TargetMode="External"/><Relationship Id="rId8" Type="http://schemas.openxmlformats.org/officeDocument/2006/relationships/endnotes" Target="endnotes.xml"/><Relationship Id="rId51" Type="http://schemas.openxmlformats.org/officeDocument/2006/relationships/hyperlink" Target="http://www.wipo.int/meetings/en/doc_details.jsp?doc_id=310276" TargetMode="External"/><Relationship Id="rId72" Type="http://schemas.openxmlformats.org/officeDocument/2006/relationships/header" Target="header16.xml"/><Relationship Id="rId80" Type="http://schemas.openxmlformats.org/officeDocument/2006/relationships/hyperlink" Target="http://www.wipo.int/ip-development/en/agenda/flexibilities/search.jsp"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yperlink" Target="http://www.wipo.int/edocs/mdocs/mdocs/en/cdip_14/cdip_14_2.pdf" TargetMode="External"/><Relationship Id="rId38" Type="http://schemas.openxmlformats.org/officeDocument/2006/relationships/hyperlink" Target="http://www.wipo.int/meetings/en/doc_details.jsp?doc_id=287164" TargetMode="External"/><Relationship Id="rId46" Type="http://schemas.openxmlformats.org/officeDocument/2006/relationships/hyperlink" Target="http://www.wipo.int/edocs/mdocs/mdocs/en/wipo_inn_ge_15/wipo_inn_ge_15_biographies.pdf" TargetMode="External"/><Relationship Id="rId59" Type="http://schemas.openxmlformats.org/officeDocument/2006/relationships/hyperlink" Target="http://www.wipo.int/meetings/es/doc_details.jsp?doc_id=290583" TargetMode="External"/><Relationship Id="rId67" Type="http://schemas.openxmlformats.org/officeDocument/2006/relationships/hyperlink" Target="http://www.wipo.int/edocs/mdocs/mdocs/en/cdip_13/cdip_13_summary.pdf" TargetMode="External"/><Relationship Id="rId20" Type="http://schemas.openxmlformats.org/officeDocument/2006/relationships/header" Target="header8.xml"/><Relationship Id="rId41" Type="http://schemas.openxmlformats.org/officeDocument/2006/relationships/hyperlink" Target="http://www.wipo.int/edocs/mdocs/mdocs/en/cdip_9/cdip_9_inf_4.pdf" TargetMode="External"/><Relationship Id="rId54" Type="http://schemas.openxmlformats.org/officeDocument/2006/relationships/hyperlink" Target="http://www.wipo.int/meetings/en/doc_details.jsp?doc_id=186340" TargetMode="External"/><Relationship Id="rId62" Type="http://schemas.openxmlformats.org/officeDocument/2006/relationships/hyperlink" Target="http://www.wipo.int/edocs/mdocs/mdocs/es/cdip_15/cdip_15_5.pdf" TargetMode="External"/><Relationship Id="rId70" Type="http://schemas.openxmlformats.org/officeDocument/2006/relationships/header" Target="header15.xml"/><Relationship Id="rId75" Type="http://schemas.openxmlformats.org/officeDocument/2006/relationships/hyperlink" Target="http://www.wipo.int/meetings/es/doc_details.jsp?doc_id=217828" TargetMode="External"/><Relationship Id="rId83"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7.xml"/><Relationship Id="rId36" Type="http://schemas.openxmlformats.org/officeDocument/2006/relationships/hyperlink" Target="http://www.wipo.int/meetings/en/doc_details.jsp?doc_id=287217" TargetMode="External"/><Relationship Id="rId49" Type="http://schemas.openxmlformats.org/officeDocument/2006/relationships/hyperlink" Target="http://www.wipo.int/meetings/en/doc_details.jsp?doc_id=298076" TargetMode="External"/><Relationship Id="rId57" Type="http://schemas.openxmlformats.org/officeDocument/2006/relationships/hyperlink" Target="http://www.wipo.int/edocs/mdocs/mdocs/en/cdip_14/cdip_14_2.pdf" TargetMode="External"/><Relationship Id="rId10" Type="http://schemas.openxmlformats.org/officeDocument/2006/relationships/header" Target="header1.xml"/><Relationship Id="rId31" Type="http://schemas.openxmlformats.org/officeDocument/2006/relationships/hyperlink" Target="http://www.wipo.int/edocs/mdocs/mdocs/en/cdip_9/cdip_9_inf_4.pdf" TargetMode="External"/><Relationship Id="rId44" Type="http://schemas.openxmlformats.org/officeDocument/2006/relationships/hyperlink" Target="http://www.wipo.int/meetings/en/doc_details.jsp?doc_id=290583" TargetMode="External"/><Relationship Id="rId52" Type="http://schemas.openxmlformats.org/officeDocument/2006/relationships/hyperlink" Target="http://www.wipo.int/meetings/en/doc_details.jsp?doc_id=311558" TargetMode="External"/><Relationship Id="rId60" Type="http://schemas.openxmlformats.org/officeDocument/2006/relationships/hyperlink" Target="http://www.wipo.int/meetings/es/details.jsp?meeting_id=35562" TargetMode="External"/><Relationship Id="rId65" Type="http://schemas.openxmlformats.org/officeDocument/2006/relationships/footer" Target="footer9.xml"/><Relationship Id="rId73" Type="http://schemas.openxmlformats.org/officeDocument/2006/relationships/footer" Target="footer11.xml"/><Relationship Id="rId78" Type="http://schemas.openxmlformats.org/officeDocument/2006/relationships/hyperlink" Target="http://www.wipo.int/research/en/" TargetMode="External"/><Relationship Id="rId81" Type="http://schemas.openxmlformats.org/officeDocument/2006/relationships/hyperlink" Target="http://www.wipo.int/meetings/en/doc_details.jsp?doc_id=131629"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CF603-F5D2-4EC4-AA95-00857DCF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16 (S).dotm</Template>
  <TotalTime>1</TotalTime>
  <Pages>98</Pages>
  <Words>27202</Words>
  <Characters>154173</Characters>
  <Application>Microsoft Office Word</Application>
  <DocSecurity>0</DocSecurity>
  <Lines>1284</Lines>
  <Paragraphs>362</Paragraphs>
  <ScaleCrop>false</ScaleCrop>
  <HeadingPairs>
    <vt:vector size="2" baseType="variant">
      <vt:variant>
        <vt:lpstr>Title</vt:lpstr>
      </vt:variant>
      <vt:variant>
        <vt:i4>1</vt:i4>
      </vt:variant>
    </vt:vector>
  </HeadingPairs>
  <TitlesOfParts>
    <vt:vector size="1" baseType="lpstr">
      <vt:lpstr>CDIP/16/</vt:lpstr>
    </vt:vector>
  </TitlesOfParts>
  <Company>WIPO</Company>
  <LinksUpToDate>false</LinksUpToDate>
  <CharactersWithSpaces>181013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dc:title>
  <dc:creator>CEVALLOS DUQUE Nilo</dc:creator>
  <cp:lastModifiedBy>SHOUSHA Sally</cp:lastModifiedBy>
  <cp:revision>3</cp:revision>
  <cp:lastPrinted>2015-09-15T13:37:00Z</cp:lastPrinted>
  <dcterms:created xsi:type="dcterms:W3CDTF">2015-09-15T13:36:00Z</dcterms:created>
  <dcterms:modified xsi:type="dcterms:W3CDTF">2015-09-15T13:37:00Z</dcterms:modified>
</cp:coreProperties>
</file>