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C06556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E239D6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06556" w:rsidRDefault="001113CD" w:rsidP="00AB613D">
            <w:r w:rsidRPr="00C06556">
              <w:rPr>
                <w:noProof/>
                <w:lang w:val="en-US" w:eastAsia="en-US"/>
              </w:rPr>
              <w:drawing>
                <wp:inline distT="0" distB="0" distL="0" distR="0" wp14:anchorId="299B978D" wp14:editId="5111BD2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06556" w:rsidRDefault="00E504E5" w:rsidP="00AB613D">
            <w:pPr>
              <w:jc w:val="right"/>
            </w:pPr>
            <w:r w:rsidRPr="00C06556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C0655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06556" w:rsidRDefault="001113CD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06556">
              <w:rPr>
                <w:rFonts w:ascii="Arial Black" w:hAnsi="Arial Black"/>
                <w:caps/>
                <w:sz w:val="15"/>
              </w:rPr>
              <w:t>CDIP/15/</w:t>
            </w:r>
            <w:bookmarkStart w:id="0" w:name="Code"/>
            <w:bookmarkEnd w:id="0"/>
            <w:r w:rsidR="00F3507E" w:rsidRPr="00C06556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C0655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06556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06556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C06556">
              <w:rPr>
                <w:rFonts w:ascii="Arial Black" w:hAnsi="Arial Black"/>
                <w:caps/>
                <w:sz w:val="15"/>
              </w:rPr>
              <w:t xml:space="preserve"> </w:t>
            </w:r>
            <w:r w:rsidRPr="00C0655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3507E" w:rsidRPr="00C06556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C0655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06556" w:rsidRDefault="00675021" w:rsidP="00F3507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06556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C06556">
              <w:rPr>
                <w:rFonts w:ascii="Arial Black" w:hAnsi="Arial Black"/>
                <w:caps/>
                <w:sz w:val="15"/>
              </w:rPr>
              <w:t>:</w:t>
            </w:r>
            <w:r w:rsidR="00F84474" w:rsidRPr="00C0655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C0655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3507E" w:rsidRPr="00C06556">
              <w:rPr>
                <w:rFonts w:ascii="Arial Black" w:hAnsi="Arial Black"/>
                <w:caps/>
                <w:sz w:val="15"/>
              </w:rPr>
              <w:t>16 DE FEBRERO DE 2015</w:t>
            </w:r>
          </w:p>
        </w:tc>
      </w:tr>
    </w:tbl>
    <w:p w:rsidR="008B2CC1" w:rsidRPr="00C06556" w:rsidRDefault="008B2CC1" w:rsidP="008B2CC1"/>
    <w:p w:rsidR="008B2CC1" w:rsidRPr="00C06556" w:rsidRDefault="008B2CC1" w:rsidP="008B2CC1"/>
    <w:p w:rsidR="008B2CC1" w:rsidRPr="00C06556" w:rsidRDefault="008B2CC1" w:rsidP="008B2CC1"/>
    <w:p w:rsidR="008B2CC1" w:rsidRPr="00C06556" w:rsidRDefault="008B2CC1" w:rsidP="008B2CC1"/>
    <w:p w:rsidR="008B2CC1" w:rsidRPr="00C06556" w:rsidRDefault="008B2CC1" w:rsidP="008B2CC1"/>
    <w:p w:rsidR="00B67CDC" w:rsidRPr="00C06556" w:rsidRDefault="001113CD" w:rsidP="00B67CDC">
      <w:pPr>
        <w:rPr>
          <w:b/>
          <w:sz w:val="28"/>
          <w:szCs w:val="28"/>
        </w:rPr>
      </w:pPr>
      <w:r w:rsidRPr="00C06556">
        <w:rPr>
          <w:b/>
          <w:sz w:val="28"/>
          <w:szCs w:val="28"/>
        </w:rPr>
        <w:t>Comité de Desarrollo y Propiedad Intelectual (CDIP)</w:t>
      </w:r>
    </w:p>
    <w:p w:rsidR="003845C1" w:rsidRPr="00C06556" w:rsidRDefault="003845C1" w:rsidP="003845C1"/>
    <w:p w:rsidR="003845C1" w:rsidRPr="00C06556" w:rsidRDefault="003845C1" w:rsidP="003845C1"/>
    <w:p w:rsidR="00B67CDC" w:rsidRPr="00C06556" w:rsidRDefault="001113CD" w:rsidP="00B67CDC">
      <w:pPr>
        <w:rPr>
          <w:b/>
          <w:sz w:val="24"/>
          <w:szCs w:val="24"/>
        </w:rPr>
      </w:pPr>
      <w:r w:rsidRPr="00C06556">
        <w:rPr>
          <w:b/>
          <w:sz w:val="24"/>
          <w:szCs w:val="24"/>
        </w:rPr>
        <w:t>Decimoquinta sesión</w:t>
      </w:r>
    </w:p>
    <w:p w:rsidR="00B67CDC" w:rsidRPr="00C06556" w:rsidRDefault="001113CD" w:rsidP="00B67CDC">
      <w:pPr>
        <w:rPr>
          <w:b/>
          <w:sz w:val="24"/>
          <w:szCs w:val="24"/>
        </w:rPr>
      </w:pPr>
      <w:r w:rsidRPr="00C06556">
        <w:rPr>
          <w:b/>
          <w:sz w:val="24"/>
          <w:szCs w:val="24"/>
        </w:rPr>
        <w:t>Ginebra, 20 a 24 de abril de 2015</w:t>
      </w:r>
    </w:p>
    <w:p w:rsidR="008B2CC1" w:rsidRPr="00C06556" w:rsidRDefault="008B2CC1" w:rsidP="008B2CC1"/>
    <w:p w:rsidR="008B2CC1" w:rsidRPr="00C06556" w:rsidRDefault="008B2CC1" w:rsidP="008B2CC1"/>
    <w:p w:rsidR="008B2CC1" w:rsidRPr="00C06556" w:rsidRDefault="008B2CC1" w:rsidP="008B2CC1"/>
    <w:p w:rsidR="00F3507E" w:rsidRPr="00C06556" w:rsidRDefault="00523DD0" w:rsidP="00F3507E">
      <w:pPr>
        <w:rPr>
          <w:caps/>
          <w:sz w:val="24"/>
        </w:rPr>
      </w:pPr>
      <w:bookmarkStart w:id="3" w:name="TitleOfDoc"/>
      <w:bookmarkEnd w:id="3"/>
      <w:r w:rsidRPr="00C06556">
        <w:rPr>
          <w:caps/>
          <w:sz w:val="24"/>
        </w:rPr>
        <w:t xml:space="preserve">RESUMEN DEL INFORME DE EVALUACIÓN DEL PROYECTO </w:t>
      </w:r>
      <w:r w:rsidR="00931D9E" w:rsidRPr="00C06556">
        <w:rPr>
          <w:caps/>
          <w:sz w:val="24"/>
        </w:rPr>
        <w:t>para</w:t>
      </w:r>
      <w:r w:rsidRPr="00C06556">
        <w:rPr>
          <w:caps/>
          <w:sz w:val="24"/>
        </w:rPr>
        <w:t xml:space="preserve"> Fortalecer la capacidad de las instituciones nacionales de P.I. públicas y privadas para administrar, supervisar y fomentar el funcionamiento de las industrias c</w:t>
      </w:r>
      <w:r w:rsidR="004A1749" w:rsidRPr="00C06556">
        <w:rPr>
          <w:caps/>
          <w:sz w:val="24"/>
        </w:rPr>
        <w:t>REATIVAS</w:t>
      </w:r>
      <w:r w:rsidRPr="00C06556">
        <w:rPr>
          <w:caps/>
          <w:sz w:val="24"/>
        </w:rPr>
        <w:t>, además de mejorar el rendimiento e intensificar la red de organi</w:t>
      </w:r>
      <w:r w:rsidR="004A1749" w:rsidRPr="00C06556">
        <w:rPr>
          <w:caps/>
          <w:sz w:val="24"/>
        </w:rPr>
        <w:t>smos</w:t>
      </w:r>
      <w:r w:rsidRPr="00C06556">
        <w:rPr>
          <w:caps/>
          <w:sz w:val="24"/>
        </w:rPr>
        <w:t xml:space="preserve"> de gestión colectiva del derecho de autor</w:t>
      </w:r>
    </w:p>
    <w:p w:rsidR="00F3507E" w:rsidRPr="00C06556" w:rsidRDefault="00F3507E" w:rsidP="00F3507E"/>
    <w:p w:rsidR="00523DD0" w:rsidRPr="00C06556" w:rsidRDefault="00523DD0" w:rsidP="00523DD0">
      <w:pPr>
        <w:rPr>
          <w:i/>
        </w:rPr>
      </w:pPr>
      <w:bookmarkStart w:id="4" w:name="Prepared"/>
      <w:bookmarkEnd w:id="4"/>
      <w:r w:rsidRPr="00C06556">
        <w:rPr>
          <w:i/>
          <w:color w:val="000000"/>
        </w:rPr>
        <w:t xml:space="preserve">preparado por la Sra. Lois Austin, </w:t>
      </w:r>
      <w:r w:rsidR="004A1749" w:rsidRPr="00C06556">
        <w:rPr>
          <w:i/>
          <w:color w:val="000000"/>
        </w:rPr>
        <w:t>c</w:t>
      </w:r>
      <w:r w:rsidRPr="00C06556">
        <w:rPr>
          <w:i/>
          <w:color w:val="000000"/>
        </w:rPr>
        <w:t>onsultora, Londres, Reino Unido</w:t>
      </w:r>
    </w:p>
    <w:p w:rsidR="00F3507E" w:rsidRPr="00C06556" w:rsidRDefault="00F3507E" w:rsidP="00F3507E"/>
    <w:p w:rsidR="00F3507E" w:rsidRPr="00C06556" w:rsidRDefault="00F3507E" w:rsidP="00F3507E"/>
    <w:p w:rsidR="00F3507E" w:rsidRPr="00C06556" w:rsidRDefault="00F3507E" w:rsidP="00F3507E"/>
    <w:p w:rsidR="00F3507E" w:rsidRPr="00C06556" w:rsidRDefault="00F3507E" w:rsidP="00F3507E"/>
    <w:p w:rsidR="00F3507E" w:rsidRPr="00C06556" w:rsidRDefault="00F3507E" w:rsidP="00F3507E"/>
    <w:p w:rsidR="00F3507E" w:rsidRPr="00C06556" w:rsidRDefault="00F3507E" w:rsidP="00F3507E">
      <w:pPr>
        <w:rPr>
          <w:szCs w:val="22"/>
        </w:rPr>
      </w:pPr>
      <w:r w:rsidRPr="00C06556">
        <w:fldChar w:fldCharType="begin"/>
      </w:r>
      <w:r w:rsidRPr="00C06556">
        <w:instrText xml:space="preserve"> AUTONUM  </w:instrText>
      </w:r>
      <w:r w:rsidRPr="00C06556">
        <w:fldChar w:fldCharType="end"/>
      </w:r>
      <w:r w:rsidRPr="00C06556">
        <w:tab/>
      </w:r>
      <w:r w:rsidR="00E72D14" w:rsidRPr="00C06556">
        <w:t xml:space="preserve">El Anexo del presente documento contiene un resumen del informe de evaluación externa e independiente del proyecto </w:t>
      </w:r>
      <w:r w:rsidR="00931D9E" w:rsidRPr="00C06556">
        <w:t>para</w:t>
      </w:r>
      <w:r w:rsidR="00E72D14" w:rsidRPr="00C06556">
        <w:t xml:space="preserve"> </w:t>
      </w:r>
      <w:r w:rsidR="00E72D14" w:rsidRPr="00C06556">
        <w:rPr>
          <w:szCs w:val="22"/>
        </w:rPr>
        <w:t xml:space="preserve">fortalecer la capacidad de las instituciones nacionales de P.I. públicas y privadas para administrar, supervisar y fomentar el funcionamiento de las industrias </w:t>
      </w:r>
      <w:r w:rsidR="004A1749" w:rsidRPr="00C06556">
        <w:rPr>
          <w:szCs w:val="22"/>
        </w:rPr>
        <w:t>creativas</w:t>
      </w:r>
      <w:r w:rsidR="00E72D14" w:rsidRPr="00C06556">
        <w:rPr>
          <w:szCs w:val="22"/>
        </w:rPr>
        <w:t xml:space="preserve">, además de mejorar el rendimiento e intensificar la red de </w:t>
      </w:r>
      <w:r w:rsidR="004A1749" w:rsidRPr="00C06556">
        <w:rPr>
          <w:szCs w:val="22"/>
        </w:rPr>
        <w:t>organismos</w:t>
      </w:r>
      <w:r w:rsidR="00E72D14" w:rsidRPr="00C06556">
        <w:rPr>
          <w:szCs w:val="22"/>
        </w:rPr>
        <w:t xml:space="preserve"> de gestión colectiva del derecho de autor</w:t>
      </w:r>
      <w:r w:rsidRPr="00C06556">
        <w:rPr>
          <w:szCs w:val="22"/>
        </w:rPr>
        <w:t xml:space="preserve">, </w:t>
      </w:r>
      <w:r w:rsidR="00E72D14" w:rsidRPr="00C06556">
        <w:rPr>
          <w:szCs w:val="22"/>
        </w:rPr>
        <w:t>elaborado por la Sra. </w:t>
      </w:r>
      <w:r w:rsidRPr="00C06556">
        <w:rPr>
          <w:bCs/>
          <w:szCs w:val="22"/>
        </w:rPr>
        <w:t xml:space="preserve">Lois Austin, </w:t>
      </w:r>
      <w:r w:rsidR="000D3458">
        <w:rPr>
          <w:bCs/>
          <w:szCs w:val="22"/>
        </w:rPr>
        <w:t>c</w:t>
      </w:r>
      <w:r w:rsidRPr="00C06556">
        <w:rPr>
          <w:bCs/>
          <w:szCs w:val="22"/>
        </w:rPr>
        <w:t>onsult</w:t>
      </w:r>
      <w:r w:rsidR="00E72D14" w:rsidRPr="00C06556">
        <w:rPr>
          <w:bCs/>
          <w:szCs w:val="22"/>
        </w:rPr>
        <w:t>ora</w:t>
      </w:r>
      <w:r w:rsidRPr="00C06556">
        <w:rPr>
          <w:szCs w:val="22"/>
        </w:rPr>
        <w:t>, Lond</w:t>
      </w:r>
      <w:r w:rsidR="00E72D14" w:rsidRPr="00C06556">
        <w:rPr>
          <w:szCs w:val="22"/>
        </w:rPr>
        <w:t>res (Reino Unido).</w:t>
      </w:r>
    </w:p>
    <w:p w:rsidR="00F3507E" w:rsidRPr="00C06556" w:rsidRDefault="00F3507E" w:rsidP="00F3507E">
      <w:pPr>
        <w:rPr>
          <w:szCs w:val="22"/>
        </w:rPr>
      </w:pPr>
    </w:p>
    <w:p w:rsidR="00E72D14" w:rsidRPr="00C06556" w:rsidRDefault="00F3507E" w:rsidP="00E72D14">
      <w:pPr>
        <w:pStyle w:val="Endofdocument-Annex"/>
        <w:tabs>
          <w:tab w:val="left" w:pos="567"/>
        </w:tabs>
        <w:ind w:left="4950"/>
        <w:rPr>
          <w:i/>
          <w:iCs/>
          <w:szCs w:val="22"/>
          <w:lang w:val="es-ES"/>
        </w:rPr>
      </w:pPr>
      <w:r w:rsidRPr="00C06556">
        <w:rPr>
          <w:i/>
          <w:iCs/>
          <w:szCs w:val="22"/>
          <w:lang w:val="es-ES"/>
        </w:rPr>
        <w:t>2.</w:t>
      </w:r>
      <w:r w:rsidRPr="00C06556">
        <w:rPr>
          <w:i/>
          <w:iCs/>
          <w:szCs w:val="22"/>
          <w:lang w:val="es-ES"/>
        </w:rPr>
        <w:tab/>
      </w:r>
      <w:r w:rsidR="00E72D14" w:rsidRPr="00C06556">
        <w:rPr>
          <w:i/>
          <w:iCs/>
          <w:color w:val="000000"/>
          <w:szCs w:val="22"/>
          <w:lang w:val="es-ES"/>
        </w:rPr>
        <w:t>Se invita al CDIP a tomar nota de la información que figura en el Anexo del presente documento.</w:t>
      </w:r>
    </w:p>
    <w:p w:rsidR="00F3507E" w:rsidRPr="00C06556" w:rsidRDefault="00F3507E" w:rsidP="00F3507E">
      <w:pPr>
        <w:pStyle w:val="Endofdocument-Annex"/>
        <w:tabs>
          <w:tab w:val="left" w:pos="567"/>
        </w:tabs>
        <w:ind w:left="4950"/>
        <w:rPr>
          <w:i/>
          <w:iCs/>
          <w:szCs w:val="22"/>
          <w:lang w:val="es-ES"/>
        </w:rPr>
      </w:pPr>
    </w:p>
    <w:p w:rsidR="00F3507E" w:rsidRPr="00C06556" w:rsidRDefault="00F3507E" w:rsidP="00F3507E"/>
    <w:p w:rsidR="00F3507E" w:rsidRPr="00C06556" w:rsidRDefault="00F3507E" w:rsidP="00F3507E"/>
    <w:p w:rsidR="00F3507E" w:rsidRPr="00C06556" w:rsidRDefault="00F3507E" w:rsidP="00F3507E"/>
    <w:p w:rsidR="00F3507E" w:rsidRPr="00C06556" w:rsidRDefault="00F3507E" w:rsidP="00F3507E">
      <w:pPr>
        <w:pStyle w:val="Endofdocument-Annex"/>
        <w:rPr>
          <w:lang w:val="es-ES"/>
        </w:rPr>
      </w:pPr>
      <w:r w:rsidRPr="00C06556">
        <w:rPr>
          <w:lang w:val="es-ES"/>
        </w:rPr>
        <w:t>[Sigue el Anexo]</w:t>
      </w:r>
    </w:p>
    <w:p w:rsidR="00F3507E" w:rsidRPr="00C06556" w:rsidRDefault="00F3507E" w:rsidP="00F3507E"/>
    <w:p w:rsidR="00F3507E" w:rsidRPr="00C06556" w:rsidRDefault="00F3507E" w:rsidP="00F3507E"/>
    <w:p w:rsidR="00F3507E" w:rsidRPr="00C06556" w:rsidRDefault="00F3507E" w:rsidP="00F3507E">
      <w:pPr>
        <w:sectPr w:rsidR="00F3507E" w:rsidRPr="00C06556" w:rsidSect="002B0E21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3507E" w:rsidRPr="00C06556" w:rsidRDefault="00E63157" w:rsidP="00F3507E">
      <w:pPr>
        <w:rPr>
          <w:bCs/>
        </w:rPr>
      </w:pPr>
      <w:bookmarkStart w:id="5" w:name="_Toc318890938"/>
      <w:bookmarkStart w:id="6" w:name="_Toc210105974"/>
      <w:r w:rsidRPr="00C06556">
        <w:rPr>
          <w:b/>
          <w:bCs/>
        </w:rPr>
        <w:lastRenderedPageBreak/>
        <w:t>Resumen</w:t>
      </w:r>
    </w:p>
    <w:p w:rsidR="00F3507E" w:rsidRPr="00C06556" w:rsidRDefault="00F3507E" w:rsidP="00F3507E">
      <w:pPr>
        <w:rPr>
          <w:bCs/>
        </w:rPr>
      </w:pPr>
    </w:p>
    <w:p w:rsidR="00F3507E" w:rsidRPr="00C06556" w:rsidRDefault="00931D9E" w:rsidP="00F3507E">
      <w:pPr>
        <w:rPr>
          <w:szCs w:val="22"/>
        </w:rPr>
      </w:pPr>
      <w:r w:rsidRPr="00C06556">
        <w:rPr>
          <w:bCs/>
        </w:rPr>
        <w:t xml:space="preserve">En el presente documento se expone el </w:t>
      </w:r>
      <w:r w:rsidRPr="00C06556">
        <w:t xml:space="preserve">informe final de evaluación del </w:t>
      </w:r>
      <w:r w:rsidR="004A1749" w:rsidRPr="00C06556">
        <w:t xml:space="preserve">proyecto para </w:t>
      </w:r>
      <w:r w:rsidR="004A1749" w:rsidRPr="00C06556">
        <w:rPr>
          <w:szCs w:val="22"/>
        </w:rPr>
        <w:t>fortalecer la capacidad de las instituciones nacionales de P.I. públicas y privadas para administrar, supervisar y fomentar el funcionamiento de las industrias creativas, además de mejorar el rendimiento e intensificar la red de organismos de gestión colectiva del derecho de autor</w:t>
      </w:r>
      <w:r w:rsidR="00F3507E" w:rsidRPr="00C06556">
        <w:rPr>
          <w:bCs/>
          <w:iCs/>
        </w:rPr>
        <w:t>.</w:t>
      </w:r>
    </w:p>
    <w:p w:rsidR="00F3507E" w:rsidRPr="00C06556" w:rsidRDefault="00F3507E" w:rsidP="00F3507E">
      <w:pPr>
        <w:rPr>
          <w:bCs/>
          <w:iCs/>
        </w:rPr>
      </w:pPr>
    </w:p>
    <w:p w:rsidR="00F3507E" w:rsidRPr="00C06556" w:rsidRDefault="00E63157" w:rsidP="00F3507E">
      <w:pPr>
        <w:rPr>
          <w:bCs/>
        </w:rPr>
      </w:pPr>
      <w:r w:rsidRPr="00C06556">
        <w:rPr>
          <w:bCs/>
        </w:rPr>
        <w:t>El proyecto fue aprobado en la tercera sesión del Comité de Desarrollo y Propiedad Intelectual</w:t>
      </w:r>
      <w:r w:rsidR="00F3507E" w:rsidRPr="00C06556">
        <w:rPr>
          <w:bCs/>
        </w:rPr>
        <w:t xml:space="preserve"> (CDIP) </w:t>
      </w:r>
      <w:r w:rsidRPr="00C06556">
        <w:rPr>
          <w:bCs/>
        </w:rPr>
        <w:t>en abril de</w:t>
      </w:r>
      <w:r w:rsidR="00F3507E" w:rsidRPr="00C06556">
        <w:rPr>
          <w:bCs/>
        </w:rPr>
        <w:t xml:space="preserve"> 2009.  </w:t>
      </w:r>
      <w:r w:rsidRPr="00C06556">
        <w:rPr>
          <w:bCs/>
        </w:rPr>
        <w:t>El proyecto consta de dos componentes</w:t>
      </w:r>
      <w:r w:rsidR="004A1749" w:rsidRPr="00C06556">
        <w:rPr>
          <w:bCs/>
        </w:rPr>
        <w:t xml:space="preserve"> separados</w:t>
      </w:r>
      <w:r w:rsidRPr="00C06556">
        <w:rPr>
          <w:bCs/>
        </w:rPr>
        <w:t>, uno de los cuales se centra en las industrias creativas y el otro en l</w:t>
      </w:r>
      <w:r w:rsidR="00931D9E" w:rsidRPr="00C06556">
        <w:rPr>
          <w:bCs/>
        </w:rPr>
        <w:t>o</w:t>
      </w:r>
      <w:r w:rsidRPr="00C06556">
        <w:rPr>
          <w:bCs/>
        </w:rPr>
        <w:t>s organi</w:t>
      </w:r>
      <w:r w:rsidR="00931D9E" w:rsidRPr="00C06556">
        <w:rPr>
          <w:bCs/>
        </w:rPr>
        <w:t>smos de</w:t>
      </w:r>
      <w:r w:rsidRPr="00C06556">
        <w:rPr>
          <w:bCs/>
        </w:rPr>
        <w:t xml:space="preserve"> </w:t>
      </w:r>
      <w:r w:rsidR="00931D9E" w:rsidRPr="00C06556">
        <w:rPr>
          <w:bCs/>
        </w:rPr>
        <w:t>gestión colectiva.  El proyecto tiene los siguientes objetivos</w:t>
      </w:r>
      <w:r w:rsidR="00F3507E" w:rsidRPr="00C06556">
        <w:rPr>
          <w:bCs/>
        </w:rPr>
        <w:t>:</w:t>
      </w:r>
    </w:p>
    <w:p w:rsidR="004A1749" w:rsidRPr="00C06556" w:rsidRDefault="004A1749" w:rsidP="00F35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3507E" w:rsidRPr="00C06556" w:rsidTr="00A067B2">
        <w:tc>
          <w:tcPr>
            <w:tcW w:w="1838" w:type="dxa"/>
          </w:tcPr>
          <w:p w:rsidR="00F3507E" w:rsidRPr="00C06556" w:rsidRDefault="00F3507E" w:rsidP="00A067B2">
            <w:pPr>
              <w:rPr>
                <w:b/>
              </w:rPr>
            </w:pPr>
            <w:r w:rsidRPr="00C06556">
              <w:rPr>
                <w:b/>
              </w:rPr>
              <w:t>Industri</w:t>
            </w:r>
            <w:r w:rsidR="00E63157" w:rsidRPr="00C06556">
              <w:rPr>
                <w:b/>
              </w:rPr>
              <w:t>a</w:t>
            </w:r>
            <w:r w:rsidRPr="00C06556">
              <w:rPr>
                <w:b/>
              </w:rPr>
              <w:t>s</w:t>
            </w:r>
            <w:r w:rsidR="00E63157" w:rsidRPr="00C06556">
              <w:rPr>
                <w:b/>
              </w:rPr>
              <w:t xml:space="preserve"> creativas</w:t>
            </w:r>
          </w:p>
          <w:p w:rsidR="00F3507E" w:rsidRPr="00C06556" w:rsidRDefault="004A1749" w:rsidP="004A1749">
            <w:r w:rsidRPr="00C06556">
              <w:t>Ejecuta</w:t>
            </w:r>
            <w:r w:rsidR="00E63157" w:rsidRPr="00C06556">
              <w:t>do entre abril de </w:t>
            </w:r>
            <w:r w:rsidR="00F3507E" w:rsidRPr="00C06556">
              <w:t>2009</w:t>
            </w:r>
            <w:r w:rsidR="00E63157" w:rsidRPr="00C06556">
              <w:t xml:space="preserve"> y febrero de </w:t>
            </w:r>
            <w:r w:rsidR="00F3507E" w:rsidRPr="00C06556">
              <w:t>2010</w:t>
            </w:r>
          </w:p>
        </w:tc>
        <w:tc>
          <w:tcPr>
            <w:tcW w:w="7178" w:type="dxa"/>
          </w:tcPr>
          <w:p w:rsidR="00E63157" w:rsidRPr="00C06556" w:rsidRDefault="00E63157" w:rsidP="00E63157">
            <w:pPr>
              <w:numPr>
                <w:ilvl w:val="0"/>
                <w:numId w:val="8"/>
              </w:numPr>
            </w:pPr>
            <w:r w:rsidRPr="00C06556">
              <w:t>Asistir a los Estados miembros en la elaboración y el perfeccionamiento de la capacidad de las instituciones nacionales de P.I. para evaluar la importancia económica del sector c</w:t>
            </w:r>
            <w:r w:rsidR="004A1749" w:rsidRPr="00C06556">
              <w:t>reativo</w:t>
            </w:r>
            <w:r w:rsidRPr="00C06556">
              <w:t xml:space="preserve"> y la gestión de la P.I. en las industrias </w:t>
            </w:r>
            <w:r w:rsidR="004A1749" w:rsidRPr="00C06556">
              <w:t>creativas</w:t>
            </w:r>
            <w:r w:rsidRPr="00C06556">
              <w:t>;</w:t>
            </w:r>
          </w:p>
          <w:p w:rsidR="00E63157" w:rsidRPr="00C06556" w:rsidRDefault="00E63157" w:rsidP="00E63157">
            <w:pPr>
              <w:numPr>
                <w:ilvl w:val="0"/>
                <w:numId w:val="8"/>
              </w:numPr>
            </w:pPr>
            <w:r w:rsidRPr="00C06556">
              <w:t>preparar el terreno y sentar las bases para que las instituciones nacionales de P.I., los creadores y las partes interesadas pertenecientes a las industria</w:t>
            </w:r>
            <w:r w:rsidR="004A1749" w:rsidRPr="00C06556">
              <w:t>s</w:t>
            </w:r>
            <w:r w:rsidRPr="00C06556">
              <w:t xml:space="preserve"> </w:t>
            </w:r>
            <w:r w:rsidR="004A1749" w:rsidRPr="00C06556">
              <w:t>creativas</w:t>
            </w:r>
            <w:r w:rsidRPr="00C06556">
              <w:t xml:space="preserve"> puedan seguir desarrollando y mejorando su capacidad institucional;</w:t>
            </w:r>
          </w:p>
          <w:p w:rsidR="00E63157" w:rsidRPr="00C06556" w:rsidRDefault="00BA7E43" w:rsidP="00E63157">
            <w:pPr>
              <w:numPr>
                <w:ilvl w:val="0"/>
                <w:numId w:val="8"/>
              </w:numPr>
            </w:pPr>
            <w:r w:rsidRPr="00C06556">
              <w:t>adoptar herramientas de la OMPI para evaluar la contribución económica que aportan las industrias creativas y fomentar una toma de conciencia acerca de la función de la P.I. como factor de desarrollo económico, social y cultural</w:t>
            </w:r>
            <w:r w:rsidR="00E63157" w:rsidRPr="00C06556">
              <w:t>;</w:t>
            </w:r>
          </w:p>
          <w:p w:rsidR="00E63157" w:rsidRPr="00C06556" w:rsidRDefault="00E63157" w:rsidP="00E63157">
            <w:pPr>
              <w:numPr>
                <w:ilvl w:val="0"/>
                <w:numId w:val="8"/>
              </w:numPr>
            </w:pPr>
            <w:r w:rsidRPr="00C06556">
              <w:t xml:space="preserve">promover la comprensión de la incidencia general de las industrias </w:t>
            </w:r>
            <w:r w:rsidR="004A1749" w:rsidRPr="00C06556">
              <w:t>creativas</w:t>
            </w:r>
            <w:r w:rsidRPr="00C06556">
              <w:t xml:space="preserve"> en el desarrollo económico</w:t>
            </w:r>
            <w:r w:rsidR="004A1749" w:rsidRPr="00C06556">
              <w:t>, social</w:t>
            </w:r>
            <w:r w:rsidRPr="00C06556">
              <w:t xml:space="preserve"> y cultural;  y facilitar la </w:t>
            </w:r>
            <w:r w:rsidR="004A1749" w:rsidRPr="00C06556">
              <w:t>adopc</w:t>
            </w:r>
            <w:r w:rsidRPr="00C06556">
              <w:t>ión por los Estados miembros de indicadores destinados a medir el rendimiento de esas industrias;  y</w:t>
            </w:r>
          </w:p>
          <w:p w:rsidR="00F3507E" w:rsidRDefault="00E63157" w:rsidP="004A1749">
            <w:pPr>
              <w:numPr>
                <w:ilvl w:val="0"/>
                <w:numId w:val="8"/>
              </w:numPr>
            </w:pPr>
            <w:r w:rsidRPr="00C06556">
              <w:t>respaldar a los creadores, profesionalizar su actividad y mejorar su comprensión de la P.I., para que administr</w:t>
            </w:r>
            <w:r w:rsidR="004A1749" w:rsidRPr="00C06556">
              <w:t>en</w:t>
            </w:r>
            <w:r w:rsidRPr="00C06556">
              <w:t xml:space="preserve"> con eficacia los activos basados en la P.I. con miras a formular políticas/</w:t>
            </w:r>
            <w:r w:rsidR="004A1749" w:rsidRPr="00C06556">
              <w:t xml:space="preserve"> </w:t>
            </w:r>
            <w:r w:rsidRPr="00C06556">
              <w:t>estrategias de desarrollo e</w:t>
            </w:r>
            <w:r w:rsidR="004A1749" w:rsidRPr="00C06556">
              <w:t>conómico</w:t>
            </w:r>
            <w:r w:rsidRPr="00C06556">
              <w:t>.</w:t>
            </w:r>
          </w:p>
          <w:p w:rsidR="00C552B9" w:rsidRPr="00C06556" w:rsidRDefault="00C552B9" w:rsidP="00C552B9">
            <w:pPr>
              <w:ind w:left="720"/>
            </w:pPr>
          </w:p>
        </w:tc>
      </w:tr>
      <w:tr w:rsidR="00F3507E" w:rsidRPr="00C06556" w:rsidTr="00A067B2">
        <w:tc>
          <w:tcPr>
            <w:tcW w:w="1838" w:type="dxa"/>
          </w:tcPr>
          <w:p w:rsidR="00F3507E" w:rsidRPr="00C06556" w:rsidRDefault="00931D9E" w:rsidP="00A067B2">
            <w:pPr>
              <w:rPr>
                <w:b/>
              </w:rPr>
            </w:pPr>
            <w:r w:rsidRPr="00C06556">
              <w:rPr>
                <w:b/>
              </w:rPr>
              <w:t>Organismos de gestión colectiva</w:t>
            </w:r>
          </w:p>
          <w:p w:rsidR="00F3507E" w:rsidRPr="00C06556" w:rsidRDefault="004A1749" w:rsidP="004A1749">
            <w:r w:rsidRPr="00C06556">
              <w:t>Ejecut</w:t>
            </w:r>
            <w:r w:rsidR="00B62385" w:rsidRPr="00C06556">
              <w:t>ado entre abril de 2009 y julio de</w:t>
            </w:r>
            <w:r w:rsidR="00F3507E" w:rsidRPr="00C06556">
              <w:t> 2014</w:t>
            </w:r>
          </w:p>
        </w:tc>
        <w:tc>
          <w:tcPr>
            <w:tcW w:w="7178" w:type="dxa"/>
          </w:tcPr>
          <w:p w:rsidR="00F3507E" w:rsidRPr="00C06556" w:rsidRDefault="00066FEB" w:rsidP="00A067B2">
            <w:r w:rsidRPr="00C06556">
              <w:t>Facultar a los organismos de gestión colectiva en nueve países en desarrollo e</w:t>
            </w:r>
            <w:r w:rsidR="004A1749" w:rsidRPr="00C06556">
              <w:t>legidos</w:t>
            </w:r>
            <w:r w:rsidRPr="00C06556">
              <w:t xml:space="preserve"> para que puedan</w:t>
            </w:r>
            <w:r w:rsidR="00F3507E" w:rsidRPr="00C06556">
              <w:t>:</w:t>
            </w:r>
          </w:p>
          <w:p w:rsidR="00066FEB" w:rsidRPr="00C06556" w:rsidRDefault="00066FEB" w:rsidP="00066FEB">
            <w:pPr>
              <w:numPr>
                <w:ilvl w:val="0"/>
                <w:numId w:val="8"/>
              </w:numPr>
            </w:pPr>
            <w:r w:rsidRPr="00C06556">
              <w:t xml:space="preserve">ajustar con precisión la gestión colectiva del derecho de autor en la era de la gestión digital del derecho de autor y </w:t>
            </w:r>
            <w:r w:rsidR="004A1749" w:rsidRPr="00C06556">
              <w:t>d</w:t>
            </w:r>
            <w:r w:rsidRPr="00C06556">
              <w:t>el intercambio electrónico de datos;</w:t>
            </w:r>
          </w:p>
          <w:p w:rsidR="00066FEB" w:rsidRPr="00C06556" w:rsidRDefault="00066FEB" w:rsidP="00066FEB">
            <w:pPr>
              <w:numPr>
                <w:ilvl w:val="0"/>
                <w:numId w:val="8"/>
              </w:numPr>
            </w:pPr>
            <w:r w:rsidRPr="00C06556">
              <w:t>trabajar en el ámbito de la gestión colectiva con arreglo a normas internacionales actualizadas y prestar servicios a los creadores, las empresas basadas en derecho de autor y los consumidores nacionales, con puntualidad, eficacia, eficiencia y valor añadido;</w:t>
            </w:r>
          </w:p>
          <w:p w:rsidR="00066FEB" w:rsidRPr="00C06556" w:rsidRDefault="00066FEB" w:rsidP="00066FEB">
            <w:pPr>
              <w:numPr>
                <w:ilvl w:val="0"/>
                <w:numId w:val="8"/>
              </w:numPr>
            </w:pPr>
            <w:r w:rsidRPr="00C06556">
              <w:t xml:space="preserve">establecer un sistema moderno y durable de intercambio de datos para la creación de redes entre </w:t>
            </w:r>
            <w:r w:rsidR="004A1749" w:rsidRPr="00C06556">
              <w:t>los</w:t>
            </w:r>
            <w:r w:rsidRPr="00C06556">
              <w:t xml:space="preserve"> </w:t>
            </w:r>
            <w:r w:rsidR="004A1749" w:rsidRPr="00C06556">
              <w:t>organismos</w:t>
            </w:r>
            <w:r w:rsidRPr="00C06556">
              <w:t xml:space="preserve"> de gestión colectiva, que l</w:t>
            </w:r>
            <w:r w:rsidR="004A1749" w:rsidRPr="00C06556">
              <w:t>o</w:t>
            </w:r>
            <w:r w:rsidRPr="00C06556">
              <w:t>s vincule con los sistemas internacionales de gestión colectiva digital;</w:t>
            </w:r>
          </w:p>
          <w:p w:rsidR="00066FEB" w:rsidRPr="00C06556" w:rsidRDefault="00066FEB" w:rsidP="00066FEB">
            <w:pPr>
              <w:numPr>
                <w:ilvl w:val="0"/>
                <w:numId w:val="8"/>
              </w:numPr>
            </w:pPr>
            <w:r w:rsidRPr="00C06556">
              <w:t xml:space="preserve">lograr un sistema común eficaz </w:t>
            </w:r>
            <w:r w:rsidR="004A1749" w:rsidRPr="00C06556">
              <w:t xml:space="preserve">en función de los costos </w:t>
            </w:r>
            <w:r w:rsidRPr="00C06556">
              <w:t>y accesible para la constitución de una base de datos subregional descentralizada destinada a identificar las obras y los titulares de derechos con el fin de tramitar la distribución de regalías;</w:t>
            </w:r>
          </w:p>
          <w:p w:rsidR="00066FEB" w:rsidRPr="00C06556" w:rsidRDefault="004A1749" w:rsidP="00066FEB">
            <w:pPr>
              <w:numPr>
                <w:ilvl w:val="0"/>
                <w:numId w:val="8"/>
              </w:numPr>
            </w:pPr>
            <w:r w:rsidRPr="00C06556">
              <w:t>elabor</w:t>
            </w:r>
            <w:r w:rsidR="00066FEB" w:rsidRPr="00C06556">
              <w:t xml:space="preserve">ar bases de datos nacionales sobre obras, autores, titulares de derechos y distintas partes interesadas, con arreglo </w:t>
            </w:r>
            <w:r w:rsidR="00066FEB" w:rsidRPr="00C06556">
              <w:lastRenderedPageBreak/>
              <w:t>a las normas internacionales, y facilitar el acceso a esos recursos por otr</w:t>
            </w:r>
            <w:r w:rsidRPr="00C06556">
              <w:t>o</w:t>
            </w:r>
            <w:r w:rsidR="00066FEB" w:rsidRPr="00C06556">
              <w:t xml:space="preserve">s </w:t>
            </w:r>
            <w:r w:rsidRPr="00C06556">
              <w:t>organismos</w:t>
            </w:r>
            <w:r w:rsidR="00066FEB" w:rsidRPr="00C06556">
              <w:t xml:space="preserve"> de gestión colectiva </w:t>
            </w:r>
            <w:r w:rsidR="005D172E" w:rsidRPr="00C06556">
              <w:t>que fomenten</w:t>
            </w:r>
            <w:r w:rsidR="00066FEB" w:rsidRPr="00C06556">
              <w:t xml:space="preserve"> la eficacia y transparencia en la distribución y para que los ingresos regresen al país de los titulares de derechos;</w:t>
            </w:r>
          </w:p>
          <w:p w:rsidR="00F3507E" w:rsidRPr="00C06556" w:rsidRDefault="00066FEB" w:rsidP="004A1749">
            <w:pPr>
              <w:numPr>
                <w:ilvl w:val="0"/>
                <w:numId w:val="8"/>
              </w:numPr>
            </w:pPr>
            <w:r w:rsidRPr="00C06556">
              <w:t xml:space="preserve">valerse del impulso expansivo para acelerar </w:t>
            </w:r>
            <w:r w:rsidR="004A1749" w:rsidRPr="00C06556">
              <w:t>e</w:t>
            </w:r>
            <w:r w:rsidRPr="00C06556">
              <w:t>l</w:t>
            </w:r>
            <w:r w:rsidR="004A1749" w:rsidRPr="00C06556">
              <w:t xml:space="preserve"> establecimiento</w:t>
            </w:r>
            <w:r w:rsidRPr="00C06556">
              <w:t xml:space="preserve"> de </w:t>
            </w:r>
            <w:r w:rsidR="004A1749" w:rsidRPr="00C06556">
              <w:t>organismos</w:t>
            </w:r>
            <w:r w:rsidRPr="00C06556">
              <w:t xml:space="preserve"> de gestión colectiva, organizándol</w:t>
            </w:r>
            <w:r w:rsidR="004A1749" w:rsidRPr="00C06556">
              <w:t>o</w:t>
            </w:r>
            <w:r w:rsidRPr="00C06556">
              <w:t>s en redes en los países y las regiones en l</w:t>
            </w:r>
            <w:r w:rsidR="004A1749" w:rsidRPr="00C06556">
              <w:t>o</w:t>
            </w:r>
            <w:r w:rsidRPr="00C06556">
              <w:t xml:space="preserve">s que no </w:t>
            </w:r>
            <w:r w:rsidR="004A1749" w:rsidRPr="00C06556">
              <w:t>están presentes</w:t>
            </w:r>
            <w:r w:rsidRPr="00C06556">
              <w:t>.</w:t>
            </w:r>
          </w:p>
        </w:tc>
      </w:tr>
    </w:tbl>
    <w:p w:rsidR="00F3507E" w:rsidRPr="00C06556" w:rsidRDefault="00F3507E" w:rsidP="00F3507E"/>
    <w:p w:rsidR="00A62F28" w:rsidRPr="00C06556" w:rsidRDefault="00A62F28" w:rsidP="00A62F28">
      <w:r w:rsidRPr="00C06556">
        <w:t xml:space="preserve">La presente evaluación ha sido </w:t>
      </w:r>
      <w:r w:rsidR="005D172E" w:rsidRPr="00C06556">
        <w:t>elaborada</w:t>
      </w:r>
      <w:r w:rsidRPr="00C06556">
        <w:t xml:space="preserve"> por una consultora independiente y con arreglo a la siguiente metodología:</w:t>
      </w:r>
    </w:p>
    <w:p w:rsidR="00F3507E" w:rsidRPr="00C06556" w:rsidRDefault="00F3507E" w:rsidP="00F3507E"/>
    <w:p w:rsidR="00F3507E" w:rsidRPr="00C06556" w:rsidRDefault="00A62F28" w:rsidP="00A62F28">
      <w:pPr>
        <w:numPr>
          <w:ilvl w:val="0"/>
          <w:numId w:val="7"/>
        </w:numPr>
      </w:pPr>
      <w:r w:rsidRPr="00C06556">
        <w:t>Entrevistas con los principales interesados del equipo del proyecto y la Secretaría de la OMPI</w:t>
      </w:r>
      <w:r w:rsidR="00F3507E" w:rsidRPr="00C06556">
        <w:t>.</w:t>
      </w:r>
    </w:p>
    <w:p w:rsidR="0079311F" w:rsidRPr="00C06556" w:rsidRDefault="0079311F" w:rsidP="0079311F">
      <w:pPr>
        <w:ind w:left="720"/>
      </w:pPr>
    </w:p>
    <w:p w:rsidR="00F3507E" w:rsidRPr="00C06556" w:rsidRDefault="00A62F28" w:rsidP="0079311F">
      <w:pPr>
        <w:numPr>
          <w:ilvl w:val="0"/>
          <w:numId w:val="7"/>
        </w:numPr>
      </w:pPr>
      <w:r w:rsidRPr="00C06556">
        <w:t>E</w:t>
      </w:r>
      <w:r w:rsidR="0079311F" w:rsidRPr="00C06556">
        <w:t>xamen de los documentos pertinentes esenciales</w:t>
      </w:r>
      <w:r w:rsidR="00F3507E" w:rsidRPr="00C06556">
        <w:t>.</w:t>
      </w:r>
    </w:p>
    <w:p w:rsidR="00F3507E" w:rsidRPr="00C06556" w:rsidRDefault="00F3507E" w:rsidP="00F3507E"/>
    <w:p w:rsidR="00F3507E" w:rsidRPr="00C06556" w:rsidRDefault="0079311F" w:rsidP="0079311F">
      <w:pPr>
        <w:numPr>
          <w:ilvl w:val="0"/>
          <w:numId w:val="7"/>
        </w:numPr>
      </w:pPr>
      <w:r w:rsidRPr="00C06556">
        <w:t>Incorporación de aclaraciones concretas de la Secretaría de la OMPI al informe final de evaluación</w:t>
      </w:r>
      <w:r w:rsidR="00F3507E" w:rsidRPr="00C06556">
        <w:t>.</w:t>
      </w:r>
    </w:p>
    <w:p w:rsidR="00F3507E" w:rsidRPr="00C06556" w:rsidRDefault="00F3507E" w:rsidP="00F3507E">
      <w:pPr>
        <w:ind w:left="720"/>
      </w:pPr>
    </w:p>
    <w:p w:rsidR="0079311F" w:rsidRPr="00C06556" w:rsidRDefault="0079311F" w:rsidP="0079311F">
      <w:r w:rsidRPr="00C06556">
        <w:t xml:space="preserve">Los objetivos de la evaluación consisten en </w:t>
      </w:r>
      <w:r w:rsidR="005D172E" w:rsidRPr="00C06556">
        <w:t>comprender los</w:t>
      </w:r>
      <w:r w:rsidRPr="00C06556">
        <w:t xml:space="preserve"> aspectos del proyecto </w:t>
      </w:r>
      <w:r w:rsidR="005D172E" w:rsidRPr="00C06556">
        <w:t xml:space="preserve">que </w:t>
      </w:r>
      <w:r w:rsidRPr="00C06556">
        <w:t xml:space="preserve">han funcionado </w:t>
      </w:r>
      <w:r w:rsidR="005D172E" w:rsidRPr="00C06556">
        <w:t xml:space="preserve">de manera </w:t>
      </w:r>
      <w:r w:rsidRPr="00C06556">
        <w:t xml:space="preserve">satisfactoria y </w:t>
      </w:r>
      <w:r w:rsidR="005D172E" w:rsidRPr="00C06556">
        <w:t>los que</w:t>
      </w:r>
      <w:r w:rsidRPr="00C06556">
        <w:t xml:space="preserve"> no lo han hecho, e</w:t>
      </w:r>
      <w:r w:rsidR="005D172E" w:rsidRPr="00C06556">
        <w:t>studia</w:t>
      </w:r>
      <w:r w:rsidRPr="00C06556">
        <w:t>ndo con ese fin el marco conceptual y la gestión del proyecto</w:t>
      </w:r>
      <w:r w:rsidR="005D172E" w:rsidRPr="00C06556">
        <w:t>,</w:t>
      </w:r>
      <w:r w:rsidRPr="00C06556">
        <w:t xml:space="preserve"> así como los resultados obtenidos hasta la fecha y la probabilidad de que </w:t>
      </w:r>
      <w:r w:rsidR="005D172E" w:rsidRPr="00C06556">
        <w:t>es</w:t>
      </w:r>
      <w:r w:rsidRPr="00C06556">
        <w:t>os resultados sean sostenibles.</w:t>
      </w:r>
    </w:p>
    <w:p w:rsidR="00F3507E" w:rsidRPr="00C06556" w:rsidRDefault="00F3507E" w:rsidP="00F3507E"/>
    <w:p w:rsidR="00F3507E" w:rsidRPr="00C06556" w:rsidRDefault="00F3507E" w:rsidP="00F3507E"/>
    <w:p w:rsidR="00F3507E" w:rsidRPr="00C06556" w:rsidRDefault="0079311F" w:rsidP="00F3507E">
      <w:pPr>
        <w:rPr>
          <w:b/>
        </w:rPr>
      </w:pPr>
      <w:r w:rsidRPr="00C06556">
        <w:rPr>
          <w:b/>
        </w:rPr>
        <w:t>Conclusiones principales</w:t>
      </w:r>
    </w:p>
    <w:p w:rsidR="00F3507E" w:rsidRPr="00C06556" w:rsidRDefault="00F3507E" w:rsidP="00F3507E">
      <w:pPr>
        <w:rPr>
          <w:b/>
        </w:rPr>
      </w:pPr>
    </w:p>
    <w:p w:rsidR="0079311F" w:rsidRPr="00C06556" w:rsidRDefault="0079311F" w:rsidP="0079311F">
      <w:r w:rsidRPr="00C06556">
        <w:t xml:space="preserve">Se exponen </w:t>
      </w:r>
      <w:r w:rsidR="005D172E" w:rsidRPr="00C06556">
        <w:t xml:space="preserve">las </w:t>
      </w:r>
      <w:r w:rsidRPr="00C06556">
        <w:t>conclusiones en cada uno de los ámbitos en los que se ha centrado la evaluación:</w:t>
      </w:r>
    </w:p>
    <w:p w:rsidR="00F3507E" w:rsidRPr="00C06556" w:rsidRDefault="00F3507E" w:rsidP="00F3507E"/>
    <w:p w:rsidR="00F3507E" w:rsidRPr="00C06556" w:rsidRDefault="000D3458" w:rsidP="00F3507E">
      <w:pPr>
        <w:numPr>
          <w:ilvl w:val="0"/>
          <w:numId w:val="7"/>
        </w:numPr>
        <w:ind w:left="924" w:hanging="357"/>
      </w:pPr>
      <w:r>
        <w:t>c</w:t>
      </w:r>
      <w:r w:rsidR="0079311F" w:rsidRPr="00C06556">
        <w:t>oncepción y gestión del proyecto</w:t>
      </w:r>
      <w:r w:rsidR="00F3507E" w:rsidRPr="00C06556">
        <w:t>;</w:t>
      </w:r>
    </w:p>
    <w:p w:rsidR="00F3507E" w:rsidRPr="00C06556" w:rsidRDefault="00F3507E" w:rsidP="00F3507E">
      <w:pPr>
        <w:ind w:left="924"/>
      </w:pPr>
    </w:p>
    <w:p w:rsidR="00F3507E" w:rsidRPr="00C06556" w:rsidRDefault="000D3458" w:rsidP="00F3507E">
      <w:pPr>
        <w:numPr>
          <w:ilvl w:val="0"/>
          <w:numId w:val="7"/>
        </w:numPr>
        <w:ind w:left="924" w:hanging="357"/>
      </w:pPr>
      <w:r>
        <w:t>e</w:t>
      </w:r>
      <w:r w:rsidR="0079311F" w:rsidRPr="00C06556">
        <w:t>ficacia del proyecto</w:t>
      </w:r>
      <w:r w:rsidR="00F3507E" w:rsidRPr="00C06556">
        <w:t xml:space="preserve">;  </w:t>
      </w:r>
      <w:r w:rsidR="0079311F" w:rsidRPr="00C06556">
        <w:t>y</w:t>
      </w:r>
    </w:p>
    <w:p w:rsidR="00F3507E" w:rsidRPr="00C06556" w:rsidRDefault="00F3507E" w:rsidP="00F3507E"/>
    <w:p w:rsidR="00F3507E" w:rsidRPr="00C06556" w:rsidRDefault="000D3458" w:rsidP="00F3507E">
      <w:pPr>
        <w:numPr>
          <w:ilvl w:val="0"/>
          <w:numId w:val="7"/>
        </w:numPr>
        <w:ind w:left="924" w:hanging="357"/>
      </w:pPr>
      <w:r>
        <w:t>a</w:t>
      </w:r>
      <w:r w:rsidR="0079311F" w:rsidRPr="00C06556">
        <w:t>utosuficiencia del proyecto</w:t>
      </w:r>
      <w:r w:rsidR="00F3507E" w:rsidRPr="00C06556">
        <w:t>.</w:t>
      </w:r>
    </w:p>
    <w:p w:rsidR="00F3507E" w:rsidRPr="00C06556" w:rsidRDefault="00F3507E" w:rsidP="00F3507E">
      <w:pPr>
        <w:rPr>
          <w:b/>
          <w:i/>
        </w:rPr>
      </w:pPr>
    </w:p>
    <w:p w:rsidR="00F3507E" w:rsidRPr="00C06556" w:rsidRDefault="0079311F" w:rsidP="00F3507E">
      <w:pPr>
        <w:rPr>
          <w:b/>
          <w:i/>
        </w:rPr>
      </w:pPr>
      <w:r w:rsidRPr="00C06556">
        <w:rPr>
          <w:b/>
          <w:i/>
        </w:rPr>
        <w:t>Concepción y gestión del proyecto</w:t>
      </w:r>
    </w:p>
    <w:p w:rsidR="00F3507E" w:rsidRDefault="00F3507E" w:rsidP="00F3507E">
      <w:pPr>
        <w:rPr>
          <w:b/>
          <w:i/>
        </w:rPr>
      </w:pPr>
    </w:p>
    <w:p w:rsidR="00C552B9" w:rsidRPr="00C06556" w:rsidRDefault="00C552B9" w:rsidP="00F3507E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507E" w:rsidRPr="00C06556" w:rsidTr="00A067B2">
        <w:tc>
          <w:tcPr>
            <w:tcW w:w="9016" w:type="dxa"/>
          </w:tcPr>
          <w:p w:rsidR="00F3507E" w:rsidRPr="00C06556" w:rsidRDefault="009C0D52" w:rsidP="00A067B2">
            <w:pPr>
              <w:rPr>
                <w:i/>
              </w:rPr>
            </w:pPr>
            <w:r w:rsidRPr="00C06556">
              <w:rPr>
                <w:b/>
                <w:i/>
              </w:rPr>
              <w:t>Conclusión</w:t>
            </w:r>
            <w:r w:rsidR="00F3507E" w:rsidRPr="00C06556">
              <w:rPr>
                <w:b/>
                <w:i/>
              </w:rPr>
              <w:t xml:space="preserve"> 1</w:t>
            </w:r>
            <w:proofErr w:type="gramStart"/>
            <w:r w:rsidR="00F3507E" w:rsidRPr="00C06556">
              <w:rPr>
                <w:b/>
                <w:i/>
              </w:rPr>
              <w:t xml:space="preserve">:  </w:t>
            </w:r>
            <w:r w:rsidRPr="00C06556">
              <w:rPr>
                <w:i/>
              </w:rPr>
              <w:t>Los</w:t>
            </w:r>
            <w:proofErr w:type="gramEnd"/>
            <w:r w:rsidRPr="00C06556">
              <w:rPr>
                <w:i/>
              </w:rPr>
              <w:t xml:space="preserve"> documentos del proyecto</w:t>
            </w:r>
            <w:r w:rsidR="00F3507E" w:rsidRPr="00C06556">
              <w:rPr>
                <w:i/>
              </w:rPr>
              <w:t xml:space="preserve"> </w:t>
            </w:r>
            <w:r w:rsidR="004B1273" w:rsidRPr="00C06556">
              <w:rPr>
                <w:i/>
              </w:rPr>
              <w:t>aportan un breve panorama general de</w:t>
            </w:r>
            <w:r w:rsidR="005D172E" w:rsidRPr="00C06556">
              <w:rPr>
                <w:i/>
              </w:rPr>
              <w:t xml:space="preserve"> este</w:t>
            </w:r>
            <w:r w:rsidR="004B1273" w:rsidRPr="00C06556">
              <w:rPr>
                <w:i/>
              </w:rPr>
              <w:t xml:space="preserve"> para mantener informados a los Estados miembros sobre las principales actividades programadas.  No se destaca suficientemente el carácter separado y no relacionado de los dos proyectos contenidos en el documento de proyecto.  Los documentos no proporcionan orientaciones a los dir</w:t>
            </w:r>
            <w:r w:rsidR="005D172E" w:rsidRPr="00C06556">
              <w:rPr>
                <w:i/>
              </w:rPr>
              <w:t>ecto</w:t>
            </w:r>
            <w:r w:rsidR="004B1273" w:rsidRPr="00C06556">
              <w:rPr>
                <w:i/>
              </w:rPr>
              <w:t>res de proyecto en lo que concierne a los enfoques de gestión y ejecución del proyecto</w:t>
            </w:r>
            <w:r w:rsidR="00F3507E" w:rsidRPr="00C06556">
              <w:rPr>
                <w:i/>
              </w:rPr>
              <w:t xml:space="preserve">. </w:t>
            </w:r>
          </w:p>
          <w:p w:rsidR="00F3507E" w:rsidRPr="00C06556" w:rsidRDefault="00F3507E" w:rsidP="00A067B2">
            <w:pPr>
              <w:rPr>
                <w:i/>
              </w:rPr>
            </w:pPr>
          </w:p>
        </w:tc>
      </w:tr>
      <w:tr w:rsidR="00F3507E" w:rsidRPr="00C06556" w:rsidTr="00A067B2">
        <w:tc>
          <w:tcPr>
            <w:tcW w:w="9016" w:type="dxa"/>
          </w:tcPr>
          <w:p w:rsidR="00F3507E" w:rsidRPr="00C06556" w:rsidRDefault="009C0D52" w:rsidP="00A067B2">
            <w:pPr>
              <w:rPr>
                <w:i/>
              </w:rPr>
            </w:pPr>
            <w:r w:rsidRPr="00C06556">
              <w:rPr>
                <w:b/>
                <w:i/>
              </w:rPr>
              <w:t>Conclusión</w:t>
            </w:r>
            <w:r w:rsidR="00F3507E" w:rsidRPr="00C06556">
              <w:rPr>
                <w:b/>
                <w:i/>
              </w:rPr>
              <w:t xml:space="preserve"> 2:  </w:t>
            </w:r>
            <w:r w:rsidR="005D172E" w:rsidRPr="00C06556">
              <w:rPr>
                <w:i/>
              </w:rPr>
              <w:t>S</w:t>
            </w:r>
            <w:r w:rsidR="00837A7D" w:rsidRPr="00C06556">
              <w:rPr>
                <w:i/>
              </w:rPr>
              <w:t xml:space="preserve">e </w:t>
            </w:r>
            <w:r w:rsidR="005D172E" w:rsidRPr="00C06556">
              <w:rPr>
                <w:i/>
              </w:rPr>
              <w:t>i</w:t>
            </w:r>
            <w:r w:rsidR="00837A7D" w:rsidRPr="00C06556">
              <w:rPr>
                <w:i/>
              </w:rPr>
              <w:t>de</w:t>
            </w:r>
            <w:r w:rsidR="005D172E" w:rsidRPr="00C06556">
              <w:rPr>
                <w:i/>
              </w:rPr>
              <w:t>ntifica</w:t>
            </w:r>
            <w:r w:rsidR="00837A7D" w:rsidRPr="00C06556">
              <w:rPr>
                <w:i/>
              </w:rPr>
              <w:t xml:space="preserve">ron varios riesgos del proyecto con antelación, y durante la ejecución, en los informes sobre la marcha </w:t>
            </w:r>
            <w:r w:rsidR="005D172E" w:rsidRPr="00C06556">
              <w:rPr>
                <w:i/>
              </w:rPr>
              <w:t xml:space="preserve">de las actividades </w:t>
            </w:r>
            <w:r w:rsidR="00837A7D" w:rsidRPr="00C06556">
              <w:rPr>
                <w:i/>
              </w:rPr>
              <w:t xml:space="preserve">y </w:t>
            </w:r>
            <w:r w:rsidR="005D172E" w:rsidRPr="00C06556">
              <w:rPr>
                <w:i/>
              </w:rPr>
              <w:t xml:space="preserve">en </w:t>
            </w:r>
            <w:r w:rsidR="00837A7D" w:rsidRPr="00C06556">
              <w:rPr>
                <w:i/>
              </w:rPr>
              <w:t xml:space="preserve">los documentos iniciales del proyecto.  Se programaron estrategias de mitigación para abordar esos riesgos y, en algunos casos, </w:t>
            </w:r>
            <w:r w:rsidR="005D172E" w:rsidRPr="00C06556">
              <w:rPr>
                <w:i/>
              </w:rPr>
              <w:t>surgieron</w:t>
            </w:r>
            <w:r w:rsidR="00837A7D" w:rsidRPr="00C06556">
              <w:rPr>
                <w:i/>
              </w:rPr>
              <w:t xml:space="preserve"> los riesgos </w:t>
            </w:r>
            <w:r w:rsidR="005D172E" w:rsidRPr="00C06556">
              <w:rPr>
                <w:i/>
              </w:rPr>
              <w:t>i</w:t>
            </w:r>
            <w:r w:rsidR="00837A7D" w:rsidRPr="00C06556">
              <w:rPr>
                <w:i/>
              </w:rPr>
              <w:t>de</w:t>
            </w:r>
            <w:r w:rsidR="005D172E" w:rsidRPr="00C06556">
              <w:rPr>
                <w:i/>
              </w:rPr>
              <w:t>ntificados</w:t>
            </w:r>
            <w:r w:rsidR="00837A7D" w:rsidRPr="00C06556">
              <w:rPr>
                <w:i/>
              </w:rPr>
              <w:t xml:space="preserve"> y se adoptaron los enfoques de mitigación pertinentes para superarlos</w:t>
            </w:r>
            <w:r w:rsidR="00F3507E" w:rsidRPr="00C06556">
              <w:rPr>
                <w:i/>
              </w:rPr>
              <w:t>.</w:t>
            </w:r>
          </w:p>
          <w:p w:rsidR="00F3507E" w:rsidRPr="00C06556" w:rsidRDefault="00F3507E" w:rsidP="00A067B2">
            <w:pPr>
              <w:rPr>
                <w:i/>
              </w:rPr>
            </w:pPr>
          </w:p>
        </w:tc>
      </w:tr>
      <w:tr w:rsidR="00F3507E" w:rsidRPr="00C06556" w:rsidTr="00C552B9">
        <w:trPr>
          <w:cantSplit/>
        </w:trPr>
        <w:tc>
          <w:tcPr>
            <w:tcW w:w="9016" w:type="dxa"/>
          </w:tcPr>
          <w:p w:rsidR="00F3507E" w:rsidRPr="00C06556" w:rsidRDefault="009C0D52" w:rsidP="00A067B2">
            <w:pPr>
              <w:rPr>
                <w:i/>
              </w:rPr>
            </w:pPr>
            <w:r w:rsidRPr="00C06556">
              <w:rPr>
                <w:b/>
                <w:i/>
              </w:rPr>
              <w:lastRenderedPageBreak/>
              <w:t>Conclusión</w:t>
            </w:r>
            <w:r w:rsidR="00F3507E" w:rsidRPr="00C06556">
              <w:rPr>
                <w:b/>
                <w:i/>
              </w:rPr>
              <w:t xml:space="preserve"> 3:  </w:t>
            </w:r>
            <w:r w:rsidR="002664A7" w:rsidRPr="00C06556">
              <w:rPr>
                <w:i/>
              </w:rPr>
              <w:t xml:space="preserve">En ambos componentes del proyecto se incorporaron enfoques </w:t>
            </w:r>
            <w:r w:rsidR="005D172E" w:rsidRPr="00C06556">
              <w:rPr>
                <w:i/>
              </w:rPr>
              <w:t>encaminados a garantizar</w:t>
            </w:r>
            <w:r w:rsidR="002664A7" w:rsidRPr="00C06556">
              <w:rPr>
                <w:i/>
              </w:rPr>
              <w:t xml:space="preserve"> la capacidad de respuesta a las nuevas tendencias</w:t>
            </w:r>
            <w:r w:rsidR="005D172E" w:rsidRPr="00C06556">
              <w:rPr>
                <w:i/>
              </w:rPr>
              <w:t xml:space="preserve">, ya sea </w:t>
            </w:r>
            <w:r w:rsidR="002664A7" w:rsidRPr="00C06556">
              <w:rPr>
                <w:i/>
              </w:rPr>
              <w:t xml:space="preserve">mediante la inclusión de la adaptación a la nueva tecnología en los programas de los talleres </w:t>
            </w:r>
            <w:r w:rsidR="00F3507E" w:rsidRPr="00C06556">
              <w:rPr>
                <w:i/>
              </w:rPr>
              <w:t>(</w:t>
            </w:r>
            <w:r w:rsidR="002664A7" w:rsidRPr="00C06556">
              <w:rPr>
                <w:i/>
              </w:rPr>
              <w:t xml:space="preserve">industrias </w:t>
            </w:r>
            <w:r w:rsidR="00F3507E" w:rsidRPr="00C06556">
              <w:rPr>
                <w:i/>
              </w:rPr>
              <w:t>creativ</w:t>
            </w:r>
            <w:r w:rsidR="002664A7" w:rsidRPr="00C06556">
              <w:rPr>
                <w:i/>
              </w:rPr>
              <w:t>as</w:t>
            </w:r>
            <w:r w:rsidR="00F3507E" w:rsidRPr="00C06556">
              <w:rPr>
                <w:i/>
              </w:rPr>
              <w:t xml:space="preserve">) o </w:t>
            </w:r>
            <w:r w:rsidR="002664A7" w:rsidRPr="00C06556">
              <w:rPr>
                <w:i/>
              </w:rPr>
              <w:t>el seguimiento de los avances tecnológicos para poder responder al cambio externo según proceda</w:t>
            </w:r>
            <w:r w:rsidR="00F3507E" w:rsidRPr="00C06556">
              <w:rPr>
                <w:i/>
              </w:rPr>
              <w:t xml:space="preserve"> (</w:t>
            </w:r>
            <w:r w:rsidR="002664A7" w:rsidRPr="00C06556">
              <w:rPr>
                <w:i/>
              </w:rPr>
              <w:t>organismos de gestión colectiva</w:t>
            </w:r>
            <w:r w:rsidR="00F3507E" w:rsidRPr="00C06556">
              <w:rPr>
                <w:i/>
              </w:rPr>
              <w:t>).</w:t>
            </w:r>
          </w:p>
          <w:p w:rsidR="00F3507E" w:rsidRPr="00C06556" w:rsidRDefault="00F3507E" w:rsidP="00A067B2">
            <w:pPr>
              <w:rPr>
                <w:i/>
              </w:rPr>
            </w:pPr>
          </w:p>
        </w:tc>
      </w:tr>
      <w:tr w:rsidR="00F3507E" w:rsidRPr="00C06556" w:rsidTr="00A067B2">
        <w:tc>
          <w:tcPr>
            <w:tcW w:w="9016" w:type="dxa"/>
          </w:tcPr>
          <w:p w:rsidR="00F3507E" w:rsidRPr="00C06556" w:rsidRDefault="009C0D52" w:rsidP="00A067B2">
            <w:pPr>
              <w:rPr>
                <w:i/>
              </w:rPr>
            </w:pPr>
            <w:r w:rsidRPr="00C06556">
              <w:rPr>
                <w:b/>
                <w:i/>
              </w:rPr>
              <w:t>Conclusión</w:t>
            </w:r>
            <w:r w:rsidR="00F3507E" w:rsidRPr="00C06556">
              <w:rPr>
                <w:b/>
                <w:i/>
              </w:rPr>
              <w:t xml:space="preserve"> 4:  </w:t>
            </w:r>
            <w:r w:rsidR="00F3507E" w:rsidRPr="00C06556">
              <w:rPr>
                <w:i/>
              </w:rPr>
              <w:t>N</w:t>
            </w:r>
            <w:r w:rsidR="00216E88" w:rsidRPr="00C06556">
              <w:rPr>
                <w:i/>
              </w:rPr>
              <w:t xml:space="preserve">inguno de los dos componentes del proyecto ha requerido aportes importantes o </w:t>
            </w:r>
            <w:r w:rsidR="005D172E" w:rsidRPr="00C06556">
              <w:rPr>
                <w:i/>
              </w:rPr>
              <w:t xml:space="preserve">la </w:t>
            </w:r>
            <w:r w:rsidR="00216E88" w:rsidRPr="00C06556">
              <w:rPr>
                <w:i/>
              </w:rPr>
              <w:t xml:space="preserve">participación de </w:t>
            </w:r>
            <w:r w:rsidR="0094351E" w:rsidRPr="00C06556">
              <w:rPr>
                <w:i/>
              </w:rPr>
              <w:t>otras dependencias de la Secretaría</w:t>
            </w:r>
            <w:r w:rsidR="00216E88" w:rsidRPr="00C06556">
              <w:rPr>
                <w:i/>
              </w:rPr>
              <w:t xml:space="preserve"> de la OMPI.  Los dos agentes internos que han tenido cierta participación son la </w:t>
            </w:r>
            <w:r w:rsidR="0094351E" w:rsidRPr="00C06556">
              <w:rPr>
                <w:i/>
              </w:rPr>
              <w:t>Oficina Regional en la sede para África</w:t>
            </w:r>
            <w:r w:rsidR="00216E88" w:rsidRPr="00C06556">
              <w:rPr>
                <w:i/>
              </w:rPr>
              <w:t xml:space="preserve"> en el componente de las industrias creativas</w:t>
            </w:r>
            <w:r w:rsidR="005D172E" w:rsidRPr="00C06556">
              <w:rPr>
                <w:i/>
              </w:rPr>
              <w:t>,</w:t>
            </w:r>
            <w:r w:rsidR="00216E88" w:rsidRPr="00C06556">
              <w:rPr>
                <w:i/>
              </w:rPr>
              <w:t xml:space="preserve"> y </w:t>
            </w:r>
            <w:r w:rsidR="00C669F7" w:rsidRPr="00C06556">
              <w:rPr>
                <w:i/>
              </w:rPr>
              <w:t xml:space="preserve">el Departamento de Tecnologías de la Información y las Comunicaciones para </w:t>
            </w:r>
            <w:r w:rsidR="00216E88" w:rsidRPr="00C06556">
              <w:rPr>
                <w:i/>
              </w:rPr>
              <w:t>el suministro de aportes técnicos al componente de los organismos de gestión colectiva</w:t>
            </w:r>
            <w:r w:rsidR="00F3507E" w:rsidRPr="00C06556">
              <w:rPr>
                <w:i/>
              </w:rPr>
              <w:t>.</w:t>
            </w:r>
          </w:p>
          <w:p w:rsidR="00F3507E" w:rsidRPr="00C06556" w:rsidRDefault="00F3507E" w:rsidP="00A067B2">
            <w:pPr>
              <w:rPr>
                <w:i/>
              </w:rPr>
            </w:pPr>
          </w:p>
        </w:tc>
      </w:tr>
      <w:tr w:rsidR="00F3507E" w:rsidRPr="00C06556" w:rsidTr="00A067B2">
        <w:tc>
          <w:tcPr>
            <w:tcW w:w="9016" w:type="dxa"/>
          </w:tcPr>
          <w:p w:rsidR="00F3507E" w:rsidRPr="00C06556" w:rsidRDefault="009C0D52" w:rsidP="00A067B2">
            <w:pPr>
              <w:rPr>
                <w:i/>
              </w:rPr>
            </w:pPr>
            <w:r w:rsidRPr="00C06556">
              <w:rPr>
                <w:b/>
                <w:i/>
              </w:rPr>
              <w:t>Conclusión</w:t>
            </w:r>
            <w:r w:rsidR="00F3507E" w:rsidRPr="00C06556">
              <w:rPr>
                <w:b/>
                <w:i/>
              </w:rPr>
              <w:t xml:space="preserve"> 5:</w:t>
            </w:r>
            <w:r w:rsidR="00F3507E" w:rsidRPr="00C06556">
              <w:rPr>
                <w:i/>
              </w:rPr>
              <w:t xml:space="preserve">  </w:t>
            </w:r>
            <w:r w:rsidR="00F838C7" w:rsidRPr="00C06556">
              <w:rPr>
                <w:i/>
              </w:rPr>
              <w:t>Ha habido una participación limitada de los Estados miembros en los dos componentes del proyecto</w:t>
            </w:r>
            <w:r w:rsidR="00011727">
              <w:rPr>
                <w:i/>
              </w:rPr>
              <w:t>,</w:t>
            </w:r>
            <w:r w:rsidR="00F838C7" w:rsidRPr="00C06556">
              <w:rPr>
                <w:i/>
              </w:rPr>
              <w:t xml:space="preserve"> </w:t>
            </w:r>
            <w:r w:rsidR="00C669F7" w:rsidRPr="00C06556">
              <w:rPr>
                <w:i/>
              </w:rPr>
              <w:t>pero</w:t>
            </w:r>
            <w:r w:rsidR="00F838C7" w:rsidRPr="00C06556">
              <w:rPr>
                <w:i/>
              </w:rPr>
              <w:t xml:space="preserve"> se les ha informado periódicamente </w:t>
            </w:r>
            <w:r w:rsidR="00C669F7" w:rsidRPr="00C06556">
              <w:rPr>
                <w:i/>
              </w:rPr>
              <w:t>sobre</w:t>
            </w:r>
            <w:r w:rsidR="00F838C7" w:rsidRPr="00C06556">
              <w:rPr>
                <w:i/>
              </w:rPr>
              <w:t xml:space="preserve"> la marcha del proyecto</w:t>
            </w:r>
            <w:r w:rsidR="00F3507E" w:rsidRPr="00C06556">
              <w:rPr>
                <w:i/>
              </w:rPr>
              <w:t>.</w:t>
            </w:r>
          </w:p>
          <w:p w:rsidR="00F3507E" w:rsidRPr="00C06556" w:rsidRDefault="00F3507E" w:rsidP="00A067B2">
            <w:pPr>
              <w:rPr>
                <w:i/>
              </w:rPr>
            </w:pPr>
          </w:p>
        </w:tc>
      </w:tr>
      <w:tr w:rsidR="00F3507E" w:rsidRPr="00C06556" w:rsidTr="00A067B2">
        <w:tc>
          <w:tcPr>
            <w:tcW w:w="9016" w:type="dxa"/>
          </w:tcPr>
          <w:p w:rsidR="00F3507E" w:rsidRDefault="009C0D52" w:rsidP="00011727">
            <w:pPr>
              <w:rPr>
                <w:i/>
              </w:rPr>
            </w:pPr>
            <w:r w:rsidRPr="00C06556">
              <w:rPr>
                <w:b/>
                <w:i/>
              </w:rPr>
              <w:t>Conclusión</w:t>
            </w:r>
            <w:r w:rsidR="00F3507E" w:rsidRPr="00C06556">
              <w:rPr>
                <w:b/>
                <w:i/>
              </w:rPr>
              <w:t xml:space="preserve"> 6:</w:t>
            </w:r>
            <w:r w:rsidR="00F3507E" w:rsidRPr="00C06556">
              <w:rPr>
                <w:i/>
              </w:rPr>
              <w:t xml:space="preserve">  </w:t>
            </w:r>
            <w:r w:rsidR="00F838C7" w:rsidRPr="00C06556">
              <w:rPr>
                <w:i/>
              </w:rPr>
              <w:t>E</w:t>
            </w:r>
            <w:r w:rsidR="00C669F7" w:rsidRPr="00C06556">
              <w:rPr>
                <w:i/>
              </w:rPr>
              <w:t>n e</w:t>
            </w:r>
            <w:r w:rsidR="00F838C7" w:rsidRPr="00C06556">
              <w:rPr>
                <w:i/>
              </w:rPr>
              <w:t>l componente de las industrias creativas</w:t>
            </w:r>
            <w:r w:rsidR="00F3507E" w:rsidRPr="00C06556">
              <w:rPr>
                <w:i/>
              </w:rPr>
              <w:t xml:space="preserve"> </w:t>
            </w:r>
            <w:r w:rsidR="00C669F7" w:rsidRPr="00C06556">
              <w:rPr>
                <w:i/>
              </w:rPr>
              <w:t>fue posible res</w:t>
            </w:r>
            <w:r w:rsidR="00F838C7" w:rsidRPr="00C06556">
              <w:rPr>
                <w:i/>
              </w:rPr>
              <w:t xml:space="preserve">petar </w:t>
            </w:r>
            <w:r w:rsidR="00C669F7" w:rsidRPr="00C06556">
              <w:rPr>
                <w:i/>
              </w:rPr>
              <w:t>e</w:t>
            </w:r>
            <w:r w:rsidR="00F838C7" w:rsidRPr="00C06556">
              <w:rPr>
                <w:i/>
              </w:rPr>
              <w:t xml:space="preserve">l plazo </w:t>
            </w:r>
            <w:r w:rsidR="00C669F7" w:rsidRPr="00C06556">
              <w:rPr>
                <w:i/>
              </w:rPr>
              <w:t>programado,</w:t>
            </w:r>
            <w:r w:rsidR="00F838C7" w:rsidRPr="00C06556">
              <w:rPr>
                <w:i/>
              </w:rPr>
              <w:t xml:space="preserve"> y todas las actividades </w:t>
            </w:r>
            <w:r w:rsidR="00011727">
              <w:rPr>
                <w:i/>
              </w:rPr>
              <w:t>finalizaron</w:t>
            </w:r>
            <w:r w:rsidR="00F838C7" w:rsidRPr="00C06556">
              <w:rPr>
                <w:i/>
              </w:rPr>
              <w:t xml:space="preserve"> a principios de </w:t>
            </w:r>
            <w:r w:rsidR="00F3507E" w:rsidRPr="00C06556">
              <w:rPr>
                <w:i/>
              </w:rPr>
              <w:t xml:space="preserve">2010.  </w:t>
            </w:r>
            <w:r w:rsidR="00F838C7" w:rsidRPr="00C06556">
              <w:rPr>
                <w:i/>
              </w:rPr>
              <w:t>El componente de los organismos de gestión colectiva</w:t>
            </w:r>
            <w:r w:rsidR="00F3507E" w:rsidRPr="00C06556">
              <w:rPr>
                <w:i/>
              </w:rPr>
              <w:t xml:space="preserve"> </w:t>
            </w:r>
            <w:r w:rsidR="00F838C7" w:rsidRPr="00C06556">
              <w:rPr>
                <w:i/>
              </w:rPr>
              <w:t xml:space="preserve">ha </w:t>
            </w:r>
            <w:r w:rsidR="00C669F7" w:rsidRPr="00C06556">
              <w:rPr>
                <w:i/>
              </w:rPr>
              <w:t>experimentado</w:t>
            </w:r>
            <w:r w:rsidR="00F838C7" w:rsidRPr="00C06556">
              <w:rPr>
                <w:i/>
              </w:rPr>
              <w:t xml:space="preserve"> varios retrasos debido a dificultades imprevistas y a la necesidad de reorientar de forma significativa el rumbo del proyecto, lo que se tradujo en un plazo de ejecución de </w:t>
            </w:r>
            <w:r w:rsidR="00F3507E" w:rsidRPr="00C06556">
              <w:rPr>
                <w:i/>
              </w:rPr>
              <w:t>64</w:t>
            </w:r>
            <w:r w:rsidR="00F838C7" w:rsidRPr="00C06556">
              <w:rPr>
                <w:i/>
              </w:rPr>
              <w:t> meses</w:t>
            </w:r>
            <w:r w:rsidR="00C60978">
              <w:rPr>
                <w:i/>
              </w:rPr>
              <w:t>.</w:t>
            </w:r>
          </w:p>
          <w:p w:rsidR="00C60978" w:rsidRPr="00C06556" w:rsidRDefault="00C60978" w:rsidP="00011727">
            <w:pPr>
              <w:rPr>
                <w:i/>
              </w:rPr>
            </w:pPr>
            <w:bookmarkStart w:id="7" w:name="_GoBack"/>
            <w:bookmarkEnd w:id="7"/>
          </w:p>
        </w:tc>
      </w:tr>
    </w:tbl>
    <w:p w:rsidR="00F3507E" w:rsidRPr="00C06556" w:rsidRDefault="00F3507E" w:rsidP="00F3507E"/>
    <w:p w:rsidR="00F3507E" w:rsidRPr="00C06556" w:rsidRDefault="009C0D52" w:rsidP="00F3507E">
      <w:r w:rsidRPr="00C06556">
        <w:t>L</w:t>
      </w:r>
      <w:r w:rsidR="003026F2" w:rsidRPr="00C06556">
        <w:t xml:space="preserve">a </w:t>
      </w:r>
      <w:r w:rsidRPr="00C06556">
        <w:t>document</w:t>
      </w:r>
      <w:r w:rsidR="003026F2" w:rsidRPr="00C06556">
        <w:t>ación</w:t>
      </w:r>
      <w:r w:rsidRPr="00C06556">
        <w:t xml:space="preserve"> de</w:t>
      </w:r>
      <w:r w:rsidR="006C1E03" w:rsidRPr="00C06556">
        <w:t xml:space="preserve"> </w:t>
      </w:r>
      <w:r w:rsidRPr="00C06556">
        <w:t>l</w:t>
      </w:r>
      <w:r w:rsidR="006C1E03" w:rsidRPr="00C06556">
        <w:t>os dos</w:t>
      </w:r>
      <w:r w:rsidRPr="00C06556">
        <w:t xml:space="preserve"> </w:t>
      </w:r>
      <w:r w:rsidR="0057405D" w:rsidRPr="00C06556">
        <w:t xml:space="preserve">componentes del </w:t>
      </w:r>
      <w:r w:rsidRPr="00C06556">
        <w:t>proyecto</w:t>
      </w:r>
      <w:r w:rsidR="006C1E03" w:rsidRPr="00C06556">
        <w:t xml:space="preserve"> </w:t>
      </w:r>
      <w:r w:rsidR="0057405D" w:rsidRPr="00C06556">
        <w:t>recogidos</w:t>
      </w:r>
      <w:r w:rsidR="006C1E03" w:rsidRPr="00C06556">
        <w:t xml:space="preserve"> </w:t>
      </w:r>
      <w:r w:rsidR="0057405D" w:rsidRPr="00C06556">
        <w:t>en</w:t>
      </w:r>
      <w:r w:rsidR="006C1E03" w:rsidRPr="00C06556">
        <w:t xml:space="preserve"> la </w:t>
      </w:r>
      <w:r w:rsidR="004E4515" w:rsidRPr="00C06556">
        <w:t>Recomendación</w:t>
      </w:r>
      <w:r w:rsidR="006C1E03" w:rsidRPr="00C06556">
        <w:t> </w:t>
      </w:r>
      <w:r w:rsidR="00F3507E" w:rsidRPr="00C06556">
        <w:t xml:space="preserve">10 </w:t>
      </w:r>
      <w:r w:rsidR="006C1E03" w:rsidRPr="00C06556">
        <w:t xml:space="preserve">de la Agenda para el Desarrollo </w:t>
      </w:r>
      <w:r w:rsidR="003026F2" w:rsidRPr="00C06556">
        <w:t>es</w:t>
      </w:r>
      <w:r w:rsidR="006C1E03" w:rsidRPr="00C06556">
        <w:t xml:space="preserve"> suficiente </w:t>
      </w:r>
      <w:r w:rsidR="0057405D" w:rsidRPr="00C06556">
        <w:t>en lo que concierne a</w:t>
      </w:r>
      <w:r w:rsidR="006C1E03" w:rsidRPr="00C06556">
        <w:t xml:space="preserve"> proporcionar un panorama general de ambos</w:t>
      </w:r>
      <w:r w:rsidR="003026F2" w:rsidRPr="00C06556">
        <w:t xml:space="preserve"> y</w:t>
      </w:r>
      <w:r w:rsidR="006C1E03" w:rsidRPr="00C06556">
        <w:t>, en especial</w:t>
      </w:r>
      <w:r w:rsidR="003026F2" w:rsidRPr="00C06556">
        <w:t>,</w:t>
      </w:r>
      <w:r w:rsidR="006C1E03" w:rsidRPr="00C06556">
        <w:t xml:space="preserve"> informar a los Estados miembros sobre su contenido y los avances logrados.  </w:t>
      </w:r>
      <w:r w:rsidR="003026F2" w:rsidRPr="00C06556">
        <w:t xml:space="preserve">Sin embargo, no brinda información detallada sobre la metodología </w:t>
      </w:r>
      <w:r w:rsidR="0057405D" w:rsidRPr="00C06556">
        <w:t xml:space="preserve">aplicada a </w:t>
      </w:r>
      <w:r w:rsidR="003026F2" w:rsidRPr="00C06556">
        <w:t>la gestión del proyecto o los requisitos</w:t>
      </w:r>
      <w:r w:rsidR="00F3507E" w:rsidRPr="00C06556">
        <w:t xml:space="preserve">, </w:t>
      </w:r>
      <w:r w:rsidR="003026F2" w:rsidRPr="00C06556">
        <w:t xml:space="preserve">en </w:t>
      </w:r>
      <w:r w:rsidR="00F3507E" w:rsidRPr="00C06556">
        <w:t>particular</w:t>
      </w:r>
      <w:r w:rsidR="003026F2" w:rsidRPr="00C06556">
        <w:t xml:space="preserve"> en relación con </w:t>
      </w:r>
      <w:r w:rsidR="00011727">
        <w:t>el componente de los</w:t>
      </w:r>
      <w:r w:rsidR="003026F2" w:rsidRPr="00C06556">
        <w:t xml:space="preserve"> organismos de gestión colectiva que era relativamente complejo y experimentó varios contratiempos a lo largo de su ejecución.</w:t>
      </w:r>
    </w:p>
    <w:p w:rsidR="00F3507E" w:rsidRPr="00C06556" w:rsidRDefault="00F3507E" w:rsidP="00F3507E"/>
    <w:p w:rsidR="00F3507E" w:rsidRPr="00C06556" w:rsidRDefault="0057405D" w:rsidP="00F3507E">
      <w:r w:rsidRPr="00C06556">
        <w:t>Se evaluó que a</w:t>
      </w:r>
      <w:r w:rsidR="003026F2" w:rsidRPr="00C06556">
        <w:t xml:space="preserve">mbos </w:t>
      </w:r>
      <w:r w:rsidRPr="00C06556">
        <w:t>componentes se proponen</w:t>
      </w:r>
      <w:r w:rsidR="003026F2" w:rsidRPr="00C06556">
        <w:t xml:space="preserve"> satisfacer las necesidades de distintos </w:t>
      </w:r>
      <w:r w:rsidR="00BC1E47" w:rsidRPr="00C06556">
        <w:t>grupos destinatarios</w:t>
      </w:r>
      <w:r w:rsidR="00F3507E" w:rsidRPr="00C06556">
        <w:t xml:space="preserve">.  </w:t>
      </w:r>
      <w:r w:rsidR="00BC1E47" w:rsidRPr="00C06556">
        <w:t>En el de l</w:t>
      </w:r>
      <w:r w:rsidR="00F838C7" w:rsidRPr="00C06556">
        <w:t>as industrias creativas</w:t>
      </w:r>
      <w:r w:rsidR="00F3507E" w:rsidRPr="00C06556">
        <w:t xml:space="preserve"> </w:t>
      </w:r>
      <w:r w:rsidR="00BC1E47" w:rsidRPr="00C06556">
        <w:t xml:space="preserve">se </w:t>
      </w:r>
      <w:r w:rsidRPr="00C06556">
        <w:t>abordó</w:t>
      </w:r>
      <w:r w:rsidR="00BC1E47" w:rsidRPr="00C06556">
        <w:t xml:space="preserve"> la demanda creciente de información importante y de herramientas prácticas para medir la contribución económica de </w:t>
      </w:r>
      <w:r w:rsidR="00F838C7" w:rsidRPr="00C06556">
        <w:t>las industrias creativas</w:t>
      </w:r>
      <w:r w:rsidR="00F3507E" w:rsidRPr="00C06556">
        <w:t xml:space="preserve"> </w:t>
      </w:r>
      <w:r w:rsidR="00BC1E47" w:rsidRPr="00C06556">
        <w:t>y la gestión de la P.I. en</w:t>
      </w:r>
      <w:r w:rsidR="00F3507E" w:rsidRPr="00C06556">
        <w:t xml:space="preserve"> </w:t>
      </w:r>
      <w:r w:rsidR="00BC1E47" w:rsidRPr="00C06556">
        <w:t>dichas</w:t>
      </w:r>
      <w:r w:rsidR="00F838C7" w:rsidRPr="00C06556">
        <w:t xml:space="preserve"> industrias</w:t>
      </w:r>
      <w:r w:rsidR="00F3507E" w:rsidRPr="00C06556">
        <w:t xml:space="preserve">.  </w:t>
      </w:r>
      <w:r w:rsidRPr="00C06556">
        <w:t>La finalidad de</w:t>
      </w:r>
      <w:r w:rsidR="00BC1E47" w:rsidRPr="00C06556">
        <w:t>l c</w:t>
      </w:r>
      <w:r w:rsidR="00F838C7" w:rsidRPr="00C06556">
        <w:t>omponente de los organismos de gestión colectiva</w:t>
      </w:r>
      <w:r w:rsidR="00F3507E" w:rsidRPr="00C06556">
        <w:t xml:space="preserve"> </w:t>
      </w:r>
      <w:r w:rsidR="00011727">
        <w:t>era examinar</w:t>
      </w:r>
      <w:r w:rsidR="00BC1E47" w:rsidRPr="00C06556">
        <w:t xml:space="preserve"> la necesidad de estos o</w:t>
      </w:r>
      <w:r w:rsidR="002664A7" w:rsidRPr="00C06556">
        <w:t xml:space="preserve">rganismos </w:t>
      </w:r>
      <w:r w:rsidR="00BC1E47" w:rsidRPr="00C06556">
        <w:t xml:space="preserve">en los países en desarrollo </w:t>
      </w:r>
      <w:r w:rsidR="002664A7" w:rsidRPr="00C06556">
        <w:t xml:space="preserve">de </w:t>
      </w:r>
      <w:r w:rsidR="00BC1E47" w:rsidRPr="00C06556">
        <w:t>integrarse en el sistema mundial de información sobre los derechos en materia de gestión colectiva</w:t>
      </w:r>
      <w:r w:rsidR="00F3507E" w:rsidRPr="00C06556">
        <w:t>.  A</w:t>
      </w:r>
      <w:r w:rsidR="00BC1E47" w:rsidRPr="00C06556">
        <w:t xml:space="preserve">unque en lo que concierne a este </w:t>
      </w:r>
      <w:r w:rsidR="00277C3C" w:rsidRPr="00C06556">
        <w:t>ú</w:t>
      </w:r>
      <w:r w:rsidR="00BC1E47" w:rsidRPr="00C06556">
        <w:t>ltimo component</w:t>
      </w:r>
      <w:r w:rsidR="00277C3C" w:rsidRPr="00C06556">
        <w:t>e</w:t>
      </w:r>
      <w:r w:rsidR="00BC1E47" w:rsidRPr="00C06556">
        <w:t xml:space="preserve"> no </w:t>
      </w:r>
      <w:r w:rsidRPr="00C06556">
        <w:t xml:space="preserve">se </w:t>
      </w:r>
      <w:r w:rsidR="00BC1E47" w:rsidRPr="00C06556">
        <w:t>ha podido cumplir totalmente ese objetivo, la OMPI continúa su labor centrada en esta cuestión</w:t>
      </w:r>
      <w:r w:rsidR="00F3507E" w:rsidRPr="00C06556">
        <w:t>.</w:t>
      </w:r>
    </w:p>
    <w:p w:rsidR="00F3507E" w:rsidRPr="00C06556" w:rsidRDefault="00F3507E" w:rsidP="00F3507E"/>
    <w:p w:rsidR="00F3507E" w:rsidRPr="00C06556" w:rsidRDefault="0057405D" w:rsidP="00F3507E">
      <w:r w:rsidRPr="00C06556">
        <w:t>En la documentación del proyecto s</w:t>
      </w:r>
      <w:r w:rsidR="00277C3C" w:rsidRPr="00C06556">
        <w:t xml:space="preserve">e </w:t>
      </w:r>
      <w:r w:rsidRPr="00C06556">
        <w:t>identificaron</w:t>
      </w:r>
      <w:r w:rsidR="00277C3C" w:rsidRPr="00C06556">
        <w:t xml:space="preserve"> varios riesgos </w:t>
      </w:r>
      <w:r w:rsidRPr="00C06556">
        <w:t>relacionados con</w:t>
      </w:r>
      <w:r w:rsidR="00277C3C" w:rsidRPr="00C06556">
        <w:t xml:space="preserve"> los </w:t>
      </w:r>
      <w:r w:rsidRPr="00C06556">
        <w:t>componentes,</w:t>
      </w:r>
      <w:r w:rsidR="00277C3C" w:rsidRPr="00C06556">
        <w:t xml:space="preserve"> en concreto</w:t>
      </w:r>
      <w:r w:rsidRPr="00C06556">
        <w:t>,</w:t>
      </w:r>
      <w:r w:rsidR="00277C3C" w:rsidRPr="00C06556">
        <w:t xml:space="preserve"> con los organismos de gestión colectiva</w:t>
      </w:r>
      <w:r w:rsidR="00F3507E" w:rsidRPr="00C06556">
        <w:t xml:space="preserve">.  </w:t>
      </w:r>
      <w:r w:rsidR="00277C3C" w:rsidRPr="00C06556">
        <w:t>Se pu</w:t>
      </w:r>
      <w:r w:rsidRPr="00C06556">
        <w:t>sieron</w:t>
      </w:r>
      <w:r w:rsidR="00277C3C" w:rsidRPr="00C06556">
        <w:t xml:space="preserve"> en marcha estrategias de mitigación para hacer frente a esos riesgos, </w:t>
      </w:r>
      <w:r w:rsidRPr="00C06556">
        <w:t xml:space="preserve">en caso de que se </w:t>
      </w:r>
      <w:r w:rsidR="00277C3C" w:rsidRPr="00C06556">
        <w:t>plantea</w:t>
      </w:r>
      <w:r w:rsidRPr="00C06556">
        <w:t>ra</w:t>
      </w:r>
      <w:r w:rsidR="00277C3C" w:rsidRPr="00C06556">
        <w:t xml:space="preserve">n, y se </w:t>
      </w:r>
      <w:r w:rsidRPr="00C06556">
        <w:t>a</w:t>
      </w:r>
      <w:r w:rsidR="00277C3C" w:rsidRPr="00C06556">
        <w:t>plica</w:t>
      </w:r>
      <w:r w:rsidRPr="00C06556">
        <w:t>ron</w:t>
      </w:r>
      <w:r w:rsidR="00277C3C" w:rsidRPr="00C06556">
        <w:t xml:space="preserve"> varias de esas estrategias a lo largo del desarrollo del proyecto.</w:t>
      </w:r>
    </w:p>
    <w:p w:rsidR="00F3507E" w:rsidRPr="00C06556" w:rsidRDefault="00F3507E" w:rsidP="00F3507E"/>
    <w:p w:rsidR="00F3507E" w:rsidRPr="00C06556" w:rsidRDefault="0070435D" w:rsidP="00F3507E">
      <w:r w:rsidRPr="00C06556">
        <w:t xml:space="preserve">La ejecución de ningún </w:t>
      </w:r>
      <w:r w:rsidR="00F756C8" w:rsidRPr="00C06556">
        <w:t xml:space="preserve">componente del </w:t>
      </w:r>
      <w:r w:rsidRPr="00C06556">
        <w:t>proyecto dependió de aportes importantes de otr</w:t>
      </w:r>
      <w:r w:rsidR="0094351E" w:rsidRPr="00C06556">
        <w:t>as</w:t>
      </w:r>
      <w:r w:rsidRPr="00C06556">
        <w:t xml:space="preserve"> </w:t>
      </w:r>
      <w:r w:rsidR="0094351E" w:rsidRPr="00C06556">
        <w:t>dependencias de</w:t>
      </w:r>
      <w:r w:rsidRPr="00C06556">
        <w:t xml:space="preserve"> la Secretaría de la OMPI.  No obstante la </w:t>
      </w:r>
      <w:r w:rsidR="0094351E" w:rsidRPr="00C06556">
        <w:t>Oficina Regional en la sede para África</w:t>
      </w:r>
      <w:r w:rsidR="0094351E" w:rsidRPr="00C06556">
        <w:rPr>
          <w:i/>
        </w:rPr>
        <w:t xml:space="preserve"> </w:t>
      </w:r>
      <w:r w:rsidRPr="00C06556">
        <w:t xml:space="preserve">participó ayudando a organizar uno de los talleres en el marco de </w:t>
      </w:r>
      <w:r w:rsidR="00F838C7" w:rsidRPr="00C06556">
        <w:t>las industrias creativas</w:t>
      </w:r>
      <w:r w:rsidR="00F3507E" w:rsidRPr="00C06556">
        <w:t xml:space="preserve"> (</w:t>
      </w:r>
      <w:r w:rsidRPr="00C06556">
        <w:t>e</w:t>
      </w:r>
      <w:r w:rsidR="00F3507E" w:rsidRPr="00C06556">
        <w:t>n Seychelles)</w:t>
      </w:r>
      <w:r w:rsidR="00F756C8" w:rsidRPr="00C06556">
        <w:t>,</w:t>
      </w:r>
      <w:r w:rsidR="00F3507E" w:rsidRPr="00C06556">
        <w:t xml:space="preserve"> </w:t>
      </w:r>
      <w:r w:rsidR="00011727">
        <w:t>como</w:t>
      </w:r>
      <w:r w:rsidRPr="00C06556">
        <w:t xml:space="preserve"> la decisión conjunta sobre los </w:t>
      </w:r>
      <w:r w:rsidR="00F3507E" w:rsidRPr="00C06556">
        <w:t>participant</w:t>
      </w:r>
      <w:r w:rsidRPr="00C06556">
        <w:t>e</w:t>
      </w:r>
      <w:r w:rsidR="00F3507E" w:rsidRPr="00C06556">
        <w:t xml:space="preserve">s, </w:t>
      </w:r>
      <w:r w:rsidRPr="00C06556">
        <w:t>los oradores y las temas de debate</w:t>
      </w:r>
      <w:r w:rsidR="00F3507E" w:rsidRPr="00C06556">
        <w:t xml:space="preserve">.  </w:t>
      </w:r>
      <w:r w:rsidRPr="00C06556">
        <w:t>En las últimas fases de</w:t>
      </w:r>
      <w:r w:rsidR="00F756C8" w:rsidRPr="00C06556">
        <w:t xml:space="preserve"> ejecución de este componente</w:t>
      </w:r>
      <w:r w:rsidR="00F3507E" w:rsidRPr="00C06556">
        <w:t xml:space="preserve">, </w:t>
      </w:r>
      <w:r w:rsidRPr="00C06556">
        <w:t>cuando se busca</w:t>
      </w:r>
      <w:r w:rsidR="00F756C8" w:rsidRPr="00C06556">
        <w:t>ban</w:t>
      </w:r>
      <w:r w:rsidRPr="00C06556">
        <w:t xml:space="preserve"> soluciones </w:t>
      </w:r>
      <w:r w:rsidR="00F756C8" w:rsidRPr="00C06556">
        <w:t xml:space="preserve">internas </w:t>
      </w:r>
      <w:r w:rsidRPr="00C06556">
        <w:t xml:space="preserve">para desarrollar el programa informático </w:t>
      </w:r>
      <w:r w:rsidR="00F3507E" w:rsidRPr="00C06556">
        <w:t xml:space="preserve">WIPOCOS </w:t>
      </w:r>
      <w:r w:rsidRPr="00C06556">
        <w:t xml:space="preserve">y resolver problemas técnicos, </w:t>
      </w:r>
      <w:r w:rsidR="00B9645D" w:rsidRPr="00C06556">
        <w:t xml:space="preserve">se incorporó </w:t>
      </w:r>
      <w:r w:rsidR="00F756C8" w:rsidRPr="00C06556">
        <w:t xml:space="preserve">a la labor </w:t>
      </w:r>
      <w:r w:rsidR="00011727">
        <w:t>e</w:t>
      </w:r>
      <w:r w:rsidRPr="00C06556">
        <w:t>l Departamento de Tecnologías de la Información y las Comunicaciones</w:t>
      </w:r>
      <w:r w:rsidR="00B9645D" w:rsidRPr="00C06556">
        <w:t xml:space="preserve"> de la OMPI, que constituyó un proveedor de servicios </w:t>
      </w:r>
      <w:r w:rsidR="00F756C8" w:rsidRPr="00C06556">
        <w:t>fundamental</w:t>
      </w:r>
      <w:r w:rsidR="00B9645D" w:rsidRPr="00C06556">
        <w:t xml:space="preserve"> para el proyecto.</w:t>
      </w:r>
    </w:p>
    <w:p w:rsidR="00F3507E" w:rsidRPr="00C06556" w:rsidRDefault="00F3507E" w:rsidP="00F3507E"/>
    <w:p w:rsidR="00F3507E" w:rsidRPr="00C06556" w:rsidRDefault="003C2A83" w:rsidP="00F3507E">
      <w:r w:rsidRPr="00C06556">
        <w:lastRenderedPageBreak/>
        <w:t xml:space="preserve">Los Estados miembros participaron en los proyectos en diversos grados, haciendo los aportes requeridos por sus gobiernos en relación con el componente de </w:t>
      </w:r>
      <w:r w:rsidR="00F838C7" w:rsidRPr="00C06556">
        <w:t>las industrias creativas</w:t>
      </w:r>
      <w:r w:rsidR="00F756C8" w:rsidRPr="00C06556">
        <w:t>,</w:t>
      </w:r>
      <w:r w:rsidR="00F3507E" w:rsidRPr="00C06556">
        <w:t xml:space="preserve"> </w:t>
      </w:r>
      <w:r w:rsidR="00F756C8" w:rsidRPr="00C06556">
        <w:t>que se concretaron en solicitudes</w:t>
      </w:r>
      <w:r w:rsidRPr="00C06556">
        <w:t xml:space="preserve"> a la OMPI </w:t>
      </w:r>
      <w:r w:rsidR="00F756C8" w:rsidRPr="00C06556">
        <w:t xml:space="preserve">de </w:t>
      </w:r>
      <w:r w:rsidRPr="00C06556">
        <w:t xml:space="preserve">que organizara </w:t>
      </w:r>
      <w:r w:rsidR="00F3507E" w:rsidRPr="00C06556">
        <w:t>seminar</w:t>
      </w:r>
      <w:r w:rsidRPr="00C06556">
        <w:t>io</w:t>
      </w:r>
      <w:r w:rsidR="00F756C8" w:rsidRPr="00C06556">
        <w:t>s</w:t>
      </w:r>
      <w:r w:rsidR="00F3507E" w:rsidRPr="00C06556">
        <w:t>/</w:t>
      </w:r>
      <w:r w:rsidRPr="00C06556">
        <w:t>taller</w:t>
      </w:r>
      <w:r w:rsidR="00F756C8" w:rsidRPr="00C06556">
        <w:t>es</w:t>
      </w:r>
      <w:r w:rsidRPr="00C06556">
        <w:t xml:space="preserve"> y propusiera </w:t>
      </w:r>
      <w:r w:rsidR="00011727">
        <w:t>a</w:t>
      </w:r>
      <w:r w:rsidRPr="00C06556">
        <w:t xml:space="preserve"> los</w:t>
      </w:r>
      <w:r w:rsidR="00F3507E" w:rsidRPr="00C06556">
        <w:t xml:space="preserve"> participant</w:t>
      </w:r>
      <w:r w:rsidRPr="00C06556">
        <w:t>e</w:t>
      </w:r>
      <w:r w:rsidR="00F3507E" w:rsidRPr="00C06556">
        <w:t xml:space="preserve">s.  </w:t>
      </w:r>
      <w:r w:rsidRPr="00C06556">
        <w:t>En cuanto al c</w:t>
      </w:r>
      <w:r w:rsidR="00F838C7" w:rsidRPr="00C06556">
        <w:t>omponente de los organismos de gestión colectiva</w:t>
      </w:r>
      <w:r w:rsidR="00F3507E" w:rsidRPr="00C06556">
        <w:t xml:space="preserve">, </w:t>
      </w:r>
      <w:r w:rsidRPr="00C06556">
        <w:t xml:space="preserve">los Estados miembros participaron </w:t>
      </w:r>
      <w:r w:rsidR="00F756C8" w:rsidRPr="00C06556">
        <w:t xml:space="preserve">cada cierto tiempo </w:t>
      </w:r>
      <w:r w:rsidRPr="00C06556">
        <w:t>en, por ejemplo</w:t>
      </w:r>
      <w:r w:rsidR="00F756C8" w:rsidRPr="00C06556">
        <w:t>,</w:t>
      </w:r>
      <w:r w:rsidRPr="00C06556">
        <w:t xml:space="preserve"> </w:t>
      </w:r>
      <w:r w:rsidR="00011727">
        <w:t xml:space="preserve">las </w:t>
      </w:r>
      <w:r w:rsidRPr="00C06556">
        <w:t>reuniones de consulta</w:t>
      </w:r>
      <w:r w:rsidR="00F3507E" w:rsidRPr="00C06556">
        <w:t>.</w:t>
      </w:r>
    </w:p>
    <w:p w:rsidR="00F3507E" w:rsidRPr="00C06556" w:rsidRDefault="00F3507E" w:rsidP="00F3507E"/>
    <w:p w:rsidR="00F3507E" w:rsidRPr="00C06556" w:rsidRDefault="007D17FA" w:rsidP="00F3507E">
      <w:r w:rsidRPr="00C06556">
        <w:t>En 2009 se aprobó la ejecución de los dos</w:t>
      </w:r>
      <w:r w:rsidR="00F3507E" w:rsidRPr="00C06556">
        <w:t xml:space="preserve"> component</w:t>
      </w:r>
      <w:r w:rsidRPr="00C06556">
        <w:t>e</w:t>
      </w:r>
      <w:r w:rsidR="00F3507E" w:rsidRPr="00C06556">
        <w:t xml:space="preserve">s </w:t>
      </w:r>
      <w:r w:rsidRPr="00C06556">
        <w:t>del proyecto</w:t>
      </w:r>
      <w:r w:rsidR="00BA7E43" w:rsidRPr="00C06556">
        <w:t>,</w:t>
      </w:r>
      <w:r w:rsidRPr="00C06556">
        <w:t xml:space="preserve"> y</w:t>
      </w:r>
      <w:r w:rsidR="00BA7E43" w:rsidRPr="00C06556">
        <w:t xml:space="preserve"> en febrero de 2010</w:t>
      </w:r>
      <w:r w:rsidRPr="00C06556">
        <w:t xml:space="preserve"> </w:t>
      </w:r>
      <w:r w:rsidR="00BA7E43" w:rsidRPr="00C06556">
        <w:t xml:space="preserve">se dio por finalizado </w:t>
      </w:r>
      <w:r w:rsidRPr="00C06556">
        <w:t>el component</w:t>
      </w:r>
      <w:r w:rsidR="003C2A83" w:rsidRPr="00C06556">
        <w:t>e</w:t>
      </w:r>
      <w:r w:rsidRPr="00C06556">
        <w:t xml:space="preserve"> de las</w:t>
      </w:r>
      <w:r w:rsidR="00F838C7" w:rsidRPr="00C06556">
        <w:t xml:space="preserve"> industrias creativas</w:t>
      </w:r>
      <w:r w:rsidR="00C06556" w:rsidRPr="00C06556">
        <w:t xml:space="preserve">.  </w:t>
      </w:r>
      <w:r w:rsidR="00F3507E" w:rsidRPr="00C06556">
        <w:t>D</w:t>
      </w:r>
      <w:r w:rsidRPr="00C06556">
        <w:t xml:space="preserve">ebido a varias dificultades que </w:t>
      </w:r>
      <w:r w:rsidR="00011727">
        <w:t>tuvo que</w:t>
      </w:r>
      <w:r w:rsidRPr="00C06556">
        <w:t xml:space="preserve"> enfrentar el c</w:t>
      </w:r>
      <w:r w:rsidR="00F838C7" w:rsidRPr="00C06556">
        <w:t>omponente de los organismos de gestión colectiva</w:t>
      </w:r>
      <w:r w:rsidR="00F3507E" w:rsidRPr="00C06556">
        <w:t xml:space="preserve"> </w:t>
      </w:r>
      <w:r w:rsidRPr="00C06556">
        <w:t xml:space="preserve">y a la necesidad de reorientar el rumbo del proyecto, </w:t>
      </w:r>
      <w:r w:rsidR="00BA7E43" w:rsidRPr="00C06556">
        <w:t>su ejecución terminó</w:t>
      </w:r>
      <w:r w:rsidRPr="00C06556">
        <w:t xml:space="preserve"> en </w:t>
      </w:r>
      <w:r w:rsidR="00F3507E" w:rsidRPr="00C06556">
        <w:t>2014</w:t>
      </w:r>
      <w:r w:rsidR="00BA7E43" w:rsidRPr="00C06556">
        <w:t>,</w:t>
      </w:r>
      <w:r w:rsidR="00F3507E" w:rsidRPr="00C06556">
        <w:t xml:space="preserve"> </w:t>
      </w:r>
      <w:r w:rsidRPr="00C06556">
        <w:t>y la actividad sigue actualmente</w:t>
      </w:r>
      <w:r w:rsidR="00BA7E43" w:rsidRPr="00C06556">
        <w:t>,</w:t>
      </w:r>
      <w:r w:rsidRPr="00C06556">
        <w:t xml:space="preserve"> </w:t>
      </w:r>
      <w:r w:rsidR="00BA7E43" w:rsidRPr="00C06556">
        <w:t xml:space="preserve">en su </w:t>
      </w:r>
      <w:r w:rsidRPr="00C06556">
        <w:t>nueva modalidad</w:t>
      </w:r>
      <w:r w:rsidR="00BA7E43" w:rsidRPr="00C06556">
        <w:t>,</w:t>
      </w:r>
      <w:r w:rsidRPr="00C06556">
        <w:t xml:space="preserve"> con cargo al presupuesto ordinario de la OMPI</w:t>
      </w:r>
      <w:r w:rsidR="00F3507E" w:rsidRPr="00C06556">
        <w:t>.</w:t>
      </w:r>
    </w:p>
    <w:p w:rsidR="00F3507E" w:rsidRDefault="00F3507E" w:rsidP="00F3507E"/>
    <w:p w:rsidR="00C552B9" w:rsidRPr="00C06556" w:rsidRDefault="00C552B9" w:rsidP="00F3507E"/>
    <w:p w:rsidR="00F3507E" w:rsidRPr="00C06556" w:rsidRDefault="00F3507E" w:rsidP="00F3507E">
      <w:pPr>
        <w:rPr>
          <w:b/>
          <w:i/>
        </w:rPr>
      </w:pPr>
      <w:r w:rsidRPr="00C06556">
        <w:rPr>
          <w:b/>
          <w:i/>
        </w:rPr>
        <w:t>Ef</w:t>
      </w:r>
      <w:r w:rsidR="004E4515" w:rsidRPr="00C06556">
        <w:rPr>
          <w:b/>
          <w:i/>
        </w:rPr>
        <w:t>icacia del proyecto</w:t>
      </w:r>
    </w:p>
    <w:p w:rsidR="00F3507E" w:rsidRPr="00C06556" w:rsidRDefault="00F3507E" w:rsidP="00F3507E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507E" w:rsidRPr="00C06556" w:rsidTr="00A067B2">
        <w:tc>
          <w:tcPr>
            <w:tcW w:w="9016" w:type="dxa"/>
          </w:tcPr>
          <w:p w:rsidR="00F3507E" w:rsidRPr="00C06556" w:rsidRDefault="009C0D52" w:rsidP="00A067B2">
            <w:pPr>
              <w:rPr>
                <w:b/>
                <w:i/>
              </w:rPr>
            </w:pPr>
            <w:r w:rsidRPr="00C06556">
              <w:rPr>
                <w:b/>
                <w:i/>
              </w:rPr>
              <w:t>Conclusión</w:t>
            </w:r>
            <w:r w:rsidR="00F3507E" w:rsidRPr="00C06556">
              <w:rPr>
                <w:b/>
                <w:i/>
              </w:rPr>
              <w:t xml:space="preserve"> 7:  </w:t>
            </w:r>
            <w:r w:rsidR="003C2A83" w:rsidRPr="00C06556">
              <w:rPr>
                <w:i/>
              </w:rPr>
              <w:t xml:space="preserve">En relación con el elemento de </w:t>
            </w:r>
            <w:r w:rsidR="00F838C7" w:rsidRPr="00C06556">
              <w:rPr>
                <w:i/>
              </w:rPr>
              <w:t>las industrias creativas</w:t>
            </w:r>
            <w:r w:rsidR="003C2A83" w:rsidRPr="00C06556">
              <w:rPr>
                <w:i/>
              </w:rPr>
              <w:t xml:space="preserve">, se lograron los objetivos del proyecto de forma satisfactoria en el plazo programado.  </w:t>
            </w:r>
            <w:r w:rsidR="00BA7E43" w:rsidRPr="00C06556">
              <w:rPr>
                <w:i/>
              </w:rPr>
              <w:t>En algunos talleres se plantearon varias</w:t>
            </w:r>
            <w:r w:rsidR="003C2A83" w:rsidRPr="00C06556">
              <w:rPr>
                <w:i/>
              </w:rPr>
              <w:t xml:space="preserve"> dificultades logísticas de menor importancia </w:t>
            </w:r>
            <w:r w:rsidR="00BA7E43" w:rsidRPr="00C06556">
              <w:rPr>
                <w:i/>
              </w:rPr>
              <w:t>que</w:t>
            </w:r>
            <w:r w:rsidR="003C2A83" w:rsidRPr="00C06556">
              <w:rPr>
                <w:i/>
              </w:rPr>
              <w:t xml:space="preserve"> se solucionaron.</w:t>
            </w:r>
          </w:p>
          <w:p w:rsidR="00F3507E" w:rsidRPr="00C06556" w:rsidRDefault="00F3507E" w:rsidP="00A067B2">
            <w:pPr>
              <w:rPr>
                <w:b/>
                <w:i/>
              </w:rPr>
            </w:pPr>
          </w:p>
        </w:tc>
      </w:tr>
      <w:tr w:rsidR="00F3507E" w:rsidRPr="00C06556" w:rsidTr="00A067B2">
        <w:tc>
          <w:tcPr>
            <w:tcW w:w="9016" w:type="dxa"/>
          </w:tcPr>
          <w:p w:rsidR="00F3507E" w:rsidRPr="00C06556" w:rsidRDefault="009C0D52" w:rsidP="00A067B2">
            <w:pPr>
              <w:rPr>
                <w:i/>
              </w:rPr>
            </w:pPr>
            <w:r w:rsidRPr="00C06556">
              <w:rPr>
                <w:b/>
                <w:i/>
              </w:rPr>
              <w:t>Conclusión</w:t>
            </w:r>
            <w:r w:rsidR="00F3507E" w:rsidRPr="00C06556">
              <w:rPr>
                <w:b/>
                <w:i/>
              </w:rPr>
              <w:t xml:space="preserve"> 8:  </w:t>
            </w:r>
            <w:r w:rsidR="007D17FA" w:rsidRPr="00C06556">
              <w:rPr>
                <w:i/>
              </w:rPr>
              <w:t>E</w:t>
            </w:r>
            <w:r w:rsidR="00BA7E43" w:rsidRPr="00C06556">
              <w:rPr>
                <w:i/>
              </w:rPr>
              <w:t>n e</w:t>
            </w:r>
            <w:r w:rsidR="007D17FA" w:rsidRPr="00C06556">
              <w:rPr>
                <w:i/>
              </w:rPr>
              <w:t>l componente de l</w:t>
            </w:r>
            <w:r w:rsidR="00F838C7" w:rsidRPr="00C06556">
              <w:rPr>
                <w:i/>
              </w:rPr>
              <w:t>as industrias creativas</w:t>
            </w:r>
            <w:r w:rsidR="00F3507E" w:rsidRPr="00C06556">
              <w:rPr>
                <w:i/>
              </w:rPr>
              <w:t xml:space="preserve"> </w:t>
            </w:r>
            <w:r w:rsidR="00BA7E43" w:rsidRPr="00C06556">
              <w:rPr>
                <w:i/>
              </w:rPr>
              <w:t xml:space="preserve">se </w:t>
            </w:r>
            <w:r w:rsidR="007D17FA" w:rsidRPr="00C06556">
              <w:rPr>
                <w:i/>
              </w:rPr>
              <w:t>ha</w:t>
            </w:r>
            <w:r w:rsidR="00BA7E43" w:rsidRPr="00C06556">
              <w:rPr>
                <w:i/>
              </w:rPr>
              <w:t>n</w:t>
            </w:r>
            <w:r w:rsidR="007D17FA" w:rsidRPr="00C06556">
              <w:rPr>
                <w:i/>
              </w:rPr>
              <w:t xml:space="preserve"> podido </w:t>
            </w:r>
            <w:r w:rsidR="00BA7E43" w:rsidRPr="00C06556">
              <w:rPr>
                <w:i/>
              </w:rPr>
              <w:t>obtener</w:t>
            </w:r>
            <w:r w:rsidR="007D17FA" w:rsidRPr="00C06556">
              <w:rPr>
                <w:i/>
              </w:rPr>
              <w:t xml:space="preserve"> resultados a corto plazo en cuanto a la satisfacción de los participantes en los talleres, </w:t>
            </w:r>
            <w:r w:rsidR="00BA7E43" w:rsidRPr="00C06556">
              <w:rPr>
                <w:i/>
              </w:rPr>
              <w:t>aunque en el plazo previsto del</w:t>
            </w:r>
            <w:r w:rsidR="007D17FA" w:rsidRPr="00C06556">
              <w:rPr>
                <w:i/>
              </w:rPr>
              <w:t xml:space="preserve"> proyecto </w:t>
            </w:r>
            <w:r w:rsidR="00BA7E43" w:rsidRPr="00C06556">
              <w:rPr>
                <w:i/>
              </w:rPr>
              <w:t>no fue posible</w:t>
            </w:r>
            <w:r w:rsidR="007D17FA" w:rsidRPr="00C06556">
              <w:rPr>
                <w:i/>
              </w:rPr>
              <w:t xml:space="preserve"> evalua</w:t>
            </w:r>
            <w:r w:rsidR="00BA7E43" w:rsidRPr="00C06556">
              <w:rPr>
                <w:i/>
              </w:rPr>
              <w:t xml:space="preserve">r </w:t>
            </w:r>
            <w:r w:rsidR="007D17FA" w:rsidRPr="00C06556">
              <w:rPr>
                <w:i/>
              </w:rPr>
              <w:t xml:space="preserve">si </w:t>
            </w:r>
            <w:r w:rsidR="00BA7E43" w:rsidRPr="00C06556">
              <w:rPr>
                <w:i/>
              </w:rPr>
              <w:t xml:space="preserve">se </w:t>
            </w:r>
            <w:r w:rsidR="007D17FA" w:rsidRPr="00C06556">
              <w:rPr>
                <w:i/>
              </w:rPr>
              <w:t>ha</w:t>
            </w:r>
            <w:r w:rsidR="00BA7E43" w:rsidRPr="00C06556">
              <w:rPr>
                <w:i/>
              </w:rPr>
              <w:t>n</w:t>
            </w:r>
            <w:r w:rsidR="007D17FA" w:rsidRPr="00C06556">
              <w:rPr>
                <w:i/>
              </w:rPr>
              <w:t xml:space="preserve"> </w:t>
            </w:r>
            <w:r w:rsidR="00BA7E43" w:rsidRPr="00C06556">
              <w:rPr>
                <w:i/>
              </w:rPr>
              <w:t>conseguido</w:t>
            </w:r>
            <w:r w:rsidR="007D17FA" w:rsidRPr="00C06556">
              <w:rPr>
                <w:i/>
              </w:rPr>
              <w:t xml:space="preserve"> </w:t>
            </w:r>
            <w:r w:rsidR="00BA7E43" w:rsidRPr="00C06556">
              <w:rPr>
                <w:i/>
              </w:rPr>
              <w:t>también</w:t>
            </w:r>
            <w:r w:rsidR="007D17FA" w:rsidRPr="00C06556">
              <w:rPr>
                <w:i/>
              </w:rPr>
              <w:t xml:space="preserve"> beneficios y satisfacción para los participantes</w:t>
            </w:r>
            <w:r w:rsidR="00BA7E43" w:rsidRPr="00C06556">
              <w:rPr>
                <w:i/>
              </w:rPr>
              <w:t xml:space="preserve"> a largo plazo</w:t>
            </w:r>
            <w:r w:rsidR="007D17FA" w:rsidRPr="00C06556">
              <w:rPr>
                <w:i/>
              </w:rPr>
              <w:t>.</w:t>
            </w:r>
            <w:r w:rsidR="00F3507E" w:rsidRPr="00C06556">
              <w:rPr>
                <w:i/>
              </w:rPr>
              <w:t xml:space="preserve"> </w:t>
            </w:r>
          </w:p>
          <w:p w:rsidR="00F3507E" w:rsidRPr="00C06556" w:rsidRDefault="00F3507E" w:rsidP="00A067B2"/>
        </w:tc>
      </w:tr>
      <w:tr w:rsidR="00F3507E" w:rsidRPr="00C06556" w:rsidTr="00A067B2">
        <w:tc>
          <w:tcPr>
            <w:tcW w:w="9016" w:type="dxa"/>
          </w:tcPr>
          <w:p w:rsidR="00F3507E" w:rsidRPr="00C06556" w:rsidRDefault="009C0D52" w:rsidP="00A067B2">
            <w:pPr>
              <w:rPr>
                <w:i/>
              </w:rPr>
            </w:pPr>
            <w:r w:rsidRPr="00C06556">
              <w:rPr>
                <w:b/>
                <w:i/>
              </w:rPr>
              <w:t>Conclusión</w:t>
            </w:r>
            <w:r w:rsidR="00F3507E" w:rsidRPr="00C06556">
              <w:rPr>
                <w:b/>
                <w:i/>
              </w:rPr>
              <w:t xml:space="preserve"> 9:  </w:t>
            </w:r>
            <w:r w:rsidR="006A6F8E" w:rsidRPr="00C06556">
              <w:rPr>
                <w:i/>
              </w:rPr>
              <w:t>En el c</w:t>
            </w:r>
            <w:r w:rsidR="00F838C7" w:rsidRPr="00C06556">
              <w:rPr>
                <w:i/>
              </w:rPr>
              <w:t>omponente de los organismos de gestión colectiva</w:t>
            </w:r>
            <w:r w:rsidR="00F3507E" w:rsidRPr="00C06556">
              <w:rPr>
                <w:i/>
              </w:rPr>
              <w:t xml:space="preserve"> </w:t>
            </w:r>
            <w:r w:rsidR="006A6F8E" w:rsidRPr="00C06556">
              <w:rPr>
                <w:i/>
              </w:rPr>
              <w:t xml:space="preserve">se alcanzó uno de los siete objetivos fijados debido a varios problemas significativos, como </w:t>
            </w:r>
            <w:r w:rsidR="00BA7E43" w:rsidRPr="00C06556">
              <w:rPr>
                <w:i/>
              </w:rPr>
              <w:t>que el</w:t>
            </w:r>
            <w:r w:rsidR="006A6F8E" w:rsidRPr="00C06556">
              <w:rPr>
                <w:i/>
              </w:rPr>
              <w:t xml:space="preserve"> personal de gestión del proyecto </w:t>
            </w:r>
            <w:r w:rsidR="00BA7E43" w:rsidRPr="00C06556">
              <w:rPr>
                <w:i/>
              </w:rPr>
              <w:t xml:space="preserve">era </w:t>
            </w:r>
            <w:r w:rsidR="006A6F8E" w:rsidRPr="00C06556">
              <w:rPr>
                <w:i/>
              </w:rPr>
              <w:t xml:space="preserve">insuficiente y </w:t>
            </w:r>
            <w:r w:rsidR="00BA7E43" w:rsidRPr="00C06556">
              <w:rPr>
                <w:i/>
              </w:rPr>
              <w:t>e</w:t>
            </w:r>
            <w:r w:rsidR="006A6F8E" w:rsidRPr="00C06556">
              <w:rPr>
                <w:i/>
              </w:rPr>
              <w:t>l desglose de los elementos de formación del proyecto previsto.  Durante el p</w:t>
            </w:r>
            <w:r w:rsidR="00BA7E43" w:rsidRPr="00C06556">
              <w:rPr>
                <w:i/>
              </w:rPr>
              <w:t>eriodo</w:t>
            </w:r>
            <w:r w:rsidR="006A6F8E" w:rsidRPr="00C06556">
              <w:rPr>
                <w:i/>
              </w:rPr>
              <w:t xml:space="preserve"> de ejecución, se tomó la decisión </w:t>
            </w:r>
            <w:r w:rsidR="00BA7E43" w:rsidRPr="00C06556">
              <w:rPr>
                <w:i/>
              </w:rPr>
              <w:t>acertada</w:t>
            </w:r>
            <w:r w:rsidR="006A6F8E" w:rsidRPr="00C06556">
              <w:rPr>
                <w:i/>
              </w:rPr>
              <w:t xml:space="preserve"> de modificar el rumbo del proyecto. </w:t>
            </w:r>
          </w:p>
          <w:p w:rsidR="00F3507E" w:rsidRPr="00C06556" w:rsidRDefault="00F3507E" w:rsidP="00A067B2">
            <w:pPr>
              <w:rPr>
                <w:b/>
                <w:i/>
              </w:rPr>
            </w:pPr>
            <w:r w:rsidRPr="00C06556">
              <w:rPr>
                <w:i/>
              </w:rPr>
              <w:t xml:space="preserve"> </w:t>
            </w:r>
          </w:p>
        </w:tc>
      </w:tr>
    </w:tbl>
    <w:p w:rsidR="00F3507E" w:rsidRPr="00C06556" w:rsidRDefault="00F3507E" w:rsidP="00F3507E"/>
    <w:p w:rsidR="00F3507E" w:rsidRPr="00C06556" w:rsidRDefault="006A6F8E" w:rsidP="00F3507E">
      <w:r w:rsidRPr="00C06556">
        <w:t xml:space="preserve">La eficacia </w:t>
      </w:r>
      <w:r w:rsidR="00CC116C" w:rsidRPr="00C06556">
        <w:t xml:space="preserve">se </w:t>
      </w:r>
      <w:r w:rsidRPr="00C06556">
        <w:t xml:space="preserve">evalúa en </w:t>
      </w:r>
      <w:r w:rsidR="00CC116C" w:rsidRPr="00C06556">
        <w:t>función de</w:t>
      </w:r>
      <w:r w:rsidRPr="00C06556">
        <w:t xml:space="preserve"> que el proyecto ha</w:t>
      </w:r>
      <w:r w:rsidR="00CC116C" w:rsidRPr="00C06556">
        <w:t>ya</w:t>
      </w:r>
      <w:r w:rsidRPr="00C06556">
        <w:t xml:space="preserve"> cumplido los objetivos </w:t>
      </w:r>
      <w:r w:rsidR="00CC116C" w:rsidRPr="00C06556">
        <w:t>p</w:t>
      </w:r>
      <w:r w:rsidR="00BA7E43" w:rsidRPr="00C06556">
        <w:t>ara los cuales se estableció.</w:t>
      </w:r>
    </w:p>
    <w:p w:rsidR="00F3507E" w:rsidRPr="00C06556" w:rsidRDefault="00F3507E" w:rsidP="00F3507E"/>
    <w:p w:rsidR="00F3507E" w:rsidRPr="00C06556" w:rsidRDefault="001656EF" w:rsidP="00F3507E">
      <w:r w:rsidRPr="00C06556">
        <w:t xml:space="preserve">Los principales objetivos del elemento </w:t>
      </w:r>
      <w:r w:rsidR="00BA7E43" w:rsidRPr="00C06556">
        <w:t>de</w:t>
      </w:r>
      <w:r w:rsidRPr="00C06556">
        <w:t xml:space="preserve"> las industrias creativas del proyecto </w:t>
      </w:r>
      <w:r w:rsidR="00BA7E43" w:rsidRPr="00C06556">
        <w:t>era</w:t>
      </w:r>
      <w:r w:rsidRPr="00C06556">
        <w:t>n los siguientes</w:t>
      </w:r>
      <w:r w:rsidR="00F3507E" w:rsidRPr="00C06556">
        <w:t>:</w:t>
      </w:r>
    </w:p>
    <w:p w:rsidR="00F3507E" w:rsidRPr="00C06556" w:rsidRDefault="00F3507E" w:rsidP="00F3507E"/>
    <w:p w:rsidR="004E4515" w:rsidRPr="00C06556" w:rsidRDefault="004E4515" w:rsidP="004E4515">
      <w:pPr>
        <w:numPr>
          <w:ilvl w:val="0"/>
          <w:numId w:val="9"/>
        </w:numPr>
        <w:ind w:left="567" w:firstLine="0"/>
      </w:pPr>
      <w:r w:rsidRPr="00C06556">
        <w:t>preparar el terreno y sentar las bases para que las instituciones nacionales de P.I., los creadores y las partes interesadas pertenecientes a las industria</w:t>
      </w:r>
      <w:r w:rsidR="004A1749" w:rsidRPr="00C06556">
        <w:t>s</w:t>
      </w:r>
      <w:r w:rsidRPr="00C06556">
        <w:t xml:space="preserve"> </w:t>
      </w:r>
      <w:r w:rsidR="004A1749" w:rsidRPr="00C06556">
        <w:t>creativas</w:t>
      </w:r>
      <w:r w:rsidRPr="00C06556">
        <w:t xml:space="preserve"> puedan seguir desarrollando y mejorando su capacidad institucional;</w:t>
      </w:r>
    </w:p>
    <w:p w:rsidR="004E4515" w:rsidRPr="00C06556" w:rsidRDefault="004E4515" w:rsidP="004E4515">
      <w:pPr>
        <w:ind w:left="567"/>
      </w:pPr>
    </w:p>
    <w:p w:rsidR="00F3507E" w:rsidRPr="00C06556" w:rsidRDefault="001656EF" w:rsidP="004E4515">
      <w:pPr>
        <w:numPr>
          <w:ilvl w:val="0"/>
          <w:numId w:val="9"/>
        </w:numPr>
        <w:ind w:left="567" w:firstLine="0"/>
      </w:pPr>
      <w:r w:rsidRPr="00C06556">
        <w:t>adoptar</w:t>
      </w:r>
      <w:r w:rsidR="004E4515" w:rsidRPr="00C06556">
        <w:t xml:space="preserve"> herramientas de la OMPI para evaluar la contribución económica que aportan las industrias creativas y fomentar una toma de conciencia acerca de la función de la P.I. como factor de desarrollo económico, social y cultural</w:t>
      </w:r>
      <w:r w:rsidR="00F3507E" w:rsidRPr="00C06556">
        <w:t xml:space="preserve">;  </w:t>
      </w:r>
      <w:r w:rsidR="004E4515" w:rsidRPr="00C06556">
        <w:t>y</w:t>
      </w:r>
    </w:p>
    <w:p w:rsidR="00F3507E" w:rsidRPr="00C06556" w:rsidRDefault="00F3507E" w:rsidP="00F3507E">
      <w:pPr>
        <w:ind w:left="567"/>
      </w:pPr>
    </w:p>
    <w:p w:rsidR="00F3507E" w:rsidRPr="00C06556" w:rsidRDefault="001656EF" w:rsidP="00F3507E">
      <w:pPr>
        <w:numPr>
          <w:ilvl w:val="0"/>
          <w:numId w:val="9"/>
        </w:numPr>
        <w:ind w:left="567" w:firstLine="0"/>
      </w:pPr>
      <w:r w:rsidRPr="00C06556">
        <w:t>a</w:t>
      </w:r>
      <w:r w:rsidR="004E4515" w:rsidRPr="00C06556">
        <w:t xml:space="preserve">poyar </w:t>
      </w:r>
      <w:r w:rsidRPr="00C06556">
        <w:t xml:space="preserve">y </w:t>
      </w:r>
      <w:r w:rsidR="00BA7E43" w:rsidRPr="00C06556">
        <w:t>re</w:t>
      </w:r>
      <w:r w:rsidR="004E4515" w:rsidRPr="00C06556">
        <w:t>for</w:t>
      </w:r>
      <w:r w:rsidR="00BA7E43" w:rsidRPr="00C06556">
        <w:t>zar</w:t>
      </w:r>
      <w:r w:rsidR="004E4515" w:rsidRPr="00C06556">
        <w:t xml:space="preserve"> la comprensión </w:t>
      </w:r>
      <w:r w:rsidR="00314456" w:rsidRPr="00C06556">
        <w:t>de</w:t>
      </w:r>
      <w:r w:rsidR="00BA7E43" w:rsidRPr="00C06556">
        <w:t xml:space="preserve"> cada uno de los creadores </w:t>
      </w:r>
      <w:r w:rsidR="00314456" w:rsidRPr="00C06556">
        <w:t>sobre</w:t>
      </w:r>
      <w:r w:rsidR="004E4515" w:rsidRPr="00C06556">
        <w:t xml:space="preserve"> la gestión de la P.I.</w:t>
      </w:r>
    </w:p>
    <w:p w:rsidR="00F3507E" w:rsidRPr="00C06556" w:rsidRDefault="00F3507E" w:rsidP="00F3507E">
      <w:pPr>
        <w:ind w:left="567"/>
      </w:pPr>
    </w:p>
    <w:p w:rsidR="00F3507E" w:rsidRPr="00C06556" w:rsidRDefault="003F6D6E" w:rsidP="00F3507E">
      <w:r w:rsidRPr="00C06556">
        <w:t xml:space="preserve">Las actividades principales del proyecto fueron la organización de seminarios y talleres en distintas regiones con objeto de cumplir esos objetivos.  Se celebraron cuatro eventos en Camerún, </w:t>
      </w:r>
      <w:r w:rsidR="00F3507E" w:rsidRPr="00C06556">
        <w:t xml:space="preserve">Seychelles, Dominica </w:t>
      </w:r>
      <w:r w:rsidRPr="00C06556">
        <w:t>y Filipinas, en el marco de los cuales hubo ponencias y se analizaron los métodos, los aspectos prácticos y los beneficios de realiza</w:t>
      </w:r>
      <w:r w:rsidR="00314456" w:rsidRPr="00C06556">
        <w:t xml:space="preserve">r </w:t>
      </w:r>
      <w:r w:rsidRPr="00C06556">
        <w:t>estudios económicos sobre la P.I. y los sectores creativos</w:t>
      </w:r>
      <w:r w:rsidR="00F3507E" w:rsidRPr="00C06556">
        <w:t xml:space="preserve">.  </w:t>
      </w:r>
      <w:r w:rsidRPr="00C06556">
        <w:t>Los p</w:t>
      </w:r>
      <w:r w:rsidR="00F3507E" w:rsidRPr="00C06556">
        <w:t>articipant</w:t>
      </w:r>
      <w:r w:rsidRPr="00C06556">
        <w:t>e</w:t>
      </w:r>
      <w:r w:rsidR="00F3507E" w:rsidRPr="00C06556">
        <w:t>s</w:t>
      </w:r>
      <w:r w:rsidRPr="00C06556">
        <w:t xml:space="preserve"> y los oradores </w:t>
      </w:r>
      <w:r w:rsidR="00F3507E" w:rsidRPr="00C06556">
        <w:t>represent</w:t>
      </w:r>
      <w:r w:rsidRPr="00C06556">
        <w:t xml:space="preserve">aron una amplia variedad de intereses, e incluso asistieron representantes de gobiernos, </w:t>
      </w:r>
      <w:r w:rsidR="00F838C7" w:rsidRPr="00C06556">
        <w:t>industrias creativas</w:t>
      </w:r>
      <w:r w:rsidR="00F3507E" w:rsidRPr="00C06556">
        <w:t xml:space="preserve">, </w:t>
      </w:r>
      <w:r w:rsidRPr="00C06556">
        <w:t>universidad</w:t>
      </w:r>
      <w:r w:rsidR="00314456" w:rsidRPr="00C06556">
        <w:t>es</w:t>
      </w:r>
      <w:r w:rsidRPr="00C06556">
        <w:t xml:space="preserve"> y sector privado</w:t>
      </w:r>
      <w:r w:rsidR="00F3507E" w:rsidRPr="00C06556">
        <w:t xml:space="preserve">.  </w:t>
      </w:r>
      <w:r w:rsidR="00245260" w:rsidRPr="00C06556">
        <w:t xml:space="preserve">En los informes sobre los talleres se destaca que la </w:t>
      </w:r>
      <w:r w:rsidR="00245260" w:rsidRPr="00C06556">
        <w:lastRenderedPageBreak/>
        <w:t xml:space="preserve">mayoría de los </w:t>
      </w:r>
      <w:r w:rsidR="00F3507E" w:rsidRPr="00C06556">
        <w:t>participant</w:t>
      </w:r>
      <w:r w:rsidR="00245260" w:rsidRPr="00C06556">
        <w:t>e</w:t>
      </w:r>
      <w:r w:rsidR="00F3507E" w:rsidRPr="00C06556">
        <w:t xml:space="preserve">s </w:t>
      </w:r>
      <w:r w:rsidR="00245260" w:rsidRPr="00C06556">
        <w:t>manifestó su interés en que se realicen estudios en sus países y regiones</w:t>
      </w:r>
      <w:r w:rsidR="00F3507E" w:rsidRPr="00C06556">
        <w:t xml:space="preserve">.  </w:t>
      </w:r>
      <w:r w:rsidR="00245260" w:rsidRPr="00C06556">
        <w:t>Los comentarios recibidos a partir de la evaluación de los participantes en los distintos talleres fue</w:t>
      </w:r>
      <w:r w:rsidR="00314456" w:rsidRPr="00C06556">
        <w:t>ron</w:t>
      </w:r>
      <w:r w:rsidR="00245260" w:rsidRPr="00C06556">
        <w:t xml:space="preserve"> muy positiv</w:t>
      </w:r>
      <w:r w:rsidR="00314456" w:rsidRPr="00C06556">
        <w:t>os,</w:t>
      </w:r>
      <w:r w:rsidR="00245260" w:rsidRPr="00C06556">
        <w:t xml:space="preserve"> y la mayoría </w:t>
      </w:r>
      <w:r w:rsidR="00314456" w:rsidRPr="00C06556">
        <w:t>s</w:t>
      </w:r>
      <w:r w:rsidR="00245260" w:rsidRPr="00C06556">
        <w:t>e mostró satisfecha con los talleres en conjunto, y con los temas tratados y la calidad de los oradores.  Estas evaluaciones se llevaron a cabo inmediatamente después de los talleres</w:t>
      </w:r>
      <w:r w:rsidR="00314456" w:rsidRPr="00C06556">
        <w:t>,</w:t>
      </w:r>
      <w:r w:rsidR="00245260" w:rsidRPr="00C06556">
        <w:t xml:space="preserve"> y no ha habido un seguimiento ulterior </w:t>
      </w:r>
      <w:r w:rsidR="00314456" w:rsidRPr="00C06556">
        <w:t xml:space="preserve">para saber </w:t>
      </w:r>
      <w:r w:rsidR="00245260" w:rsidRPr="00C06556">
        <w:t>si la información y los conocimientos intercambiados en ellos tuvo una incidencia a más largo plazo.</w:t>
      </w:r>
    </w:p>
    <w:p w:rsidR="00F3507E" w:rsidRPr="00C06556" w:rsidRDefault="00F3507E" w:rsidP="00F3507E"/>
    <w:p w:rsidR="00F3507E" w:rsidRPr="00C06556" w:rsidRDefault="00AD5238" w:rsidP="00F3507E">
      <w:r w:rsidRPr="00C06556">
        <w:t>E</w:t>
      </w:r>
      <w:r w:rsidR="003638CB" w:rsidRPr="00C06556">
        <w:t>n e</w:t>
      </w:r>
      <w:r w:rsidRPr="00C06556">
        <w:t>l c</w:t>
      </w:r>
      <w:r w:rsidR="00F838C7" w:rsidRPr="00C06556">
        <w:t>omponente de los organismos de gestión colectiva</w:t>
      </w:r>
      <w:r w:rsidR="00F3507E" w:rsidRPr="00C06556">
        <w:t xml:space="preserve"> </w:t>
      </w:r>
      <w:r w:rsidR="003638CB" w:rsidRPr="00C06556">
        <w:t>hab</w:t>
      </w:r>
      <w:r w:rsidRPr="00C06556">
        <w:t xml:space="preserve">ía siete objetivos diferentes y, aunque se llevaron a cabo varias actividades distintas para </w:t>
      </w:r>
      <w:r w:rsidR="00FF473C" w:rsidRPr="00C06556">
        <w:t xml:space="preserve">intentar cumplir esos objetivos, solo uno </w:t>
      </w:r>
      <w:r w:rsidR="00E6345F" w:rsidRPr="00C06556">
        <w:t xml:space="preserve">de </w:t>
      </w:r>
      <w:r w:rsidR="003638CB" w:rsidRPr="00C06556">
        <w:t>el</w:t>
      </w:r>
      <w:r w:rsidR="00E6345F" w:rsidRPr="00C06556">
        <w:t xml:space="preserve">los </w:t>
      </w:r>
      <w:r w:rsidR="00F3507E" w:rsidRPr="00C06556">
        <w:t>(</w:t>
      </w:r>
      <w:r w:rsidR="00E6345F" w:rsidRPr="00C06556">
        <w:t>el perfeccionamiento del programa informático</w:t>
      </w:r>
      <w:r w:rsidR="00F3507E" w:rsidRPr="00C06556">
        <w:t xml:space="preserve"> WIPOCOS) </w:t>
      </w:r>
      <w:r w:rsidR="00E6345F" w:rsidRPr="00C06556">
        <w:t xml:space="preserve">se alcanzó durante la </w:t>
      </w:r>
      <w:r w:rsidR="003638CB" w:rsidRPr="00C06556">
        <w:t>vigencia</w:t>
      </w:r>
      <w:r w:rsidR="00E6345F" w:rsidRPr="00C06556">
        <w:t xml:space="preserve"> del proyecto</w:t>
      </w:r>
      <w:r w:rsidR="00F3507E" w:rsidRPr="00C06556">
        <w:t xml:space="preserve">.  </w:t>
      </w:r>
      <w:r w:rsidR="00E6345F" w:rsidRPr="00C06556">
        <w:t>E</w:t>
      </w:r>
      <w:r w:rsidR="003638CB" w:rsidRPr="00C06556">
        <w:t>ste componente</w:t>
      </w:r>
      <w:r w:rsidR="00E6345F" w:rsidRPr="00C06556">
        <w:t xml:space="preserve"> ha enfrentado varias dificultades importantes en el curso de su ejecución, y muchas de ellas no se habían previsto en la documentación o el plan inicial del proyecto.  Por ejemplo, </w:t>
      </w:r>
      <w:r w:rsidR="001E4115" w:rsidRPr="00C06556">
        <w:t xml:space="preserve">no se previó </w:t>
      </w:r>
      <w:r w:rsidR="00E6345F" w:rsidRPr="00C06556">
        <w:t xml:space="preserve">la necesidad de mejorar el programa informático </w:t>
      </w:r>
      <w:r w:rsidR="00F3507E" w:rsidRPr="00C06556">
        <w:t xml:space="preserve">WIPOCOS </w:t>
      </w:r>
      <w:r w:rsidR="001E4115" w:rsidRPr="00C06556">
        <w:t>y llevó más tiempo del esperado terminar esa tarea debido a la complejidad de</w:t>
      </w:r>
      <w:r w:rsidR="003638CB" w:rsidRPr="00C06556">
        <w:t xml:space="preserve"> </w:t>
      </w:r>
      <w:r w:rsidR="001E4115" w:rsidRPr="00C06556">
        <w:t>l</w:t>
      </w:r>
      <w:r w:rsidR="003638CB" w:rsidRPr="00C06556">
        <w:t>a</w:t>
      </w:r>
      <w:r w:rsidR="001E4115" w:rsidRPr="00C06556">
        <w:t xml:space="preserve"> </w:t>
      </w:r>
      <w:r w:rsidR="003638CB" w:rsidRPr="00C06556">
        <w:t>concepción</w:t>
      </w:r>
      <w:r w:rsidR="001E4115" w:rsidRPr="00C06556">
        <w:t xml:space="preserve"> lógic</w:t>
      </w:r>
      <w:r w:rsidR="003638CB" w:rsidRPr="00C06556">
        <w:t>a comercial</w:t>
      </w:r>
      <w:r w:rsidR="001E4115" w:rsidRPr="00C06556">
        <w:t xml:space="preserve"> y la aplicación del programa informático.  Entre otros problemas cabe destacar la necesidad de contar con personal </w:t>
      </w:r>
      <w:r w:rsidR="002A6907" w:rsidRPr="00C06556">
        <w:t xml:space="preserve">mucho más cualificado en la elaboración de programas informáticos y </w:t>
      </w:r>
      <w:r w:rsidR="003638CB" w:rsidRPr="00C06556">
        <w:t xml:space="preserve">una </w:t>
      </w:r>
      <w:r w:rsidR="002A6907" w:rsidRPr="00C06556">
        <w:t xml:space="preserve">mayor supervisión que lo previsto inicialmente.  Estas cuestiones se plantearon durante la ejecución del proyecto y, a raíz de ello, se informó a los Estados miembros que se reorientaría y se aplicaría un nuevo enfoque que comprendía la elaboración, el diseño y la instalación del </w:t>
      </w:r>
      <w:r w:rsidR="00E6345F" w:rsidRPr="00C06556">
        <w:t>programa informático WIPOCOS</w:t>
      </w:r>
      <w:r w:rsidR="00F3507E" w:rsidRPr="00C06556">
        <w:t xml:space="preserve"> </w:t>
      </w:r>
      <w:r w:rsidR="002A6907" w:rsidRPr="00C06556">
        <w:t xml:space="preserve">y de las aplicaciones en la </w:t>
      </w:r>
      <w:r w:rsidR="00F3507E" w:rsidRPr="00C06556">
        <w:t xml:space="preserve">web </w:t>
      </w:r>
      <w:r w:rsidR="002A6907" w:rsidRPr="00C06556">
        <w:t>con objeto de habilitar a los o</w:t>
      </w:r>
      <w:r w:rsidR="002664A7" w:rsidRPr="00C06556">
        <w:t>rganismos de gestión colectiva</w:t>
      </w:r>
      <w:r w:rsidR="00F3507E" w:rsidRPr="00C06556">
        <w:t xml:space="preserve"> </w:t>
      </w:r>
      <w:r w:rsidR="002A6907" w:rsidRPr="00C06556">
        <w:t>de los nueve países piloto que participaron en el proyecto</w:t>
      </w:r>
      <w:r w:rsidR="00F3507E" w:rsidRPr="00C06556">
        <w:rPr>
          <w:vertAlign w:val="superscript"/>
        </w:rPr>
        <w:footnoteReference w:id="2"/>
      </w:r>
      <w:r w:rsidR="00F3507E" w:rsidRPr="00C06556">
        <w:t xml:space="preserve"> </w:t>
      </w:r>
      <w:r w:rsidR="00011727">
        <w:t xml:space="preserve">para </w:t>
      </w:r>
      <w:r w:rsidR="003638CB" w:rsidRPr="00C06556">
        <w:t>que</w:t>
      </w:r>
      <w:r w:rsidR="002A6907" w:rsidRPr="00C06556">
        <w:t xml:space="preserve"> efect</w:t>
      </w:r>
      <w:r w:rsidR="003638CB" w:rsidRPr="00C06556">
        <w:t>úen</w:t>
      </w:r>
      <w:r w:rsidR="002A6907" w:rsidRPr="00C06556">
        <w:t xml:space="preserve"> un proceso de simplificación sistemática como forma de contribuir a la gestión del derecho de autor en el entorno </w:t>
      </w:r>
      <w:r w:rsidR="00F3507E" w:rsidRPr="00C06556">
        <w:t xml:space="preserve">digital.  </w:t>
      </w:r>
      <w:r w:rsidR="004424A2" w:rsidRPr="00C06556">
        <w:t xml:space="preserve">En esta fase, la OMPI incorporó a su </w:t>
      </w:r>
      <w:r w:rsidR="00C669F7" w:rsidRPr="00C06556">
        <w:t xml:space="preserve">Departamento de Tecnologías de la Información y las Comunicaciones </w:t>
      </w:r>
      <w:r w:rsidR="004424A2" w:rsidRPr="00C06556">
        <w:t xml:space="preserve">en el proyecto para apoyar la </w:t>
      </w:r>
      <w:r w:rsidR="003638CB" w:rsidRPr="00C06556">
        <w:t>consecuci</w:t>
      </w:r>
      <w:r w:rsidR="00B34E64" w:rsidRPr="00C06556">
        <w:t xml:space="preserve">ón de un sistema </w:t>
      </w:r>
      <w:r w:rsidR="003638CB" w:rsidRPr="00C06556">
        <w:t>perfeccionado</w:t>
      </w:r>
      <w:r w:rsidR="00F3507E" w:rsidRPr="00C06556">
        <w:t xml:space="preserve">.  </w:t>
      </w:r>
      <w:r w:rsidR="003638CB" w:rsidRPr="00C06556">
        <w:t>La</w:t>
      </w:r>
      <w:r w:rsidR="00B34E64" w:rsidRPr="00C06556">
        <w:t xml:space="preserve"> </w:t>
      </w:r>
      <w:r w:rsidR="00F3507E" w:rsidRPr="00C06556">
        <w:t>reorienta</w:t>
      </w:r>
      <w:r w:rsidR="003638CB" w:rsidRPr="00C06556">
        <w:t>ción del componente requirió</w:t>
      </w:r>
      <w:r w:rsidR="00B34E64" w:rsidRPr="00C06556">
        <w:t xml:space="preserve"> debates prolongado</w:t>
      </w:r>
      <w:r w:rsidR="003638CB" w:rsidRPr="00C06556">
        <w:t>s</w:t>
      </w:r>
      <w:r w:rsidR="00B34E64" w:rsidRPr="00C06556">
        <w:t xml:space="preserve"> con asociados fundamentales de la industria</w:t>
      </w:r>
      <w:r w:rsidR="00F3507E" w:rsidRPr="00C06556">
        <w:t xml:space="preserve"> creativ</w:t>
      </w:r>
      <w:r w:rsidR="00B34E64" w:rsidRPr="00C06556">
        <w:t>a, como la</w:t>
      </w:r>
      <w:r w:rsidR="00F3507E" w:rsidRPr="00C06556">
        <w:t xml:space="preserve"> </w:t>
      </w:r>
      <w:r w:rsidR="008C578D" w:rsidRPr="00C06556">
        <w:t xml:space="preserve">Confederación Internacional de Sociedades de Autores y Compositores </w:t>
      </w:r>
      <w:r w:rsidR="00F3507E" w:rsidRPr="00C06556">
        <w:t xml:space="preserve">(CISAC) </w:t>
      </w:r>
      <w:r w:rsidR="008C578D" w:rsidRPr="00C06556">
        <w:t xml:space="preserve">y el Consejo de Sociedades para la Administración de los Derechos de los Artistas Intérpretes o Ejecutantes </w:t>
      </w:r>
      <w:r w:rsidR="00F3507E" w:rsidRPr="00C06556">
        <w:t xml:space="preserve">(SCAPR) </w:t>
      </w:r>
      <w:r w:rsidR="00B34E64" w:rsidRPr="00C06556">
        <w:t xml:space="preserve">con objeto de </w:t>
      </w:r>
      <w:r w:rsidR="00FE23D4" w:rsidRPr="00C06556">
        <w:t xml:space="preserve">velar por que la reestructuración de </w:t>
      </w:r>
      <w:r w:rsidR="00F3507E" w:rsidRPr="00C06556">
        <w:t xml:space="preserve">WIPOCOS </w:t>
      </w:r>
      <w:r w:rsidR="003638CB" w:rsidRPr="00C06556">
        <w:t>fuera fructífera y aportara</w:t>
      </w:r>
      <w:r w:rsidR="00FE23D4" w:rsidRPr="00C06556">
        <w:t xml:space="preserve"> sus conocimientos especializados al campo de la gestión de datos</w:t>
      </w:r>
      <w:r w:rsidR="00F3507E" w:rsidRPr="00C06556">
        <w:t>.</w:t>
      </w:r>
    </w:p>
    <w:p w:rsidR="00F3507E" w:rsidRPr="00C06556" w:rsidRDefault="00F3507E" w:rsidP="00F3507E"/>
    <w:p w:rsidR="00F3507E" w:rsidRPr="00C06556" w:rsidRDefault="00FE23D4" w:rsidP="00F3507E">
      <w:r w:rsidRPr="00C06556">
        <w:t xml:space="preserve">Aunque el logro de los objetivos previstos inicialmente fue mínimo, el proyecto rediseñado con nuevos objetivos más viables está en marcha </w:t>
      </w:r>
      <w:r w:rsidR="006F6FEA" w:rsidRPr="00C06556">
        <w:t xml:space="preserve">con cargo al presupuesto ordinario de la OMPI. </w:t>
      </w:r>
    </w:p>
    <w:p w:rsidR="00F3507E" w:rsidRPr="00C06556" w:rsidRDefault="00F3507E" w:rsidP="00F3507E"/>
    <w:p w:rsidR="00F3507E" w:rsidRPr="00C06556" w:rsidRDefault="00F3507E" w:rsidP="00F3507E"/>
    <w:p w:rsidR="00F3507E" w:rsidRPr="00C06556" w:rsidRDefault="004E4515" w:rsidP="00F3507E">
      <w:pPr>
        <w:rPr>
          <w:b/>
          <w:i/>
        </w:rPr>
      </w:pPr>
      <w:r w:rsidRPr="00C06556">
        <w:rPr>
          <w:b/>
          <w:i/>
        </w:rPr>
        <w:t>Autosuficiencia del proyecto</w:t>
      </w:r>
    </w:p>
    <w:p w:rsidR="00F3507E" w:rsidRPr="00C06556" w:rsidRDefault="00F3507E" w:rsidP="00F3507E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507E" w:rsidRPr="00C06556" w:rsidTr="00A067B2">
        <w:tc>
          <w:tcPr>
            <w:tcW w:w="9016" w:type="dxa"/>
          </w:tcPr>
          <w:p w:rsidR="00F3507E" w:rsidRPr="00C06556" w:rsidRDefault="009C0D52" w:rsidP="00A067B2">
            <w:pPr>
              <w:rPr>
                <w:i/>
              </w:rPr>
            </w:pPr>
            <w:r w:rsidRPr="00C06556">
              <w:rPr>
                <w:b/>
                <w:i/>
              </w:rPr>
              <w:t>Conclusión</w:t>
            </w:r>
            <w:r w:rsidR="00C06556" w:rsidRPr="00C06556">
              <w:rPr>
                <w:b/>
                <w:i/>
              </w:rPr>
              <w:t xml:space="preserve"> 10: </w:t>
            </w:r>
            <w:r w:rsidR="00F3507E" w:rsidRPr="00C06556">
              <w:rPr>
                <w:b/>
                <w:i/>
              </w:rPr>
              <w:t xml:space="preserve"> </w:t>
            </w:r>
            <w:r w:rsidR="00E7057E" w:rsidRPr="00C06556">
              <w:rPr>
                <w:i/>
              </w:rPr>
              <w:t xml:space="preserve">Sin el seguimiento constante de los </w:t>
            </w:r>
            <w:r w:rsidR="00F3507E" w:rsidRPr="00C06556">
              <w:rPr>
                <w:i/>
              </w:rPr>
              <w:t>participant</w:t>
            </w:r>
            <w:r w:rsidR="00E7057E" w:rsidRPr="00C06556">
              <w:rPr>
                <w:i/>
              </w:rPr>
              <w:t>e</w:t>
            </w:r>
            <w:r w:rsidR="00F3507E" w:rsidRPr="00C06556">
              <w:rPr>
                <w:i/>
              </w:rPr>
              <w:t xml:space="preserve">s </w:t>
            </w:r>
            <w:r w:rsidR="00E7057E" w:rsidRPr="00C06556">
              <w:rPr>
                <w:i/>
              </w:rPr>
              <w:t xml:space="preserve">no es posible evaluar la incidencia a largo plazo de los eventos relacionados con </w:t>
            </w:r>
            <w:r w:rsidR="00F838C7" w:rsidRPr="00C06556">
              <w:rPr>
                <w:i/>
              </w:rPr>
              <w:t>las industrias creativas</w:t>
            </w:r>
            <w:r w:rsidR="00F3507E" w:rsidRPr="00C06556">
              <w:rPr>
                <w:i/>
              </w:rPr>
              <w:t xml:space="preserve">.  </w:t>
            </w:r>
            <w:r w:rsidR="00E7057E" w:rsidRPr="00C06556">
              <w:rPr>
                <w:i/>
              </w:rPr>
              <w:t xml:space="preserve">Tras la celebración de </w:t>
            </w:r>
            <w:r w:rsidR="003638CB" w:rsidRPr="00C06556">
              <w:rPr>
                <w:i/>
              </w:rPr>
              <w:t>est</w:t>
            </w:r>
            <w:r w:rsidR="00E7057E" w:rsidRPr="00C06556">
              <w:rPr>
                <w:i/>
              </w:rPr>
              <w:t>os, se efectuaron varias solicitudes de seguimiento, y la elaboración de estudios económicos aplicando la metodología de la OMPI s</w:t>
            </w:r>
            <w:r w:rsidR="003638CB" w:rsidRPr="00C06556">
              <w:rPr>
                <w:i/>
              </w:rPr>
              <w:t>e mantiene como</w:t>
            </w:r>
            <w:r w:rsidR="00E7057E" w:rsidRPr="00C06556">
              <w:rPr>
                <w:i/>
              </w:rPr>
              <w:t xml:space="preserve"> una de las actividades regulares de la Organización</w:t>
            </w:r>
            <w:r w:rsidR="00F3507E" w:rsidRPr="00C06556">
              <w:rPr>
                <w:i/>
              </w:rPr>
              <w:t>.</w:t>
            </w:r>
          </w:p>
          <w:p w:rsidR="00F3507E" w:rsidRPr="00C06556" w:rsidRDefault="00F3507E" w:rsidP="00A067B2">
            <w:pPr>
              <w:rPr>
                <w:b/>
                <w:i/>
              </w:rPr>
            </w:pPr>
          </w:p>
        </w:tc>
      </w:tr>
      <w:tr w:rsidR="00F3507E" w:rsidRPr="00C06556" w:rsidTr="00A067B2">
        <w:tc>
          <w:tcPr>
            <w:tcW w:w="9016" w:type="dxa"/>
          </w:tcPr>
          <w:p w:rsidR="00F3507E" w:rsidRPr="00C06556" w:rsidRDefault="009C0D52" w:rsidP="00A067B2">
            <w:r w:rsidRPr="00C06556">
              <w:rPr>
                <w:b/>
                <w:i/>
              </w:rPr>
              <w:t>Conclusión</w:t>
            </w:r>
            <w:r w:rsidR="00F3507E" w:rsidRPr="00C06556">
              <w:rPr>
                <w:b/>
                <w:i/>
              </w:rPr>
              <w:t xml:space="preserve"> 11:</w:t>
            </w:r>
            <w:r w:rsidR="00F3507E" w:rsidRPr="00C06556">
              <w:rPr>
                <w:i/>
              </w:rPr>
              <w:t xml:space="preserve">  </w:t>
            </w:r>
            <w:r w:rsidR="00E7057E" w:rsidRPr="00C06556">
              <w:rPr>
                <w:i/>
              </w:rPr>
              <w:t>La reorientación del c</w:t>
            </w:r>
            <w:r w:rsidR="00F838C7" w:rsidRPr="00C06556">
              <w:rPr>
                <w:i/>
              </w:rPr>
              <w:t>omponente de los organismos de gestión colectiva</w:t>
            </w:r>
            <w:r w:rsidR="00F3507E" w:rsidRPr="00C06556">
              <w:rPr>
                <w:i/>
              </w:rPr>
              <w:t xml:space="preserve"> </w:t>
            </w:r>
            <w:r w:rsidR="00E7057E" w:rsidRPr="00C06556">
              <w:rPr>
                <w:i/>
              </w:rPr>
              <w:t>se financia actualmente con cargo al presupuesto ordinario de la OMPI, y sigue dirigido a los países menos adelantados de África occidental</w:t>
            </w:r>
            <w:r w:rsidR="003638CB" w:rsidRPr="00C06556">
              <w:rPr>
                <w:i/>
              </w:rPr>
              <w:t>,</w:t>
            </w:r>
            <w:r w:rsidR="00E7057E" w:rsidRPr="00C06556">
              <w:rPr>
                <w:i/>
              </w:rPr>
              <w:t xml:space="preserve"> y también de otras partes de África, y </w:t>
            </w:r>
            <w:r w:rsidR="003638CB" w:rsidRPr="00C06556">
              <w:rPr>
                <w:i/>
              </w:rPr>
              <w:t xml:space="preserve">a </w:t>
            </w:r>
            <w:r w:rsidR="00E7057E" w:rsidRPr="00C06556">
              <w:rPr>
                <w:i/>
              </w:rPr>
              <w:t>regiones de Asia y el Caribe</w:t>
            </w:r>
            <w:r w:rsidR="00F3507E" w:rsidRPr="00C06556">
              <w:rPr>
                <w:i/>
              </w:rPr>
              <w:t>.</w:t>
            </w:r>
          </w:p>
          <w:p w:rsidR="00F3507E" w:rsidRPr="00C06556" w:rsidRDefault="00F3507E" w:rsidP="00A067B2">
            <w:pPr>
              <w:rPr>
                <w:b/>
                <w:i/>
              </w:rPr>
            </w:pPr>
          </w:p>
        </w:tc>
      </w:tr>
    </w:tbl>
    <w:p w:rsidR="00F3507E" w:rsidRPr="00C06556" w:rsidRDefault="00F3507E" w:rsidP="00F3507E"/>
    <w:p w:rsidR="00F3507E" w:rsidRPr="00C06556" w:rsidRDefault="004424A2" w:rsidP="00F3507E">
      <w:r w:rsidRPr="00C06556">
        <w:lastRenderedPageBreak/>
        <w:t xml:space="preserve">En lo que concierne al componente de </w:t>
      </w:r>
      <w:r w:rsidR="00F838C7" w:rsidRPr="00C06556">
        <w:t>las industrias creativas</w:t>
      </w:r>
      <w:r w:rsidRPr="00C06556">
        <w:t xml:space="preserve">, </w:t>
      </w:r>
      <w:r w:rsidR="003638CB" w:rsidRPr="00C06556">
        <w:t>a raíz de</w:t>
      </w:r>
      <w:r w:rsidRPr="00C06556">
        <w:t xml:space="preserve"> los eventos celebrados en el marco del proyecto</w:t>
      </w:r>
      <w:r w:rsidR="003638CB" w:rsidRPr="00C06556">
        <w:t>, se efectuaron</w:t>
      </w:r>
      <w:r w:rsidRPr="00C06556">
        <w:t xml:space="preserve"> varias solicitudes de que se organizaran talleres similares.  Los comentarios formulados por los </w:t>
      </w:r>
      <w:r w:rsidR="00F3507E" w:rsidRPr="00C06556">
        <w:t>participant</w:t>
      </w:r>
      <w:r w:rsidRPr="00C06556">
        <w:t>e</w:t>
      </w:r>
      <w:r w:rsidR="00F3507E" w:rsidRPr="00C06556">
        <w:t xml:space="preserve">s </w:t>
      </w:r>
      <w:r w:rsidRPr="00C06556">
        <w:t xml:space="preserve">sobre los beneficios del taller fueron positivos, aunque no se </w:t>
      </w:r>
      <w:r w:rsidR="003638CB" w:rsidRPr="00C06556">
        <w:t>pudieron</w:t>
      </w:r>
      <w:r w:rsidRPr="00C06556">
        <w:t xml:space="preserve"> evaluar los beneficios a largo plazo debido a </w:t>
      </w:r>
      <w:r w:rsidR="003638CB" w:rsidRPr="00C06556">
        <w:t>la falta de</w:t>
      </w:r>
      <w:r w:rsidRPr="00C06556">
        <w:t xml:space="preserve"> seguimiento.</w:t>
      </w:r>
    </w:p>
    <w:p w:rsidR="00F3507E" w:rsidRPr="00C06556" w:rsidRDefault="00F3507E" w:rsidP="00F3507E"/>
    <w:p w:rsidR="00F3507E" w:rsidRPr="00C06556" w:rsidRDefault="008C578D" w:rsidP="00F3507E">
      <w:r w:rsidRPr="00C06556">
        <w:t>Como se ha señalado, si bien el c</w:t>
      </w:r>
      <w:r w:rsidR="00F838C7" w:rsidRPr="00C06556">
        <w:t>omponente de los organismos de gestión colectiva</w:t>
      </w:r>
      <w:r w:rsidR="00F3507E" w:rsidRPr="00C06556">
        <w:t xml:space="preserve"> </w:t>
      </w:r>
      <w:r w:rsidRPr="00C06556">
        <w:t>experiment</w:t>
      </w:r>
      <w:r w:rsidR="004424A2" w:rsidRPr="00C06556">
        <w:t>ó</w:t>
      </w:r>
      <w:r w:rsidRPr="00C06556">
        <w:t xml:space="preserve"> varios problemas relacionados con su </w:t>
      </w:r>
      <w:r w:rsidR="00FF77B0">
        <w:t>versión</w:t>
      </w:r>
      <w:r w:rsidRPr="00C06556">
        <w:t xml:space="preserve"> inicial, </w:t>
      </w:r>
      <w:r w:rsidR="004424A2" w:rsidRPr="00C06556">
        <w:t xml:space="preserve">dadas </w:t>
      </w:r>
      <w:r w:rsidRPr="00C06556">
        <w:t>la</w:t>
      </w:r>
      <w:r w:rsidR="004424A2" w:rsidRPr="00C06556">
        <w:t>s</w:t>
      </w:r>
      <w:r w:rsidRPr="00C06556">
        <w:t xml:space="preserve"> nueva</w:t>
      </w:r>
      <w:r w:rsidR="004424A2" w:rsidRPr="00C06556">
        <w:t xml:space="preserve">s características del proyecto modificado, este </w:t>
      </w:r>
      <w:r w:rsidR="003638CB" w:rsidRPr="00C06556">
        <w:t>apunta</w:t>
      </w:r>
      <w:r w:rsidR="004424A2" w:rsidRPr="00C06556">
        <w:t xml:space="preserve"> ahora a los países menos adelantados, no solo en África, sino también en Asia y el Caribe, y </w:t>
      </w:r>
      <w:r w:rsidR="003638CB" w:rsidRPr="00C06556">
        <w:t xml:space="preserve">se </w:t>
      </w:r>
      <w:r w:rsidR="004424A2" w:rsidRPr="00C06556">
        <w:t>ha fijado una nueva serie de objetivos.  Actualmente, se aplica en la fase piloto en dos o</w:t>
      </w:r>
      <w:r w:rsidR="002664A7" w:rsidRPr="00C06556">
        <w:t>rganismos de gestión colectiva</w:t>
      </w:r>
      <w:r w:rsidR="00F3507E" w:rsidRPr="00C06556">
        <w:t xml:space="preserve"> </w:t>
      </w:r>
      <w:r w:rsidR="004424A2" w:rsidRPr="00C06556">
        <w:t xml:space="preserve">para garantizar que las ventajas de </w:t>
      </w:r>
      <w:r w:rsidR="003638CB" w:rsidRPr="00C06556">
        <w:t>s</w:t>
      </w:r>
      <w:r w:rsidR="004424A2" w:rsidRPr="00C06556">
        <w:t xml:space="preserve">eguir </w:t>
      </w:r>
      <w:r w:rsidR="003638CB" w:rsidRPr="00C06556">
        <w:t>adelante</w:t>
      </w:r>
      <w:r w:rsidR="004424A2" w:rsidRPr="00C06556">
        <w:t xml:space="preserve"> superen a los riesgos</w:t>
      </w:r>
      <w:r w:rsidR="00F3507E" w:rsidRPr="00C06556">
        <w:t>.</w:t>
      </w:r>
    </w:p>
    <w:p w:rsidR="00F3507E" w:rsidRPr="00C06556" w:rsidRDefault="00F3507E" w:rsidP="00F3507E"/>
    <w:p w:rsidR="00F3507E" w:rsidRPr="00C06556" w:rsidRDefault="00F3507E" w:rsidP="00F3507E"/>
    <w:p w:rsidR="00F3507E" w:rsidRPr="00C06556" w:rsidRDefault="004E4515" w:rsidP="00F3507E">
      <w:pPr>
        <w:rPr>
          <w:b/>
          <w:u w:val="single"/>
        </w:rPr>
      </w:pPr>
      <w:r w:rsidRPr="00C06556">
        <w:rPr>
          <w:b/>
          <w:u w:val="single"/>
        </w:rPr>
        <w:t>Recomendaciones</w:t>
      </w:r>
    </w:p>
    <w:p w:rsidR="00F3507E" w:rsidRPr="00C06556" w:rsidRDefault="00F3507E" w:rsidP="00F3507E">
      <w:pPr>
        <w:rPr>
          <w:b/>
          <w:u w:val="single"/>
        </w:rPr>
      </w:pPr>
    </w:p>
    <w:p w:rsidR="004E4515" w:rsidRPr="00FF77B0" w:rsidRDefault="00452D7D" w:rsidP="004E4515">
      <w:r w:rsidRPr="00FF77B0">
        <w:t>Habida cuenta de</w:t>
      </w:r>
      <w:r w:rsidR="004E4515" w:rsidRPr="00FF77B0">
        <w:t xml:space="preserve"> las conclusiones a las que se ha llegado en la presente evaluación, se formulan cuatro recomendaciones de medidas futuras.</w:t>
      </w:r>
    </w:p>
    <w:p w:rsidR="00F3507E" w:rsidRPr="00C06556" w:rsidRDefault="00F3507E" w:rsidP="00F3507E"/>
    <w:p w:rsidR="00F3507E" w:rsidRPr="00C06556" w:rsidRDefault="00F3507E" w:rsidP="00F3507E"/>
    <w:p w:rsidR="00F3507E" w:rsidRPr="00C06556" w:rsidRDefault="00F3507E" w:rsidP="00F3507E">
      <w:pPr>
        <w:rPr>
          <w:b/>
          <w:i/>
        </w:rPr>
      </w:pPr>
      <w:r w:rsidRPr="00C06556">
        <w:rPr>
          <w:b/>
          <w:i/>
        </w:rPr>
        <w:t>A</w:t>
      </w:r>
      <w:r w:rsidRPr="00C06556">
        <w:rPr>
          <w:b/>
          <w:i/>
        </w:rPr>
        <w:tab/>
      </w:r>
      <w:r w:rsidR="004E4515" w:rsidRPr="00C06556">
        <w:rPr>
          <w:b/>
          <w:i/>
        </w:rPr>
        <w:t>Concepción y gestión del proyecto</w:t>
      </w:r>
    </w:p>
    <w:p w:rsidR="00F3507E" w:rsidRPr="00C06556" w:rsidRDefault="00F3507E" w:rsidP="00F3507E">
      <w:pPr>
        <w:rPr>
          <w:b/>
          <w:i/>
        </w:rPr>
      </w:pPr>
    </w:p>
    <w:p w:rsidR="00F3507E" w:rsidRPr="00C06556" w:rsidRDefault="004E4515" w:rsidP="00F3507E">
      <w:pPr>
        <w:rPr>
          <w:b/>
          <w:u w:val="single"/>
        </w:rPr>
      </w:pPr>
      <w:r w:rsidRPr="00C06556">
        <w:rPr>
          <w:b/>
          <w:u w:val="single"/>
        </w:rPr>
        <w:t>Recomendación</w:t>
      </w:r>
      <w:r w:rsidR="00F3507E" w:rsidRPr="00C06556">
        <w:rPr>
          <w:b/>
          <w:u w:val="single"/>
        </w:rPr>
        <w:t xml:space="preserve"> 1</w:t>
      </w:r>
    </w:p>
    <w:p w:rsidR="00F3507E" w:rsidRPr="00C06556" w:rsidRDefault="00F3507E" w:rsidP="00F3507E">
      <w:pPr>
        <w:rPr>
          <w:b/>
          <w:u w:val="single"/>
        </w:rPr>
      </w:pPr>
    </w:p>
    <w:p w:rsidR="00F3507E" w:rsidRPr="00C06556" w:rsidRDefault="00F3507E" w:rsidP="00F3507E">
      <w:r w:rsidRPr="00C06556">
        <w:t>(</w:t>
      </w:r>
      <w:r w:rsidR="004E4515" w:rsidRPr="00C06556">
        <w:t>Conclusión</w:t>
      </w:r>
      <w:r w:rsidRPr="00C06556">
        <w:t xml:space="preserve"> 1)</w:t>
      </w:r>
    </w:p>
    <w:p w:rsidR="00F3507E" w:rsidRPr="00C06556" w:rsidRDefault="00F3507E" w:rsidP="00F3507E"/>
    <w:p w:rsidR="00F3507E" w:rsidRPr="00C06556" w:rsidRDefault="004B34D8" w:rsidP="00F3507E">
      <w:r w:rsidRPr="00C06556">
        <w:t xml:space="preserve">Cuando haya que ejecutar proyectos complejos, </w:t>
      </w:r>
      <w:r w:rsidR="00DD50FF" w:rsidRPr="00C06556">
        <w:t>se mejorará</w:t>
      </w:r>
      <w:r w:rsidRPr="00C06556">
        <w:t xml:space="preserve"> la documentación de estos </w:t>
      </w:r>
      <w:r w:rsidR="00DD50FF" w:rsidRPr="00C06556">
        <w:t>mediante la inclusión de</w:t>
      </w:r>
      <w:r w:rsidRPr="00C06556">
        <w:t xml:space="preserve"> orientaciones </w:t>
      </w:r>
      <w:r w:rsidR="00DD50FF" w:rsidRPr="00C06556">
        <w:t>dirigidas a</w:t>
      </w:r>
      <w:r w:rsidRPr="00C06556">
        <w:t xml:space="preserve"> los directores de proyectos sobre </w:t>
      </w:r>
      <w:r w:rsidR="00DD50FF" w:rsidRPr="00C06556">
        <w:t>los planes de</w:t>
      </w:r>
      <w:r w:rsidRPr="00C06556">
        <w:t xml:space="preserve"> gestión y ejecución</w:t>
      </w:r>
      <w:r w:rsidR="00DD50FF" w:rsidRPr="00C06556">
        <w:t xml:space="preserve"> de estos</w:t>
      </w:r>
      <w:r w:rsidRPr="00C06556">
        <w:t>.</w:t>
      </w:r>
    </w:p>
    <w:p w:rsidR="00F3507E" w:rsidRPr="00C06556" w:rsidRDefault="00F3507E" w:rsidP="00F3507E"/>
    <w:p w:rsidR="00F3507E" w:rsidRPr="00C06556" w:rsidRDefault="004E4515" w:rsidP="00F3507E">
      <w:pPr>
        <w:rPr>
          <w:b/>
          <w:u w:val="single"/>
        </w:rPr>
      </w:pPr>
      <w:r w:rsidRPr="00C06556">
        <w:rPr>
          <w:b/>
          <w:u w:val="single"/>
        </w:rPr>
        <w:t>Recomendación</w:t>
      </w:r>
      <w:r w:rsidR="00F3507E" w:rsidRPr="00C06556">
        <w:rPr>
          <w:b/>
          <w:u w:val="single"/>
        </w:rPr>
        <w:t xml:space="preserve"> 2</w:t>
      </w:r>
    </w:p>
    <w:p w:rsidR="00F3507E" w:rsidRPr="00C06556" w:rsidRDefault="00F3507E" w:rsidP="00F3507E">
      <w:pPr>
        <w:rPr>
          <w:b/>
          <w:u w:val="single"/>
        </w:rPr>
      </w:pPr>
    </w:p>
    <w:p w:rsidR="00F3507E" w:rsidRPr="00C06556" w:rsidRDefault="00F3507E" w:rsidP="00F3507E">
      <w:r w:rsidRPr="00C06556">
        <w:t>(</w:t>
      </w:r>
      <w:r w:rsidR="004E4515" w:rsidRPr="00C06556">
        <w:t>Conclusión</w:t>
      </w:r>
      <w:r w:rsidRPr="00C06556">
        <w:t xml:space="preserve"> 1)</w:t>
      </w:r>
    </w:p>
    <w:p w:rsidR="00F3507E" w:rsidRPr="00C06556" w:rsidRDefault="00F3507E" w:rsidP="00F3507E"/>
    <w:p w:rsidR="00F3507E" w:rsidRPr="00C06556" w:rsidRDefault="004B1273" w:rsidP="00F3507E">
      <w:r w:rsidRPr="00C06556">
        <w:t>En el futuro</w:t>
      </w:r>
      <w:r w:rsidR="00DD50FF" w:rsidRPr="00C06556">
        <w:t>,</w:t>
      </w:r>
      <w:r w:rsidRPr="00C06556">
        <w:t xml:space="preserve"> </w:t>
      </w:r>
      <w:r w:rsidR="004B34D8" w:rsidRPr="00C06556">
        <w:t xml:space="preserve">convendrá que </w:t>
      </w:r>
      <w:r w:rsidR="00E239D6" w:rsidRPr="00C06556">
        <w:t xml:space="preserve">la presentación de informes y el seguimiento de </w:t>
      </w:r>
      <w:r w:rsidR="004B34D8" w:rsidRPr="00C06556">
        <w:t xml:space="preserve">los proyectos se </w:t>
      </w:r>
      <w:r w:rsidR="00DD50FF" w:rsidRPr="00C06556">
        <w:t>efectúen</w:t>
      </w:r>
      <w:r w:rsidR="004B34D8" w:rsidRPr="00C06556">
        <w:t xml:space="preserve"> por separado en la documentación</w:t>
      </w:r>
      <w:r w:rsidR="009C0D52" w:rsidRPr="00C06556">
        <w:t xml:space="preserve"> de</w:t>
      </w:r>
      <w:r w:rsidR="00DD50FF" w:rsidRPr="00C06556">
        <w:t xml:space="preserve"> cada</w:t>
      </w:r>
      <w:r w:rsidR="009C0D52" w:rsidRPr="00C06556">
        <w:t xml:space="preserve"> proyecto</w:t>
      </w:r>
      <w:r w:rsidR="00F3507E" w:rsidRPr="00C06556">
        <w:t>.</w:t>
      </w:r>
    </w:p>
    <w:p w:rsidR="00F3507E" w:rsidRDefault="00F3507E" w:rsidP="00F3507E">
      <w:pPr>
        <w:rPr>
          <w:b/>
          <w:i/>
        </w:rPr>
      </w:pPr>
    </w:p>
    <w:p w:rsidR="003512F0" w:rsidRPr="00C06556" w:rsidRDefault="003512F0" w:rsidP="00F3507E">
      <w:pPr>
        <w:rPr>
          <w:b/>
          <w:i/>
        </w:rPr>
      </w:pPr>
    </w:p>
    <w:p w:rsidR="00F3507E" w:rsidRPr="00C06556" w:rsidRDefault="00F3507E" w:rsidP="00F3507E">
      <w:pPr>
        <w:keepNext/>
        <w:keepLines/>
        <w:rPr>
          <w:b/>
          <w:i/>
        </w:rPr>
      </w:pPr>
      <w:r w:rsidRPr="00C06556">
        <w:rPr>
          <w:b/>
          <w:i/>
        </w:rPr>
        <w:t>B</w:t>
      </w:r>
      <w:r w:rsidRPr="00C06556">
        <w:rPr>
          <w:b/>
          <w:i/>
        </w:rPr>
        <w:tab/>
        <w:t>Ef</w:t>
      </w:r>
      <w:r w:rsidR="004E4515" w:rsidRPr="00C06556">
        <w:rPr>
          <w:b/>
          <w:i/>
        </w:rPr>
        <w:t>icacia</w:t>
      </w:r>
    </w:p>
    <w:p w:rsidR="00F3507E" w:rsidRPr="00C06556" w:rsidRDefault="00F3507E" w:rsidP="00F3507E">
      <w:pPr>
        <w:keepNext/>
        <w:keepLines/>
        <w:rPr>
          <w:b/>
          <w:i/>
        </w:rPr>
      </w:pPr>
    </w:p>
    <w:p w:rsidR="00F3507E" w:rsidRPr="00C06556" w:rsidRDefault="004E4515" w:rsidP="00F3507E">
      <w:pPr>
        <w:keepNext/>
        <w:keepLines/>
        <w:rPr>
          <w:b/>
          <w:u w:val="single"/>
        </w:rPr>
      </w:pPr>
      <w:r w:rsidRPr="00C06556">
        <w:rPr>
          <w:b/>
          <w:u w:val="single"/>
        </w:rPr>
        <w:t>Recomendación</w:t>
      </w:r>
      <w:r w:rsidR="00F3507E" w:rsidRPr="00C06556">
        <w:rPr>
          <w:b/>
          <w:u w:val="single"/>
        </w:rPr>
        <w:t xml:space="preserve"> 3</w:t>
      </w:r>
    </w:p>
    <w:p w:rsidR="00F3507E" w:rsidRPr="00C06556" w:rsidRDefault="00F3507E" w:rsidP="00F3507E">
      <w:pPr>
        <w:keepLines/>
        <w:rPr>
          <w:b/>
          <w:u w:val="single"/>
        </w:rPr>
      </w:pPr>
    </w:p>
    <w:p w:rsidR="00F3507E" w:rsidRPr="00C06556" w:rsidRDefault="00F3507E" w:rsidP="00F3507E">
      <w:pPr>
        <w:keepLines/>
      </w:pPr>
      <w:r w:rsidRPr="00C06556">
        <w:t>(</w:t>
      </w:r>
      <w:r w:rsidR="004E4515" w:rsidRPr="00C06556">
        <w:t>Conclusión</w:t>
      </w:r>
      <w:r w:rsidRPr="00C06556">
        <w:t xml:space="preserve"> 7)</w:t>
      </w:r>
    </w:p>
    <w:p w:rsidR="00F3507E" w:rsidRPr="00C06556" w:rsidRDefault="00F3507E" w:rsidP="00F3507E">
      <w:pPr>
        <w:keepLines/>
      </w:pPr>
    </w:p>
    <w:p w:rsidR="00F3507E" w:rsidRPr="00C06556" w:rsidRDefault="00E239D6" w:rsidP="00F3507E">
      <w:pPr>
        <w:keepLines/>
      </w:pPr>
      <w:r w:rsidRPr="00C06556">
        <w:t xml:space="preserve">La organización de talleres y seminarios puede suponer una configuración logística complicada y la dependencia de los asociados </w:t>
      </w:r>
      <w:r w:rsidR="00F3507E" w:rsidRPr="00C06556">
        <w:t>local</w:t>
      </w:r>
      <w:r w:rsidRPr="00C06556">
        <w:t>es</w:t>
      </w:r>
      <w:r w:rsidR="00F3507E" w:rsidRPr="00C06556">
        <w:t xml:space="preserve">.  </w:t>
      </w:r>
      <w:r w:rsidRPr="00C06556">
        <w:t>Antes de celebrar estos eventos, se debería realizar una evaluación exhaustiva de los asociados en el terreno para velar por que se deposit</w:t>
      </w:r>
      <w:r w:rsidR="00DD50FF" w:rsidRPr="00C06556">
        <w:t>e</w:t>
      </w:r>
      <w:r w:rsidRPr="00C06556">
        <w:t xml:space="preserve"> la confianza en los asociados elegidos con objeto de que colaboren en la planificación detallada de los eventos</w:t>
      </w:r>
      <w:r w:rsidR="00DD50FF" w:rsidRPr="00C06556">
        <w:t>,</w:t>
      </w:r>
      <w:r w:rsidRPr="00C06556">
        <w:t xml:space="preserve"> y evitar </w:t>
      </w:r>
      <w:r w:rsidR="00DD50FF" w:rsidRPr="00C06556">
        <w:t xml:space="preserve">de esa forma </w:t>
      </w:r>
      <w:r w:rsidRPr="00C06556">
        <w:t>tener que hacer frente a dificultades prácticas y logísticas in situ</w:t>
      </w:r>
      <w:r w:rsidR="00F3507E" w:rsidRPr="00C06556">
        <w:t>.</w:t>
      </w:r>
    </w:p>
    <w:p w:rsidR="00F3507E" w:rsidRPr="00C06556" w:rsidRDefault="00F3507E" w:rsidP="00C552B9"/>
    <w:p w:rsidR="00F3507E" w:rsidRPr="00C06556" w:rsidRDefault="004E4515" w:rsidP="00C552B9">
      <w:pPr>
        <w:keepNext/>
        <w:keepLines/>
        <w:rPr>
          <w:b/>
          <w:u w:val="single"/>
        </w:rPr>
      </w:pPr>
      <w:r w:rsidRPr="00C06556">
        <w:rPr>
          <w:b/>
          <w:u w:val="single"/>
        </w:rPr>
        <w:lastRenderedPageBreak/>
        <w:t>Recomendación</w:t>
      </w:r>
      <w:r w:rsidR="00F3507E" w:rsidRPr="00C06556">
        <w:rPr>
          <w:b/>
          <w:u w:val="single"/>
        </w:rPr>
        <w:t xml:space="preserve"> 4</w:t>
      </w:r>
    </w:p>
    <w:p w:rsidR="00F3507E" w:rsidRPr="00C06556" w:rsidRDefault="00F3507E" w:rsidP="00C552B9">
      <w:pPr>
        <w:keepNext/>
        <w:keepLines/>
        <w:rPr>
          <w:b/>
          <w:u w:val="single"/>
        </w:rPr>
      </w:pPr>
    </w:p>
    <w:p w:rsidR="00F3507E" w:rsidRPr="00C06556" w:rsidRDefault="00F3507E" w:rsidP="00C552B9">
      <w:pPr>
        <w:keepNext/>
        <w:keepLines/>
      </w:pPr>
      <w:r w:rsidRPr="00C06556">
        <w:t>(</w:t>
      </w:r>
      <w:r w:rsidR="004E4515" w:rsidRPr="00C06556">
        <w:t>Conclusi</w:t>
      </w:r>
      <w:r w:rsidR="00E239D6" w:rsidRPr="00C06556">
        <w:t>one</w:t>
      </w:r>
      <w:r w:rsidRPr="00C06556">
        <w:t xml:space="preserve">s 8 </w:t>
      </w:r>
      <w:r w:rsidR="004E4515" w:rsidRPr="00C06556">
        <w:t>y</w:t>
      </w:r>
      <w:r w:rsidRPr="00C06556">
        <w:t>10)</w:t>
      </w:r>
    </w:p>
    <w:p w:rsidR="00F3507E" w:rsidRPr="00C06556" w:rsidRDefault="00F3507E" w:rsidP="00C552B9">
      <w:pPr>
        <w:keepNext/>
        <w:keepLines/>
      </w:pPr>
    </w:p>
    <w:p w:rsidR="00F3507E" w:rsidRPr="00C06556" w:rsidRDefault="003072B7" w:rsidP="00C552B9">
      <w:pPr>
        <w:keepNext/>
        <w:keepLines/>
      </w:pPr>
      <w:r w:rsidRPr="00C06556">
        <w:t xml:space="preserve">En </w:t>
      </w:r>
      <w:r w:rsidR="00DD50FF" w:rsidRPr="00C06556">
        <w:t xml:space="preserve">la elaboración </w:t>
      </w:r>
      <w:r w:rsidRPr="00C06556">
        <w:t xml:space="preserve">de proyectos </w:t>
      </w:r>
      <w:r w:rsidR="00DD50FF" w:rsidRPr="00C06556">
        <w:t xml:space="preserve">en el </w:t>
      </w:r>
      <w:r w:rsidRPr="00C06556">
        <w:t>futuro se debería tener en cuenta el aspecto del seguimiento de los participantes posterior a la celebración del evento</w:t>
      </w:r>
      <w:r w:rsidR="00DD50FF" w:rsidRPr="00C06556">
        <w:t>,</w:t>
      </w:r>
      <w:r w:rsidRPr="00C06556">
        <w:t xml:space="preserve"> con intervalos de algunas semanas</w:t>
      </w:r>
      <w:r w:rsidR="00DD50FF" w:rsidRPr="00C06556">
        <w:t>,</w:t>
      </w:r>
      <w:r w:rsidRPr="00C06556">
        <w:t xml:space="preserve"> para que la OMPI conozca </w:t>
      </w:r>
      <w:r w:rsidR="00DD50FF" w:rsidRPr="00C06556">
        <w:t>más a fondo</w:t>
      </w:r>
      <w:r w:rsidRPr="00C06556">
        <w:t xml:space="preserve"> la eficacia y la incidencia de los eventos, y contribuir</w:t>
      </w:r>
      <w:r w:rsidR="00DD50FF" w:rsidRPr="00C06556">
        <w:t xml:space="preserve"> así </w:t>
      </w:r>
      <w:r w:rsidR="00FF77B0">
        <w:t xml:space="preserve">a </w:t>
      </w:r>
      <w:r w:rsidR="00DD50FF" w:rsidRPr="00C06556">
        <w:t>mejorar la</w:t>
      </w:r>
      <w:r w:rsidRPr="00C06556">
        <w:t xml:space="preserve"> planificación de eventos y su contenido.</w:t>
      </w:r>
    </w:p>
    <w:p w:rsidR="00F3507E" w:rsidRPr="00C06556" w:rsidRDefault="00F3507E" w:rsidP="00F3507E"/>
    <w:p w:rsidR="00F3507E" w:rsidRDefault="00F3507E" w:rsidP="00F3507E"/>
    <w:p w:rsidR="00C552B9" w:rsidRPr="00C06556" w:rsidRDefault="00C552B9" w:rsidP="00F3507E"/>
    <w:p w:rsidR="00F3507E" w:rsidRPr="00C552B9" w:rsidRDefault="00F3507E" w:rsidP="005508FE">
      <w:pPr>
        <w:pStyle w:val="Endofdocument-Annex"/>
        <w:rPr>
          <w:lang w:val="es-ES_tradnl"/>
        </w:rPr>
      </w:pPr>
      <w:r w:rsidRPr="00C552B9">
        <w:rPr>
          <w:lang w:val="es-ES_tradnl"/>
        </w:rPr>
        <w:t>[Fin del Anexo y del documento]</w:t>
      </w:r>
    </w:p>
    <w:bookmarkEnd w:id="5"/>
    <w:bookmarkEnd w:id="6"/>
    <w:sectPr w:rsidR="00F3507E" w:rsidRPr="00C552B9" w:rsidSect="0032066A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7E" w:rsidRDefault="00F3507E">
      <w:r>
        <w:separator/>
      </w:r>
    </w:p>
  </w:endnote>
  <w:endnote w:type="continuationSeparator" w:id="0">
    <w:p w:rsidR="00F3507E" w:rsidRPr="009D30E6" w:rsidRDefault="00F3507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3507E" w:rsidRPr="007E663E" w:rsidRDefault="00F3507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3507E" w:rsidRPr="007E663E" w:rsidRDefault="00F3507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7E" w:rsidRDefault="00F3507E">
      <w:r>
        <w:separator/>
      </w:r>
    </w:p>
  </w:footnote>
  <w:footnote w:type="continuationSeparator" w:id="0">
    <w:p w:rsidR="00F3507E" w:rsidRPr="009D30E6" w:rsidRDefault="00F3507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3507E" w:rsidRPr="007E663E" w:rsidRDefault="00F3507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3507E" w:rsidRPr="007E663E" w:rsidRDefault="00F3507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F3507E" w:rsidRPr="008C578D" w:rsidRDefault="00F3507E" w:rsidP="00F3507E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8C578D">
        <w:rPr>
          <w:lang w:val="es-ES_tradnl"/>
        </w:rPr>
        <w:t xml:space="preserve"> </w:t>
      </w:r>
      <w:r w:rsidR="008C578D" w:rsidRPr="008C578D">
        <w:rPr>
          <w:lang w:val="es-ES_tradnl"/>
        </w:rPr>
        <w:t xml:space="preserve">Los nueve países </w:t>
      </w:r>
      <w:r w:rsidRPr="008C578D">
        <w:rPr>
          <w:lang w:val="es-ES_tradnl"/>
        </w:rPr>
        <w:t>pilot</w:t>
      </w:r>
      <w:r w:rsidR="008C578D" w:rsidRPr="008C578D">
        <w:rPr>
          <w:lang w:val="es-ES_tradnl"/>
        </w:rPr>
        <w:t>o</w:t>
      </w:r>
      <w:r w:rsidRPr="008C578D">
        <w:rPr>
          <w:lang w:val="es-ES_tradnl"/>
        </w:rPr>
        <w:t xml:space="preserve"> </w:t>
      </w:r>
      <w:r w:rsidR="008C578D" w:rsidRPr="008C578D">
        <w:rPr>
          <w:lang w:val="es-ES_tradnl"/>
        </w:rPr>
        <w:t xml:space="preserve">formaban parte de la </w:t>
      </w:r>
      <w:r w:rsidRPr="008C578D">
        <w:rPr>
          <w:i/>
          <w:lang w:val="es-ES_tradnl"/>
        </w:rPr>
        <w:t>West African Copyright Network</w:t>
      </w:r>
      <w:r w:rsidRPr="008C578D">
        <w:rPr>
          <w:lang w:val="es-ES_tradnl"/>
        </w:rPr>
        <w:t xml:space="preserve"> (WAN)</w:t>
      </w:r>
      <w:r w:rsidR="003638CB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7E" w:rsidRDefault="00F3507E" w:rsidP="00C218BD">
    <w:pPr>
      <w:jc w:val="right"/>
    </w:pPr>
    <w:r>
      <w:t>CDIP/15/4</w:t>
    </w:r>
  </w:p>
  <w:p w:rsidR="00F3507E" w:rsidRDefault="00B82E71" w:rsidP="00477D6B">
    <w:pPr>
      <w:jc w:val="right"/>
    </w:pPr>
    <w:r>
      <w:t>Anexo</w:t>
    </w:r>
    <w:r w:rsidR="00F3507E">
      <w:t xml:space="preserve">, page </w:t>
    </w:r>
    <w:r w:rsidR="00F3507E">
      <w:fldChar w:fldCharType="begin"/>
    </w:r>
    <w:r w:rsidR="00F3507E">
      <w:instrText xml:space="preserve"> PAGE  \* MERGEFORMAT </w:instrText>
    </w:r>
    <w:r w:rsidR="00F3507E">
      <w:fldChar w:fldCharType="separate"/>
    </w:r>
    <w:r w:rsidR="004151DC">
      <w:rPr>
        <w:noProof/>
      </w:rPr>
      <w:t>7</w:t>
    </w:r>
    <w:r w:rsidR="00F3507E">
      <w:fldChar w:fldCharType="end"/>
    </w:r>
  </w:p>
  <w:p w:rsidR="00F3507E" w:rsidRDefault="00F3507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7E" w:rsidRDefault="00F3507E" w:rsidP="00F3507E">
    <w:pPr>
      <w:jc w:val="right"/>
    </w:pPr>
    <w:r>
      <w:t>CDIP/15/4</w:t>
    </w:r>
  </w:p>
  <w:p w:rsidR="00AE7F20" w:rsidRDefault="00F3507E" w:rsidP="00F3507E">
    <w:pPr>
      <w:jc w:val="right"/>
    </w:pPr>
    <w:r>
      <w:t>Anexo, página</w:t>
    </w:r>
    <w:r w:rsidR="00AE7F20">
      <w:t xml:space="preserve"> </w:t>
    </w:r>
    <w:r w:rsidR="00AE7F20">
      <w:fldChar w:fldCharType="begin"/>
    </w:r>
    <w:r w:rsidR="00AE7F20">
      <w:instrText xml:space="preserve"> PAGE  \* MERGEFORMAT </w:instrText>
    </w:r>
    <w:r w:rsidR="00AE7F20">
      <w:fldChar w:fldCharType="separate"/>
    </w:r>
    <w:r w:rsidR="00C60978">
      <w:rPr>
        <w:noProof/>
      </w:rPr>
      <w:t>3</w:t>
    </w:r>
    <w:r w:rsidR="00AE7F20">
      <w:fldChar w:fldCharType="end"/>
    </w:r>
  </w:p>
  <w:p w:rsidR="00AE7F20" w:rsidRDefault="00AE7F2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7E" w:rsidRDefault="00F3507E" w:rsidP="00F3507E">
    <w:pPr>
      <w:jc w:val="right"/>
    </w:pPr>
    <w:r>
      <w:t>CDIP/15/4</w:t>
    </w:r>
  </w:p>
  <w:p w:rsidR="00F3507E" w:rsidRDefault="00F3507E" w:rsidP="00F3507E">
    <w:pPr>
      <w:pStyle w:val="Header"/>
      <w:jc w:val="right"/>
    </w:pPr>
    <w:r>
      <w:t>ANEXO</w:t>
    </w:r>
  </w:p>
  <w:p w:rsidR="00F3507E" w:rsidRDefault="00F3507E" w:rsidP="00F350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C27C0E"/>
    <w:multiLevelType w:val="hybridMultilevel"/>
    <w:tmpl w:val="39E2EB96"/>
    <w:lvl w:ilvl="0" w:tplc="693C9716">
      <w:start w:val="1"/>
      <w:numFmt w:val="lowerRoman"/>
      <w:lvlText w:val="%1)"/>
      <w:lvlJc w:val="left"/>
      <w:pPr>
        <w:ind w:left="1080" w:hanging="720"/>
      </w:pPr>
      <w:rPr>
        <w:rFonts w:hint="default"/>
        <w:lang w:val="es-E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FA562D"/>
    <w:multiLevelType w:val="hybridMultilevel"/>
    <w:tmpl w:val="3B06D4D8"/>
    <w:lvl w:ilvl="0" w:tplc="FCF4C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0423B4E"/>
    <w:multiLevelType w:val="hybridMultilevel"/>
    <w:tmpl w:val="CD42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03FF1"/>
    <w:multiLevelType w:val="hybridMultilevel"/>
    <w:tmpl w:val="A394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7E"/>
    <w:rsid w:val="00010686"/>
    <w:rsid w:val="00011727"/>
    <w:rsid w:val="00052915"/>
    <w:rsid w:val="00066FEB"/>
    <w:rsid w:val="000728B3"/>
    <w:rsid w:val="000D3458"/>
    <w:rsid w:val="000E3BB3"/>
    <w:rsid w:val="000F0343"/>
    <w:rsid w:val="000F5E56"/>
    <w:rsid w:val="001113CD"/>
    <w:rsid w:val="00112320"/>
    <w:rsid w:val="001362EE"/>
    <w:rsid w:val="00152CEA"/>
    <w:rsid w:val="001656EF"/>
    <w:rsid w:val="001832A6"/>
    <w:rsid w:val="001E4115"/>
    <w:rsid w:val="00216E88"/>
    <w:rsid w:val="00245260"/>
    <w:rsid w:val="002634C4"/>
    <w:rsid w:val="002664A7"/>
    <w:rsid w:val="00277C3C"/>
    <w:rsid w:val="002A6907"/>
    <w:rsid w:val="002E0F47"/>
    <w:rsid w:val="002F4E68"/>
    <w:rsid w:val="003026F2"/>
    <w:rsid w:val="003072B7"/>
    <w:rsid w:val="00314456"/>
    <w:rsid w:val="0032066A"/>
    <w:rsid w:val="003512F0"/>
    <w:rsid w:val="00352039"/>
    <w:rsid w:val="00354647"/>
    <w:rsid w:val="003638CB"/>
    <w:rsid w:val="00377273"/>
    <w:rsid w:val="003845C1"/>
    <w:rsid w:val="00387287"/>
    <w:rsid w:val="003C2A83"/>
    <w:rsid w:val="003E48F1"/>
    <w:rsid w:val="003F347A"/>
    <w:rsid w:val="003F6D6E"/>
    <w:rsid w:val="004151DC"/>
    <w:rsid w:val="00415ACD"/>
    <w:rsid w:val="00423E3E"/>
    <w:rsid w:val="00427AF4"/>
    <w:rsid w:val="004424A2"/>
    <w:rsid w:val="0045231F"/>
    <w:rsid w:val="00452D7D"/>
    <w:rsid w:val="004647DA"/>
    <w:rsid w:val="00477808"/>
    <w:rsid w:val="00477D6B"/>
    <w:rsid w:val="004A1749"/>
    <w:rsid w:val="004A6C37"/>
    <w:rsid w:val="004B1273"/>
    <w:rsid w:val="004B34D8"/>
    <w:rsid w:val="004E297D"/>
    <w:rsid w:val="004E4515"/>
    <w:rsid w:val="00523DD0"/>
    <w:rsid w:val="005332F0"/>
    <w:rsid w:val="0055013B"/>
    <w:rsid w:val="005508FE"/>
    <w:rsid w:val="00571B99"/>
    <w:rsid w:val="0057405D"/>
    <w:rsid w:val="005D172E"/>
    <w:rsid w:val="00605827"/>
    <w:rsid w:val="00675021"/>
    <w:rsid w:val="006A06C6"/>
    <w:rsid w:val="006A6F8E"/>
    <w:rsid w:val="006C1E03"/>
    <w:rsid w:val="006F6FEA"/>
    <w:rsid w:val="0070435D"/>
    <w:rsid w:val="007224C8"/>
    <w:rsid w:val="007711E2"/>
    <w:rsid w:val="0079311F"/>
    <w:rsid w:val="00794BE2"/>
    <w:rsid w:val="007A1A72"/>
    <w:rsid w:val="007B71FE"/>
    <w:rsid w:val="007D17FA"/>
    <w:rsid w:val="007D781E"/>
    <w:rsid w:val="007E663E"/>
    <w:rsid w:val="00815082"/>
    <w:rsid w:val="00837A7D"/>
    <w:rsid w:val="00843747"/>
    <w:rsid w:val="0088395E"/>
    <w:rsid w:val="00897174"/>
    <w:rsid w:val="008B2CC1"/>
    <w:rsid w:val="008C578D"/>
    <w:rsid w:val="008E6BD6"/>
    <w:rsid w:val="0090731E"/>
    <w:rsid w:val="00931D9E"/>
    <w:rsid w:val="0094351E"/>
    <w:rsid w:val="00966A22"/>
    <w:rsid w:val="00966B7D"/>
    <w:rsid w:val="00972F03"/>
    <w:rsid w:val="00981CF1"/>
    <w:rsid w:val="009A0C8B"/>
    <w:rsid w:val="009B6241"/>
    <w:rsid w:val="009C0D52"/>
    <w:rsid w:val="009D147A"/>
    <w:rsid w:val="00A16FC0"/>
    <w:rsid w:val="00A22704"/>
    <w:rsid w:val="00A32C9E"/>
    <w:rsid w:val="00A62F28"/>
    <w:rsid w:val="00A72FF1"/>
    <w:rsid w:val="00AB613D"/>
    <w:rsid w:val="00AD5238"/>
    <w:rsid w:val="00AE7F20"/>
    <w:rsid w:val="00B34E64"/>
    <w:rsid w:val="00B62385"/>
    <w:rsid w:val="00B65A0A"/>
    <w:rsid w:val="00B67CDC"/>
    <w:rsid w:val="00B72D36"/>
    <w:rsid w:val="00B82E71"/>
    <w:rsid w:val="00B90DC8"/>
    <w:rsid w:val="00B9645D"/>
    <w:rsid w:val="00BA7E43"/>
    <w:rsid w:val="00BC1E47"/>
    <w:rsid w:val="00BC4164"/>
    <w:rsid w:val="00BD2DCC"/>
    <w:rsid w:val="00C06556"/>
    <w:rsid w:val="00C552B9"/>
    <w:rsid w:val="00C60978"/>
    <w:rsid w:val="00C669F7"/>
    <w:rsid w:val="00C90559"/>
    <w:rsid w:val="00CA2251"/>
    <w:rsid w:val="00CC116C"/>
    <w:rsid w:val="00D56C7C"/>
    <w:rsid w:val="00D71B4D"/>
    <w:rsid w:val="00D90289"/>
    <w:rsid w:val="00D93D55"/>
    <w:rsid w:val="00DC4C60"/>
    <w:rsid w:val="00DD50FF"/>
    <w:rsid w:val="00DE17D1"/>
    <w:rsid w:val="00E0079A"/>
    <w:rsid w:val="00E239D6"/>
    <w:rsid w:val="00E444DA"/>
    <w:rsid w:val="00E45C84"/>
    <w:rsid w:val="00E504E5"/>
    <w:rsid w:val="00E63157"/>
    <w:rsid w:val="00E6345F"/>
    <w:rsid w:val="00E7057E"/>
    <w:rsid w:val="00E72D14"/>
    <w:rsid w:val="00EB7A3E"/>
    <w:rsid w:val="00EC401A"/>
    <w:rsid w:val="00EF530A"/>
    <w:rsid w:val="00EF6622"/>
    <w:rsid w:val="00F3507E"/>
    <w:rsid w:val="00F55408"/>
    <w:rsid w:val="00F66152"/>
    <w:rsid w:val="00F756C8"/>
    <w:rsid w:val="00F80845"/>
    <w:rsid w:val="00F838C7"/>
    <w:rsid w:val="00F84474"/>
    <w:rsid w:val="00FA0F0D"/>
    <w:rsid w:val="00FD59D1"/>
    <w:rsid w:val="00FE23D4"/>
    <w:rsid w:val="00FF473C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Endofdocument-AnnexChar">
    <w:name w:val="[End of document - Annex] Char"/>
    <w:link w:val="Endofdocument-Annex"/>
    <w:rsid w:val="00F3507E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uiPriority w:val="59"/>
    <w:rsid w:val="00F35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07E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nhideWhenUsed/>
    <w:rsid w:val="00F3507E"/>
    <w:rPr>
      <w:vertAlign w:val="superscript"/>
    </w:rPr>
  </w:style>
  <w:style w:type="paragraph" w:styleId="BalloonText">
    <w:name w:val="Balloon Text"/>
    <w:basedOn w:val="Normal"/>
    <w:link w:val="BalloonTextChar"/>
    <w:rsid w:val="00352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039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Endofdocument-AnnexChar">
    <w:name w:val="[End of document - Annex] Char"/>
    <w:link w:val="Endofdocument-Annex"/>
    <w:rsid w:val="00F3507E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uiPriority w:val="59"/>
    <w:rsid w:val="00F35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07E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nhideWhenUsed/>
    <w:rsid w:val="00F3507E"/>
    <w:rPr>
      <w:vertAlign w:val="superscript"/>
    </w:rPr>
  </w:style>
  <w:style w:type="paragraph" w:styleId="BalloonText">
    <w:name w:val="Balloon Text"/>
    <w:basedOn w:val="Normal"/>
    <w:link w:val="BalloonTextChar"/>
    <w:rsid w:val="00352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039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15 (S).dotm</Template>
  <TotalTime>25</TotalTime>
  <Pages>8</Pages>
  <Words>3069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Resumen del informe de evaluación del proyecto para fortalecer la capacidad de las instituciones nacionales de P.I. públicas y privadas para administrar, supervisar y fomentar el funcionamiento de las industrias creativas, además de mejorar el rendimiento</vt:lpstr>
    </vt:vector>
  </TitlesOfParts>
  <Company>WIPO</Company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del informe de evaluación del proyecto para fortalecer la capacidad de las instituciones nacionales de P.I. públicas y privadas para administrar, supervisar y fomentar el funcionamiento de las industrias creativas, además de mejorar el rendimiento e intensificar la red de organismos de gestión colectiva del derecho de autor</dc:title>
  <dc:subject>CDIP/15/4</dc:subject>
  <dc:creator>BOU LLORET Amparo</dc:creator>
  <dc:description>VP - 20.2.2015</dc:description>
  <cp:lastModifiedBy>BRACI Biljana</cp:lastModifiedBy>
  <cp:revision>5</cp:revision>
  <cp:lastPrinted>2015-02-24T13:47:00Z</cp:lastPrinted>
  <dcterms:created xsi:type="dcterms:W3CDTF">2015-02-24T13:24:00Z</dcterms:created>
  <dcterms:modified xsi:type="dcterms:W3CDTF">2015-02-24T14:07:00Z</dcterms:modified>
</cp:coreProperties>
</file>