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B0037">
        <w:tc>
          <w:tcPr>
            <w:tcW w:w="4513" w:type="dxa"/>
            <w:tcBorders>
              <w:bottom w:val="single" w:sz="4" w:space="0" w:color="auto"/>
            </w:tcBorders>
            <w:tcMar>
              <w:bottom w:w="170" w:type="dxa"/>
            </w:tcMar>
          </w:tcPr>
          <w:p w:rsidR="00AB0037" w:rsidRDefault="00AB0037"/>
        </w:tc>
        <w:tc>
          <w:tcPr>
            <w:tcW w:w="4337" w:type="dxa"/>
            <w:tcBorders>
              <w:bottom w:val="single" w:sz="4" w:space="0" w:color="auto"/>
            </w:tcBorders>
            <w:tcMar>
              <w:left w:w="0" w:type="dxa"/>
              <w:right w:w="0" w:type="dxa"/>
            </w:tcMar>
          </w:tcPr>
          <w:p w:rsidR="00AB0037" w:rsidRDefault="000755C9">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B0037" w:rsidRDefault="000755C9">
            <w:pPr>
              <w:jc w:val="right"/>
            </w:pPr>
            <w:r>
              <w:rPr>
                <w:b/>
                <w:sz w:val="40"/>
                <w:szCs w:val="40"/>
              </w:rPr>
              <w:t>S</w:t>
            </w:r>
          </w:p>
        </w:tc>
      </w:tr>
      <w:tr w:rsidR="00AB0037">
        <w:trPr>
          <w:trHeight w:hRule="exact" w:val="340"/>
        </w:trPr>
        <w:tc>
          <w:tcPr>
            <w:tcW w:w="9356" w:type="dxa"/>
            <w:gridSpan w:val="3"/>
            <w:tcBorders>
              <w:top w:val="single" w:sz="4" w:space="0" w:color="auto"/>
            </w:tcBorders>
            <w:tcMar>
              <w:top w:w="170" w:type="dxa"/>
              <w:left w:w="0" w:type="dxa"/>
              <w:right w:w="0" w:type="dxa"/>
            </w:tcMar>
            <w:vAlign w:val="bottom"/>
          </w:tcPr>
          <w:p w:rsidR="00AB0037" w:rsidRDefault="000755C9">
            <w:pPr>
              <w:jc w:val="right"/>
              <w:rPr>
                <w:rFonts w:ascii="Arial Black" w:hAnsi="Arial Black"/>
                <w:caps/>
                <w:sz w:val="15"/>
              </w:rPr>
            </w:pPr>
            <w:bookmarkStart w:id="0" w:name="Code"/>
            <w:bookmarkEnd w:id="0"/>
            <w:r>
              <w:rPr>
                <w:rFonts w:ascii="Arial Black" w:hAnsi="Arial Black"/>
                <w:caps/>
                <w:sz w:val="15"/>
              </w:rPr>
              <w:t>cdip/14/INF/5</w:t>
            </w:r>
          </w:p>
        </w:tc>
      </w:tr>
      <w:tr w:rsidR="00AB0037">
        <w:trPr>
          <w:trHeight w:hRule="exact" w:val="170"/>
        </w:trPr>
        <w:tc>
          <w:tcPr>
            <w:tcW w:w="9356" w:type="dxa"/>
            <w:gridSpan w:val="3"/>
            <w:noWrap/>
            <w:tcMar>
              <w:left w:w="0" w:type="dxa"/>
              <w:right w:w="0" w:type="dxa"/>
            </w:tcMar>
            <w:vAlign w:val="bottom"/>
          </w:tcPr>
          <w:p w:rsidR="00AB0037" w:rsidRDefault="000755C9">
            <w:pPr>
              <w:jc w:val="right"/>
              <w:rPr>
                <w:rFonts w:ascii="Arial Black" w:hAnsi="Arial Black"/>
                <w:caps/>
                <w:sz w:val="15"/>
              </w:rPr>
            </w:pPr>
            <w:r>
              <w:rPr>
                <w:rFonts w:ascii="Arial Black" w:hAnsi="Arial Black"/>
                <w:caps/>
                <w:sz w:val="15"/>
              </w:rPr>
              <w:t xml:space="preserve">ORIGINAL:  </w:t>
            </w:r>
            <w:bookmarkStart w:id="1" w:name="Original"/>
            <w:bookmarkEnd w:id="1"/>
            <w:r>
              <w:rPr>
                <w:rFonts w:ascii="Arial Black" w:hAnsi="Arial Black"/>
                <w:caps/>
                <w:sz w:val="15"/>
              </w:rPr>
              <w:t>INGLÉS</w:t>
            </w:r>
          </w:p>
        </w:tc>
      </w:tr>
      <w:tr w:rsidR="00AB0037">
        <w:trPr>
          <w:trHeight w:hRule="exact" w:val="198"/>
        </w:trPr>
        <w:tc>
          <w:tcPr>
            <w:tcW w:w="9356" w:type="dxa"/>
            <w:gridSpan w:val="3"/>
            <w:tcMar>
              <w:left w:w="0" w:type="dxa"/>
              <w:right w:w="0" w:type="dxa"/>
            </w:tcMar>
            <w:vAlign w:val="bottom"/>
          </w:tcPr>
          <w:p w:rsidR="00AB0037" w:rsidRDefault="000755C9">
            <w:pPr>
              <w:jc w:val="right"/>
              <w:rPr>
                <w:rFonts w:ascii="Arial Black" w:hAnsi="Arial Black"/>
                <w:caps/>
                <w:sz w:val="15"/>
              </w:rPr>
            </w:pPr>
            <w:r>
              <w:rPr>
                <w:rFonts w:ascii="Arial Black" w:hAnsi="Arial Black"/>
                <w:caps/>
                <w:sz w:val="15"/>
              </w:rPr>
              <w:t xml:space="preserve">fecha:  </w:t>
            </w:r>
            <w:bookmarkStart w:id="2" w:name="Date"/>
            <w:bookmarkEnd w:id="2"/>
            <w:r>
              <w:rPr>
                <w:rFonts w:ascii="Arial Black" w:hAnsi="Arial Black"/>
                <w:caps/>
                <w:sz w:val="15"/>
              </w:rPr>
              <w:t>9 DE SEPTIEMBRE DE 2014</w:t>
            </w:r>
          </w:p>
        </w:tc>
      </w:tr>
    </w:tbl>
    <w:p w:rsidR="00AB0037" w:rsidRDefault="00AB0037"/>
    <w:p w:rsidR="00AB0037" w:rsidRDefault="00AB0037"/>
    <w:p w:rsidR="00AB0037" w:rsidRDefault="00AB0037"/>
    <w:p w:rsidR="00AB0037" w:rsidRDefault="00AB0037"/>
    <w:p w:rsidR="00AB0037" w:rsidRDefault="00AB0037">
      <w:bookmarkStart w:id="3" w:name="_GoBack"/>
      <w:bookmarkEnd w:id="3"/>
    </w:p>
    <w:p w:rsidR="00AB0037" w:rsidRDefault="000755C9">
      <w:pPr>
        <w:rPr>
          <w:b/>
          <w:sz w:val="28"/>
          <w:szCs w:val="28"/>
        </w:rPr>
      </w:pPr>
      <w:r>
        <w:rPr>
          <w:b/>
          <w:sz w:val="28"/>
          <w:szCs w:val="28"/>
        </w:rPr>
        <w:t>Comité de Desarrollo y Propiedad Intelectual (CDIP)</w:t>
      </w:r>
    </w:p>
    <w:p w:rsidR="00AB0037" w:rsidRDefault="00AB0037"/>
    <w:p w:rsidR="00AB0037" w:rsidRDefault="00AB0037"/>
    <w:p w:rsidR="00AB0037" w:rsidRDefault="000755C9">
      <w:pPr>
        <w:rPr>
          <w:b/>
          <w:sz w:val="24"/>
          <w:szCs w:val="24"/>
        </w:rPr>
      </w:pPr>
      <w:r>
        <w:rPr>
          <w:b/>
          <w:sz w:val="24"/>
          <w:szCs w:val="24"/>
        </w:rPr>
        <w:t>Decimocuarta sesión</w:t>
      </w:r>
    </w:p>
    <w:p w:rsidR="00AB0037" w:rsidRDefault="000755C9">
      <w:pPr>
        <w:rPr>
          <w:b/>
          <w:sz w:val="24"/>
          <w:szCs w:val="24"/>
        </w:rPr>
      </w:pPr>
      <w:r>
        <w:rPr>
          <w:b/>
          <w:sz w:val="24"/>
          <w:szCs w:val="24"/>
        </w:rPr>
        <w:t>Ginebra, 10 a 14 de noviembre de 2014</w:t>
      </w:r>
    </w:p>
    <w:p w:rsidR="00AB0037" w:rsidRDefault="00AB0037"/>
    <w:p w:rsidR="00AB0037" w:rsidRDefault="00AB0037"/>
    <w:p w:rsidR="00AB0037" w:rsidRDefault="00AB0037"/>
    <w:p w:rsidR="00AB0037" w:rsidRDefault="00AB0037"/>
    <w:p w:rsidR="00AB0037" w:rsidRDefault="000755C9">
      <w:pPr>
        <w:rPr>
          <w:caps/>
          <w:sz w:val="24"/>
        </w:rPr>
      </w:pPr>
      <w:bookmarkStart w:id="4" w:name="TitleOfDoc"/>
      <w:bookmarkEnd w:id="4"/>
      <w:r>
        <w:rPr>
          <w:caps/>
          <w:sz w:val="24"/>
        </w:rPr>
        <w:t xml:space="preserve">resumen del estudio sobre el uso de la propiedad intelectual y el rendimiento de las exportaciones de las empresas brasileñas </w:t>
      </w:r>
    </w:p>
    <w:p w:rsidR="00AB0037" w:rsidRDefault="00AB0037">
      <w:pPr>
        <w:rPr>
          <w:caps/>
          <w:szCs w:val="22"/>
        </w:rPr>
      </w:pPr>
    </w:p>
    <w:p w:rsidR="00AB0037" w:rsidRDefault="000755C9">
      <w:pPr>
        <w:rPr>
          <w:i/>
        </w:rPr>
      </w:pPr>
      <w:r>
        <w:rPr>
          <w:i/>
        </w:rPr>
        <w:t xml:space="preserve">preparado por la Secretaría en colaboración con la Sra. </w:t>
      </w:r>
      <w:proofErr w:type="spellStart"/>
      <w:r>
        <w:rPr>
          <w:i/>
        </w:rPr>
        <w:t>Graziela</w:t>
      </w:r>
      <w:proofErr w:type="spellEnd"/>
      <w:r>
        <w:rPr>
          <w:i/>
        </w:rPr>
        <w:t xml:space="preserve"> Ferrero </w:t>
      </w:r>
      <w:proofErr w:type="spellStart"/>
      <w:r>
        <w:rPr>
          <w:i/>
        </w:rPr>
        <w:t>Zucoloto</w:t>
      </w:r>
      <w:proofErr w:type="spellEnd"/>
      <w:r>
        <w:rPr>
          <w:i/>
        </w:rPr>
        <w:t xml:space="preserve">, Investigadora, Instituto de Pesquisa </w:t>
      </w:r>
      <w:proofErr w:type="spellStart"/>
      <w:r>
        <w:rPr>
          <w:i/>
        </w:rPr>
        <w:t>Econômica</w:t>
      </w:r>
      <w:proofErr w:type="spellEnd"/>
      <w:r>
        <w:rPr>
          <w:i/>
        </w:rPr>
        <w:t xml:space="preserve"> Aplicada (IPEA), Brasil, y el Sr. </w:t>
      </w:r>
      <w:proofErr w:type="spellStart"/>
      <w:r>
        <w:rPr>
          <w:i/>
        </w:rPr>
        <w:t>Sérgio</w:t>
      </w:r>
      <w:proofErr w:type="spellEnd"/>
      <w:r>
        <w:rPr>
          <w:i/>
        </w:rPr>
        <w:t xml:space="preserve"> </w:t>
      </w:r>
      <w:proofErr w:type="spellStart"/>
      <w:r>
        <w:rPr>
          <w:i/>
        </w:rPr>
        <w:t>Leão</w:t>
      </w:r>
      <w:proofErr w:type="spellEnd"/>
      <w:r>
        <w:rPr>
          <w:i/>
        </w:rPr>
        <w:t xml:space="preserve">, Investigador, </w:t>
      </w:r>
      <w:proofErr w:type="spellStart"/>
      <w:r>
        <w:rPr>
          <w:i/>
        </w:rPr>
        <w:t>Pontifĩcia</w:t>
      </w:r>
      <w:proofErr w:type="spellEnd"/>
      <w:r>
        <w:rPr>
          <w:i/>
        </w:rPr>
        <w:t xml:space="preserve"> </w:t>
      </w:r>
      <w:proofErr w:type="spellStart"/>
      <w:r>
        <w:rPr>
          <w:i/>
        </w:rPr>
        <w:t>Universidade</w:t>
      </w:r>
      <w:proofErr w:type="spellEnd"/>
      <w:r>
        <w:rPr>
          <w:i/>
        </w:rPr>
        <w:t xml:space="preserve"> Católica, Río de Janeiro, Brasil.</w:t>
      </w:r>
    </w:p>
    <w:p w:rsidR="00AB0037" w:rsidRDefault="00AB0037">
      <w:pPr>
        <w:rPr>
          <w:szCs w:val="22"/>
        </w:rPr>
      </w:pPr>
    </w:p>
    <w:p w:rsidR="00AB0037" w:rsidRDefault="00AB0037">
      <w:pPr>
        <w:rPr>
          <w:szCs w:val="22"/>
        </w:rPr>
      </w:pPr>
    </w:p>
    <w:p w:rsidR="00AB0037" w:rsidRDefault="00AB0037">
      <w:pPr>
        <w:rPr>
          <w:szCs w:val="22"/>
        </w:rPr>
      </w:pPr>
      <w:bookmarkStart w:id="5" w:name="Prepared"/>
      <w:bookmarkEnd w:id="5"/>
    </w:p>
    <w:p w:rsidR="00AB0037" w:rsidRDefault="000755C9">
      <w:pPr>
        <w:pStyle w:val="ListParagraph"/>
        <w:numPr>
          <w:ilvl w:val="0"/>
          <w:numId w:val="28"/>
        </w:numPr>
        <w:ind w:left="0" w:firstLine="0"/>
        <w:rPr>
          <w:color w:val="000000"/>
          <w:lang w:val="es-ES"/>
        </w:rPr>
      </w:pPr>
      <w:r>
        <w:rPr>
          <w:color w:val="000000"/>
          <w:lang w:val="es-ES"/>
        </w:rPr>
        <w:t>El Anexo del presente documento contiene un resumen del estudio sobre el uso de la propiedad intelectual en el Brasil, preparado en el marco del proyecto sobre propiedad intelectual y desarrollo socioeconómico (CDIP/5/7 Rev.), aprobado por el Comité de Desarrollo y Propiedad Intelectual (CDIP) en su quinta sesión, celebrada en abril de 2010</w:t>
      </w:r>
      <w:r>
        <w:rPr>
          <w:lang w:val="es-ES"/>
        </w:rPr>
        <w:t>.</w:t>
      </w:r>
    </w:p>
    <w:p w:rsidR="00AB0037" w:rsidRDefault="00AB0037">
      <w:pPr>
        <w:rPr>
          <w:rFonts w:eastAsia="Calibri"/>
          <w:lang w:val="pt-BR"/>
        </w:rPr>
      </w:pPr>
    </w:p>
    <w:p w:rsidR="00AB0037" w:rsidRPr="003E2D7B" w:rsidRDefault="000755C9">
      <w:pPr>
        <w:ind w:left="4536"/>
        <w:rPr>
          <w:i/>
        </w:rPr>
      </w:pPr>
      <w:r w:rsidRPr="002A18A0">
        <w:rPr>
          <w:i/>
          <w:lang w:val="pt-BR"/>
        </w:rPr>
        <w:t>2.</w:t>
      </w:r>
      <w:r w:rsidRPr="002A18A0">
        <w:rPr>
          <w:i/>
          <w:lang w:val="pt-BR"/>
        </w:rPr>
        <w:tab/>
      </w:r>
      <w:r w:rsidRPr="003E2D7B">
        <w:rPr>
          <w:i/>
        </w:rPr>
        <w:t>Se invita al CDIP a tomar nota de la información contenida en el Anexo del presente documento.</w:t>
      </w:r>
    </w:p>
    <w:p w:rsidR="00AB0037" w:rsidRPr="003E2D7B" w:rsidRDefault="00AB0037"/>
    <w:p w:rsidR="00AB0037" w:rsidRDefault="00AB0037">
      <w:pPr>
        <w:rPr>
          <w:lang w:val="pt-BR"/>
        </w:rPr>
      </w:pPr>
    </w:p>
    <w:p w:rsidR="00AB0037" w:rsidRDefault="00AB0037">
      <w:pPr>
        <w:rPr>
          <w:lang w:val="pt-BR"/>
        </w:rPr>
      </w:pPr>
    </w:p>
    <w:p w:rsidR="00AB0037" w:rsidRDefault="000755C9">
      <w:pPr>
        <w:ind w:left="3969" w:firstLine="567"/>
      </w:pPr>
      <w:r>
        <w:t>[Sigue el Anexo]</w:t>
      </w:r>
    </w:p>
    <w:p w:rsidR="00AB0037" w:rsidRDefault="00AB0037">
      <w:pPr>
        <w:sectPr w:rsidR="00AB0037">
          <w:headerReference w:type="default" r:id="rId10"/>
          <w:endnotePr>
            <w:numFmt w:val="decimal"/>
          </w:endnotePr>
          <w:pgSz w:w="11907" w:h="16840" w:code="9"/>
          <w:pgMar w:top="567" w:right="1134" w:bottom="1418" w:left="1418" w:header="510" w:footer="1021" w:gutter="0"/>
          <w:cols w:space="720"/>
          <w:titlePg/>
          <w:docGrid w:linePitch="299"/>
        </w:sectPr>
      </w:pPr>
    </w:p>
    <w:p w:rsidR="00AB0037" w:rsidRDefault="0068309D">
      <w:pPr>
        <w:pStyle w:val="Heading1"/>
        <w:ind w:left="432" w:hanging="432"/>
        <w:rPr>
          <w:i/>
          <w:szCs w:val="22"/>
        </w:rPr>
      </w:pPr>
      <w:r>
        <w:rPr>
          <w:szCs w:val="22"/>
        </w:rPr>
        <w:lastRenderedPageBreak/>
        <w:t>RESUMEN</w:t>
      </w:r>
    </w:p>
    <w:p w:rsidR="00AB0037" w:rsidRDefault="00AB0037"/>
    <w:p w:rsidR="00AB0037" w:rsidRDefault="000755C9">
      <w:r>
        <w:t>El presente informe tiene por objeto evaluar las estrategias de las empresas manufactureras del Brasil en lo relativo a su uso de la propiedad intelectual (P.I.) y la repercusión de esta en el rendimiento de sus exportaciones.</w:t>
      </w:r>
    </w:p>
    <w:p w:rsidR="00AB0037" w:rsidRDefault="00AB0037"/>
    <w:p w:rsidR="00AB0037" w:rsidRDefault="000755C9">
      <w:r>
        <w:t>La correlación entre las exportaciones y las actividades de innovación es una idea ya consolidada en la bibliografía existente.  Las empresas innovadoras suelen tener una mayor actividad exportadora en comparación con las que no innovan.  Asimismo, las empresas exportadoras e innovadoras son, por lo general, más grandes y productivas y emplean a más recursos humanos cualificados.  En los estudios realizados ya se ha señalado que existe una correlación entre la innovación y las exportaciones de las empresas brasileñas.</w:t>
      </w:r>
    </w:p>
    <w:p w:rsidR="00AB0037" w:rsidRDefault="00AB0037"/>
    <w:p w:rsidR="00AB0037" w:rsidRDefault="000755C9">
      <w:r>
        <w:t xml:space="preserve">El presente informe complementa esta bibliografía y analiza hasta qué punto los mejores resultados de exportación de las empresas innovadoras pueden estar relacionados con las diferentes estrategias de apropiación en materia de P.I.  Para responder a esta pregunta, analizamos el comportamiento de las exportaciones de las empresas industriales innovadoras, a fin de determinar la trascendencia de cada uno de los instrumentos de apropiación en materia de P.I.  Los principales métodos de apropiación analizados en el presente informe son las patentes de invención, los modelos de utilidad, los diseños industriales y las marcas. </w:t>
      </w:r>
    </w:p>
    <w:p w:rsidR="00AB0037" w:rsidRDefault="00AB0037"/>
    <w:p w:rsidR="00AB0037" w:rsidRDefault="000755C9">
      <w:pPr>
        <w:rPr>
          <w:lang w:val="pt-BR"/>
        </w:rPr>
      </w:pPr>
      <w:r>
        <w:t>Los datos utilizados en el presente informe se extrajeron de tres fuentes estadísticas</w:t>
      </w:r>
      <w:r>
        <w:rPr>
          <w:lang w:val="pt-BR"/>
        </w:rPr>
        <w:t xml:space="preserve">: 1) la </w:t>
      </w:r>
      <w:r>
        <w:rPr>
          <w:i/>
          <w:lang w:val="pt-BR"/>
        </w:rPr>
        <w:t xml:space="preserve">Pesquisa de Inovação Tecnológica </w:t>
      </w:r>
      <w:r>
        <w:rPr>
          <w:lang w:val="pt-BR"/>
        </w:rPr>
        <w:t xml:space="preserve">(PINTEC) del Instituto Brasileiro de Geografia e Estatística (IBGE); 2) la Secretaria de Comércio Exterior (SECEX), adscrita al Ministério de </w:t>
      </w:r>
      <w:r>
        <w:rPr>
          <w:i/>
          <w:lang w:val="pt-BR"/>
        </w:rPr>
        <w:t>Desenvolvimento, Indústria e Comércio Exterior</w:t>
      </w:r>
      <w:r>
        <w:rPr>
          <w:lang w:val="pt-BR"/>
        </w:rPr>
        <w:t xml:space="preserve"> (MDIC), y 3) la base de datos RAIS del Ministério do Trabalho e Emprego (MTE). </w:t>
      </w:r>
      <w:r>
        <w:rPr>
          <w:lang w:val="es-ES_tradnl"/>
        </w:rPr>
        <w:t>El principal motivo por el cual utilizamos la PINTEC es que se trata de la única fuente estadística exhaustiva disponible que proporciona algunas informaciones acerca del uso de la P.I. por las empresas brasileñas</w:t>
      </w:r>
      <w:r>
        <w:rPr>
          <w:rStyle w:val="FootnoteReference"/>
        </w:rPr>
        <w:footnoteReference w:id="2"/>
      </w:r>
      <w:r>
        <w:rPr>
          <w:lang w:val="pt-BR"/>
        </w:rPr>
        <w:t>.</w:t>
      </w:r>
    </w:p>
    <w:p w:rsidR="00AB0037" w:rsidRDefault="00AB0037">
      <w:pPr>
        <w:rPr>
          <w:lang w:val="pt-BR"/>
        </w:rPr>
      </w:pPr>
    </w:p>
    <w:p w:rsidR="00AB0037" w:rsidRDefault="000755C9">
      <w:r>
        <w:t>En particular, la PINTEC contiene información básica sobre los métodos de apropiación utilizados con el fin de proteger los resultados de la innovación, siguiendo el criterio de otros estudios sobre innovación.  Dicho criterio presenta una limitación fundamental en relación con la medición del uso de la P.I.</w:t>
      </w:r>
      <w:proofErr w:type="gramStart"/>
      <w:r>
        <w:t>:  solo</w:t>
      </w:r>
      <w:proofErr w:type="gramEnd"/>
      <w:r>
        <w:t xml:space="preserve"> las empresas innovadoras tienen que responder a las preguntas sobre P.I. durante el período estudiado.  De este modo, se excluye a las empresas que habían innovado antes del período estudiado y a los usuarios de P.I. que no innovan en tecnología.  Por ejemplo, es totalmente plausible que conste en la PINTEC que una empresa no utiliza marcas pese a proteger eficazmente sus inversiones en desarrollo de marcas y reputación por medio de la protección de marcas.  Otra limitación de los estudios de innovación guarda relación con los procesos de muestreo, que favorecen la inclusión de las grandes empresas que representan el 66% del total de los gastos en innovación y el 88% de los gastos en I+D del Brasil.  Por ello, limitamos una parte sustancial del análisis del presente informe exclusivamente a empresas innovadoras brasileñas con 500 empleados o más.</w:t>
      </w:r>
    </w:p>
    <w:p w:rsidR="00AB0037" w:rsidRDefault="00AB0037"/>
    <w:p w:rsidR="00AB0037" w:rsidRDefault="00AB0037"/>
    <w:p w:rsidR="00B87CA9" w:rsidRDefault="00B87CA9">
      <w:pPr>
        <w:rPr>
          <w:b/>
          <w:bCs/>
          <w:sz w:val="18"/>
        </w:rPr>
      </w:pPr>
      <w:bookmarkStart w:id="6" w:name="_Ref384903913"/>
      <w:r>
        <w:br w:type="page"/>
      </w:r>
    </w:p>
    <w:p w:rsidR="00AB0037" w:rsidRPr="00B87CA9" w:rsidRDefault="000755C9" w:rsidP="00B87CA9">
      <w:pPr>
        <w:pStyle w:val="Caption"/>
        <w:jc w:val="center"/>
        <w:rPr>
          <w:i/>
        </w:rPr>
      </w:pPr>
      <w:r w:rsidRPr="00B87CA9">
        <w:rPr>
          <w:i/>
        </w:rPr>
        <w:lastRenderedPageBreak/>
        <w:t xml:space="preserve">Cuadro E - </w:t>
      </w:r>
      <w:r w:rsidRPr="00B87CA9">
        <w:rPr>
          <w:i/>
        </w:rPr>
        <w:fldChar w:fldCharType="begin"/>
      </w:r>
      <w:r w:rsidRPr="00B87CA9">
        <w:rPr>
          <w:i/>
        </w:rPr>
        <w:instrText xml:space="preserve"> SEQ Table_E_- \* ARABIC </w:instrText>
      </w:r>
      <w:r w:rsidRPr="00B87CA9">
        <w:rPr>
          <w:i/>
        </w:rPr>
        <w:fldChar w:fldCharType="separate"/>
      </w:r>
      <w:r w:rsidR="0022199E">
        <w:rPr>
          <w:i/>
          <w:noProof/>
        </w:rPr>
        <w:t>1</w:t>
      </w:r>
      <w:r w:rsidRPr="00B87CA9">
        <w:rPr>
          <w:i/>
          <w:noProof/>
        </w:rPr>
        <w:fldChar w:fldCharType="end"/>
      </w:r>
      <w:bookmarkEnd w:id="6"/>
      <w:r w:rsidRPr="00B87CA9">
        <w:rPr>
          <w:i/>
        </w:rPr>
        <w:t xml:space="preserve"> - Exportaciones y métodos de apropiación</w:t>
      </w:r>
    </w:p>
    <w:tbl>
      <w:tblPr>
        <w:tblW w:w="9214" w:type="dxa"/>
        <w:jc w:val="center"/>
        <w:tblInd w:w="-544" w:type="dxa"/>
        <w:tblCellMar>
          <w:left w:w="70" w:type="dxa"/>
          <w:right w:w="70" w:type="dxa"/>
        </w:tblCellMar>
        <w:tblLook w:val="04A0" w:firstRow="1" w:lastRow="0" w:firstColumn="1" w:lastColumn="0" w:noHBand="0" w:noVBand="1"/>
      </w:tblPr>
      <w:tblGrid>
        <w:gridCol w:w="2779"/>
        <w:gridCol w:w="2560"/>
        <w:gridCol w:w="3875"/>
      </w:tblGrid>
      <w:tr w:rsidR="00AB0037">
        <w:trPr>
          <w:trHeight w:val="345"/>
          <w:jc w:val="center"/>
        </w:trPr>
        <w:tc>
          <w:tcPr>
            <w:tcW w:w="277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B0037" w:rsidRDefault="000755C9">
            <w:pPr>
              <w:rPr>
                <w:rFonts w:ascii="Calibri" w:eastAsia="Times New Roman" w:hAnsi="Calibri" w:cs="Calibri"/>
                <w:szCs w:val="22"/>
                <w:lang w:eastAsia="es-ES"/>
              </w:rPr>
            </w:pPr>
            <w:r>
              <w:rPr>
                <w:rFonts w:ascii="Calibri" w:eastAsia="Times New Roman" w:hAnsi="Calibri" w:cs="Calibri"/>
                <w:szCs w:val="22"/>
                <w:lang w:eastAsia="es-ES"/>
              </w:rPr>
              <w:t> </w:t>
            </w:r>
          </w:p>
        </w:tc>
        <w:tc>
          <w:tcPr>
            <w:tcW w:w="2560" w:type="dxa"/>
            <w:tcBorders>
              <w:top w:val="single" w:sz="4" w:space="0" w:color="auto"/>
              <w:left w:val="nil"/>
              <w:bottom w:val="single" w:sz="4" w:space="0" w:color="auto"/>
              <w:right w:val="nil"/>
            </w:tcBorders>
            <w:shd w:val="clear" w:color="auto" w:fill="FFFFFF" w:themeFill="background1"/>
            <w:noWrap/>
            <w:vAlign w:val="center"/>
            <w:hideMark/>
          </w:tcPr>
          <w:p w:rsidR="00AB0037" w:rsidRDefault="000755C9">
            <w:pPr>
              <w:jc w:val="center"/>
              <w:rPr>
                <w:rFonts w:ascii="Calibri" w:eastAsia="Times New Roman" w:hAnsi="Calibri" w:cs="Calibri"/>
                <w:b/>
                <w:bCs/>
                <w:szCs w:val="22"/>
                <w:lang w:eastAsia="es-ES"/>
              </w:rPr>
            </w:pPr>
            <w:r>
              <w:rPr>
                <w:rFonts w:ascii="Calibri" w:eastAsia="Times New Roman" w:hAnsi="Calibri" w:cs="Calibri"/>
                <w:b/>
                <w:bCs/>
                <w:szCs w:val="22"/>
                <w:lang w:eastAsia="es-ES"/>
              </w:rPr>
              <w:t>Empresas</w:t>
            </w:r>
            <w:r>
              <w:rPr>
                <w:rFonts w:ascii="Calibri" w:eastAsia="Times New Roman" w:hAnsi="Calibri" w:cs="Calibri"/>
                <w:b/>
                <w:bCs/>
                <w:szCs w:val="22"/>
                <w:lang w:eastAsia="es-ES"/>
              </w:rPr>
              <w:br/>
              <w:t>no exportadoras</w:t>
            </w:r>
          </w:p>
        </w:tc>
        <w:tc>
          <w:tcPr>
            <w:tcW w:w="38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b/>
                <w:bCs/>
                <w:szCs w:val="22"/>
                <w:lang w:eastAsia="es-ES"/>
              </w:rPr>
            </w:pPr>
            <w:r>
              <w:rPr>
                <w:rFonts w:ascii="Calibri" w:eastAsia="Times New Roman" w:hAnsi="Calibri" w:cs="Calibri"/>
                <w:b/>
                <w:bCs/>
                <w:szCs w:val="22"/>
                <w:lang w:eastAsia="es-ES"/>
              </w:rPr>
              <w:t>Empresas exportadoras</w:t>
            </w:r>
          </w:p>
        </w:tc>
      </w:tr>
      <w:tr w:rsidR="00AB0037">
        <w:trPr>
          <w:trHeight w:val="288"/>
          <w:jc w:val="center"/>
        </w:trPr>
        <w:tc>
          <w:tcPr>
            <w:tcW w:w="2779" w:type="dxa"/>
            <w:tcBorders>
              <w:top w:val="nil"/>
              <w:left w:val="single" w:sz="4" w:space="0" w:color="auto"/>
              <w:bottom w:val="nil"/>
              <w:right w:val="nil"/>
            </w:tcBorders>
            <w:shd w:val="clear" w:color="auto" w:fill="FFFFFF" w:themeFill="background1"/>
            <w:noWrap/>
            <w:vAlign w:val="bottom"/>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Patente de invención</w:t>
            </w:r>
          </w:p>
        </w:tc>
        <w:tc>
          <w:tcPr>
            <w:tcW w:w="2560" w:type="dxa"/>
            <w:tcBorders>
              <w:top w:val="single" w:sz="4" w:space="0" w:color="auto"/>
              <w:left w:val="nil"/>
              <w:bottom w:val="nil"/>
              <w:right w:val="nil"/>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2,9%</w:t>
            </w:r>
          </w:p>
        </w:tc>
        <w:tc>
          <w:tcPr>
            <w:tcW w:w="3875" w:type="dxa"/>
            <w:tcBorders>
              <w:top w:val="nil"/>
              <w:left w:val="nil"/>
              <w:bottom w:val="nil"/>
              <w:right w:val="single" w:sz="4" w:space="0" w:color="auto"/>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17,7%</w:t>
            </w:r>
          </w:p>
        </w:tc>
      </w:tr>
      <w:tr w:rsidR="00AB0037">
        <w:trPr>
          <w:trHeight w:val="288"/>
          <w:jc w:val="center"/>
        </w:trPr>
        <w:tc>
          <w:tcPr>
            <w:tcW w:w="2779" w:type="dxa"/>
            <w:tcBorders>
              <w:top w:val="nil"/>
              <w:left w:val="single" w:sz="4" w:space="0" w:color="auto"/>
              <w:bottom w:val="nil"/>
              <w:right w:val="nil"/>
            </w:tcBorders>
            <w:shd w:val="clear" w:color="auto" w:fill="FFFFFF" w:themeFill="background1"/>
            <w:noWrap/>
            <w:vAlign w:val="bottom"/>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Modelo de utilidad</w:t>
            </w:r>
          </w:p>
        </w:tc>
        <w:tc>
          <w:tcPr>
            <w:tcW w:w="2560" w:type="dxa"/>
            <w:tcBorders>
              <w:top w:val="nil"/>
              <w:left w:val="nil"/>
              <w:bottom w:val="nil"/>
              <w:right w:val="nil"/>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2,1%</w:t>
            </w:r>
          </w:p>
        </w:tc>
        <w:tc>
          <w:tcPr>
            <w:tcW w:w="3875" w:type="dxa"/>
            <w:tcBorders>
              <w:top w:val="nil"/>
              <w:left w:val="nil"/>
              <w:bottom w:val="nil"/>
              <w:right w:val="single" w:sz="4" w:space="0" w:color="auto"/>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8,3%</w:t>
            </w:r>
          </w:p>
        </w:tc>
      </w:tr>
      <w:tr w:rsidR="00AB0037">
        <w:trPr>
          <w:trHeight w:val="288"/>
          <w:jc w:val="center"/>
        </w:trPr>
        <w:tc>
          <w:tcPr>
            <w:tcW w:w="2779" w:type="dxa"/>
            <w:tcBorders>
              <w:top w:val="nil"/>
              <w:left w:val="single" w:sz="4" w:space="0" w:color="auto"/>
              <w:right w:val="nil"/>
            </w:tcBorders>
            <w:shd w:val="clear" w:color="auto" w:fill="FFFFFF" w:themeFill="background1"/>
            <w:noWrap/>
            <w:vAlign w:val="bottom"/>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Diseño industrial</w:t>
            </w:r>
          </w:p>
        </w:tc>
        <w:tc>
          <w:tcPr>
            <w:tcW w:w="2560" w:type="dxa"/>
            <w:tcBorders>
              <w:top w:val="nil"/>
              <w:left w:val="nil"/>
              <w:right w:val="nil"/>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3,6%</w:t>
            </w:r>
          </w:p>
        </w:tc>
        <w:tc>
          <w:tcPr>
            <w:tcW w:w="3875" w:type="dxa"/>
            <w:tcBorders>
              <w:top w:val="nil"/>
              <w:left w:val="nil"/>
              <w:right w:val="single" w:sz="4" w:space="0" w:color="auto"/>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8,1%</w:t>
            </w:r>
          </w:p>
        </w:tc>
      </w:tr>
      <w:tr w:rsidR="00AB0037">
        <w:trPr>
          <w:trHeight w:val="288"/>
          <w:jc w:val="center"/>
        </w:trPr>
        <w:tc>
          <w:tcPr>
            <w:tcW w:w="2779" w:type="dxa"/>
            <w:tcBorders>
              <w:top w:val="nil"/>
              <w:left w:val="single" w:sz="4" w:space="0" w:color="auto"/>
              <w:right w:val="nil"/>
            </w:tcBorders>
            <w:shd w:val="clear" w:color="auto" w:fill="FFFFFF" w:themeFill="background1"/>
            <w:noWrap/>
            <w:vAlign w:val="bottom"/>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Marcas</w:t>
            </w:r>
          </w:p>
        </w:tc>
        <w:tc>
          <w:tcPr>
            <w:tcW w:w="2560" w:type="dxa"/>
            <w:tcBorders>
              <w:top w:val="nil"/>
              <w:left w:val="nil"/>
              <w:right w:val="nil"/>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21,2%</w:t>
            </w:r>
          </w:p>
        </w:tc>
        <w:tc>
          <w:tcPr>
            <w:tcW w:w="3875" w:type="dxa"/>
            <w:tcBorders>
              <w:top w:val="nil"/>
              <w:left w:val="nil"/>
              <w:right w:val="single" w:sz="4" w:space="0" w:color="auto"/>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40,5%</w:t>
            </w:r>
          </w:p>
        </w:tc>
      </w:tr>
      <w:tr w:rsidR="00AB0037">
        <w:trPr>
          <w:trHeight w:val="288"/>
          <w:jc w:val="center"/>
        </w:trPr>
        <w:tc>
          <w:tcPr>
            <w:tcW w:w="2779" w:type="dxa"/>
            <w:tcBorders>
              <w:left w:val="single" w:sz="4" w:space="0" w:color="auto"/>
              <w:bottom w:val="nil"/>
              <w:right w:val="nil"/>
            </w:tcBorders>
            <w:shd w:val="clear" w:color="auto" w:fill="FFFFFF" w:themeFill="background1"/>
            <w:noWrap/>
            <w:vAlign w:val="bottom"/>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Complejidad del diseño</w:t>
            </w:r>
          </w:p>
        </w:tc>
        <w:tc>
          <w:tcPr>
            <w:tcW w:w="2560" w:type="dxa"/>
            <w:tcBorders>
              <w:left w:val="nil"/>
              <w:bottom w:val="nil"/>
              <w:right w:val="nil"/>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0,8%</w:t>
            </w:r>
          </w:p>
        </w:tc>
        <w:tc>
          <w:tcPr>
            <w:tcW w:w="3875" w:type="dxa"/>
            <w:tcBorders>
              <w:left w:val="nil"/>
              <w:bottom w:val="nil"/>
              <w:right w:val="single" w:sz="4" w:space="0" w:color="auto"/>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6,4%</w:t>
            </w:r>
          </w:p>
        </w:tc>
      </w:tr>
      <w:tr w:rsidR="00AB0037">
        <w:trPr>
          <w:trHeight w:val="288"/>
          <w:jc w:val="center"/>
        </w:trPr>
        <w:tc>
          <w:tcPr>
            <w:tcW w:w="2779" w:type="dxa"/>
            <w:tcBorders>
              <w:top w:val="nil"/>
              <w:left w:val="single" w:sz="4" w:space="0" w:color="auto"/>
              <w:bottom w:val="nil"/>
              <w:right w:val="nil"/>
            </w:tcBorders>
            <w:shd w:val="clear" w:color="auto" w:fill="FFFFFF" w:themeFill="background1"/>
            <w:noWrap/>
            <w:vAlign w:val="bottom"/>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Secreto comercial</w:t>
            </w:r>
          </w:p>
        </w:tc>
        <w:tc>
          <w:tcPr>
            <w:tcW w:w="2560" w:type="dxa"/>
            <w:tcBorders>
              <w:top w:val="nil"/>
              <w:left w:val="nil"/>
              <w:bottom w:val="nil"/>
              <w:right w:val="nil"/>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6,5%</w:t>
            </w:r>
          </w:p>
        </w:tc>
        <w:tc>
          <w:tcPr>
            <w:tcW w:w="3875" w:type="dxa"/>
            <w:tcBorders>
              <w:top w:val="nil"/>
              <w:left w:val="nil"/>
              <w:bottom w:val="nil"/>
              <w:right w:val="single" w:sz="4" w:space="0" w:color="auto"/>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21,4%</w:t>
            </w:r>
          </w:p>
        </w:tc>
      </w:tr>
      <w:tr w:rsidR="00AB0037">
        <w:trPr>
          <w:trHeight w:val="288"/>
          <w:jc w:val="center"/>
        </w:trPr>
        <w:tc>
          <w:tcPr>
            <w:tcW w:w="2779" w:type="dxa"/>
            <w:tcBorders>
              <w:top w:val="nil"/>
              <w:left w:val="single" w:sz="4" w:space="0" w:color="auto"/>
              <w:bottom w:val="single" w:sz="4" w:space="0" w:color="auto"/>
              <w:right w:val="nil"/>
            </w:tcBorders>
            <w:shd w:val="clear" w:color="auto" w:fill="FFFFFF" w:themeFill="background1"/>
            <w:noWrap/>
            <w:vAlign w:val="bottom"/>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Período de ventaja</w:t>
            </w:r>
          </w:p>
        </w:tc>
        <w:tc>
          <w:tcPr>
            <w:tcW w:w="2560" w:type="dxa"/>
            <w:tcBorders>
              <w:top w:val="nil"/>
              <w:left w:val="nil"/>
              <w:bottom w:val="single" w:sz="4" w:space="0" w:color="auto"/>
              <w:right w:val="nil"/>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0,9%</w:t>
            </w:r>
          </w:p>
        </w:tc>
        <w:tc>
          <w:tcPr>
            <w:tcW w:w="3875" w:type="dxa"/>
            <w:tcBorders>
              <w:top w:val="nil"/>
              <w:left w:val="nil"/>
              <w:bottom w:val="single" w:sz="4" w:space="0" w:color="auto"/>
              <w:right w:val="single" w:sz="4" w:space="0" w:color="auto"/>
            </w:tcBorders>
            <w:shd w:val="clear" w:color="auto" w:fill="FFFFFF" w:themeFill="background1"/>
            <w:noWrap/>
            <w:vAlign w:val="bottom"/>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9,4%</w:t>
            </w:r>
          </w:p>
        </w:tc>
      </w:tr>
    </w:tbl>
    <w:p w:rsidR="00AB0037" w:rsidRDefault="000755C9">
      <w:pPr>
        <w:pStyle w:val="Captionnotes"/>
        <w:rPr>
          <w:lang w:val="es-ES"/>
        </w:rPr>
      </w:pPr>
      <w:r>
        <w:rPr>
          <w:lang w:val="es-ES"/>
        </w:rPr>
        <w:t>Fuente: IBGE/PINTEC 2008 y MDIC/SECEX 2008.</w:t>
      </w:r>
    </w:p>
    <w:p w:rsidR="00AB0037" w:rsidRPr="00B87CA9" w:rsidRDefault="00B87CA9">
      <w:pPr>
        <w:pStyle w:val="Heading2"/>
        <w:ind w:left="576" w:hanging="576"/>
        <w:rPr>
          <w:i/>
        </w:rPr>
      </w:pPr>
      <w:r>
        <w:rPr>
          <w:i/>
          <w:caps w:val="0"/>
        </w:rPr>
        <w:t>A</w:t>
      </w:r>
      <w:r w:rsidRPr="00B87CA9">
        <w:rPr>
          <w:i/>
          <w:caps w:val="0"/>
        </w:rPr>
        <w:t xml:space="preserve">nálisis descriptivo del uso de la </w:t>
      </w:r>
      <w:r>
        <w:rPr>
          <w:i/>
          <w:caps w:val="0"/>
        </w:rPr>
        <w:t>P.I</w:t>
      </w:r>
      <w:r w:rsidRPr="00B87CA9">
        <w:rPr>
          <w:i/>
          <w:caps w:val="0"/>
        </w:rPr>
        <w:t xml:space="preserve">. y del rendimiento de las exportaciones </w:t>
      </w:r>
    </w:p>
    <w:p w:rsidR="00AB0037" w:rsidRDefault="00AB0037"/>
    <w:p w:rsidR="00AB0037" w:rsidRDefault="000755C9">
      <w:r>
        <w:t>Las empresas innovadoras suelen tener una mayor actividad exportadora en comparación con las que no innovan.  Las empresas innovadoras brasileñas tienen más probabilidades de exportar y lo hacen en mayor medida: el 14,6% de las empresas innovadoras exportan, frente a solo el 8,2% de las empresas no innovadoras.  En promedio, las ventas de exportación de las empresas innovadoras (más de 3.300.000 dólares EE.UU.) prácticamente multiplican por diez las registradas por las que no innovan (350.000 dólares EE.UU).  Por añadidura, las empresas exportadoras e innovadoras son, en general, más grandes y productivas y utilizan más recursos humanos cualificados.</w:t>
      </w:r>
    </w:p>
    <w:p w:rsidR="00AB0037" w:rsidRDefault="00AB0037"/>
    <w:p w:rsidR="0022199E" w:rsidRDefault="000755C9">
      <w:pPr>
        <w:rPr>
          <w:b/>
          <w:bCs/>
          <w:sz w:val="18"/>
        </w:rPr>
      </w:pPr>
      <w:r>
        <w:t>No resulta sorprendente que sean más altos los porcentajes de empresas exportadoras que utilizan los métodos de apropiación como medio eficaz de protección de sus innovaciones, independientemente de si esa estrategia de apropiación se basa o no en la P.I. (</w:t>
      </w:r>
      <w:r>
        <w:fldChar w:fldCharType="begin"/>
      </w:r>
      <w:r>
        <w:instrText xml:space="preserve"> REF _Ref384903913 \h </w:instrText>
      </w:r>
      <w:r>
        <w:fldChar w:fldCharType="separate"/>
      </w:r>
      <w:r w:rsidR="0022199E">
        <w:br w:type="page"/>
      </w:r>
    </w:p>
    <w:p w:rsidR="00AB0037" w:rsidRDefault="0022199E">
      <w:r w:rsidRPr="00B87CA9">
        <w:rPr>
          <w:i/>
        </w:rPr>
        <w:lastRenderedPageBreak/>
        <w:t xml:space="preserve">Cuadro E - </w:t>
      </w:r>
      <w:r>
        <w:rPr>
          <w:i/>
          <w:noProof/>
        </w:rPr>
        <w:t>1</w:t>
      </w:r>
      <w:r w:rsidR="000755C9">
        <w:fldChar w:fldCharType="end"/>
      </w:r>
      <w:r w:rsidR="000755C9">
        <w:t>).  Proporcionalmente, observamos las mayores diferencias en el período de ventaja, la complejidad del diseño y las patentes.</w:t>
      </w:r>
    </w:p>
    <w:p w:rsidR="00AB0037" w:rsidRDefault="00AB0037"/>
    <w:p w:rsidR="00AB0037" w:rsidRPr="00B87CA9" w:rsidRDefault="000755C9" w:rsidP="00B87CA9">
      <w:pPr>
        <w:pStyle w:val="Caption"/>
        <w:jc w:val="center"/>
        <w:rPr>
          <w:i/>
        </w:rPr>
      </w:pPr>
      <w:bookmarkStart w:id="7" w:name="_Ref384904010"/>
      <w:r w:rsidRPr="00B87CA9">
        <w:rPr>
          <w:i/>
        </w:rPr>
        <w:t xml:space="preserve">Cuadro E - </w:t>
      </w:r>
      <w:r w:rsidRPr="00B87CA9">
        <w:rPr>
          <w:i/>
        </w:rPr>
        <w:fldChar w:fldCharType="begin"/>
      </w:r>
      <w:r w:rsidRPr="00B87CA9">
        <w:rPr>
          <w:i/>
        </w:rPr>
        <w:instrText xml:space="preserve"> SEQ Table_E_- \* ARABIC </w:instrText>
      </w:r>
      <w:r w:rsidRPr="00B87CA9">
        <w:rPr>
          <w:i/>
        </w:rPr>
        <w:fldChar w:fldCharType="separate"/>
      </w:r>
      <w:r w:rsidR="0022199E">
        <w:rPr>
          <w:i/>
          <w:noProof/>
        </w:rPr>
        <w:t>2</w:t>
      </w:r>
      <w:r w:rsidRPr="00B87CA9">
        <w:rPr>
          <w:i/>
          <w:noProof/>
        </w:rPr>
        <w:fldChar w:fldCharType="end"/>
      </w:r>
      <w:bookmarkEnd w:id="7"/>
      <w:r w:rsidRPr="00B87CA9">
        <w:rPr>
          <w:i/>
        </w:rPr>
        <w:t xml:space="preserve"> - Métodos de apropiación en materia de P.I. (grandes empresas)</w:t>
      </w:r>
    </w:p>
    <w:p w:rsidR="00AB0037" w:rsidRDefault="000755C9">
      <w:pPr>
        <w:pStyle w:val="Captionnotes"/>
      </w:pPr>
      <w:r>
        <w:rPr>
          <w:noProof/>
        </w:rPr>
        <w:drawing>
          <wp:inline distT="0" distB="0" distL="0" distR="0">
            <wp:extent cx="5648325" cy="34290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8325" cy="3429000"/>
                    </a:xfrm>
                    <a:prstGeom prst="rect">
                      <a:avLst/>
                    </a:prstGeom>
                    <a:noFill/>
                  </pic:spPr>
                </pic:pic>
              </a:graphicData>
            </a:graphic>
          </wp:inline>
        </w:drawing>
      </w:r>
    </w:p>
    <w:p w:rsidR="00AB0037" w:rsidRDefault="00AB0037"/>
    <w:p w:rsidR="00AB0037" w:rsidRDefault="000755C9">
      <w:r>
        <w:t>Las empresas que ya utilizan alguno de los cuatro métodos de apropiación en materia de P.I. —patentes de invención, modelos de utilidad, diseños industriales y marcas— tienen más probabilidades de exportar y lo hacen en mayor medida (</w:t>
      </w:r>
      <w:r>
        <w:fldChar w:fldCharType="begin"/>
      </w:r>
      <w:r>
        <w:instrText xml:space="preserve"> REF _Ref384904010 \h </w:instrText>
      </w:r>
      <w:r>
        <w:fldChar w:fldCharType="separate"/>
      </w:r>
      <w:r w:rsidR="0022199E" w:rsidRPr="00B87CA9">
        <w:rPr>
          <w:i/>
        </w:rPr>
        <w:t xml:space="preserve">Cuadro E - </w:t>
      </w:r>
      <w:r w:rsidR="0022199E">
        <w:rPr>
          <w:i/>
          <w:noProof/>
        </w:rPr>
        <w:t>2</w:t>
      </w:r>
      <w:r>
        <w:fldChar w:fldCharType="end"/>
      </w:r>
      <w:r>
        <w:t>).  A menudo también suelen representar una proporción mayor en las exportaciones totales de su sector.</w:t>
      </w:r>
    </w:p>
    <w:p w:rsidR="00AB0037" w:rsidRDefault="00AB0037"/>
    <w:p w:rsidR="00AB0037" w:rsidRDefault="000755C9">
      <w:r>
        <w:t>No obstante, el uso de estos métodos está relacionado con características básicas de las empresas, como su origen o tamaño, a las que también se pueden atribuir una determinada influencia en las exportaciones y la innovación.  La mayoría de las empresas controladas por capital extranjero —en su totalidad o solo en parte— son exportadoras.  Del mismo modo, las empresas exportadoras tienen en promedio diez veces más empleados y registran cuarenta veces más ventas que las no exportadoras.  Asimismo, las empresas exportadoras corrientes también basan más sus actividades en el conocimiento.  Tienen treinta veces más recursos humanos especializados que se dedican en exclusiva a actividades de investigación y desarrollo (I+D) e invierten más en actividades relacionadas con la innovación.  Este es el caso concreto de los gastos en I+D —internos o externos—; las empresas exportadoras no solo destinan cien veces más a estos que las no exportadoras, sino que también invierten en I+D con una intensidad tres veces mayor (</w:t>
      </w:r>
      <w:r>
        <w:fldChar w:fldCharType="begin"/>
      </w:r>
      <w:r>
        <w:instrText xml:space="preserve"> REF _Ref384904388 \h </w:instrText>
      </w:r>
      <w:r>
        <w:fldChar w:fldCharType="separate"/>
      </w:r>
      <w:r w:rsidR="0022199E" w:rsidRPr="00B87CA9">
        <w:rPr>
          <w:i/>
        </w:rPr>
        <w:t xml:space="preserve">Cuadro E - </w:t>
      </w:r>
      <w:r w:rsidR="0022199E">
        <w:rPr>
          <w:i/>
          <w:noProof/>
        </w:rPr>
        <w:t>3</w:t>
      </w:r>
      <w:r>
        <w:fldChar w:fldCharType="end"/>
      </w:r>
      <w:r>
        <w:t>).  No es este el caso de la adquisición de conocimientos externos —que se puede articular por medio de la transferencia de la P.I</w:t>
      </w:r>
      <w:proofErr w:type="gramStart"/>
      <w:r>
        <w:t>.—</w:t>
      </w:r>
      <w:proofErr w:type="gramEnd"/>
      <w:r>
        <w:t>, en el que las empresas exportadoras gastan más desde el punto de vista cuantitativo pero prácticamente lo mismo en términos relativos.</w:t>
      </w:r>
    </w:p>
    <w:p w:rsidR="002A18A0" w:rsidRDefault="002A18A0">
      <w:r>
        <w:br w:type="page"/>
      </w:r>
    </w:p>
    <w:p w:rsidR="00AB0037" w:rsidRDefault="00AB0037"/>
    <w:p w:rsidR="00AB0037" w:rsidRPr="00B87CA9" w:rsidRDefault="000755C9" w:rsidP="00B87CA9">
      <w:pPr>
        <w:pStyle w:val="Caption"/>
        <w:jc w:val="center"/>
        <w:rPr>
          <w:i/>
        </w:rPr>
      </w:pPr>
      <w:bookmarkStart w:id="8" w:name="_Ref384904388"/>
      <w:r w:rsidRPr="00B87CA9">
        <w:rPr>
          <w:i/>
        </w:rPr>
        <w:t xml:space="preserve">Cuadro E - </w:t>
      </w:r>
      <w:r w:rsidRPr="00B87CA9">
        <w:rPr>
          <w:i/>
        </w:rPr>
        <w:fldChar w:fldCharType="begin"/>
      </w:r>
      <w:r w:rsidRPr="00B87CA9">
        <w:rPr>
          <w:i/>
        </w:rPr>
        <w:instrText xml:space="preserve"> SEQ Table_E_- \* ARABIC </w:instrText>
      </w:r>
      <w:r w:rsidRPr="00B87CA9">
        <w:rPr>
          <w:i/>
        </w:rPr>
        <w:fldChar w:fldCharType="separate"/>
      </w:r>
      <w:r w:rsidR="0022199E">
        <w:rPr>
          <w:i/>
          <w:noProof/>
        </w:rPr>
        <w:t>3</w:t>
      </w:r>
      <w:r w:rsidRPr="00B87CA9">
        <w:rPr>
          <w:i/>
          <w:noProof/>
        </w:rPr>
        <w:fldChar w:fldCharType="end"/>
      </w:r>
      <w:bookmarkEnd w:id="8"/>
      <w:r w:rsidRPr="00B87CA9">
        <w:rPr>
          <w:i/>
        </w:rPr>
        <w:t xml:space="preserve"> - Gastos en innovación y propensión a las exportaciones</w:t>
      </w:r>
    </w:p>
    <w:tbl>
      <w:tblPr>
        <w:tblW w:w="8446" w:type="dxa"/>
        <w:jc w:val="center"/>
        <w:tblInd w:w="55" w:type="dxa"/>
        <w:tblCellMar>
          <w:left w:w="70" w:type="dxa"/>
          <w:right w:w="70" w:type="dxa"/>
        </w:tblCellMar>
        <w:tblLook w:val="04A0" w:firstRow="1" w:lastRow="0" w:firstColumn="1" w:lastColumn="0" w:noHBand="0" w:noVBand="1"/>
      </w:tblPr>
      <w:tblGrid>
        <w:gridCol w:w="2880"/>
        <w:gridCol w:w="1363"/>
        <w:gridCol w:w="1363"/>
        <w:gridCol w:w="1420"/>
        <w:gridCol w:w="1420"/>
      </w:tblGrid>
      <w:tr w:rsidR="00AB0037">
        <w:trPr>
          <w:trHeight w:val="1020"/>
          <w:jc w:val="center"/>
        </w:trPr>
        <w:tc>
          <w:tcPr>
            <w:tcW w:w="288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0037" w:rsidRDefault="000755C9">
            <w:pPr>
              <w:jc w:val="center"/>
              <w:rPr>
                <w:rFonts w:ascii="Calibri" w:eastAsia="Times New Roman" w:hAnsi="Calibri" w:cs="Calibri"/>
                <w:b/>
                <w:bCs/>
                <w:szCs w:val="22"/>
                <w:lang w:eastAsia="es-ES"/>
              </w:rPr>
            </w:pPr>
            <w:r>
              <w:rPr>
                <w:rFonts w:ascii="Calibri" w:eastAsia="Times New Roman" w:hAnsi="Calibri" w:cs="Calibri"/>
                <w:b/>
                <w:bCs/>
                <w:szCs w:val="22"/>
                <w:lang w:eastAsia="es-ES"/>
              </w:rPr>
              <w:t>Empresas industriales innovadoras</w:t>
            </w:r>
          </w:p>
        </w:tc>
        <w:tc>
          <w:tcPr>
            <w:tcW w:w="2726" w:type="dxa"/>
            <w:gridSpan w:val="2"/>
            <w:tcBorders>
              <w:top w:val="single" w:sz="4" w:space="0" w:color="auto"/>
              <w:left w:val="nil"/>
              <w:bottom w:val="single" w:sz="4" w:space="0" w:color="auto"/>
              <w:right w:val="nil"/>
            </w:tcBorders>
            <w:shd w:val="clear" w:color="auto" w:fill="FFFFFF" w:themeFill="background1"/>
            <w:vAlign w:val="center"/>
            <w:hideMark/>
          </w:tcPr>
          <w:p w:rsidR="00AB0037" w:rsidRDefault="000755C9">
            <w:pPr>
              <w:jc w:val="center"/>
              <w:rPr>
                <w:rFonts w:ascii="Calibri" w:eastAsia="Times New Roman" w:hAnsi="Calibri" w:cs="Calibri"/>
                <w:b/>
                <w:bCs/>
                <w:szCs w:val="22"/>
                <w:lang w:eastAsia="es-ES"/>
              </w:rPr>
            </w:pPr>
            <w:r>
              <w:rPr>
                <w:rFonts w:ascii="Calibri" w:eastAsia="Times New Roman" w:hAnsi="Calibri" w:cs="Calibri"/>
                <w:b/>
                <w:bCs/>
                <w:szCs w:val="22"/>
                <w:lang w:eastAsia="es-ES"/>
              </w:rPr>
              <w:t>Valores promedio</w:t>
            </w:r>
            <w:r>
              <w:rPr>
                <w:rFonts w:ascii="Calibri" w:eastAsia="Times New Roman" w:hAnsi="Calibri" w:cs="Calibri"/>
                <w:b/>
                <w:bCs/>
                <w:szCs w:val="22"/>
                <w:lang w:eastAsia="es-ES"/>
              </w:rPr>
              <w:br/>
              <w:t>(en miles de dólares EE.UU)</w:t>
            </w:r>
          </w:p>
        </w:tc>
        <w:tc>
          <w:tcPr>
            <w:tcW w:w="284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AB0037" w:rsidRDefault="000755C9" w:rsidP="00B87CA9">
            <w:pPr>
              <w:jc w:val="center"/>
              <w:rPr>
                <w:rFonts w:ascii="Calibri" w:eastAsia="Times New Roman" w:hAnsi="Calibri" w:cs="Calibri"/>
                <w:b/>
                <w:bCs/>
                <w:szCs w:val="22"/>
                <w:lang w:eastAsia="es-ES"/>
              </w:rPr>
            </w:pPr>
            <w:r>
              <w:rPr>
                <w:rFonts w:ascii="Calibri" w:eastAsia="Times New Roman" w:hAnsi="Calibri" w:cs="Calibri"/>
                <w:b/>
                <w:bCs/>
                <w:szCs w:val="22"/>
                <w:lang w:eastAsia="es-ES"/>
              </w:rPr>
              <w:t>Gastos en innovación/</w:t>
            </w:r>
            <w:r>
              <w:rPr>
                <w:rFonts w:ascii="Calibri" w:eastAsia="Times New Roman" w:hAnsi="Calibri" w:cs="Calibri"/>
                <w:b/>
                <w:bCs/>
                <w:szCs w:val="22"/>
                <w:lang w:eastAsia="es-ES"/>
              </w:rPr>
              <w:br/>
              <w:t>Ventas netas</w:t>
            </w:r>
          </w:p>
        </w:tc>
      </w:tr>
      <w:tr w:rsidR="00AB0037">
        <w:trPr>
          <w:trHeight w:val="960"/>
          <w:jc w:val="center"/>
        </w:trPr>
        <w:tc>
          <w:tcPr>
            <w:tcW w:w="288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0037" w:rsidRDefault="00AB0037">
            <w:pPr>
              <w:rPr>
                <w:rFonts w:ascii="Calibri" w:eastAsia="Times New Roman" w:hAnsi="Calibri" w:cs="Calibri"/>
                <w:b/>
                <w:bCs/>
                <w:szCs w:val="22"/>
                <w:lang w:eastAsia="es-ES"/>
              </w:rPr>
            </w:pPr>
          </w:p>
        </w:tc>
        <w:tc>
          <w:tcPr>
            <w:tcW w:w="1363" w:type="dxa"/>
            <w:tcBorders>
              <w:top w:val="nil"/>
              <w:left w:val="nil"/>
              <w:bottom w:val="single" w:sz="4" w:space="0" w:color="auto"/>
              <w:right w:val="nil"/>
            </w:tcBorders>
            <w:shd w:val="clear" w:color="auto" w:fill="FFFFFF" w:themeFill="background1"/>
            <w:vAlign w:val="center"/>
            <w:hideMark/>
          </w:tcPr>
          <w:p w:rsidR="00AB0037" w:rsidRDefault="000755C9">
            <w:pPr>
              <w:jc w:val="center"/>
              <w:rPr>
                <w:rFonts w:ascii="Calibri" w:eastAsia="Times New Roman" w:hAnsi="Calibri" w:cs="Calibri"/>
                <w:b/>
                <w:bCs/>
                <w:szCs w:val="22"/>
                <w:lang w:eastAsia="es-ES"/>
              </w:rPr>
            </w:pPr>
            <w:r>
              <w:rPr>
                <w:rFonts w:ascii="Calibri" w:eastAsia="Times New Roman" w:hAnsi="Calibri" w:cs="Calibri"/>
                <w:b/>
                <w:bCs/>
                <w:szCs w:val="22"/>
                <w:lang w:eastAsia="es-ES"/>
              </w:rPr>
              <w:t>Empresas no exportadoras</w:t>
            </w:r>
          </w:p>
        </w:tc>
        <w:tc>
          <w:tcPr>
            <w:tcW w:w="1363" w:type="dxa"/>
            <w:tcBorders>
              <w:top w:val="nil"/>
              <w:left w:val="nil"/>
              <w:bottom w:val="single" w:sz="4" w:space="0" w:color="auto"/>
              <w:right w:val="nil"/>
            </w:tcBorders>
            <w:shd w:val="clear" w:color="auto" w:fill="FFFFFF" w:themeFill="background1"/>
            <w:vAlign w:val="center"/>
            <w:hideMark/>
          </w:tcPr>
          <w:p w:rsidR="00AB0037" w:rsidRDefault="000755C9">
            <w:pPr>
              <w:jc w:val="center"/>
              <w:rPr>
                <w:rFonts w:ascii="Calibri" w:eastAsia="Times New Roman" w:hAnsi="Calibri" w:cs="Calibri"/>
                <w:b/>
                <w:bCs/>
                <w:szCs w:val="22"/>
                <w:lang w:eastAsia="es-ES"/>
              </w:rPr>
            </w:pPr>
            <w:r>
              <w:rPr>
                <w:rFonts w:ascii="Calibri" w:eastAsia="Times New Roman" w:hAnsi="Calibri" w:cs="Calibri"/>
                <w:b/>
                <w:bCs/>
                <w:szCs w:val="22"/>
                <w:lang w:eastAsia="es-ES"/>
              </w:rPr>
              <w:t>Empresas exportadoras</w:t>
            </w:r>
          </w:p>
        </w:tc>
        <w:tc>
          <w:tcPr>
            <w:tcW w:w="1420" w:type="dxa"/>
            <w:tcBorders>
              <w:top w:val="nil"/>
              <w:left w:val="single" w:sz="4" w:space="0" w:color="auto"/>
              <w:bottom w:val="single" w:sz="4" w:space="0" w:color="auto"/>
              <w:right w:val="nil"/>
            </w:tcBorders>
            <w:shd w:val="clear" w:color="auto" w:fill="FFFFFF" w:themeFill="background1"/>
            <w:vAlign w:val="center"/>
            <w:hideMark/>
          </w:tcPr>
          <w:p w:rsidR="00AB0037" w:rsidRDefault="000755C9">
            <w:pPr>
              <w:jc w:val="center"/>
              <w:rPr>
                <w:rFonts w:ascii="Calibri" w:eastAsia="Times New Roman" w:hAnsi="Calibri" w:cs="Calibri"/>
                <w:b/>
                <w:bCs/>
                <w:szCs w:val="22"/>
                <w:lang w:eastAsia="es-ES"/>
              </w:rPr>
            </w:pPr>
            <w:r>
              <w:rPr>
                <w:rFonts w:ascii="Calibri" w:eastAsia="Times New Roman" w:hAnsi="Calibri" w:cs="Calibri"/>
                <w:b/>
                <w:bCs/>
                <w:szCs w:val="22"/>
                <w:lang w:eastAsia="es-ES"/>
              </w:rPr>
              <w:t>Empresas no exportadoras</w:t>
            </w:r>
          </w:p>
        </w:tc>
        <w:tc>
          <w:tcPr>
            <w:tcW w:w="1420" w:type="dxa"/>
            <w:tcBorders>
              <w:top w:val="nil"/>
              <w:left w:val="nil"/>
              <w:bottom w:val="single" w:sz="4" w:space="0" w:color="auto"/>
              <w:right w:val="single" w:sz="4" w:space="0" w:color="auto"/>
            </w:tcBorders>
            <w:shd w:val="clear" w:color="auto" w:fill="FFFFFF" w:themeFill="background1"/>
            <w:vAlign w:val="center"/>
            <w:hideMark/>
          </w:tcPr>
          <w:p w:rsidR="00AB0037" w:rsidRDefault="000755C9">
            <w:pPr>
              <w:jc w:val="center"/>
              <w:rPr>
                <w:rFonts w:ascii="Calibri" w:eastAsia="Times New Roman" w:hAnsi="Calibri" w:cs="Calibri"/>
                <w:b/>
                <w:bCs/>
                <w:szCs w:val="22"/>
                <w:lang w:eastAsia="es-ES"/>
              </w:rPr>
            </w:pPr>
            <w:r>
              <w:rPr>
                <w:rFonts w:ascii="Calibri" w:eastAsia="Times New Roman" w:hAnsi="Calibri" w:cs="Calibri"/>
                <w:b/>
                <w:bCs/>
                <w:szCs w:val="22"/>
                <w:lang w:eastAsia="es-ES"/>
              </w:rPr>
              <w:t>Empresas exportadoras</w:t>
            </w:r>
          </w:p>
        </w:tc>
      </w:tr>
      <w:tr w:rsidR="00AB0037">
        <w:trPr>
          <w:trHeight w:val="225"/>
          <w:jc w:val="center"/>
        </w:trPr>
        <w:tc>
          <w:tcPr>
            <w:tcW w:w="2880" w:type="dxa"/>
            <w:tcBorders>
              <w:top w:val="nil"/>
              <w:left w:val="single" w:sz="4" w:space="0" w:color="auto"/>
              <w:bottom w:val="single" w:sz="4" w:space="0" w:color="auto"/>
              <w:right w:val="nil"/>
            </w:tcBorders>
            <w:shd w:val="clear" w:color="auto" w:fill="FFFFFF" w:themeFill="background1"/>
            <w:noWrap/>
            <w:vAlign w:val="center"/>
            <w:hideMark/>
          </w:tcPr>
          <w:p w:rsidR="00AB0037" w:rsidRDefault="000755C9">
            <w:pPr>
              <w:rPr>
                <w:rFonts w:ascii="Calibri" w:eastAsia="Times New Roman" w:hAnsi="Calibri" w:cs="Calibri"/>
                <w:szCs w:val="22"/>
                <w:lang w:eastAsia="es-ES"/>
              </w:rPr>
            </w:pPr>
            <w:r>
              <w:rPr>
                <w:rFonts w:ascii="Calibri" w:eastAsia="Times New Roman" w:hAnsi="Calibri" w:cs="Calibri"/>
                <w:szCs w:val="22"/>
                <w:lang w:eastAsia="es-ES"/>
              </w:rPr>
              <w:t> </w:t>
            </w:r>
          </w:p>
        </w:tc>
        <w:tc>
          <w:tcPr>
            <w:tcW w:w="1363" w:type="dxa"/>
            <w:tcBorders>
              <w:top w:val="single" w:sz="4" w:space="0" w:color="auto"/>
              <w:left w:val="nil"/>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 </w:t>
            </w:r>
          </w:p>
        </w:tc>
        <w:tc>
          <w:tcPr>
            <w:tcW w:w="1363" w:type="dxa"/>
            <w:tcBorders>
              <w:top w:val="single" w:sz="4" w:space="0" w:color="auto"/>
              <w:left w:val="nil"/>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 </w:t>
            </w:r>
          </w:p>
        </w:tc>
        <w:tc>
          <w:tcPr>
            <w:tcW w:w="1420" w:type="dxa"/>
            <w:tcBorders>
              <w:top w:val="nil"/>
              <w:left w:val="single" w:sz="4" w:space="0" w:color="auto"/>
              <w:bottom w:val="single" w:sz="4" w:space="0" w:color="auto"/>
              <w:right w:val="nil"/>
            </w:tcBorders>
            <w:shd w:val="clear" w:color="auto" w:fill="FFFFFF" w:themeFill="background1"/>
            <w:noWrap/>
            <w:vAlign w:val="bottom"/>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 </w:t>
            </w:r>
          </w:p>
        </w:tc>
        <w:tc>
          <w:tcPr>
            <w:tcW w:w="1420" w:type="dxa"/>
            <w:tcBorders>
              <w:top w:val="nil"/>
              <w:left w:val="nil"/>
              <w:bottom w:val="single" w:sz="4" w:space="0" w:color="auto"/>
              <w:right w:val="single" w:sz="4" w:space="0" w:color="auto"/>
            </w:tcBorders>
            <w:shd w:val="clear" w:color="auto" w:fill="FFFFFF" w:themeFill="background1"/>
            <w:noWrap/>
            <w:vAlign w:val="bottom"/>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 </w:t>
            </w:r>
          </w:p>
        </w:tc>
      </w:tr>
      <w:tr w:rsidR="00AB0037">
        <w:trPr>
          <w:trHeight w:val="288"/>
          <w:jc w:val="center"/>
        </w:trPr>
        <w:tc>
          <w:tcPr>
            <w:tcW w:w="2880" w:type="dxa"/>
            <w:tcBorders>
              <w:top w:val="nil"/>
              <w:left w:val="single" w:sz="4" w:space="0" w:color="auto"/>
              <w:bottom w:val="nil"/>
              <w:right w:val="nil"/>
            </w:tcBorders>
            <w:shd w:val="clear" w:color="auto" w:fill="FFFFFF" w:themeFill="background1"/>
            <w:vAlign w:val="center"/>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Gastos en I+D</w:t>
            </w:r>
          </w:p>
        </w:tc>
        <w:tc>
          <w:tcPr>
            <w:tcW w:w="1363" w:type="dxa"/>
            <w:tcBorders>
              <w:top w:val="single" w:sz="4" w:space="0" w:color="auto"/>
              <w:left w:val="single" w:sz="4" w:space="0" w:color="auto"/>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8,27</w:t>
            </w:r>
          </w:p>
        </w:tc>
        <w:tc>
          <w:tcPr>
            <w:tcW w:w="1363" w:type="dxa"/>
            <w:tcBorders>
              <w:top w:val="single" w:sz="4" w:space="0" w:color="auto"/>
              <w:left w:val="nil"/>
              <w:bottom w:val="nil"/>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986,94</w:t>
            </w:r>
          </w:p>
        </w:tc>
        <w:tc>
          <w:tcPr>
            <w:tcW w:w="1420" w:type="dxa"/>
            <w:tcBorders>
              <w:top w:val="nil"/>
              <w:left w:val="single" w:sz="4" w:space="0" w:color="auto"/>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0,31%</w:t>
            </w:r>
          </w:p>
        </w:tc>
        <w:tc>
          <w:tcPr>
            <w:tcW w:w="1420" w:type="dxa"/>
            <w:tcBorders>
              <w:top w:val="nil"/>
              <w:left w:val="nil"/>
              <w:bottom w:val="nil"/>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0,89%</w:t>
            </w:r>
          </w:p>
        </w:tc>
      </w:tr>
      <w:tr w:rsidR="00AB0037">
        <w:trPr>
          <w:trHeight w:val="600"/>
          <w:jc w:val="center"/>
        </w:trPr>
        <w:tc>
          <w:tcPr>
            <w:tcW w:w="2880" w:type="dxa"/>
            <w:tcBorders>
              <w:top w:val="nil"/>
              <w:left w:val="single" w:sz="4" w:space="0" w:color="auto"/>
              <w:bottom w:val="nil"/>
              <w:right w:val="nil"/>
            </w:tcBorders>
            <w:shd w:val="clear" w:color="auto" w:fill="FFFFFF" w:themeFill="background1"/>
            <w:vAlign w:val="center"/>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Adquisición externa de I+D</w:t>
            </w:r>
          </w:p>
        </w:tc>
        <w:tc>
          <w:tcPr>
            <w:tcW w:w="1363" w:type="dxa"/>
            <w:tcBorders>
              <w:top w:val="nil"/>
              <w:left w:val="single" w:sz="4" w:space="0" w:color="auto"/>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1,22</w:t>
            </w:r>
          </w:p>
        </w:tc>
        <w:tc>
          <w:tcPr>
            <w:tcW w:w="1363" w:type="dxa"/>
            <w:tcBorders>
              <w:top w:val="nil"/>
              <w:left w:val="nil"/>
              <w:bottom w:val="nil"/>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163,02</w:t>
            </w:r>
          </w:p>
        </w:tc>
        <w:tc>
          <w:tcPr>
            <w:tcW w:w="1420" w:type="dxa"/>
            <w:tcBorders>
              <w:top w:val="nil"/>
              <w:left w:val="single" w:sz="4" w:space="0" w:color="auto"/>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0,04%</w:t>
            </w:r>
          </w:p>
        </w:tc>
        <w:tc>
          <w:tcPr>
            <w:tcW w:w="1420" w:type="dxa"/>
            <w:tcBorders>
              <w:top w:val="nil"/>
              <w:left w:val="nil"/>
              <w:bottom w:val="nil"/>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0,15%</w:t>
            </w:r>
          </w:p>
        </w:tc>
      </w:tr>
      <w:tr w:rsidR="00AB0037">
        <w:trPr>
          <w:trHeight w:val="735"/>
          <w:jc w:val="center"/>
        </w:trPr>
        <w:tc>
          <w:tcPr>
            <w:tcW w:w="2880" w:type="dxa"/>
            <w:tcBorders>
              <w:top w:val="nil"/>
              <w:left w:val="single" w:sz="4" w:space="0" w:color="auto"/>
              <w:bottom w:val="nil"/>
              <w:right w:val="nil"/>
            </w:tcBorders>
            <w:shd w:val="clear" w:color="auto" w:fill="FFFFFF" w:themeFill="background1"/>
            <w:vAlign w:val="center"/>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Adquisición de otro conocimiento externo</w:t>
            </w:r>
          </w:p>
        </w:tc>
        <w:tc>
          <w:tcPr>
            <w:tcW w:w="1363" w:type="dxa"/>
            <w:tcBorders>
              <w:top w:val="nil"/>
              <w:left w:val="single" w:sz="4" w:space="0" w:color="auto"/>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2,26</w:t>
            </w:r>
          </w:p>
        </w:tc>
        <w:tc>
          <w:tcPr>
            <w:tcW w:w="1363" w:type="dxa"/>
            <w:tcBorders>
              <w:top w:val="nil"/>
              <w:left w:val="nil"/>
              <w:bottom w:val="nil"/>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102,82</w:t>
            </w:r>
          </w:p>
        </w:tc>
        <w:tc>
          <w:tcPr>
            <w:tcW w:w="1420" w:type="dxa"/>
            <w:tcBorders>
              <w:top w:val="nil"/>
              <w:left w:val="single" w:sz="4" w:space="0" w:color="auto"/>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0,08%</w:t>
            </w:r>
          </w:p>
        </w:tc>
        <w:tc>
          <w:tcPr>
            <w:tcW w:w="1420" w:type="dxa"/>
            <w:tcBorders>
              <w:top w:val="nil"/>
              <w:left w:val="nil"/>
              <w:bottom w:val="nil"/>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0,09%</w:t>
            </w:r>
          </w:p>
        </w:tc>
      </w:tr>
      <w:tr w:rsidR="00AB0037">
        <w:trPr>
          <w:trHeight w:val="810"/>
          <w:jc w:val="center"/>
        </w:trPr>
        <w:tc>
          <w:tcPr>
            <w:tcW w:w="2880" w:type="dxa"/>
            <w:tcBorders>
              <w:top w:val="nil"/>
              <w:left w:val="single" w:sz="4" w:space="0" w:color="auto"/>
              <w:bottom w:val="nil"/>
              <w:right w:val="nil"/>
            </w:tcBorders>
            <w:shd w:val="clear" w:color="auto" w:fill="FFFFFF" w:themeFill="background1"/>
            <w:vAlign w:val="center"/>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Adquisición de máquinas y equipo</w:t>
            </w:r>
          </w:p>
        </w:tc>
        <w:tc>
          <w:tcPr>
            <w:tcW w:w="1363" w:type="dxa"/>
            <w:tcBorders>
              <w:top w:val="nil"/>
              <w:left w:val="single" w:sz="4" w:space="0" w:color="auto"/>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108,19</w:t>
            </w:r>
          </w:p>
        </w:tc>
        <w:tc>
          <w:tcPr>
            <w:tcW w:w="1363" w:type="dxa"/>
            <w:tcBorders>
              <w:top w:val="nil"/>
              <w:left w:val="nil"/>
              <w:bottom w:val="nil"/>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1439,19</w:t>
            </w:r>
          </w:p>
        </w:tc>
        <w:tc>
          <w:tcPr>
            <w:tcW w:w="1420" w:type="dxa"/>
            <w:tcBorders>
              <w:top w:val="nil"/>
              <w:left w:val="single" w:sz="4" w:space="0" w:color="auto"/>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3,99%</w:t>
            </w:r>
          </w:p>
        </w:tc>
        <w:tc>
          <w:tcPr>
            <w:tcW w:w="1420" w:type="dxa"/>
            <w:tcBorders>
              <w:top w:val="nil"/>
              <w:left w:val="nil"/>
              <w:bottom w:val="nil"/>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1,29%</w:t>
            </w:r>
          </w:p>
        </w:tc>
      </w:tr>
      <w:tr w:rsidR="00AB0037">
        <w:trPr>
          <w:trHeight w:val="645"/>
          <w:jc w:val="center"/>
        </w:trPr>
        <w:tc>
          <w:tcPr>
            <w:tcW w:w="2880" w:type="dxa"/>
            <w:tcBorders>
              <w:top w:val="nil"/>
              <w:left w:val="single" w:sz="4" w:space="0" w:color="auto"/>
              <w:bottom w:val="nil"/>
              <w:right w:val="nil"/>
            </w:tcBorders>
            <w:shd w:val="clear" w:color="auto" w:fill="FFFFFF" w:themeFill="background1"/>
            <w:vAlign w:val="center"/>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Formación</w:t>
            </w:r>
          </w:p>
        </w:tc>
        <w:tc>
          <w:tcPr>
            <w:tcW w:w="1363" w:type="dxa"/>
            <w:tcBorders>
              <w:top w:val="nil"/>
              <w:left w:val="single" w:sz="4" w:space="0" w:color="auto"/>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6,17</w:t>
            </w:r>
          </w:p>
        </w:tc>
        <w:tc>
          <w:tcPr>
            <w:tcW w:w="1363" w:type="dxa"/>
            <w:tcBorders>
              <w:top w:val="nil"/>
              <w:left w:val="nil"/>
              <w:bottom w:val="nil"/>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53,88</w:t>
            </w:r>
          </w:p>
        </w:tc>
        <w:tc>
          <w:tcPr>
            <w:tcW w:w="1420" w:type="dxa"/>
            <w:tcBorders>
              <w:top w:val="nil"/>
              <w:left w:val="single" w:sz="4" w:space="0" w:color="auto"/>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0,23%</w:t>
            </w:r>
          </w:p>
        </w:tc>
        <w:tc>
          <w:tcPr>
            <w:tcW w:w="1420" w:type="dxa"/>
            <w:tcBorders>
              <w:top w:val="nil"/>
              <w:left w:val="nil"/>
              <w:bottom w:val="nil"/>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0,05%</w:t>
            </w:r>
          </w:p>
        </w:tc>
      </w:tr>
      <w:tr w:rsidR="00AB0037">
        <w:trPr>
          <w:trHeight w:val="825"/>
          <w:jc w:val="center"/>
        </w:trPr>
        <w:tc>
          <w:tcPr>
            <w:tcW w:w="2880" w:type="dxa"/>
            <w:tcBorders>
              <w:top w:val="nil"/>
              <w:left w:val="single" w:sz="4" w:space="0" w:color="auto"/>
              <w:bottom w:val="nil"/>
              <w:right w:val="nil"/>
            </w:tcBorders>
            <w:shd w:val="clear" w:color="auto" w:fill="FFFFFF" w:themeFill="background1"/>
            <w:vAlign w:val="center"/>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Introducción de innovaciones tecnológicas en el mercado</w:t>
            </w:r>
          </w:p>
        </w:tc>
        <w:tc>
          <w:tcPr>
            <w:tcW w:w="1363" w:type="dxa"/>
            <w:tcBorders>
              <w:top w:val="nil"/>
              <w:left w:val="single" w:sz="4" w:space="0" w:color="auto"/>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6,18</w:t>
            </w:r>
          </w:p>
        </w:tc>
        <w:tc>
          <w:tcPr>
            <w:tcW w:w="1363" w:type="dxa"/>
            <w:tcBorders>
              <w:top w:val="nil"/>
              <w:left w:val="nil"/>
              <w:bottom w:val="nil"/>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208,11</w:t>
            </w:r>
          </w:p>
        </w:tc>
        <w:tc>
          <w:tcPr>
            <w:tcW w:w="1420" w:type="dxa"/>
            <w:tcBorders>
              <w:top w:val="nil"/>
              <w:left w:val="single" w:sz="4" w:space="0" w:color="auto"/>
              <w:bottom w:val="nil"/>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0,23%</w:t>
            </w:r>
          </w:p>
        </w:tc>
        <w:tc>
          <w:tcPr>
            <w:tcW w:w="1420" w:type="dxa"/>
            <w:tcBorders>
              <w:top w:val="nil"/>
              <w:left w:val="nil"/>
              <w:bottom w:val="nil"/>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0,19%</w:t>
            </w:r>
          </w:p>
        </w:tc>
      </w:tr>
      <w:tr w:rsidR="00AB0037">
        <w:trPr>
          <w:trHeight w:val="975"/>
          <w:jc w:val="center"/>
        </w:trPr>
        <w:tc>
          <w:tcPr>
            <w:tcW w:w="2880" w:type="dxa"/>
            <w:tcBorders>
              <w:top w:val="nil"/>
              <w:left w:val="single" w:sz="4" w:space="0" w:color="auto"/>
              <w:bottom w:val="single" w:sz="4" w:space="0" w:color="auto"/>
              <w:right w:val="nil"/>
            </w:tcBorders>
            <w:shd w:val="clear" w:color="auto" w:fill="FFFFFF" w:themeFill="background1"/>
            <w:vAlign w:val="center"/>
            <w:hideMark/>
          </w:tcPr>
          <w:p w:rsidR="00AB0037" w:rsidRDefault="000755C9">
            <w:pPr>
              <w:rPr>
                <w:rFonts w:ascii="Calibri" w:eastAsia="Times New Roman" w:hAnsi="Calibri" w:cs="Calibri"/>
                <w:b/>
                <w:bCs/>
                <w:szCs w:val="22"/>
                <w:lang w:eastAsia="es-ES"/>
              </w:rPr>
            </w:pPr>
            <w:r>
              <w:rPr>
                <w:rFonts w:ascii="Calibri" w:eastAsia="Times New Roman" w:hAnsi="Calibri" w:cs="Calibri"/>
                <w:b/>
                <w:bCs/>
                <w:szCs w:val="22"/>
                <w:lang w:eastAsia="es-ES"/>
              </w:rPr>
              <w:t>Otros preparativos para la producción y la distribución</w:t>
            </w:r>
          </w:p>
        </w:tc>
        <w:tc>
          <w:tcPr>
            <w:tcW w:w="1363" w:type="dxa"/>
            <w:tcBorders>
              <w:top w:val="nil"/>
              <w:left w:val="single" w:sz="4" w:space="0" w:color="auto"/>
              <w:bottom w:val="single" w:sz="4" w:space="0" w:color="auto"/>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17,93</w:t>
            </w:r>
          </w:p>
        </w:tc>
        <w:tc>
          <w:tcPr>
            <w:tcW w:w="1363" w:type="dxa"/>
            <w:tcBorders>
              <w:top w:val="nil"/>
              <w:left w:val="nil"/>
              <w:bottom w:val="single" w:sz="4" w:space="0" w:color="auto"/>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278,60</w:t>
            </w:r>
          </w:p>
        </w:tc>
        <w:tc>
          <w:tcPr>
            <w:tcW w:w="1420" w:type="dxa"/>
            <w:tcBorders>
              <w:top w:val="nil"/>
              <w:left w:val="single" w:sz="4" w:space="0" w:color="auto"/>
              <w:bottom w:val="single" w:sz="4" w:space="0" w:color="auto"/>
              <w:right w:val="nil"/>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0,66%</w:t>
            </w:r>
          </w:p>
        </w:tc>
        <w:tc>
          <w:tcPr>
            <w:tcW w:w="1420" w:type="dxa"/>
            <w:tcBorders>
              <w:top w:val="nil"/>
              <w:left w:val="nil"/>
              <w:bottom w:val="single" w:sz="4" w:space="0" w:color="auto"/>
              <w:right w:val="single" w:sz="4" w:space="0" w:color="auto"/>
            </w:tcBorders>
            <w:shd w:val="clear" w:color="auto" w:fill="FFFFFF" w:themeFill="background1"/>
            <w:noWrap/>
            <w:vAlign w:val="center"/>
            <w:hideMark/>
          </w:tcPr>
          <w:p w:rsidR="00AB0037" w:rsidRDefault="000755C9">
            <w:pPr>
              <w:jc w:val="center"/>
              <w:rPr>
                <w:rFonts w:ascii="Calibri" w:eastAsia="Times New Roman" w:hAnsi="Calibri" w:cs="Calibri"/>
                <w:szCs w:val="22"/>
                <w:lang w:eastAsia="es-ES"/>
              </w:rPr>
            </w:pPr>
            <w:r>
              <w:rPr>
                <w:rFonts w:ascii="Calibri" w:eastAsia="Times New Roman" w:hAnsi="Calibri" w:cs="Calibri"/>
                <w:szCs w:val="22"/>
                <w:lang w:eastAsia="es-ES"/>
              </w:rPr>
              <w:t>0,25%</w:t>
            </w:r>
          </w:p>
        </w:tc>
      </w:tr>
    </w:tbl>
    <w:p w:rsidR="00AB0037" w:rsidRDefault="000755C9">
      <w:pPr>
        <w:jc w:val="center"/>
        <w:rPr>
          <w:sz w:val="16"/>
          <w:szCs w:val="16"/>
        </w:rPr>
      </w:pPr>
      <w:r>
        <w:rPr>
          <w:i/>
          <w:sz w:val="16"/>
          <w:szCs w:val="16"/>
        </w:rPr>
        <w:t>Fuente: IBGE/PINTEC 2008 y MDIC/SECEX 2008</w:t>
      </w:r>
      <w:r>
        <w:rPr>
          <w:sz w:val="16"/>
          <w:szCs w:val="16"/>
        </w:rPr>
        <w:t>.</w:t>
      </w:r>
    </w:p>
    <w:p w:rsidR="00AB0037" w:rsidRDefault="00AB0037"/>
    <w:p w:rsidR="00AB0037" w:rsidRDefault="000755C9">
      <w:pPr>
        <w:spacing w:after="200" w:line="276" w:lineRule="auto"/>
      </w:pPr>
      <w:r>
        <w:br w:type="page"/>
      </w:r>
    </w:p>
    <w:p w:rsidR="00AB0037" w:rsidRPr="00B87CA9" w:rsidRDefault="00B87CA9">
      <w:pPr>
        <w:pStyle w:val="Heading2"/>
        <w:ind w:left="576" w:hanging="576"/>
        <w:rPr>
          <w:i/>
        </w:rPr>
      </w:pPr>
      <w:r w:rsidRPr="00B87CA9">
        <w:rPr>
          <w:i/>
          <w:caps w:val="0"/>
        </w:rPr>
        <w:lastRenderedPageBreak/>
        <w:t>Análisis con múltiples variables</w:t>
      </w:r>
    </w:p>
    <w:p w:rsidR="00AB0037" w:rsidRDefault="00AB0037"/>
    <w:p w:rsidR="00AB0037" w:rsidRDefault="000755C9">
      <w:r>
        <w:t>Los resultados del análisis descriptivo previo señalan una relación entre la innovación y distintos valores de la actividad exportadora.  No obstante, en el mismo análisis observamos que hay otras características de las empresas que también se asocian a las empresas exportadoras, como la procedencia del capital o el tamaño.  Asimismo, hemos comprobado que la heterogeneidad sectorial interfiere en cierto modo en estos valores y, por tanto, debe analizarse de una forma más exhaustiva.  A fin de explicar estas cuestiones, realizamos una serie de análisis con múltiples variables sobre la relación entre la apropiación en materia de P.I. las variables de exportación.</w:t>
      </w:r>
    </w:p>
    <w:p w:rsidR="00AB0037" w:rsidRDefault="00AB0037"/>
    <w:p w:rsidR="00AB0037" w:rsidRDefault="000755C9">
      <w:r>
        <w:t>Tal como en la sección descriptiva, analizamos el rendimiento de las exportaciones de las empresas del Brasil por medio de tres variables dependientes: i) si se trata o no de una empresa exportadora; ii) el volumen de exportaciones (en logaritmos), y iii) el porcentaje que representa la empresa en las exportaciones del sector (calculado al nivel de tres dígitos de la Clasificación Industrial Internacional Uniforme [CIIU]).  Las principales variables explicativas que nos interesan son las cuatro variables ficticias que indican si la empresa ha utilizado 1) patentes de invención, 2) modelos de utilidad, 3) diseños industriales y 4) marcas para proteger su innovación.  Asimismo, incluimos variables de control para el sector (al nivel de dos dígitos de la CIIU), la procedencia del capital, el tamaño y los gastos en innovación.</w:t>
      </w:r>
    </w:p>
    <w:p w:rsidR="00AB0037" w:rsidRDefault="00AB0037"/>
    <w:p w:rsidR="00AB0037" w:rsidRDefault="000755C9">
      <w:r>
        <w:t xml:space="preserve">En primer lugar, investigamos si la utilización de cada uno de los métodos de apropiación en materia de P.I descritos </w:t>
      </w:r>
      <w:proofErr w:type="gramStart"/>
      <w:r>
        <w:t>están</w:t>
      </w:r>
      <w:proofErr w:type="gramEnd"/>
      <w:r>
        <w:t xml:space="preserve"> relacionados con una mayor propensión a la exportación.  Observamos que los cuatro métodos influyen positivamente en la probabilidad de que la empresa exporte (</w:t>
      </w:r>
      <w:r>
        <w:fldChar w:fldCharType="begin"/>
      </w:r>
      <w:r>
        <w:instrText xml:space="preserve"> REF _Ref384907602 \h </w:instrText>
      </w:r>
      <w:r>
        <w:fldChar w:fldCharType="separate"/>
      </w:r>
      <w:r w:rsidR="0022199E" w:rsidRPr="00B87CA9">
        <w:rPr>
          <w:i/>
        </w:rPr>
        <w:t xml:space="preserve">Cuadro E - </w:t>
      </w:r>
      <w:r w:rsidR="0022199E">
        <w:rPr>
          <w:i/>
          <w:noProof/>
        </w:rPr>
        <w:t>4</w:t>
      </w:r>
      <w:r>
        <w:fldChar w:fldCharType="end"/>
      </w:r>
      <w:r>
        <w:t>, columnas 1 y 2).  No obstante, en la mayoría de las especificaciones, solo el empleo de patentes de invención es estadísticamente significativo.  En función de la especificación, las empresas que utilizan patentes de invención tienen alrededor de un 9% más de probabilidades de exportar.</w:t>
      </w:r>
    </w:p>
    <w:p w:rsidR="00AB0037" w:rsidRDefault="00AB0037"/>
    <w:p w:rsidR="00AB0037" w:rsidRDefault="000755C9">
      <w:r>
        <w:t>Obtenemos resultados similares para la cifra de ventas de exportación como variable dependiente (</w:t>
      </w:r>
      <w:r>
        <w:fldChar w:fldCharType="begin"/>
      </w:r>
      <w:r>
        <w:instrText xml:space="preserve"> REF _Ref384907602 \h </w:instrText>
      </w:r>
      <w:r>
        <w:rPr>
          <w:highlight w:val="magenta"/>
        </w:rPr>
        <w:instrText xml:space="preserve"> \* MERGEFORMAT </w:instrText>
      </w:r>
      <w:r>
        <w:fldChar w:fldCharType="separate"/>
      </w:r>
      <w:r w:rsidR="0022199E" w:rsidRPr="0022199E">
        <w:t xml:space="preserve">Cuadro E - </w:t>
      </w:r>
      <w:r w:rsidR="0022199E" w:rsidRPr="0022199E">
        <w:rPr>
          <w:noProof/>
        </w:rPr>
        <w:t>4</w:t>
      </w:r>
      <w:r>
        <w:fldChar w:fldCharType="end"/>
      </w:r>
      <w:r>
        <w:t>, columnas 3 y 4).  De nuevo, virtualmente los cuatro métodos repercuten de forma positiva en las exportaciones, pero solo las patentes de invención son relevantes desde el punto de vista estadístico.  Asimismo, el significado económico del coeficiente estimado es apreciable.  Manteniendo constantes todos los demás elementos, las empresas que utilizan patentes de invención triplican con creces la exportación de las que no las utilizan.  Los resultados varían ligeramente cuando realizamos el análisis dinámico según el modelo de efectos fijos aplicado a las empresas.  A pesar de que solo resulta reseñable desde el punto de vista estadístico en 10%, observamos que las empresas que no estaban utilizando patentes durante el primer período promediaron un aumento del 70% en sus exportaciones cuando comenzaron a utilizarlas en el segundo período (</w:t>
      </w:r>
      <w:r>
        <w:fldChar w:fldCharType="begin"/>
      </w:r>
      <w:r>
        <w:instrText xml:space="preserve"> REF _Ref384907602 \h </w:instrText>
      </w:r>
      <w:r>
        <w:fldChar w:fldCharType="separate"/>
      </w:r>
      <w:r w:rsidR="0022199E" w:rsidRPr="00B87CA9">
        <w:rPr>
          <w:i/>
        </w:rPr>
        <w:t xml:space="preserve">Cuadro E - </w:t>
      </w:r>
      <w:r w:rsidR="0022199E">
        <w:rPr>
          <w:i/>
          <w:noProof/>
        </w:rPr>
        <w:t>4</w:t>
      </w:r>
      <w:r>
        <w:fldChar w:fldCharType="end"/>
      </w:r>
      <w:r>
        <w:t xml:space="preserve">, columnas 5 y 6).  En el caso de los modelos de utilidad, este aumento es superior al 50% pero de igual forma apenas resulta estadísticamente significativo.  Curiosamente, las marcas registran el efecto más reseñable, pero este es negativo.  Las empresas que no estaban utilizando marcas durante el primer período exportaron de media aproximadamente un 40% menos cuando comenzaron a emplearlas. </w:t>
      </w:r>
    </w:p>
    <w:p w:rsidR="00AB0037" w:rsidRDefault="00AB0037"/>
    <w:p w:rsidR="00AB0037" w:rsidRDefault="000755C9">
      <w:r>
        <w:t>Pasamos ahora al tercer indicador de las actividades de exportación: el porcentaje de las exportaciones totales del sector al nivel de tres dígitos del CIIU.  Estas estimaciones son relativamente similares a las de las cifras de ventas de exportación en lo relativo al uso de patentes.  Las empresas que utilizaron patentes participan de media un 6% más en las exportaciones totales del sector que las que no utilizaron patentes (</w:t>
      </w:r>
      <w:r>
        <w:fldChar w:fldCharType="begin"/>
      </w:r>
      <w:r>
        <w:instrText xml:space="preserve"> REF _Ref384907602 \h </w:instrText>
      </w:r>
      <w:r>
        <w:fldChar w:fldCharType="separate"/>
      </w:r>
      <w:r w:rsidR="0022199E" w:rsidRPr="00B87CA9">
        <w:rPr>
          <w:i/>
        </w:rPr>
        <w:t xml:space="preserve">Cuadro E - </w:t>
      </w:r>
      <w:r w:rsidR="0022199E">
        <w:rPr>
          <w:i/>
          <w:noProof/>
        </w:rPr>
        <w:t>4</w:t>
      </w:r>
      <w:r>
        <w:fldChar w:fldCharType="end"/>
      </w:r>
      <w:r>
        <w:t>, columnas 7 y 8).  Virtualmente, los otros métodos de apropiación en materia de P.I. no son significativos desde el punto de vista estadístico.  Los resultados del análisis dinámico según el modelo de efectos fijos aplicado a las empresas son también muy similares a los de las cifras de ventas de exportación (</w:t>
      </w:r>
      <w:r>
        <w:fldChar w:fldCharType="begin"/>
      </w:r>
      <w:r>
        <w:instrText xml:space="preserve"> REF _Ref384907602 \h </w:instrText>
      </w:r>
      <w:r>
        <w:fldChar w:fldCharType="separate"/>
      </w:r>
      <w:r w:rsidR="0022199E" w:rsidRPr="00B87CA9">
        <w:rPr>
          <w:i/>
        </w:rPr>
        <w:t xml:space="preserve">Cuadro E - </w:t>
      </w:r>
      <w:r w:rsidR="0022199E">
        <w:rPr>
          <w:i/>
          <w:noProof/>
        </w:rPr>
        <w:t>4</w:t>
      </w:r>
      <w:r>
        <w:fldChar w:fldCharType="end"/>
      </w:r>
      <w:r>
        <w:t xml:space="preserve">, columnas 7 y 8).  Observamos una influencia positiva en el uso de </w:t>
      </w:r>
      <w:r>
        <w:lastRenderedPageBreak/>
        <w:t xml:space="preserve">las patentes y otra negativa en el uso de las marcas.  Ambas son reseñables estadísticamente, aunque la última sólo en 10%.  El significado económico de estos resultados estriba en que las empresas que no estaban utilizando patentes durante el primer período aumentaron en promedio cerca del 4% su participación en el total de las exportaciones del sector cuando comenzaron a utilizar patentes en el segundo período.  Esto significa que en promedio no solo crecen sus ventas de exportación, sino que estas lo hacen más rápido que la media del sector.  Por otro lado, observamos que el uso de marcas reduce los porcentajes de exportación en un 2,5%.  Aunque este resultado parezca anómalo, una posible explicación puede ser que estas empresas se hayan centrado en los mercados nacionales y no en las exportaciones. </w:t>
      </w:r>
    </w:p>
    <w:p w:rsidR="00AB0037" w:rsidRDefault="00AB0037"/>
    <w:p w:rsidR="00AB0037" w:rsidRDefault="00AB0037">
      <w:pPr>
        <w:sectPr w:rsidR="00AB0037">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AB0037" w:rsidRDefault="00AB0037"/>
    <w:p w:rsidR="00AB0037" w:rsidRPr="00B87CA9" w:rsidRDefault="000755C9" w:rsidP="00B87CA9">
      <w:pPr>
        <w:pStyle w:val="Caption"/>
        <w:jc w:val="center"/>
        <w:rPr>
          <w:i/>
        </w:rPr>
      </w:pPr>
      <w:bookmarkStart w:id="9" w:name="_Ref384907602"/>
      <w:r w:rsidRPr="00B87CA9">
        <w:rPr>
          <w:i/>
        </w:rPr>
        <w:t xml:space="preserve">Cuadro E - </w:t>
      </w:r>
      <w:r w:rsidRPr="00B87CA9">
        <w:rPr>
          <w:i/>
        </w:rPr>
        <w:fldChar w:fldCharType="begin"/>
      </w:r>
      <w:r w:rsidRPr="00B87CA9">
        <w:rPr>
          <w:i/>
        </w:rPr>
        <w:instrText xml:space="preserve"> SEQ Table_E_- \* ARABIC </w:instrText>
      </w:r>
      <w:r w:rsidRPr="00B87CA9">
        <w:rPr>
          <w:i/>
        </w:rPr>
        <w:fldChar w:fldCharType="separate"/>
      </w:r>
      <w:r w:rsidR="0022199E">
        <w:rPr>
          <w:i/>
          <w:noProof/>
        </w:rPr>
        <w:t>4</w:t>
      </w:r>
      <w:r w:rsidRPr="00B87CA9">
        <w:rPr>
          <w:i/>
          <w:noProof/>
        </w:rPr>
        <w:fldChar w:fldCharType="end"/>
      </w:r>
      <w:bookmarkEnd w:id="9"/>
      <w:r w:rsidRPr="00B87CA9">
        <w:rPr>
          <w:i/>
        </w:rPr>
        <w:t xml:space="preserve"> - Apropiación y exportaciones (grandes empresas)</w:t>
      </w:r>
    </w:p>
    <w:p w:rsidR="00AB0037" w:rsidRDefault="000755C9">
      <w:r>
        <w:rPr>
          <w:noProof/>
          <w:lang w:val="en-US" w:eastAsia="en-US"/>
        </w:rPr>
        <w:drawing>
          <wp:inline distT="0" distB="0" distL="0" distR="0">
            <wp:extent cx="8864600" cy="308437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4600" cy="3084373"/>
                    </a:xfrm>
                    <a:prstGeom prst="rect">
                      <a:avLst/>
                    </a:prstGeom>
                    <a:noFill/>
                    <a:ln>
                      <a:noFill/>
                    </a:ln>
                  </pic:spPr>
                </pic:pic>
              </a:graphicData>
            </a:graphic>
          </wp:inline>
        </w:drawing>
      </w:r>
    </w:p>
    <w:p w:rsidR="00AB0037" w:rsidRDefault="000755C9" w:rsidP="002A18A0">
      <w:pPr>
        <w:rPr>
          <w:i/>
          <w:sz w:val="16"/>
          <w:szCs w:val="16"/>
        </w:rPr>
      </w:pPr>
      <w:r>
        <w:rPr>
          <w:i/>
          <w:sz w:val="16"/>
          <w:szCs w:val="16"/>
        </w:rPr>
        <w:t xml:space="preserve">Notas: Los errores estándar robustos figuran entre paréntesis. *** p&lt;0,01, ** p&lt;0,05, * p&lt;0,1. La corrección de los coeficientes ficticios según </w:t>
      </w:r>
      <w:proofErr w:type="spellStart"/>
      <w:r>
        <w:rPr>
          <w:i/>
          <w:sz w:val="16"/>
          <w:szCs w:val="16"/>
        </w:rPr>
        <w:t>Halvorsen</w:t>
      </w:r>
      <w:proofErr w:type="spellEnd"/>
      <w:r>
        <w:rPr>
          <w:i/>
          <w:sz w:val="16"/>
          <w:szCs w:val="16"/>
        </w:rPr>
        <w:t xml:space="preserve"> y </w:t>
      </w:r>
      <w:proofErr w:type="spellStart"/>
      <w:r>
        <w:rPr>
          <w:i/>
          <w:sz w:val="16"/>
          <w:szCs w:val="16"/>
        </w:rPr>
        <w:t>Palmquist</w:t>
      </w:r>
      <w:proofErr w:type="spellEnd"/>
      <w:r>
        <w:rPr>
          <w:i/>
          <w:sz w:val="16"/>
          <w:szCs w:val="16"/>
        </w:rPr>
        <w:t xml:space="preserve"> (1980) se destaca con tipo itálico.</w:t>
      </w:r>
    </w:p>
    <w:p w:rsidR="00AB0037" w:rsidRDefault="00AB0037">
      <w:pPr>
        <w:jc w:val="center"/>
        <w:rPr>
          <w:i/>
          <w:sz w:val="16"/>
          <w:szCs w:val="16"/>
        </w:rPr>
      </w:pPr>
    </w:p>
    <w:p w:rsidR="00AB0037" w:rsidRDefault="00AB0037">
      <w:pPr>
        <w:jc w:val="center"/>
        <w:rPr>
          <w:i/>
          <w:sz w:val="16"/>
          <w:szCs w:val="16"/>
        </w:rPr>
        <w:sectPr w:rsidR="00AB0037">
          <w:headerReference w:type="first" r:id="rId15"/>
          <w:endnotePr>
            <w:numFmt w:val="decimal"/>
          </w:endnotePr>
          <w:pgSz w:w="16840" w:h="11907" w:orient="landscape" w:code="9"/>
          <w:pgMar w:top="1440" w:right="1440" w:bottom="1440" w:left="1440" w:header="510" w:footer="1021" w:gutter="0"/>
          <w:cols w:space="720"/>
          <w:titlePg/>
          <w:docGrid w:linePitch="299"/>
        </w:sectPr>
      </w:pPr>
    </w:p>
    <w:p w:rsidR="00AB0037" w:rsidRPr="00B87CA9" w:rsidRDefault="00B87CA9">
      <w:pPr>
        <w:pStyle w:val="Heading2"/>
        <w:ind w:left="576" w:hanging="576"/>
        <w:rPr>
          <w:i/>
        </w:rPr>
      </w:pPr>
      <w:r>
        <w:rPr>
          <w:i/>
          <w:caps w:val="0"/>
        </w:rPr>
        <w:lastRenderedPageBreak/>
        <w:t>C</w:t>
      </w:r>
      <w:r w:rsidRPr="00B87CA9">
        <w:rPr>
          <w:i/>
          <w:caps w:val="0"/>
        </w:rPr>
        <w:t>onclusiones principales</w:t>
      </w:r>
    </w:p>
    <w:p w:rsidR="00AB0037" w:rsidRDefault="00AB0037"/>
    <w:p w:rsidR="00AB0037" w:rsidRDefault="000755C9">
      <w:r>
        <w:t xml:space="preserve">En el presente informe evaluamos la relación entre distintos métodos de apropiación en materia de P.I y el rendimiento de las exportaciones de las empresas industriales brasileñas. Pese a que el Brasil se ha caracterizado históricamente por la exportación </w:t>
      </w:r>
      <w:r w:rsidR="00B87CA9">
        <w:t>de productos básicos (De </w:t>
      </w:r>
      <w:proofErr w:type="spellStart"/>
      <w:r>
        <w:t>Negri</w:t>
      </w:r>
      <w:proofErr w:type="spellEnd"/>
      <w:r>
        <w:t>, 2005), nuestros resultados descriptivos señalan que no sólo las empresas innovadoras tienden a exportar más, sino también que distintos métodos de propiedad intelectual —esto es, patentes, modelos de utilidad, diseños industriales y marcas— guardan relación con mejores resultados de exportación.  Por otro lado, también observamos que las empresas exportadoras tienen más probabilidades de utilizar métodos de apropiación en materia de P.I., aunque también suelen emplear otros métodos que no están relacionados con la P.I., como el secreto, el período de ventaja o la complejidad del diseño.  Sobre la base del análisis econométrico, obtenemos resultados concluyentes que señalan la influencia positiva del uso de las patentes en todos los indicadores de rendimiento de las exportaciones.</w:t>
      </w:r>
    </w:p>
    <w:p w:rsidR="00AB0037" w:rsidRDefault="00AB0037"/>
    <w:p w:rsidR="00AB0037" w:rsidRDefault="000755C9">
      <w:r>
        <w:t xml:space="preserve">Nos hemos basado en la información sobre el uso de la P.I. por las grandes empresas innovadoras brasileñas de la PINTEC, que era la mejor fuente en el momento en que se llevó a cabo el estudio.  No obstante, esto significa que es posible que nuestros resultados no sean extrapolables a otros grupos, como las empresas pequeñas o las que no innovan.  Estas limitaciones pueden ser superadas si se utilizan los datos del registro unitario sobre P.I. del Instituto Nacional da </w:t>
      </w:r>
      <w:proofErr w:type="spellStart"/>
      <w:r>
        <w:t>Propriedade</w:t>
      </w:r>
      <w:proofErr w:type="spellEnd"/>
      <w:r>
        <w:t xml:space="preserve"> Industrial (INPI) que forman parte de un elemento complementario del proyecto de estudio de país correspondiente al Brasil (CDIP/14/INF/6).</w:t>
      </w:r>
    </w:p>
    <w:p w:rsidR="00AB0037" w:rsidRDefault="00AB0037">
      <w:pPr>
        <w:jc w:val="right"/>
      </w:pPr>
    </w:p>
    <w:p w:rsidR="00AB0037" w:rsidRDefault="00AB0037">
      <w:pPr>
        <w:jc w:val="right"/>
      </w:pPr>
    </w:p>
    <w:p w:rsidR="00AB0037" w:rsidRDefault="00AB0037">
      <w:pPr>
        <w:jc w:val="right"/>
      </w:pPr>
    </w:p>
    <w:p w:rsidR="00AB0037" w:rsidRDefault="000755C9">
      <w:pPr>
        <w:tabs>
          <w:tab w:val="left" w:pos="5529"/>
        </w:tabs>
        <w:ind w:firstLine="5529"/>
      </w:pPr>
      <w:r>
        <w:t>[Fin del Anexo y del documento]</w:t>
      </w:r>
    </w:p>
    <w:p w:rsidR="00AB0037" w:rsidRDefault="00AB0037"/>
    <w:sectPr w:rsidR="00AB0037">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2F1" w:rsidRDefault="00B072F1">
      <w:r>
        <w:separator/>
      </w:r>
    </w:p>
  </w:endnote>
  <w:endnote w:type="continuationSeparator" w:id="0">
    <w:p w:rsidR="00B072F1" w:rsidRDefault="00B072F1">
      <w:pPr>
        <w:rPr>
          <w:sz w:val="17"/>
          <w:szCs w:val="17"/>
        </w:rPr>
      </w:pPr>
      <w:r>
        <w:rPr>
          <w:sz w:val="17"/>
          <w:szCs w:val="17"/>
        </w:rPr>
        <w:separator/>
      </w:r>
    </w:p>
    <w:p w:rsidR="00B072F1" w:rsidRDefault="00B072F1">
      <w:pPr>
        <w:spacing w:after="60"/>
        <w:rPr>
          <w:sz w:val="17"/>
          <w:szCs w:val="17"/>
        </w:rPr>
      </w:pPr>
      <w:r>
        <w:rPr>
          <w:sz w:val="17"/>
        </w:rPr>
        <w:t>[Continuación de la nota de la página anterior]</w:t>
      </w:r>
    </w:p>
  </w:endnote>
  <w:endnote w:type="continuationNotice" w:id="1">
    <w:p w:rsidR="00B072F1" w:rsidRDefault="00B072F1">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2F1" w:rsidRDefault="00B072F1">
      <w:r>
        <w:separator/>
      </w:r>
    </w:p>
  </w:footnote>
  <w:footnote w:type="continuationSeparator" w:id="0">
    <w:p w:rsidR="00B072F1" w:rsidRDefault="00B072F1">
      <w:pPr>
        <w:rPr>
          <w:sz w:val="17"/>
          <w:szCs w:val="17"/>
        </w:rPr>
      </w:pPr>
      <w:r>
        <w:rPr>
          <w:sz w:val="17"/>
          <w:szCs w:val="17"/>
        </w:rPr>
        <w:separator/>
      </w:r>
    </w:p>
    <w:p w:rsidR="00B072F1" w:rsidRDefault="00B072F1">
      <w:pPr>
        <w:spacing w:after="60"/>
        <w:rPr>
          <w:sz w:val="17"/>
          <w:szCs w:val="17"/>
        </w:rPr>
      </w:pPr>
      <w:r>
        <w:rPr>
          <w:sz w:val="17"/>
        </w:rPr>
        <w:t>[Continuación de la nota de la página anterior]</w:t>
      </w:r>
    </w:p>
  </w:footnote>
  <w:footnote w:type="continuationNotice" w:id="1">
    <w:p w:rsidR="00B072F1" w:rsidRDefault="00B072F1">
      <w:pPr>
        <w:spacing w:before="60"/>
        <w:jc w:val="right"/>
        <w:rPr>
          <w:sz w:val="17"/>
          <w:szCs w:val="17"/>
        </w:rPr>
      </w:pPr>
      <w:r>
        <w:rPr>
          <w:sz w:val="17"/>
          <w:szCs w:val="17"/>
        </w:rPr>
        <w:t>[Sigue la nota en la página siguiente]</w:t>
      </w:r>
    </w:p>
  </w:footnote>
  <w:footnote w:id="2">
    <w:p w:rsidR="00AB0037" w:rsidRDefault="000755C9">
      <w:pPr>
        <w:pStyle w:val="FootnoteText"/>
        <w:rPr>
          <w:szCs w:val="18"/>
        </w:rPr>
      </w:pPr>
      <w:r>
        <w:rPr>
          <w:rStyle w:val="FootnoteReference"/>
          <w:szCs w:val="18"/>
        </w:rPr>
        <w:footnoteRef/>
      </w:r>
      <w:r>
        <w:rPr>
          <w:szCs w:val="18"/>
        </w:rPr>
        <w:t xml:space="preserve"> En paralelo con este informe y como parte del proyecto de estudio de país correspondiente al Brasil (CDIP/14/INF/6), la Oficina de P.I. del Brasil y la OMPI han</w:t>
      </w:r>
      <w:r w:rsidR="003E2D7B">
        <w:rPr>
          <w:szCs w:val="18"/>
        </w:rPr>
        <w:t xml:space="preserve"> cr</w:t>
      </w:r>
      <w:r>
        <w:rPr>
          <w:szCs w:val="18"/>
        </w:rPr>
        <w:t>ea</w:t>
      </w:r>
      <w:r w:rsidR="003E2D7B">
        <w:rPr>
          <w:szCs w:val="18"/>
        </w:rPr>
        <w:t>do</w:t>
      </w:r>
      <w:r>
        <w:rPr>
          <w:szCs w:val="18"/>
        </w:rPr>
        <w:t xml:space="preserve"> </w:t>
      </w:r>
      <w:r w:rsidR="00E876E3" w:rsidRPr="00E876E3">
        <w:rPr>
          <w:szCs w:val="18"/>
        </w:rPr>
        <w:t>una fuente de datos de P</w:t>
      </w:r>
      <w:r w:rsidR="00E876E3">
        <w:rPr>
          <w:szCs w:val="18"/>
        </w:rPr>
        <w:t>.</w:t>
      </w:r>
      <w:r w:rsidR="00E876E3" w:rsidRPr="00E876E3">
        <w:rPr>
          <w:szCs w:val="18"/>
        </w:rPr>
        <w:t>I</w:t>
      </w:r>
      <w:r w:rsidR="00E876E3">
        <w:rPr>
          <w:szCs w:val="18"/>
        </w:rPr>
        <w:t>.</w:t>
      </w:r>
      <w:r w:rsidR="00E876E3" w:rsidRPr="00E876E3">
        <w:rPr>
          <w:szCs w:val="18"/>
        </w:rPr>
        <w:t xml:space="preserve"> para fines estadísticos</w:t>
      </w: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068171"/>
      <w:docPartObj>
        <w:docPartGallery w:val="Page Numbers (Top of Page)"/>
        <w:docPartUnique/>
      </w:docPartObj>
    </w:sdtPr>
    <w:sdtEndPr>
      <w:rPr>
        <w:noProof/>
      </w:rPr>
    </w:sdtEndPr>
    <w:sdtContent>
      <w:p w:rsidR="00AB0037" w:rsidRDefault="000755C9">
        <w:pPr>
          <w:pStyle w:val="Header"/>
          <w:jc w:val="right"/>
        </w:pPr>
        <w:r>
          <w:fldChar w:fldCharType="begin"/>
        </w:r>
        <w:r>
          <w:instrText xml:space="preserve"> PAGE   \* MERGEFORMAT </w:instrText>
        </w:r>
        <w:r>
          <w:fldChar w:fldCharType="separate"/>
        </w:r>
        <w:r w:rsidR="002A18A0">
          <w:rPr>
            <w:noProof/>
          </w:rPr>
          <w:t>1</w:t>
        </w:r>
        <w:r>
          <w:rPr>
            <w:noProof/>
          </w:rPr>
          <w:fldChar w:fldCharType="end"/>
        </w:r>
      </w:p>
    </w:sdtContent>
  </w:sdt>
  <w:p w:rsidR="00AB0037" w:rsidRDefault="00AB003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842121"/>
      <w:docPartObj>
        <w:docPartGallery w:val="Page Numbers (Top of Page)"/>
        <w:docPartUnique/>
      </w:docPartObj>
    </w:sdtPr>
    <w:sdtEndPr>
      <w:rPr>
        <w:noProof/>
      </w:rPr>
    </w:sdtEndPr>
    <w:sdtContent>
      <w:p w:rsidR="00AB0037" w:rsidRDefault="000755C9">
        <w:pPr>
          <w:pStyle w:val="Header"/>
          <w:jc w:val="right"/>
        </w:pPr>
        <w:r>
          <w:t>CDIP/14/INF/5</w:t>
        </w:r>
      </w:p>
      <w:p w:rsidR="00AB0037" w:rsidRDefault="000755C9">
        <w:pPr>
          <w:pStyle w:val="Header"/>
          <w:jc w:val="right"/>
        </w:pPr>
        <w:r>
          <w:t xml:space="preserve">Anexo, página </w:t>
        </w:r>
        <w:r>
          <w:fldChar w:fldCharType="begin"/>
        </w:r>
        <w:r>
          <w:instrText xml:space="preserve"> PAGE   \* MERGEFORMAT </w:instrText>
        </w:r>
        <w:r>
          <w:fldChar w:fldCharType="separate"/>
        </w:r>
        <w:r w:rsidR="0022199E">
          <w:rPr>
            <w:noProof/>
          </w:rPr>
          <w:t>6</w:t>
        </w:r>
        <w:r>
          <w:rPr>
            <w:noProof/>
          </w:rPr>
          <w:fldChar w:fldCharType="end"/>
        </w:r>
      </w:p>
    </w:sdtContent>
  </w:sdt>
  <w:p w:rsidR="00AB0037" w:rsidRDefault="00AB003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196373"/>
      <w:docPartObj>
        <w:docPartGallery w:val="Page Numbers (Top of Page)"/>
        <w:docPartUnique/>
      </w:docPartObj>
    </w:sdtPr>
    <w:sdtEndPr>
      <w:rPr>
        <w:noProof/>
      </w:rPr>
    </w:sdtEndPr>
    <w:sdtContent>
      <w:p w:rsidR="00AB0037" w:rsidRDefault="000755C9">
        <w:pPr>
          <w:pStyle w:val="Header"/>
          <w:jc w:val="right"/>
        </w:pPr>
        <w:r>
          <w:t>CDIP/14/INF/5</w:t>
        </w:r>
      </w:p>
      <w:p w:rsidR="00AB0037" w:rsidRDefault="000755C9">
        <w:pPr>
          <w:pStyle w:val="Header"/>
          <w:jc w:val="right"/>
        </w:pPr>
        <w:r>
          <w:t>ANEXO</w:t>
        </w:r>
      </w:p>
    </w:sdtContent>
  </w:sdt>
  <w:p w:rsidR="00AB0037" w:rsidRDefault="00AB0037">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171406"/>
      <w:docPartObj>
        <w:docPartGallery w:val="Page Numbers (Top of Page)"/>
        <w:docPartUnique/>
      </w:docPartObj>
    </w:sdtPr>
    <w:sdtEndPr>
      <w:rPr>
        <w:noProof/>
      </w:rPr>
    </w:sdtEndPr>
    <w:sdtContent>
      <w:p w:rsidR="00AB0037" w:rsidRDefault="000755C9">
        <w:pPr>
          <w:pStyle w:val="Header"/>
          <w:jc w:val="right"/>
        </w:pPr>
        <w:r>
          <w:t>CDIP/14/INF/5</w:t>
        </w:r>
      </w:p>
      <w:p w:rsidR="00AB0037" w:rsidRDefault="000755C9">
        <w:pPr>
          <w:pStyle w:val="Header"/>
          <w:jc w:val="right"/>
        </w:pPr>
        <w:r>
          <w:t xml:space="preserve">Anexo, página </w:t>
        </w:r>
        <w:r>
          <w:fldChar w:fldCharType="begin"/>
        </w:r>
        <w:r>
          <w:instrText xml:space="preserve"> PAGE   \* MERGEFORMAT </w:instrText>
        </w:r>
        <w:r>
          <w:fldChar w:fldCharType="separate"/>
        </w:r>
        <w:r w:rsidR="0022199E">
          <w:rPr>
            <w:noProof/>
          </w:rPr>
          <w:t>7</w:t>
        </w:r>
        <w:r>
          <w:rPr>
            <w:noProof/>
          </w:rPr>
          <w:fldChar w:fldCharType="end"/>
        </w:r>
      </w:p>
    </w:sdtContent>
  </w:sdt>
  <w:p w:rsidR="00AB0037" w:rsidRDefault="00AB0037">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37" w:rsidRDefault="000755C9">
    <w:pPr>
      <w:jc w:val="right"/>
    </w:pPr>
    <w:bookmarkStart w:id="10" w:name="Code2"/>
    <w:bookmarkEnd w:id="10"/>
    <w:r>
      <w:t>CDIP/14/INF/5</w:t>
    </w:r>
  </w:p>
  <w:p w:rsidR="00AB0037" w:rsidRDefault="000755C9">
    <w:pPr>
      <w:jc w:val="right"/>
    </w:pPr>
    <w:r>
      <w:t xml:space="preserve">Anexo, página </w:t>
    </w:r>
    <w:r>
      <w:fldChar w:fldCharType="begin"/>
    </w:r>
    <w:r>
      <w:instrText xml:space="preserve"> PAGE  \* MERGEFORMAT </w:instrText>
    </w:r>
    <w:r>
      <w:fldChar w:fldCharType="separate"/>
    </w:r>
    <w:r w:rsidR="002A18A0">
      <w:rPr>
        <w:noProof/>
      </w:rPr>
      <w:t>1</w:t>
    </w:r>
    <w:r>
      <w:fldChar w:fldCharType="end"/>
    </w:r>
  </w:p>
  <w:p w:rsidR="00AB0037" w:rsidRDefault="00AB0037">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37" w:rsidRDefault="000755C9">
    <w:pPr>
      <w:jc w:val="right"/>
    </w:pPr>
    <w:r>
      <w:t>CDIP/1</w:t>
    </w:r>
    <w:r w:rsidR="00B87CA9">
      <w:t>4</w:t>
    </w:r>
    <w:r>
      <w:t>/INF/5</w:t>
    </w:r>
  </w:p>
  <w:p w:rsidR="00AB0037" w:rsidRDefault="000755C9">
    <w:pPr>
      <w:jc w:val="right"/>
    </w:pPr>
    <w:r>
      <w:t xml:space="preserve">Anexo, página </w:t>
    </w:r>
    <w:r>
      <w:fldChar w:fldCharType="begin"/>
    </w:r>
    <w:r>
      <w:instrText xml:space="preserve"> PAGE  \* MERGEFORMAT </w:instrText>
    </w:r>
    <w:r>
      <w:fldChar w:fldCharType="separate"/>
    </w:r>
    <w:r w:rsidR="0022199E">
      <w:rPr>
        <w:noProof/>
      </w:rPr>
      <w:t>8</w:t>
    </w:r>
    <w:r>
      <w:fldChar w:fldCharType="end"/>
    </w:r>
  </w:p>
  <w:p w:rsidR="00AB0037" w:rsidRDefault="00AB0037">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5216E67"/>
    <w:multiLevelType w:val="hybridMultilevel"/>
    <w:tmpl w:val="1562B6FA"/>
    <w:lvl w:ilvl="0" w:tplc="774E5A06">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nsid w:val="05250E87"/>
    <w:multiLevelType w:val="hybridMultilevel"/>
    <w:tmpl w:val="12EA1BB4"/>
    <w:lvl w:ilvl="0" w:tplc="04160001">
      <w:start w:val="1"/>
      <w:numFmt w:val="bullet"/>
      <w:lvlText w:val=""/>
      <w:lvlJc w:val="left"/>
      <w:pPr>
        <w:ind w:left="1866" w:hanging="360"/>
      </w:pPr>
      <w:rPr>
        <w:rFonts w:ascii="Symbol" w:hAnsi="Symbol" w:hint="default"/>
      </w:rPr>
    </w:lvl>
    <w:lvl w:ilvl="1" w:tplc="04160003" w:tentative="1">
      <w:start w:val="1"/>
      <w:numFmt w:val="bullet"/>
      <w:lvlText w:val="o"/>
      <w:lvlJc w:val="left"/>
      <w:pPr>
        <w:ind w:left="2586" w:hanging="360"/>
      </w:pPr>
      <w:rPr>
        <w:rFonts w:ascii="Courier New" w:hAnsi="Courier New" w:hint="default"/>
      </w:rPr>
    </w:lvl>
    <w:lvl w:ilvl="2" w:tplc="04160005" w:tentative="1">
      <w:start w:val="1"/>
      <w:numFmt w:val="bullet"/>
      <w:lvlText w:val=""/>
      <w:lvlJc w:val="left"/>
      <w:pPr>
        <w:ind w:left="3306" w:hanging="360"/>
      </w:pPr>
      <w:rPr>
        <w:rFonts w:ascii="Wingdings" w:hAnsi="Wingdings" w:hint="default"/>
      </w:rPr>
    </w:lvl>
    <w:lvl w:ilvl="3" w:tplc="04160001" w:tentative="1">
      <w:start w:val="1"/>
      <w:numFmt w:val="bullet"/>
      <w:lvlText w:val=""/>
      <w:lvlJc w:val="left"/>
      <w:pPr>
        <w:ind w:left="4026" w:hanging="360"/>
      </w:pPr>
      <w:rPr>
        <w:rFonts w:ascii="Symbol" w:hAnsi="Symbol" w:hint="default"/>
      </w:rPr>
    </w:lvl>
    <w:lvl w:ilvl="4" w:tplc="04160003" w:tentative="1">
      <w:start w:val="1"/>
      <w:numFmt w:val="bullet"/>
      <w:lvlText w:val="o"/>
      <w:lvlJc w:val="left"/>
      <w:pPr>
        <w:ind w:left="4746" w:hanging="360"/>
      </w:pPr>
      <w:rPr>
        <w:rFonts w:ascii="Courier New" w:hAnsi="Courier New" w:hint="default"/>
      </w:rPr>
    </w:lvl>
    <w:lvl w:ilvl="5" w:tplc="04160005" w:tentative="1">
      <w:start w:val="1"/>
      <w:numFmt w:val="bullet"/>
      <w:lvlText w:val=""/>
      <w:lvlJc w:val="left"/>
      <w:pPr>
        <w:ind w:left="5466" w:hanging="360"/>
      </w:pPr>
      <w:rPr>
        <w:rFonts w:ascii="Wingdings" w:hAnsi="Wingdings" w:hint="default"/>
      </w:rPr>
    </w:lvl>
    <w:lvl w:ilvl="6" w:tplc="04160001" w:tentative="1">
      <w:start w:val="1"/>
      <w:numFmt w:val="bullet"/>
      <w:lvlText w:val=""/>
      <w:lvlJc w:val="left"/>
      <w:pPr>
        <w:ind w:left="6186" w:hanging="360"/>
      </w:pPr>
      <w:rPr>
        <w:rFonts w:ascii="Symbol" w:hAnsi="Symbol" w:hint="default"/>
      </w:rPr>
    </w:lvl>
    <w:lvl w:ilvl="7" w:tplc="04160003" w:tentative="1">
      <w:start w:val="1"/>
      <w:numFmt w:val="bullet"/>
      <w:lvlText w:val="o"/>
      <w:lvlJc w:val="left"/>
      <w:pPr>
        <w:ind w:left="6906" w:hanging="360"/>
      </w:pPr>
      <w:rPr>
        <w:rFonts w:ascii="Courier New" w:hAnsi="Courier New" w:hint="default"/>
      </w:rPr>
    </w:lvl>
    <w:lvl w:ilvl="8" w:tplc="04160005" w:tentative="1">
      <w:start w:val="1"/>
      <w:numFmt w:val="bullet"/>
      <w:lvlText w:val=""/>
      <w:lvlJc w:val="left"/>
      <w:pPr>
        <w:ind w:left="7626"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161100"/>
    <w:multiLevelType w:val="hybridMultilevel"/>
    <w:tmpl w:val="55CCFF0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B1E0F43"/>
    <w:multiLevelType w:val="multilevel"/>
    <w:tmpl w:val="2604E1F2"/>
    <w:lvl w:ilvl="0">
      <w:start w:val="1"/>
      <w:numFmt w:val="decimal"/>
      <w:lvlText w:val="%1."/>
      <w:lvlJc w:val="left"/>
      <w:pPr>
        <w:ind w:left="502"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EC478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5572240"/>
    <w:multiLevelType w:val="hybridMultilevel"/>
    <w:tmpl w:val="2F203AE0"/>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0">
    <w:nsid w:val="2602631A"/>
    <w:multiLevelType w:val="hybridMultilevel"/>
    <w:tmpl w:val="9D289984"/>
    <w:lvl w:ilvl="0" w:tplc="0DA6D486">
      <w:start w:val="5"/>
      <w:numFmt w:val="decimal"/>
      <w:lvlText w:val="%1."/>
      <w:lvlJc w:val="left"/>
      <w:pPr>
        <w:tabs>
          <w:tab w:val="num" w:pos="502"/>
        </w:tabs>
        <w:ind w:left="502" w:hanging="360"/>
      </w:pPr>
      <w:rPr>
        <w:rFonts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11">
    <w:nsid w:val="274718B0"/>
    <w:multiLevelType w:val="hybridMultilevel"/>
    <w:tmpl w:val="B4AA66DA"/>
    <w:lvl w:ilvl="0" w:tplc="04160001">
      <w:start w:val="1"/>
      <w:numFmt w:val="bullet"/>
      <w:pStyle w:val="TOCHeading"/>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2">
    <w:nsid w:val="287705E9"/>
    <w:multiLevelType w:val="hybridMultilevel"/>
    <w:tmpl w:val="E850FC08"/>
    <w:lvl w:ilvl="0" w:tplc="00A41020">
      <w:start w:val="1"/>
      <w:numFmt w:val="lowerLetter"/>
      <w:lvlText w:val="%1)"/>
      <w:lvlJc w:val="left"/>
      <w:pPr>
        <w:ind w:left="786" w:hanging="360"/>
      </w:pPr>
      <w:rPr>
        <w:rFonts w:cs="Times New Roman" w:hint="default"/>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13">
    <w:nsid w:val="29420D79"/>
    <w:multiLevelType w:val="hybridMultilevel"/>
    <w:tmpl w:val="F79A802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2B1165A9"/>
    <w:multiLevelType w:val="multilevel"/>
    <w:tmpl w:val="BFEAED5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5">
    <w:nsid w:val="333241BF"/>
    <w:multiLevelType w:val="hybridMultilevel"/>
    <w:tmpl w:val="F56269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3D939A4"/>
    <w:multiLevelType w:val="hybridMultilevel"/>
    <w:tmpl w:val="1C822708"/>
    <w:lvl w:ilvl="0" w:tplc="D00E63D4">
      <w:start w:val="1"/>
      <w:numFmt w:val="decimal"/>
      <w:lvlText w:val="%1."/>
      <w:lvlJc w:val="left"/>
      <w:pPr>
        <w:ind w:left="930" w:hanging="57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F87538"/>
    <w:multiLevelType w:val="hybridMultilevel"/>
    <w:tmpl w:val="F4783CFC"/>
    <w:lvl w:ilvl="0" w:tplc="BB0C6E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76595"/>
    <w:multiLevelType w:val="hybridMultilevel"/>
    <w:tmpl w:val="C92AD89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AD872A0"/>
    <w:multiLevelType w:val="hybridMultilevel"/>
    <w:tmpl w:val="527CC1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5D2B4A"/>
    <w:multiLevelType w:val="hybridMultilevel"/>
    <w:tmpl w:val="497C9568"/>
    <w:lvl w:ilvl="0" w:tplc="D1703C8C">
      <w:start w:val="3"/>
      <w:numFmt w:val="bullet"/>
      <w:lvlText w:val="-"/>
      <w:lvlJc w:val="left"/>
      <w:pPr>
        <w:ind w:left="1068" w:hanging="360"/>
      </w:pPr>
      <w:rPr>
        <w:rFonts w:ascii="Verdana" w:eastAsia="Times New Roman" w:hAnsi="Verdana"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nsid w:val="631E2F44"/>
    <w:multiLevelType w:val="multilevel"/>
    <w:tmpl w:val="F66AC3F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24">
    <w:nsid w:val="63A877EE"/>
    <w:multiLevelType w:val="hybridMultilevel"/>
    <w:tmpl w:val="80301E9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5">
    <w:nsid w:val="6AFE6AC3"/>
    <w:multiLevelType w:val="hybridMultilevel"/>
    <w:tmpl w:val="5964E1BA"/>
    <w:lvl w:ilvl="0" w:tplc="ABD6DAA4">
      <w:start w:val="1"/>
      <w:numFmt w:val="decimal"/>
      <w:lvlText w:val="%1)"/>
      <w:lvlJc w:val="left"/>
      <w:pPr>
        <w:ind w:left="786" w:hanging="360"/>
      </w:pPr>
      <w:rPr>
        <w:rFonts w:cs="Times New Roman" w:hint="default"/>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26">
    <w:nsid w:val="6CAB3CDF"/>
    <w:multiLevelType w:val="hybridMultilevel"/>
    <w:tmpl w:val="C942A78A"/>
    <w:lvl w:ilvl="0" w:tplc="432A27BC">
      <w:start w:val="4"/>
      <w:numFmt w:val="decimal"/>
      <w:lvlText w:val="%1."/>
      <w:lvlJc w:val="left"/>
      <w:pPr>
        <w:tabs>
          <w:tab w:val="num" w:pos="502"/>
        </w:tabs>
        <w:ind w:left="502" w:hanging="360"/>
      </w:pPr>
      <w:rPr>
        <w:rFonts w:hint="default"/>
        <w:b/>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7">
    <w:nsid w:val="729F0219"/>
    <w:multiLevelType w:val="hybridMultilevel"/>
    <w:tmpl w:val="4F8662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0"/>
  </w:num>
  <w:num w:numId="4">
    <w:abstractNumId w:val="21"/>
  </w:num>
  <w:num w:numId="5">
    <w:abstractNumId w:val="3"/>
  </w:num>
  <w:num w:numId="6">
    <w:abstractNumId w:val="7"/>
  </w:num>
  <w:num w:numId="7">
    <w:abstractNumId w:val="8"/>
  </w:num>
  <w:num w:numId="8">
    <w:abstractNumId w:val="6"/>
  </w:num>
  <w:num w:numId="9">
    <w:abstractNumId w:val="12"/>
  </w:num>
  <w:num w:numId="10">
    <w:abstractNumId w:val="22"/>
  </w:num>
  <w:num w:numId="11">
    <w:abstractNumId w:val="9"/>
  </w:num>
  <w:num w:numId="12">
    <w:abstractNumId w:val="11"/>
  </w:num>
  <w:num w:numId="13">
    <w:abstractNumId w:val="2"/>
  </w:num>
  <w:num w:numId="14">
    <w:abstractNumId w:val="1"/>
  </w:num>
  <w:num w:numId="15">
    <w:abstractNumId w:val="25"/>
  </w:num>
  <w:num w:numId="16">
    <w:abstractNumId w:val="24"/>
  </w:num>
  <w:num w:numId="17">
    <w:abstractNumId w:val="13"/>
  </w:num>
  <w:num w:numId="18">
    <w:abstractNumId w:val="4"/>
  </w:num>
  <w:num w:numId="19">
    <w:abstractNumId w:val="18"/>
  </w:num>
  <w:num w:numId="20">
    <w:abstractNumId w:val="20"/>
  </w:num>
  <w:num w:numId="21">
    <w:abstractNumId w:val="27"/>
  </w:num>
  <w:num w:numId="22">
    <w:abstractNumId w:val="15"/>
  </w:num>
  <w:num w:numId="23">
    <w:abstractNumId w:val="26"/>
  </w:num>
  <w:num w:numId="24">
    <w:abstractNumId w:val="23"/>
  </w:num>
  <w:num w:numId="25">
    <w:abstractNumId w:val="14"/>
  </w:num>
  <w:num w:numId="26">
    <w:abstractNumId w:val="10"/>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037"/>
    <w:rsid w:val="000755C9"/>
    <w:rsid w:val="00117F10"/>
    <w:rsid w:val="0022199E"/>
    <w:rsid w:val="002A18A0"/>
    <w:rsid w:val="003E2D7B"/>
    <w:rsid w:val="0068309D"/>
    <w:rsid w:val="00AB0037"/>
    <w:rsid w:val="00B072F1"/>
    <w:rsid w:val="00B87CA9"/>
    <w:rsid w:val="00E8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s-ES" w:eastAsia="zh-CN"/>
    </w:rPr>
  </w:style>
  <w:style w:type="paragraph" w:styleId="Heading1">
    <w:name w:val="heading 1"/>
    <w:basedOn w:val="Normal"/>
    <w:next w:val="Normal"/>
    <w:link w:val="Heading1Char"/>
    <w:uiPriority w:val="9"/>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link w:val="Heading4Char"/>
    <w:qFormat/>
    <w:pPr>
      <w:keepNext/>
      <w:spacing w:before="240" w:after="60"/>
      <w:outlineLvl w:val="3"/>
    </w:pPr>
    <w:rPr>
      <w:bCs/>
      <w:i/>
      <w:szCs w:val="28"/>
    </w:rPr>
  </w:style>
  <w:style w:type="paragraph" w:styleId="Heading5">
    <w:name w:val="heading 5"/>
    <w:basedOn w:val="Normal"/>
    <w:next w:val="Normal"/>
    <w:link w:val="Heading5Char"/>
    <w:pPr>
      <w:spacing w:before="240" w:after="60"/>
      <w:ind w:left="1008" w:hanging="1008"/>
      <w:outlineLvl w:val="4"/>
    </w:pPr>
    <w:rPr>
      <w:rFonts w:eastAsia="Times New Roman"/>
      <w:b/>
      <w:bCs/>
      <w:i/>
      <w:iCs/>
      <w:sz w:val="26"/>
      <w:szCs w:val="26"/>
      <w:lang w:val="en-US" w:eastAsia="en-US"/>
    </w:rPr>
  </w:style>
  <w:style w:type="paragraph" w:styleId="Heading6">
    <w:name w:val="heading 6"/>
    <w:basedOn w:val="Normal"/>
    <w:next w:val="Normal"/>
    <w:link w:val="Heading6Char"/>
    <w:pPr>
      <w:spacing w:before="240" w:after="60"/>
      <w:ind w:left="1152" w:hanging="1152"/>
      <w:outlineLvl w:val="5"/>
    </w:pPr>
    <w:rPr>
      <w:rFonts w:eastAsia="Times New Roman"/>
      <w:b/>
      <w:bCs/>
      <w:szCs w:val="22"/>
      <w:lang w:val="en-US" w:eastAsia="en-US"/>
    </w:rPr>
  </w:style>
  <w:style w:type="paragraph" w:styleId="Heading7">
    <w:name w:val="heading 7"/>
    <w:basedOn w:val="Normal"/>
    <w:next w:val="Normal"/>
    <w:link w:val="Heading7Char"/>
    <w:pPr>
      <w:spacing w:before="240" w:after="60"/>
      <w:ind w:left="1296" w:hanging="1296"/>
      <w:outlineLvl w:val="6"/>
    </w:pPr>
    <w:rPr>
      <w:rFonts w:eastAsia="Times New Roman"/>
      <w:szCs w:val="24"/>
      <w:lang w:val="en-US" w:eastAsia="en-US"/>
    </w:rPr>
  </w:style>
  <w:style w:type="paragraph" w:styleId="Heading8">
    <w:name w:val="heading 8"/>
    <w:basedOn w:val="Normal"/>
    <w:next w:val="Normal"/>
    <w:link w:val="Heading8Char"/>
    <w:pPr>
      <w:spacing w:before="240" w:after="60"/>
      <w:ind w:left="1440" w:hanging="1440"/>
      <w:outlineLvl w:val="7"/>
    </w:pPr>
    <w:rPr>
      <w:rFonts w:eastAsia="Times New Roman"/>
      <w:i/>
      <w:iCs/>
      <w:szCs w:val="24"/>
      <w:lang w:val="en-US" w:eastAsia="en-US"/>
    </w:rPr>
  </w:style>
  <w:style w:type="paragraph" w:styleId="Heading9">
    <w:name w:val="heading 9"/>
    <w:basedOn w:val="Normal"/>
    <w:next w:val="Normal"/>
    <w:link w:val="Heading9Char"/>
    <w:pPr>
      <w:spacing w:before="240" w:after="60"/>
      <w:ind w:left="1584" w:hanging="1584"/>
      <w:outlineLvl w:val="8"/>
    </w:pPr>
    <w:rPr>
      <w:rFonts w:eastAsia="Times New Roman"/>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20"/>
    </w:pPr>
  </w:style>
  <w:style w:type="paragraph" w:styleId="Caption">
    <w:name w:val="caption"/>
    <w:basedOn w:val="Normal"/>
    <w:next w:val="Normal"/>
    <w:uiPriority w:val="35"/>
    <w:qFormat/>
    <w:rPr>
      <w:b/>
      <w:bCs/>
      <w:sz w:val="18"/>
    </w:rPr>
  </w:style>
  <w:style w:type="paragraph" w:styleId="CommentText">
    <w:name w:val="annotation text"/>
    <w:basedOn w:val="Normal"/>
    <w:link w:val="CommentTextChar1"/>
    <w:uiPriority w:val="99"/>
    <w:semiHidden/>
    <w:rPr>
      <w:sz w:val="18"/>
    </w:rPr>
  </w:style>
  <w:style w:type="paragraph" w:styleId="EndnoteText">
    <w:name w:val="endnote text"/>
    <w:basedOn w:val="Normal"/>
    <w:link w:val="EndnoteTextChar"/>
    <w:semiHidden/>
    <w:rPr>
      <w:sz w:val="18"/>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uiPriority w:val="99"/>
    <w:rPr>
      <w:sz w:val="18"/>
    </w:rPr>
  </w:style>
  <w:style w:type="paragraph" w:customStyle="1" w:styleId="Endofdocument-Annex">
    <w:name w:val="[End of document - Annex]"/>
    <w:basedOn w:val="Normal"/>
    <w:pPr>
      <w:ind w:left="5534"/>
    </w:pPr>
    <w:rPr>
      <w:lang w:val="en-US"/>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val="es-ES" w:eastAsia="zh-CN"/>
    </w:rPr>
  </w:style>
  <w:style w:type="character" w:customStyle="1" w:styleId="Heading5Char">
    <w:name w:val="Heading 5 Char"/>
    <w:basedOn w:val="DefaultParagraphFont"/>
    <w:link w:val="Heading5"/>
    <w:rPr>
      <w:rFonts w:ascii="Arial" w:hAnsi="Arial" w:cs="Arial"/>
      <w:b/>
      <w:bCs/>
      <w:i/>
      <w:iCs/>
      <w:sz w:val="26"/>
      <w:szCs w:val="26"/>
    </w:rPr>
  </w:style>
  <w:style w:type="character" w:customStyle="1" w:styleId="Heading6Char">
    <w:name w:val="Heading 6 Char"/>
    <w:basedOn w:val="DefaultParagraphFont"/>
    <w:link w:val="Heading6"/>
    <w:rPr>
      <w:rFonts w:ascii="Arial" w:hAnsi="Arial" w:cs="Arial"/>
      <w:b/>
      <w:bCs/>
      <w:sz w:val="22"/>
      <w:szCs w:val="22"/>
    </w:rPr>
  </w:style>
  <w:style w:type="character" w:customStyle="1" w:styleId="Heading7Char">
    <w:name w:val="Heading 7 Char"/>
    <w:basedOn w:val="DefaultParagraphFont"/>
    <w:link w:val="Heading7"/>
    <w:rPr>
      <w:rFonts w:ascii="Arial" w:hAnsi="Arial" w:cs="Arial"/>
      <w:sz w:val="22"/>
      <w:szCs w:val="24"/>
    </w:rPr>
  </w:style>
  <w:style w:type="character" w:customStyle="1" w:styleId="Heading8Char">
    <w:name w:val="Heading 8 Char"/>
    <w:basedOn w:val="DefaultParagraphFont"/>
    <w:link w:val="Heading8"/>
    <w:rPr>
      <w:rFonts w:ascii="Arial" w:hAnsi="Arial" w:cs="Arial"/>
      <w:i/>
      <w:iCs/>
      <w:sz w:val="22"/>
      <w:szCs w:val="24"/>
    </w:rPr>
  </w:style>
  <w:style w:type="character" w:customStyle="1" w:styleId="Heading9Char">
    <w:name w:val="Heading 9 Char"/>
    <w:basedOn w:val="DefaultParagraphFont"/>
    <w:link w:val="Heading9"/>
    <w:rPr>
      <w:rFonts w:ascii="Arial" w:hAnsi="Arial" w:cs="Arial"/>
      <w:sz w:val="22"/>
      <w:szCs w:val="22"/>
    </w:rPr>
  </w:style>
  <w:style w:type="character" w:customStyle="1" w:styleId="Heading1Char">
    <w:name w:val="Heading 1 Char"/>
    <w:basedOn w:val="DefaultParagraphFont"/>
    <w:link w:val="Heading1"/>
    <w:uiPriority w:val="9"/>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Pr>
      <w:rFonts w:ascii="Arial" w:eastAsia="SimSun" w:hAnsi="Arial" w:cs="Arial"/>
      <w:bCs/>
      <w:i/>
      <w:sz w:val="22"/>
      <w:szCs w:val="28"/>
      <w:lang w:val="es-ES" w:eastAsia="zh-CN"/>
    </w:rPr>
  </w:style>
  <w:style w:type="character" w:customStyle="1" w:styleId="BodyTextChar">
    <w:name w:val="Body Text Char"/>
    <w:basedOn w:val="DefaultParagraphFont"/>
    <w:link w:val="BodyText"/>
    <w:rPr>
      <w:rFonts w:ascii="Arial" w:eastAsia="SimSun" w:hAnsi="Arial" w:cs="Arial"/>
      <w:sz w:val="22"/>
      <w:lang w:val="es-ES" w:eastAsia="zh-CN"/>
    </w:rPr>
  </w:style>
  <w:style w:type="character" w:customStyle="1" w:styleId="CommentTextChar">
    <w:name w:val="Comment Text Char"/>
    <w:basedOn w:val="DefaultParagraphFont"/>
    <w:uiPriority w:val="99"/>
    <w:semiHidden/>
    <w:rPr>
      <w:rFonts w:ascii="Arial" w:eastAsia="SimSun" w:hAnsi="Arial" w:cs="Arial"/>
      <w:sz w:val="20"/>
      <w:szCs w:val="20"/>
      <w:lang w:eastAsia="zh-CN"/>
    </w:rPr>
  </w:style>
  <w:style w:type="character" w:customStyle="1" w:styleId="EndnoteTextChar">
    <w:name w:val="Endnote Text Char"/>
    <w:basedOn w:val="DefaultParagraphFont"/>
    <w:link w:val="EndnoteText"/>
    <w:semiHidden/>
    <w:rPr>
      <w:rFonts w:ascii="Arial" w:eastAsia="SimSun" w:hAnsi="Arial" w:cs="Arial"/>
      <w:sz w:val="18"/>
      <w:lang w:val="es-ES" w:eastAsia="zh-CN"/>
    </w:rPr>
  </w:style>
  <w:style w:type="character" w:customStyle="1" w:styleId="FooterChar">
    <w:name w:val="Footer Char"/>
    <w:basedOn w:val="DefaultParagraphFont"/>
    <w:link w:val="Footer"/>
    <w:uiPriority w:val="99"/>
    <w:rPr>
      <w:rFonts w:ascii="Arial" w:eastAsia="SimSun" w:hAnsi="Arial" w:cs="Arial"/>
      <w:sz w:val="22"/>
      <w:lang w:val="es-ES" w:eastAsia="zh-CN"/>
    </w:rPr>
  </w:style>
  <w:style w:type="character" w:customStyle="1" w:styleId="FootnoteTextChar">
    <w:name w:val="Footnote Text Char"/>
    <w:link w:val="FootnoteText"/>
    <w:uiPriority w:val="99"/>
    <w:rPr>
      <w:rFonts w:ascii="Arial" w:eastAsia="SimSun" w:hAnsi="Arial" w:cs="Arial"/>
      <w:sz w:val="18"/>
      <w:lang w:val="es-ES" w:eastAsia="zh-CN"/>
    </w:rPr>
  </w:style>
  <w:style w:type="character" w:customStyle="1" w:styleId="HeaderChar">
    <w:name w:val="Header Char"/>
    <w:basedOn w:val="DefaultParagraphFont"/>
    <w:link w:val="Header"/>
    <w:uiPriority w:val="99"/>
    <w:rPr>
      <w:rFonts w:ascii="Arial" w:eastAsia="SimSun" w:hAnsi="Arial" w:cs="Arial"/>
      <w:sz w:val="22"/>
      <w:lang w:val="es-ES" w:eastAsia="zh-CN"/>
    </w:rPr>
  </w:style>
  <w:style w:type="character" w:customStyle="1" w:styleId="SalutationChar">
    <w:name w:val="Salutation Char"/>
    <w:basedOn w:val="DefaultParagraphFont"/>
    <w:link w:val="Salutation"/>
    <w:semiHidden/>
    <w:rPr>
      <w:rFonts w:ascii="Arial" w:eastAsia="SimSun" w:hAnsi="Arial" w:cs="Arial"/>
      <w:sz w:val="22"/>
      <w:lang w:val="es-ES" w:eastAsia="zh-CN"/>
    </w:rPr>
  </w:style>
  <w:style w:type="character" w:customStyle="1" w:styleId="SignatureChar">
    <w:name w:val="Signature Char"/>
    <w:basedOn w:val="DefaultParagraphFont"/>
    <w:link w:val="Signature"/>
    <w:semiHidden/>
    <w:rPr>
      <w:rFonts w:ascii="Arial" w:eastAsia="SimSun" w:hAnsi="Arial" w:cs="Arial"/>
      <w:sz w:val="22"/>
      <w:lang w:val="es-ES" w:eastAsia="zh-CN"/>
    </w:rPr>
  </w:style>
  <w:style w:type="character" w:styleId="Hyperlink">
    <w:name w:val="Hyperlink"/>
    <w:uiPriority w:val="99"/>
    <w:unhideWhenUsed/>
    <w:rPr>
      <w:color w:val="0000FF"/>
      <w:u w:val="single"/>
    </w:rPr>
  </w:style>
  <w:style w:type="paragraph" w:styleId="NoSpacing">
    <w:name w:val="No Spacing"/>
    <w:uiPriority w:val="1"/>
    <w:qFormat/>
    <w:rPr>
      <w:rFonts w:ascii="Calibri" w:eastAsia="Calibri" w:hAnsi="Calibri"/>
      <w:sz w:val="22"/>
      <w:szCs w:val="22"/>
    </w:rPr>
  </w:style>
  <w:style w:type="paragraph" w:styleId="ListParagraph">
    <w:name w:val="List Paragraph"/>
    <w:basedOn w:val="Normal"/>
    <w:uiPriority w:val="99"/>
    <w:qFormat/>
    <w:pPr>
      <w:ind w:left="720"/>
      <w:contextualSpacing/>
    </w:pPr>
    <w:rPr>
      <w:rFonts w:eastAsia="Calibri" w:cs="Times New Roman"/>
      <w:szCs w:val="22"/>
      <w:lang w:val="en-US" w:eastAsia="en-US"/>
    </w:rPr>
  </w:style>
  <w:style w:type="table" w:customStyle="1" w:styleId="LightList-Accent11">
    <w:name w:val="Light List - Accent 11"/>
    <w:basedOn w:val="TableNormal"/>
    <w:uiPriority w:val="61"/>
    <w:rPr>
      <w:rFonts w:ascii="Calibri" w:eastAsia="Calibri" w:hAnsi="Calibri"/>
      <w:sz w:val="22"/>
      <w:szCs w:val="22"/>
      <w:lang w:val="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Pr>
      <w:rFonts w:ascii="Calibri" w:eastAsia="Calibri" w:hAnsi="Calibri"/>
      <w:sz w:val="22"/>
      <w:szCs w:val="22"/>
      <w:lang w:val="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2">
    <w:name w:val="Light List Accent 2"/>
    <w:basedOn w:val="TableNormal"/>
    <w:uiPriority w:val="61"/>
    <w:rPr>
      <w:rFonts w:ascii="Calibri" w:eastAsia="Calibri" w:hAnsi="Calibri"/>
      <w:sz w:val="22"/>
      <w:szCs w:val="22"/>
      <w:lang w:val="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5">
    <w:name w:val="Light List Accent 5"/>
    <w:basedOn w:val="TableNormal"/>
    <w:uiPriority w:val="61"/>
    <w:rPr>
      <w:rFonts w:ascii="Calibri" w:eastAsia="Calibri" w:hAnsi="Calibri"/>
      <w:sz w:val="22"/>
      <w:szCs w:val="22"/>
      <w:lang w:val="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1">
    <w:name w:val="Light Shading1"/>
    <w:basedOn w:val="TableNormal"/>
    <w:uiPriority w:val="60"/>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Pr>
      <w:rFonts w:ascii="Arial" w:hAnsi="Arial"/>
      <w:vertAlign w:val="superscript"/>
    </w:rPr>
  </w:style>
  <w:style w:type="character" w:customStyle="1" w:styleId="StyleBold">
    <w:name w:val="Style Bold"/>
    <w:rPr>
      <w:b/>
      <w:b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val="en-US" w:eastAsia="en-US"/>
    </w:rPr>
  </w:style>
  <w:style w:type="paragraph" w:styleId="TOCHeading">
    <w:name w:val="TOC Heading"/>
    <w:basedOn w:val="Heading1"/>
    <w:next w:val="Normal"/>
    <w:uiPriority w:val="39"/>
    <w:semiHidden/>
    <w:unhideWhenUsed/>
    <w:qFormat/>
    <w:pPr>
      <w:keepLines/>
      <w:numPr>
        <w:numId w:val="12"/>
      </w:numPr>
      <w:spacing w:before="480" w:after="0" w:line="276" w:lineRule="auto"/>
      <w:outlineLvl w:val="9"/>
    </w:pPr>
    <w:rPr>
      <w:rFonts w:asciiTheme="majorHAnsi" w:eastAsiaTheme="majorEastAsia" w:hAnsiTheme="majorHAnsi" w:cstheme="majorBidi"/>
      <w:i/>
      <w:color w:val="365F91" w:themeColor="accent1" w:themeShade="BF"/>
      <w:kern w:val="0"/>
      <w:sz w:val="28"/>
      <w:szCs w:val="28"/>
      <w:lang w:val="en-US" w:eastAsia="ja-JP"/>
    </w:rPr>
  </w:style>
  <w:style w:type="paragraph" w:styleId="TOC1">
    <w:name w:val="toc 1"/>
    <w:basedOn w:val="Normal"/>
    <w:next w:val="Normal"/>
    <w:autoRedefine/>
    <w:uiPriority w:val="39"/>
    <w:unhideWhenUsed/>
    <w:pPr>
      <w:spacing w:after="100" w:line="276" w:lineRule="auto"/>
    </w:pPr>
    <w:rPr>
      <w:rFonts w:ascii="Calibri" w:eastAsia="Calibri" w:hAnsi="Calibri" w:cs="Times New Roman"/>
      <w:szCs w:val="22"/>
      <w:lang w:val="en-US" w:eastAsia="en-US"/>
    </w:rPr>
  </w:style>
  <w:style w:type="paragraph" w:styleId="TOC3">
    <w:name w:val="toc 3"/>
    <w:basedOn w:val="Normal"/>
    <w:next w:val="Normal"/>
    <w:autoRedefine/>
    <w:uiPriority w:val="39"/>
    <w:unhideWhenUsed/>
    <w:pPr>
      <w:spacing w:after="100" w:line="276" w:lineRule="auto"/>
      <w:ind w:left="440"/>
    </w:pPr>
    <w:rPr>
      <w:rFonts w:ascii="Calibri" w:eastAsia="Calibri" w:hAnsi="Calibri" w:cs="Times New Roman"/>
      <w:szCs w:val="22"/>
      <w:lang w:val="en-US" w:eastAsia="en-US"/>
    </w:rPr>
  </w:style>
  <w:style w:type="paragraph" w:styleId="DocumentMap">
    <w:name w:val="Document Map"/>
    <w:basedOn w:val="Normal"/>
    <w:link w:val="DocumentMapChar"/>
    <w:uiPriority w:val="99"/>
    <w:unhideWhenUsed/>
    <w:rPr>
      <w:rFonts w:ascii="Tahoma" w:eastAsia="Calibri" w:hAnsi="Tahoma" w:cs="Tahoma"/>
      <w:sz w:val="16"/>
      <w:szCs w:val="16"/>
      <w:lang w:val="en-US" w:eastAsia="en-US"/>
    </w:rPr>
  </w:style>
  <w:style w:type="character" w:customStyle="1" w:styleId="DocumentMapChar">
    <w:name w:val="Document Map Char"/>
    <w:basedOn w:val="DefaultParagraphFont"/>
    <w:link w:val="DocumentMap"/>
    <w:uiPriority w:val="99"/>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unhideWhenUsed/>
    <w:pPr>
      <w:spacing w:after="200"/>
    </w:pPr>
    <w:rPr>
      <w:rFonts w:ascii="Calibri" w:eastAsia="Calibri" w:hAnsi="Calibri" w:cs="Times New Roman"/>
      <w:b/>
      <w:bCs/>
      <w:sz w:val="20"/>
      <w:szCs w:val="24"/>
      <w:lang w:val="en-US" w:eastAsia="en-US"/>
    </w:rPr>
  </w:style>
  <w:style w:type="character" w:customStyle="1" w:styleId="CommentTextChar1">
    <w:name w:val="Comment Text Char1"/>
    <w:basedOn w:val="DefaultParagraphFont"/>
    <w:link w:val="CommentText"/>
    <w:uiPriority w:val="99"/>
    <w:semiHidden/>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Pr>
      <w:rFonts w:ascii="Calibri" w:eastAsia="Calibri" w:hAnsi="Calibri" w:cs="Arial"/>
      <w:b/>
      <w:bCs/>
      <w:sz w:val="18"/>
      <w:szCs w:val="24"/>
      <w:lang w:val="es-ES" w:eastAsia="zh-CN"/>
    </w:rPr>
  </w:style>
  <w:style w:type="paragraph" w:styleId="TOC2">
    <w:name w:val="toc 2"/>
    <w:basedOn w:val="Normal"/>
    <w:next w:val="Normal"/>
    <w:autoRedefine/>
    <w:uiPriority w:val="39"/>
    <w:unhideWhenUsed/>
    <w:pPr>
      <w:spacing w:after="100" w:line="276" w:lineRule="auto"/>
      <w:ind w:left="220"/>
    </w:pPr>
    <w:rPr>
      <w:rFonts w:ascii="Calibri" w:eastAsia="Calibri" w:hAnsi="Calibri" w:cs="Times New Roman"/>
      <w:szCs w:val="22"/>
      <w:lang w:val="en-US" w:eastAsia="en-US"/>
    </w:rPr>
  </w:style>
  <w:style w:type="paragraph" w:styleId="TableofFigures">
    <w:name w:val="table of figures"/>
    <w:basedOn w:val="Normal"/>
    <w:next w:val="Normal"/>
    <w:uiPriority w:val="99"/>
    <w:unhideWhenUsed/>
    <w:rPr>
      <w:rFonts w:eastAsia="MS Mincho"/>
      <w:szCs w:val="24"/>
      <w:lang w:val="de-DE" w:eastAsia="en-US"/>
    </w:rPr>
  </w:style>
  <w:style w:type="paragraph" w:styleId="Revision">
    <w:name w:val="Revision"/>
    <w:hidden/>
    <w:uiPriority w:val="99"/>
    <w:semiHidden/>
    <w:rPr>
      <w:rFonts w:ascii="Arial" w:eastAsia="SimSun" w:hAnsi="Arial" w:cs="Arial"/>
      <w:sz w:val="22"/>
      <w:lang w:eastAsia="zh-CN"/>
    </w:rPr>
  </w:style>
  <w:style w:type="character" w:styleId="FollowedHyperlink">
    <w:name w:val="FollowedHyperlink"/>
    <w:basedOn w:val="DefaultParagraphFont"/>
    <w:uiPriority w:val="99"/>
    <w:unhideWhenUsed/>
    <w:rPr>
      <w:color w:val="800080" w:themeColor="followedHyperlink"/>
      <w:u w:val="single"/>
    </w:rPr>
  </w:style>
  <w:style w:type="paragraph" w:styleId="Title">
    <w:name w:val="Title"/>
    <w:basedOn w:val="Normal"/>
    <w:link w:val="TitleChar"/>
    <w:qFormat/>
    <w:pPr>
      <w:jc w:val="center"/>
      <w:outlineLvl w:val="0"/>
    </w:pPr>
    <w:rPr>
      <w:rFonts w:eastAsia="Times New Roman"/>
      <w:b/>
      <w:bCs/>
      <w:kern w:val="28"/>
      <w:sz w:val="32"/>
      <w:szCs w:val="32"/>
      <w:lang w:val="en-US" w:eastAsia="en-US"/>
    </w:rPr>
  </w:style>
  <w:style w:type="character" w:customStyle="1" w:styleId="TitleChar">
    <w:name w:val="Title Char"/>
    <w:basedOn w:val="DefaultParagraphFont"/>
    <w:link w:val="Title"/>
    <w:rPr>
      <w:rFonts w:ascii="Arial" w:hAnsi="Arial" w:cs="Arial"/>
      <w:b/>
      <w:bCs/>
      <w:kern w:val="28"/>
      <w:sz w:val="32"/>
      <w:szCs w:val="32"/>
    </w:rPr>
  </w:style>
  <w:style w:type="paragraph" w:styleId="Bibliography">
    <w:name w:val="Bibliography"/>
    <w:basedOn w:val="Normal"/>
    <w:next w:val="Normal"/>
    <w:uiPriority w:val="37"/>
    <w:pPr>
      <w:spacing w:before="60"/>
      <w:ind w:left="720" w:hanging="720"/>
    </w:pPr>
    <w:rPr>
      <w:rFonts w:eastAsia="Times New Roman"/>
      <w:sz w:val="20"/>
      <w:szCs w:val="24"/>
      <w:lang w:val="en-US" w:eastAsia="en-US"/>
    </w:rPr>
  </w:style>
  <w:style w:type="paragraph" w:customStyle="1" w:styleId="Captionnotes">
    <w:name w:val="Caption notes"/>
    <w:basedOn w:val="BodyText"/>
    <w:qFormat/>
    <w:pPr>
      <w:spacing w:after="0"/>
      <w:jc w:val="center"/>
    </w:pPr>
    <w:rPr>
      <w:rFonts w:eastAsia="Times New Roman"/>
      <w:i/>
      <w:sz w:val="16"/>
      <w:szCs w:val="24"/>
      <w:lang w:val="en-US" w:eastAsia="en-US"/>
    </w:rPr>
  </w:style>
  <w:style w:type="paragraph" w:styleId="Subtitle">
    <w:name w:val="Subtitle"/>
    <w:basedOn w:val="Normal"/>
    <w:link w:val="SubtitleChar"/>
    <w:qFormat/>
    <w:pPr>
      <w:spacing w:after="60"/>
      <w:jc w:val="center"/>
      <w:outlineLvl w:val="1"/>
    </w:pPr>
    <w:rPr>
      <w:rFonts w:ascii="Century" w:eastAsia="Times New Roman" w:hAnsi="Century"/>
      <w:szCs w:val="24"/>
      <w:lang w:val="en-US" w:eastAsia="en-US"/>
    </w:rPr>
  </w:style>
  <w:style w:type="character" w:customStyle="1" w:styleId="SubtitleChar">
    <w:name w:val="Subtitle Char"/>
    <w:basedOn w:val="DefaultParagraphFont"/>
    <w:link w:val="Subtitle"/>
    <w:rPr>
      <w:rFonts w:ascii="Century" w:hAnsi="Century" w:cs="Arial"/>
      <w:sz w:val="22"/>
      <w:szCs w:val="24"/>
    </w:rPr>
  </w:style>
  <w:style w:type="paragraph" w:customStyle="1" w:styleId="ListParagraph1">
    <w:name w:val="List Paragraph1"/>
    <w:basedOn w:val="Normal"/>
    <w:uiPriority w:val="34"/>
    <w:qFormat/>
    <w:pPr>
      <w:spacing w:after="200" w:line="276" w:lineRule="auto"/>
      <w:ind w:left="720"/>
      <w:contextualSpacing/>
    </w:pPr>
    <w:rPr>
      <w:rFonts w:ascii="Bookman Old Style" w:eastAsia="Times New Roman" w:hAnsi="Bookman Old Style" w:cs="Times New Roman"/>
      <w:sz w:val="20"/>
      <w:lang w:val="pt-BR" w:eastAsia="en-US"/>
    </w:rPr>
  </w:style>
  <w:style w:type="character" w:customStyle="1" w:styleId="apple-converted-space">
    <w:name w:val="apple-converted-spac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s-ES" w:eastAsia="zh-CN"/>
    </w:rPr>
  </w:style>
  <w:style w:type="paragraph" w:styleId="Heading1">
    <w:name w:val="heading 1"/>
    <w:basedOn w:val="Normal"/>
    <w:next w:val="Normal"/>
    <w:link w:val="Heading1Char"/>
    <w:uiPriority w:val="9"/>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link w:val="Heading4Char"/>
    <w:qFormat/>
    <w:pPr>
      <w:keepNext/>
      <w:spacing w:before="240" w:after="60"/>
      <w:outlineLvl w:val="3"/>
    </w:pPr>
    <w:rPr>
      <w:bCs/>
      <w:i/>
      <w:szCs w:val="28"/>
    </w:rPr>
  </w:style>
  <w:style w:type="paragraph" w:styleId="Heading5">
    <w:name w:val="heading 5"/>
    <w:basedOn w:val="Normal"/>
    <w:next w:val="Normal"/>
    <w:link w:val="Heading5Char"/>
    <w:pPr>
      <w:spacing w:before="240" w:after="60"/>
      <w:ind w:left="1008" w:hanging="1008"/>
      <w:outlineLvl w:val="4"/>
    </w:pPr>
    <w:rPr>
      <w:rFonts w:eastAsia="Times New Roman"/>
      <w:b/>
      <w:bCs/>
      <w:i/>
      <w:iCs/>
      <w:sz w:val="26"/>
      <w:szCs w:val="26"/>
      <w:lang w:val="en-US" w:eastAsia="en-US"/>
    </w:rPr>
  </w:style>
  <w:style w:type="paragraph" w:styleId="Heading6">
    <w:name w:val="heading 6"/>
    <w:basedOn w:val="Normal"/>
    <w:next w:val="Normal"/>
    <w:link w:val="Heading6Char"/>
    <w:pPr>
      <w:spacing w:before="240" w:after="60"/>
      <w:ind w:left="1152" w:hanging="1152"/>
      <w:outlineLvl w:val="5"/>
    </w:pPr>
    <w:rPr>
      <w:rFonts w:eastAsia="Times New Roman"/>
      <w:b/>
      <w:bCs/>
      <w:szCs w:val="22"/>
      <w:lang w:val="en-US" w:eastAsia="en-US"/>
    </w:rPr>
  </w:style>
  <w:style w:type="paragraph" w:styleId="Heading7">
    <w:name w:val="heading 7"/>
    <w:basedOn w:val="Normal"/>
    <w:next w:val="Normal"/>
    <w:link w:val="Heading7Char"/>
    <w:pPr>
      <w:spacing w:before="240" w:after="60"/>
      <w:ind w:left="1296" w:hanging="1296"/>
      <w:outlineLvl w:val="6"/>
    </w:pPr>
    <w:rPr>
      <w:rFonts w:eastAsia="Times New Roman"/>
      <w:szCs w:val="24"/>
      <w:lang w:val="en-US" w:eastAsia="en-US"/>
    </w:rPr>
  </w:style>
  <w:style w:type="paragraph" w:styleId="Heading8">
    <w:name w:val="heading 8"/>
    <w:basedOn w:val="Normal"/>
    <w:next w:val="Normal"/>
    <w:link w:val="Heading8Char"/>
    <w:pPr>
      <w:spacing w:before="240" w:after="60"/>
      <w:ind w:left="1440" w:hanging="1440"/>
      <w:outlineLvl w:val="7"/>
    </w:pPr>
    <w:rPr>
      <w:rFonts w:eastAsia="Times New Roman"/>
      <w:i/>
      <w:iCs/>
      <w:szCs w:val="24"/>
      <w:lang w:val="en-US" w:eastAsia="en-US"/>
    </w:rPr>
  </w:style>
  <w:style w:type="paragraph" w:styleId="Heading9">
    <w:name w:val="heading 9"/>
    <w:basedOn w:val="Normal"/>
    <w:next w:val="Normal"/>
    <w:link w:val="Heading9Char"/>
    <w:pPr>
      <w:spacing w:before="240" w:after="60"/>
      <w:ind w:left="1584" w:hanging="1584"/>
      <w:outlineLvl w:val="8"/>
    </w:pPr>
    <w:rPr>
      <w:rFonts w:eastAsia="Times New Roman"/>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20"/>
    </w:pPr>
  </w:style>
  <w:style w:type="paragraph" w:styleId="Caption">
    <w:name w:val="caption"/>
    <w:basedOn w:val="Normal"/>
    <w:next w:val="Normal"/>
    <w:uiPriority w:val="35"/>
    <w:qFormat/>
    <w:rPr>
      <w:b/>
      <w:bCs/>
      <w:sz w:val="18"/>
    </w:rPr>
  </w:style>
  <w:style w:type="paragraph" w:styleId="CommentText">
    <w:name w:val="annotation text"/>
    <w:basedOn w:val="Normal"/>
    <w:link w:val="CommentTextChar1"/>
    <w:uiPriority w:val="99"/>
    <w:semiHidden/>
    <w:rPr>
      <w:sz w:val="18"/>
    </w:rPr>
  </w:style>
  <w:style w:type="paragraph" w:styleId="EndnoteText">
    <w:name w:val="endnote text"/>
    <w:basedOn w:val="Normal"/>
    <w:link w:val="EndnoteTextChar"/>
    <w:semiHidden/>
    <w:rPr>
      <w:sz w:val="18"/>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uiPriority w:val="99"/>
    <w:rPr>
      <w:sz w:val="18"/>
    </w:rPr>
  </w:style>
  <w:style w:type="paragraph" w:customStyle="1" w:styleId="Endofdocument-Annex">
    <w:name w:val="[End of document - Annex]"/>
    <w:basedOn w:val="Normal"/>
    <w:pPr>
      <w:ind w:left="5534"/>
    </w:pPr>
    <w:rPr>
      <w:lang w:val="en-US"/>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val="es-ES" w:eastAsia="zh-CN"/>
    </w:rPr>
  </w:style>
  <w:style w:type="character" w:customStyle="1" w:styleId="Heading5Char">
    <w:name w:val="Heading 5 Char"/>
    <w:basedOn w:val="DefaultParagraphFont"/>
    <w:link w:val="Heading5"/>
    <w:rPr>
      <w:rFonts w:ascii="Arial" w:hAnsi="Arial" w:cs="Arial"/>
      <w:b/>
      <w:bCs/>
      <w:i/>
      <w:iCs/>
      <w:sz w:val="26"/>
      <w:szCs w:val="26"/>
    </w:rPr>
  </w:style>
  <w:style w:type="character" w:customStyle="1" w:styleId="Heading6Char">
    <w:name w:val="Heading 6 Char"/>
    <w:basedOn w:val="DefaultParagraphFont"/>
    <w:link w:val="Heading6"/>
    <w:rPr>
      <w:rFonts w:ascii="Arial" w:hAnsi="Arial" w:cs="Arial"/>
      <w:b/>
      <w:bCs/>
      <w:sz w:val="22"/>
      <w:szCs w:val="22"/>
    </w:rPr>
  </w:style>
  <w:style w:type="character" w:customStyle="1" w:styleId="Heading7Char">
    <w:name w:val="Heading 7 Char"/>
    <w:basedOn w:val="DefaultParagraphFont"/>
    <w:link w:val="Heading7"/>
    <w:rPr>
      <w:rFonts w:ascii="Arial" w:hAnsi="Arial" w:cs="Arial"/>
      <w:sz w:val="22"/>
      <w:szCs w:val="24"/>
    </w:rPr>
  </w:style>
  <w:style w:type="character" w:customStyle="1" w:styleId="Heading8Char">
    <w:name w:val="Heading 8 Char"/>
    <w:basedOn w:val="DefaultParagraphFont"/>
    <w:link w:val="Heading8"/>
    <w:rPr>
      <w:rFonts w:ascii="Arial" w:hAnsi="Arial" w:cs="Arial"/>
      <w:i/>
      <w:iCs/>
      <w:sz w:val="22"/>
      <w:szCs w:val="24"/>
    </w:rPr>
  </w:style>
  <w:style w:type="character" w:customStyle="1" w:styleId="Heading9Char">
    <w:name w:val="Heading 9 Char"/>
    <w:basedOn w:val="DefaultParagraphFont"/>
    <w:link w:val="Heading9"/>
    <w:rPr>
      <w:rFonts w:ascii="Arial" w:hAnsi="Arial" w:cs="Arial"/>
      <w:sz w:val="22"/>
      <w:szCs w:val="22"/>
    </w:rPr>
  </w:style>
  <w:style w:type="character" w:customStyle="1" w:styleId="Heading1Char">
    <w:name w:val="Heading 1 Char"/>
    <w:basedOn w:val="DefaultParagraphFont"/>
    <w:link w:val="Heading1"/>
    <w:uiPriority w:val="9"/>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Pr>
      <w:rFonts w:ascii="Arial" w:eastAsia="SimSun" w:hAnsi="Arial" w:cs="Arial"/>
      <w:bCs/>
      <w:i/>
      <w:sz w:val="22"/>
      <w:szCs w:val="28"/>
      <w:lang w:val="es-ES" w:eastAsia="zh-CN"/>
    </w:rPr>
  </w:style>
  <w:style w:type="character" w:customStyle="1" w:styleId="BodyTextChar">
    <w:name w:val="Body Text Char"/>
    <w:basedOn w:val="DefaultParagraphFont"/>
    <w:link w:val="BodyText"/>
    <w:rPr>
      <w:rFonts w:ascii="Arial" w:eastAsia="SimSun" w:hAnsi="Arial" w:cs="Arial"/>
      <w:sz w:val="22"/>
      <w:lang w:val="es-ES" w:eastAsia="zh-CN"/>
    </w:rPr>
  </w:style>
  <w:style w:type="character" w:customStyle="1" w:styleId="CommentTextChar">
    <w:name w:val="Comment Text Char"/>
    <w:basedOn w:val="DefaultParagraphFont"/>
    <w:uiPriority w:val="99"/>
    <w:semiHidden/>
    <w:rPr>
      <w:rFonts w:ascii="Arial" w:eastAsia="SimSun" w:hAnsi="Arial" w:cs="Arial"/>
      <w:sz w:val="20"/>
      <w:szCs w:val="20"/>
      <w:lang w:eastAsia="zh-CN"/>
    </w:rPr>
  </w:style>
  <w:style w:type="character" w:customStyle="1" w:styleId="EndnoteTextChar">
    <w:name w:val="Endnote Text Char"/>
    <w:basedOn w:val="DefaultParagraphFont"/>
    <w:link w:val="EndnoteText"/>
    <w:semiHidden/>
    <w:rPr>
      <w:rFonts w:ascii="Arial" w:eastAsia="SimSun" w:hAnsi="Arial" w:cs="Arial"/>
      <w:sz w:val="18"/>
      <w:lang w:val="es-ES" w:eastAsia="zh-CN"/>
    </w:rPr>
  </w:style>
  <w:style w:type="character" w:customStyle="1" w:styleId="FooterChar">
    <w:name w:val="Footer Char"/>
    <w:basedOn w:val="DefaultParagraphFont"/>
    <w:link w:val="Footer"/>
    <w:uiPriority w:val="99"/>
    <w:rPr>
      <w:rFonts w:ascii="Arial" w:eastAsia="SimSun" w:hAnsi="Arial" w:cs="Arial"/>
      <w:sz w:val="22"/>
      <w:lang w:val="es-ES" w:eastAsia="zh-CN"/>
    </w:rPr>
  </w:style>
  <w:style w:type="character" w:customStyle="1" w:styleId="FootnoteTextChar">
    <w:name w:val="Footnote Text Char"/>
    <w:link w:val="FootnoteText"/>
    <w:uiPriority w:val="99"/>
    <w:rPr>
      <w:rFonts w:ascii="Arial" w:eastAsia="SimSun" w:hAnsi="Arial" w:cs="Arial"/>
      <w:sz w:val="18"/>
      <w:lang w:val="es-ES" w:eastAsia="zh-CN"/>
    </w:rPr>
  </w:style>
  <w:style w:type="character" w:customStyle="1" w:styleId="HeaderChar">
    <w:name w:val="Header Char"/>
    <w:basedOn w:val="DefaultParagraphFont"/>
    <w:link w:val="Header"/>
    <w:uiPriority w:val="99"/>
    <w:rPr>
      <w:rFonts w:ascii="Arial" w:eastAsia="SimSun" w:hAnsi="Arial" w:cs="Arial"/>
      <w:sz w:val="22"/>
      <w:lang w:val="es-ES" w:eastAsia="zh-CN"/>
    </w:rPr>
  </w:style>
  <w:style w:type="character" w:customStyle="1" w:styleId="SalutationChar">
    <w:name w:val="Salutation Char"/>
    <w:basedOn w:val="DefaultParagraphFont"/>
    <w:link w:val="Salutation"/>
    <w:semiHidden/>
    <w:rPr>
      <w:rFonts w:ascii="Arial" w:eastAsia="SimSun" w:hAnsi="Arial" w:cs="Arial"/>
      <w:sz w:val="22"/>
      <w:lang w:val="es-ES" w:eastAsia="zh-CN"/>
    </w:rPr>
  </w:style>
  <w:style w:type="character" w:customStyle="1" w:styleId="SignatureChar">
    <w:name w:val="Signature Char"/>
    <w:basedOn w:val="DefaultParagraphFont"/>
    <w:link w:val="Signature"/>
    <w:semiHidden/>
    <w:rPr>
      <w:rFonts w:ascii="Arial" w:eastAsia="SimSun" w:hAnsi="Arial" w:cs="Arial"/>
      <w:sz w:val="22"/>
      <w:lang w:val="es-ES" w:eastAsia="zh-CN"/>
    </w:rPr>
  </w:style>
  <w:style w:type="character" w:styleId="Hyperlink">
    <w:name w:val="Hyperlink"/>
    <w:uiPriority w:val="99"/>
    <w:unhideWhenUsed/>
    <w:rPr>
      <w:color w:val="0000FF"/>
      <w:u w:val="single"/>
    </w:rPr>
  </w:style>
  <w:style w:type="paragraph" w:styleId="NoSpacing">
    <w:name w:val="No Spacing"/>
    <w:uiPriority w:val="1"/>
    <w:qFormat/>
    <w:rPr>
      <w:rFonts w:ascii="Calibri" w:eastAsia="Calibri" w:hAnsi="Calibri"/>
      <w:sz w:val="22"/>
      <w:szCs w:val="22"/>
    </w:rPr>
  </w:style>
  <w:style w:type="paragraph" w:styleId="ListParagraph">
    <w:name w:val="List Paragraph"/>
    <w:basedOn w:val="Normal"/>
    <w:uiPriority w:val="99"/>
    <w:qFormat/>
    <w:pPr>
      <w:ind w:left="720"/>
      <w:contextualSpacing/>
    </w:pPr>
    <w:rPr>
      <w:rFonts w:eastAsia="Calibri" w:cs="Times New Roman"/>
      <w:szCs w:val="22"/>
      <w:lang w:val="en-US" w:eastAsia="en-US"/>
    </w:rPr>
  </w:style>
  <w:style w:type="table" w:customStyle="1" w:styleId="LightList-Accent11">
    <w:name w:val="Light List - Accent 11"/>
    <w:basedOn w:val="TableNormal"/>
    <w:uiPriority w:val="61"/>
    <w:rPr>
      <w:rFonts w:ascii="Calibri" w:eastAsia="Calibri" w:hAnsi="Calibri"/>
      <w:sz w:val="22"/>
      <w:szCs w:val="22"/>
      <w:lang w:val="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Pr>
      <w:rFonts w:ascii="Calibri" w:eastAsia="Calibri" w:hAnsi="Calibri"/>
      <w:sz w:val="22"/>
      <w:szCs w:val="22"/>
      <w:lang w:val="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2">
    <w:name w:val="Light List Accent 2"/>
    <w:basedOn w:val="TableNormal"/>
    <w:uiPriority w:val="61"/>
    <w:rPr>
      <w:rFonts w:ascii="Calibri" w:eastAsia="Calibri" w:hAnsi="Calibri"/>
      <w:sz w:val="22"/>
      <w:szCs w:val="22"/>
      <w:lang w:val="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5">
    <w:name w:val="Light List Accent 5"/>
    <w:basedOn w:val="TableNormal"/>
    <w:uiPriority w:val="61"/>
    <w:rPr>
      <w:rFonts w:ascii="Calibri" w:eastAsia="Calibri" w:hAnsi="Calibri"/>
      <w:sz w:val="22"/>
      <w:szCs w:val="22"/>
      <w:lang w:val="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1">
    <w:name w:val="Light Shading1"/>
    <w:basedOn w:val="TableNormal"/>
    <w:uiPriority w:val="60"/>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Pr>
      <w:rFonts w:ascii="Arial" w:hAnsi="Arial"/>
      <w:vertAlign w:val="superscript"/>
    </w:rPr>
  </w:style>
  <w:style w:type="character" w:customStyle="1" w:styleId="StyleBold">
    <w:name w:val="Style Bold"/>
    <w:rPr>
      <w:b/>
      <w:b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val="en-US" w:eastAsia="en-US"/>
    </w:rPr>
  </w:style>
  <w:style w:type="paragraph" w:styleId="TOCHeading">
    <w:name w:val="TOC Heading"/>
    <w:basedOn w:val="Heading1"/>
    <w:next w:val="Normal"/>
    <w:uiPriority w:val="39"/>
    <w:semiHidden/>
    <w:unhideWhenUsed/>
    <w:qFormat/>
    <w:pPr>
      <w:keepLines/>
      <w:numPr>
        <w:numId w:val="12"/>
      </w:numPr>
      <w:spacing w:before="480" w:after="0" w:line="276" w:lineRule="auto"/>
      <w:outlineLvl w:val="9"/>
    </w:pPr>
    <w:rPr>
      <w:rFonts w:asciiTheme="majorHAnsi" w:eastAsiaTheme="majorEastAsia" w:hAnsiTheme="majorHAnsi" w:cstheme="majorBidi"/>
      <w:i/>
      <w:color w:val="365F91" w:themeColor="accent1" w:themeShade="BF"/>
      <w:kern w:val="0"/>
      <w:sz w:val="28"/>
      <w:szCs w:val="28"/>
      <w:lang w:val="en-US" w:eastAsia="ja-JP"/>
    </w:rPr>
  </w:style>
  <w:style w:type="paragraph" w:styleId="TOC1">
    <w:name w:val="toc 1"/>
    <w:basedOn w:val="Normal"/>
    <w:next w:val="Normal"/>
    <w:autoRedefine/>
    <w:uiPriority w:val="39"/>
    <w:unhideWhenUsed/>
    <w:pPr>
      <w:spacing w:after="100" w:line="276" w:lineRule="auto"/>
    </w:pPr>
    <w:rPr>
      <w:rFonts w:ascii="Calibri" w:eastAsia="Calibri" w:hAnsi="Calibri" w:cs="Times New Roman"/>
      <w:szCs w:val="22"/>
      <w:lang w:val="en-US" w:eastAsia="en-US"/>
    </w:rPr>
  </w:style>
  <w:style w:type="paragraph" w:styleId="TOC3">
    <w:name w:val="toc 3"/>
    <w:basedOn w:val="Normal"/>
    <w:next w:val="Normal"/>
    <w:autoRedefine/>
    <w:uiPriority w:val="39"/>
    <w:unhideWhenUsed/>
    <w:pPr>
      <w:spacing w:after="100" w:line="276" w:lineRule="auto"/>
      <w:ind w:left="440"/>
    </w:pPr>
    <w:rPr>
      <w:rFonts w:ascii="Calibri" w:eastAsia="Calibri" w:hAnsi="Calibri" w:cs="Times New Roman"/>
      <w:szCs w:val="22"/>
      <w:lang w:val="en-US" w:eastAsia="en-US"/>
    </w:rPr>
  </w:style>
  <w:style w:type="paragraph" w:styleId="DocumentMap">
    <w:name w:val="Document Map"/>
    <w:basedOn w:val="Normal"/>
    <w:link w:val="DocumentMapChar"/>
    <w:uiPriority w:val="99"/>
    <w:unhideWhenUsed/>
    <w:rPr>
      <w:rFonts w:ascii="Tahoma" w:eastAsia="Calibri" w:hAnsi="Tahoma" w:cs="Tahoma"/>
      <w:sz w:val="16"/>
      <w:szCs w:val="16"/>
      <w:lang w:val="en-US" w:eastAsia="en-US"/>
    </w:rPr>
  </w:style>
  <w:style w:type="character" w:customStyle="1" w:styleId="DocumentMapChar">
    <w:name w:val="Document Map Char"/>
    <w:basedOn w:val="DefaultParagraphFont"/>
    <w:link w:val="DocumentMap"/>
    <w:uiPriority w:val="99"/>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unhideWhenUsed/>
    <w:pPr>
      <w:spacing w:after="200"/>
    </w:pPr>
    <w:rPr>
      <w:rFonts w:ascii="Calibri" w:eastAsia="Calibri" w:hAnsi="Calibri" w:cs="Times New Roman"/>
      <w:b/>
      <w:bCs/>
      <w:sz w:val="20"/>
      <w:szCs w:val="24"/>
      <w:lang w:val="en-US" w:eastAsia="en-US"/>
    </w:rPr>
  </w:style>
  <w:style w:type="character" w:customStyle="1" w:styleId="CommentTextChar1">
    <w:name w:val="Comment Text Char1"/>
    <w:basedOn w:val="DefaultParagraphFont"/>
    <w:link w:val="CommentText"/>
    <w:uiPriority w:val="99"/>
    <w:semiHidden/>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Pr>
      <w:rFonts w:ascii="Calibri" w:eastAsia="Calibri" w:hAnsi="Calibri" w:cs="Arial"/>
      <w:b/>
      <w:bCs/>
      <w:sz w:val="18"/>
      <w:szCs w:val="24"/>
      <w:lang w:val="es-ES" w:eastAsia="zh-CN"/>
    </w:rPr>
  </w:style>
  <w:style w:type="paragraph" w:styleId="TOC2">
    <w:name w:val="toc 2"/>
    <w:basedOn w:val="Normal"/>
    <w:next w:val="Normal"/>
    <w:autoRedefine/>
    <w:uiPriority w:val="39"/>
    <w:unhideWhenUsed/>
    <w:pPr>
      <w:spacing w:after="100" w:line="276" w:lineRule="auto"/>
      <w:ind w:left="220"/>
    </w:pPr>
    <w:rPr>
      <w:rFonts w:ascii="Calibri" w:eastAsia="Calibri" w:hAnsi="Calibri" w:cs="Times New Roman"/>
      <w:szCs w:val="22"/>
      <w:lang w:val="en-US" w:eastAsia="en-US"/>
    </w:rPr>
  </w:style>
  <w:style w:type="paragraph" w:styleId="TableofFigures">
    <w:name w:val="table of figures"/>
    <w:basedOn w:val="Normal"/>
    <w:next w:val="Normal"/>
    <w:uiPriority w:val="99"/>
    <w:unhideWhenUsed/>
    <w:rPr>
      <w:rFonts w:eastAsia="MS Mincho"/>
      <w:szCs w:val="24"/>
      <w:lang w:val="de-DE" w:eastAsia="en-US"/>
    </w:rPr>
  </w:style>
  <w:style w:type="paragraph" w:styleId="Revision">
    <w:name w:val="Revision"/>
    <w:hidden/>
    <w:uiPriority w:val="99"/>
    <w:semiHidden/>
    <w:rPr>
      <w:rFonts w:ascii="Arial" w:eastAsia="SimSun" w:hAnsi="Arial" w:cs="Arial"/>
      <w:sz w:val="22"/>
      <w:lang w:eastAsia="zh-CN"/>
    </w:rPr>
  </w:style>
  <w:style w:type="character" w:styleId="FollowedHyperlink">
    <w:name w:val="FollowedHyperlink"/>
    <w:basedOn w:val="DefaultParagraphFont"/>
    <w:uiPriority w:val="99"/>
    <w:unhideWhenUsed/>
    <w:rPr>
      <w:color w:val="800080" w:themeColor="followedHyperlink"/>
      <w:u w:val="single"/>
    </w:rPr>
  </w:style>
  <w:style w:type="paragraph" w:styleId="Title">
    <w:name w:val="Title"/>
    <w:basedOn w:val="Normal"/>
    <w:link w:val="TitleChar"/>
    <w:qFormat/>
    <w:pPr>
      <w:jc w:val="center"/>
      <w:outlineLvl w:val="0"/>
    </w:pPr>
    <w:rPr>
      <w:rFonts w:eastAsia="Times New Roman"/>
      <w:b/>
      <w:bCs/>
      <w:kern w:val="28"/>
      <w:sz w:val="32"/>
      <w:szCs w:val="32"/>
      <w:lang w:val="en-US" w:eastAsia="en-US"/>
    </w:rPr>
  </w:style>
  <w:style w:type="character" w:customStyle="1" w:styleId="TitleChar">
    <w:name w:val="Title Char"/>
    <w:basedOn w:val="DefaultParagraphFont"/>
    <w:link w:val="Title"/>
    <w:rPr>
      <w:rFonts w:ascii="Arial" w:hAnsi="Arial" w:cs="Arial"/>
      <w:b/>
      <w:bCs/>
      <w:kern w:val="28"/>
      <w:sz w:val="32"/>
      <w:szCs w:val="32"/>
    </w:rPr>
  </w:style>
  <w:style w:type="paragraph" w:styleId="Bibliography">
    <w:name w:val="Bibliography"/>
    <w:basedOn w:val="Normal"/>
    <w:next w:val="Normal"/>
    <w:uiPriority w:val="37"/>
    <w:pPr>
      <w:spacing w:before="60"/>
      <w:ind w:left="720" w:hanging="720"/>
    </w:pPr>
    <w:rPr>
      <w:rFonts w:eastAsia="Times New Roman"/>
      <w:sz w:val="20"/>
      <w:szCs w:val="24"/>
      <w:lang w:val="en-US" w:eastAsia="en-US"/>
    </w:rPr>
  </w:style>
  <w:style w:type="paragraph" w:customStyle="1" w:styleId="Captionnotes">
    <w:name w:val="Caption notes"/>
    <w:basedOn w:val="BodyText"/>
    <w:qFormat/>
    <w:pPr>
      <w:spacing w:after="0"/>
      <w:jc w:val="center"/>
    </w:pPr>
    <w:rPr>
      <w:rFonts w:eastAsia="Times New Roman"/>
      <w:i/>
      <w:sz w:val="16"/>
      <w:szCs w:val="24"/>
      <w:lang w:val="en-US" w:eastAsia="en-US"/>
    </w:rPr>
  </w:style>
  <w:style w:type="paragraph" w:styleId="Subtitle">
    <w:name w:val="Subtitle"/>
    <w:basedOn w:val="Normal"/>
    <w:link w:val="SubtitleChar"/>
    <w:qFormat/>
    <w:pPr>
      <w:spacing w:after="60"/>
      <w:jc w:val="center"/>
      <w:outlineLvl w:val="1"/>
    </w:pPr>
    <w:rPr>
      <w:rFonts w:ascii="Century" w:eastAsia="Times New Roman" w:hAnsi="Century"/>
      <w:szCs w:val="24"/>
      <w:lang w:val="en-US" w:eastAsia="en-US"/>
    </w:rPr>
  </w:style>
  <w:style w:type="character" w:customStyle="1" w:styleId="SubtitleChar">
    <w:name w:val="Subtitle Char"/>
    <w:basedOn w:val="DefaultParagraphFont"/>
    <w:link w:val="Subtitle"/>
    <w:rPr>
      <w:rFonts w:ascii="Century" w:hAnsi="Century" w:cs="Arial"/>
      <w:sz w:val="22"/>
      <w:szCs w:val="24"/>
    </w:rPr>
  </w:style>
  <w:style w:type="paragraph" w:customStyle="1" w:styleId="ListParagraph1">
    <w:name w:val="List Paragraph1"/>
    <w:basedOn w:val="Normal"/>
    <w:uiPriority w:val="34"/>
    <w:qFormat/>
    <w:pPr>
      <w:spacing w:after="200" w:line="276" w:lineRule="auto"/>
      <w:ind w:left="720"/>
      <w:contextualSpacing/>
    </w:pPr>
    <w:rPr>
      <w:rFonts w:ascii="Bookman Old Style" w:eastAsia="Times New Roman" w:hAnsi="Bookman Old Style" w:cs="Times New Roman"/>
      <w:sz w:val="20"/>
      <w:lang w:val="pt-BR" w:eastAsia="en-US"/>
    </w:rPr>
  </w:style>
  <w:style w:type="character" w:customStyle="1" w:styleId="apple-converted-space">
    <w:name w:val="apple-converted-spa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FC251-3177-47DC-96FA-2B2C44E9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2366</Words>
  <Characters>13365</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WIPO</Company>
  <LinksUpToDate>false</LinksUpToDate>
  <CharactersWithSpaces>15700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CDIP/14/INF/5</dc:subject>
  <dc:creator>CEVALLOS DUQUE Nilo</dc:creator>
  <dc:description>JM_x000d_
23.09.14</dc:description>
  <cp:lastModifiedBy>SHOUSHA Sally</cp:lastModifiedBy>
  <cp:revision>3</cp:revision>
  <cp:lastPrinted>2014-09-23T13:26:00Z</cp:lastPrinted>
  <dcterms:created xsi:type="dcterms:W3CDTF">2014-09-23T13:25:00Z</dcterms:created>
  <dcterms:modified xsi:type="dcterms:W3CDTF">2014-09-23T13:26:00Z</dcterms:modified>
</cp:coreProperties>
</file>