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930B7" w:rsidTr="0088395E">
        <w:tc>
          <w:tcPr>
            <w:tcW w:w="4513" w:type="dxa"/>
            <w:tcBorders>
              <w:bottom w:val="single" w:sz="4" w:space="0" w:color="auto"/>
            </w:tcBorders>
            <w:tcMar>
              <w:bottom w:w="170" w:type="dxa"/>
            </w:tcMar>
          </w:tcPr>
          <w:p w:rsidR="00E504E5" w:rsidRPr="00D930B7" w:rsidRDefault="00E504E5" w:rsidP="00AB613D"/>
        </w:tc>
        <w:tc>
          <w:tcPr>
            <w:tcW w:w="4337" w:type="dxa"/>
            <w:tcBorders>
              <w:bottom w:val="single" w:sz="4" w:space="0" w:color="auto"/>
            </w:tcBorders>
            <w:tcMar>
              <w:left w:w="0" w:type="dxa"/>
              <w:right w:w="0" w:type="dxa"/>
            </w:tcMar>
          </w:tcPr>
          <w:p w:rsidR="00E504E5" w:rsidRPr="00D930B7" w:rsidRDefault="00693BF1" w:rsidP="00AB613D">
            <w:r w:rsidRPr="00D930B7">
              <w:rPr>
                <w:noProof/>
                <w:lang w:val="en-US" w:eastAsia="en-US"/>
              </w:rPr>
              <w:drawing>
                <wp:inline distT="0" distB="0" distL="0" distR="0" wp14:anchorId="259602CC" wp14:editId="06F60FE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930B7" w:rsidRDefault="00E504E5" w:rsidP="00AB613D">
            <w:pPr>
              <w:jc w:val="right"/>
            </w:pPr>
            <w:r w:rsidRPr="00D930B7">
              <w:rPr>
                <w:b/>
                <w:sz w:val="40"/>
                <w:szCs w:val="40"/>
              </w:rPr>
              <w:t>S</w:t>
            </w:r>
          </w:p>
        </w:tc>
      </w:tr>
      <w:tr w:rsidR="008B2CC1" w:rsidRPr="00D930B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930B7" w:rsidRDefault="002964E0" w:rsidP="002964E0">
            <w:pPr>
              <w:jc w:val="right"/>
              <w:rPr>
                <w:rFonts w:ascii="Arial Black" w:hAnsi="Arial Black"/>
                <w:caps/>
                <w:sz w:val="15"/>
              </w:rPr>
            </w:pPr>
            <w:bookmarkStart w:id="0" w:name="Code"/>
            <w:bookmarkEnd w:id="0"/>
            <w:r w:rsidRPr="00D930B7">
              <w:rPr>
                <w:rFonts w:ascii="Arial Black" w:hAnsi="Arial Black"/>
                <w:caps/>
                <w:sz w:val="15"/>
              </w:rPr>
              <w:t>CDIP/14/</w:t>
            </w:r>
            <w:r w:rsidR="00D461D3" w:rsidRPr="00D930B7">
              <w:rPr>
                <w:rFonts w:ascii="Arial Black" w:hAnsi="Arial Black"/>
                <w:caps/>
                <w:sz w:val="15"/>
              </w:rPr>
              <w:t>INF</w:t>
            </w:r>
            <w:r w:rsidR="00693BF1" w:rsidRPr="00D930B7">
              <w:rPr>
                <w:rFonts w:ascii="Arial Black" w:hAnsi="Arial Black"/>
                <w:caps/>
                <w:sz w:val="15"/>
              </w:rPr>
              <w:t>/4</w:t>
            </w:r>
          </w:p>
        </w:tc>
      </w:tr>
      <w:tr w:rsidR="008B2CC1" w:rsidRPr="00D930B7" w:rsidTr="00AB613D">
        <w:trPr>
          <w:trHeight w:hRule="exact" w:val="170"/>
        </w:trPr>
        <w:tc>
          <w:tcPr>
            <w:tcW w:w="9356" w:type="dxa"/>
            <w:gridSpan w:val="3"/>
            <w:noWrap/>
            <w:tcMar>
              <w:left w:w="0" w:type="dxa"/>
              <w:right w:w="0" w:type="dxa"/>
            </w:tcMar>
            <w:vAlign w:val="bottom"/>
          </w:tcPr>
          <w:p w:rsidR="008B2CC1" w:rsidRPr="00D930B7" w:rsidRDefault="008B2CC1" w:rsidP="00AB613D">
            <w:pPr>
              <w:jc w:val="right"/>
              <w:rPr>
                <w:rFonts w:ascii="Arial Black" w:hAnsi="Arial Black"/>
                <w:caps/>
                <w:sz w:val="15"/>
              </w:rPr>
            </w:pPr>
            <w:r w:rsidRPr="00D930B7">
              <w:rPr>
                <w:rFonts w:ascii="Arial Black" w:hAnsi="Arial Black"/>
                <w:caps/>
                <w:sz w:val="15"/>
              </w:rPr>
              <w:t>ORIGINAL:</w:t>
            </w:r>
            <w:r w:rsidR="00F84474" w:rsidRPr="00D930B7">
              <w:rPr>
                <w:rFonts w:ascii="Arial Black" w:hAnsi="Arial Black"/>
                <w:caps/>
                <w:sz w:val="15"/>
              </w:rPr>
              <w:t xml:space="preserve"> </w:t>
            </w:r>
            <w:r w:rsidRPr="00D930B7">
              <w:rPr>
                <w:rFonts w:ascii="Arial Black" w:hAnsi="Arial Black"/>
                <w:caps/>
                <w:sz w:val="15"/>
              </w:rPr>
              <w:t xml:space="preserve"> </w:t>
            </w:r>
            <w:bookmarkStart w:id="1" w:name="Original"/>
            <w:bookmarkEnd w:id="1"/>
            <w:r w:rsidR="00D461D3" w:rsidRPr="00D930B7">
              <w:rPr>
                <w:rFonts w:ascii="Arial Black" w:hAnsi="Arial Black"/>
                <w:caps/>
                <w:sz w:val="15"/>
              </w:rPr>
              <w:t>INGLÉS</w:t>
            </w:r>
          </w:p>
        </w:tc>
      </w:tr>
      <w:tr w:rsidR="008B2CC1" w:rsidRPr="00D930B7" w:rsidTr="00AB613D">
        <w:trPr>
          <w:trHeight w:hRule="exact" w:val="198"/>
        </w:trPr>
        <w:tc>
          <w:tcPr>
            <w:tcW w:w="9356" w:type="dxa"/>
            <w:gridSpan w:val="3"/>
            <w:tcMar>
              <w:left w:w="0" w:type="dxa"/>
              <w:right w:w="0" w:type="dxa"/>
            </w:tcMar>
            <w:vAlign w:val="bottom"/>
          </w:tcPr>
          <w:p w:rsidR="008B2CC1" w:rsidRPr="00D930B7" w:rsidRDefault="00675021" w:rsidP="00AB613D">
            <w:pPr>
              <w:jc w:val="right"/>
              <w:rPr>
                <w:rFonts w:ascii="Arial Black" w:hAnsi="Arial Black"/>
                <w:caps/>
                <w:sz w:val="15"/>
              </w:rPr>
            </w:pPr>
            <w:r w:rsidRPr="00D930B7">
              <w:rPr>
                <w:rFonts w:ascii="Arial Black" w:hAnsi="Arial Black"/>
                <w:caps/>
                <w:sz w:val="15"/>
              </w:rPr>
              <w:t>fecha</w:t>
            </w:r>
            <w:r w:rsidR="008B2CC1" w:rsidRPr="00D930B7">
              <w:rPr>
                <w:rFonts w:ascii="Arial Black" w:hAnsi="Arial Black"/>
                <w:caps/>
                <w:sz w:val="15"/>
              </w:rPr>
              <w:t>:</w:t>
            </w:r>
            <w:r w:rsidR="00F84474" w:rsidRPr="00D930B7">
              <w:rPr>
                <w:rFonts w:ascii="Arial Black" w:hAnsi="Arial Black"/>
                <w:caps/>
                <w:sz w:val="15"/>
              </w:rPr>
              <w:t xml:space="preserve"> </w:t>
            </w:r>
            <w:r w:rsidR="008B2CC1" w:rsidRPr="00D930B7">
              <w:rPr>
                <w:rFonts w:ascii="Arial Black" w:hAnsi="Arial Black"/>
                <w:caps/>
                <w:sz w:val="15"/>
              </w:rPr>
              <w:t xml:space="preserve"> </w:t>
            </w:r>
            <w:bookmarkStart w:id="2" w:name="Date"/>
            <w:bookmarkEnd w:id="2"/>
            <w:r w:rsidR="00D461D3" w:rsidRPr="00D930B7">
              <w:rPr>
                <w:rFonts w:ascii="Arial Black" w:hAnsi="Arial Black"/>
                <w:caps/>
                <w:sz w:val="15"/>
              </w:rPr>
              <w:t>9 DE SEPTIEMBRE DE 2014</w:t>
            </w:r>
          </w:p>
        </w:tc>
      </w:tr>
    </w:tbl>
    <w:p w:rsidR="00B26A0E" w:rsidRPr="00D930B7" w:rsidRDefault="00B26A0E" w:rsidP="008B2CC1"/>
    <w:p w:rsidR="00B26A0E" w:rsidRPr="00D930B7" w:rsidRDefault="00B26A0E" w:rsidP="008B2CC1"/>
    <w:p w:rsidR="00B26A0E" w:rsidRPr="00D930B7" w:rsidRDefault="00B26A0E" w:rsidP="008B2CC1"/>
    <w:p w:rsidR="00B26A0E" w:rsidRPr="00D930B7" w:rsidRDefault="00B26A0E" w:rsidP="008B2CC1"/>
    <w:p w:rsidR="00B26A0E" w:rsidRPr="00D930B7" w:rsidRDefault="00B26A0E" w:rsidP="008B2CC1"/>
    <w:p w:rsidR="00B26A0E" w:rsidRPr="00D930B7" w:rsidRDefault="00693BF1" w:rsidP="00693BF1">
      <w:pPr>
        <w:rPr>
          <w:b/>
          <w:sz w:val="28"/>
          <w:szCs w:val="28"/>
        </w:rPr>
      </w:pPr>
      <w:r w:rsidRPr="00D930B7">
        <w:rPr>
          <w:b/>
          <w:sz w:val="28"/>
          <w:szCs w:val="28"/>
        </w:rPr>
        <w:t>Comité de Desarrollo y Propiedad Intelectual (CDIP)</w:t>
      </w:r>
    </w:p>
    <w:p w:rsidR="00B26A0E" w:rsidRPr="00D930B7" w:rsidRDefault="00B26A0E" w:rsidP="003845C1"/>
    <w:p w:rsidR="00B26A0E" w:rsidRPr="00D930B7" w:rsidRDefault="00B26A0E" w:rsidP="003845C1"/>
    <w:p w:rsidR="00B26A0E" w:rsidRPr="00D930B7" w:rsidRDefault="00693BF1" w:rsidP="00693BF1">
      <w:pPr>
        <w:rPr>
          <w:b/>
          <w:sz w:val="24"/>
          <w:szCs w:val="24"/>
        </w:rPr>
      </w:pPr>
      <w:r w:rsidRPr="00D930B7">
        <w:rPr>
          <w:b/>
          <w:sz w:val="24"/>
          <w:szCs w:val="24"/>
        </w:rPr>
        <w:t>Decimocuarta sesión</w:t>
      </w:r>
    </w:p>
    <w:p w:rsidR="00B26A0E" w:rsidRPr="00D930B7" w:rsidRDefault="00693BF1" w:rsidP="00693BF1">
      <w:pPr>
        <w:rPr>
          <w:b/>
          <w:sz w:val="24"/>
          <w:szCs w:val="24"/>
        </w:rPr>
      </w:pPr>
      <w:r w:rsidRPr="00D930B7">
        <w:rPr>
          <w:b/>
          <w:sz w:val="24"/>
          <w:szCs w:val="24"/>
        </w:rPr>
        <w:t>Ginebra, 10 a 14 de noviembre de 2014</w:t>
      </w:r>
    </w:p>
    <w:p w:rsidR="00B26A0E" w:rsidRPr="00D930B7" w:rsidRDefault="00B26A0E" w:rsidP="00693BF1"/>
    <w:p w:rsidR="00B26A0E" w:rsidRPr="00D930B7" w:rsidRDefault="00B26A0E" w:rsidP="008B2CC1"/>
    <w:p w:rsidR="00B26A0E" w:rsidRPr="00D930B7" w:rsidRDefault="00B26A0E" w:rsidP="008B2CC1"/>
    <w:p w:rsidR="00B26A0E" w:rsidRPr="00D930B7" w:rsidRDefault="00B26A0E" w:rsidP="008B2CC1"/>
    <w:p w:rsidR="00B26A0E" w:rsidRPr="00D930B7" w:rsidRDefault="006B5844" w:rsidP="006B5844">
      <w:pPr>
        <w:rPr>
          <w:caps/>
          <w:sz w:val="24"/>
        </w:rPr>
      </w:pPr>
      <w:bookmarkStart w:id="3" w:name="TitleOfDoc"/>
      <w:bookmarkEnd w:id="3"/>
      <w:r w:rsidRPr="00D930B7">
        <w:rPr>
          <w:caps/>
          <w:sz w:val="24"/>
        </w:rPr>
        <w:t>RESUMEN DEL ESTUDIO SOBRE LOS EFECTOS DE LOS MODELOS DE UTILIDAD EN TAILANDIA</w:t>
      </w:r>
    </w:p>
    <w:p w:rsidR="00B26A0E" w:rsidRPr="00D930B7" w:rsidRDefault="00B26A0E" w:rsidP="00D461D3">
      <w:pPr>
        <w:rPr>
          <w:caps/>
          <w:sz w:val="24"/>
        </w:rPr>
      </w:pPr>
    </w:p>
    <w:p w:rsidR="00B26A0E" w:rsidRPr="00D930B7" w:rsidRDefault="00D901CA" w:rsidP="00F64380">
      <w:pPr>
        <w:rPr>
          <w:i/>
        </w:rPr>
      </w:pPr>
      <w:proofErr w:type="gramStart"/>
      <w:r w:rsidRPr="00D930B7">
        <w:rPr>
          <w:i/>
        </w:rPr>
        <w:t>prepara</w:t>
      </w:r>
      <w:r w:rsidR="00D461D3" w:rsidRPr="00D930B7">
        <w:rPr>
          <w:i/>
        </w:rPr>
        <w:t>d</w:t>
      </w:r>
      <w:r w:rsidR="009323FA">
        <w:rPr>
          <w:i/>
        </w:rPr>
        <w:t>o</w:t>
      </w:r>
      <w:proofErr w:type="gramEnd"/>
      <w:r w:rsidR="00D461D3" w:rsidRPr="00D930B7">
        <w:rPr>
          <w:i/>
        </w:rPr>
        <w:t xml:space="preserve"> </w:t>
      </w:r>
      <w:r w:rsidRPr="00D930B7">
        <w:rPr>
          <w:i/>
        </w:rPr>
        <w:t>por la Secretaría en colaboración con la</w:t>
      </w:r>
      <w:r w:rsidR="009323FA">
        <w:rPr>
          <w:i/>
        </w:rPr>
        <w:t>s</w:t>
      </w:r>
      <w:r w:rsidRPr="00D930B7">
        <w:rPr>
          <w:i/>
        </w:rPr>
        <w:t xml:space="preserve"> Sra</w:t>
      </w:r>
      <w:r w:rsidR="009323FA">
        <w:rPr>
          <w:i/>
        </w:rPr>
        <w:t>s</w:t>
      </w:r>
      <w:r w:rsidR="00D461D3" w:rsidRPr="00D930B7">
        <w:rPr>
          <w:i/>
        </w:rPr>
        <w:t xml:space="preserve">. </w:t>
      </w:r>
      <w:proofErr w:type="spellStart"/>
      <w:r w:rsidR="00D461D3" w:rsidRPr="00D930B7">
        <w:rPr>
          <w:i/>
        </w:rPr>
        <w:t>Deunden</w:t>
      </w:r>
      <w:proofErr w:type="spellEnd"/>
      <w:r w:rsidR="00D461D3" w:rsidRPr="00D930B7">
        <w:rPr>
          <w:i/>
        </w:rPr>
        <w:t xml:space="preserve"> </w:t>
      </w:r>
      <w:proofErr w:type="spellStart"/>
      <w:r w:rsidR="00D461D3" w:rsidRPr="00D930B7">
        <w:rPr>
          <w:i/>
        </w:rPr>
        <w:t>Nikomborirak</w:t>
      </w:r>
      <w:proofErr w:type="spellEnd"/>
      <w:r w:rsidR="00D461D3" w:rsidRPr="00D930B7">
        <w:rPr>
          <w:i/>
        </w:rPr>
        <w:t>, Director</w:t>
      </w:r>
      <w:r w:rsidRPr="00D930B7">
        <w:rPr>
          <w:i/>
        </w:rPr>
        <w:t xml:space="preserve">a de </w:t>
      </w:r>
      <w:r w:rsidR="009323FA">
        <w:rPr>
          <w:i/>
        </w:rPr>
        <w:t>Investigacio</w:t>
      </w:r>
      <w:r w:rsidRPr="00D930B7">
        <w:rPr>
          <w:i/>
        </w:rPr>
        <w:t>n</w:t>
      </w:r>
      <w:r w:rsidR="009323FA">
        <w:rPr>
          <w:i/>
        </w:rPr>
        <w:t>es,</w:t>
      </w:r>
      <w:r w:rsidRPr="00D930B7">
        <w:rPr>
          <w:i/>
        </w:rPr>
        <w:t xml:space="preserve"> Programa de</w:t>
      </w:r>
      <w:r w:rsidR="00D461D3" w:rsidRPr="00D930B7">
        <w:rPr>
          <w:i/>
        </w:rPr>
        <w:t xml:space="preserve"> </w:t>
      </w:r>
      <w:r w:rsidRPr="00D930B7">
        <w:rPr>
          <w:i/>
        </w:rPr>
        <w:t>Gobernanza Económica</w:t>
      </w:r>
      <w:r w:rsidR="00D461D3" w:rsidRPr="00D930B7">
        <w:rPr>
          <w:i/>
        </w:rPr>
        <w:t xml:space="preserve">, </w:t>
      </w:r>
      <w:r w:rsidRPr="00D930B7">
        <w:rPr>
          <w:i/>
        </w:rPr>
        <w:t xml:space="preserve">y </w:t>
      </w:r>
      <w:proofErr w:type="spellStart"/>
      <w:r w:rsidR="00D461D3" w:rsidRPr="00D930B7">
        <w:rPr>
          <w:i/>
        </w:rPr>
        <w:t>Weerawan</w:t>
      </w:r>
      <w:proofErr w:type="spellEnd"/>
      <w:r w:rsidR="00D461D3" w:rsidRPr="00D930B7">
        <w:rPr>
          <w:i/>
        </w:rPr>
        <w:t xml:space="preserve"> </w:t>
      </w:r>
      <w:proofErr w:type="spellStart"/>
      <w:r w:rsidR="00D461D3" w:rsidRPr="00D930B7">
        <w:rPr>
          <w:i/>
        </w:rPr>
        <w:t>Paibunkott-aree</w:t>
      </w:r>
      <w:proofErr w:type="spellEnd"/>
      <w:r w:rsidR="00D461D3" w:rsidRPr="00D930B7">
        <w:rPr>
          <w:i/>
        </w:rPr>
        <w:t xml:space="preserve">, </w:t>
      </w:r>
      <w:r w:rsidR="009323FA" w:rsidRPr="00D930B7">
        <w:rPr>
          <w:i/>
        </w:rPr>
        <w:t>Investigadora Principal</w:t>
      </w:r>
      <w:r w:rsidR="009323FA">
        <w:rPr>
          <w:i/>
        </w:rPr>
        <w:t>,</w:t>
      </w:r>
      <w:r w:rsidR="006B5844" w:rsidRPr="00D930B7">
        <w:rPr>
          <w:i/>
        </w:rPr>
        <w:t xml:space="preserve"> </w:t>
      </w:r>
      <w:r w:rsidRPr="00D930B7">
        <w:rPr>
          <w:i/>
        </w:rPr>
        <w:t xml:space="preserve">Programa Económico Sectorial, </w:t>
      </w:r>
      <w:r w:rsidR="006B5844" w:rsidRPr="00D930B7">
        <w:rPr>
          <w:i/>
        </w:rPr>
        <w:t>Instituto de Investigaciones del Desarrollo de Tailandia (Tailandia)</w:t>
      </w:r>
    </w:p>
    <w:p w:rsidR="00B26A0E" w:rsidRPr="00D930B7" w:rsidRDefault="00B26A0E" w:rsidP="00D461D3"/>
    <w:p w:rsidR="00B26A0E" w:rsidRPr="00D930B7" w:rsidRDefault="00B26A0E" w:rsidP="00D461D3">
      <w:bookmarkStart w:id="4" w:name="Prepared"/>
      <w:bookmarkEnd w:id="4"/>
    </w:p>
    <w:p w:rsidR="00B26A0E" w:rsidRPr="00D930B7" w:rsidRDefault="00B26A0E" w:rsidP="00D461D3"/>
    <w:p w:rsidR="00B26A0E" w:rsidRPr="00D930B7" w:rsidRDefault="00D461D3" w:rsidP="00F64380">
      <w:pPr>
        <w:rPr>
          <w:rFonts w:eastAsia="Calibri"/>
        </w:rPr>
      </w:pPr>
      <w:r w:rsidRPr="00D930B7">
        <w:rPr>
          <w:rFonts w:eastAsia="Calibri"/>
          <w:sz w:val="24"/>
        </w:rPr>
        <w:t>1.</w:t>
      </w:r>
      <w:r w:rsidRPr="00D930B7">
        <w:rPr>
          <w:rFonts w:eastAsia="Calibri"/>
          <w:sz w:val="24"/>
        </w:rPr>
        <w:tab/>
      </w:r>
      <w:r w:rsidR="00DA3446" w:rsidRPr="009323FA">
        <w:rPr>
          <w:rFonts w:eastAsia="Calibri"/>
          <w:szCs w:val="22"/>
        </w:rPr>
        <w:t xml:space="preserve">El Anexo del presente documento contiene un resumen del estudio sobre los efectos de </w:t>
      </w:r>
      <w:r w:rsidR="009323FA">
        <w:rPr>
          <w:rFonts w:eastAsia="Calibri"/>
          <w:szCs w:val="22"/>
        </w:rPr>
        <w:t xml:space="preserve">los </w:t>
      </w:r>
      <w:r w:rsidR="00DA3446" w:rsidRPr="009323FA">
        <w:rPr>
          <w:rFonts w:eastAsia="Calibri"/>
          <w:szCs w:val="22"/>
        </w:rPr>
        <w:t xml:space="preserve">modelos de utilidad en </w:t>
      </w:r>
      <w:r w:rsidR="009323FA">
        <w:rPr>
          <w:rFonts w:eastAsia="Calibri"/>
          <w:szCs w:val="22"/>
        </w:rPr>
        <w:t>Tailandia</w:t>
      </w:r>
      <w:r w:rsidR="00DA3446" w:rsidRPr="009323FA">
        <w:rPr>
          <w:rFonts w:eastAsia="Calibri"/>
          <w:szCs w:val="22"/>
        </w:rPr>
        <w:t>, preparado en el marco del proyecto sobre propiedad intelectual y desarrollo socioeconómico (CDIP/5/7 Rev.), aprobado por el Comité de Desarrollo y Propiedad Intelectual (CDIP) en su quinta sesión, celebrada en abril de 2010.</w:t>
      </w:r>
      <w:r w:rsidRPr="009323FA">
        <w:rPr>
          <w:szCs w:val="22"/>
        </w:rPr>
        <w:t xml:space="preserve">  </w:t>
      </w:r>
      <w:r w:rsidR="00B26A0E" w:rsidRPr="009323FA">
        <w:rPr>
          <w:szCs w:val="22"/>
        </w:rPr>
        <w:t>E</w:t>
      </w:r>
      <w:r w:rsidR="00B26A0E" w:rsidRPr="00D930B7">
        <w:t xml:space="preserve">ste </w:t>
      </w:r>
      <w:r w:rsidR="003D556F" w:rsidRPr="00D930B7">
        <w:t>e</w:t>
      </w:r>
      <w:r w:rsidR="00B26A0E" w:rsidRPr="00D930B7">
        <w:t>studio comple</w:t>
      </w:r>
      <w:r w:rsidR="003D556F" w:rsidRPr="00D930B7">
        <w:t>men</w:t>
      </w:r>
      <w:r w:rsidR="00B26A0E" w:rsidRPr="00D930B7">
        <w:t>ta un document</w:t>
      </w:r>
      <w:r w:rsidR="003D556F" w:rsidRPr="00D930B7">
        <w:t>o</w:t>
      </w:r>
      <w:r w:rsidR="00B26A0E" w:rsidRPr="00D930B7">
        <w:t xml:space="preserve"> anterior </w:t>
      </w:r>
      <w:r w:rsidR="009323FA">
        <w:t>que ofrece un</w:t>
      </w:r>
      <w:r w:rsidR="00B26A0E" w:rsidRPr="00D930B7">
        <w:t xml:space="preserve"> análisis descriptiv</w:t>
      </w:r>
      <w:r w:rsidR="003D556F" w:rsidRPr="00D930B7">
        <w:t>o</w:t>
      </w:r>
      <w:r w:rsidR="00B26A0E" w:rsidRPr="00D930B7">
        <w:t xml:space="preserve"> </w:t>
      </w:r>
      <w:r w:rsidR="003D556F" w:rsidRPr="00D930B7">
        <w:t xml:space="preserve">de la aplicación </w:t>
      </w:r>
      <w:r w:rsidR="00B26A0E" w:rsidRPr="00D930B7">
        <w:t>y el uso de los modelos de utilidad en Tailandia</w:t>
      </w:r>
      <w:r w:rsidR="009323FA">
        <w:t xml:space="preserve"> y</w:t>
      </w:r>
      <w:r w:rsidR="00B26A0E" w:rsidRPr="00D930B7">
        <w:t xml:space="preserve"> que se present</w:t>
      </w:r>
      <w:r w:rsidR="003D556F" w:rsidRPr="00D930B7">
        <w:t>ó</w:t>
      </w:r>
      <w:r w:rsidR="00B26A0E" w:rsidRPr="00D930B7">
        <w:t xml:space="preserve"> en la d</w:t>
      </w:r>
      <w:r w:rsidR="003D556F" w:rsidRPr="00D930B7">
        <w:t>uod</w:t>
      </w:r>
      <w:r w:rsidR="00B26A0E" w:rsidRPr="00D930B7">
        <w:t>écim</w:t>
      </w:r>
      <w:r w:rsidR="003D556F" w:rsidRPr="00D930B7">
        <w:t>a</w:t>
      </w:r>
      <w:r w:rsidR="00B26A0E" w:rsidRPr="00D930B7">
        <w:t xml:space="preserve"> sesión</w:t>
      </w:r>
      <w:r w:rsidRPr="00D930B7">
        <w:t xml:space="preserve"> </w:t>
      </w:r>
      <w:r w:rsidR="003D556F" w:rsidRPr="00D930B7">
        <w:t>del CDIP, celebrada del 18 al 21 de noviembre de 2013.</w:t>
      </w:r>
      <w:r w:rsidRPr="00D930B7">
        <w:t xml:space="preserve"> </w:t>
      </w:r>
      <w:r w:rsidR="00EB34AD" w:rsidRPr="00D930B7">
        <w:t xml:space="preserve"> </w:t>
      </w:r>
      <w:r w:rsidR="003D556F" w:rsidRPr="00D930B7">
        <w:t xml:space="preserve">A partir de datos detallados y novedosos (de registros unitarios) sobre los registros de modelos de utilidad, </w:t>
      </w:r>
      <w:r w:rsidR="009323FA">
        <w:t xml:space="preserve">en </w:t>
      </w:r>
      <w:r w:rsidR="003D556F" w:rsidRPr="00D930B7">
        <w:t xml:space="preserve">el presente documento </w:t>
      </w:r>
      <w:r w:rsidR="009323FA">
        <w:t xml:space="preserve">se </w:t>
      </w:r>
      <w:r w:rsidR="003D556F" w:rsidRPr="00D930B7">
        <w:t xml:space="preserve">examina </w:t>
      </w:r>
      <w:r w:rsidR="00EB34AD" w:rsidRPr="00D930B7">
        <w:t>la manera en que</w:t>
      </w:r>
      <w:r w:rsidR="003D556F" w:rsidRPr="00D930B7">
        <w:t xml:space="preserve"> los modelos de utilidad </w:t>
      </w:r>
      <w:r w:rsidR="00EB34AD" w:rsidRPr="00D930B7">
        <w:t>afectan a</w:t>
      </w:r>
      <w:r w:rsidR="003D556F" w:rsidRPr="00D930B7">
        <w:t>l rendimiento empresarial en Tailandia.</w:t>
      </w:r>
    </w:p>
    <w:p w:rsidR="00B26A0E" w:rsidRPr="00D930B7" w:rsidRDefault="00B26A0E" w:rsidP="00D901CA">
      <w:pPr>
        <w:spacing w:line="360" w:lineRule="auto"/>
        <w:rPr>
          <w:rFonts w:eastAsia="Calibri"/>
        </w:rPr>
      </w:pPr>
    </w:p>
    <w:p w:rsidR="00B26A0E" w:rsidRPr="00D930B7" w:rsidRDefault="00F64380" w:rsidP="00F64380">
      <w:pPr>
        <w:ind w:left="4536"/>
      </w:pPr>
      <w:r>
        <w:t>2.</w:t>
      </w:r>
      <w:r>
        <w:tab/>
      </w:r>
      <w:r w:rsidR="00DA3446" w:rsidRPr="00D930B7">
        <w:rPr>
          <w:i/>
        </w:rPr>
        <w:t>Se invita al CDIP a tomar nota de la información que figura en el Anexo del presente documento.</w:t>
      </w:r>
    </w:p>
    <w:p w:rsidR="00B26A0E" w:rsidRDefault="00B26A0E" w:rsidP="00A207DC"/>
    <w:p w:rsidR="00A207DC" w:rsidRPr="00D930B7" w:rsidRDefault="00A207DC" w:rsidP="00A207DC">
      <w:bookmarkStart w:id="5" w:name="_GoBack"/>
      <w:bookmarkEnd w:id="5"/>
    </w:p>
    <w:p w:rsidR="00B26A0E" w:rsidRPr="00D930B7" w:rsidRDefault="00B26A0E" w:rsidP="00D901CA">
      <w:pPr>
        <w:spacing w:line="360" w:lineRule="auto"/>
      </w:pPr>
    </w:p>
    <w:p w:rsidR="00B26A0E" w:rsidRPr="00D930B7" w:rsidRDefault="00DA3446" w:rsidP="00DA3446">
      <w:pPr>
        <w:spacing w:line="360" w:lineRule="auto"/>
        <w:ind w:left="3969" w:firstLine="567"/>
      </w:pPr>
      <w:r w:rsidRPr="00D930B7">
        <w:t>[Sigue el Anexo]</w:t>
      </w:r>
    </w:p>
    <w:p w:rsidR="00B26A0E" w:rsidRPr="00D930B7" w:rsidRDefault="00B26A0E" w:rsidP="00D901CA">
      <w:pPr>
        <w:spacing w:line="360" w:lineRule="auto"/>
      </w:pPr>
    </w:p>
    <w:p w:rsidR="00D461D3" w:rsidRPr="00D930B7" w:rsidRDefault="00D461D3" w:rsidP="00D901CA">
      <w:pPr>
        <w:spacing w:line="360" w:lineRule="auto"/>
        <w:sectPr w:rsidR="00D461D3" w:rsidRPr="00D930B7" w:rsidSect="00D461D3">
          <w:headerReference w:type="default" r:id="rId10"/>
          <w:headerReference w:type="first" r:id="rId11"/>
          <w:footerReference w:type="first" r:id="rId12"/>
          <w:pgSz w:w="11906" w:h="16838" w:code="9"/>
          <w:pgMar w:top="567" w:right="1134" w:bottom="1418" w:left="1418" w:header="709" w:footer="709" w:gutter="0"/>
          <w:pgNumType w:start="0"/>
          <w:cols w:space="720"/>
          <w:docGrid w:linePitch="408"/>
        </w:sectPr>
      </w:pPr>
    </w:p>
    <w:p w:rsidR="00B26A0E" w:rsidRPr="00D930B7" w:rsidRDefault="00EB34AD" w:rsidP="00F64380">
      <w:pPr>
        <w:pStyle w:val="BodyText"/>
        <w:rPr>
          <w:b/>
          <w:caps/>
          <w:szCs w:val="22"/>
        </w:rPr>
      </w:pPr>
      <w:r w:rsidRPr="00D930B7">
        <w:rPr>
          <w:b/>
          <w:caps/>
          <w:szCs w:val="22"/>
        </w:rPr>
        <w:lastRenderedPageBreak/>
        <w:t>EFECTOS DE LOS MODELOS DE UTILIDAD EN EL RENDIMIENTO DE LAS EMPRESAS EN TAILANDIA</w:t>
      </w:r>
    </w:p>
    <w:p w:rsidR="00B26A0E" w:rsidRPr="00D930B7" w:rsidRDefault="00DA3446" w:rsidP="00F64380">
      <w:pPr>
        <w:pStyle w:val="BodyText"/>
        <w:rPr>
          <w:b/>
        </w:rPr>
      </w:pPr>
      <w:r w:rsidRPr="00D930B7">
        <w:rPr>
          <w:b/>
        </w:rPr>
        <w:t>RESUMEN</w:t>
      </w:r>
    </w:p>
    <w:p w:rsidR="00B26A0E" w:rsidRPr="00D930B7" w:rsidRDefault="00EB34AD" w:rsidP="00F64380">
      <w:pPr>
        <w:rPr>
          <w:rFonts w:eastAsia="Calibri"/>
        </w:rPr>
      </w:pPr>
      <w:bookmarkStart w:id="6" w:name="_Toc384911741"/>
      <w:r w:rsidRPr="00D930B7">
        <w:rPr>
          <w:rFonts w:eastAsia="Calibri"/>
        </w:rPr>
        <w:t xml:space="preserve">El presente documento </w:t>
      </w:r>
      <w:r w:rsidR="0046302F">
        <w:rPr>
          <w:rFonts w:eastAsia="Calibri"/>
        </w:rPr>
        <w:t>resulta</w:t>
      </w:r>
      <w:r w:rsidRPr="00D930B7">
        <w:rPr>
          <w:rFonts w:eastAsia="Calibri"/>
        </w:rPr>
        <w:t xml:space="preserve"> del proyecto sobre propiedad intelectual y desarrollo socioeconómico del Comité de Desarrollo y Propiedad Intelectual (CDIP), que consiste en una serie de estudios económicos con los que se trata de aportar información sobre los efectos de la protección de la P.I. en los países menos desarrollados</w:t>
      </w:r>
      <w:r w:rsidR="001D5189" w:rsidRPr="00D930B7">
        <w:rPr>
          <w:rFonts w:eastAsia="Calibri"/>
        </w:rPr>
        <w:t>.</w:t>
      </w:r>
      <w:r w:rsidR="00D461D3" w:rsidRPr="00D930B7">
        <w:rPr>
          <w:rFonts w:eastAsia="Calibri"/>
          <w:vertAlign w:val="superscript"/>
        </w:rPr>
        <w:footnoteReference w:id="2"/>
      </w:r>
      <w:r w:rsidR="00D461D3" w:rsidRPr="00D930B7">
        <w:rPr>
          <w:rFonts w:eastAsia="Calibri"/>
        </w:rPr>
        <w:t xml:space="preserve">  </w:t>
      </w:r>
      <w:r w:rsidRPr="00D930B7">
        <w:rPr>
          <w:rFonts w:eastAsia="Calibri"/>
        </w:rPr>
        <w:t xml:space="preserve">En particular, </w:t>
      </w:r>
      <w:r w:rsidR="00B67789">
        <w:rPr>
          <w:rFonts w:eastAsia="Calibri"/>
        </w:rPr>
        <w:t xml:space="preserve">en </w:t>
      </w:r>
      <w:r w:rsidRPr="00D930B7">
        <w:rPr>
          <w:rFonts w:eastAsia="Calibri"/>
        </w:rPr>
        <w:t xml:space="preserve">este estudio </w:t>
      </w:r>
      <w:r w:rsidR="00B67789">
        <w:rPr>
          <w:rFonts w:eastAsia="Calibri"/>
        </w:rPr>
        <w:t xml:space="preserve">se </w:t>
      </w:r>
      <w:r w:rsidRPr="00D930B7">
        <w:rPr>
          <w:rFonts w:eastAsia="Calibri"/>
        </w:rPr>
        <w:t>analiza</w:t>
      </w:r>
      <w:r w:rsidR="00B67789">
        <w:rPr>
          <w:rFonts w:eastAsia="Calibri"/>
        </w:rPr>
        <w:t>n</w:t>
      </w:r>
      <w:r w:rsidRPr="00D930B7">
        <w:rPr>
          <w:rFonts w:eastAsia="Calibri"/>
        </w:rPr>
        <w:t xml:space="preserve"> los efectos de la protección mediante mo</w:t>
      </w:r>
      <w:r w:rsidR="00C13162" w:rsidRPr="00D930B7">
        <w:rPr>
          <w:rFonts w:eastAsia="Calibri"/>
        </w:rPr>
        <w:t xml:space="preserve">delos de utilidad en Tailandia, país de ingresos medianos altos. </w:t>
      </w:r>
      <w:r w:rsidR="00D461D3" w:rsidRPr="00D930B7">
        <w:rPr>
          <w:rFonts w:eastAsia="Calibri"/>
        </w:rPr>
        <w:t xml:space="preserve"> </w:t>
      </w:r>
      <w:r w:rsidR="00C13162" w:rsidRPr="00D930B7">
        <w:rPr>
          <w:rFonts w:eastAsia="Calibri"/>
        </w:rPr>
        <w:t xml:space="preserve">Los resultados de este </w:t>
      </w:r>
      <w:r w:rsidR="001D5189" w:rsidRPr="00D930B7">
        <w:rPr>
          <w:rFonts w:eastAsia="Calibri"/>
        </w:rPr>
        <w:t>e</w:t>
      </w:r>
      <w:r w:rsidR="00C13162" w:rsidRPr="00D930B7">
        <w:rPr>
          <w:rFonts w:eastAsia="Calibri"/>
        </w:rPr>
        <w:t>studio</w:t>
      </w:r>
      <w:r w:rsidR="009323FA">
        <w:rPr>
          <w:rFonts w:eastAsia="Calibri"/>
        </w:rPr>
        <w:t xml:space="preserve"> de país</w:t>
      </w:r>
      <w:r w:rsidR="00C13162" w:rsidRPr="00D930B7">
        <w:rPr>
          <w:rFonts w:eastAsia="Calibri"/>
        </w:rPr>
        <w:t xml:space="preserve"> se dividen en dos pa</w:t>
      </w:r>
      <w:r w:rsidR="009323FA">
        <w:rPr>
          <w:rFonts w:eastAsia="Calibri"/>
        </w:rPr>
        <w:t>rtes</w:t>
      </w:r>
      <w:proofErr w:type="gramStart"/>
      <w:r w:rsidR="009323FA">
        <w:rPr>
          <w:rFonts w:eastAsia="Calibri"/>
        </w:rPr>
        <w:t>:  el</w:t>
      </w:r>
      <w:proofErr w:type="gramEnd"/>
      <w:r w:rsidR="009323FA">
        <w:rPr>
          <w:rFonts w:eastAsia="Calibri"/>
        </w:rPr>
        <w:t xml:space="preserve"> primer documento cont</w:t>
      </w:r>
      <w:r w:rsidR="00C13162" w:rsidRPr="00D930B7">
        <w:rPr>
          <w:rFonts w:eastAsia="Calibri"/>
        </w:rPr>
        <w:t>en</w:t>
      </w:r>
      <w:r w:rsidR="009323FA">
        <w:rPr>
          <w:rFonts w:eastAsia="Calibri"/>
        </w:rPr>
        <w:t>ía</w:t>
      </w:r>
      <w:r w:rsidR="00C13162" w:rsidRPr="00D930B7">
        <w:rPr>
          <w:rFonts w:eastAsia="Calibri"/>
        </w:rPr>
        <w:t xml:space="preserve"> un análisis </w:t>
      </w:r>
      <w:r w:rsidR="001D5189" w:rsidRPr="00D930B7">
        <w:rPr>
          <w:rFonts w:eastAsia="Calibri"/>
        </w:rPr>
        <w:t>descriptivo</w:t>
      </w:r>
      <w:r w:rsidR="00C13162" w:rsidRPr="00D930B7">
        <w:rPr>
          <w:rFonts w:eastAsia="Calibri"/>
        </w:rPr>
        <w:t xml:space="preserve"> del uso de la protección </w:t>
      </w:r>
      <w:r w:rsidR="006A060B">
        <w:rPr>
          <w:rFonts w:eastAsia="Calibri"/>
        </w:rPr>
        <w:t>por</w:t>
      </w:r>
      <w:r w:rsidR="00C13162" w:rsidRPr="00D930B7">
        <w:rPr>
          <w:rFonts w:eastAsia="Calibri"/>
        </w:rPr>
        <w:t xml:space="preserve"> modelos de utilidad en Tailandia y se presentó en la duodécima s</w:t>
      </w:r>
      <w:r w:rsidR="001D5189" w:rsidRPr="00D930B7">
        <w:rPr>
          <w:rFonts w:eastAsia="Calibri"/>
        </w:rPr>
        <w:t>esión del CDIP, celebrada en noviembre de 2013.</w:t>
      </w:r>
      <w:r w:rsidR="00D461D3" w:rsidRPr="00D930B7">
        <w:rPr>
          <w:rFonts w:eastAsia="Calibri"/>
          <w:vertAlign w:val="superscript"/>
        </w:rPr>
        <w:footnoteReference w:id="3"/>
      </w:r>
      <w:r w:rsidR="00D461D3" w:rsidRPr="00D930B7">
        <w:rPr>
          <w:rFonts w:eastAsia="Calibri"/>
        </w:rPr>
        <w:t xml:space="preserve">  </w:t>
      </w:r>
      <w:r w:rsidR="001D5189" w:rsidRPr="00D930B7">
        <w:rPr>
          <w:rFonts w:eastAsia="Calibri"/>
        </w:rPr>
        <w:t>Este segundo documento examina la manera en que la protección mediante modelos de utilidad afecta al rendimiento económico de las empresas tailandesas.</w:t>
      </w:r>
    </w:p>
    <w:p w:rsidR="00B26A0E" w:rsidRPr="00D930B7" w:rsidRDefault="00B26A0E" w:rsidP="00F64380"/>
    <w:p w:rsidR="00B26A0E" w:rsidRPr="00D930B7" w:rsidRDefault="00B64CEF" w:rsidP="00F64380">
      <w:r w:rsidRPr="00D930B7">
        <w:t>Para</w:t>
      </w:r>
      <w:r w:rsidR="001D5189" w:rsidRPr="00D930B7">
        <w:t xml:space="preserve"> realizar esta investigación, nos hemos </w:t>
      </w:r>
      <w:r w:rsidRPr="00D930B7">
        <w:t>servido de una base de datos novedosa y completa sobre modelos de utilidad en Tailandia, fruto del esfuerzo conjunto del Instituto de Investigaciones del Desarrollo de Tailandia (TDRI) y la Organización Mundial de la Propiedad Intelectual (OMPI)</w:t>
      </w:r>
      <w:r w:rsidR="008B56F8" w:rsidRPr="00D930B7">
        <w:t xml:space="preserve">, en estrecha colaboración con el Departamento de Propiedad Intelectual </w:t>
      </w:r>
      <w:r w:rsidR="009323FA" w:rsidRPr="00D930B7">
        <w:t>de Tailandia</w:t>
      </w:r>
      <w:r w:rsidR="009323FA">
        <w:t xml:space="preserve">, encuadrado en </w:t>
      </w:r>
      <w:r w:rsidR="008B56F8" w:rsidRPr="00D930B7">
        <w:t>el Ministerio de Comercio</w:t>
      </w:r>
      <w:r w:rsidR="00D461D3" w:rsidRPr="00D930B7">
        <w:t>.</w:t>
      </w:r>
      <w:r w:rsidR="00D461D3" w:rsidRPr="00D930B7">
        <w:rPr>
          <w:vertAlign w:val="superscript"/>
        </w:rPr>
        <w:footnoteReference w:id="4"/>
      </w:r>
      <w:r w:rsidR="00D461D3" w:rsidRPr="00D930B7">
        <w:t xml:space="preserve">  </w:t>
      </w:r>
      <w:r w:rsidR="00B26A0E" w:rsidRPr="00D930B7">
        <w:t xml:space="preserve">Esta base de datos contiene todos los modelos de utilidad registrados en Tailandia desde octubre de 1996 a septiembre de 2012, así como </w:t>
      </w:r>
      <w:r w:rsidR="008B56F8" w:rsidRPr="00D930B7">
        <w:t>otras</w:t>
      </w:r>
      <w:r w:rsidR="00B26A0E" w:rsidRPr="00D930B7">
        <w:t xml:space="preserve"> informaci</w:t>
      </w:r>
      <w:r w:rsidR="008B56F8" w:rsidRPr="00D930B7">
        <w:t>ones</w:t>
      </w:r>
      <w:r w:rsidR="00B26A0E" w:rsidRPr="00D930B7">
        <w:t xml:space="preserve"> </w:t>
      </w:r>
      <w:r w:rsidR="008B56F8" w:rsidRPr="00D930B7">
        <w:t>de interés</w:t>
      </w:r>
      <w:r w:rsidR="00B26A0E" w:rsidRPr="00D930B7">
        <w:t>.</w:t>
      </w:r>
      <w:r w:rsidR="00D461D3" w:rsidRPr="00D930B7">
        <w:t xml:space="preserve">  </w:t>
      </w:r>
      <w:r w:rsidR="009276A7" w:rsidRPr="00D930B7">
        <w:t>D</w:t>
      </w:r>
      <w:r w:rsidR="008B56F8" w:rsidRPr="00D930B7">
        <w:t xml:space="preserve">e esta serie de datos, </w:t>
      </w:r>
      <w:r w:rsidR="009276A7" w:rsidRPr="00D930B7">
        <w:t>seleccionamos las solicitudes presentadas por empresas locales, o que podían atribuirse a dichas empresas, en el período comprendido entre 1999 y 2012 y se extrajo también información específica sobre cada empresa.</w:t>
      </w:r>
    </w:p>
    <w:p w:rsidR="00B26A0E" w:rsidRPr="00D930B7" w:rsidRDefault="00B26A0E" w:rsidP="00F64380">
      <w:pPr>
        <w:rPr>
          <w:rFonts w:eastAsia="Calibri"/>
        </w:rPr>
      </w:pPr>
    </w:p>
    <w:p w:rsidR="00B26A0E" w:rsidRPr="00D930B7" w:rsidRDefault="009276A7" w:rsidP="00F64380">
      <w:pPr>
        <w:rPr>
          <w:rFonts w:eastAsia="Calibri"/>
        </w:rPr>
      </w:pPr>
      <w:r w:rsidRPr="00D930B7">
        <w:rPr>
          <w:rFonts w:eastAsia="Calibri"/>
        </w:rPr>
        <w:t>Nuestra labor de investigación se lleva a cabo en cuatro fases.  En primer lugar, determinamos si existe una relación entre la presentación de solicitudes de modelos de utilidad y el rendimiento de las empresas observando si ha habido un efecto en dicho rendimiento antes y después de pedir la protección mediante modelos de utilidad.</w:t>
      </w:r>
      <w:r w:rsidR="00D461D3" w:rsidRPr="00D930B7">
        <w:rPr>
          <w:rFonts w:eastAsia="Calibri"/>
        </w:rPr>
        <w:t xml:space="preserve">  </w:t>
      </w:r>
      <w:r w:rsidR="0059256C" w:rsidRPr="00D930B7">
        <w:rPr>
          <w:rFonts w:eastAsia="Calibri"/>
        </w:rPr>
        <w:t xml:space="preserve">En segundo lugar, tratamos de decidir si las empresas que solicitan </w:t>
      </w:r>
      <w:r w:rsidR="009323FA">
        <w:rPr>
          <w:rFonts w:eastAsia="Calibri"/>
        </w:rPr>
        <w:t xml:space="preserve">esta </w:t>
      </w:r>
      <w:r w:rsidR="0059256C" w:rsidRPr="00D930B7">
        <w:rPr>
          <w:rFonts w:eastAsia="Calibri"/>
        </w:rPr>
        <w:t xml:space="preserve">protección presentan unas características específicas. </w:t>
      </w:r>
      <w:r w:rsidR="00D461D3" w:rsidRPr="00D930B7">
        <w:rPr>
          <w:rFonts w:eastAsia="Calibri"/>
        </w:rPr>
        <w:t xml:space="preserve"> </w:t>
      </w:r>
      <w:r w:rsidR="0059256C" w:rsidRPr="00D930B7">
        <w:rPr>
          <w:rFonts w:eastAsia="Calibri"/>
        </w:rPr>
        <w:t xml:space="preserve">Así, se podría dar el caso de que las empresas de determinados sectores industriales tendiesen a solicitar esta protección más que otras. </w:t>
      </w:r>
      <w:r w:rsidR="00D461D3" w:rsidRPr="00D930B7">
        <w:rPr>
          <w:rFonts w:eastAsia="Calibri"/>
        </w:rPr>
        <w:t xml:space="preserve"> </w:t>
      </w:r>
      <w:r w:rsidR="0059256C" w:rsidRPr="00D930B7">
        <w:rPr>
          <w:rFonts w:eastAsia="Calibri"/>
        </w:rPr>
        <w:t xml:space="preserve">A continuación, llevamos a cabo </w:t>
      </w:r>
      <w:r w:rsidR="00C15042" w:rsidRPr="00D930B7">
        <w:rPr>
          <w:rFonts w:eastAsia="Calibri"/>
        </w:rPr>
        <w:t>regresiones econométricas para establecer si la protección mediante modelos de utilidad tiene efectos y determinar la magnitud de los mismos en las empresas.</w:t>
      </w:r>
    </w:p>
    <w:p w:rsidR="00B26A0E" w:rsidRPr="00D930B7" w:rsidRDefault="00B26A0E" w:rsidP="00F64380"/>
    <w:p w:rsidR="00B26A0E" w:rsidRPr="00D930B7" w:rsidRDefault="00C15042" w:rsidP="00F64380">
      <w:r w:rsidRPr="00D930B7">
        <w:t xml:space="preserve">Una manera de analizar la relación entre la protección mediante modelos de utilidad y los indicadores </w:t>
      </w:r>
      <w:r w:rsidR="009323FA">
        <w:t>del rendimiento</w:t>
      </w:r>
      <w:r w:rsidRPr="00D930B7">
        <w:t xml:space="preserve"> empresarial es realizar un gráfico comparativo de dichas variables.</w:t>
      </w:r>
      <w:r w:rsidR="00D461D3" w:rsidRPr="00D930B7">
        <w:t xml:space="preserve">  </w:t>
      </w:r>
      <w:r w:rsidR="0043201C" w:rsidRPr="00D930B7">
        <w:t>En los gráficos de</w:t>
      </w:r>
      <w:r w:rsidR="00C90706" w:rsidRPr="00D930B7">
        <w:t xml:space="preserve"> </w:t>
      </w:r>
      <w:r w:rsidR="0043201C" w:rsidRPr="00D930B7">
        <w:t>l</w:t>
      </w:r>
      <w:r w:rsidR="00C90706" w:rsidRPr="00D930B7">
        <w:t>a</w:t>
      </w:r>
      <w:r w:rsidR="0043201C" w:rsidRPr="00D930B7">
        <w:t xml:space="preserve"> </w:t>
      </w:r>
      <w:r w:rsidR="00C90706" w:rsidRPr="00D930B7">
        <w:t>figura</w:t>
      </w:r>
      <w:r w:rsidR="0043201C" w:rsidRPr="00D930B7">
        <w:t xml:space="preserve"> E-1 se representa el momento en el que las empresas han solicitado los modelos de utilidad con respecto a los tres indicadores </w:t>
      </w:r>
      <w:r w:rsidR="009323FA">
        <w:t>del rendimiento</w:t>
      </w:r>
      <w:r w:rsidR="0043201C" w:rsidRPr="00D930B7">
        <w:t xml:space="preserve"> financiero de las empresas</w:t>
      </w:r>
      <w:proofErr w:type="gramStart"/>
      <w:r w:rsidR="0043201C" w:rsidRPr="00D930B7">
        <w:t>:  las</w:t>
      </w:r>
      <w:proofErr w:type="gramEnd"/>
      <w:r w:rsidR="0043201C" w:rsidRPr="00D930B7">
        <w:t xml:space="preserve"> ventas netas, el beneficio neto y la relación ventas-costos</w:t>
      </w:r>
      <w:r w:rsidR="002F74CA" w:rsidRPr="00D930B7">
        <w:t>.</w:t>
      </w:r>
    </w:p>
    <w:p w:rsidR="00B26A0E" w:rsidRPr="00D930B7" w:rsidRDefault="00B26A0E" w:rsidP="00F64380"/>
    <w:p w:rsidR="00B26A0E" w:rsidRPr="00D930B7" w:rsidRDefault="002F74CA" w:rsidP="00F64380">
      <w:r w:rsidRPr="00D930B7">
        <w:t>De media, las empresas que recurren a modelos de utilidad parecen tener un mayor</w:t>
      </w:r>
      <w:r w:rsidR="00003EEC">
        <w:t xml:space="preserve"> rendimiento </w:t>
      </w:r>
      <w:r w:rsidR="00866F4B">
        <w:t xml:space="preserve">en </w:t>
      </w:r>
      <w:r w:rsidR="00866F4B" w:rsidRPr="00D930B7">
        <w:t>los tres indicadores</w:t>
      </w:r>
      <w:r w:rsidR="00866F4B">
        <w:t xml:space="preserve"> considerados </w:t>
      </w:r>
      <w:r w:rsidR="00003EEC">
        <w:t>después de haber presentado las solicitudes de modelos de utilidad</w:t>
      </w:r>
      <w:r w:rsidR="00866F4B">
        <w:t>,</w:t>
      </w:r>
      <w:r w:rsidRPr="00D930B7">
        <w:t xml:space="preserve"> con </w:t>
      </w:r>
      <w:r w:rsidR="00003EEC">
        <w:t xml:space="preserve">varias diferencias </w:t>
      </w:r>
      <w:r w:rsidRPr="00D930B7">
        <w:t>considerables.</w:t>
      </w:r>
      <w:r w:rsidR="00D461D3" w:rsidRPr="00D930B7">
        <w:t xml:space="preserve">  </w:t>
      </w:r>
      <w:r w:rsidRPr="00D930B7">
        <w:t xml:space="preserve">Cinco años después de </w:t>
      </w:r>
      <w:r w:rsidR="009323FA">
        <w:t xml:space="preserve">haber </w:t>
      </w:r>
      <w:r w:rsidRPr="00D930B7">
        <w:t>solicita</w:t>
      </w:r>
      <w:r w:rsidR="009323FA">
        <w:t>do</w:t>
      </w:r>
      <w:r w:rsidRPr="00D930B7">
        <w:t xml:space="preserve"> la protecci</w:t>
      </w:r>
      <w:r w:rsidR="00BE2265" w:rsidRPr="00D930B7">
        <w:t xml:space="preserve">ón por modelos de utilidad, la </w:t>
      </w:r>
      <w:r w:rsidR="00003EEC">
        <w:t xml:space="preserve">empresa </w:t>
      </w:r>
      <w:r w:rsidR="009217F5">
        <w:t>media</w:t>
      </w:r>
      <w:r w:rsidR="00003EEC">
        <w:t xml:space="preserve"> tailandesa</w:t>
      </w:r>
      <w:r w:rsidR="00866F4B">
        <w:t xml:space="preserve"> ha multiplicado por seis la</w:t>
      </w:r>
      <w:r w:rsidR="00BE2265" w:rsidRPr="00D930B7">
        <w:t xml:space="preserve">s ventas </w:t>
      </w:r>
      <w:r w:rsidR="00866F4B">
        <w:t xml:space="preserve">de los </w:t>
      </w:r>
      <w:r w:rsidR="00BE2265" w:rsidRPr="00D930B7">
        <w:t>cinco años ante</w:t>
      </w:r>
      <w:r w:rsidR="00866F4B">
        <w:t>riore</w:t>
      </w:r>
      <w:r w:rsidR="00BE2265" w:rsidRPr="00D930B7">
        <w:t xml:space="preserve">s </w:t>
      </w:r>
      <w:r w:rsidR="00866F4B">
        <w:t xml:space="preserve">a la presentación de </w:t>
      </w:r>
      <w:r w:rsidR="00BE2265" w:rsidRPr="00D930B7">
        <w:t>la solicitud (lo cual representa un aumento de</w:t>
      </w:r>
      <w:r w:rsidR="0012144C" w:rsidRPr="00D930B7">
        <w:t> 1.000 a</w:t>
      </w:r>
      <w:r w:rsidR="00BE2265" w:rsidRPr="00D930B7">
        <w:t> 6</w:t>
      </w:r>
      <w:r w:rsidR="0012144C" w:rsidRPr="00D930B7">
        <w:t>.000</w:t>
      </w:r>
      <w:r w:rsidR="00BE2265" w:rsidRPr="00D930B7">
        <w:t xml:space="preserve"> millones de baht</w:t>
      </w:r>
      <w:r w:rsidR="00C54028" w:rsidRPr="00D930B7">
        <w:t>, que equivale aproximadam</w:t>
      </w:r>
      <w:r w:rsidR="00C54028" w:rsidRPr="009054E5">
        <w:t>ente a</w:t>
      </w:r>
      <w:r w:rsidR="0012144C" w:rsidRPr="009054E5">
        <w:t xml:space="preserve"> </w:t>
      </w:r>
      <w:r w:rsidR="0012144C" w:rsidRPr="009054E5">
        <w:lastRenderedPageBreak/>
        <w:t>pasar de</w:t>
      </w:r>
      <w:r w:rsidR="00C54028" w:rsidRPr="009054E5">
        <w:t xml:space="preserve"> 32,2 </w:t>
      </w:r>
      <w:r w:rsidR="002964E0" w:rsidRPr="009054E5">
        <w:t xml:space="preserve">millones </w:t>
      </w:r>
      <w:r w:rsidR="0012144C" w:rsidRPr="009054E5">
        <w:t xml:space="preserve">a 96 millones </w:t>
      </w:r>
      <w:r w:rsidR="002964E0" w:rsidRPr="009054E5">
        <w:t>de dólares de los EE.UU.</w:t>
      </w:r>
      <w:r w:rsidR="009054E5" w:rsidRPr="009054E5">
        <w:t>, respectivamente</w:t>
      </w:r>
      <w:r w:rsidR="00BE2265" w:rsidRPr="00D930B7">
        <w:t>)</w:t>
      </w:r>
      <w:r w:rsidR="00D461D3" w:rsidRPr="00D930B7">
        <w:rPr>
          <w:vertAlign w:val="superscript"/>
        </w:rPr>
        <w:footnoteReference w:id="5"/>
      </w:r>
      <w:r w:rsidR="00D461D3" w:rsidRPr="00D930B7">
        <w:t xml:space="preserve">  </w:t>
      </w:r>
      <w:r w:rsidR="00F36DEF" w:rsidRPr="00D930B7">
        <w:t xml:space="preserve">De forma similar, una vez que la empresa </w:t>
      </w:r>
      <w:r w:rsidR="009217F5">
        <w:t>media</w:t>
      </w:r>
      <w:r w:rsidR="00866F4B">
        <w:t xml:space="preserve"> </w:t>
      </w:r>
      <w:r w:rsidR="009323FA">
        <w:t xml:space="preserve">hubo </w:t>
      </w:r>
      <w:r w:rsidR="00F36DEF" w:rsidRPr="00D930B7">
        <w:t>solicit</w:t>
      </w:r>
      <w:r w:rsidR="009323FA">
        <w:t>ado</w:t>
      </w:r>
      <w:r w:rsidR="00F36DEF" w:rsidRPr="00D930B7">
        <w:t xml:space="preserve"> la protección </w:t>
      </w:r>
      <w:r w:rsidR="006A060B">
        <w:t>por</w:t>
      </w:r>
      <w:r w:rsidR="00F36DEF" w:rsidRPr="00D930B7">
        <w:t xml:space="preserve"> modelos de utilidad, su beneficio neto aumentó de 20 millones de b</w:t>
      </w:r>
      <w:r w:rsidR="00F36DEF" w:rsidRPr="00C62EF6">
        <w:t xml:space="preserve">aht a 350 millones de baht (de 643.500 </w:t>
      </w:r>
      <w:r w:rsidR="00B8621F" w:rsidRPr="00C62EF6">
        <w:t xml:space="preserve">dólares de los EE.UU. </w:t>
      </w:r>
      <w:r w:rsidR="00F36DEF" w:rsidRPr="00C62EF6">
        <w:t>a 11,3 millones de dólares de</w:t>
      </w:r>
      <w:r w:rsidR="00F36DEF" w:rsidRPr="00D930B7">
        <w:t xml:space="preserve"> los EE.UU., </w:t>
      </w:r>
      <w:r w:rsidR="00C62EF6">
        <w:t>respectivamente</w:t>
      </w:r>
      <w:r w:rsidR="00F36DEF" w:rsidRPr="00D930B7">
        <w:t>)</w:t>
      </w:r>
      <w:r w:rsidR="00D461D3" w:rsidRPr="00D930B7">
        <w:t>.</w:t>
      </w:r>
      <w:r w:rsidR="00D461D3" w:rsidRPr="00D930B7">
        <w:rPr>
          <w:vertAlign w:val="superscript"/>
        </w:rPr>
        <w:footnoteReference w:id="6"/>
      </w:r>
      <w:r w:rsidR="00D461D3" w:rsidRPr="00D930B7">
        <w:t xml:space="preserve">  </w:t>
      </w:r>
      <w:r w:rsidR="008E7953" w:rsidRPr="00D930B7">
        <w:t>Por último, la relación</w:t>
      </w:r>
      <w:r w:rsidR="00E449B0">
        <w:t xml:space="preserve"> ventas-costos de la empresa </w:t>
      </w:r>
      <w:r w:rsidR="009217F5">
        <w:t>media</w:t>
      </w:r>
      <w:r w:rsidR="00866F4B">
        <w:t xml:space="preserve"> </w:t>
      </w:r>
      <w:r w:rsidR="008E7953" w:rsidRPr="00D930B7">
        <w:t xml:space="preserve">también es más favorable tras </w:t>
      </w:r>
      <w:r w:rsidR="009323FA">
        <w:t xml:space="preserve">haber solicitado </w:t>
      </w:r>
      <w:r w:rsidR="008E7953" w:rsidRPr="00D930B7">
        <w:t xml:space="preserve">modelos de utilidad, aunque el aumento es </w:t>
      </w:r>
      <w:r w:rsidR="00866F4B">
        <w:t>más le</w:t>
      </w:r>
      <w:r w:rsidR="0046302F">
        <w:t>ve</w:t>
      </w:r>
      <w:r w:rsidR="008E7953" w:rsidRPr="00D930B7">
        <w:t xml:space="preserve"> dado que la tendencia es más volátil durante el </w:t>
      </w:r>
      <w:r w:rsidR="009323FA">
        <w:t>período</w:t>
      </w:r>
      <w:r w:rsidR="008E7953" w:rsidRPr="00D930B7">
        <w:t xml:space="preserve"> de la investigación.  Para ayudar a contextualizar la </w:t>
      </w:r>
      <w:r w:rsidR="00932C58">
        <w:t>evolución</w:t>
      </w:r>
      <w:r w:rsidR="008E7953" w:rsidRPr="00D930B7">
        <w:t xml:space="preserve"> empresarial </w:t>
      </w:r>
      <w:r w:rsidR="00603087" w:rsidRPr="00D930B7">
        <w:t>d</w:t>
      </w:r>
      <w:r w:rsidR="008E7953" w:rsidRPr="00D930B7">
        <w:t xml:space="preserve">e las empresas tailandesas durante el mismo período, incluimos un gráfico que representa los </w:t>
      </w:r>
      <w:r w:rsidR="00603087" w:rsidRPr="00D930B7">
        <w:t>ga</w:t>
      </w:r>
      <w:r w:rsidR="008E7953" w:rsidRPr="00D930B7">
        <w:t xml:space="preserve">stos de funcionamiento </w:t>
      </w:r>
      <w:r w:rsidR="007859B2">
        <w:t xml:space="preserve">de la empresa </w:t>
      </w:r>
      <w:r w:rsidR="009217F5">
        <w:t>media</w:t>
      </w:r>
      <w:r w:rsidR="00866F4B">
        <w:t xml:space="preserve"> </w:t>
      </w:r>
      <w:r w:rsidR="00603087" w:rsidRPr="00D930B7">
        <w:t>a lo largo del tiempo</w:t>
      </w:r>
      <w:r w:rsidR="008E7953" w:rsidRPr="00D930B7">
        <w:t xml:space="preserve"> </w:t>
      </w:r>
      <w:r w:rsidR="008A38E2">
        <w:t>en función de</w:t>
      </w:r>
      <w:r w:rsidR="00866F4B">
        <w:t xml:space="preserve"> la fecha de</w:t>
      </w:r>
      <w:r w:rsidR="00FC3585">
        <w:t xml:space="preserve"> </w:t>
      </w:r>
      <w:r w:rsidR="00866F4B">
        <w:t>presentación de</w:t>
      </w:r>
      <w:r w:rsidR="009323FA">
        <w:t xml:space="preserve"> </w:t>
      </w:r>
      <w:r w:rsidR="008E7953" w:rsidRPr="00D930B7">
        <w:t>solicitud</w:t>
      </w:r>
      <w:r w:rsidR="00866F4B">
        <w:t>es</w:t>
      </w:r>
      <w:r w:rsidR="008E7953" w:rsidRPr="00D930B7">
        <w:t xml:space="preserve"> de modelos de utilidad (véase el gráfico</w:t>
      </w:r>
      <w:r w:rsidR="00603087" w:rsidRPr="00D930B7">
        <w:t> </w:t>
      </w:r>
      <w:r w:rsidR="008E7953" w:rsidRPr="00D930B7">
        <w:t>E-1</w:t>
      </w:r>
      <w:r w:rsidR="00603087" w:rsidRPr="00D930B7">
        <w:t xml:space="preserve"> d)</w:t>
      </w:r>
      <w:r w:rsidR="008E7953" w:rsidRPr="00D930B7">
        <w:t>).</w:t>
      </w:r>
    </w:p>
    <w:p w:rsidR="00B26A0E" w:rsidRPr="00D930B7" w:rsidRDefault="00B26A0E" w:rsidP="00F64380"/>
    <w:p w:rsidR="00D461D3" w:rsidRPr="00D930B7" w:rsidRDefault="00C90706" w:rsidP="00F64380">
      <w:pPr>
        <w:rPr>
          <w:rFonts w:eastAsia="MS Mincho"/>
          <w:b/>
          <w:bCs/>
          <w:sz w:val="18"/>
          <w:szCs w:val="18"/>
        </w:rPr>
      </w:pPr>
      <w:r w:rsidRPr="00D930B7">
        <w:rPr>
          <w:rFonts w:eastAsia="MS Mincho"/>
          <w:b/>
          <w:bCs/>
          <w:sz w:val="18"/>
          <w:szCs w:val="18"/>
        </w:rPr>
        <w:t>Figura</w:t>
      </w:r>
      <w:r w:rsidR="00603087" w:rsidRPr="00D930B7">
        <w:rPr>
          <w:rFonts w:eastAsia="MS Mincho"/>
          <w:b/>
          <w:bCs/>
          <w:sz w:val="18"/>
          <w:szCs w:val="18"/>
        </w:rPr>
        <w:t> </w:t>
      </w:r>
      <w:r w:rsidR="00D461D3" w:rsidRPr="00D930B7">
        <w:rPr>
          <w:rFonts w:eastAsia="MS Mincho"/>
          <w:b/>
          <w:bCs/>
          <w:sz w:val="18"/>
          <w:szCs w:val="18"/>
        </w:rPr>
        <w:t>E-1</w:t>
      </w:r>
      <w:proofErr w:type="gramStart"/>
      <w:r w:rsidR="00D461D3" w:rsidRPr="00D930B7">
        <w:rPr>
          <w:rFonts w:eastAsia="MS Mincho"/>
          <w:b/>
          <w:bCs/>
          <w:sz w:val="18"/>
          <w:szCs w:val="18"/>
        </w:rPr>
        <w:t xml:space="preserve">:  </w:t>
      </w:r>
      <w:r w:rsidR="00FC3585">
        <w:rPr>
          <w:rFonts w:eastAsia="MS Mincho"/>
          <w:b/>
          <w:bCs/>
          <w:sz w:val="18"/>
          <w:szCs w:val="18"/>
        </w:rPr>
        <w:t>Evolución</w:t>
      </w:r>
      <w:proofErr w:type="gramEnd"/>
      <w:r w:rsidR="00603087" w:rsidRPr="00D930B7">
        <w:rPr>
          <w:rFonts w:eastAsia="MS Mincho"/>
          <w:b/>
          <w:bCs/>
          <w:sz w:val="18"/>
          <w:szCs w:val="18"/>
        </w:rPr>
        <w:t xml:space="preserve"> de los indicadores del rendimiento de las empresas</w:t>
      </w:r>
      <w:r w:rsidR="009323FA">
        <w:rPr>
          <w:rFonts w:eastAsia="MS Mincho"/>
          <w:b/>
          <w:bCs/>
          <w:sz w:val="18"/>
          <w:szCs w:val="18"/>
        </w:rPr>
        <w:t xml:space="preserve"> a lo largo del tiempo</w:t>
      </w:r>
      <w:r w:rsidR="00D461D3" w:rsidRPr="00D930B7">
        <w:rPr>
          <w:rFonts w:eastAsia="MS Mincho"/>
          <w:b/>
          <w:bCs/>
          <w:sz w:val="18"/>
          <w:szCs w:val="18"/>
        </w:rPr>
        <w:t xml:space="preserve">, </w:t>
      </w:r>
      <w:r w:rsidR="00603087" w:rsidRPr="00D930B7">
        <w:rPr>
          <w:rFonts w:eastAsia="MS Mincho"/>
          <w:b/>
          <w:bCs/>
          <w:sz w:val="18"/>
          <w:szCs w:val="18"/>
        </w:rPr>
        <w:t>en función de la fecha de solicitud de modelos de utilidad</w:t>
      </w:r>
    </w:p>
    <w:tbl>
      <w:tblPr>
        <w:tblStyle w:val="TableGrid"/>
        <w:tblW w:w="0" w:type="auto"/>
        <w:jc w:val="center"/>
        <w:tblLayout w:type="fixed"/>
        <w:tblCellMar>
          <w:left w:w="115" w:type="dxa"/>
          <w:right w:w="115" w:type="dxa"/>
        </w:tblCellMar>
        <w:tblLook w:val="04A0" w:firstRow="1" w:lastRow="0" w:firstColumn="1" w:lastColumn="0" w:noHBand="0" w:noVBand="1"/>
      </w:tblPr>
      <w:tblGrid>
        <w:gridCol w:w="4788"/>
        <w:gridCol w:w="4788"/>
      </w:tblGrid>
      <w:tr w:rsidR="00D461D3" w:rsidRPr="00D930B7" w:rsidTr="006C40DC">
        <w:trPr>
          <w:jc w:val="center"/>
        </w:trPr>
        <w:tc>
          <w:tcPr>
            <w:tcW w:w="4788" w:type="dxa"/>
            <w:tcBorders>
              <w:bottom w:val="nil"/>
            </w:tcBorders>
          </w:tcPr>
          <w:p w:rsidR="00D461D3" w:rsidRPr="00D930B7" w:rsidRDefault="00DD0A4A" w:rsidP="00DD0A4A">
            <w:pPr>
              <w:spacing w:line="360" w:lineRule="auto"/>
              <w:ind w:left="360"/>
            </w:pPr>
            <w:r w:rsidRPr="00D930B7">
              <w:t>a) Ventas netas</w:t>
            </w:r>
            <w:r w:rsidR="00D461D3" w:rsidRPr="00D930B7">
              <w:t xml:space="preserve"> (</w:t>
            </w:r>
            <w:r w:rsidRPr="00D930B7">
              <w:t>e</w:t>
            </w:r>
            <w:r w:rsidR="00D461D3" w:rsidRPr="00D930B7">
              <w:t>n millon</w:t>
            </w:r>
            <w:r w:rsidRPr="00D930B7">
              <w:t>es de</w:t>
            </w:r>
            <w:r w:rsidR="00D461D3" w:rsidRPr="00D930B7">
              <w:t xml:space="preserve"> baht)</w:t>
            </w:r>
          </w:p>
        </w:tc>
        <w:tc>
          <w:tcPr>
            <w:tcW w:w="4788" w:type="dxa"/>
            <w:tcBorders>
              <w:bottom w:val="nil"/>
            </w:tcBorders>
          </w:tcPr>
          <w:p w:rsidR="00D461D3" w:rsidRPr="00D930B7" w:rsidRDefault="00DD0A4A" w:rsidP="00DD0A4A">
            <w:pPr>
              <w:spacing w:line="360" w:lineRule="auto"/>
              <w:ind w:left="360"/>
            </w:pPr>
            <w:r w:rsidRPr="00D930B7">
              <w:t>b) Beneficio neto</w:t>
            </w:r>
            <w:r w:rsidR="00D461D3" w:rsidRPr="00D930B7">
              <w:t xml:space="preserve"> (</w:t>
            </w:r>
            <w:r w:rsidRPr="00D930B7">
              <w:t>en millones de baht</w:t>
            </w:r>
            <w:r w:rsidR="00D461D3" w:rsidRPr="00D930B7">
              <w:t>)</w:t>
            </w:r>
          </w:p>
        </w:tc>
      </w:tr>
      <w:tr w:rsidR="00D461D3" w:rsidRPr="00D930B7" w:rsidTr="006C40DC">
        <w:trPr>
          <w:jc w:val="center"/>
        </w:trPr>
        <w:tc>
          <w:tcPr>
            <w:tcW w:w="4788" w:type="dxa"/>
            <w:tcBorders>
              <w:top w:val="nil"/>
              <w:bottom w:val="single" w:sz="4" w:space="0" w:color="auto"/>
            </w:tcBorders>
          </w:tcPr>
          <w:p w:rsidR="00D461D3" w:rsidRPr="00D930B7" w:rsidRDefault="00D461D3" w:rsidP="00D901CA">
            <w:pPr>
              <w:spacing w:line="360" w:lineRule="auto"/>
            </w:pPr>
            <w:r w:rsidRPr="00D930B7">
              <w:rPr>
                <w:noProof/>
                <w:lang w:val="en-US" w:eastAsia="en-US"/>
              </w:rPr>
              <w:drawing>
                <wp:inline distT="0" distB="0" distL="0" distR="0" wp14:anchorId="34028563" wp14:editId="5FC407FF">
                  <wp:extent cx="2980944" cy="216712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0944" cy="2167128"/>
                          </a:xfrm>
                          <a:prstGeom prst="rect">
                            <a:avLst/>
                          </a:prstGeom>
                          <a:noFill/>
                        </pic:spPr>
                      </pic:pic>
                    </a:graphicData>
                  </a:graphic>
                </wp:inline>
              </w:drawing>
            </w:r>
          </w:p>
        </w:tc>
        <w:tc>
          <w:tcPr>
            <w:tcW w:w="4788" w:type="dxa"/>
            <w:tcBorders>
              <w:top w:val="nil"/>
              <w:bottom w:val="single" w:sz="4" w:space="0" w:color="auto"/>
            </w:tcBorders>
          </w:tcPr>
          <w:p w:rsidR="00D461D3" w:rsidRPr="00D930B7" w:rsidRDefault="00D461D3" w:rsidP="00D901CA">
            <w:pPr>
              <w:spacing w:line="360" w:lineRule="auto"/>
            </w:pPr>
            <w:r w:rsidRPr="00D930B7">
              <w:rPr>
                <w:noProof/>
                <w:lang w:val="en-US" w:eastAsia="en-US"/>
              </w:rPr>
              <w:drawing>
                <wp:inline distT="0" distB="0" distL="0" distR="0" wp14:anchorId="7E73A417" wp14:editId="356AFA1F">
                  <wp:extent cx="2980944" cy="216712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0944" cy="2167128"/>
                          </a:xfrm>
                          <a:prstGeom prst="rect">
                            <a:avLst/>
                          </a:prstGeom>
                          <a:noFill/>
                        </pic:spPr>
                      </pic:pic>
                    </a:graphicData>
                  </a:graphic>
                </wp:inline>
              </w:drawing>
            </w:r>
          </w:p>
        </w:tc>
      </w:tr>
      <w:tr w:rsidR="00D461D3" w:rsidRPr="00D930B7" w:rsidTr="006C40DC">
        <w:trPr>
          <w:jc w:val="center"/>
        </w:trPr>
        <w:tc>
          <w:tcPr>
            <w:tcW w:w="4788" w:type="dxa"/>
            <w:tcBorders>
              <w:bottom w:val="nil"/>
            </w:tcBorders>
          </w:tcPr>
          <w:p w:rsidR="00D461D3" w:rsidRPr="00D930B7" w:rsidRDefault="00DD0A4A" w:rsidP="00DD0A4A">
            <w:pPr>
              <w:spacing w:line="360" w:lineRule="auto"/>
              <w:ind w:left="360"/>
              <w:rPr>
                <w:lang w:val="en-US"/>
              </w:rPr>
            </w:pPr>
            <w:r w:rsidRPr="00D930B7">
              <w:rPr>
                <w:lang w:val="en-US"/>
              </w:rPr>
              <w:t xml:space="preserve">c) </w:t>
            </w:r>
            <w:proofErr w:type="spellStart"/>
            <w:r w:rsidRPr="00D930B7">
              <w:rPr>
                <w:lang w:val="en-US"/>
              </w:rPr>
              <w:t>Relación</w:t>
            </w:r>
            <w:proofErr w:type="spellEnd"/>
            <w:r w:rsidRPr="00D930B7">
              <w:rPr>
                <w:lang w:val="en-US"/>
              </w:rPr>
              <w:t xml:space="preserve"> </w:t>
            </w:r>
            <w:proofErr w:type="spellStart"/>
            <w:r w:rsidRPr="00D930B7">
              <w:rPr>
                <w:lang w:val="en-US"/>
              </w:rPr>
              <w:t>ventas-costos</w:t>
            </w:r>
            <w:proofErr w:type="spellEnd"/>
          </w:p>
        </w:tc>
        <w:tc>
          <w:tcPr>
            <w:tcW w:w="4788" w:type="dxa"/>
            <w:tcBorders>
              <w:bottom w:val="nil"/>
            </w:tcBorders>
          </w:tcPr>
          <w:p w:rsidR="00D461D3" w:rsidRPr="00D930B7" w:rsidRDefault="00DD0A4A" w:rsidP="00DD0A4A">
            <w:pPr>
              <w:spacing w:line="360" w:lineRule="auto"/>
              <w:ind w:left="360"/>
            </w:pPr>
            <w:r w:rsidRPr="00D930B7">
              <w:t>d) Gastos de funcionamiento</w:t>
            </w:r>
            <w:r w:rsidR="00D461D3" w:rsidRPr="00D930B7">
              <w:t xml:space="preserve"> (</w:t>
            </w:r>
            <w:r w:rsidRPr="00D930B7">
              <w:t>en millones de baht</w:t>
            </w:r>
            <w:r w:rsidR="00D461D3" w:rsidRPr="00D930B7">
              <w:t>)</w:t>
            </w:r>
          </w:p>
        </w:tc>
      </w:tr>
      <w:tr w:rsidR="00D461D3" w:rsidRPr="00D930B7" w:rsidTr="006C40DC">
        <w:trPr>
          <w:jc w:val="center"/>
        </w:trPr>
        <w:tc>
          <w:tcPr>
            <w:tcW w:w="4788" w:type="dxa"/>
            <w:tcBorders>
              <w:top w:val="nil"/>
              <w:bottom w:val="single" w:sz="4" w:space="0" w:color="auto"/>
            </w:tcBorders>
          </w:tcPr>
          <w:p w:rsidR="00D461D3" w:rsidRPr="00D930B7" w:rsidRDefault="00D461D3" w:rsidP="00D901CA">
            <w:pPr>
              <w:spacing w:line="360" w:lineRule="auto"/>
            </w:pPr>
            <w:r w:rsidRPr="00D930B7">
              <w:rPr>
                <w:noProof/>
                <w:lang w:val="en-US" w:eastAsia="en-US"/>
              </w:rPr>
              <w:drawing>
                <wp:inline distT="0" distB="0" distL="0" distR="0" wp14:anchorId="640A432A" wp14:editId="78BF7C2B">
                  <wp:extent cx="2990088" cy="2167128"/>
                  <wp:effectExtent l="0" t="0" r="127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0088" cy="2167128"/>
                          </a:xfrm>
                          <a:prstGeom prst="rect">
                            <a:avLst/>
                          </a:prstGeom>
                          <a:noFill/>
                        </pic:spPr>
                      </pic:pic>
                    </a:graphicData>
                  </a:graphic>
                </wp:inline>
              </w:drawing>
            </w:r>
          </w:p>
        </w:tc>
        <w:tc>
          <w:tcPr>
            <w:tcW w:w="4788" w:type="dxa"/>
            <w:tcBorders>
              <w:top w:val="nil"/>
              <w:bottom w:val="single" w:sz="4" w:space="0" w:color="auto"/>
            </w:tcBorders>
          </w:tcPr>
          <w:p w:rsidR="00D461D3" w:rsidRPr="00D930B7" w:rsidRDefault="00D461D3" w:rsidP="00D901CA">
            <w:pPr>
              <w:spacing w:line="360" w:lineRule="auto"/>
            </w:pPr>
            <w:r w:rsidRPr="00D930B7">
              <w:rPr>
                <w:noProof/>
                <w:lang w:val="en-US" w:eastAsia="en-US"/>
              </w:rPr>
              <w:drawing>
                <wp:inline distT="0" distB="0" distL="0" distR="0" wp14:anchorId="650B7C9F" wp14:editId="04B8DB79">
                  <wp:extent cx="2990088" cy="2167128"/>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0088" cy="2167128"/>
                          </a:xfrm>
                          <a:prstGeom prst="rect">
                            <a:avLst/>
                          </a:prstGeom>
                          <a:noFill/>
                        </pic:spPr>
                      </pic:pic>
                    </a:graphicData>
                  </a:graphic>
                </wp:inline>
              </w:drawing>
            </w:r>
          </w:p>
        </w:tc>
      </w:tr>
      <w:tr w:rsidR="00D461D3" w:rsidRPr="00D930B7" w:rsidTr="006C40DC">
        <w:trPr>
          <w:jc w:val="center"/>
        </w:trPr>
        <w:tc>
          <w:tcPr>
            <w:tcW w:w="9576" w:type="dxa"/>
            <w:gridSpan w:val="2"/>
            <w:tcBorders>
              <w:top w:val="single" w:sz="4" w:space="0" w:color="auto"/>
              <w:left w:val="nil"/>
              <w:bottom w:val="nil"/>
              <w:right w:val="nil"/>
            </w:tcBorders>
          </w:tcPr>
          <w:p w:rsidR="006B30BD" w:rsidRPr="00D930B7" w:rsidRDefault="00DD0A4A" w:rsidP="006B30BD">
            <w:pPr>
              <w:spacing w:line="360" w:lineRule="auto"/>
              <w:rPr>
                <w:rFonts w:eastAsia="MS Mincho"/>
                <w:b/>
                <w:bCs/>
                <w:sz w:val="18"/>
                <w:szCs w:val="18"/>
                <w:lang w:bidi="ar-SA"/>
              </w:rPr>
            </w:pPr>
            <w:r w:rsidRPr="00D930B7">
              <w:rPr>
                <w:rFonts w:eastAsia="MS Mincho"/>
                <w:b/>
                <w:bCs/>
                <w:sz w:val="18"/>
                <w:szCs w:val="18"/>
                <w:lang w:bidi="ar-SA"/>
              </w:rPr>
              <w:t>Fuente</w:t>
            </w:r>
            <w:proofErr w:type="gramStart"/>
            <w:r w:rsidR="00D461D3" w:rsidRPr="00D930B7">
              <w:rPr>
                <w:rFonts w:eastAsia="MS Mincho"/>
                <w:b/>
                <w:bCs/>
                <w:sz w:val="18"/>
                <w:szCs w:val="18"/>
                <w:lang w:bidi="ar-SA"/>
              </w:rPr>
              <w:t>:</w:t>
            </w:r>
            <w:r w:rsidRPr="00D930B7">
              <w:rPr>
                <w:rFonts w:eastAsia="MS Mincho"/>
                <w:b/>
                <w:bCs/>
                <w:sz w:val="18"/>
                <w:szCs w:val="18"/>
                <w:lang w:bidi="ar-SA"/>
              </w:rPr>
              <w:t xml:space="preserve"> </w:t>
            </w:r>
            <w:r w:rsidR="00D461D3" w:rsidRPr="00D930B7">
              <w:rPr>
                <w:rFonts w:eastAsia="MS Mincho"/>
                <w:b/>
                <w:bCs/>
                <w:sz w:val="18"/>
                <w:szCs w:val="18"/>
                <w:lang w:bidi="ar-SA"/>
              </w:rPr>
              <w:t xml:space="preserve"> </w:t>
            </w:r>
            <w:r w:rsidRPr="00D930B7">
              <w:rPr>
                <w:rFonts w:eastAsia="MS Mincho"/>
                <w:b/>
                <w:bCs/>
                <w:sz w:val="18"/>
                <w:szCs w:val="18"/>
                <w:lang w:bidi="ar-SA"/>
              </w:rPr>
              <w:t>Base</w:t>
            </w:r>
            <w:proofErr w:type="gramEnd"/>
            <w:r w:rsidRPr="00D930B7">
              <w:rPr>
                <w:rFonts w:eastAsia="MS Mincho"/>
                <w:b/>
                <w:bCs/>
                <w:sz w:val="18"/>
                <w:szCs w:val="18"/>
                <w:lang w:bidi="ar-SA"/>
              </w:rPr>
              <w:t xml:space="preserve"> de datos ampliada </w:t>
            </w:r>
            <w:r w:rsidR="00D461D3" w:rsidRPr="00D930B7">
              <w:rPr>
                <w:rFonts w:eastAsia="MS Mincho"/>
                <w:b/>
                <w:bCs/>
                <w:sz w:val="18"/>
                <w:szCs w:val="18"/>
                <w:lang w:bidi="ar-SA"/>
              </w:rPr>
              <w:t>TDRI-</w:t>
            </w:r>
            <w:r w:rsidRPr="00D930B7">
              <w:rPr>
                <w:rFonts w:eastAsia="MS Mincho"/>
                <w:b/>
                <w:bCs/>
                <w:sz w:val="18"/>
                <w:szCs w:val="18"/>
                <w:lang w:bidi="ar-SA"/>
              </w:rPr>
              <w:t>OMPI</w:t>
            </w:r>
            <w:r w:rsidR="00D461D3" w:rsidRPr="00D930B7">
              <w:rPr>
                <w:rFonts w:eastAsia="MS Mincho"/>
                <w:b/>
                <w:bCs/>
                <w:sz w:val="18"/>
                <w:szCs w:val="18"/>
                <w:lang w:bidi="ar-SA"/>
              </w:rPr>
              <w:t xml:space="preserve"> (2013).</w:t>
            </w:r>
          </w:p>
        </w:tc>
      </w:tr>
    </w:tbl>
    <w:p w:rsidR="006B30BD" w:rsidRPr="00D930B7" w:rsidRDefault="006B30BD" w:rsidP="00F64380">
      <w:pPr>
        <w:rPr>
          <w:rFonts w:eastAsia="MS Mincho"/>
          <w:bCs/>
          <w:sz w:val="16"/>
          <w:szCs w:val="18"/>
        </w:rPr>
      </w:pPr>
      <w:r w:rsidRPr="00D930B7">
        <w:rPr>
          <w:rFonts w:eastAsia="MS Mincho"/>
          <w:bCs/>
          <w:sz w:val="16"/>
          <w:szCs w:val="18"/>
        </w:rPr>
        <w:t xml:space="preserve">[Translation figure (a): “Ventas netas (media)”, “Media del período”, “Millones de baht”, “Años hasta la </w:t>
      </w:r>
      <w:r w:rsidR="007F192C">
        <w:rPr>
          <w:rFonts w:eastAsia="MS Mincho"/>
          <w:bCs/>
          <w:sz w:val="16"/>
          <w:szCs w:val="18"/>
        </w:rPr>
        <w:t xml:space="preserve">presentación de </w:t>
      </w:r>
      <w:r w:rsidRPr="00D930B7">
        <w:rPr>
          <w:rFonts w:eastAsia="MS Mincho"/>
          <w:bCs/>
          <w:sz w:val="16"/>
          <w:szCs w:val="18"/>
        </w:rPr>
        <w:t>solicitud</w:t>
      </w:r>
      <w:r w:rsidR="007F192C">
        <w:rPr>
          <w:rFonts w:eastAsia="MS Mincho"/>
          <w:bCs/>
          <w:sz w:val="16"/>
          <w:szCs w:val="18"/>
        </w:rPr>
        <w:t>es</w:t>
      </w:r>
      <w:r w:rsidRPr="00D930B7">
        <w:rPr>
          <w:rFonts w:eastAsia="MS Mincho"/>
          <w:bCs/>
          <w:sz w:val="16"/>
          <w:szCs w:val="18"/>
        </w:rPr>
        <w:t xml:space="preserve"> de modelos de utilidad”</w:t>
      </w:r>
    </w:p>
    <w:p w:rsidR="006B30BD" w:rsidRPr="00D930B7" w:rsidRDefault="006B30BD" w:rsidP="00F64380">
      <w:pPr>
        <w:pStyle w:val="BodyText"/>
        <w:rPr>
          <w:rFonts w:eastAsia="MS Mincho"/>
          <w:bCs/>
          <w:sz w:val="16"/>
          <w:szCs w:val="18"/>
        </w:rPr>
      </w:pPr>
      <w:r w:rsidRPr="00D930B7">
        <w:rPr>
          <w:rFonts w:eastAsia="MS Mincho"/>
          <w:bCs/>
          <w:sz w:val="16"/>
          <w:szCs w:val="18"/>
        </w:rPr>
        <w:t xml:space="preserve">Translation figure (b): “Beneficio neto (media)”, “Media del período”, “Millones de baht”, “Años hasta la </w:t>
      </w:r>
      <w:r w:rsidR="007F192C" w:rsidRPr="007F192C">
        <w:rPr>
          <w:rFonts w:eastAsia="MS Mincho"/>
          <w:bCs/>
          <w:sz w:val="16"/>
          <w:szCs w:val="18"/>
        </w:rPr>
        <w:t>presentación de solicitudes</w:t>
      </w:r>
      <w:r w:rsidRPr="00D930B7">
        <w:rPr>
          <w:rFonts w:eastAsia="MS Mincho"/>
          <w:bCs/>
          <w:sz w:val="16"/>
          <w:szCs w:val="18"/>
        </w:rPr>
        <w:t xml:space="preserve"> de modelos de utilidad”</w:t>
      </w:r>
    </w:p>
    <w:p w:rsidR="00B26A0E" w:rsidRPr="00D930B7" w:rsidRDefault="006B30BD" w:rsidP="00F64380">
      <w:pPr>
        <w:pStyle w:val="BodyText"/>
        <w:rPr>
          <w:rFonts w:eastAsia="MS Mincho"/>
          <w:bCs/>
          <w:sz w:val="16"/>
          <w:szCs w:val="18"/>
        </w:rPr>
      </w:pPr>
      <w:r w:rsidRPr="00D930B7">
        <w:rPr>
          <w:rFonts w:eastAsia="MS Mincho"/>
          <w:bCs/>
          <w:sz w:val="16"/>
          <w:szCs w:val="18"/>
        </w:rPr>
        <w:lastRenderedPageBreak/>
        <w:t xml:space="preserve">Translation figure (c): “Relación ventas-costos (media)”, “Media del período”, “Relación”, “Años hasta la </w:t>
      </w:r>
      <w:r w:rsidR="007F192C" w:rsidRPr="007F192C">
        <w:rPr>
          <w:rFonts w:eastAsia="MS Mincho"/>
          <w:bCs/>
          <w:sz w:val="16"/>
          <w:szCs w:val="18"/>
        </w:rPr>
        <w:t xml:space="preserve">presentación de solicitudes </w:t>
      </w:r>
      <w:r w:rsidRPr="00D930B7">
        <w:rPr>
          <w:rFonts w:eastAsia="MS Mincho"/>
          <w:bCs/>
          <w:sz w:val="16"/>
          <w:szCs w:val="18"/>
        </w:rPr>
        <w:t>de modelos de utilidad”</w:t>
      </w:r>
    </w:p>
    <w:p w:rsidR="006B30BD" w:rsidRPr="00D930B7" w:rsidRDefault="006B30BD" w:rsidP="00F64380">
      <w:pPr>
        <w:pStyle w:val="BodyText"/>
        <w:rPr>
          <w:rFonts w:eastAsia="MS Mincho"/>
          <w:bCs/>
          <w:sz w:val="16"/>
          <w:szCs w:val="18"/>
        </w:rPr>
      </w:pPr>
      <w:r w:rsidRPr="00D930B7">
        <w:rPr>
          <w:rFonts w:eastAsia="MS Mincho"/>
          <w:bCs/>
          <w:sz w:val="16"/>
          <w:szCs w:val="18"/>
        </w:rPr>
        <w:t xml:space="preserve">Translation figure (d): “Gastos (media)”, “Media del período”, “Millones de baht”, “Años hasta la </w:t>
      </w:r>
      <w:r w:rsidR="007F192C" w:rsidRPr="007F192C">
        <w:rPr>
          <w:rFonts w:eastAsia="MS Mincho"/>
          <w:bCs/>
          <w:sz w:val="16"/>
          <w:szCs w:val="18"/>
        </w:rPr>
        <w:t xml:space="preserve">presentación de solicitudes </w:t>
      </w:r>
      <w:r w:rsidRPr="00D930B7">
        <w:rPr>
          <w:rFonts w:eastAsia="MS Mincho"/>
          <w:bCs/>
          <w:sz w:val="16"/>
          <w:szCs w:val="18"/>
        </w:rPr>
        <w:t>de modelos de utilidad”]</w:t>
      </w:r>
    </w:p>
    <w:p w:rsidR="00B26A0E" w:rsidRPr="00D930B7" w:rsidRDefault="006B30BD" w:rsidP="00F64380">
      <w:pPr>
        <w:pStyle w:val="BodyText"/>
        <w:rPr>
          <w:rFonts w:eastAsia="Calibri"/>
          <w:b/>
          <w:i/>
        </w:rPr>
      </w:pPr>
      <w:r w:rsidRPr="00D930B7">
        <w:rPr>
          <w:rFonts w:eastAsia="Calibri"/>
          <w:b/>
          <w:i/>
        </w:rPr>
        <w:t>Características de las empresas que solicitan modelos de utilidad</w:t>
      </w:r>
    </w:p>
    <w:p w:rsidR="00B26A0E" w:rsidRPr="00D930B7" w:rsidRDefault="006B30BD" w:rsidP="00F64380">
      <w:r w:rsidRPr="00D930B7">
        <w:t xml:space="preserve">Tratamos de </w:t>
      </w:r>
      <w:r w:rsidR="00267B58" w:rsidRPr="00D930B7">
        <w:t>determin</w:t>
      </w:r>
      <w:r w:rsidRPr="00D930B7">
        <w:t xml:space="preserve">ar si </w:t>
      </w:r>
      <w:r w:rsidR="00267B58" w:rsidRPr="00D930B7">
        <w:t xml:space="preserve">las empresas que solicitan este </w:t>
      </w:r>
      <w:r w:rsidR="00B9402D" w:rsidRPr="00D930B7">
        <w:t>instrumento</w:t>
      </w:r>
      <w:r w:rsidR="00267B58" w:rsidRPr="00D930B7">
        <w:t xml:space="preserve"> de P.I. presentan características específicas </w:t>
      </w:r>
      <w:r w:rsidR="006A060B">
        <w:t>y establecer así</w:t>
      </w:r>
      <w:r w:rsidR="00267B58" w:rsidRPr="00D930B7">
        <w:t xml:space="preserve"> si hay casos en los que es más probable que las empresas recurran a la protección </w:t>
      </w:r>
      <w:r w:rsidR="006A060B">
        <w:t>por</w:t>
      </w:r>
      <w:r w:rsidR="00267B58" w:rsidRPr="00D930B7">
        <w:t xml:space="preserve"> modelos de utilidad, por ejemplo </w:t>
      </w:r>
      <w:r w:rsidR="006A060B">
        <w:t xml:space="preserve">dentro de </w:t>
      </w:r>
      <w:r w:rsidR="00267B58" w:rsidRPr="00D930B7">
        <w:t>un sector industrial específico.</w:t>
      </w:r>
      <w:r w:rsidR="00D461D3" w:rsidRPr="00D930B7">
        <w:t xml:space="preserve">  </w:t>
      </w:r>
      <w:r w:rsidR="00267B58" w:rsidRPr="00D930B7">
        <w:t xml:space="preserve">Si es el caso, estos subgrupos de empresas concretos deberían registrar un mayor efecto de la protección </w:t>
      </w:r>
      <w:r w:rsidR="0046302F">
        <w:t>por</w:t>
      </w:r>
      <w:r w:rsidR="00267B58" w:rsidRPr="00D930B7">
        <w:t xml:space="preserve"> modelos de utilidad en sus indicadores </w:t>
      </w:r>
      <w:r w:rsidR="009323FA">
        <w:t>del rendimiento</w:t>
      </w:r>
      <w:r w:rsidR="00267B58" w:rsidRPr="00D930B7">
        <w:t xml:space="preserve"> que </w:t>
      </w:r>
      <w:r w:rsidR="00284B02" w:rsidRPr="00D930B7">
        <w:t>las demás</w:t>
      </w:r>
      <w:r w:rsidR="00267B58" w:rsidRPr="00D930B7">
        <w:t xml:space="preserve">. </w:t>
      </w:r>
      <w:r w:rsidR="00D461D3" w:rsidRPr="00D930B7">
        <w:t xml:space="preserve"> </w:t>
      </w:r>
      <w:r w:rsidR="006A060B">
        <w:t>Hemos c</w:t>
      </w:r>
      <w:r w:rsidR="00284B02" w:rsidRPr="00D930B7">
        <w:t>onsidera</w:t>
      </w:r>
      <w:r w:rsidR="006A060B">
        <w:t>do</w:t>
      </w:r>
      <w:r w:rsidR="00284B02" w:rsidRPr="00D930B7">
        <w:t xml:space="preserve"> la antigüedad, la ubicación geográfica, el tamaño, el sector industrial y tecnológico</w:t>
      </w:r>
      <w:r w:rsidR="006A060B">
        <w:t xml:space="preserve"> de las empresas</w:t>
      </w:r>
      <w:r w:rsidR="00284B02" w:rsidRPr="00D930B7">
        <w:t>, y presentamos las observaciones al respecto a continuación.</w:t>
      </w:r>
    </w:p>
    <w:p w:rsidR="00B26A0E" w:rsidRPr="00D930B7" w:rsidRDefault="00B26A0E" w:rsidP="00F64380"/>
    <w:p w:rsidR="00B26A0E" w:rsidRPr="00D930B7" w:rsidRDefault="00F72820" w:rsidP="00F64380">
      <w:r w:rsidRPr="00D930B7">
        <w:t>En primer lugar, observamos que no existe una tendencia particular en cuanto al uso de la protección mediante modelos de utilidad en función de la antigüedad de la empresa.</w:t>
      </w:r>
      <w:r w:rsidR="00D461D3" w:rsidRPr="00D930B7">
        <w:t xml:space="preserve">  </w:t>
      </w:r>
      <w:r w:rsidRPr="00D930B7">
        <w:t xml:space="preserve">Cerca de la mitad de las empresas tailandesas que han solicitado esta protección son </w:t>
      </w:r>
      <w:r w:rsidR="006501C4">
        <w:t>empresas bien asentada</w:t>
      </w:r>
      <w:r w:rsidRPr="00D930B7">
        <w:t xml:space="preserve">s, </w:t>
      </w:r>
      <w:r w:rsidR="006A060B">
        <w:t>que existen desde hace</w:t>
      </w:r>
      <w:r w:rsidRPr="00D930B7">
        <w:t xml:space="preserve"> más de 20 años.</w:t>
      </w:r>
    </w:p>
    <w:p w:rsidR="00B26A0E" w:rsidRPr="00D930B7" w:rsidRDefault="00B26A0E" w:rsidP="00F64380"/>
    <w:p w:rsidR="00B26A0E" w:rsidRPr="00D930B7" w:rsidRDefault="00F72820" w:rsidP="00F64380">
      <w:r w:rsidRPr="00D930B7">
        <w:t>En segundo lugar, el tamaño de las empresas</w:t>
      </w:r>
      <w:r w:rsidR="00D461D3" w:rsidRPr="00D930B7">
        <w:t xml:space="preserve"> </w:t>
      </w:r>
      <w:r w:rsidRPr="00D930B7">
        <w:t xml:space="preserve">parece afectar a la relación entre las solicitudes de modelos de utilidad y los indicadores del rendimiento de las empresas. </w:t>
      </w:r>
      <w:r w:rsidR="00D461D3" w:rsidRPr="00D930B7">
        <w:t xml:space="preserve"> </w:t>
      </w:r>
      <w:r w:rsidRPr="00D930B7">
        <w:t xml:space="preserve">En otras palabras, la magnitud del efecto de la </w:t>
      </w:r>
      <w:r w:rsidR="006A060B">
        <w:t>obtención</w:t>
      </w:r>
      <w:r w:rsidRPr="00D930B7">
        <w:t xml:space="preserve"> de modelos de utilidad en el rendimiento de las empresas difiere según el tamaño de las mismas.</w:t>
      </w:r>
      <w:r w:rsidR="00D461D3" w:rsidRPr="00D930B7">
        <w:t xml:space="preserve"> </w:t>
      </w:r>
      <w:r w:rsidRPr="00D930B7">
        <w:t xml:space="preserve">En el cuadro E-2 se resume la manera en que </w:t>
      </w:r>
      <w:r w:rsidR="006501C4" w:rsidRPr="00D930B7">
        <w:t xml:space="preserve">cambian </w:t>
      </w:r>
      <w:r w:rsidRPr="00D930B7">
        <w:t xml:space="preserve">los indicadores </w:t>
      </w:r>
      <w:r w:rsidR="009323FA">
        <w:t>del rendimiento</w:t>
      </w:r>
      <w:r w:rsidRPr="00D930B7">
        <w:t xml:space="preserve"> después de </w:t>
      </w:r>
      <w:r w:rsidR="006A060B">
        <w:t>que se haya solicitado la protección por</w:t>
      </w:r>
      <w:r w:rsidRPr="00D930B7">
        <w:t xml:space="preserve"> modelos de utilidad. </w:t>
      </w:r>
      <w:r w:rsidR="00D461D3" w:rsidRPr="00D930B7">
        <w:t xml:space="preserve"> </w:t>
      </w:r>
      <w:r w:rsidRPr="00D930B7">
        <w:t xml:space="preserve">Las ventas netas de las empresas se disparan después de </w:t>
      </w:r>
      <w:r w:rsidR="00FC1774" w:rsidRPr="00D930B7">
        <w:t>solicitar</w:t>
      </w:r>
      <w:r w:rsidR="006A060B">
        <w:t xml:space="preserve"> dich</w:t>
      </w:r>
      <w:r w:rsidRPr="00D930B7">
        <w:t xml:space="preserve">a protección y la </w:t>
      </w:r>
      <w:r w:rsidR="00FC1774" w:rsidRPr="00D930B7">
        <w:t>magnitud</w:t>
      </w:r>
      <w:r w:rsidRPr="00D930B7">
        <w:t xml:space="preserve"> de</w:t>
      </w:r>
      <w:r w:rsidR="00FC1774" w:rsidRPr="00D930B7">
        <w:t xml:space="preserve"> este ascenso aumenta en función de su tamaño</w:t>
      </w:r>
      <w:proofErr w:type="gramStart"/>
      <w:r w:rsidR="00FC1774" w:rsidRPr="00D930B7">
        <w:t>:  las</w:t>
      </w:r>
      <w:proofErr w:type="gramEnd"/>
      <w:r w:rsidR="00FC1774" w:rsidRPr="00D930B7">
        <w:t xml:space="preserve"> empresas de mayor tamaño registran un aumento superior de </w:t>
      </w:r>
      <w:r w:rsidR="006501C4">
        <w:t>las</w:t>
      </w:r>
      <w:r w:rsidR="00FC1774" w:rsidRPr="00D930B7">
        <w:t xml:space="preserve"> ventas netas tras la solicitud que las empresas más pequeñas. </w:t>
      </w:r>
      <w:r w:rsidRPr="00D930B7">
        <w:t xml:space="preserve"> </w:t>
      </w:r>
      <w:r w:rsidR="00FC1774" w:rsidRPr="00D930B7">
        <w:t>Sin embargo, cuando usamos la relación ventas-costos como medida del rendimiento empresarial, el único grupo por tamaño que parece tener un rendimiento algo mejor e</w:t>
      </w:r>
      <w:r w:rsidR="00197EF7" w:rsidRPr="00D930B7">
        <w:t xml:space="preserve">s el de las grandes empresas </w:t>
      </w:r>
      <w:r w:rsidR="00197EF7" w:rsidRPr="006A060B">
        <w:t>del</w:t>
      </w:r>
      <w:r w:rsidR="00197EF7" w:rsidRPr="00D930B7">
        <w:t xml:space="preserve"> último cuartil.</w:t>
      </w:r>
      <w:r w:rsidR="00D461D3" w:rsidRPr="00D930B7">
        <w:t xml:space="preserve"> </w:t>
      </w:r>
      <w:r w:rsidR="00197EF7" w:rsidRPr="00D930B7">
        <w:t xml:space="preserve"> </w:t>
      </w:r>
      <w:r w:rsidR="00822D19" w:rsidRPr="00D930B7">
        <w:t xml:space="preserve">De hecho, las demás empresas han registrado un leve descenso en su relación ventas-costos.  Esta observación indica que puede haber un </w:t>
      </w:r>
      <w:r w:rsidR="006C40DC" w:rsidRPr="00D930B7">
        <w:t>condicionante</w:t>
      </w:r>
      <w:r w:rsidR="00822D19" w:rsidRPr="00D930B7">
        <w:t xml:space="preserve"> relativo al tamaño </w:t>
      </w:r>
      <w:r w:rsidR="006C40DC" w:rsidRPr="00D930B7">
        <w:t>en</w:t>
      </w:r>
      <w:r w:rsidR="00822D19" w:rsidRPr="00D930B7">
        <w:t xml:space="preserve"> la manera en que la protección </w:t>
      </w:r>
      <w:r w:rsidR="006A060B">
        <w:t>por</w:t>
      </w:r>
      <w:r w:rsidR="00822D19" w:rsidRPr="00D930B7">
        <w:t xml:space="preserve"> modelos de utilidad afecta a los indicadores del rendimiento de las empresas, que tendremos en cuenta en la elaboración del modelo econométrico.</w:t>
      </w:r>
    </w:p>
    <w:p w:rsidR="00B26A0E" w:rsidRPr="00D930B7" w:rsidRDefault="00B26A0E" w:rsidP="00F64380">
      <w:pPr>
        <w:pStyle w:val="BodyText"/>
        <w:rPr>
          <w:rFonts w:eastAsia="Calibri"/>
          <w:b/>
        </w:rPr>
      </w:pPr>
    </w:p>
    <w:p w:rsidR="00F64380" w:rsidRDefault="00F64380">
      <w:pPr>
        <w:rPr>
          <w:rFonts w:eastAsia="MS Mincho"/>
          <w:b/>
          <w:bCs/>
          <w:sz w:val="18"/>
          <w:szCs w:val="18"/>
        </w:rPr>
      </w:pPr>
      <w:r>
        <w:rPr>
          <w:rFonts w:eastAsia="MS Mincho"/>
          <w:b/>
          <w:bCs/>
          <w:sz w:val="18"/>
          <w:szCs w:val="18"/>
        </w:rPr>
        <w:br w:type="page"/>
      </w:r>
    </w:p>
    <w:p w:rsidR="00D461D3" w:rsidRPr="00D930B7" w:rsidRDefault="00822D19" w:rsidP="00F64380">
      <w:pPr>
        <w:rPr>
          <w:rFonts w:eastAsia="MS Mincho"/>
          <w:b/>
          <w:bCs/>
          <w:sz w:val="18"/>
          <w:szCs w:val="18"/>
        </w:rPr>
      </w:pPr>
      <w:r w:rsidRPr="00D930B7">
        <w:rPr>
          <w:rFonts w:eastAsia="MS Mincho"/>
          <w:b/>
          <w:bCs/>
          <w:sz w:val="18"/>
          <w:szCs w:val="18"/>
        </w:rPr>
        <w:lastRenderedPageBreak/>
        <w:t>Cuadro </w:t>
      </w:r>
      <w:r w:rsidR="00D461D3" w:rsidRPr="00D930B7">
        <w:rPr>
          <w:rFonts w:eastAsia="MS Mincho"/>
          <w:b/>
          <w:bCs/>
          <w:sz w:val="18"/>
          <w:szCs w:val="18"/>
        </w:rPr>
        <w:t>E-2</w:t>
      </w:r>
      <w:proofErr w:type="gramStart"/>
      <w:r w:rsidR="00D461D3" w:rsidRPr="00D930B7">
        <w:rPr>
          <w:rFonts w:eastAsia="MS Mincho"/>
          <w:b/>
          <w:bCs/>
          <w:sz w:val="18"/>
          <w:szCs w:val="18"/>
        </w:rPr>
        <w:t xml:space="preserve">:  </w:t>
      </w:r>
      <w:r w:rsidRPr="00D930B7">
        <w:rPr>
          <w:rFonts w:eastAsia="MS Mincho"/>
          <w:b/>
          <w:bCs/>
          <w:sz w:val="18"/>
          <w:szCs w:val="18"/>
        </w:rPr>
        <w:t>Cambio</w:t>
      </w:r>
      <w:proofErr w:type="gramEnd"/>
      <w:r w:rsidRPr="00D930B7">
        <w:rPr>
          <w:rFonts w:eastAsia="MS Mincho"/>
          <w:b/>
          <w:bCs/>
          <w:sz w:val="18"/>
          <w:szCs w:val="18"/>
        </w:rPr>
        <w:t xml:space="preserve"> </w:t>
      </w:r>
      <w:r w:rsidR="006A060B">
        <w:rPr>
          <w:rFonts w:eastAsia="MS Mincho"/>
          <w:b/>
          <w:bCs/>
          <w:sz w:val="18"/>
          <w:szCs w:val="18"/>
        </w:rPr>
        <w:t>d</w:t>
      </w:r>
      <w:r w:rsidRPr="00D930B7">
        <w:rPr>
          <w:rFonts w:eastAsia="MS Mincho"/>
          <w:b/>
          <w:bCs/>
          <w:sz w:val="18"/>
          <w:szCs w:val="18"/>
        </w:rPr>
        <w:t>e las ventas netas, los beneficios netos y la relación ventas-costos en función del tamaño de la empresa</w:t>
      </w:r>
    </w:p>
    <w:tbl>
      <w:tblPr>
        <w:tblStyle w:val="TableGrid"/>
        <w:tblW w:w="0" w:type="auto"/>
        <w:jc w:val="center"/>
        <w:tblLayout w:type="fixed"/>
        <w:tblCellMar>
          <w:left w:w="115" w:type="dxa"/>
          <w:right w:w="115" w:type="dxa"/>
        </w:tblCellMar>
        <w:tblLook w:val="04A0" w:firstRow="1" w:lastRow="0" w:firstColumn="1" w:lastColumn="0" w:noHBand="0" w:noVBand="1"/>
      </w:tblPr>
      <w:tblGrid>
        <w:gridCol w:w="9576"/>
      </w:tblGrid>
      <w:tr w:rsidR="00D461D3" w:rsidRPr="00D930B7" w:rsidTr="006C40DC">
        <w:trPr>
          <w:jc w:val="center"/>
        </w:trPr>
        <w:tc>
          <w:tcPr>
            <w:tcW w:w="9576" w:type="dxa"/>
            <w:tcBorders>
              <w:bottom w:val="single" w:sz="4" w:space="0" w:color="auto"/>
            </w:tcBorders>
          </w:tcPr>
          <w:p w:rsidR="00D461D3" w:rsidRPr="00D930B7" w:rsidRDefault="00D461D3" w:rsidP="00D901CA">
            <w:pPr>
              <w:spacing w:line="360" w:lineRule="auto"/>
              <w:jc w:val="center"/>
            </w:pPr>
            <w:r w:rsidRPr="00D930B7">
              <w:rPr>
                <w:noProof/>
                <w:lang w:val="en-US" w:eastAsia="en-US"/>
              </w:rPr>
              <w:drawing>
                <wp:inline distT="0" distB="0" distL="0" distR="0" wp14:anchorId="42C86029" wp14:editId="1C1DEF5F">
                  <wp:extent cx="5414010" cy="3035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4010" cy="3035935"/>
                          </a:xfrm>
                          <a:prstGeom prst="rect">
                            <a:avLst/>
                          </a:prstGeom>
                          <a:noFill/>
                        </pic:spPr>
                      </pic:pic>
                    </a:graphicData>
                  </a:graphic>
                </wp:inline>
              </w:drawing>
            </w:r>
          </w:p>
        </w:tc>
      </w:tr>
      <w:tr w:rsidR="00D461D3" w:rsidRPr="00D930B7" w:rsidTr="006C40DC">
        <w:trPr>
          <w:jc w:val="center"/>
        </w:trPr>
        <w:tc>
          <w:tcPr>
            <w:tcW w:w="9576" w:type="dxa"/>
            <w:tcBorders>
              <w:left w:val="nil"/>
              <w:bottom w:val="nil"/>
              <w:right w:val="nil"/>
            </w:tcBorders>
          </w:tcPr>
          <w:tbl>
            <w:tblPr>
              <w:tblStyle w:val="TableGrid"/>
              <w:tblW w:w="0" w:type="auto"/>
              <w:jc w:val="center"/>
              <w:tblLayout w:type="fixed"/>
              <w:tblCellMar>
                <w:left w:w="115" w:type="dxa"/>
                <w:right w:w="115" w:type="dxa"/>
              </w:tblCellMar>
              <w:tblLook w:val="04A0" w:firstRow="1" w:lastRow="0" w:firstColumn="1" w:lastColumn="0" w:noHBand="0" w:noVBand="1"/>
            </w:tblPr>
            <w:tblGrid>
              <w:gridCol w:w="9576"/>
            </w:tblGrid>
            <w:tr w:rsidR="008E522D" w:rsidRPr="00D930B7" w:rsidTr="006C40DC">
              <w:trPr>
                <w:jc w:val="center"/>
              </w:trPr>
              <w:tc>
                <w:tcPr>
                  <w:tcW w:w="9576" w:type="dxa"/>
                  <w:tcBorders>
                    <w:top w:val="single" w:sz="4" w:space="0" w:color="auto"/>
                    <w:left w:val="nil"/>
                    <w:bottom w:val="nil"/>
                    <w:right w:val="nil"/>
                  </w:tcBorders>
                </w:tcPr>
                <w:p w:rsidR="008E522D" w:rsidRPr="00D930B7" w:rsidRDefault="008E522D" w:rsidP="006C40DC">
                  <w:pPr>
                    <w:spacing w:line="360" w:lineRule="auto"/>
                    <w:rPr>
                      <w:rFonts w:eastAsia="MS Mincho"/>
                      <w:b/>
                      <w:bCs/>
                      <w:sz w:val="18"/>
                      <w:szCs w:val="18"/>
                      <w:lang w:bidi="ar-SA"/>
                    </w:rPr>
                  </w:pPr>
                  <w:r w:rsidRPr="00D930B7">
                    <w:rPr>
                      <w:rFonts w:eastAsia="MS Mincho"/>
                      <w:b/>
                      <w:bCs/>
                      <w:sz w:val="18"/>
                      <w:szCs w:val="18"/>
                      <w:lang w:bidi="ar-SA"/>
                    </w:rPr>
                    <w:t>Fuente</w:t>
                  </w:r>
                  <w:proofErr w:type="gramStart"/>
                  <w:r w:rsidRPr="00D930B7">
                    <w:rPr>
                      <w:rFonts w:eastAsia="MS Mincho"/>
                      <w:b/>
                      <w:bCs/>
                      <w:sz w:val="18"/>
                      <w:szCs w:val="18"/>
                      <w:lang w:bidi="ar-SA"/>
                    </w:rPr>
                    <w:t>:  Base</w:t>
                  </w:r>
                  <w:proofErr w:type="gramEnd"/>
                  <w:r w:rsidRPr="00D930B7">
                    <w:rPr>
                      <w:rFonts w:eastAsia="MS Mincho"/>
                      <w:b/>
                      <w:bCs/>
                      <w:sz w:val="18"/>
                      <w:szCs w:val="18"/>
                      <w:lang w:bidi="ar-SA"/>
                    </w:rPr>
                    <w:t xml:space="preserve"> de datos ampliada TDRI-OMPI (2013).</w:t>
                  </w:r>
                </w:p>
              </w:tc>
            </w:tr>
          </w:tbl>
          <w:p w:rsidR="00D461D3" w:rsidRPr="00D930B7" w:rsidRDefault="00D461D3" w:rsidP="006C40DC">
            <w:pPr>
              <w:spacing w:line="360" w:lineRule="auto"/>
            </w:pPr>
          </w:p>
        </w:tc>
      </w:tr>
    </w:tbl>
    <w:p w:rsidR="008B1FA1" w:rsidRPr="00D930B7" w:rsidRDefault="008B1FA1" w:rsidP="00F64380">
      <w:r w:rsidRPr="00D930B7">
        <w:t>[</w:t>
      </w:r>
      <w:r w:rsidRPr="00D930B7">
        <w:rPr>
          <w:b/>
        </w:rPr>
        <w:t xml:space="preserve">Translation </w:t>
      </w:r>
      <w:r w:rsidR="006A060B">
        <w:rPr>
          <w:b/>
        </w:rPr>
        <w:t>superior</w:t>
      </w:r>
      <w:r w:rsidRPr="00D930B7">
        <w:rPr>
          <w:b/>
        </w:rPr>
        <w:t xml:space="preserve"> </w:t>
      </w:r>
      <w:proofErr w:type="spellStart"/>
      <w:r w:rsidRPr="00D930B7">
        <w:rPr>
          <w:b/>
        </w:rPr>
        <w:t>part</w:t>
      </w:r>
      <w:proofErr w:type="spellEnd"/>
      <w:r w:rsidRPr="00D930B7">
        <w:t>:</w:t>
      </w:r>
    </w:p>
    <w:p w:rsidR="008B1FA1" w:rsidRPr="00D930B7" w:rsidRDefault="008B1FA1" w:rsidP="00F64380">
      <w:r w:rsidRPr="00D930B7">
        <w:t>Translation 1</w:t>
      </w:r>
      <w:r w:rsidRPr="00D930B7">
        <w:rPr>
          <w:vertAlign w:val="superscript"/>
        </w:rPr>
        <w:t>st</w:t>
      </w:r>
      <w:r w:rsidRPr="00D930B7">
        <w:t xml:space="preserve"> line: “Ventas medias”, “Beneficio medio”, “Relación ventas-costos media”</w:t>
      </w:r>
    </w:p>
    <w:p w:rsidR="00B26A0E" w:rsidRPr="00D930B7" w:rsidRDefault="006C40DC" w:rsidP="00F64380">
      <w:r w:rsidRPr="00D930B7">
        <w:t>Translation 2</w:t>
      </w:r>
      <w:r w:rsidRPr="00D930B7">
        <w:rPr>
          <w:vertAlign w:val="superscript"/>
        </w:rPr>
        <w:t>nd</w:t>
      </w:r>
      <w:r w:rsidRPr="00D930B7">
        <w:t xml:space="preserve"> line: “</w:t>
      </w:r>
      <w:r w:rsidR="004B3852" w:rsidRPr="00D930B7">
        <w:t>(millones de baht)</w:t>
      </w:r>
      <w:r w:rsidRPr="00D930B7">
        <w:t>”</w:t>
      </w:r>
      <w:r w:rsidR="004B3852" w:rsidRPr="00D930B7">
        <w:t>, “(millones de baht)”, “(relación)”</w:t>
      </w:r>
    </w:p>
    <w:p w:rsidR="006C40DC" w:rsidRPr="00D930B7" w:rsidRDefault="006C40DC" w:rsidP="00F64380">
      <w:r w:rsidRPr="00D930B7">
        <w:t>Translation 3</w:t>
      </w:r>
      <w:r w:rsidRPr="00D930B7">
        <w:rPr>
          <w:vertAlign w:val="superscript"/>
        </w:rPr>
        <w:t>rd</w:t>
      </w:r>
      <w:r w:rsidRPr="00D930B7">
        <w:t xml:space="preserve"> line: </w:t>
      </w:r>
      <w:r w:rsidR="004B3852" w:rsidRPr="00D930B7">
        <w:t>“Ha solicitado modelos de utilidad” “Todas”</w:t>
      </w:r>
    </w:p>
    <w:p w:rsidR="004B3852" w:rsidRPr="00D930B7" w:rsidRDefault="004B3852" w:rsidP="00F64380">
      <w:pPr>
        <w:rPr>
          <w:lang w:val="en-US"/>
        </w:rPr>
      </w:pPr>
      <w:r w:rsidRPr="00D930B7">
        <w:rPr>
          <w:lang w:val="en-US"/>
        </w:rPr>
        <w:t>Translation 4</w:t>
      </w:r>
      <w:r w:rsidRPr="00D930B7">
        <w:rPr>
          <w:vertAlign w:val="superscript"/>
          <w:lang w:val="en-US"/>
        </w:rPr>
        <w:t>rd</w:t>
      </w:r>
      <w:r w:rsidRPr="00D930B7">
        <w:rPr>
          <w:lang w:val="en-US"/>
        </w:rPr>
        <w:t xml:space="preserve"> line: “</w:t>
      </w:r>
      <w:proofErr w:type="spellStart"/>
      <w:r w:rsidRPr="00D930B7">
        <w:rPr>
          <w:lang w:val="en-US"/>
        </w:rPr>
        <w:t>Tamaño</w:t>
      </w:r>
      <w:proofErr w:type="spellEnd"/>
      <w:r w:rsidRPr="00D930B7">
        <w:rPr>
          <w:lang w:val="en-US"/>
        </w:rPr>
        <w:t>”, “No”, “</w:t>
      </w:r>
      <w:proofErr w:type="spellStart"/>
      <w:r w:rsidRPr="00D930B7">
        <w:rPr>
          <w:lang w:val="en-US"/>
        </w:rPr>
        <w:t>Sí</w:t>
      </w:r>
      <w:proofErr w:type="spellEnd"/>
      <w:r w:rsidRPr="00D930B7">
        <w:rPr>
          <w:lang w:val="en-US"/>
        </w:rPr>
        <w:t>”</w:t>
      </w:r>
    </w:p>
    <w:p w:rsidR="004B3852" w:rsidRPr="00D930B7" w:rsidRDefault="006A060B" w:rsidP="00F64380">
      <w:pPr>
        <w:rPr>
          <w:lang w:val="en-US"/>
        </w:rPr>
      </w:pPr>
      <w:r>
        <w:rPr>
          <w:lang w:val="en-US"/>
        </w:rPr>
        <w:t>Translation 9</w:t>
      </w:r>
      <w:r w:rsidR="004B3852" w:rsidRPr="00D930B7">
        <w:rPr>
          <w:vertAlign w:val="superscript"/>
          <w:lang w:val="en-US"/>
        </w:rPr>
        <w:t>th</w:t>
      </w:r>
      <w:r w:rsidR="004B3852" w:rsidRPr="00D930B7">
        <w:rPr>
          <w:lang w:val="en-US"/>
        </w:rPr>
        <w:t xml:space="preserve"> line: “</w:t>
      </w:r>
      <w:proofErr w:type="spellStart"/>
      <w:r w:rsidR="004B3852" w:rsidRPr="00D930B7">
        <w:rPr>
          <w:lang w:val="en-US"/>
        </w:rPr>
        <w:t>Todas</w:t>
      </w:r>
      <w:proofErr w:type="spellEnd"/>
      <w:r w:rsidR="004B3852" w:rsidRPr="00D930B7">
        <w:rPr>
          <w:lang w:val="en-US"/>
        </w:rPr>
        <w:t>”</w:t>
      </w:r>
    </w:p>
    <w:p w:rsidR="008B1FA1" w:rsidRPr="00F64380" w:rsidRDefault="008B1FA1" w:rsidP="00F64380">
      <w:pPr>
        <w:rPr>
          <w:lang w:val="es-ES_tradnl"/>
        </w:rPr>
      </w:pPr>
      <w:r w:rsidRPr="00F64380">
        <w:rPr>
          <w:lang w:val="es-ES_tradnl"/>
        </w:rPr>
        <w:t>[</w:t>
      </w:r>
      <w:r w:rsidRPr="00F64380">
        <w:rPr>
          <w:b/>
          <w:lang w:val="es-ES_tradnl"/>
        </w:rPr>
        <w:t xml:space="preserve">Translation </w:t>
      </w:r>
      <w:r w:rsidR="006A060B" w:rsidRPr="00F64380">
        <w:rPr>
          <w:b/>
          <w:lang w:val="es-ES_tradnl"/>
        </w:rPr>
        <w:t>inferior</w:t>
      </w:r>
      <w:r w:rsidRPr="00F64380">
        <w:rPr>
          <w:b/>
          <w:lang w:val="es-ES_tradnl"/>
        </w:rPr>
        <w:t xml:space="preserve"> </w:t>
      </w:r>
      <w:proofErr w:type="spellStart"/>
      <w:r w:rsidRPr="00F64380">
        <w:rPr>
          <w:b/>
          <w:lang w:val="es-ES_tradnl"/>
        </w:rPr>
        <w:t>part</w:t>
      </w:r>
      <w:proofErr w:type="spellEnd"/>
      <w:r w:rsidRPr="00F64380">
        <w:rPr>
          <w:lang w:val="es-ES_tradnl"/>
        </w:rPr>
        <w:t>:</w:t>
      </w:r>
    </w:p>
    <w:p w:rsidR="008B1FA1" w:rsidRPr="00F64380" w:rsidRDefault="008B1FA1" w:rsidP="00F64380">
      <w:pPr>
        <w:rPr>
          <w:lang w:val="es-ES_tradnl"/>
        </w:rPr>
      </w:pPr>
      <w:r w:rsidRPr="00F64380">
        <w:rPr>
          <w:lang w:val="es-ES_tradnl"/>
        </w:rPr>
        <w:t>Translation 1</w:t>
      </w:r>
      <w:r w:rsidRPr="00F64380">
        <w:rPr>
          <w:vertAlign w:val="superscript"/>
          <w:lang w:val="es-ES_tradnl"/>
        </w:rPr>
        <w:t>st</w:t>
      </w:r>
      <w:r w:rsidRPr="00F64380">
        <w:rPr>
          <w:lang w:val="es-ES_tradnl"/>
        </w:rPr>
        <w:t xml:space="preserve"> line: “Ventas medianas”, “Beneficio mediano”, “Relación ventas-costos mediana”</w:t>
      </w:r>
    </w:p>
    <w:p w:rsidR="008B1FA1" w:rsidRPr="00F64380" w:rsidRDefault="008B1FA1" w:rsidP="00F64380">
      <w:pPr>
        <w:rPr>
          <w:lang w:val="es-ES_tradnl"/>
        </w:rPr>
      </w:pPr>
      <w:r w:rsidRPr="00F64380">
        <w:rPr>
          <w:lang w:val="es-ES_tradnl"/>
        </w:rPr>
        <w:t>Translation 2</w:t>
      </w:r>
      <w:r w:rsidRPr="00F64380">
        <w:rPr>
          <w:vertAlign w:val="superscript"/>
          <w:lang w:val="es-ES_tradnl"/>
        </w:rPr>
        <w:t>nd</w:t>
      </w:r>
      <w:r w:rsidRPr="00F64380">
        <w:rPr>
          <w:lang w:val="es-ES_tradnl"/>
        </w:rPr>
        <w:t xml:space="preserve"> line: “(millones de baht)”, “(millones de baht)”, “(relación)”</w:t>
      </w:r>
    </w:p>
    <w:p w:rsidR="008B1FA1" w:rsidRPr="00D930B7" w:rsidRDefault="008B1FA1" w:rsidP="00F64380">
      <w:r w:rsidRPr="00D930B7">
        <w:t>Translation 3</w:t>
      </w:r>
      <w:r w:rsidRPr="00D930B7">
        <w:rPr>
          <w:vertAlign w:val="superscript"/>
        </w:rPr>
        <w:t>rd</w:t>
      </w:r>
      <w:r w:rsidRPr="00D930B7">
        <w:t xml:space="preserve"> line: “Ha solicitado modelos de utilidad” “Todas”</w:t>
      </w:r>
    </w:p>
    <w:p w:rsidR="008B1FA1" w:rsidRPr="00F64380" w:rsidRDefault="008B1FA1" w:rsidP="00F64380">
      <w:pPr>
        <w:rPr>
          <w:lang w:val="es-ES_tradnl"/>
        </w:rPr>
      </w:pPr>
      <w:r w:rsidRPr="00F64380">
        <w:rPr>
          <w:lang w:val="es-ES_tradnl"/>
        </w:rPr>
        <w:t>Translation 4</w:t>
      </w:r>
      <w:r w:rsidRPr="00F64380">
        <w:rPr>
          <w:vertAlign w:val="superscript"/>
          <w:lang w:val="es-ES_tradnl"/>
        </w:rPr>
        <w:t>rd</w:t>
      </w:r>
      <w:r w:rsidRPr="00F64380">
        <w:rPr>
          <w:lang w:val="es-ES_tradnl"/>
        </w:rPr>
        <w:t xml:space="preserve"> line: “Percentil de tamaño”, “No”, “Sí”</w:t>
      </w:r>
    </w:p>
    <w:p w:rsidR="008B1FA1" w:rsidRPr="00F64380" w:rsidRDefault="006A060B" w:rsidP="00F64380">
      <w:pPr>
        <w:rPr>
          <w:lang w:val="es-ES_tradnl"/>
        </w:rPr>
      </w:pPr>
      <w:r w:rsidRPr="00F64380">
        <w:rPr>
          <w:lang w:val="es-ES_tradnl"/>
        </w:rPr>
        <w:t>Translation 9</w:t>
      </w:r>
      <w:r w:rsidR="008B1FA1" w:rsidRPr="00F64380">
        <w:rPr>
          <w:vertAlign w:val="superscript"/>
          <w:lang w:val="es-ES_tradnl"/>
        </w:rPr>
        <w:t>th</w:t>
      </w:r>
      <w:r w:rsidR="008B1FA1" w:rsidRPr="00F64380">
        <w:rPr>
          <w:lang w:val="es-ES_tradnl"/>
        </w:rPr>
        <w:t xml:space="preserve"> line: “Todas”</w:t>
      </w:r>
    </w:p>
    <w:p w:rsidR="008B1FA1" w:rsidRPr="00F64380" w:rsidRDefault="008B1FA1" w:rsidP="004B3852">
      <w:pPr>
        <w:spacing w:line="360" w:lineRule="auto"/>
        <w:rPr>
          <w:lang w:val="es-ES_tradnl"/>
        </w:rPr>
      </w:pPr>
    </w:p>
    <w:p w:rsidR="00F64380" w:rsidRDefault="006A060B" w:rsidP="00F64380">
      <w:r>
        <w:t xml:space="preserve">En tercer lugar, </w:t>
      </w:r>
      <w:r w:rsidR="008B1FA1" w:rsidRPr="00D930B7">
        <w:t xml:space="preserve">si bien </w:t>
      </w:r>
      <w:r w:rsidR="00227058" w:rsidRPr="00D930B7">
        <w:t xml:space="preserve">en </w:t>
      </w:r>
      <w:r w:rsidR="008B1FA1" w:rsidRPr="00D930B7">
        <w:t xml:space="preserve">todos los sectores industriales </w:t>
      </w:r>
      <w:r w:rsidR="00227058" w:rsidRPr="00D930B7">
        <w:t xml:space="preserve">hay empresas que </w:t>
      </w:r>
      <w:r w:rsidR="008B1FA1" w:rsidRPr="00D930B7">
        <w:t xml:space="preserve">han solicitado protección </w:t>
      </w:r>
      <w:r>
        <w:t>por</w:t>
      </w:r>
      <w:r w:rsidR="008B1FA1" w:rsidRPr="00D930B7">
        <w:t xml:space="preserve"> modelos de utilidad, los cuatro sectores con una gran concentraci</w:t>
      </w:r>
      <w:r w:rsidR="00227058" w:rsidRPr="00D930B7">
        <w:t>ón de empresas que cuent</w:t>
      </w:r>
      <w:r w:rsidR="00CE77E9" w:rsidRPr="00D930B7">
        <w:t>a</w:t>
      </w:r>
      <w:r w:rsidR="008B1FA1" w:rsidRPr="00D930B7">
        <w:t>n con este tipo de protección son</w:t>
      </w:r>
      <w:proofErr w:type="gramStart"/>
      <w:r w:rsidR="008B1FA1" w:rsidRPr="00D930B7">
        <w:t>:  el</w:t>
      </w:r>
      <w:proofErr w:type="gramEnd"/>
      <w:r w:rsidR="008B1FA1" w:rsidRPr="00D930B7">
        <w:t xml:space="preserve"> sector mayorista, la alimentación y </w:t>
      </w:r>
      <w:r w:rsidR="004C1DDC" w:rsidRPr="00D930B7">
        <w:t xml:space="preserve">las </w:t>
      </w:r>
      <w:r w:rsidR="008B1FA1" w:rsidRPr="00D930B7">
        <w:t>bebidas</w:t>
      </w:r>
      <w:r w:rsidR="004C1DDC" w:rsidRPr="00D930B7">
        <w:t xml:space="preserve">, la </w:t>
      </w:r>
      <w:r w:rsidR="00227058" w:rsidRPr="00D930B7">
        <w:t>maquinaria y el minorista</w:t>
      </w:r>
      <w:r w:rsidR="008B1FA1" w:rsidRPr="00D930B7">
        <w:t>.</w:t>
      </w:r>
      <w:r w:rsidR="00D461D3" w:rsidRPr="00D930B7">
        <w:t xml:space="preserve">  </w:t>
      </w:r>
      <w:r w:rsidR="00CE77E9" w:rsidRPr="00D930B7">
        <w:t>Por otra parte</w:t>
      </w:r>
      <w:r w:rsidR="00227058" w:rsidRPr="00D930B7">
        <w:t xml:space="preserve">, los </w:t>
      </w:r>
      <w:r>
        <w:t xml:space="preserve">tres </w:t>
      </w:r>
      <w:r w:rsidR="00BB1F2C">
        <w:t>sectores</w:t>
      </w:r>
      <w:r w:rsidR="00227058" w:rsidRPr="00D930B7">
        <w:t xml:space="preserve"> tecnológicos con mayor número de empresas que solicit</w:t>
      </w:r>
      <w:r w:rsidR="00CE77E9" w:rsidRPr="00D930B7">
        <w:t>a</w:t>
      </w:r>
      <w:r w:rsidR="00227058" w:rsidRPr="00D930B7">
        <w:t xml:space="preserve">n modelos de utilidad son la ingeniería civil, la química alimentaria y </w:t>
      </w:r>
      <w:r>
        <w:t>la carga y descarga</w:t>
      </w:r>
      <w:r w:rsidR="00227058" w:rsidRPr="00D930B7">
        <w:t>.</w:t>
      </w:r>
    </w:p>
    <w:p w:rsidR="00F64380" w:rsidRDefault="00F64380" w:rsidP="00F64380"/>
    <w:p w:rsidR="00B26A0E" w:rsidRPr="00D930B7" w:rsidRDefault="00CE77E9" w:rsidP="00F64380">
      <w:pPr>
        <w:pStyle w:val="BodyText"/>
      </w:pPr>
      <w:r w:rsidRPr="00D930B7">
        <w:t xml:space="preserve">En cuarto lugar, el mayor número de solicitudes de modelos de utilidad </w:t>
      </w:r>
      <w:r w:rsidR="006A060B">
        <w:t>proviene de</w:t>
      </w:r>
      <w:r w:rsidRPr="00D930B7">
        <w:t xml:space="preserve"> empresas que están situadas en Bangkok, capital de Tailandia.</w:t>
      </w:r>
    </w:p>
    <w:p w:rsidR="00B26A0E" w:rsidRPr="00D930B7" w:rsidRDefault="00CE77E9" w:rsidP="00F64380">
      <w:pPr>
        <w:pStyle w:val="BodyText"/>
      </w:pPr>
      <w:r w:rsidRPr="00D930B7">
        <w:t xml:space="preserve">Por último, examinamos las pautas de las solicitudes de modelos de utilidad por parte de empresas de sectores industriales específicos de acuerdo al </w:t>
      </w:r>
      <w:r w:rsidR="00DD39AA">
        <w:t>sector</w:t>
      </w:r>
      <w:r w:rsidRPr="00D930B7">
        <w:t xml:space="preserve"> tecnológico de sus solicitudes para estudiar si hay tendencias concretas.</w:t>
      </w:r>
      <w:r w:rsidR="00D461D3" w:rsidRPr="00D930B7">
        <w:t xml:space="preserve">  </w:t>
      </w:r>
      <w:r w:rsidRPr="00D930B7">
        <w:t xml:space="preserve">Como cabía esperar, las empresas de ramos </w:t>
      </w:r>
      <w:r w:rsidR="00DC3D3A" w:rsidRPr="00D930B7">
        <w:t>industriales</w:t>
      </w:r>
      <w:r w:rsidRPr="00D930B7">
        <w:t xml:space="preserve"> específicos solicitan protección mediante modelos de utilidad para invenciones de</w:t>
      </w:r>
      <w:r w:rsidR="00DC3D3A" w:rsidRPr="00D930B7">
        <w:t>ntro de</w:t>
      </w:r>
      <w:r w:rsidRPr="00D930B7">
        <w:t xml:space="preserve"> </w:t>
      </w:r>
      <w:r w:rsidR="006A060B">
        <w:t>los</w:t>
      </w:r>
      <w:r w:rsidRPr="00D930B7">
        <w:t xml:space="preserve"> </w:t>
      </w:r>
      <w:r w:rsidR="00DD39AA">
        <w:t xml:space="preserve">sectores </w:t>
      </w:r>
      <w:r w:rsidRPr="00D930B7">
        <w:t xml:space="preserve">tecnológicos </w:t>
      </w:r>
      <w:r w:rsidR="006A060B">
        <w:t>que les son propios</w:t>
      </w:r>
      <w:r w:rsidRPr="00D930B7">
        <w:t>, como en el caso del sector industrial de la alimentación y las bebidas</w:t>
      </w:r>
      <w:r w:rsidR="00DC3D3A" w:rsidRPr="00D930B7">
        <w:t xml:space="preserve"> en el </w:t>
      </w:r>
      <w:r w:rsidR="00DD39AA">
        <w:t xml:space="preserve">sector </w:t>
      </w:r>
      <w:r w:rsidR="00DC3D3A" w:rsidRPr="00D930B7">
        <w:t>de la química alimentaria.</w:t>
      </w:r>
      <w:r w:rsidR="00D461D3" w:rsidRPr="00D930B7">
        <w:t xml:space="preserve">  </w:t>
      </w:r>
      <w:r w:rsidR="00DC3D3A" w:rsidRPr="00D930B7">
        <w:t xml:space="preserve">Así, las empresas de la industria de la alimentación y las bebidas solicitan modelos de utilidad </w:t>
      </w:r>
      <w:r w:rsidR="006A060B">
        <w:t>en</w:t>
      </w:r>
      <w:r w:rsidR="00DC3D3A" w:rsidRPr="00D930B7">
        <w:t xml:space="preserve"> tecnologías </w:t>
      </w:r>
      <w:r w:rsidR="006A060B">
        <w:t xml:space="preserve">de </w:t>
      </w:r>
      <w:r w:rsidR="00DC3D3A" w:rsidRPr="00D930B7">
        <w:t>química</w:t>
      </w:r>
      <w:r w:rsidR="006A060B">
        <w:t xml:space="preserve"> alimentaria</w:t>
      </w:r>
      <w:r w:rsidR="00DC3D3A" w:rsidRPr="00D930B7">
        <w:t xml:space="preserve"> y las empresas de la industria química los piden en </w:t>
      </w:r>
      <w:proofErr w:type="gramStart"/>
      <w:r w:rsidR="00DC3D3A" w:rsidRPr="00D930B7">
        <w:t xml:space="preserve">los </w:t>
      </w:r>
      <w:r w:rsidR="00BB1F2C">
        <w:t>sectores</w:t>
      </w:r>
      <w:r w:rsidR="00DC3D3A" w:rsidRPr="00D930B7">
        <w:t xml:space="preserve"> farmacéutico</w:t>
      </w:r>
      <w:proofErr w:type="gramEnd"/>
      <w:r w:rsidR="00DC3D3A" w:rsidRPr="00D930B7">
        <w:t xml:space="preserve"> y de la química de materiales.  Fue sorprendente el descubrimiento de </w:t>
      </w:r>
      <w:r w:rsidR="00DC3D3A" w:rsidRPr="00D930B7">
        <w:lastRenderedPageBreak/>
        <w:t xml:space="preserve">que hay algunos sectores en particular, como el mayorista, en los que las empresas solicitan protección para invenciones que tienen aplicación en muchos </w:t>
      </w:r>
      <w:r w:rsidR="00BB1F2C">
        <w:t>sectores</w:t>
      </w:r>
      <w:r w:rsidR="00DC3D3A" w:rsidRPr="00D930B7">
        <w:t xml:space="preserve"> tecnológicos diferentes.</w:t>
      </w:r>
    </w:p>
    <w:p w:rsidR="00B26A0E" w:rsidRPr="00D930B7" w:rsidRDefault="005C648A" w:rsidP="00F64380">
      <w:pPr>
        <w:pStyle w:val="BodyText"/>
        <w:rPr>
          <w:b/>
          <w:i/>
        </w:rPr>
      </w:pPr>
      <w:r w:rsidRPr="00D930B7">
        <w:rPr>
          <w:b/>
          <w:i/>
        </w:rPr>
        <w:t xml:space="preserve">Efectos de la protección </w:t>
      </w:r>
      <w:r w:rsidR="0046302F">
        <w:rPr>
          <w:b/>
          <w:i/>
        </w:rPr>
        <w:t>por</w:t>
      </w:r>
      <w:r w:rsidRPr="00D930B7">
        <w:rPr>
          <w:b/>
          <w:i/>
        </w:rPr>
        <w:t xml:space="preserve"> modelos de utilidad en las empresas</w:t>
      </w:r>
    </w:p>
    <w:p w:rsidR="00B26A0E" w:rsidRPr="00D930B7" w:rsidRDefault="005C648A" w:rsidP="00F64380">
      <w:r w:rsidRPr="00D930B7">
        <w:t xml:space="preserve">Llevamos a cabo una investigación más exhaustiva sobre la relación entre la protección </w:t>
      </w:r>
      <w:r w:rsidR="006A060B">
        <w:t>por</w:t>
      </w:r>
      <w:r w:rsidRPr="00D930B7">
        <w:t xml:space="preserve"> modelos de utilidad y el rendimiento de las empresas aplicando un enfoque econométrico. </w:t>
      </w:r>
      <w:r w:rsidR="00D461D3" w:rsidRPr="00D930B7">
        <w:t xml:space="preserve"> </w:t>
      </w:r>
      <w:r w:rsidRPr="00D930B7">
        <w:t>Este método nos permite determinar si el rendimiento puede atribuirse a la protección mediante modelos de utilidad y en qué medida.</w:t>
      </w:r>
    </w:p>
    <w:p w:rsidR="00B26A0E" w:rsidRPr="00D930B7" w:rsidRDefault="00B26A0E" w:rsidP="00F64380"/>
    <w:p w:rsidR="00B26A0E" w:rsidRPr="00D930B7" w:rsidRDefault="005C648A" w:rsidP="00F64380">
      <w:r w:rsidRPr="00D930B7">
        <w:t xml:space="preserve">La </w:t>
      </w:r>
      <w:r w:rsidR="00AE29F7" w:rsidRPr="00D930B7">
        <w:t>ecuación</w:t>
      </w:r>
      <w:r w:rsidRPr="00D930B7">
        <w:t xml:space="preserve"> general para este cálculo es</w:t>
      </w:r>
      <w:r w:rsidR="00D461D3" w:rsidRPr="00D930B7">
        <w:t>:</w:t>
      </w:r>
    </w:p>
    <w:p w:rsidR="00B26A0E" w:rsidRPr="00D930B7" w:rsidRDefault="00B26A0E" w:rsidP="00F64380"/>
    <w:p w:rsidR="00B26A0E" w:rsidRPr="00D930B7" w:rsidRDefault="00D035B8" w:rsidP="00F64380">
      <w:pPr>
        <w:jc w:val="center"/>
        <w:rPr>
          <w:bCs/>
          <w:i/>
        </w:rPr>
      </w:pPr>
      <m:oMathPara>
        <m:oMath>
          <m:sSub>
            <m:sSubPr>
              <m:ctrlPr>
                <w:rPr>
                  <w:rFonts w:ascii="Cambria Math" w:hAnsi="Cambria Math"/>
                  <w:bCs/>
                  <w:i/>
                </w:rPr>
              </m:ctrlPr>
            </m:sSubPr>
            <m:e>
              <m:r>
                <w:rPr>
                  <w:rFonts w:ascii="Cambria Math" w:hAnsi="Cambria Math"/>
                </w:rPr>
                <m:t>Rendimiento</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1</m:t>
              </m:r>
            </m:sub>
          </m:sSub>
          <m:sSub>
            <m:sSubPr>
              <m:ctrlPr>
                <w:rPr>
                  <w:rFonts w:ascii="Cambria Math" w:hAnsi="Cambria Math"/>
                  <w:bCs/>
                  <w:i/>
                </w:rPr>
              </m:ctrlPr>
            </m:sSubPr>
            <m:e>
              <m:r>
                <w:rPr>
                  <w:rFonts w:ascii="Cambria Math" w:hAnsi="Cambria Math"/>
                </w:rPr>
                <m:t>Gastos</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2</m:t>
              </m:r>
            </m:sub>
          </m:sSub>
          <m:sSub>
            <m:sSubPr>
              <m:ctrlPr>
                <w:rPr>
                  <w:rFonts w:ascii="Cambria Math" w:hAnsi="Cambria Math"/>
                  <w:bCs/>
                  <w:i/>
                </w:rPr>
              </m:ctrlPr>
            </m:sSubPr>
            <m:e>
              <m:r>
                <w:rPr>
                  <w:rFonts w:ascii="Cambria Math" w:hAnsi="Cambria Math"/>
                </w:rPr>
                <m:t>Modelos de utilidad</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ϵ</m:t>
              </m:r>
            </m:e>
            <m:sub>
              <m:r>
                <w:rPr>
                  <w:rFonts w:ascii="Cambria Math" w:hAnsi="Cambria Math"/>
                </w:rPr>
                <m:t>it</m:t>
              </m:r>
            </m:sub>
          </m:sSub>
        </m:oMath>
      </m:oMathPara>
    </w:p>
    <w:p w:rsidR="00B26A0E" w:rsidRPr="00D930B7" w:rsidRDefault="00B26A0E" w:rsidP="00F64380">
      <w:pPr>
        <w:jc w:val="center"/>
        <w:rPr>
          <w:bCs/>
          <w:i/>
        </w:rPr>
      </w:pPr>
    </w:p>
    <w:p w:rsidR="00B26A0E" w:rsidRPr="00D930B7" w:rsidRDefault="005C648A" w:rsidP="00F64380">
      <w:r w:rsidRPr="00D930B7">
        <w:t xml:space="preserve">En la que el indicador del rendimiento financiero de una empresa </w:t>
      </w:r>
      <w:r w:rsidR="000C4BD1" w:rsidRPr="00D930B7">
        <w:t>en el tiempo</w:t>
      </w:r>
      <w:r w:rsidR="00D461D3" w:rsidRPr="00D930B7">
        <w:t xml:space="preserve"> </w:t>
      </w:r>
      <m:oMath>
        <m:r>
          <w:rPr>
            <w:rFonts w:ascii="Cambria Math" w:hAnsi="Cambria Math"/>
          </w:rPr>
          <m:t>t</m:t>
        </m:r>
      </m:oMath>
      <w:r w:rsidR="00D461D3" w:rsidRPr="00D930B7">
        <w:t xml:space="preserve"> </w:t>
      </w:r>
      <w:r w:rsidR="00AE29F7" w:rsidRPr="00D930B7">
        <w:t>es función</w:t>
      </w:r>
      <w:r w:rsidR="000C4BD1" w:rsidRPr="00D930B7">
        <w:t xml:space="preserve"> de si ha solicitado modelos de utilidad</w:t>
      </w:r>
      <w:proofErr w:type="gramStart"/>
      <w:r w:rsidR="00D461D3" w:rsidRPr="00D930B7">
        <w:t xml:space="preserve">, </w:t>
      </w:r>
      <m:oMath>
        <m:sSub>
          <m:sSubPr>
            <m:ctrlPr>
              <w:rPr>
                <w:rFonts w:ascii="Cambria Math" w:hAnsi="Cambria Math"/>
                <w:i/>
              </w:rPr>
            </m:ctrlPr>
          </m:sSubPr>
          <m:e>
            <m:r>
              <w:rPr>
                <w:rFonts w:ascii="Cambria Math" w:hAnsi="Cambria Math"/>
              </w:rPr>
              <m:t>Modelos de utilidad</m:t>
            </m:r>
          </m:e>
          <m:sub>
            <m:r>
              <w:rPr>
                <w:rFonts w:ascii="Cambria Math" w:hAnsi="Cambria Math"/>
              </w:rPr>
              <m:t>it</m:t>
            </m:r>
          </m:sub>
        </m:sSub>
      </m:oMath>
      <w:r w:rsidR="00D461D3" w:rsidRPr="00D930B7">
        <w:t>,</w:t>
      </w:r>
      <w:proofErr w:type="gramEnd"/>
      <w:r w:rsidR="00D461D3" w:rsidRPr="00D930B7">
        <w:t xml:space="preserve"> </w:t>
      </w:r>
      <w:r w:rsidR="00AE29F7" w:rsidRPr="00D930B7">
        <w:t xml:space="preserve">de </w:t>
      </w:r>
      <w:r w:rsidR="000C4BD1" w:rsidRPr="00D930B7">
        <w:t>sus gastos de funcionamiento</w:t>
      </w:r>
      <w:r w:rsidR="00D461D3" w:rsidRPr="00D930B7">
        <w:t xml:space="preserve">, </w:t>
      </w:r>
      <m:oMath>
        <m:sSub>
          <m:sSubPr>
            <m:ctrlPr>
              <w:rPr>
                <w:rFonts w:ascii="Cambria Math" w:hAnsi="Cambria Math"/>
                <w:i/>
              </w:rPr>
            </m:ctrlPr>
          </m:sSubPr>
          <m:e>
            <m:r>
              <w:rPr>
                <w:rFonts w:ascii="Cambria Math" w:hAnsi="Cambria Math"/>
              </w:rPr>
              <m:t>Gastos</m:t>
            </m:r>
          </m:e>
          <m:sub>
            <m:r>
              <w:rPr>
                <w:rFonts w:ascii="Cambria Math" w:hAnsi="Cambria Math"/>
              </w:rPr>
              <m:t>it</m:t>
            </m:r>
          </m:sub>
        </m:sSub>
      </m:oMath>
      <w:r w:rsidR="00D461D3" w:rsidRPr="00D930B7">
        <w:t xml:space="preserve">, </w:t>
      </w:r>
      <w:r w:rsidR="000C4BD1" w:rsidRPr="00D930B7">
        <w:t xml:space="preserve">y de factores que no varían con el tiempo y </w:t>
      </w:r>
      <w:r w:rsidR="00AE29F7" w:rsidRPr="00D930B7">
        <w:t xml:space="preserve">son </w:t>
      </w:r>
      <w:r w:rsidR="000C4BD1" w:rsidRPr="00D930B7">
        <w:t>específicos a la empresa</w:t>
      </w:r>
      <w:r w:rsidR="00D461D3" w:rsidRPr="00D930B7">
        <w:t xml:space="preserve">,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00D461D3" w:rsidRPr="00D930B7">
        <w:t xml:space="preserve">.  </w:t>
      </w:r>
      <w:r w:rsidR="000C4BD1" w:rsidRPr="00D930B7">
        <w:t xml:space="preserve">Este </w:t>
      </w:r>
      <w:r w:rsidR="00D461D3" w:rsidRPr="00D930B7">
        <w:t>factor</w:t>
      </w:r>
      <w:r w:rsidR="000C4BD1" w:rsidRPr="00D930B7">
        <w:t xml:space="preserve"> que no varía con el tiempo y</w:t>
      </w:r>
      <w:r w:rsidR="00AE29F7" w:rsidRPr="00D930B7">
        <w:t xml:space="preserve"> es</w:t>
      </w:r>
      <w:r w:rsidR="000C4BD1" w:rsidRPr="00D930B7">
        <w:t xml:space="preserve"> específico a la empresa</w:t>
      </w:r>
      <w:proofErr w:type="gramStart"/>
      <w:r w:rsidR="00D461D3" w:rsidRPr="00D930B7">
        <w:t xml:space="preserve">,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00D461D3" w:rsidRPr="00D930B7">
        <w:t>,</w:t>
      </w:r>
      <w:proofErr w:type="gramEnd"/>
      <w:r w:rsidR="00D461D3" w:rsidRPr="00D930B7">
        <w:t xml:space="preserve"> </w:t>
      </w:r>
      <w:r w:rsidR="000C4BD1" w:rsidRPr="00D930B7">
        <w:t xml:space="preserve">se obtiene mediante </w:t>
      </w:r>
      <w:r w:rsidR="006D4375">
        <w:t xml:space="preserve">modelos de </w:t>
      </w:r>
      <w:r w:rsidR="000C4BD1" w:rsidRPr="00D930B7">
        <w:t>regresión de efecto fijo</w:t>
      </w:r>
      <w:r w:rsidR="00D461D3" w:rsidRPr="00D930B7">
        <w:t xml:space="preserve">.  </w:t>
      </w:r>
    </w:p>
    <w:p w:rsidR="00B26A0E" w:rsidRPr="00D930B7" w:rsidRDefault="00B26A0E" w:rsidP="00F64380"/>
    <w:p w:rsidR="00B26A0E" w:rsidRPr="00D930B7" w:rsidRDefault="003F5571" w:rsidP="00F64380">
      <w:r w:rsidRPr="00D930B7">
        <w:t xml:space="preserve">Los resultados de nuestros cálculos confirman </w:t>
      </w:r>
      <w:r w:rsidR="006A060B">
        <w:t xml:space="preserve">sobradamente </w:t>
      </w:r>
      <w:r w:rsidRPr="00D930B7">
        <w:t xml:space="preserve">las tendencias que hemos representado anteriormente en </w:t>
      </w:r>
      <w:r w:rsidR="00C90706" w:rsidRPr="00D930B7">
        <w:t>la figura</w:t>
      </w:r>
      <w:r w:rsidRPr="00D930B7">
        <w:t> </w:t>
      </w:r>
      <w:r w:rsidR="00C90706" w:rsidRPr="00D930B7">
        <w:t>E</w:t>
      </w:r>
      <w:r w:rsidRPr="00D930B7">
        <w:t xml:space="preserve">-1.  De media, observamos </w:t>
      </w:r>
      <w:r w:rsidR="00B9402D" w:rsidRPr="00D930B7">
        <w:t>una</w:t>
      </w:r>
      <w:r w:rsidRPr="00D930B7">
        <w:t xml:space="preserve"> correlación positiva y significativa desde el punto de vista estadístico entre los indicadores del rendimiento financiero de las empresas y la protección mediante modelos de utilidad. </w:t>
      </w:r>
      <w:r w:rsidR="00D461D3" w:rsidRPr="00D930B7">
        <w:t xml:space="preserve">  </w:t>
      </w:r>
    </w:p>
    <w:p w:rsidR="00B26A0E" w:rsidRPr="00D930B7" w:rsidRDefault="00B26A0E" w:rsidP="00F64380"/>
    <w:p w:rsidR="00B26A0E" w:rsidRPr="00D930B7" w:rsidRDefault="006A060B" w:rsidP="00F64380">
      <w:r>
        <w:t>Sospechába</w:t>
      </w:r>
      <w:r w:rsidR="003F5571" w:rsidRPr="00D930B7">
        <w:t xml:space="preserve">mos que </w:t>
      </w:r>
      <w:r w:rsidR="000F23F8">
        <w:t>podía</w:t>
      </w:r>
      <w:r w:rsidR="003F5571" w:rsidRPr="00D930B7">
        <w:t xml:space="preserve"> haber un condicionante relativo al tamaño qu</w:t>
      </w:r>
      <w:r w:rsidR="000F23F8">
        <w:t>e influía</w:t>
      </w:r>
      <w:r>
        <w:t xml:space="preserve"> en la relación entre </w:t>
      </w:r>
      <w:r w:rsidR="009217F5">
        <w:t>la</w:t>
      </w:r>
      <w:r w:rsidR="003F5571" w:rsidRPr="00D930B7">
        <w:t xml:space="preserve"> protección </w:t>
      </w:r>
      <w:r w:rsidR="009217F5">
        <w:t xml:space="preserve">que ofrecen los modelos de utilidad </w:t>
      </w:r>
      <w:r w:rsidR="003F5571" w:rsidRPr="00D930B7">
        <w:t xml:space="preserve">y los indicadores del rendimiento de las empresas, y </w:t>
      </w:r>
      <w:r w:rsidRPr="009217F5">
        <w:t>hemos puesto</w:t>
      </w:r>
      <w:r w:rsidR="003F5571" w:rsidRPr="009217F5">
        <w:t xml:space="preserve"> a prueba esta teoría. </w:t>
      </w:r>
      <w:r w:rsidR="00D461D3" w:rsidRPr="009217F5">
        <w:t xml:space="preserve"> </w:t>
      </w:r>
      <w:r w:rsidRPr="009217F5">
        <w:t>Hemos o</w:t>
      </w:r>
      <w:r w:rsidR="003F5571" w:rsidRPr="009217F5">
        <w:t>bten</w:t>
      </w:r>
      <w:r w:rsidRPr="009217F5">
        <w:t>ido</w:t>
      </w:r>
      <w:r w:rsidR="003F5571" w:rsidRPr="009217F5">
        <w:t xml:space="preserve"> dos resultados interesantes.</w:t>
      </w:r>
      <w:r w:rsidR="00D461D3" w:rsidRPr="009217F5">
        <w:t xml:space="preserve">  </w:t>
      </w:r>
      <w:r w:rsidR="003F5571" w:rsidRPr="009217F5">
        <w:t xml:space="preserve">En primer lugar, </w:t>
      </w:r>
      <w:r w:rsidR="0046302F" w:rsidRPr="009217F5">
        <w:t>cuando se asocia el tamaño a los coeficientes relativos a l</w:t>
      </w:r>
      <w:r w:rsidR="0023618C" w:rsidRPr="009217F5">
        <w:t>o</w:t>
      </w:r>
      <w:r w:rsidR="0046302F" w:rsidRPr="009217F5">
        <w:t>s modelos de utilidad, el resultado es superior a las regresiones sin la variable del tamaño</w:t>
      </w:r>
      <w:r w:rsidR="00490A91" w:rsidRPr="009217F5">
        <w:t>.</w:t>
      </w:r>
      <w:r w:rsidR="00490A91" w:rsidRPr="00D930B7">
        <w:t xml:space="preserve"> </w:t>
      </w:r>
      <w:r w:rsidR="00D461D3" w:rsidRPr="00D930B7">
        <w:t xml:space="preserve"> </w:t>
      </w:r>
      <w:r w:rsidR="00490A91" w:rsidRPr="00D930B7">
        <w:t xml:space="preserve">Y en segundo lugar el aumento de las ventas netas para la empresa media desciende a medida que </w:t>
      </w:r>
      <w:r w:rsidR="0023618C">
        <w:t xml:space="preserve">aumenta </w:t>
      </w:r>
      <w:r w:rsidR="00490A91" w:rsidRPr="00D930B7">
        <w:t xml:space="preserve">el tamaño de la empresa.  En </w:t>
      </w:r>
      <w:r w:rsidR="00EF3E5B" w:rsidRPr="00D930B7">
        <w:t>otras palabras</w:t>
      </w:r>
      <w:r w:rsidR="00490A91" w:rsidRPr="00D930B7">
        <w:t>, el a</w:t>
      </w:r>
      <w:r>
        <w:t>scens</w:t>
      </w:r>
      <w:r w:rsidR="0023618C">
        <w:t>o de las ventas netas gracias a</w:t>
      </w:r>
      <w:r w:rsidR="00490A91" w:rsidRPr="00D930B7">
        <w:t xml:space="preserve"> la protección mediante modelos de utilidad es mayor que antes de ésta, y este efecto es más pronunciado en las empresas más pequeñas.</w:t>
      </w:r>
      <w:r w:rsidR="00D461D3" w:rsidRPr="00D930B7">
        <w:t xml:space="preserve">  </w:t>
      </w:r>
      <w:r w:rsidR="00490A91" w:rsidRPr="00D930B7">
        <w:t xml:space="preserve">Este resultado puede observarse </w:t>
      </w:r>
      <w:r w:rsidR="00EF3E5B" w:rsidRPr="00D930B7">
        <w:t>m</w:t>
      </w:r>
      <w:r w:rsidR="00C90706" w:rsidRPr="00D930B7">
        <w:t>ej</w:t>
      </w:r>
      <w:r w:rsidR="00EF3E5B" w:rsidRPr="00D930B7">
        <w:t>or</w:t>
      </w:r>
      <w:r w:rsidR="00490A91" w:rsidRPr="00D930B7">
        <w:t xml:space="preserve"> cuando </w:t>
      </w:r>
      <w:r>
        <w:t xml:space="preserve">representamos en </w:t>
      </w:r>
      <w:r w:rsidR="00490A91" w:rsidRPr="00D930B7">
        <w:t xml:space="preserve">el gráfico la influencia de la protección mediante modelos de utilidad en las ventas netas según el tamaño de la empresa, como en </w:t>
      </w:r>
      <w:r w:rsidR="00C90706" w:rsidRPr="00D930B7">
        <w:t>la figura</w:t>
      </w:r>
      <w:r w:rsidR="00490A91" w:rsidRPr="00D930B7">
        <w:t> E-2.</w:t>
      </w:r>
      <w:r w:rsidR="00D461D3" w:rsidRPr="00D930B7">
        <w:t xml:space="preserve">  </w:t>
      </w:r>
      <w:r w:rsidR="00C90706" w:rsidRPr="00D930B7">
        <w:t>En la</w:t>
      </w:r>
      <w:r w:rsidR="00490A91" w:rsidRPr="00D930B7">
        <w:t xml:space="preserve"> </w:t>
      </w:r>
      <w:r w:rsidR="00C90706" w:rsidRPr="00D930B7">
        <w:t>figura</w:t>
      </w:r>
      <w:r w:rsidR="00490A91" w:rsidRPr="00D930B7">
        <w:t xml:space="preserve"> (que </w:t>
      </w:r>
      <w:r w:rsidR="00C90706" w:rsidRPr="00D930B7">
        <w:t>aparece</w:t>
      </w:r>
      <w:r w:rsidR="00490A91" w:rsidRPr="00D930B7">
        <w:t xml:space="preserve"> a continuación)</w:t>
      </w:r>
      <w:r w:rsidR="00C90706" w:rsidRPr="00D930B7">
        <w:t xml:space="preserve"> se</w:t>
      </w:r>
      <w:r w:rsidR="00D461D3" w:rsidRPr="00D930B7">
        <w:t xml:space="preserve"> </w:t>
      </w:r>
      <w:r w:rsidR="00490A91" w:rsidRPr="00D930B7">
        <w:t>muestra que cuanto m</w:t>
      </w:r>
      <w:r w:rsidR="00EF3E5B" w:rsidRPr="00D930B7">
        <w:t>ás grande</w:t>
      </w:r>
      <w:r w:rsidR="00490A91" w:rsidRPr="00D930B7">
        <w:t xml:space="preserve"> es la empresa </w:t>
      </w:r>
      <w:r w:rsidR="00EF3E5B" w:rsidRPr="00D930B7">
        <w:t>–</w:t>
      </w:r>
      <w:r w:rsidR="00490A91" w:rsidRPr="00D930B7">
        <w:t>medida según sus gastos de funcionamiento</w:t>
      </w:r>
      <w:r w:rsidR="00EF3E5B" w:rsidRPr="00D930B7">
        <w:t>–,</w:t>
      </w:r>
      <w:r w:rsidR="00490A91" w:rsidRPr="00D930B7">
        <w:t xml:space="preserve"> menor es el efecto de la solicitud de modelos de utilidad en las ventas netas.</w:t>
      </w:r>
    </w:p>
    <w:p w:rsidR="00B26A0E" w:rsidRPr="00D930B7" w:rsidRDefault="00D461D3" w:rsidP="00D901CA">
      <w:pPr>
        <w:spacing w:line="360" w:lineRule="auto"/>
      </w:pPr>
      <w:r w:rsidRPr="00D930B7">
        <w:br w:type="page"/>
      </w:r>
    </w:p>
    <w:p w:rsidR="00D461D3" w:rsidRPr="00D930B7" w:rsidRDefault="00C90706" w:rsidP="00D901CA">
      <w:pPr>
        <w:spacing w:line="360" w:lineRule="auto"/>
        <w:rPr>
          <w:rFonts w:eastAsia="MS Mincho"/>
          <w:b/>
          <w:bCs/>
          <w:sz w:val="18"/>
          <w:szCs w:val="18"/>
        </w:rPr>
      </w:pPr>
      <w:r w:rsidRPr="00D930B7">
        <w:rPr>
          <w:rFonts w:eastAsia="MS Mincho"/>
          <w:b/>
          <w:bCs/>
          <w:sz w:val="18"/>
          <w:szCs w:val="18"/>
        </w:rPr>
        <w:lastRenderedPageBreak/>
        <w:t>Figura </w:t>
      </w:r>
      <w:r w:rsidR="00D461D3" w:rsidRPr="00D930B7">
        <w:rPr>
          <w:rFonts w:eastAsia="MS Mincho"/>
          <w:b/>
          <w:bCs/>
          <w:sz w:val="18"/>
          <w:szCs w:val="18"/>
        </w:rPr>
        <w:t>E-2</w:t>
      </w:r>
      <w:proofErr w:type="gramStart"/>
      <w:r w:rsidR="00D461D3" w:rsidRPr="00D930B7">
        <w:rPr>
          <w:rFonts w:eastAsia="MS Mincho"/>
          <w:b/>
          <w:bCs/>
          <w:sz w:val="18"/>
          <w:szCs w:val="18"/>
        </w:rPr>
        <w:t xml:space="preserve">:  </w:t>
      </w:r>
      <w:r w:rsidRPr="00D930B7">
        <w:rPr>
          <w:rFonts w:eastAsia="MS Mincho"/>
          <w:b/>
          <w:bCs/>
          <w:sz w:val="18"/>
          <w:szCs w:val="18"/>
        </w:rPr>
        <w:t>La</w:t>
      </w:r>
      <w:proofErr w:type="gramEnd"/>
      <w:r w:rsidRPr="00D930B7">
        <w:rPr>
          <w:rFonts w:eastAsia="MS Mincho"/>
          <w:b/>
          <w:bCs/>
          <w:sz w:val="18"/>
          <w:szCs w:val="18"/>
        </w:rPr>
        <w:t xml:space="preserve"> interacción de la solicitud de modelos de aplicación y las ventas netas</w:t>
      </w:r>
    </w:p>
    <w:tbl>
      <w:tblPr>
        <w:tblStyle w:val="TableGrid"/>
        <w:tblW w:w="9097" w:type="dxa"/>
        <w:jc w:val="center"/>
        <w:tblLook w:val="04A0" w:firstRow="1" w:lastRow="0" w:firstColumn="1" w:lastColumn="0" w:noHBand="0" w:noVBand="1"/>
      </w:tblPr>
      <w:tblGrid>
        <w:gridCol w:w="9097"/>
      </w:tblGrid>
      <w:tr w:rsidR="00D461D3" w:rsidRPr="00D930B7" w:rsidTr="006C40DC">
        <w:trPr>
          <w:trHeight w:val="4796"/>
          <w:jc w:val="center"/>
        </w:trPr>
        <w:tc>
          <w:tcPr>
            <w:tcW w:w="9097" w:type="dxa"/>
          </w:tcPr>
          <w:p w:rsidR="00D461D3" w:rsidRPr="00D930B7" w:rsidRDefault="00D461D3" w:rsidP="00D901CA">
            <w:pPr>
              <w:spacing w:line="360" w:lineRule="auto"/>
            </w:pPr>
            <w:r w:rsidRPr="00D930B7">
              <w:rPr>
                <w:noProof/>
                <w:lang w:val="en-US" w:eastAsia="en-US"/>
              </w:rPr>
              <w:drawing>
                <wp:inline distT="0" distB="0" distL="0" distR="0" wp14:anchorId="4374C742" wp14:editId="720D0E35">
                  <wp:extent cx="5633085" cy="3005455"/>
                  <wp:effectExtent l="0" t="0" r="571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3085" cy="3005455"/>
                          </a:xfrm>
                          <a:prstGeom prst="rect">
                            <a:avLst/>
                          </a:prstGeom>
                          <a:noFill/>
                        </pic:spPr>
                      </pic:pic>
                    </a:graphicData>
                  </a:graphic>
                </wp:inline>
              </w:drawing>
            </w:r>
          </w:p>
        </w:tc>
      </w:tr>
    </w:tbl>
    <w:p w:rsidR="00B26A0E" w:rsidRPr="00D930B7" w:rsidRDefault="00B26A0E" w:rsidP="00D901CA">
      <w:pPr>
        <w:spacing w:line="360" w:lineRule="auto"/>
      </w:pPr>
    </w:p>
    <w:p w:rsidR="00C90706" w:rsidRPr="006D4375" w:rsidRDefault="00C90706" w:rsidP="007A71BF">
      <w:pPr>
        <w:rPr>
          <w:lang w:val="en-US"/>
        </w:rPr>
      </w:pPr>
      <w:r w:rsidRPr="006D4375">
        <w:rPr>
          <w:lang w:val="en-US"/>
        </w:rPr>
        <w:t>[</w:t>
      </w:r>
      <w:r w:rsidRPr="006D4375">
        <w:rPr>
          <w:b/>
          <w:lang w:val="en-US"/>
        </w:rPr>
        <w:t>Translation first part</w:t>
      </w:r>
      <w:r w:rsidR="006A060B" w:rsidRPr="006D4375">
        <w:rPr>
          <w:b/>
          <w:lang w:val="en-US"/>
        </w:rPr>
        <w:t xml:space="preserve"> (left)</w:t>
      </w:r>
      <w:r w:rsidRPr="006D4375">
        <w:rPr>
          <w:lang w:val="en-US"/>
        </w:rPr>
        <w:t>:</w:t>
      </w:r>
    </w:p>
    <w:p w:rsidR="00C90706" w:rsidRPr="006D4375" w:rsidRDefault="00C90706" w:rsidP="00F64380">
      <w:pPr>
        <w:rPr>
          <w:lang w:val="en-US"/>
        </w:rPr>
      </w:pPr>
      <w:r w:rsidRPr="006D4375">
        <w:rPr>
          <w:lang w:val="en-US"/>
        </w:rPr>
        <w:t>“</w:t>
      </w:r>
      <w:proofErr w:type="spellStart"/>
      <w:proofErr w:type="gramStart"/>
      <w:r w:rsidRPr="006D4375">
        <w:rPr>
          <w:lang w:val="en-US"/>
        </w:rPr>
        <w:t>interacción</w:t>
      </w:r>
      <w:proofErr w:type="spellEnd"/>
      <w:proofErr w:type="gramEnd"/>
      <w:r w:rsidRPr="006D4375">
        <w:rPr>
          <w:lang w:val="en-US"/>
        </w:rPr>
        <w:t xml:space="preserve">”, “sin </w:t>
      </w:r>
      <w:proofErr w:type="spellStart"/>
      <w:r w:rsidRPr="006D4375">
        <w:rPr>
          <w:lang w:val="en-US"/>
        </w:rPr>
        <w:t>interacción</w:t>
      </w:r>
      <w:proofErr w:type="spellEnd"/>
      <w:r w:rsidRPr="006D4375">
        <w:rPr>
          <w:lang w:val="en-US"/>
        </w:rPr>
        <w:t>”</w:t>
      </w:r>
    </w:p>
    <w:p w:rsidR="00C90706" w:rsidRPr="00D930B7" w:rsidRDefault="00C90706" w:rsidP="00F64380">
      <w:r w:rsidRPr="00D930B7">
        <w:t>“aumento de las ventas (%)”</w:t>
      </w:r>
    </w:p>
    <w:p w:rsidR="00C90706" w:rsidRPr="00D930B7" w:rsidRDefault="00C90706" w:rsidP="00F64380">
      <w:r w:rsidRPr="00D930B7">
        <w:t>“Gastos (millones de baht)”</w:t>
      </w:r>
    </w:p>
    <w:p w:rsidR="000801E2" w:rsidRPr="006D4375" w:rsidRDefault="000801E2" w:rsidP="00F64380">
      <w:pPr>
        <w:rPr>
          <w:lang w:val="en-US"/>
        </w:rPr>
      </w:pPr>
      <w:r w:rsidRPr="006D4375">
        <w:rPr>
          <w:b/>
          <w:lang w:val="en-US"/>
        </w:rPr>
        <w:t>Translation second part</w:t>
      </w:r>
      <w:r w:rsidR="006A060B" w:rsidRPr="006D4375">
        <w:rPr>
          <w:b/>
          <w:lang w:val="en-US"/>
        </w:rPr>
        <w:t xml:space="preserve"> (right)</w:t>
      </w:r>
      <w:r w:rsidRPr="006D4375">
        <w:rPr>
          <w:lang w:val="en-US"/>
        </w:rPr>
        <w:t>:</w:t>
      </w:r>
    </w:p>
    <w:p w:rsidR="000801E2" w:rsidRPr="006D4375" w:rsidRDefault="000801E2" w:rsidP="00F64380">
      <w:pPr>
        <w:rPr>
          <w:lang w:val="en-US"/>
        </w:rPr>
      </w:pPr>
      <w:r w:rsidRPr="00922F0B">
        <w:rPr>
          <w:lang w:val="en-US"/>
        </w:rPr>
        <w:t>“</w:t>
      </w:r>
      <w:proofErr w:type="spellStart"/>
      <w:r w:rsidRPr="00922F0B">
        <w:rPr>
          <w:lang w:val="en-US"/>
        </w:rPr>
        <w:t>Zum</w:t>
      </w:r>
      <w:proofErr w:type="spellEnd"/>
      <w:r w:rsidRPr="00922F0B">
        <w:rPr>
          <w:lang w:val="en-US"/>
        </w:rPr>
        <w:t>”</w:t>
      </w:r>
    </w:p>
    <w:p w:rsidR="000801E2" w:rsidRPr="00D930B7" w:rsidRDefault="000801E2" w:rsidP="00F64380">
      <w:r w:rsidRPr="00D930B7">
        <w:t>“interacción”</w:t>
      </w:r>
    </w:p>
    <w:p w:rsidR="000801E2" w:rsidRPr="00D930B7" w:rsidRDefault="000801E2" w:rsidP="00F64380">
      <w:r w:rsidRPr="00D930B7">
        <w:t>“sin interacción”</w:t>
      </w:r>
    </w:p>
    <w:p w:rsidR="000801E2" w:rsidRPr="00D930B7" w:rsidRDefault="000801E2" w:rsidP="00F64380">
      <w:r w:rsidRPr="00D930B7">
        <w:t>“aumento de las ventas (%)”</w:t>
      </w:r>
    </w:p>
    <w:p w:rsidR="000801E2" w:rsidRPr="00D930B7" w:rsidRDefault="000801E2" w:rsidP="00F64380">
      <w:r w:rsidRPr="00D930B7">
        <w:t>“Gastos (millones de baht)”</w:t>
      </w:r>
    </w:p>
    <w:p w:rsidR="000801E2" w:rsidRPr="00D930B7" w:rsidRDefault="000801E2" w:rsidP="00F64380"/>
    <w:p w:rsidR="00C90706" w:rsidRPr="00D930B7" w:rsidRDefault="00C90706" w:rsidP="00F64380"/>
    <w:p w:rsidR="00B26A0E" w:rsidRPr="007A71BF" w:rsidRDefault="00B26A0E" w:rsidP="00F64380">
      <w:pPr>
        <w:pStyle w:val="BodyText"/>
        <w:rPr>
          <w:b/>
          <w:i/>
        </w:rPr>
      </w:pPr>
      <w:r w:rsidRPr="007A71BF">
        <w:rPr>
          <w:b/>
          <w:i/>
        </w:rPr>
        <w:t>Conclusión</w:t>
      </w:r>
    </w:p>
    <w:p w:rsidR="00B26A0E" w:rsidRPr="00D930B7" w:rsidRDefault="000801E2" w:rsidP="00F64380">
      <w:r w:rsidRPr="00D930B7">
        <w:t xml:space="preserve">Este estudio constituye un primer paso para intentar </w:t>
      </w:r>
      <w:r w:rsidR="001B66DE" w:rsidRPr="00D930B7">
        <w:t>determina</w:t>
      </w:r>
      <w:r w:rsidRPr="00D930B7">
        <w:t>r si la protección mediante modelos de utilidad resulta útil en un país menos desarrollado como Tailandia.</w:t>
      </w:r>
      <w:r w:rsidR="00D461D3" w:rsidRPr="00D930B7">
        <w:t xml:space="preserve">  </w:t>
      </w:r>
      <w:r w:rsidRPr="00D930B7">
        <w:t xml:space="preserve">En particular, </w:t>
      </w:r>
      <w:r w:rsidR="00B36324">
        <w:t xml:space="preserve">se trata de </w:t>
      </w:r>
      <w:r w:rsidRPr="00D930B7">
        <w:t>analiza</w:t>
      </w:r>
      <w:r w:rsidR="00B36324">
        <w:t>r</w:t>
      </w:r>
      <w:r w:rsidRPr="00D930B7">
        <w:t xml:space="preserve"> la relación entre este tipo de protección y el rendimiento de empresas locales tailandesas.</w:t>
      </w:r>
    </w:p>
    <w:p w:rsidR="00B26A0E" w:rsidRPr="00D930B7" w:rsidRDefault="00B26A0E" w:rsidP="00F64380"/>
    <w:p w:rsidR="00B26A0E" w:rsidRPr="00D930B7" w:rsidRDefault="001B66DE" w:rsidP="00F64380">
      <w:r w:rsidRPr="00D930B7">
        <w:t xml:space="preserve">Los resultados que se presentan en el estudio sobre la protección </w:t>
      </w:r>
      <w:r w:rsidR="006A060B">
        <w:t>por</w:t>
      </w:r>
      <w:r w:rsidRPr="00D930B7">
        <w:t xml:space="preserve"> modelos de utilidad resultan prometedores.</w:t>
      </w:r>
      <w:r w:rsidR="00D461D3" w:rsidRPr="00D930B7">
        <w:t xml:space="preserve">  </w:t>
      </w:r>
      <w:r w:rsidRPr="00D930B7">
        <w:t xml:space="preserve">Observamos que hay una relación positiva y notable entre esta protección y los indicadores del rendimiento de las empresas. </w:t>
      </w:r>
      <w:r w:rsidR="00D461D3" w:rsidRPr="00D930B7">
        <w:t xml:space="preserve"> </w:t>
      </w:r>
      <w:r w:rsidRPr="00D930B7">
        <w:t>No obstante, nos absten</w:t>
      </w:r>
      <w:r w:rsidR="00B36324">
        <w:t xml:space="preserve">emos de atribuir el incremento </w:t>
      </w:r>
      <w:r w:rsidRPr="00D930B7">
        <w:t>e</w:t>
      </w:r>
      <w:r w:rsidR="00B36324">
        <w:t>n</w:t>
      </w:r>
      <w:r w:rsidRPr="00D930B7">
        <w:t xml:space="preserve"> los indicadores </w:t>
      </w:r>
      <w:r w:rsidR="009323FA">
        <w:t>del rendimiento</w:t>
      </w:r>
      <w:r w:rsidRPr="00D930B7">
        <w:t xml:space="preserve"> a la protección mediante modelos de utilidad.</w:t>
      </w:r>
      <w:r w:rsidR="00D461D3" w:rsidRPr="00D930B7">
        <w:t xml:space="preserve">  </w:t>
      </w:r>
      <w:r w:rsidRPr="00D930B7">
        <w:t>En definitiva, no podemos demostrar la causalidad entre la introducción y la aplicación de la protección mediante modelos de utilidad y el mejor rendimiento de las empresas.</w:t>
      </w:r>
      <w:r w:rsidR="00D461D3" w:rsidRPr="00D930B7">
        <w:t xml:space="preserve">  </w:t>
      </w:r>
      <w:r w:rsidRPr="00D930B7">
        <w:t>Esto se debe en parte a limitaciones relativas a la información.</w:t>
      </w:r>
      <w:r w:rsidR="00D461D3" w:rsidRPr="00D930B7">
        <w:t xml:space="preserve">  </w:t>
      </w:r>
      <w:r w:rsidRPr="00D930B7">
        <w:t xml:space="preserve">Debemos estar pasando por alto algunos factores importantes que explican fácilmente </w:t>
      </w:r>
      <w:r w:rsidR="00B36324">
        <w:t>los beneficios</w:t>
      </w:r>
      <w:r w:rsidRPr="00D930B7">
        <w:t xml:space="preserve"> económic</w:t>
      </w:r>
      <w:r w:rsidR="00B36324">
        <w:t>o</w:t>
      </w:r>
      <w:r w:rsidRPr="00D930B7">
        <w:t>s que registran estas empresas, que deben estar relacionados también con la decisión de la empresa de solicitar modelos de utilidad.</w:t>
      </w:r>
      <w:r w:rsidR="00D461D3" w:rsidRPr="00D930B7">
        <w:t xml:space="preserve">  </w:t>
      </w:r>
      <w:r w:rsidRPr="00D930B7">
        <w:t>En otras palabras, cabe preguntarse</w:t>
      </w:r>
      <w:r w:rsidR="00B36324">
        <w:t xml:space="preserve"> si</w:t>
      </w:r>
      <w:r w:rsidR="00406F1C" w:rsidRPr="00D930B7">
        <w:t xml:space="preserve"> </w:t>
      </w:r>
      <w:r w:rsidR="00922F0B" w:rsidRPr="00922F0B">
        <w:t>los</w:t>
      </w:r>
      <w:r w:rsidR="00A55FEC" w:rsidRPr="00922F0B">
        <w:t xml:space="preserve"> i</w:t>
      </w:r>
      <w:r w:rsidR="00406F1C" w:rsidRPr="00922F0B">
        <w:t xml:space="preserve">nnovadores </w:t>
      </w:r>
      <w:r w:rsidR="00922F0B" w:rsidRPr="00922F0B">
        <w:t xml:space="preserve">que tienen más </w:t>
      </w:r>
      <w:r w:rsidR="00406F1C" w:rsidRPr="00922F0B">
        <w:t xml:space="preserve">éxito </w:t>
      </w:r>
      <w:r w:rsidR="00922F0B" w:rsidRPr="00922F0B">
        <w:t xml:space="preserve">y </w:t>
      </w:r>
      <w:r w:rsidR="00406F1C" w:rsidRPr="00922F0B">
        <w:t xml:space="preserve">solicitan </w:t>
      </w:r>
      <w:r w:rsidR="00A55FEC" w:rsidRPr="00922F0B">
        <w:t xml:space="preserve">más </w:t>
      </w:r>
      <w:r w:rsidR="00406F1C" w:rsidRPr="00922F0B">
        <w:t xml:space="preserve">protección </w:t>
      </w:r>
      <w:r w:rsidR="00B36324" w:rsidRPr="00922F0B">
        <w:t>por</w:t>
      </w:r>
      <w:r w:rsidR="00406F1C" w:rsidRPr="00922F0B">
        <w:t xml:space="preserve"> modelos de utilidad</w:t>
      </w:r>
      <w:r w:rsidR="00D461D3" w:rsidRPr="00D930B7">
        <w:t xml:space="preserve"> </w:t>
      </w:r>
      <w:r w:rsidR="006A29A0">
        <w:t>obtienen un mejor rendimiento.</w:t>
      </w:r>
      <w:r w:rsidR="006A29A0" w:rsidRPr="00D930B7">
        <w:t xml:space="preserve"> </w:t>
      </w:r>
      <w:r w:rsidR="00A55FEC" w:rsidRPr="00D930B7">
        <w:t xml:space="preserve">Como </w:t>
      </w:r>
      <w:r w:rsidR="003C7E65">
        <w:t>idea opuesta</w:t>
      </w:r>
      <w:r w:rsidR="00A55FEC" w:rsidRPr="00D930B7">
        <w:t xml:space="preserve">, podemos preguntarnos si las empresas que producen innovaciones </w:t>
      </w:r>
      <w:r w:rsidR="00CD4E31" w:rsidRPr="00D930B7">
        <w:t>con</w:t>
      </w:r>
      <w:r w:rsidR="00A55FEC" w:rsidRPr="00D930B7">
        <w:t xml:space="preserve"> éxito, pero no solicitan protección mediante modelos de utilidad</w:t>
      </w:r>
      <w:r w:rsidR="00B36324">
        <w:t>,</w:t>
      </w:r>
      <w:r w:rsidR="00A55FEC" w:rsidRPr="00D930B7">
        <w:t xml:space="preserve"> tienen un rendimiento igual de bueno.</w:t>
      </w:r>
    </w:p>
    <w:p w:rsidR="00B26A0E" w:rsidRPr="00D930B7" w:rsidRDefault="00B26A0E" w:rsidP="00F64380"/>
    <w:p w:rsidR="00B26A0E" w:rsidRPr="00D930B7" w:rsidRDefault="006810F3" w:rsidP="00A207DC">
      <w:pPr>
        <w:pStyle w:val="BodyText"/>
        <w:spacing w:after="0"/>
      </w:pPr>
      <w:r w:rsidRPr="00D930B7">
        <w:lastRenderedPageBreak/>
        <w:t>Es preciso proseguir las investigaciones antes de poder concluir en qué manera los modelos de utilidad afectan al rendimiento económico de las empresas.</w:t>
      </w:r>
      <w:r w:rsidR="00D461D3" w:rsidRPr="00D930B7">
        <w:t xml:space="preserve">  </w:t>
      </w:r>
      <w:r w:rsidR="006A29A0">
        <w:t xml:space="preserve">Cabe preguntarse </w:t>
      </w:r>
      <w:r w:rsidRPr="00D930B7">
        <w:t>cuáles son los canal</w:t>
      </w:r>
      <w:r w:rsidR="00DF14C9" w:rsidRPr="00D930B7">
        <w:t>e</w:t>
      </w:r>
      <w:r w:rsidRPr="00D930B7">
        <w:t xml:space="preserve">s por los que la protección </w:t>
      </w:r>
      <w:r w:rsidR="006A060B">
        <w:t>por</w:t>
      </w:r>
      <w:r w:rsidRPr="00D930B7">
        <w:t xml:space="preserve"> modelos de utilidad afecta al rendimie</w:t>
      </w:r>
      <w:r w:rsidR="00DF14C9" w:rsidRPr="00D930B7">
        <w:t>nto de las empresas;  si este tipo de protección deja tiempo a la empresas para que comercialicen sus invenciones, sin temor a que los competidores infrinjan sus derechos de P.I.;  si facilita a la</w:t>
      </w:r>
      <w:r w:rsidR="006A29A0">
        <w:t>s empresas el acceso al capital,</w:t>
      </w:r>
      <w:r w:rsidR="00DF14C9" w:rsidRPr="00D930B7">
        <w:t xml:space="preserve"> y también cuáles son las razones que respaldan la decisión de las empresas de solicitar esta protección, con respecto a la protección por patente, por ejemplo.  Tenemos previsto </w:t>
      </w:r>
      <w:r w:rsidR="00B36324">
        <w:t>segui</w:t>
      </w:r>
      <w:r w:rsidR="00DF14C9" w:rsidRPr="00D930B7">
        <w:t xml:space="preserve">r estas vías de investigación en futuros trabajos. </w:t>
      </w:r>
    </w:p>
    <w:p w:rsidR="00B26A0E" w:rsidRPr="00D930B7" w:rsidRDefault="00B26A0E" w:rsidP="00F64380"/>
    <w:p w:rsidR="00B26A0E" w:rsidRPr="00D930B7" w:rsidRDefault="00B26A0E" w:rsidP="00F64380">
      <w:pPr>
        <w:rPr>
          <w:rFonts w:eastAsia="Calibri"/>
        </w:rPr>
      </w:pPr>
    </w:p>
    <w:p w:rsidR="00B26A0E" w:rsidRPr="00D930B7" w:rsidRDefault="00B26A0E" w:rsidP="00F64380"/>
    <w:p w:rsidR="00B26A0E" w:rsidRPr="00D930B7" w:rsidRDefault="00B26A0E" w:rsidP="00F64380">
      <w:pPr>
        <w:ind w:left="3969" w:firstLine="567"/>
      </w:pPr>
      <w:r w:rsidRPr="00D930B7">
        <w:t>[Fin del Anexo y del documento]</w:t>
      </w:r>
    </w:p>
    <w:p w:rsidR="00B26A0E" w:rsidRPr="00D930B7" w:rsidRDefault="00B26A0E" w:rsidP="00F64380"/>
    <w:bookmarkEnd w:id="6"/>
    <w:p w:rsidR="00B26A0E" w:rsidRPr="00D930B7" w:rsidRDefault="00B26A0E" w:rsidP="00F64380"/>
    <w:sectPr w:rsidR="00B26A0E" w:rsidRPr="00D930B7" w:rsidSect="00D461D3">
      <w:headerReference w:type="default" r:id="rId19"/>
      <w:headerReference w:type="firs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45F" w:rsidRDefault="0048345F">
      <w:r>
        <w:separator/>
      </w:r>
    </w:p>
  </w:endnote>
  <w:endnote w:type="continuationSeparator" w:id="0">
    <w:p w:rsidR="0048345F" w:rsidRPr="009D30E6" w:rsidRDefault="0048345F" w:rsidP="007E663E">
      <w:pPr>
        <w:rPr>
          <w:sz w:val="17"/>
          <w:szCs w:val="17"/>
        </w:rPr>
      </w:pPr>
      <w:r w:rsidRPr="009D30E6">
        <w:rPr>
          <w:sz w:val="17"/>
          <w:szCs w:val="17"/>
        </w:rPr>
        <w:separator/>
      </w:r>
    </w:p>
    <w:p w:rsidR="0048345F" w:rsidRPr="007E663E" w:rsidRDefault="0048345F" w:rsidP="007E663E">
      <w:pPr>
        <w:spacing w:after="60"/>
        <w:rPr>
          <w:sz w:val="17"/>
          <w:szCs w:val="17"/>
        </w:rPr>
      </w:pPr>
      <w:r>
        <w:rPr>
          <w:sz w:val="17"/>
        </w:rPr>
        <w:t>[Continuación de la nota de la página anterior]</w:t>
      </w:r>
    </w:p>
  </w:endnote>
  <w:endnote w:type="continuationNotice" w:id="1">
    <w:p w:rsidR="0048345F" w:rsidRPr="007E663E" w:rsidRDefault="0048345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DC" w:rsidRPr="00CF7E3C" w:rsidRDefault="006C40DC" w:rsidP="006C40DC">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45F" w:rsidRDefault="0048345F">
      <w:r>
        <w:separator/>
      </w:r>
    </w:p>
  </w:footnote>
  <w:footnote w:type="continuationSeparator" w:id="0">
    <w:p w:rsidR="0048345F" w:rsidRPr="009D30E6" w:rsidRDefault="0048345F" w:rsidP="007E663E">
      <w:pPr>
        <w:rPr>
          <w:sz w:val="17"/>
          <w:szCs w:val="17"/>
        </w:rPr>
      </w:pPr>
      <w:r w:rsidRPr="009D30E6">
        <w:rPr>
          <w:sz w:val="17"/>
          <w:szCs w:val="17"/>
        </w:rPr>
        <w:separator/>
      </w:r>
    </w:p>
    <w:p w:rsidR="0048345F" w:rsidRPr="007E663E" w:rsidRDefault="0048345F" w:rsidP="007E663E">
      <w:pPr>
        <w:spacing w:after="60"/>
        <w:rPr>
          <w:sz w:val="17"/>
          <w:szCs w:val="17"/>
        </w:rPr>
      </w:pPr>
      <w:r>
        <w:rPr>
          <w:sz w:val="17"/>
        </w:rPr>
        <w:t>[Continuación de la nota de la página anterior]</w:t>
      </w:r>
    </w:p>
  </w:footnote>
  <w:footnote w:type="continuationNotice" w:id="1">
    <w:p w:rsidR="0048345F" w:rsidRPr="007E663E" w:rsidRDefault="0048345F" w:rsidP="007E663E">
      <w:pPr>
        <w:spacing w:before="60"/>
        <w:jc w:val="right"/>
        <w:rPr>
          <w:sz w:val="17"/>
          <w:szCs w:val="17"/>
        </w:rPr>
      </w:pPr>
      <w:r w:rsidRPr="007E663E">
        <w:rPr>
          <w:sz w:val="17"/>
          <w:szCs w:val="17"/>
        </w:rPr>
        <w:t>[Sigue la nota en la página siguiente]</w:t>
      </w:r>
    </w:p>
  </w:footnote>
  <w:footnote w:id="2">
    <w:p w:rsidR="006C40DC" w:rsidRPr="00D930B7" w:rsidRDefault="006C40DC" w:rsidP="00B26A0E">
      <w:pPr>
        <w:pStyle w:val="FootnoteText"/>
        <w:rPr>
          <w:szCs w:val="18"/>
        </w:rPr>
      </w:pPr>
      <w:r w:rsidRPr="00D930B7">
        <w:rPr>
          <w:rStyle w:val="FootnoteReference"/>
          <w:sz w:val="20"/>
        </w:rPr>
        <w:footnoteRef/>
      </w:r>
      <w:r w:rsidRPr="00D930B7">
        <w:rPr>
          <w:sz w:val="20"/>
        </w:rPr>
        <w:t xml:space="preserve"> </w:t>
      </w:r>
      <w:r w:rsidRPr="00B67789">
        <w:rPr>
          <w:szCs w:val="18"/>
          <w:lang w:val="es-ES_tradnl"/>
        </w:rPr>
        <w:t>Véase el documento de la OMPI</w:t>
      </w:r>
      <w:r w:rsidRPr="00D930B7">
        <w:rPr>
          <w:sz w:val="20"/>
          <w:lang w:val="es-ES_tradnl"/>
        </w:rPr>
        <w:t xml:space="preserve"> </w:t>
      </w:r>
      <w:hyperlink r:id="rId1" w:history="1">
        <w:r w:rsidRPr="00D930B7">
          <w:rPr>
            <w:rStyle w:val="Hyperlink"/>
            <w:rFonts w:eastAsiaTheme="minorHAnsi"/>
            <w:color w:val="auto"/>
            <w:szCs w:val="18"/>
          </w:rPr>
          <w:t xml:space="preserve">CDIP/5/7 </w:t>
        </w:r>
        <w:proofErr w:type="spellStart"/>
        <w:r w:rsidRPr="00D930B7">
          <w:rPr>
            <w:rStyle w:val="Hyperlink"/>
            <w:rFonts w:eastAsiaTheme="minorHAnsi"/>
            <w:color w:val="auto"/>
            <w:szCs w:val="18"/>
          </w:rPr>
          <w:t>Rev</w:t>
        </w:r>
        <w:proofErr w:type="spellEnd"/>
      </w:hyperlink>
      <w:r w:rsidRPr="00D930B7">
        <w:rPr>
          <w:sz w:val="20"/>
          <w:lang w:val="es-ES_tradnl"/>
        </w:rPr>
        <w:t>.</w:t>
      </w:r>
    </w:p>
  </w:footnote>
  <w:footnote w:id="3">
    <w:p w:rsidR="006C40DC" w:rsidRPr="00D930B7" w:rsidRDefault="006C40DC" w:rsidP="00D461D3">
      <w:pPr>
        <w:pStyle w:val="FootnoteText"/>
        <w:rPr>
          <w:szCs w:val="18"/>
        </w:rPr>
      </w:pPr>
      <w:r w:rsidRPr="00D930B7">
        <w:rPr>
          <w:rStyle w:val="FootnoteReference"/>
          <w:szCs w:val="18"/>
        </w:rPr>
        <w:footnoteRef/>
      </w:r>
      <w:r w:rsidRPr="00D930B7">
        <w:rPr>
          <w:szCs w:val="18"/>
        </w:rPr>
        <w:t xml:space="preserve"> Véase el documento de la OMPI </w:t>
      </w:r>
      <w:hyperlink r:id="rId2" w:history="1">
        <w:r w:rsidRPr="00D930B7">
          <w:rPr>
            <w:rStyle w:val="Hyperlink"/>
            <w:rFonts w:eastAsiaTheme="minorHAnsi"/>
            <w:color w:val="auto"/>
            <w:szCs w:val="18"/>
          </w:rPr>
          <w:t>CDIP/12/INF/6</w:t>
        </w:r>
      </w:hyperlink>
      <w:r w:rsidRPr="00D930B7">
        <w:rPr>
          <w:szCs w:val="18"/>
        </w:rPr>
        <w:t xml:space="preserve">, que se presentó en la duodécima sesión del Comité de Desarrollo y Propiedad Intelectual (CDIP), celebrada </w:t>
      </w:r>
      <w:r w:rsidR="009323FA">
        <w:rPr>
          <w:szCs w:val="18"/>
        </w:rPr>
        <w:t>del 18 al 21 d</w:t>
      </w:r>
      <w:r w:rsidRPr="00D930B7">
        <w:rPr>
          <w:szCs w:val="18"/>
        </w:rPr>
        <w:t>e</w:t>
      </w:r>
      <w:r w:rsidR="009323FA">
        <w:rPr>
          <w:szCs w:val="18"/>
        </w:rPr>
        <w:t xml:space="preserve"> noviembre de </w:t>
      </w:r>
      <w:r w:rsidRPr="00D930B7">
        <w:rPr>
          <w:szCs w:val="18"/>
        </w:rPr>
        <w:t>2013.</w:t>
      </w:r>
    </w:p>
  </w:footnote>
  <w:footnote w:id="4">
    <w:p w:rsidR="006C40DC" w:rsidRPr="00D930B7" w:rsidRDefault="006C40DC" w:rsidP="00D461D3">
      <w:pPr>
        <w:pStyle w:val="FootnoteText"/>
        <w:rPr>
          <w:szCs w:val="18"/>
        </w:rPr>
      </w:pPr>
      <w:r w:rsidRPr="00D930B7">
        <w:rPr>
          <w:rStyle w:val="FootnoteReference"/>
          <w:szCs w:val="18"/>
        </w:rPr>
        <w:footnoteRef/>
      </w:r>
      <w:r w:rsidRPr="00D930B7">
        <w:rPr>
          <w:szCs w:val="18"/>
        </w:rPr>
        <w:t xml:space="preserve"> Se puede obtener más información sobre la elaboración de esta base de datos en el documento de la OMPI </w:t>
      </w:r>
      <w:hyperlink r:id="rId3" w:history="1">
        <w:r w:rsidRPr="00D930B7">
          <w:rPr>
            <w:rStyle w:val="Hyperlink"/>
            <w:rFonts w:eastAsiaTheme="minorHAnsi"/>
            <w:color w:val="auto"/>
            <w:szCs w:val="18"/>
          </w:rPr>
          <w:t>CDIP/12/INF/6</w:t>
        </w:r>
      </w:hyperlink>
      <w:r w:rsidRPr="00D930B7">
        <w:rPr>
          <w:rStyle w:val="Hyperlink"/>
          <w:rFonts w:eastAsiaTheme="minorHAnsi"/>
          <w:color w:val="auto"/>
          <w:szCs w:val="18"/>
        </w:rPr>
        <w:t>.</w:t>
      </w:r>
    </w:p>
  </w:footnote>
  <w:footnote w:id="5">
    <w:p w:rsidR="006C40DC" w:rsidRPr="00D930B7" w:rsidRDefault="006C40DC" w:rsidP="00D461D3">
      <w:pPr>
        <w:pStyle w:val="FootnoteText"/>
        <w:rPr>
          <w:sz w:val="20"/>
        </w:rPr>
      </w:pPr>
      <w:r w:rsidRPr="00D930B7">
        <w:rPr>
          <w:rStyle w:val="FootnoteReference"/>
          <w:szCs w:val="18"/>
        </w:rPr>
        <w:footnoteRef/>
      </w:r>
      <w:r w:rsidRPr="00D930B7">
        <w:rPr>
          <w:szCs w:val="18"/>
        </w:rPr>
        <w:t xml:space="preserve"> El tipo de cambio oficial de 31,08 baht por 1 dólar de los EE.UU. que se calculó como media anual se basaba en las medias </w:t>
      </w:r>
      <w:r w:rsidR="009323FA">
        <w:rPr>
          <w:szCs w:val="18"/>
        </w:rPr>
        <w:t>mensua</w:t>
      </w:r>
      <w:r w:rsidRPr="00D930B7">
        <w:rPr>
          <w:szCs w:val="18"/>
        </w:rPr>
        <w:t xml:space="preserve">les para 2012, Fondo Monetario Internacional, Estadísticas Financieras Internacionales (datos disponibles en: </w:t>
      </w:r>
      <w:hyperlink r:id="rId4" w:history="1">
        <w:r w:rsidRPr="00D930B7">
          <w:rPr>
            <w:rStyle w:val="Hyperlink"/>
            <w:color w:val="auto"/>
            <w:szCs w:val="18"/>
          </w:rPr>
          <w:t>http://data.worldbank.org/indicator/PA.NUS.FCRF</w:t>
        </w:r>
      </w:hyperlink>
      <w:r w:rsidRPr="00D930B7">
        <w:rPr>
          <w:szCs w:val="18"/>
        </w:rPr>
        <w:t>).</w:t>
      </w:r>
    </w:p>
  </w:footnote>
  <w:footnote w:id="6">
    <w:p w:rsidR="006C40DC" w:rsidRPr="00D930B7" w:rsidRDefault="006C40DC" w:rsidP="00D461D3">
      <w:pPr>
        <w:pStyle w:val="FootnoteText"/>
      </w:pPr>
      <w:r w:rsidRPr="00D930B7">
        <w:rPr>
          <w:rStyle w:val="FootnoteReference"/>
          <w:sz w:val="20"/>
        </w:rPr>
        <w:footnoteRef/>
      </w:r>
      <w:r w:rsidRPr="00D930B7">
        <w:rPr>
          <w:sz w:val="20"/>
        </w:rPr>
        <w:t xml:space="preserve"> </w:t>
      </w:r>
      <w:r w:rsidR="00D930B7" w:rsidRPr="00D930B7">
        <w:rPr>
          <w:i/>
          <w:szCs w:val="18"/>
        </w:rPr>
        <w:t>Ibí</w:t>
      </w:r>
      <w:r w:rsidRPr="00D930B7">
        <w:rPr>
          <w:i/>
          <w:szCs w:val="18"/>
        </w:rPr>
        <w:t>d</w:t>
      </w:r>
      <w:r w:rsidR="00D930B7" w:rsidRPr="00D930B7">
        <w:rPr>
          <w:i/>
          <w:szCs w:val="18"/>
        </w:rPr>
        <w:t>em</w:t>
      </w:r>
      <w:r w:rsidRPr="00D930B7">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DC" w:rsidRDefault="006C40DC" w:rsidP="006C40DC">
    <w:pPr>
      <w:pStyle w:val="Header"/>
      <w:ind w:right="30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DC" w:rsidRPr="00F25064" w:rsidRDefault="006C40DC" w:rsidP="006C40DC">
    <w:pPr>
      <w:pStyle w:val="Apendix"/>
      <w:jc w:val="right"/>
      <w:rPr>
        <w:b w:val="0"/>
      </w:rPr>
    </w:pPr>
    <w:r w:rsidRPr="00F25064">
      <w:rPr>
        <w:b w:val="0"/>
      </w:rPr>
      <w:t>CDIP/14/</w:t>
    </w:r>
    <w:r>
      <w:rPr>
        <w:b w:val="0"/>
      </w:rPr>
      <w:t>INF/4</w:t>
    </w:r>
  </w:p>
  <w:p w:rsidR="006C40DC" w:rsidRPr="00F25064" w:rsidRDefault="006C40DC" w:rsidP="006C40DC">
    <w:pPr>
      <w:pStyle w:val="Apendix"/>
      <w:rPr>
        <w:b w:val="0"/>
        <w:noProof/>
      </w:rPr>
    </w:pPr>
    <w:r w:rsidRPr="00F25064">
      <w:rPr>
        <w:b w:val="0"/>
      </w:rPr>
      <w:ptab w:relativeTo="margin" w:alignment="right" w:leader="none"/>
    </w:r>
    <w:r>
      <w:rPr>
        <w:b w:val="0"/>
      </w:rPr>
      <w:t>ANNEX</w:t>
    </w:r>
  </w:p>
  <w:p w:rsidR="006C40DC" w:rsidRDefault="006C40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DC" w:rsidRDefault="006C40DC" w:rsidP="00477D6B">
    <w:pPr>
      <w:jc w:val="right"/>
    </w:pPr>
    <w:bookmarkStart w:id="7" w:name="Code2"/>
    <w:bookmarkEnd w:id="7"/>
    <w:r>
      <w:t>CDIP/14/INF/4</w:t>
    </w:r>
  </w:p>
  <w:p w:rsidR="006C40DC" w:rsidRDefault="006C40DC" w:rsidP="00477D6B">
    <w:pPr>
      <w:jc w:val="right"/>
    </w:pPr>
    <w:r>
      <w:t xml:space="preserve">Anexo, página </w:t>
    </w:r>
    <w:r>
      <w:fldChar w:fldCharType="begin"/>
    </w:r>
    <w:r>
      <w:instrText xml:space="preserve"> PAGE  \* MERGEFORMAT </w:instrText>
    </w:r>
    <w:r>
      <w:fldChar w:fldCharType="separate"/>
    </w:r>
    <w:r w:rsidR="00D035B8">
      <w:rPr>
        <w:noProof/>
      </w:rPr>
      <w:t>7</w:t>
    </w:r>
    <w:r>
      <w:fldChar w:fldCharType="end"/>
    </w:r>
  </w:p>
  <w:p w:rsidR="006C40DC" w:rsidRDefault="006C40DC"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DC" w:rsidRPr="00F25064" w:rsidRDefault="006C40DC" w:rsidP="006C40DC">
    <w:pPr>
      <w:pStyle w:val="Apendix"/>
      <w:jc w:val="right"/>
      <w:rPr>
        <w:b w:val="0"/>
      </w:rPr>
    </w:pPr>
    <w:r w:rsidRPr="00F25064">
      <w:rPr>
        <w:b w:val="0"/>
      </w:rPr>
      <w:t>CDIP/14/</w:t>
    </w:r>
    <w:r>
      <w:rPr>
        <w:b w:val="0"/>
      </w:rPr>
      <w:t>INF/4</w:t>
    </w:r>
  </w:p>
  <w:p w:rsidR="006C40DC" w:rsidRPr="00F25064" w:rsidRDefault="006C40DC" w:rsidP="006C40DC">
    <w:pPr>
      <w:pStyle w:val="Apendix"/>
      <w:rPr>
        <w:b w:val="0"/>
        <w:noProof/>
      </w:rPr>
    </w:pPr>
    <w:r w:rsidRPr="00F25064">
      <w:rPr>
        <w:b w:val="0"/>
      </w:rPr>
      <w:ptab w:relativeTo="margin" w:alignment="right" w:leader="none"/>
    </w:r>
    <w:r>
      <w:rPr>
        <w:b w:val="0"/>
      </w:rPr>
      <w:t>ANEXO</w:t>
    </w:r>
  </w:p>
  <w:p w:rsidR="006C40DC" w:rsidRDefault="006C4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C252AA"/>
    <w:multiLevelType w:val="hybridMultilevel"/>
    <w:tmpl w:val="E3AAA344"/>
    <w:lvl w:ilvl="0" w:tplc="E7F08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transmlp.wipo.int\IP in General\Meetings|transmlp.wipo.int\IP in General\Other|transmlp.wipo.int\IP in General\Publications|transmlp.wipo.int\IP in General\Press Room|transmlp.wipo.int\IP in General\Arbitration and Mediation|transmlp.wipo.int\IP in General\Academy|transmlp.wipo.int\Copyright\Meetings|transmlp.wipo.int\Copyright\Other|transmlp.wipo.int\Copyright\Publications|transmlp.wipo.int\Administrative\Meetings|transmlp.wipo.int\Administrative\Other|transmlp.wipo.int\Administrative\Publications|transmlp.wipo.int\Trademarks\Meetings|transmlp.wipo.int\Trademarks\Other|transmlp.wipo.int\Trademarks\Publications|transmlp.wipo.int\Budget and Finance\Meetings|transmlp.wipo.int\Budget and Finance\Other|transmlp.wipo.int\Budget and Finance\Publications"/>
    <w:docVar w:name="TextBaseURL" w:val="empty"/>
    <w:docVar w:name="UILng" w:val="en"/>
  </w:docVars>
  <w:rsids>
    <w:rsidRoot w:val="00D461D3"/>
    <w:rsid w:val="00003EEC"/>
    <w:rsid w:val="00010686"/>
    <w:rsid w:val="00027C34"/>
    <w:rsid w:val="00052915"/>
    <w:rsid w:val="00056338"/>
    <w:rsid w:val="000801E2"/>
    <w:rsid w:val="000C4BD1"/>
    <w:rsid w:val="000E0FC8"/>
    <w:rsid w:val="000E3BB3"/>
    <w:rsid w:val="000F23F8"/>
    <w:rsid w:val="000F5E56"/>
    <w:rsid w:val="0012144C"/>
    <w:rsid w:val="001362EE"/>
    <w:rsid w:val="00152CEA"/>
    <w:rsid w:val="001832A6"/>
    <w:rsid w:val="00197EF7"/>
    <w:rsid w:val="001B66DE"/>
    <w:rsid w:val="001C3D37"/>
    <w:rsid w:val="001D5189"/>
    <w:rsid w:val="00227058"/>
    <w:rsid w:val="0023618C"/>
    <w:rsid w:val="002634C4"/>
    <w:rsid w:val="00267B58"/>
    <w:rsid w:val="00284B02"/>
    <w:rsid w:val="002964E0"/>
    <w:rsid w:val="002B26E9"/>
    <w:rsid w:val="002E0F47"/>
    <w:rsid w:val="002F4E68"/>
    <w:rsid w:val="002F74CA"/>
    <w:rsid w:val="00303F46"/>
    <w:rsid w:val="00354647"/>
    <w:rsid w:val="00377273"/>
    <w:rsid w:val="003845C1"/>
    <w:rsid w:val="00387287"/>
    <w:rsid w:val="003B5208"/>
    <w:rsid w:val="003C7E65"/>
    <w:rsid w:val="003D556F"/>
    <w:rsid w:val="003E48F1"/>
    <w:rsid w:val="003F347A"/>
    <w:rsid w:val="003F5571"/>
    <w:rsid w:val="00406F1C"/>
    <w:rsid w:val="00423E3E"/>
    <w:rsid w:val="00427AF4"/>
    <w:rsid w:val="00431B29"/>
    <w:rsid w:val="0043201C"/>
    <w:rsid w:val="0045231F"/>
    <w:rsid w:val="0046302F"/>
    <w:rsid w:val="004647DA"/>
    <w:rsid w:val="00477808"/>
    <w:rsid w:val="00477D6B"/>
    <w:rsid w:val="0048345F"/>
    <w:rsid w:val="00490A91"/>
    <w:rsid w:val="004A6C37"/>
    <w:rsid w:val="004B3852"/>
    <w:rsid w:val="004C1DDC"/>
    <w:rsid w:val="004E297D"/>
    <w:rsid w:val="005332F0"/>
    <w:rsid w:val="0055013B"/>
    <w:rsid w:val="00571B99"/>
    <w:rsid w:val="0059256C"/>
    <w:rsid w:val="005C648A"/>
    <w:rsid w:val="005F3753"/>
    <w:rsid w:val="00603087"/>
    <w:rsid w:val="00605827"/>
    <w:rsid w:val="00632137"/>
    <w:rsid w:val="00640848"/>
    <w:rsid w:val="006501C4"/>
    <w:rsid w:val="00656033"/>
    <w:rsid w:val="00675021"/>
    <w:rsid w:val="006810F3"/>
    <w:rsid w:val="00693BF1"/>
    <w:rsid w:val="006A060B"/>
    <w:rsid w:val="006A06C6"/>
    <w:rsid w:val="006A29A0"/>
    <w:rsid w:val="006B30BD"/>
    <w:rsid w:val="006B5844"/>
    <w:rsid w:val="006C40DC"/>
    <w:rsid w:val="006D4375"/>
    <w:rsid w:val="006F5310"/>
    <w:rsid w:val="007224C8"/>
    <w:rsid w:val="007614AA"/>
    <w:rsid w:val="007859B2"/>
    <w:rsid w:val="00794BE2"/>
    <w:rsid w:val="007A71BF"/>
    <w:rsid w:val="007B71FE"/>
    <w:rsid w:val="007D781E"/>
    <w:rsid w:val="007E663E"/>
    <w:rsid w:val="007F192C"/>
    <w:rsid w:val="00815082"/>
    <w:rsid w:val="00822D19"/>
    <w:rsid w:val="00866F4B"/>
    <w:rsid w:val="0088395E"/>
    <w:rsid w:val="008A38E2"/>
    <w:rsid w:val="008B1FA1"/>
    <w:rsid w:val="008B2CC1"/>
    <w:rsid w:val="008B56F8"/>
    <w:rsid w:val="008D1F22"/>
    <w:rsid w:val="008E522D"/>
    <w:rsid w:val="008E6BD6"/>
    <w:rsid w:val="008E7953"/>
    <w:rsid w:val="009054E5"/>
    <w:rsid w:val="0090731E"/>
    <w:rsid w:val="009217F5"/>
    <w:rsid w:val="00922F0B"/>
    <w:rsid w:val="009276A7"/>
    <w:rsid w:val="009323FA"/>
    <w:rsid w:val="00932C58"/>
    <w:rsid w:val="00966A22"/>
    <w:rsid w:val="00972F03"/>
    <w:rsid w:val="009A0C8B"/>
    <w:rsid w:val="009B6241"/>
    <w:rsid w:val="00A16FC0"/>
    <w:rsid w:val="00A207DC"/>
    <w:rsid w:val="00A32C9E"/>
    <w:rsid w:val="00A55FEC"/>
    <w:rsid w:val="00AB613D"/>
    <w:rsid w:val="00AD5F53"/>
    <w:rsid w:val="00AE29F7"/>
    <w:rsid w:val="00AE7F20"/>
    <w:rsid w:val="00B26750"/>
    <w:rsid w:val="00B26A0E"/>
    <w:rsid w:val="00B36324"/>
    <w:rsid w:val="00B64CEF"/>
    <w:rsid w:val="00B65A0A"/>
    <w:rsid w:val="00B67789"/>
    <w:rsid w:val="00B67CDC"/>
    <w:rsid w:val="00B72D36"/>
    <w:rsid w:val="00B8621F"/>
    <w:rsid w:val="00B91F31"/>
    <w:rsid w:val="00B9402D"/>
    <w:rsid w:val="00BA0871"/>
    <w:rsid w:val="00BA546C"/>
    <w:rsid w:val="00BB1F2C"/>
    <w:rsid w:val="00BC4164"/>
    <w:rsid w:val="00BD2DCC"/>
    <w:rsid w:val="00BD3227"/>
    <w:rsid w:val="00BE2265"/>
    <w:rsid w:val="00C13162"/>
    <w:rsid w:val="00C15042"/>
    <w:rsid w:val="00C54028"/>
    <w:rsid w:val="00C62EF6"/>
    <w:rsid w:val="00C90559"/>
    <w:rsid w:val="00C90706"/>
    <w:rsid w:val="00CA2251"/>
    <w:rsid w:val="00CC118C"/>
    <w:rsid w:val="00CD4E31"/>
    <w:rsid w:val="00CE77E9"/>
    <w:rsid w:val="00D035B8"/>
    <w:rsid w:val="00D461D3"/>
    <w:rsid w:val="00D56C7C"/>
    <w:rsid w:val="00D71B4D"/>
    <w:rsid w:val="00D71B5C"/>
    <w:rsid w:val="00D901CA"/>
    <w:rsid w:val="00D90289"/>
    <w:rsid w:val="00D930B7"/>
    <w:rsid w:val="00D93D55"/>
    <w:rsid w:val="00DA3446"/>
    <w:rsid w:val="00DC3D3A"/>
    <w:rsid w:val="00DC4C60"/>
    <w:rsid w:val="00DD0A4A"/>
    <w:rsid w:val="00DD39AA"/>
    <w:rsid w:val="00DF14C9"/>
    <w:rsid w:val="00E0079A"/>
    <w:rsid w:val="00E444DA"/>
    <w:rsid w:val="00E449B0"/>
    <w:rsid w:val="00E45C84"/>
    <w:rsid w:val="00E504E5"/>
    <w:rsid w:val="00E81C49"/>
    <w:rsid w:val="00EB059D"/>
    <w:rsid w:val="00EB34AD"/>
    <w:rsid w:val="00EB7A3E"/>
    <w:rsid w:val="00EC401A"/>
    <w:rsid w:val="00EF3E5B"/>
    <w:rsid w:val="00EF530A"/>
    <w:rsid w:val="00EF6622"/>
    <w:rsid w:val="00F36DEF"/>
    <w:rsid w:val="00F55408"/>
    <w:rsid w:val="00F64380"/>
    <w:rsid w:val="00F66152"/>
    <w:rsid w:val="00F72820"/>
    <w:rsid w:val="00F80845"/>
    <w:rsid w:val="00F84474"/>
    <w:rsid w:val="00FA0F0D"/>
    <w:rsid w:val="00FC1774"/>
    <w:rsid w:val="00FC3585"/>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character" w:styleId="FootnoteReference">
    <w:name w:val="footnote reference"/>
    <w:basedOn w:val="DefaultParagraphFont"/>
    <w:uiPriority w:val="99"/>
    <w:rsid w:val="00D461D3"/>
    <w:rPr>
      <w:rFonts w:ascii="Arial" w:hAnsi="Arial"/>
      <w:sz w:val="22"/>
      <w:vertAlign w:val="superscript"/>
      <w:lang w:bidi="th-TH"/>
    </w:rPr>
  </w:style>
  <w:style w:type="character" w:customStyle="1" w:styleId="FooterChar">
    <w:name w:val="Footer Char"/>
    <w:basedOn w:val="DefaultParagraphFont"/>
    <w:link w:val="Footer"/>
    <w:uiPriority w:val="99"/>
    <w:rsid w:val="00D461D3"/>
    <w:rPr>
      <w:rFonts w:ascii="Arial" w:eastAsia="SimSun" w:hAnsi="Arial" w:cs="Arial"/>
      <w:sz w:val="22"/>
      <w:lang w:val="es-ES" w:eastAsia="zh-CN"/>
    </w:rPr>
  </w:style>
  <w:style w:type="character" w:customStyle="1" w:styleId="FootnoteTextChar">
    <w:name w:val="Footnote Text Char"/>
    <w:aliases w:val="Footnote ak Char"/>
    <w:basedOn w:val="DefaultParagraphFont"/>
    <w:link w:val="FootnoteText"/>
    <w:uiPriority w:val="99"/>
    <w:rsid w:val="00D461D3"/>
    <w:rPr>
      <w:rFonts w:ascii="Arial" w:eastAsia="SimSun" w:hAnsi="Arial" w:cs="Arial"/>
      <w:sz w:val="18"/>
      <w:lang w:val="es-ES" w:eastAsia="zh-CN"/>
    </w:rPr>
  </w:style>
  <w:style w:type="table" w:styleId="TableGrid">
    <w:name w:val="Table Grid"/>
    <w:basedOn w:val="TableNormal"/>
    <w:uiPriority w:val="59"/>
    <w:rsid w:val="00D461D3"/>
    <w:rPr>
      <w:sz w:val="24"/>
      <w:szCs w:val="24"/>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61D3"/>
    <w:rPr>
      <w:color w:val="0000FF"/>
      <w:u w:val="single"/>
    </w:rPr>
  </w:style>
  <w:style w:type="character" w:customStyle="1" w:styleId="BodyTextChar">
    <w:name w:val="Body Text Char"/>
    <w:basedOn w:val="DefaultParagraphFont"/>
    <w:link w:val="BodyText"/>
    <w:rsid w:val="00D461D3"/>
    <w:rPr>
      <w:rFonts w:ascii="Arial" w:eastAsia="SimSun" w:hAnsi="Arial" w:cs="Arial"/>
      <w:sz w:val="22"/>
      <w:lang w:val="es-ES" w:eastAsia="zh-CN"/>
    </w:rPr>
  </w:style>
  <w:style w:type="paragraph" w:customStyle="1" w:styleId="Apendix">
    <w:name w:val="Apendix"/>
    <w:basedOn w:val="Heading1"/>
    <w:qFormat/>
    <w:rsid w:val="00D461D3"/>
    <w:pPr>
      <w:keepNext w:val="0"/>
      <w:spacing w:before="0" w:after="0"/>
      <w:ind w:left="432" w:hanging="432"/>
      <w:contextualSpacing/>
    </w:pPr>
    <w:rPr>
      <w:rFonts w:eastAsia="Times New Roman" w:cs="Times New Roman"/>
      <w:caps w:val="0"/>
      <w:kern w:val="0"/>
      <w:szCs w:val="28"/>
      <w:lang w:val="en-US" w:eastAsia="en-US"/>
    </w:rPr>
  </w:style>
  <w:style w:type="character" w:customStyle="1" w:styleId="HeaderChar">
    <w:name w:val="Header Char"/>
    <w:basedOn w:val="DefaultParagraphFont"/>
    <w:link w:val="Header"/>
    <w:uiPriority w:val="99"/>
    <w:rsid w:val="00D461D3"/>
    <w:rPr>
      <w:rFonts w:ascii="Arial" w:eastAsia="SimSun" w:hAnsi="Arial" w:cs="Arial"/>
      <w:sz w:val="22"/>
      <w:lang w:val="es-ES" w:eastAsia="zh-CN"/>
    </w:rPr>
  </w:style>
  <w:style w:type="character" w:styleId="FollowedHyperlink">
    <w:name w:val="FollowedHyperlink"/>
    <w:basedOn w:val="DefaultParagraphFont"/>
    <w:rsid w:val="008B56F8"/>
    <w:rPr>
      <w:color w:val="800080" w:themeColor="followedHyperlink"/>
      <w:u w:val="single"/>
    </w:rPr>
  </w:style>
  <w:style w:type="paragraph" w:styleId="ListParagraph">
    <w:name w:val="List Paragraph"/>
    <w:basedOn w:val="Normal"/>
    <w:uiPriority w:val="34"/>
    <w:qFormat/>
    <w:rsid w:val="00DD0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character" w:styleId="FootnoteReference">
    <w:name w:val="footnote reference"/>
    <w:basedOn w:val="DefaultParagraphFont"/>
    <w:uiPriority w:val="99"/>
    <w:rsid w:val="00D461D3"/>
    <w:rPr>
      <w:rFonts w:ascii="Arial" w:hAnsi="Arial"/>
      <w:sz w:val="22"/>
      <w:vertAlign w:val="superscript"/>
      <w:lang w:bidi="th-TH"/>
    </w:rPr>
  </w:style>
  <w:style w:type="character" w:customStyle="1" w:styleId="FooterChar">
    <w:name w:val="Footer Char"/>
    <w:basedOn w:val="DefaultParagraphFont"/>
    <w:link w:val="Footer"/>
    <w:uiPriority w:val="99"/>
    <w:rsid w:val="00D461D3"/>
    <w:rPr>
      <w:rFonts w:ascii="Arial" w:eastAsia="SimSun" w:hAnsi="Arial" w:cs="Arial"/>
      <w:sz w:val="22"/>
      <w:lang w:val="es-ES" w:eastAsia="zh-CN"/>
    </w:rPr>
  </w:style>
  <w:style w:type="character" w:customStyle="1" w:styleId="FootnoteTextChar">
    <w:name w:val="Footnote Text Char"/>
    <w:aliases w:val="Footnote ak Char"/>
    <w:basedOn w:val="DefaultParagraphFont"/>
    <w:link w:val="FootnoteText"/>
    <w:uiPriority w:val="99"/>
    <w:rsid w:val="00D461D3"/>
    <w:rPr>
      <w:rFonts w:ascii="Arial" w:eastAsia="SimSun" w:hAnsi="Arial" w:cs="Arial"/>
      <w:sz w:val="18"/>
      <w:lang w:val="es-ES" w:eastAsia="zh-CN"/>
    </w:rPr>
  </w:style>
  <w:style w:type="table" w:styleId="TableGrid">
    <w:name w:val="Table Grid"/>
    <w:basedOn w:val="TableNormal"/>
    <w:uiPriority w:val="59"/>
    <w:rsid w:val="00D461D3"/>
    <w:rPr>
      <w:sz w:val="24"/>
      <w:szCs w:val="24"/>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61D3"/>
    <w:rPr>
      <w:color w:val="0000FF"/>
      <w:u w:val="single"/>
    </w:rPr>
  </w:style>
  <w:style w:type="character" w:customStyle="1" w:styleId="BodyTextChar">
    <w:name w:val="Body Text Char"/>
    <w:basedOn w:val="DefaultParagraphFont"/>
    <w:link w:val="BodyText"/>
    <w:rsid w:val="00D461D3"/>
    <w:rPr>
      <w:rFonts w:ascii="Arial" w:eastAsia="SimSun" w:hAnsi="Arial" w:cs="Arial"/>
      <w:sz w:val="22"/>
      <w:lang w:val="es-ES" w:eastAsia="zh-CN"/>
    </w:rPr>
  </w:style>
  <w:style w:type="paragraph" w:customStyle="1" w:styleId="Apendix">
    <w:name w:val="Apendix"/>
    <w:basedOn w:val="Heading1"/>
    <w:qFormat/>
    <w:rsid w:val="00D461D3"/>
    <w:pPr>
      <w:keepNext w:val="0"/>
      <w:spacing w:before="0" w:after="0"/>
      <w:ind w:left="432" w:hanging="432"/>
      <w:contextualSpacing/>
    </w:pPr>
    <w:rPr>
      <w:rFonts w:eastAsia="Times New Roman" w:cs="Times New Roman"/>
      <w:caps w:val="0"/>
      <w:kern w:val="0"/>
      <w:szCs w:val="28"/>
      <w:lang w:val="en-US" w:eastAsia="en-US"/>
    </w:rPr>
  </w:style>
  <w:style w:type="character" w:customStyle="1" w:styleId="HeaderChar">
    <w:name w:val="Header Char"/>
    <w:basedOn w:val="DefaultParagraphFont"/>
    <w:link w:val="Header"/>
    <w:uiPriority w:val="99"/>
    <w:rsid w:val="00D461D3"/>
    <w:rPr>
      <w:rFonts w:ascii="Arial" w:eastAsia="SimSun" w:hAnsi="Arial" w:cs="Arial"/>
      <w:sz w:val="22"/>
      <w:lang w:val="es-ES" w:eastAsia="zh-CN"/>
    </w:rPr>
  </w:style>
  <w:style w:type="character" w:styleId="FollowedHyperlink">
    <w:name w:val="FollowedHyperlink"/>
    <w:basedOn w:val="DefaultParagraphFont"/>
    <w:rsid w:val="008B56F8"/>
    <w:rPr>
      <w:color w:val="800080" w:themeColor="followedHyperlink"/>
      <w:u w:val="single"/>
    </w:rPr>
  </w:style>
  <w:style w:type="paragraph" w:styleId="ListParagraph">
    <w:name w:val="List Paragraph"/>
    <w:basedOn w:val="Normal"/>
    <w:uiPriority w:val="34"/>
    <w:qFormat/>
    <w:rsid w:val="00DD0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s/doc_details.jsp?doc_id=253571" TargetMode="External"/><Relationship Id="rId2" Type="http://schemas.openxmlformats.org/officeDocument/2006/relationships/hyperlink" Target="http://www.wipo.int/meetings/es/doc_details.jsp?doc_id=253571" TargetMode="External"/><Relationship Id="rId1" Type="http://schemas.openxmlformats.org/officeDocument/2006/relationships/hyperlink" Target="http://www.wipo.int/meetings/es/doc_details.jsp?doc_id=139640" TargetMode="External"/><Relationship Id="rId4" Type="http://schemas.openxmlformats.org/officeDocument/2006/relationships/hyperlink" Target="http://data.worldbank.org/indicator/PA.NUS.FCR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7071-B1F7-4310-9473-DE411631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(S).dotm</Template>
  <TotalTime>5</TotalTime>
  <Pages>8</Pages>
  <Words>2605</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CARRASCO MESTREIT Eva</dc:creator>
  <dc:description>EC Q CJC_x000d_
17.09.14</dc:description>
  <cp:lastModifiedBy>BRACI Biljana</cp:lastModifiedBy>
  <cp:revision>4</cp:revision>
  <cp:lastPrinted>2014-09-19T08:56:00Z</cp:lastPrinted>
  <dcterms:created xsi:type="dcterms:W3CDTF">2014-09-19T08:53:00Z</dcterms:created>
  <dcterms:modified xsi:type="dcterms:W3CDTF">2014-09-19T09:25:00Z</dcterms:modified>
</cp:coreProperties>
</file>