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693BF1"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93BF1" w:rsidP="00831AD9">
            <w:pPr>
              <w:jc w:val="right"/>
              <w:rPr>
                <w:rFonts w:ascii="Arial Black" w:hAnsi="Arial Black"/>
                <w:caps/>
                <w:sz w:val="15"/>
              </w:rPr>
            </w:pPr>
            <w:bookmarkStart w:id="0" w:name="Code"/>
            <w:bookmarkEnd w:id="0"/>
            <w:r>
              <w:rPr>
                <w:rFonts w:ascii="Arial Black" w:hAnsi="Arial Black"/>
                <w:caps/>
                <w:sz w:val="15"/>
              </w:rPr>
              <w:t>cdip/14/</w:t>
            </w:r>
            <w:r w:rsidR="005524C6">
              <w:rPr>
                <w:rFonts w:ascii="Arial Black" w:hAnsi="Arial Black"/>
                <w:caps/>
                <w:sz w:val="15"/>
              </w:rPr>
              <w:t>inf/</w:t>
            </w:r>
            <w:r w:rsidR="00831AD9">
              <w:rPr>
                <w:rFonts w:ascii="Arial Black" w:hAnsi="Arial Black"/>
                <w:caps/>
                <w:sz w:val="15"/>
              </w:rPr>
              <w:t>10</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902A6C">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831AD9">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831AD9">
              <w:rPr>
                <w:rFonts w:ascii="Arial Black" w:hAnsi="Arial Black"/>
                <w:caps/>
                <w:sz w:val="15"/>
              </w:rPr>
              <w:t>18</w:t>
            </w:r>
            <w:r w:rsidR="00902A6C">
              <w:rPr>
                <w:rFonts w:ascii="Arial Black" w:hAnsi="Arial Black"/>
                <w:caps/>
                <w:sz w:val="15"/>
              </w:rPr>
              <w:t xml:space="preserve"> DE SEPTIEMBRE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93BF1" w:rsidRPr="000D0229" w:rsidRDefault="00693BF1" w:rsidP="00693BF1">
      <w:pPr>
        <w:rPr>
          <w:b/>
          <w:sz w:val="28"/>
          <w:szCs w:val="28"/>
        </w:rPr>
      </w:pPr>
      <w:r w:rsidRPr="000D0229">
        <w:rPr>
          <w:b/>
          <w:sz w:val="28"/>
          <w:szCs w:val="28"/>
        </w:rPr>
        <w:t>Comité de Desarrollo y Propiedad Intelectual (CDIP)</w:t>
      </w:r>
    </w:p>
    <w:p w:rsidR="003845C1" w:rsidRPr="000D0229" w:rsidRDefault="003845C1" w:rsidP="003845C1"/>
    <w:p w:rsidR="003845C1" w:rsidRPr="000D0229" w:rsidRDefault="003845C1" w:rsidP="003845C1">
      <w:bookmarkStart w:id="3" w:name="_GoBack"/>
      <w:bookmarkEnd w:id="3"/>
    </w:p>
    <w:p w:rsidR="00693BF1" w:rsidRPr="000D0229" w:rsidRDefault="00693BF1" w:rsidP="00693BF1">
      <w:pPr>
        <w:rPr>
          <w:b/>
          <w:sz w:val="24"/>
          <w:szCs w:val="24"/>
        </w:rPr>
      </w:pPr>
      <w:r w:rsidRPr="000D0229">
        <w:rPr>
          <w:b/>
          <w:sz w:val="24"/>
          <w:szCs w:val="24"/>
        </w:rPr>
        <w:t>Decimocuarta sesión</w:t>
      </w:r>
    </w:p>
    <w:p w:rsidR="00693BF1" w:rsidRPr="000D0229" w:rsidRDefault="00693BF1" w:rsidP="00693BF1">
      <w:pPr>
        <w:rPr>
          <w:b/>
          <w:sz w:val="24"/>
          <w:szCs w:val="24"/>
        </w:rPr>
      </w:pPr>
      <w:r w:rsidRPr="000D0229">
        <w:rPr>
          <w:b/>
          <w:sz w:val="24"/>
          <w:szCs w:val="24"/>
        </w:rPr>
        <w:t>Ginebra, 10 a 14 de noviembre de 2014</w:t>
      </w:r>
    </w:p>
    <w:p w:rsidR="00693BF1" w:rsidRPr="000D0229" w:rsidRDefault="00693BF1" w:rsidP="00693BF1"/>
    <w:p w:rsidR="008B2CC1" w:rsidRPr="000D0229" w:rsidRDefault="008B2CC1" w:rsidP="008B2CC1"/>
    <w:p w:rsidR="008B2CC1" w:rsidRPr="000D0229" w:rsidRDefault="008B2CC1" w:rsidP="008B2CC1"/>
    <w:p w:rsidR="008B2CC1" w:rsidRPr="000D0229" w:rsidRDefault="008B2CC1" w:rsidP="008B2CC1"/>
    <w:p w:rsidR="008B2CC1" w:rsidRPr="000D0229" w:rsidRDefault="005524C6" w:rsidP="008B2CC1">
      <w:pPr>
        <w:rPr>
          <w:caps/>
          <w:sz w:val="24"/>
        </w:rPr>
      </w:pPr>
      <w:bookmarkStart w:id="4" w:name="TitleOfDoc"/>
      <w:bookmarkEnd w:id="4"/>
      <w:r w:rsidRPr="000D0229">
        <w:rPr>
          <w:szCs w:val="22"/>
        </w:rPr>
        <w:t>RESUMEN DE</w:t>
      </w:r>
      <w:r w:rsidR="00831AD9" w:rsidRPr="000D0229">
        <w:rPr>
          <w:szCs w:val="22"/>
        </w:rPr>
        <w:t xml:space="preserve"> UN</w:t>
      </w:r>
      <w:r w:rsidRPr="000D0229">
        <w:rPr>
          <w:szCs w:val="22"/>
        </w:rPr>
        <w:t xml:space="preserve"> ESTUDIO SOBRE POLÍTICAS </w:t>
      </w:r>
      <w:r w:rsidR="00B01180">
        <w:rPr>
          <w:szCs w:val="22"/>
        </w:rPr>
        <w:t>QUE</w:t>
      </w:r>
      <w:r w:rsidR="00B01180" w:rsidRPr="000D0229">
        <w:rPr>
          <w:szCs w:val="22"/>
        </w:rPr>
        <w:t xml:space="preserve"> </w:t>
      </w:r>
      <w:r w:rsidR="00831AD9" w:rsidRPr="000D0229">
        <w:rPr>
          <w:szCs w:val="22"/>
        </w:rPr>
        <w:t>FOMENT</w:t>
      </w:r>
      <w:r w:rsidR="00583D98">
        <w:rPr>
          <w:szCs w:val="22"/>
        </w:rPr>
        <w:t>A</w:t>
      </w:r>
      <w:r w:rsidR="00B01180">
        <w:rPr>
          <w:szCs w:val="22"/>
        </w:rPr>
        <w:t>N</w:t>
      </w:r>
      <w:r w:rsidR="00831AD9" w:rsidRPr="000D0229">
        <w:rPr>
          <w:szCs w:val="22"/>
        </w:rPr>
        <w:t xml:space="preserve"> LA PARTICIPACIÓN DE</w:t>
      </w:r>
      <w:r w:rsidR="00B01180">
        <w:rPr>
          <w:szCs w:val="22"/>
        </w:rPr>
        <w:t xml:space="preserve"> </w:t>
      </w:r>
      <w:r w:rsidR="00831AD9" w:rsidRPr="000D0229">
        <w:rPr>
          <w:szCs w:val="22"/>
        </w:rPr>
        <w:t>L</w:t>
      </w:r>
      <w:r w:rsidR="00B01180">
        <w:rPr>
          <w:szCs w:val="22"/>
        </w:rPr>
        <w:t>AS</w:t>
      </w:r>
      <w:r w:rsidR="00831AD9" w:rsidRPr="000D0229">
        <w:rPr>
          <w:szCs w:val="22"/>
        </w:rPr>
        <w:t xml:space="preserve"> EMPRESA</w:t>
      </w:r>
      <w:r w:rsidR="00B01180">
        <w:rPr>
          <w:szCs w:val="22"/>
        </w:rPr>
        <w:t>S</w:t>
      </w:r>
      <w:r w:rsidR="00831AD9" w:rsidRPr="000D0229">
        <w:rPr>
          <w:szCs w:val="22"/>
        </w:rPr>
        <w:t xml:space="preserve"> EN </w:t>
      </w:r>
      <w:r w:rsidRPr="000D0229">
        <w:rPr>
          <w:szCs w:val="22"/>
        </w:rPr>
        <w:t>LA TRANSFERENCIA DE TECNOLOGÍA</w:t>
      </w:r>
    </w:p>
    <w:p w:rsidR="008B2CC1" w:rsidRPr="000D0229" w:rsidRDefault="008B2CC1" w:rsidP="008B2CC1"/>
    <w:p w:rsidR="008B2CC1" w:rsidRPr="000D0229" w:rsidRDefault="005524C6" w:rsidP="008B2CC1">
      <w:pPr>
        <w:rPr>
          <w:i/>
        </w:rPr>
      </w:pPr>
      <w:bookmarkStart w:id="5" w:name="Prepared"/>
      <w:bookmarkEnd w:id="5"/>
      <w:proofErr w:type="gramStart"/>
      <w:r w:rsidRPr="000D0229">
        <w:rPr>
          <w:i/>
        </w:rPr>
        <w:t>encargado</w:t>
      </w:r>
      <w:proofErr w:type="gramEnd"/>
      <w:r w:rsidRPr="000D0229">
        <w:rPr>
          <w:i/>
        </w:rPr>
        <w:t xml:space="preserve"> por la Secretaría</w:t>
      </w:r>
    </w:p>
    <w:p w:rsidR="008B2CC1" w:rsidRPr="000D0229" w:rsidRDefault="008B2CC1" w:rsidP="003845C1"/>
    <w:p w:rsidR="000F5E56" w:rsidRPr="000D0229" w:rsidRDefault="000F5E56"/>
    <w:p w:rsidR="00F84474" w:rsidRPr="000D0229" w:rsidRDefault="00F84474"/>
    <w:p w:rsidR="00F84474" w:rsidRPr="000D0229" w:rsidRDefault="00F84474"/>
    <w:p w:rsidR="00831AD9" w:rsidRPr="000D0229" w:rsidRDefault="005524C6" w:rsidP="005524C6">
      <w:pPr>
        <w:pStyle w:val="ONUMFS"/>
      </w:pPr>
      <w:r w:rsidRPr="000D0229">
        <w:t>Los Anexos del presente documento contienen un resumen de</w:t>
      </w:r>
      <w:r w:rsidR="00831AD9" w:rsidRPr="000D0229">
        <w:t xml:space="preserve"> i) un</w:t>
      </w:r>
      <w:r w:rsidRPr="000D0229">
        <w:t xml:space="preserve"> Estudio sobre </w:t>
      </w:r>
      <w:r w:rsidR="00B01180" w:rsidRPr="000D0229">
        <w:rPr>
          <w:szCs w:val="22"/>
        </w:rPr>
        <w:t xml:space="preserve">políticas </w:t>
      </w:r>
      <w:r w:rsidR="00B01180">
        <w:rPr>
          <w:szCs w:val="22"/>
        </w:rPr>
        <w:t>que</w:t>
      </w:r>
      <w:r w:rsidR="00B01180" w:rsidRPr="000D0229">
        <w:rPr>
          <w:szCs w:val="22"/>
        </w:rPr>
        <w:t xml:space="preserve"> foment</w:t>
      </w:r>
      <w:r w:rsidR="00583D98">
        <w:rPr>
          <w:szCs w:val="22"/>
        </w:rPr>
        <w:t>a</w:t>
      </w:r>
      <w:r w:rsidR="00B01180">
        <w:rPr>
          <w:szCs w:val="22"/>
        </w:rPr>
        <w:t>n</w:t>
      </w:r>
      <w:r w:rsidR="00B01180" w:rsidRPr="000D0229">
        <w:rPr>
          <w:szCs w:val="22"/>
        </w:rPr>
        <w:t xml:space="preserve"> la participación de</w:t>
      </w:r>
      <w:r w:rsidR="00B01180">
        <w:rPr>
          <w:szCs w:val="22"/>
        </w:rPr>
        <w:t xml:space="preserve"> </w:t>
      </w:r>
      <w:r w:rsidR="00B01180" w:rsidRPr="000D0229">
        <w:rPr>
          <w:szCs w:val="22"/>
        </w:rPr>
        <w:t>l</w:t>
      </w:r>
      <w:r w:rsidR="00B01180">
        <w:rPr>
          <w:szCs w:val="22"/>
        </w:rPr>
        <w:t>as</w:t>
      </w:r>
      <w:r w:rsidR="00B01180" w:rsidRPr="000D0229">
        <w:rPr>
          <w:szCs w:val="22"/>
        </w:rPr>
        <w:t xml:space="preserve"> empresa</w:t>
      </w:r>
      <w:r w:rsidR="00B01180">
        <w:rPr>
          <w:szCs w:val="22"/>
        </w:rPr>
        <w:t>s</w:t>
      </w:r>
      <w:r w:rsidR="00B01180" w:rsidRPr="000D0229">
        <w:rPr>
          <w:szCs w:val="22"/>
        </w:rPr>
        <w:t xml:space="preserve"> en la transferencia de tecnología</w:t>
      </w:r>
      <w:r w:rsidRPr="000D0229">
        <w:t xml:space="preserve">, realizado en el contexto del </w:t>
      </w:r>
      <w:r w:rsidR="00B01180">
        <w:t>“</w:t>
      </w:r>
      <w:r w:rsidRPr="000D0229">
        <w:t xml:space="preserve">Proyecto sobre propiedad intelectual y transferencia de tecnología:  desafíos comunes y búsqueda de soluciones” (CDPI/6/4 Rev.), por el Sr. </w:t>
      </w:r>
      <w:r w:rsidR="00831AD9" w:rsidRPr="000D0229">
        <w:t xml:space="preserve">Philip </w:t>
      </w:r>
      <w:proofErr w:type="spellStart"/>
      <w:r w:rsidR="00831AD9" w:rsidRPr="000D0229">
        <w:t>Mendes</w:t>
      </w:r>
      <w:proofErr w:type="spellEnd"/>
      <w:r w:rsidR="00831AD9" w:rsidRPr="000D0229">
        <w:t xml:space="preserve">, Principal, </w:t>
      </w:r>
      <w:proofErr w:type="spellStart"/>
      <w:r w:rsidR="00831AD9" w:rsidRPr="000D0229">
        <w:t>Opteon</w:t>
      </w:r>
      <w:proofErr w:type="spellEnd"/>
      <w:r w:rsidR="00831AD9" w:rsidRPr="000D0229">
        <w:t xml:space="preserve">, Brisbane, Australia, y ii) un </w:t>
      </w:r>
      <w:r w:rsidR="00B01180">
        <w:t>examen</w:t>
      </w:r>
      <w:r w:rsidR="00B01180" w:rsidRPr="000D0229">
        <w:t xml:space="preserve"> </w:t>
      </w:r>
      <w:r w:rsidR="00831AD9" w:rsidRPr="000D0229">
        <w:t>del estudio antes mencionado realizad</w:t>
      </w:r>
      <w:r w:rsidR="00B01180">
        <w:t>o</w:t>
      </w:r>
      <w:r w:rsidR="00831AD9" w:rsidRPr="000D0229">
        <w:t xml:space="preserve"> por </w:t>
      </w:r>
      <w:r w:rsidR="00B01180">
        <w:t xml:space="preserve">otro experto, </w:t>
      </w:r>
      <w:r w:rsidR="00831AD9" w:rsidRPr="000D0229">
        <w:t xml:space="preserve">el Sr. </w:t>
      </w:r>
      <w:proofErr w:type="spellStart"/>
      <w:r w:rsidR="00831AD9" w:rsidRPr="000D0229">
        <w:t>Nikolaus</w:t>
      </w:r>
      <w:proofErr w:type="spellEnd"/>
      <w:r w:rsidR="00831AD9" w:rsidRPr="000D0229">
        <w:t xml:space="preserve"> </w:t>
      </w:r>
      <w:proofErr w:type="spellStart"/>
      <w:r w:rsidR="00831AD9" w:rsidRPr="000D0229">
        <w:t>Thumm</w:t>
      </w:r>
      <w:proofErr w:type="spellEnd"/>
      <w:r w:rsidR="00831AD9" w:rsidRPr="000D0229">
        <w:t xml:space="preserve">, Centro Conjunto de Investigación de la </w:t>
      </w:r>
      <w:r w:rsidR="00B01180">
        <w:t>Comisión</w:t>
      </w:r>
      <w:r w:rsidR="00831AD9" w:rsidRPr="000D0229">
        <w:t xml:space="preserve"> Europea, Sevilla</w:t>
      </w:r>
      <w:r w:rsidR="00B01180">
        <w:t>,</w:t>
      </w:r>
      <w:r w:rsidR="00831AD9" w:rsidRPr="000D0229">
        <w:t xml:space="preserve"> España.</w:t>
      </w:r>
    </w:p>
    <w:p w:rsidR="005524C6" w:rsidRPr="000D0229" w:rsidRDefault="005524C6" w:rsidP="005524C6">
      <w:pPr>
        <w:pStyle w:val="ONUMFS"/>
        <w:ind w:left="5529"/>
        <w:rPr>
          <w:i/>
        </w:rPr>
      </w:pPr>
      <w:r w:rsidRPr="000D0229">
        <w:rPr>
          <w:i/>
        </w:rPr>
        <w:t>Se invita al CDIP a tomar nota de la información contenida en los Anexos del presente documento.</w:t>
      </w:r>
    </w:p>
    <w:p w:rsidR="005524C6" w:rsidRPr="000D0229" w:rsidRDefault="005524C6" w:rsidP="005524C6">
      <w:pPr>
        <w:pStyle w:val="ONUMFS"/>
        <w:numPr>
          <w:ilvl w:val="0"/>
          <w:numId w:val="0"/>
        </w:numPr>
      </w:pPr>
    </w:p>
    <w:p w:rsidR="005524C6" w:rsidRPr="000D0229" w:rsidRDefault="005524C6" w:rsidP="005524C6">
      <w:pPr>
        <w:pStyle w:val="Endofdocument-Annex"/>
        <w:rPr>
          <w:lang w:val="es-ES"/>
        </w:rPr>
      </w:pPr>
      <w:r w:rsidRPr="000D0229">
        <w:rPr>
          <w:lang w:val="es-ES"/>
        </w:rPr>
        <w:t>[Siguen los Anexos]</w:t>
      </w:r>
    </w:p>
    <w:p w:rsidR="005524C6" w:rsidRPr="000D0229" w:rsidRDefault="005524C6" w:rsidP="005524C6"/>
    <w:p w:rsidR="005524C6" w:rsidRPr="000D0229" w:rsidRDefault="005524C6" w:rsidP="005524C6"/>
    <w:p w:rsidR="005524C6" w:rsidRPr="000D0229" w:rsidRDefault="00B01180" w:rsidP="005524C6">
      <w:pPr>
        <w:rPr>
          <w:b/>
        </w:rPr>
      </w:pPr>
      <w:r>
        <w:rPr>
          <w:b/>
        </w:rPr>
        <w:t>Nota</w:t>
      </w:r>
      <w:proofErr w:type="gramStart"/>
      <w:r>
        <w:rPr>
          <w:b/>
        </w:rPr>
        <w:t xml:space="preserve">:  </w:t>
      </w:r>
      <w:r w:rsidR="00190D94" w:rsidRPr="007D2F14">
        <w:rPr>
          <w:b/>
        </w:rPr>
        <w:t>Las</w:t>
      </w:r>
      <w:proofErr w:type="gramEnd"/>
      <w:r w:rsidR="00190D94" w:rsidRPr="007D2F14">
        <w:rPr>
          <w:b/>
        </w:rPr>
        <w:t xml:space="preserve"> opiniones expresadas en este estudio pertenecen al autor y no reflejan necesariamente la opinión de la Secretaría de la Organización Mundial de la Propiedad Intelectual ni la de </w:t>
      </w:r>
      <w:r w:rsidR="00190D94">
        <w:rPr>
          <w:b/>
        </w:rPr>
        <w:t>sus</w:t>
      </w:r>
      <w:r w:rsidR="00190D94" w:rsidRPr="007D2F14">
        <w:rPr>
          <w:b/>
        </w:rPr>
        <w:t xml:space="preserve"> Est</w:t>
      </w:r>
      <w:r w:rsidR="00190D94">
        <w:rPr>
          <w:b/>
        </w:rPr>
        <w:t>ados miembros</w:t>
      </w:r>
      <w:r w:rsidR="005524C6" w:rsidRPr="000D0229">
        <w:rPr>
          <w:b/>
        </w:rPr>
        <w:t>.</w:t>
      </w:r>
    </w:p>
    <w:p w:rsidR="005524C6" w:rsidRPr="000D0229" w:rsidRDefault="005524C6" w:rsidP="005524C6"/>
    <w:p w:rsidR="005524C6" w:rsidRPr="000D0229" w:rsidRDefault="005524C6" w:rsidP="005524C6">
      <w:pPr>
        <w:pStyle w:val="Endofdocument-Annex"/>
        <w:rPr>
          <w:lang w:val="es-ES"/>
        </w:rPr>
        <w:sectPr w:rsidR="005524C6" w:rsidRPr="000D0229" w:rsidSect="003A0FAA">
          <w:headerReference w:type="default" r:id="rId9"/>
          <w:endnotePr>
            <w:numFmt w:val="decimal"/>
          </w:endnotePr>
          <w:pgSz w:w="11907" w:h="16840" w:code="9"/>
          <w:pgMar w:top="567" w:right="1134" w:bottom="1418" w:left="1418" w:header="510" w:footer="1021" w:gutter="0"/>
          <w:cols w:space="720"/>
          <w:titlePg/>
          <w:docGrid w:linePitch="299"/>
        </w:sectPr>
      </w:pPr>
    </w:p>
    <w:p w:rsidR="00831AD9" w:rsidRPr="00B01180" w:rsidRDefault="00B01180" w:rsidP="00B01180">
      <w:pPr>
        <w:pStyle w:val="Heading1"/>
        <w:rPr>
          <w:lang w:eastAsia="en-US"/>
        </w:rPr>
      </w:pPr>
      <w:bookmarkStart w:id="6" w:name="_Toc373153764"/>
      <w:r w:rsidRPr="00B01180">
        <w:rPr>
          <w:lang w:eastAsia="en-US"/>
        </w:rPr>
        <w:lastRenderedPageBreak/>
        <w:t>POLÍTICAS QUE FOMENT</w:t>
      </w:r>
      <w:r w:rsidR="00583D98">
        <w:rPr>
          <w:lang w:eastAsia="en-US"/>
        </w:rPr>
        <w:t>A</w:t>
      </w:r>
      <w:r w:rsidRPr="00B01180">
        <w:rPr>
          <w:lang w:eastAsia="en-US"/>
        </w:rPr>
        <w:t>N LA PARTICIPACIÓN DE LAS EMPRESAS EN LA TRANSFERENCIA DE TECNOLOGÍA</w:t>
      </w:r>
      <w:r w:rsidR="00294098" w:rsidRPr="00B01180">
        <w:rPr>
          <w:lang w:eastAsia="en-US"/>
        </w:rPr>
        <w:t xml:space="preserve"> </w:t>
      </w:r>
    </w:p>
    <w:p w:rsidR="00831AD9" w:rsidRPr="000D0229" w:rsidRDefault="00831AD9" w:rsidP="00831AD9">
      <w:pPr>
        <w:rPr>
          <w:b/>
          <w:szCs w:val="22"/>
        </w:rPr>
      </w:pPr>
    </w:p>
    <w:p w:rsidR="00831AD9" w:rsidRPr="000D0229" w:rsidRDefault="00294098" w:rsidP="00831AD9">
      <w:pPr>
        <w:rPr>
          <w:b/>
          <w:szCs w:val="22"/>
        </w:rPr>
      </w:pPr>
      <w:r w:rsidRPr="000D0229">
        <w:rPr>
          <w:b/>
          <w:szCs w:val="22"/>
        </w:rPr>
        <w:t>Estudio realizado por</w:t>
      </w:r>
      <w:r w:rsidR="00831AD9" w:rsidRPr="000D0229">
        <w:rPr>
          <w:b/>
          <w:szCs w:val="22"/>
        </w:rPr>
        <w:t xml:space="preserve"> </w:t>
      </w:r>
      <w:r w:rsidRPr="000D0229">
        <w:rPr>
          <w:b/>
          <w:szCs w:val="22"/>
        </w:rPr>
        <w:t>el S</w:t>
      </w:r>
      <w:r w:rsidR="00831AD9" w:rsidRPr="000D0229">
        <w:rPr>
          <w:b/>
          <w:szCs w:val="22"/>
        </w:rPr>
        <w:t xml:space="preserve">r. Philip </w:t>
      </w:r>
      <w:proofErr w:type="spellStart"/>
      <w:r w:rsidR="00831AD9" w:rsidRPr="000D0229">
        <w:rPr>
          <w:b/>
          <w:szCs w:val="22"/>
        </w:rPr>
        <w:t>Mendes</w:t>
      </w:r>
      <w:proofErr w:type="spellEnd"/>
      <w:r w:rsidR="00831AD9" w:rsidRPr="000D0229">
        <w:rPr>
          <w:b/>
          <w:szCs w:val="22"/>
        </w:rPr>
        <w:t xml:space="preserve">, Principal, </w:t>
      </w:r>
      <w:proofErr w:type="spellStart"/>
      <w:r w:rsidR="00831AD9" w:rsidRPr="000D0229">
        <w:rPr>
          <w:b/>
          <w:szCs w:val="22"/>
        </w:rPr>
        <w:t>Opteon</w:t>
      </w:r>
      <w:proofErr w:type="spellEnd"/>
      <w:r w:rsidR="00831AD9" w:rsidRPr="000D0229">
        <w:rPr>
          <w:b/>
          <w:szCs w:val="22"/>
        </w:rPr>
        <w:t>, Brisbane, Australia</w:t>
      </w:r>
    </w:p>
    <w:p w:rsidR="00831AD9" w:rsidRPr="000D0229" w:rsidRDefault="00294098" w:rsidP="00831AD9">
      <w:pPr>
        <w:pStyle w:val="Heading1"/>
        <w:rPr>
          <w:lang w:eastAsia="en-US"/>
        </w:rPr>
      </w:pPr>
      <w:r w:rsidRPr="000D0229">
        <w:rPr>
          <w:lang w:eastAsia="en-US"/>
        </w:rPr>
        <w:t>Resumen</w:t>
      </w:r>
      <w:bookmarkEnd w:id="6"/>
    </w:p>
    <w:p w:rsidR="00831AD9" w:rsidRPr="000D0229" w:rsidRDefault="00294098" w:rsidP="00294098">
      <w:pPr>
        <w:pStyle w:val="ONUME"/>
        <w:rPr>
          <w:lang w:eastAsia="en-US"/>
        </w:rPr>
      </w:pPr>
      <w:r w:rsidRPr="000D0229">
        <w:rPr>
          <w:lang w:eastAsia="en-US"/>
        </w:rPr>
        <w:t xml:space="preserve">Hoy en día la economía se ve dominada por la actividad empresarial impulsada por el conocimiento, y las empresas capaces de innovar y crear nuevos conocimientos sobrepasan a sus competidores.  No obstante, las empresas que apuntan a la innovación deben hacer frente a numerosos desafíos o superar muchos obstáculos.  Entre éstos figura la ausencia de calificaciones especiales, la falta de recursos financieros y la carencia de equipos especializados de investigación y desarrollo (resumen de los párrafos </w:t>
      </w:r>
      <w:r w:rsidR="00831AD9" w:rsidRPr="000D0229">
        <w:rPr>
          <w:lang w:eastAsia="en-US"/>
        </w:rPr>
        <w:t xml:space="preserve">17 </w:t>
      </w:r>
      <w:r w:rsidRPr="000D0229">
        <w:rPr>
          <w:lang w:eastAsia="en-US"/>
        </w:rPr>
        <w:t>a</w:t>
      </w:r>
      <w:r w:rsidR="00831AD9" w:rsidRPr="000D0229">
        <w:rPr>
          <w:lang w:eastAsia="en-US"/>
        </w:rPr>
        <w:t xml:space="preserve"> 21).</w:t>
      </w:r>
    </w:p>
    <w:p w:rsidR="00831AD9" w:rsidRPr="000D0229" w:rsidRDefault="00294098" w:rsidP="00831AD9">
      <w:pPr>
        <w:pStyle w:val="ONUME"/>
        <w:rPr>
          <w:lang w:eastAsia="en-US"/>
        </w:rPr>
      </w:pPr>
      <w:r w:rsidRPr="000D0229">
        <w:rPr>
          <w:lang w:eastAsia="en-US"/>
        </w:rPr>
        <w:t xml:space="preserve">Los mecanismos de transferencia de tecnologías ayudarán a las empresas que </w:t>
      </w:r>
      <w:r w:rsidR="00B01180">
        <w:rPr>
          <w:lang w:eastAsia="en-US"/>
        </w:rPr>
        <w:t>no poseen</w:t>
      </w:r>
      <w:r w:rsidRPr="000D0229">
        <w:rPr>
          <w:lang w:eastAsia="en-US"/>
        </w:rPr>
        <w:t xml:space="preserve"> estas capacidades y recursos a obtener acceso a los mismos a partir de las universidades y los organismos de investigación, y a sacar provecho de los resultados pertinentes en materia de investigación y desarrollo (resumen del párrafo 22).  La transferencia de tecnología que tiene lugar de esta manera puede adoptar varias modalidades, en particular la formación de empresas derivadas, la asignación o concesión de licencias de propiedad intelectual, la investigación </w:t>
      </w:r>
      <w:r w:rsidR="00FB791C" w:rsidRPr="000D0229">
        <w:rPr>
          <w:lang w:eastAsia="en-US"/>
        </w:rPr>
        <w:t>por contrata</w:t>
      </w:r>
      <w:r w:rsidRPr="000D0229">
        <w:rPr>
          <w:lang w:eastAsia="en-US"/>
        </w:rPr>
        <w:t xml:space="preserve"> </w:t>
      </w:r>
      <w:r w:rsidR="00583D98">
        <w:rPr>
          <w:lang w:eastAsia="en-US"/>
        </w:rPr>
        <w:t xml:space="preserve">o </w:t>
      </w:r>
      <w:r w:rsidR="00FB791C">
        <w:rPr>
          <w:lang w:eastAsia="en-US"/>
        </w:rPr>
        <w:t>en régimen de colaboración</w:t>
      </w:r>
      <w:r w:rsidRPr="000D0229">
        <w:rPr>
          <w:lang w:eastAsia="en-US"/>
        </w:rPr>
        <w:t xml:space="preserve">, o la prestación de servicios </w:t>
      </w:r>
      <w:r w:rsidR="00FB791C" w:rsidRPr="000D0229">
        <w:rPr>
          <w:lang w:eastAsia="en-US"/>
        </w:rPr>
        <w:t>contractual</w:t>
      </w:r>
      <w:r w:rsidR="00FB791C">
        <w:rPr>
          <w:lang w:eastAsia="en-US"/>
        </w:rPr>
        <w:t>es</w:t>
      </w:r>
      <w:r w:rsidRPr="000D0229">
        <w:rPr>
          <w:lang w:eastAsia="en-US"/>
        </w:rPr>
        <w:t>.  A su vez</w:t>
      </w:r>
      <w:r w:rsidR="00DD562C" w:rsidRPr="000D0229">
        <w:rPr>
          <w:lang w:eastAsia="en-US"/>
        </w:rPr>
        <w:t>,</w:t>
      </w:r>
      <w:r w:rsidRPr="000D0229">
        <w:rPr>
          <w:lang w:eastAsia="en-US"/>
        </w:rPr>
        <w:t xml:space="preserve"> cada una de </w:t>
      </w:r>
      <w:r w:rsidR="00DD562C" w:rsidRPr="000D0229">
        <w:rPr>
          <w:lang w:eastAsia="en-US"/>
        </w:rPr>
        <w:t xml:space="preserve">estas modalidades puede actuar como catalizadora de nuevas actividades en ese ámbito </w:t>
      </w:r>
      <w:r w:rsidR="00831AD9" w:rsidRPr="000D0229">
        <w:rPr>
          <w:lang w:eastAsia="en-US"/>
        </w:rPr>
        <w:t>(</w:t>
      </w:r>
      <w:r w:rsidR="00DD562C" w:rsidRPr="000D0229">
        <w:rPr>
          <w:lang w:eastAsia="en-US"/>
        </w:rPr>
        <w:t>resumen de los párrafos</w:t>
      </w:r>
      <w:r w:rsidR="00831AD9" w:rsidRPr="000D0229">
        <w:rPr>
          <w:lang w:eastAsia="en-US"/>
        </w:rPr>
        <w:t xml:space="preserve"> 23 </w:t>
      </w:r>
      <w:r w:rsidR="00DD562C" w:rsidRPr="000D0229">
        <w:rPr>
          <w:lang w:eastAsia="en-US"/>
        </w:rPr>
        <w:t>a</w:t>
      </w:r>
      <w:r w:rsidR="00831AD9" w:rsidRPr="000D0229">
        <w:rPr>
          <w:lang w:eastAsia="en-US"/>
        </w:rPr>
        <w:t xml:space="preserve"> 26).</w:t>
      </w:r>
    </w:p>
    <w:p w:rsidR="00831AD9" w:rsidRPr="000D0229" w:rsidRDefault="00DD562C" w:rsidP="00DD562C">
      <w:pPr>
        <w:pStyle w:val="ONUME"/>
        <w:rPr>
          <w:lang w:eastAsia="en-US"/>
        </w:rPr>
      </w:pPr>
      <w:r w:rsidRPr="000D0229">
        <w:rPr>
          <w:lang w:eastAsia="en-US"/>
        </w:rPr>
        <w:t>Aunque se reconoce ampliamente la utilidad de estos procesos de transferencia de tecnología para innovar y soslayar obstáculos técnicos, éstos no se utilizan forzosamente como es debido.  En esa infrautilización inciden diversos factores</w:t>
      </w:r>
      <w:r w:rsidR="00FB791C">
        <w:rPr>
          <w:lang w:eastAsia="en-US"/>
        </w:rPr>
        <w:t>,</w:t>
      </w:r>
      <w:r w:rsidRPr="000D0229">
        <w:rPr>
          <w:lang w:eastAsia="en-US"/>
        </w:rPr>
        <w:t xml:space="preserve"> como por ejemplo la ausencia de un marco adecuado para la transferencia de tecnologías, los gastos inherentes a la contratación de actividades de investigación y desarrollo, la apreciación del riesgo que entraña el intercambio de información y la pérdida de confidencialidad y de ventaja competitiva</w:t>
      </w:r>
      <w:r w:rsidR="00FB791C">
        <w:rPr>
          <w:lang w:eastAsia="en-US"/>
        </w:rPr>
        <w:t xml:space="preserve"> que </w:t>
      </w:r>
      <w:r w:rsidRPr="000D0229">
        <w:rPr>
          <w:lang w:eastAsia="en-US"/>
        </w:rPr>
        <w:t>ello puede entrañar, la falta de conocimientos en cuanto a la forma de obtener competencia técnica, las anteriores experiencias negativas, la asimetría de la información y, sencillamente, la intervención de las fuerzas del mercado</w:t>
      </w:r>
      <w:r w:rsidR="00831AD9" w:rsidRPr="000D0229">
        <w:rPr>
          <w:lang w:eastAsia="en-US"/>
        </w:rPr>
        <w:t xml:space="preserve"> (</w:t>
      </w:r>
      <w:r w:rsidRPr="000D0229">
        <w:rPr>
          <w:lang w:eastAsia="en-US"/>
        </w:rPr>
        <w:t xml:space="preserve">resumen de los párrafos </w:t>
      </w:r>
      <w:r w:rsidR="00831AD9" w:rsidRPr="000D0229">
        <w:rPr>
          <w:lang w:eastAsia="en-US"/>
        </w:rPr>
        <w:t xml:space="preserve">27 </w:t>
      </w:r>
      <w:r w:rsidRPr="000D0229">
        <w:rPr>
          <w:lang w:eastAsia="en-US"/>
        </w:rPr>
        <w:t>a</w:t>
      </w:r>
      <w:r w:rsidR="00831AD9" w:rsidRPr="000D0229">
        <w:rPr>
          <w:lang w:eastAsia="en-US"/>
        </w:rPr>
        <w:t xml:space="preserve"> 29).</w:t>
      </w:r>
    </w:p>
    <w:p w:rsidR="00831AD9" w:rsidRPr="000D0229" w:rsidRDefault="00DD562C" w:rsidP="00DD562C">
      <w:pPr>
        <w:pStyle w:val="ONUME"/>
        <w:rPr>
          <w:lang w:eastAsia="en-US"/>
        </w:rPr>
      </w:pPr>
      <w:r w:rsidRPr="000D0229">
        <w:rPr>
          <w:lang w:eastAsia="en-US"/>
        </w:rPr>
        <w:t>Cuando una empresa supera los obstáculos antes mencionados puede obtener numerosos beneficios, entre los que cabe mencionar los siguiente</w:t>
      </w:r>
      <w:r w:rsidR="00FB791C">
        <w:rPr>
          <w:lang w:eastAsia="en-US"/>
        </w:rPr>
        <w:t>s</w:t>
      </w:r>
      <w:r w:rsidR="00831AD9" w:rsidRPr="000D0229">
        <w:rPr>
          <w:lang w:eastAsia="en-US"/>
        </w:rPr>
        <w:t>:</w:t>
      </w:r>
    </w:p>
    <w:p w:rsidR="00DD562C" w:rsidRPr="000D0229" w:rsidRDefault="00FB791C" w:rsidP="00DD562C">
      <w:pPr>
        <w:pStyle w:val="ONUME"/>
        <w:numPr>
          <w:ilvl w:val="1"/>
          <w:numId w:val="8"/>
        </w:numPr>
        <w:rPr>
          <w:lang w:eastAsia="en-US"/>
        </w:rPr>
      </w:pPr>
      <w:r>
        <w:rPr>
          <w:lang w:eastAsia="en-US"/>
        </w:rPr>
        <w:t xml:space="preserve">el </w:t>
      </w:r>
      <w:r w:rsidRPr="000D0229">
        <w:rPr>
          <w:lang w:eastAsia="en-US"/>
        </w:rPr>
        <w:t xml:space="preserve">desarrollo </w:t>
      </w:r>
      <w:r w:rsidR="00DD562C" w:rsidRPr="000D0229">
        <w:rPr>
          <w:lang w:eastAsia="en-US"/>
        </w:rPr>
        <w:t xml:space="preserve">de nuevos productos y procesos, así como </w:t>
      </w:r>
      <w:r w:rsidR="00583D98">
        <w:rPr>
          <w:lang w:eastAsia="en-US"/>
        </w:rPr>
        <w:t xml:space="preserve">la </w:t>
      </w:r>
      <w:r>
        <w:rPr>
          <w:lang w:eastAsia="en-US"/>
        </w:rPr>
        <w:t xml:space="preserve">prestación </w:t>
      </w:r>
      <w:r w:rsidR="00DD562C" w:rsidRPr="000D0229">
        <w:rPr>
          <w:lang w:eastAsia="en-US"/>
        </w:rPr>
        <w:t>de nuevos servicios;</w:t>
      </w:r>
    </w:p>
    <w:p w:rsidR="00DD562C" w:rsidRPr="000D0229" w:rsidRDefault="00FB791C" w:rsidP="00DD562C">
      <w:pPr>
        <w:pStyle w:val="ONUME"/>
        <w:numPr>
          <w:ilvl w:val="1"/>
          <w:numId w:val="8"/>
        </w:numPr>
        <w:rPr>
          <w:lang w:eastAsia="en-US"/>
        </w:rPr>
      </w:pPr>
      <w:r>
        <w:rPr>
          <w:lang w:eastAsia="en-US"/>
        </w:rPr>
        <w:t xml:space="preserve">la </w:t>
      </w:r>
      <w:r w:rsidR="00DD562C" w:rsidRPr="000D0229">
        <w:rPr>
          <w:lang w:eastAsia="en-US"/>
        </w:rPr>
        <w:t>solución de problemas técnicos y mejora de la calidad y la capacidad para establecer p</w:t>
      </w:r>
      <w:r>
        <w:rPr>
          <w:lang w:eastAsia="en-US"/>
        </w:rPr>
        <w:t>arámetros</w:t>
      </w:r>
      <w:r w:rsidR="00DD562C" w:rsidRPr="000D0229">
        <w:rPr>
          <w:lang w:eastAsia="en-US"/>
        </w:rPr>
        <w:t xml:space="preserve"> de referencia;</w:t>
      </w:r>
    </w:p>
    <w:p w:rsidR="00DD562C" w:rsidRPr="000D0229" w:rsidRDefault="00FB791C" w:rsidP="00DD562C">
      <w:pPr>
        <w:pStyle w:val="ONUME"/>
        <w:numPr>
          <w:ilvl w:val="1"/>
          <w:numId w:val="8"/>
        </w:numPr>
        <w:rPr>
          <w:lang w:eastAsia="en-US"/>
        </w:rPr>
      </w:pPr>
      <w:r>
        <w:rPr>
          <w:lang w:eastAsia="en-US"/>
        </w:rPr>
        <w:t xml:space="preserve">el </w:t>
      </w:r>
      <w:r w:rsidR="000B714B" w:rsidRPr="000D0229">
        <w:rPr>
          <w:lang w:eastAsia="en-US"/>
        </w:rPr>
        <w:t>perfeccionamiento de las actividades empresariales y la coherencia de los servicios;</w:t>
      </w:r>
    </w:p>
    <w:p w:rsidR="000B714B" w:rsidRPr="000D0229" w:rsidRDefault="00FB791C" w:rsidP="00DD562C">
      <w:pPr>
        <w:pStyle w:val="ONUME"/>
        <w:numPr>
          <w:ilvl w:val="1"/>
          <w:numId w:val="8"/>
        </w:numPr>
        <w:rPr>
          <w:lang w:eastAsia="en-US"/>
        </w:rPr>
      </w:pPr>
      <w:r>
        <w:rPr>
          <w:lang w:eastAsia="en-US"/>
        </w:rPr>
        <w:t xml:space="preserve">la </w:t>
      </w:r>
      <w:r w:rsidR="000B714B" w:rsidRPr="000D0229">
        <w:rPr>
          <w:lang w:eastAsia="en-US"/>
        </w:rPr>
        <w:t xml:space="preserve">reducción del plazo de comercialización y de los prolongados períodos </w:t>
      </w:r>
      <w:r w:rsidR="00583D98">
        <w:rPr>
          <w:lang w:eastAsia="en-US"/>
        </w:rPr>
        <w:t>comprendidos entre el fin de</w:t>
      </w:r>
      <w:r w:rsidR="000B714B" w:rsidRPr="000D0229">
        <w:rPr>
          <w:lang w:eastAsia="en-US"/>
        </w:rPr>
        <w:t xml:space="preserve"> las actividades de investigación y desarrollo </w:t>
      </w:r>
      <w:r w:rsidR="00583D98">
        <w:rPr>
          <w:lang w:eastAsia="en-US"/>
        </w:rPr>
        <w:t>y la entrada en el mercado, así como de los costos inherentes</w:t>
      </w:r>
      <w:r w:rsidR="000B714B" w:rsidRPr="000D0229">
        <w:rPr>
          <w:lang w:eastAsia="en-US"/>
        </w:rPr>
        <w:t>;</w:t>
      </w:r>
    </w:p>
    <w:p w:rsidR="000B714B" w:rsidRPr="000D0229" w:rsidRDefault="000B714B" w:rsidP="00DD562C">
      <w:pPr>
        <w:pStyle w:val="ONUME"/>
        <w:numPr>
          <w:ilvl w:val="1"/>
          <w:numId w:val="8"/>
        </w:numPr>
        <w:rPr>
          <w:lang w:eastAsia="en-US"/>
        </w:rPr>
      </w:pPr>
      <w:r w:rsidRPr="000D0229">
        <w:rPr>
          <w:lang w:eastAsia="en-US"/>
        </w:rPr>
        <w:t xml:space="preserve">el flujo de derechos de P.I. desde el creador de tecnología hacia la empresa, </w:t>
      </w:r>
      <w:r w:rsidR="00FB791C">
        <w:rPr>
          <w:lang w:eastAsia="en-US"/>
        </w:rPr>
        <w:t xml:space="preserve">por </w:t>
      </w:r>
      <w:r w:rsidRPr="000D0229">
        <w:rPr>
          <w:lang w:eastAsia="en-US"/>
        </w:rPr>
        <w:t>ejemplo mediante la concesión de una licencia</w:t>
      </w:r>
      <w:r w:rsidR="00FB791C">
        <w:rPr>
          <w:lang w:eastAsia="en-US"/>
        </w:rPr>
        <w:t xml:space="preserve"> que autori</w:t>
      </w:r>
      <w:r w:rsidRPr="000D0229">
        <w:rPr>
          <w:lang w:eastAsia="en-US"/>
        </w:rPr>
        <w:t>c</w:t>
      </w:r>
      <w:r w:rsidR="00FB791C">
        <w:rPr>
          <w:lang w:eastAsia="en-US"/>
        </w:rPr>
        <w:t>e</w:t>
      </w:r>
      <w:r w:rsidRPr="000D0229">
        <w:rPr>
          <w:lang w:eastAsia="en-US"/>
        </w:rPr>
        <w:t xml:space="preserve"> a la empresa </w:t>
      </w:r>
      <w:r w:rsidR="00583D98">
        <w:rPr>
          <w:lang w:eastAsia="en-US"/>
        </w:rPr>
        <w:t xml:space="preserve">a </w:t>
      </w:r>
      <w:r w:rsidRPr="000D0229">
        <w:rPr>
          <w:lang w:eastAsia="en-US"/>
        </w:rPr>
        <w:t>comercializar esa propiedad intelectual;</w:t>
      </w:r>
    </w:p>
    <w:p w:rsidR="000B714B" w:rsidRPr="000D0229" w:rsidRDefault="000B714B" w:rsidP="00DD562C">
      <w:pPr>
        <w:pStyle w:val="ONUME"/>
        <w:numPr>
          <w:ilvl w:val="1"/>
          <w:numId w:val="8"/>
        </w:numPr>
        <w:rPr>
          <w:lang w:eastAsia="en-US"/>
        </w:rPr>
      </w:pPr>
      <w:r w:rsidRPr="000D0229">
        <w:rPr>
          <w:lang w:eastAsia="en-US"/>
        </w:rPr>
        <w:lastRenderedPageBreak/>
        <w:t>el flujo más generalizado de conocimientos de</w:t>
      </w:r>
      <w:r w:rsidR="00FB791C">
        <w:rPr>
          <w:lang w:eastAsia="en-US"/>
        </w:rPr>
        <w:t>sde e</w:t>
      </w:r>
      <w:r w:rsidRPr="000D0229">
        <w:rPr>
          <w:lang w:eastAsia="en-US"/>
        </w:rPr>
        <w:t xml:space="preserve">l creador </w:t>
      </w:r>
      <w:r w:rsidR="00FB791C">
        <w:rPr>
          <w:lang w:eastAsia="en-US"/>
        </w:rPr>
        <w:t xml:space="preserve">de </w:t>
      </w:r>
      <w:r w:rsidRPr="000D0229">
        <w:rPr>
          <w:lang w:eastAsia="en-US"/>
        </w:rPr>
        <w:t>tecnol</w:t>
      </w:r>
      <w:r w:rsidR="00FB791C">
        <w:rPr>
          <w:lang w:eastAsia="en-US"/>
        </w:rPr>
        <w:t>ogía</w:t>
      </w:r>
      <w:r w:rsidRPr="000D0229">
        <w:rPr>
          <w:lang w:eastAsia="en-US"/>
        </w:rPr>
        <w:t xml:space="preserve"> hacia</w:t>
      </w:r>
      <w:r w:rsidR="00AF7D6D">
        <w:rPr>
          <w:lang w:eastAsia="en-US"/>
        </w:rPr>
        <w:t xml:space="preserve"> la empresa, conocimientos que</w:t>
      </w:r>
      <w:r w:rsidRPr="000D0229">
        <w:rPr>
          <w:lang w:eastAsia="en-US"/>
        </w:rPr>
        <w:t xml:space="preserve"> la empresa puede </w:t>
      </w:r>
      <w:r w:rsidR="00FB791C">
        <w:rPr>
          <w:lang w:eastAsia="en-US"/>
        </w:rPr>
        <w:t>explotar</w:t>
      </w:r>
      <w:r w:rsidRPr="000D0229">
        <w:rPr>
          <w:lang w:eastAsia="en-US"/>
        </w:rPr>
        <w:t xml:space="preserve"> para potencia</w:t>
      </w:r>
      <w:r w:rsidR="00FB791C">
        <w:rPr>
          <w:lang w:eastAsia="en-US"/>
        </w:rPr>
        <w:t>r</w:t>
      </w:r>
      <w:r w:rsidRPr="000D0229">
        <w:rPr>
          <w:lang w:eastAsia="en-US"/>
        </w:rPr>
        <w:t xml:space="preserve"> su eficacia, aumentar su rentabilidad, disminuir los costos, etc</w:t>
      </w:r>
      <w:r w:rsidR="0070040A">
        <w:rPr>
          <w:lang w:eastAsia="en-US"/>
        </w:rPr>
        <w:t>.</w:t>
      </w:r>
      <w:r w:rsidRPr="000D0229">
        <w:rPr>
          <w:lang w:eastAsia="en-US"/>
        </w:rPr>
        <w:t>;</w:t>
      </w:r>
    </w:p>
    <w:p w:rsidR="000B714B" w:rsidRPr="000D0229" w:rsidRDefault="000A1836" w:rsidP="00DD562C">
      <w:pPr>
        <w:pStyle w:val="ONUME"/>
        <w:numPr>
          <w:ilvl w:val="1"/>
          <w:numId w:val="8"/>
        </w:numPr>
        <w:rPr>
          <w:lang w:eastAsia="en-US"/>
        </w:rPr>
      </w:pPr>
      <w:r>
        <w:rPr>
          <w:lang w:eastAsia="en-US"/>
        </w:rPr>
        <w:t xml:space="preserve">el </w:t>
      </w:r>
      <w:r w:rsidR="000B714B" w:rsidRPr="000D0229">
        <w:rPr>
          <w:lang w:eastAsia="en-US"/>
        </w:rPr>
        <w:t>acceso a nuevas ideas que de otro modo la empresa podría no haber</w:t>
      </w:r>
      <w:r w:rsidR="0070040A">
        <w:rPr>
          <w:lang w:eastAsia="en-US"/>
        </w:rPr>
        <w:t xml:space="preserve"> concebido</w:t>
      </w:r>
      <w:r w:rsidR="000B714B" w:rsidRPr="000D0229">
        <w:rPr>
          <w:lang w:eastAsia="en-US"/>
        </w:rPr>
        <w:t>;</w:t>
      </w:r>
    </w:p>
    <w:p w:rsidR="000B714B" w:rsidRPr="000D0229" w:rsidRDefault="00FB791C" w:rsidP="00DD562C">
      <w:pPr>
        <w:pStyle w:val="ONUME"/>
        <w:numPr>
          <w:ilvl w:val="1"/>
          <w:numId w:val="8"/>
        </w:numPr>
        <w:rPr>
          <w:lang w:eastAsia="en-US"/>
        </w:rPr>
      </w:pPr>
      <w:r>
        <w:rPr>
          <w:lang w:eastAsia="en-US"/>
        </w:rPr>
        <w:t xml:space="preserve">el </w:t>
      </w:r>
      <w:r w:rsidR="000B714B" w:rsidRPr="000D0229">
        <w:rPr>
          <w:lang w:eastAsia="en-US"/>
        </w:rPr>
        <w:t>acceso a c</w:t>
      </w:r>
      <w:r>
        <w:rPr>
          <w:lang w:eastAsia="en-US"/>
        </w:rPr>
        <w:t>ompetencia</w:t>
      </w:r>
      <w:r w:rsidR="000B714B" w:rsidRPr="000D0229">
        <w:rPr>
          <w:lang w:eastAsia="en-US"/>
        </w:rPr>
        <w:t xml:space="preserve"> especia</w:t>
      </w:r>
      <w:r>
        <w:rPr>
          <w:lang w:eastAsia="en-US"/>
        </w:rPr>
        <w:t>lizada de la</w:t>
      </w:r>
      <w:r w:rsidR="000B714B" w:rsidRPr="000D0229">
        <w:rPr>
          <w:lang w:eastAsia="en-US"/>
        </w:rPr>
        <w:t xml:space="preserve"> que la empresa pued</w:t>
      </w:r>
      <w:r>
        <w:rPr>
          <w:lang w:eastAsia="en-US"/>
        </w:rPr>
        <w:t>e</w:t>
      </w:r>
      <w:r w:rsidR="000B714B" w:rsidRPr="000D0229">
        <w:rPr>
          <w:lang w:eastAsia="en-US"/>
        </w:rPr>
        <w:t xml:space="preserve"> carecer;</w:t>
      </w:r>
    </w:p>
    <w:p w:rsidR="000B714B" w:rsidRPr="000D0229" w:rsidRDefault="00FB791C" w:rsidP="00DD562C">
      <w:pPr>
        <w:pStyle w:val="ONUME"/>
        <w:numPr>
          <w:ilvl w:val="1"/>
          <w:numId w:val="8"/>
        </w:numPr>
        <w:rPr>
          <w:lang w:eastAsia="en-US"/>
        </w:rPr>
      </w:pPr>
      <w:r>
        <w:rPr>
          <w:lang w:eastAsia="en-US"/>
        </w:rPr>
        <w:t xml:space="preserve">el </w:t>
      </w:r>
      <w:r w:rsidR="000B714B" w:rsidRPr="000D0229">
        <w:rPr>
          <w:lang w:eastAsia="en-US"/>
        </w:rPr>
        <w:t>acceso a infraestructuras y equipos especializados de los que la empresa pued</w:t>
      </w:r>
      <w:r>
        <w:rPr>
          <w:lang w:eastAsia="en-US"/>
        </w:rPr>
        <w:t>e</w:t>
      </w:r>
      <w:r w:rsidR="000B714B" w:rsidRPr="000D0229">
        <w:rPr>
          <w:lang w:eastAsia="en-US"/>
        </w:rPr>
        <w:t xml:space="preserve"> carecer;</w:t>
      </w:r>
    </w:p>
    <w:p w:rsidR="000B714B" w:rsidRPr="000D0229" w:rsidRDefault="00FB791C" w:rsidP="00DD562C">
      <w:pPr>
        <w:pStyle w:val="ONUME"/>
        <w:numPr>
          <w:ilvl w:val="1"/>
          <w:numId w:val="8"/>
        </w:numPr>
        <w:rPr>
          <w:lang w:eastAsia="en-US"/>
        </w:rPr>
      </w:pPr>
      <w:r>
        <w:rPr>
          <w:lang w:eastAsia="en-US"/>
        </w:rPr>
        <w:t xml:space="preserve">el </w:t>
      </w:r>
      <w:proofErr w:type="spellStart"/>
      <w:r w:rsidR="000B714B" w:rsidRPr="000D0229">
        <w:rPr>
          <w:lang w:eastAsia="en-US"/>
        </w:rPr>
        <w:t>interfuncionamiento</w:t>
      </w:r>
      <w:proofErr w:type="spellEnd"/>
      <w:r w:rsidR="000B714B" w:rsidRPr="000D0229">
        <w:rPr>
          <w:lang w:eastAsia="en-US"/>
        </w:rPr>
        <w:t xml:space="preserve"> con innovadores y creadores de tecnología, a los que se puede recurrir a medida que vayan surgiendo nuevas necesidades en el futuro, ya sea a título de asesoramiento o en el marco actividades de investigación y desarrollo.</w:t>
      </w:r>
    </w:p>
    <w:p w:rsidR="000B714B" w:rsidRPr="000D0229" w:rsidRDefault="00FB791C" w:rsidP="00DD562C">
      <w:pPr>
        <w:pStyle w:val="ONUME"/>
        <w:numPr>
          <w:ilvl w:val="1"/>
          <w:numId w:val="8"/>
        </w:numPr>
        <w:rPr>
          <w:lang w:eastAsia="en-US"/>
        </w:rPr>
      </w:pPr>
      <w:r>
        <w:rPr>
          <w:lang w:eastAsia="en-US"/>
        </w:rPr>
        <w:t xml:space="preserve">la </w:t>
      </w:r>
      <w:r w:rsidR="003C19A7" w:rsidRPr="000D0229">
        <w:rPr>
          <w:lang w:eastAsia="en-US"/>
        </w:rPr>
        <w:t xml:space="preserve">compensación de los gastos </w:t>
      </w:r>
      <w:r>
        <w:rPr>
          <w:lang w:eastAsia="en-US"/>
        </w:rPr>
        <w:t>de</w:t>
      </w:r>
      <w:r w:rsidR="003C19A7" w:rsidRPr="000D0229">
        <w:rPr>
          <w:lang w:eastAsia="en-US"/>
        </w:rPr>
        <w:t xml:space="preserve"> investigación y desarrollo </w:t>
      </w:r>
      <w:r w:rsidRPr="000D0229">
        <w:rPr>
          <w:lang w:eastAsia="en-US"/>
        </w:rPr>
        <w:t xml:space="preserve">mediante </w:t>
      </w:r>
      <w:r>
        <w:rPr>
          <w:lang w:eastAsia="en-US"/>
        </w:rPr>
        <w:t>e</w:t>
      </w:r>
      <w:r w:rsidR="003C19A7" w:rsidRPr="000D0229">
        <w:rPr>
          <w:lang w:eastAsia="en-US"/>
        </w:rPr>
        <w:t xml:space="preserve">l acceso a nuevas fuentes públicas de financiación o la utilización de incentivos fiscales, </w:t>
      </w:r>
      <w:r>
        <w:rPr>
          <w:lang w:eastAsia="en-US"/>
        </w:rPr>
        <w:t>lo que permite aumentar</w:t>
      </w:r>
      <w:r w:rsidR="003C19A7" w:rsidRPr="000D0229">
        <w:rPr>
          <w:lang w:eastAsia="en-US"/>
        </w:rPr>
        <w:t xml:space="preserve"> la capacidad para financiar </w:t>
      </w:r>
      <w:r w:rsidR="002412C8">
        <w:rPr>
          <w:lang w:eastAsia="en-US"/>
        </w:rPr>
        <w:t>nuev</w:t>
      </w:r>
      <w:r w:rsidR="003C19A7" w:rsidRPr="000D0229">
        <w:rPr>
          <w:lang w:eastAsia="en-US"/>
        </w:rPr>
        <w:t>as actividades de investigación y desarrollo;</w:t>
      </w:r>
    </w:p>
    <w:p w:rsidR="00831AD9" w:rsidRPr="000D0229" w:rsidRDefault="002412C8" w:rsidP="003C19A7">
      <w:pPr>
        <w:pStyle w:val="ONUME"/>
        <w:numPr>
          <w:ilvl w:val="1"/>
          <w:numId w:val="8"/>
        </w:numPr>
        <w:rPr>
          <w:lang w:eastAsia="en-US"/>
        </w:rPr>
      </w:pPr>
      <w:r>
        <w:rPr>
          <w:lang w:eastAsia="en-US"/>
        </w:rPr>
        <w:t xml:space="preserve">la </w:t>
      </w:r>
      <w:r w:rsidR="003C19A7" w:rsidRPr="000D0229">
        <w:rPr>
          <w:lang w:eastAsia="en-US"/>
        </w:rPr>
        <w:t>identificación de los estudiantes que podrían se</w:t>
      </w:r>
      <w:r>
        <w:rPr>
          <w:lang w:eastAsia="en-US"/>
        </w:rPr>
        <w:t>r</w:t>
      </w:r>
      <w:r w:rsidR="003C19A7" w:rsidRPr="000D0229">
        <w:rPr>
          <w:lang w:eastAsia="en-US"/>
        </w:rPr>
        <w:t xml:space="preserve"> </w:t>
      </w:r>
      <w:r>
        <w:rPr>
          <w:lang w:eastAsia="en-US"/>
        </w:rPr>
        <w:t>futuro</w:t>
      </w:r>
      <w:r w:rsidR="003C19A7" w:rsidRPr="000D0229">
        <w:rPr>
          <w:lang w:eastAsia="en-US"/>
        </w:rPr>
        <w:t xml:space="preserve">s empleados </w:t>
      </w:r>
      <w:r w:rsidR="00831AD9" w:rsidRPr="000D0229">
        <w:rPr>
          <w:lang w:eastAsia="en-US"/>
        </w:rPr>
        <w:t>(</w:t>
      </w:r>
      <w:r w:rsidR="003C19A7" w:rsidRPr="000D0229">
        <w:rPr>
          <w:lang w:eastAsia="en-US"/>
        </w:rPr>
        <w:t>resumen del párrafo </w:t>
      </w:r>
      <w:r w:rsidR="00831AD9" w:rsidRPr="000D0229">
        <w:rPr>
          <w:lang w:eastAsia="en-US"/>
        </w:rPr>
        <w:t>30).</w:t>
      </w:r>
    </w:p>
    <w:p w:rsidR="00B45776" w:rsidRPr="000D0229" w:rsidRDefault="00B45776" w:rsidP="00831AD9">
      <w:pPr>
        <w:pStyle w:val="ONUME"/>
        <w:rPr>
          <w:lang w:eastAsia="en-US"/>
        </w:rPr>
      </w:pPr>
      <w:r w:rsidRPr="000D0229">
        <w:rPr>
          <w:lang w:eastAsia="en-US"/>
        </w:rPr>
        <w:t xml:space="preserve">Las pymes representan una gran proporción de las empresas y los empleadores de una nación, y aportan una contribución apreciable al producto interno bruto.  Sin embargo, el grado de participación de las pymes en los procesos de transferencia de tecnología puede ser desde casual hasta inexistente.  La mayor parte de las empresas, y en particular las pymes, no pueden justificar fácilmente o permitirse incurrir en gastos de inversión especulativa en actividades de investigación y desarrollo.  A causa de su menor volumen de ganancias y, por consiguiente su mayor limitación de recursos financieros, las pymes deben esforzarse </w:t>
      </w:r>
      <w:r w:rsidR="002412C8">
        <w:rPr>
          <w:lang w:eastAsia="en-US"/>
        </w:rPr>
        <w:t xml:space="preserve">mucho </w:t>
      </w:r>
      <w:r w:rsidRPr="000D0229">
        <w:rPr>
          <w:lang w:eastAsia="en-US"/>
        </w:rPr>
        <w:t xml:space="preserve">por participar en las actividades de investigación y desarrollo, colaboración y los consiguientes procesos de transferencias de tecnología.  Lamentablemente también a causa de ello, en ocasiones las pymes </w:t>
      </w:r>
      <w:r w:rsidR="002412C8">
        <w:rPr>
          <w:lang w:eastAsia="en-US"/>
        </w:rPr>
        <w:t>resultan</w:t>
      </w:r>
      <w:r w:rsidRPr="000D0229">
        <w:rPr>
          <w:lang w:eastAsia="en-US"/>
        </w:rPr>
        <w:t xml:space="preserve"> </w:t>
      </w:r>
      <w:r w:rsidR="002412C8" w:rsidRPr="000D0229">
        <w:rPr>
          <w:lang w:eastAsia="en-US"/>
        </w:rPr>
        <w:t>menos atractiv</w:t>
      </w:r>
      <w:r w:rsidR="000A1836">
        <w:rPr>
          <w:lang w:eastAsia="en-US"/>
        </w:rPr>
        <w:t>a</w:t>
      </w:r>
      <w:r w:rsidR="002412C8" w:rsidRPr="000D0229">
        <w:rPr>
          <w:lang w:eastAsia="en-US"/>
        </w:rPr>
        <w:t xml:space="preserve">s </w:t>
      </w:r>
      <w:r w:rsidR="002412C8">
        <w:rPr>
          <w:lang w:eastAsia="en-US"/>
        </w:rPr>
        <w:t xml:space="preserve">como </w:t>
      </w:r>
      <w:r w:rsidRPr="000D0229">
        <w:rPr>
          <w:lang w:eastAsia="en-US"/>
        </w:rPr>
        <w:t xml:space="preserve">asociados comerciales para las universidades y las organizaciones de investigación </w:t>
      </w:r>
      <w:r w:rsidR="00312F39" w:rsidRPr="000D0229">
        <w:rPr>
          <w:lang w:eastAsia="en-US"/>
        </w:rPr>
        <w:t>(resumen de los párrafos 31 a 33).</w:t>
      </w:r>
    </w:p>
    <w:p w:rsidR="00831AD9" w:rsidRPr="000D0229" w:rsidRDefault="009977F5" w:rsidP="00831AD9">
      <w:pPr>
        <w:pStyle w:val="ONUME"/>
        <w:rPr>
          <w:lang w:eastAsia="en-US"/>
        </w:rPr>
      </w:pPr>
      <w:r w:rsidRPr="000D0229">
        <w:rPr>
          <w:lang w:eastAsia="en-US"/>
        </w:rPr>
        <w:t xml:space="preserve">La </w:t>
      </w:r>
      <w:r w:rsidR="000D0229" w:rsidRPr="000D0229">
        <w:rPr>
          <w:lang w:eastAsia="en-US"/>
        </w:rPr>
        <w:t>infrautilización</w:t>
      </w:r>
      <w:r w:rsidRPr="000D0229">
        <w:rPr>
          <w:lang w:eastAsia="en-US"/>
        </w:rPr>
        <w:t xml:space="preserve"> de los procesos de transferencia de tecnología puede resolverse mediante una intervención política, y ese es el tema del presente documento (resumen de los párrafos 35 y 36)</w:t>
      </w:r>
      <w:r w:rsidR="00831AD9" w:rsidRPr="000D0229">
        <w:rPr>
          <w:lang w:eastAsia="en-US"/>
        </w:rPr>
        <w:t>.</w:t>
      </w:r>
    </w:p>
    <w:p w:rsidR="009977F5" w:rsidRPr="000D0229" w:rsidRDefault="009977F5" w:rsidP="00831AD9">
      <w:pPr>
        <w:pStyle w:val="ONUME"/>
        <w:rPr>
          <w:lang w:eastAsia="en-US"/>
        </w:rPr>
      </w:pPr>
      <w:r w:rsidRPr="000D0229">
        <w:rPr>
          <w:lang w:eastAsia="en-US"/>
        </w:rPr>
        <w:t xml:space="preserve">En muchos países las políticas fiscales sirven para estimular la investigación y el desarrollo y, como resultado de </w:t>
      </w:r>
      <w:r w:rsidR="0044223A" w:rsidRPr="000D0229">
        <w:rPr>
          <w:lang w:eastAsia="en-US"/>
        </w:rPr>
        <w:t xml:space="preserve">ello, la transferencia de tecnología.  Éstas pueden variar desde deducciones impositivas </w:t>
      </w:r>
      <w:r w:rsidR="002412C8">
        <w:rPr>
          <w:lang w:eastAsia="en-US"/>
        </w:rPr>
        <w:t xml:space="preserve">especiales </w:t>
      </w:r>
      <w:r w:rsidR="0044223A" w:rsidRPr="000D0229">
        <w:rPr>
          <w:lang w:eastAsia="en-US"/>
        </w:rPr>
        <w:t xml:space="preserve">hasta créditos y exenciones fiscales para los ingresos relacionados con la transferencia de tecnologías. Esto se describe en el Punto 2. </w:t>
      </w:r>
    </w:p>
    <w:p w:rsidR="00831AD9" w:rsidRPr="000D0229" w:rsidRDefault="0044223A" w:rsidP="00831AD9">
      <w:pPr>
        <w:pStyle w:val="ONUME"/>
        <w:rPr>
          <w:lang w:eastAsia="en-US"/>
        </w:rPr>
      </w:pPr>
      <w:r w:rsidRPr="000D0229">
        <w:rPr>
          <w:lang w:eastAsia="en-US"/>
        </w:rPr>
        <w:t>En el punto 3 se considera la función de las subvenciones a la investigación del lado de la demanda, esto es</w:t>
      </w:r>
      <w:r w:rsidR="000A1836">
        <w:rPr>
          <w:lang w:eastAsia="en-US"/>
        </w:rPr>
        <w:t>,</w:t>
      </w:r>
      <w:r w:rsidRPr="000D0229">
        <w:rPr>
          <w:lang w:eastAsia="en-US"/>
        </w:rPr>
        <w:t xml:space="preserve"> subvenciones para actividades de investigación y desarrollo </w:t>
      </w:r>
      <w:r w:rsidR="002412C8" w:rsidRPr="000D0229">
        <w:rPr>
          <w:lang w:eastAsia="en-US"/>
        </w:rPr>
        <w:t>conce</w:t>
      </w:r>
      <w:r w:rsidR="002412C8">
        <w:rPr>
          <w:lang w:eastAsia="en-US"/>
        </w:rPr>
        <w:t>d</w:t>
      </w:r>
      <w:r w:rsidR="002412C8" w:rsidRPr="000D0229">
        <w:rPr>
          <w:lang w:eastAsia="en-US"/>
        </w:rPr>
        <w:t>idas</w:t>
      </w:r>
      <w:r w:rsidRPr="000D0229">
        <w:rPr>
          <w:lang w:eastAsia="en-US"/>
        </w:rPr>
        <w:t xml:space="preserve"> teniendo en cuenta la posibilidad de aplicar </w:t>
      </w:r>
      <w:r w:rsidR="002412C8">
        <w:rPr>
          <w:lang w:eastAsia="en-US"/>
        </w:rPr>
        <w:t>en el sector</w:t>
      </w:r>
      <w:r w:rsidRPr="000D0229">
        <w:rPr>
          <w:lang w:eastAsia="en-US"/>
        </w:rPr>
        <w:t xml:space="preserve"> industrial los resultados dimanantes de las investigaciones que se financian.  </w:t>
      </w:r>
    </w:p>
    <w:p w:rsidR="00831AD9" w:rsidRPr="000D0229" w:rsidRDefault="0044223A" w:rsidP="00831AD9">
      <w:pPr>
        <w:pStyle w:val="ONUME"/>
        <w:rPr>
          <w:lang w:eastAsia="en-US"/>
        </w:rPr>
      </w:pPr>
      <w:r w:rsidRPr="000D0229">
        <w:rPr>
          <w:lang w:eastAsia="en-US"/>
        </w:rPr>
        <w:t>El acceso a la financiación puede ser un obstáculo para los esfuerzos tendientes a la transferencia de tecnología y en el Punto 4 se describen las políticas concebidas al respecto</w:t>
      </w:r>
      <w:r w:rsidR="00831AD9" w:rsidRPr="000D0229">
        <w:rPr>
          <w:lang w:eastAsia="en-US"/>
        </w:rPr>
        <w:t>.</w:t>
      </w:r>
    </w:p>
    <w:p w:rsidR="00831AD9" w:rsidRPr="000D0229" w:rsidRDefault="0044223A" w:rsidP="00831AD9">
      <w:pPr>
        <w:pStyle w:val="ONUME"/>
        <w:rPr>
          <w:lang w:eastAsia="en-US"/>
        </w:rPr>
      </w:pPr>
      <w:r w:rsidRPr="000D0229">
        <w:rPr>
          <w:lang w:eastAsia="en-US"/>
        </w:rPr>
        <w:t>En el Punto 5 se consideran las políticas cuyo objetivo es suprimir los riesgos de la investigación y el desarrollo, así como de la transferencia de tecnología, tales como la</w:t>
      </w:r>
      <w:r w:rsidR="002412C8">
        <w:rPr>
          <w:lang w:eastAsia="en-US"/>
        </w:rPr>
        <w:t>s políticas</w:t>
      </w:r>
      <w:r w:rsidRPr="000D0229">
        <w:rPr>
          <w:lang w:eastAsia="en-US"/>
        </w:rPr>
        <w:t xml:space="preserve"> </w:t>
      </w:r>
      <w:r w:rsidR="000A1836">
        <w:rPr>
          <w:lang w:eastAsia="en-US"/>
        </w:rPr>
        <w:t xml:space="preserve">de </w:t>
      </w:r>
      <w:r w:rsidRPr="000D0229">
        <w:rPr>
          <w:lang w:eastAsia="en-US"/>
        </w:rPr>
        <w:t>financiación de las pruebas de concepto</w:t>
      </w:r>
      <w:r w:rsidR="00831AD9" w:rsidRPr="000D0229">
        <w:rPr>
          <w:lang w:eastAsia="en-US"/>
        </w:rPr>
        <w:t>.</w:t>
      </w:r>
    </w:p>
    <w:p w:rsidR="00831AD9" w:rsidRPr="000D0229" w:rsidRDefault="0044223A" w:rsidP="00831AD9">
      <w:pPr>
        <w:pStyle w:val="ONUME"/>
        <w:rPr>
          <w:lang w:eastAsia="en-US"/>
        </w:rPr>
      </w:pPr>
      <w:r w:rsidRPr="000D0229">
        <w:rPr>
          <w:lang w:eastAsia="en-US"/>
        </w:rPr>
        <w:lastRenderedPageBreak/>
        <w:t>En el Punto 6 se describe el importante papel que pueden desempeñar los programas de adquisición</w:t>
      </w:r>
      <w:r w:rsidR="00324C1E" w:rsidRPr="000D0229">
        <w:rPr>
          <w:lang w:eastAsia="en-US"/>
        </w:rPr>
        <w:t xml:space="preserve"> estatales en el fomento de la investigación y el desarrollo y la transferencia de tecnologías</w:t>
      </w:r>
      <w:r w:rsidR="00831AD9" w:rsidRPr="000D0229">
        <w:rPr>
          <w:lang w:eastAsia="en-US"/>
        </w:rPr>
        <w:t>.</w:t>
      </w:r>
    </w:p>
    <w:p w:rsidR="00324C1E" w:rsidRPr="000D0229" w:rsidRDefault="00324C1E" w:rsidP="00831AD9">
      <w:pPr>
        <w:pStyle w:val="ONUME"/>
        <w:rPr>
          <w:lang w:eastAsia="en-US"/>
        </w:rPr>
      </w:pPr>
      <w:r w:rsidRPr="000D0229">
        <w:rPr>
          <w:lang w:eastAsia="en-US"/>
        </w:rPr>
        <w:t>En el Punto 7 se examinan las políticas destinadas a alentar el establecimiento de vínculos e</w:t>
      </w:r>
      <w:r w:rsidR="009E41DC">
        <w:rPr>
          <w:lang w:eastAsia="en-US"/>
        </w:rPr>
        <w:t>ntre los sectores universitario</w:t>
      </w:r>
      <w:r w:rsidRPr="000D0229">
        <w:rPr>
          <w:lang w:eastAsia="en-US"/>
        </w:rPr>
        <w:t xml:space="preserve"> y empresarial, lo que puede actuar como un catalizador de nuevas actividades de investigación y desarrollo y fomentar a su vez una mayor transferencia de tecnología</w:t>
      </w:r>
    </w:p>
    <w:p w:rsidR="000D0229" w:rsidRPr="000D0229" w:rsidRDefault="00324C1E" w:rsidP="000D0229">
      <w:pPr>
        <w:pStyle w:val="ONUME"/>
        <w:rPr>
          <w:lang w:eastAsia="en-US"/>
        </w:rPr>
      </w:pPr>
      <w:r w:rsidRPr="000D0229">
        <w:rPr>
          <w:lang w:eastAsia="en-US"/>
        </w:rPr>
        <w:t xml:space="preserve">A veces las negociaciones entre los círculos universitarios y empresariales pueden tener el </w:t>
      </w:r>
      <w:r w:rsidR="009E41DC">
        <w:rPr>
          <w:lang w:eastAsia="en-US"/>
        </w:rPr>
        <w:t>infeliz</w:t>
      </w:r>
      <w:r w:rsidRPr="000D0229">
        <w:rPr>
          <w:lang w:eastAsia="en-US"/>
        </w:rPr>
        <w:t xml:space="preserve"> resultado de disuadir nuevas interacciones.  Esto puede ocurrir cuando </w:t>
      </w:r>
      <w:r w:rsidR="000568D4" w:rsidRPr="000D0229">
        <w:rPr>
          <w:lang w:eastAsia="en-US"/>
        </w:rPr>
        <w:t xml:space="preserve">uno de ellos no aprecia cabalmente las necesidades del otro. En el Punto 8 se describen algunas iniciativas </w:t>
      </w:r>
      <w:r w:rsidR="000D0229" w:rsidRPr="000D0229">
        <w:rPr>
          <w:lang w:eastAsia="en-US"/>
        </w:rPr>
        <w:t>destinadas a superar esta dificultad.</w:t>
      </w:r>
    </w:p>
    <w:p w:rsidR="000D0229" w:rsidRPr="000D0229" w:rsidRDefault="000D0229" w:rsidP="000D0229">
      <w:pPr>
        <w:pStyle w:val="ONUME"/>
        <w:rPr>
          <w:lang w:eastAsia="en-US"/>
        </w:rPr>
      </w:pPr>
      <w:r w:rsidRPr="000D0229">
        <w:rPr>
          <w:lang w:eastAsia="en-US"/>
        </w:rPr>
        <w:t>El Punto 9 gira en torno a la transferencia de tecnología a escala internacional y el Artículo 66.2 del Acuerdo sobre los ADPIC.</w:t>
      </w:r>
    </w:p>
    <w:p w:rsidR="00831AD9" w:rsidRPr="000D0229" w:rsidRDefault="000D0229" w:rsidP="000D0229">
      <w:pPr>
        <w:pStyle w:val="ONUME"/>
        <w:rPr>
          <w:lang w:eastAsia="en-US"/>
        </w:rPr>
      </w:pPr>
      <w:r w:rsidRPr="000D0229">
        <w:rPr>
          <w:lang w:eastAsia="en-US"/>
        </w:rPr>
        <w:t xml:space="preserve">El Punto 10 concluye con la formulación de comentarios sobre la aplicación de algunas de </w:t>
      </w:r>
      <w:r w:rsidR="009E41DC">
        <w:rPr>
          <w:lang w:eastAsia="en-US"/>
        </w:rPr>
        <w:t>e</w:t>
      </w:r>
      <w:r w:rsidRPr="000D0229">
        <w:rPr>
          <w:lang w:eastAsia="en-US"/>
        </w:rPr>
        <w:t>stas políticas en países en desarrollo y menos adelantados, y ofrece alguna sugerencia y recomendaciones, sobre todo en lo tocante a medidas de política que podrían contribuir al logro de los objetivos consignados en el</w:t>
      </w:r>
      <w:r w:rsidR="00831AD9" w:rsidRPr="000D0229">
        <w:rPr>
          <w:lang w:eastAsia="en-US"/>
        </w:rPr>
        <w:t xml:space="preserve"> </w:t>
      </w:r>
      <w:r w:rsidRPr="000D0229">
        <w:rPr>
          <w:lang w:eastAsia="en-US"/>
        </w:rPr>
        <w:t>Artículo</w:t>
      </w:r>
      <w:r w:rsidR="00831AD9" w:rsidRPr="000D0229">
        <w:rPr>
          <w:lang w:eastAsia="en-US"/>
        </w:rPr>
        <w:t xml:space="preserve"> 66.2.</w:t>
      </w:r>
    </w:p>
    <w:p w:rsidR="000D0229" w:rsidRPr="000D0229" w:rsidRDefault="000D0229" w:rsidP="000D0229">
      <w:pPr>
        <w:pStyle w:val="ONUME"/>
        <w:rPr>
          <w:lang w:eastAsia="en-US"/>
        </w:rPr>
      </w:pPr>
      <w:r w:rsidRPr="000D0229">
        <w:rPr>
          <w:lang w:eastAsia="en-US"/>
        </w:rPr>
        <w:t xml:space="preserve">En cada uno de los puntos se describen los objetivos de la intervención política y se proporcionan </w:t>
      </w:r>
      <w:r w:rsidR="009E41DC">
        <w:rPr>
          <w:lang w:eastAsia="en-US"/>
        </w:rPr>
        <w:t xml:space="preserve">ciertos </w:t>
      </w:r>
      <w:r w:rsidRPr="000D0229">
        <w:rPr>
          <w:lang w:eastAsia="en-US"/>
        </w:rPr>
        <w:t xml:space="preserve">ejemplos de la aplicación con éxito de </w:t>
      </w:r>
      <w:r w:rsidR="000A1836">
        <w:rPr>
          <w:lang w:eastAsia="en-US"/>
        </w:rPr>
        <w:t>es</w:t>
      </w:r>
      <w:r w:rsidRPr="000D0229">
        <w:rPr>
          <w:lang w:eastAsia="en-US"/>
        </w:rPr>
        <w:t>as políticas en varios países.</w:t>
      </w:r>
    </w:p>
    <w:p w:rsidR="000D0229" w:rsidRPr="000D0229" w:rsidRDefault="000D0229" w:rsidP="000D0229">
      <w:pPr>
        <w:pStyle w:val="Endofdocument-Annex"/>
        <w:rPr>
          <w:lang w:val="es-ES" w:eastAsia="en-US"/>
        </w:rPr>
      </w:pPr>
      <w:r w:rsidRPr="000D0229">
        <w:rPr>
          <w:lang w:val="es-ES" w:eastAsia="en-US"/>
        </w:rPr>
        <w:t>[Sigue el Anexo II]</w:t>
      </w:r>
    </w:p>
    <w:p w:rsidR="00831AD9" w:rsidRPr="000D0229" w:rsidRDefault="00831AD9" w:rsidP="00831AD9">
      <w:pPr>
        <w:rPr>
          <w:lang w:eastAsia="en-US"/>
        </w:rPr>
      </w:pPr>
    </w:p>
    <w:p w:rsidR="00831AD9" w:rsidRPr="000D0229" w:rsidRDefault="00831AD9" w:rsidP="00831AD9">
      <w:pPr>
        <w:pStyle w:val="ONUME"/>
        <w:numPr>
          <w:ilvl w:val="0"/>
          <w:numId w:val="0"/>
        </w:numPr>
        <w:rPr>
          <w:lang w:eastAsia="en-US"/>
        </w:rPr>
      </w:pPr>
    </w:p>
    <w:p w:rsidR="00831AD9" w:rsidRPr="00036CB8" w:rsidRDefault="00831AD9" w:rsidP="00831AD9">
      <w:pPr>
        <w:pStyle w:val="Endofdocument-Annex"/>
        <w:rPr>
          <w:lang w:val="es-ES"/>
        </w:rPr>
        <w:sectPr w:rsidR="00831AD9" w:rsidRPr="00036CB8" w:rsidSect="004675A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036CB8" w:rsidRPr="00036CB8" w:rsidRDefault="00861F50" w:rsidP="00831AD9">
      <w:pPr>
        <w:pStyle w:val="Heading1"/>
        <w:rPr>
          <w:lang w:eastAsia="en-US"/>
        </w:rPr>
      </w:pPr>
      <w:r>
        <w:rPr>
          <w:lang w:eastAsia="en-US"/>
        </w:rPr>
        <w:lastRenderedPageBreak/>
        <w:t>EXAMEN</w:t>
      </w:r>
      <w:r w:rsidR="00036CB8" w:rsidRPr="00036CB8">
        <w:rPr>
          <w:lang w:eastAsia="en-US"/>
        </w:rPr>
        <w:t xml:space="preserve"> DEL ESTUDIO (D)</w:t>
      </w:r>
      <w:r w:rsidR="00036CB8">
        <w:rPr>
          <w:lang w:eastAsia="en-US"/>
        </w:rPr>
        <w:t xml:space="preserve">: </w:t>
      </w:r>
      <w:r w:rsidR="00036CB8" w:rsidRPr="00036CB8">
        <w:rPr>
          <w:lang w:eastAsia="en-US"/>
        </w:rPr>
        <w:t>Philip Mendes,</w:t>
      </w:r>
      <w:r w:rsidR="00036CB8">
        <w:rPr>
          <w:lang w:eastAsia="en-US"/>
        </w:rPr>
        <w:t xml:space="preserve"> “</w:t>
      </w:r>
      <w:r w:rsidRPr="00B01180">
        <w:rPr>
          <w:lang w:eastAsia="en-US"/>
        </w:rPr>
        <w:t>POLÍTICAS QUE FOMENT</w:t>
      </w:r>
      <w:r w:rsidR="000A1836">
        <w:rPr>
          <w:lang w:eastAsia="en-US"/>
        </w:rPr>
        <w:t>A</w:t>
      </w:r>
      <w:r w:rsidRPr="00B01180">
        <w:rPr>
          <w:lang w:eastAsia="en-US"/>
        </w:rPr>
        <w:t>N LA PARTICIPACIÓN DE LAS EMPRESAS EN LA TRANSFERENCIA DE TECNOLOGÍA</w:t>
      </w:r>
      <w:r w:rsidR="00036CB8">
        <w:rPr>
          <w:szCs w:val="22"/>
        </w:rPr>
        <w:t>”</w:t>
      </w:r>
    </w:p>
    <w:p w:rsidR="00831AD9" w:rsidRPr="00036CB8" w:rsidRDefault="00861F50" w:rsidP="00831AD9">
      <w:pPr>
        <w:pStyle w:val="Heading1"/>
        <w:rPr>
          <w:lang w:eastAsia="en-US"/>
        </w:rPr>
      </w:pPr>
      <w:r>
        <w:rPr>
          <w:lang w:eastAsia="en-US"/>
        </w:rPr>
        <w:t>EXAMINADOR</w:t>
      </w:r>
      <w:proofErr w:type="gramStart"/>
      <w:r w:rsidR="00831AD9" w:rsidRPr="00B01180">
        <w:t>:  DR</w:t>
      </w:r>
      <w:proofErr w:type="gramEnd"/>
      <w:r w:rsidR="00831AD9" w:rsidRPr="00B01180">
        <w:t xml:space="preserve">. </w:t>
      </w:r>
      <w:r w:rsidR="00831AD9" w:rsidRPr="00036CB8">
        <w:rPr>
          <w:lang w:eastAsia="en-US"/>
        </w:rPr>
        <w:t xml:space="preserve">Nikolaus Thumm, </w:t>
      </w:r>
      <w:r w:rsidR="00036CB8" w:rsidRPr="00036CB8">
        <w:rPr>
          <w:lang w:eastAsia="en-US"/>
        </w:rPr>
        <w:t xml:space="preserve">cENTRO CONJUNTO DE INVESTIGACIÓN DE LA COMINISIÓN EUROPEA, sEVILLA, eSPAÑA  </w:t>
      </w:r>
    </w:p>
    <w:p w:rsidR="00831AD9" w:rsidRPr="00B86749" w:rsidRDefault="00B77B78" w:rsidP="00831AD9">
      <w:pPr>
        <w:pStyle w:val="Heading2"/>
        <w:rPr>
          <w:lang w:eastAsia="en-US"/>
        </w:rPr>
      </w:pPr>
      <w:r w:rsidRPr="00B01180">
        <w:rPr>
          <w:lang w:eastAsia="en-US"/>
        </w:rPr>
        <w:t>Estructura</w:t>
      </w:r>
    </w:p>
    <w:p w:rsidR="00036CB8" w:rsidRDefault="00036CB8" w:rsidP="00831AD9">
      <w:pPr>
        <w:pStyle w:val="ONUME"/>
        <w:numPr>
          <w:ilvl w:val="0"/>
          <w:numId w:val="0"/>
        </w:numPr>
        <w:rPr>
          <w:lang w:eastAsia="en-US"/>
        </w:rPr>
      </w:pPr>
      <w:r w:rsidRPr="00036CB8">
        <w:rPr>
          <w:lang w:eastAsia="en-US"/>
        </w:rPr>
        <w:t xml:space="preserve">El informe está estructurado claramente y </w:t>
      </w:r>
      <w:r w:rsidR="00861F50">
        <w:rPr>
          <w:lang w:eastAsia="en-US"/>
        </w:rPr>
        <w:t>su</w:t>
      </w:r>
      <w:r w:rsidR="00861F50" w:rsidRPr="00036CB8">
        <w:rPr>
          <w:lang w:eastAsia="en-US"/>
        </w:rPr>
        <w:t xml:space="preserve"> </w:t>
      </w:r>
      <w:r w:rsidRPr="00036CB8">
        <w:rPr>
          <w:lang w:eastAsia="en-US"/>
        </w:rPr>
        <w:t>legibilidad.</w:t>
      </w:r>
      <w:r>
        <w:rPr>
          <w:lang w:eastAsia="en-US"/>
        </w:rPr>
        <w:t xml:space="preserve">  El resumen podría ampliarse, pues en su forma actual es más que nada una introducción.  Contiene una muy buena reseña sobre los medios para la transferencia de tecnología en general</w:t>
      </w:r>
      <w:r w:rsidR="00861F50">
        <w:rPr>
          <w:lang w:eastAsia="en-US"/>
        </w:rPr>
        <w:t>.</w:t>
      </w:r>
    </w:p>
    <w:p w:rsidR="00831AD9" w:rsidRPr="00036CB8" w:rsidRDefault="00036CB8" w:rsidP="00831AD9">
      <w:pPr>
        <w:pStyle w:val="Heading2"/>
        <w:rPr>
          <w:lang w:eastAsia="en-US"/>
        </w:rPr>
      </w:pPr>
      <w:r w:rsidRPr="00036CB8">
        <w:rPr>
          <w:lang w:eastAsia="en-US"/>
        </w:rPr>
        <w:t>Principal contribución a los derechos de P.I.</w:t>
      </w:r>
    </w:p>
    <w:p w:rsidR="00831AD9" w:rsidRPr="00036CB8" w:rsidRDefault="00036CB8" w:rsidP="00831AD9">
      <w:pPr>
        <w:pStyle w:val="ONUME"/>
        <w:numPr>
          <w:ilvl w:val="0"/>
          <w:numId w:val="0"/>
        </w:numPr>
        <w:rPr>
          <w:lang w:eastAsia="en-US"/>
        </w:rPr>
      </w:pPr>
      <w:r w:rsidRPr="00036CB8">
        <w:rPr>
          <w:lang w:eastAsia="en-US"/>
        </w:rPr>
        <w:t xml:space="preserve">El eje es la transferencia de tecnología. </w:t>
      </w:r>
      <w:r>
        <w:rPr>
          <w:lang w:eastAsia="en-US"/>
        </w:rPr>
        <w:t xml:space="preserve"> Si la OMPI </w:t>
      </w:r>
      <w:r w:rsidR="008E65C5">
        <w:rPr>
          <w:lang w:eastAsia="en-US"/>
        </w:rPr>
        <w:t xml:space="preserve">desea </w:t>
      </w:r>
      <w:r w:rsidR="00861F50">
        <w:rPr>
          <w:lang w:eastAsia="en-US"/>
        </w:rPr>
        <w:t>que se adopte</w:t>
      </w:r>
      <w:r>
        <w:rPr>
          <w:lang w:eastAsia="en-US"/>
        </w:rPr>
        <w:t xml:space="preserve"> un enfoque más específico en la función de los derechos de P.I. en la transferencia de tecnología, habría que seguir elaborando el texto.</w:t>
      </w:r>
    </w:p>
    <w:p w:rsidR="00831AD9" w:rsidRPr="00036CB8" w:rsidRDefault="00036CB8" w:rsidP="00831AD9">
      <w:pPr>
        <w:pStyle w:val="Heading2"/>
        <w:rPr>
          <w:lang w:eastAsia="en-US"/>
        </w:rPr>
      </w:pPr>
      <w:r w:rsidRPr="00036CB8">
        <w:rPr>
          <w:lang w:eastAsia="en-US"/>
        </w:rPr>
        <w:t>Lagunas</w:t>
      </w:r>
    </w:p>
    <w:p w:rsidR="00036CB8" w:rsidRPr="00036CB8" w:rsidRDefault="00036CB8" w:rsidP="00831AD9">
      <w:pPr>
        <w:pStyle w:val="ONUME"/>
        <w:numPr>
          <w:ilvl w:val="0"/>
          <w:numId w:val="0"/>
        </w:numPr>
        <w:rPr>
          <w:lang w:eastAsia="en-US"/>
        </w:rPr>
      </w:pPr>
      <w:r w:rsidRPr="00036CB8">
        <w:rPr>
          <w:lang w:eastAsia="en-US"/>
        </w:rPr>
        <w:t>La mayoría de los ejemplos se refieren a inc</w:t>
      </w:r>
      <w:r>
        <w:rPr>
          <w:lang w:eastAsia="en-US"/>
        </w:rPr>
        <w:t xml:space="preserve">entivos gubernamentales a la inversión en actividades de investigación y desarrollo, y no concretamente </w:t>
      </w:r>
      <w:r w:rsidR="00861F50">
        <w:rPr>
          <w:lang w:eastAsia="en-US"/>
        </w:rPr>
        <w:t>a</w:t>
      </w:r>
      <w:r>
        <w:rPr>
          <w:lang w:eastAsia="en-US"/>
        </w:rPr>
        <w:t xml:space="preserve"> los mecanismos de transferencia de tecnología.  Un aumento de la </w:t>
      </w:r>
      <w:r w:rsidR="00861F50">
        <w:rPr>
          <w:lang w:eastAsia="en-US"/>
        </w:rPr>
        <w:t>I</w:t>
      </w:r>
      <w:r>
        <w:rPr>
          <w:lang w:eastAsia="en-US"/>
        </w:rPr>
        <w:t xml:space="preserve">+D podría dar lugar a un aumento de </w:t>
      </w:r>
      <w:r w:rsidR="00861F50">
        <w:rPr>
          <w:lang w:eastAsia="en-US"/>
        </w:rPr>
        <w:t xml:space="preserve">la </w:t>
      </w:r>
      <w:r>
        <w:rPr>
          <w:lang w:eastAsia="en-US"/>
        </w:rPr>
        <w:t>transferencia de tecnología, pero eso no ocurre forzosamente</w:t>
      </w:r>
      <w:r w:rsidR="00861F50">
        <w:rPr>
          <w:lang w:eastAsia="en-US"/>
        </w:rPr>
        <w:t>,</w:t>
      </w:r>
      <w:r w:rsidR="00780B2A">
        <w:rPr>
          <w:lang w:eastAsia="en-US"/>
        </w:rPr>
        <w:t xml:space="preserve"> puesto que el proceso de innovación no es un proceso lineal de insumo/producto.  Se trata de estructuras más complejas, y aquí es precisamente donde entra en juego por ejemplo la función de los derechos de P.I.  Se podría abundar en todos estos aspectos</w:t>
      </w:r>
    </w:p>
    <w:p w:rsidR="00831AD9" w:rsidRPr="00780B2A" w:rsidRDefault="00861F50" w:rsidP="00831AD9">
      <w:pPr>
        <w:pStyle w:val="Heading2"/>
        <w:rPr>
          <w:lang w:eastAsia="en-US"/>
        </w:rPr>
      </w:pPr>
      <w:r>
        <w:rPr>
          <w:lang w:eastAsia="en-US"/>
        </w:rPr>
        <w:t>ORIENTACIÓN</w:t>
      </w:r>
      <w:r w:rsidR="00780B2A">
        <w:rPr>
          <w:lang w:eastAsia="en-US"/>
        </w:rPr>
        <w:t xml:space="preserve"> </w:t>
      </w:r>
      <w:r w:rsidR="000A1836">
        <w:rPr>
          <w:lang w:eastAsia="en-US"/>
        </w:rPr>
        <w:t>SOBRE LOS DERECHOS DE P.I. DESTINADA A LOS</w:t>
      </w:r>
      <w:r w:rsidR="00780B2A">
        <w:rPr>
          <w:lang w:eastAsia="en-US"/>
        </w:rPr>
        <w:t xml:space="preserve"> </w:t>
      </w:r>
      <w:r>
        <w:rPr>
          <w:lang w:eastAsia="en-US"/>
        </w:rPr>
        <w:t xml:space="preserve">ENCARGADOS DE FORMULAR </w:t>
      </w:r>
      <w:r w:rsidR="00780B2A">
        <w:rPr>
          <w:lang w:eastAsia="en-US"/>
        </w:rPr>
        <w:t>POLÍTIC</w:t>
      </w:r>
      <w:r>
        <w:rPr>
          <w:lang w:eastAsia="en-US"/>
        </w:rPr>
        <w:t>A</w:t>
      </w:r>
      <w:r w:rsidR="000A1836">
        <w:rPr>
          <w:lang w:eastAsia="en-US"/>
        </w:rPr>
        <w:t>S</w:t>
      </w:r>
      <w:r w:rsidR="00780B2A">
        <w:rPr>
          <w:lang w:eastAsia="en-US"/>
        </w:rPr>
        <w:t xml:space="preserve"> </w:t>
      </w:r>
    </w:p>
    <w:p w:rsidR="00831AD9" w:rsidRPr="00780B2A" w:rsidRDefault="00780B2A" w:rsidP="00831AD9">
      <w:pPr>
        <w:pStyle w:val="ONUME"/>
        <w:numPr>
          <w:ilvl w:val="0"/>
          <w:numId w:val="0"/>
        </w:numPr>
        <w:rPr>
          <w:lang w:eastAsia="en-US"/>
        </w:rPr>
      </w:pPr>
      <w:r w:rsidRPr="00780B2A">
        <w:rPr>
          <w:lang w:eastAsia="en-US"/>
        </w:rPr>
        <w:t>Según se indicó anteriormente, si la OMPI así lo desea se podría intensificar la convergencia en los derechos de P</w:t>
      </w:r>
      <w:r>
        <w:rPr>
          <w:lang w:eastAsia="en-US"/>
        </w:rPr>
        <w:t>.</w:t>
      </w:r>
      <w:r w:rsidRPr="00780B2A">
        <w:rPr>
          <w:lang w:eastAsia="en-US"/>
        </w:rPr>
        <w:t>I</w:t>
      </w:r>
      <w:r w:rsidR="00831AD9" w:rsidRPr="00780B2A">
        <w:rPr>
          <w:lang w:eastAsia="en-US"/>
        </w:rPr>
        <w:t>.</w:t>
      </w:r>
    </w:p>
    <w:p w:rsidR="00831AD9" w:rsidRPr="00780B2A" w:rsidRDefault="00780B2A" w:rsidP="00831AD9">
      <w:pPr>
        <w:pStyle w:val="Heading2"/>
        <w:rPr>
          <w:lang w:eastAsia="en-US"/>
        </w:rPr>
      </w:pPr>
      <w:r w:rsidRPr="00780B2A">
        <w:rPr>
          <w:lang w:eastAsia="en-US"/>
        </w:rPr>
        <w:t>Recomendación/evaluación general</w:t>
      </w:r>
    </w:p>
    <w:p w:rsidR="00831AD9" w:rsidRPr="00780B2A" w:rsidRDefault="00780B2A" w:rsidP="00831AD9">
      <w:pPr>
        <w:pStyle w:val="ONUME"/>
        <w:numPr>
          <w:ilvl w:val="0"/>
          <w:numId w:val="0"/>
        </w:numPr>
        <w:rPr>
          <w:lang w:eastAsia="en-US"/>
        </w:rPr>
      </w:pPr>
      <w:r w:rsidRPr="00780B2A">
        <w:rPr>
          <w:lang w:eastAsia="en-US"/>
        </w:rPr>
        <w:t>Buen panorama general</w:t>
      </w:r>
      <w:r>
        <w:rPr>
          <w:lang w:eastAsia="en-US"/>
        </w:rPr>
        <w:t xml:space="preserve"> y</w:t>
      </w:r>
      <w:r w:rsidRPr="00780B2A">
        <w:rPr>
          <w:lang w:eastAsia="en-US"/>
        </w:rPr>
        <w:t xml:space="preserve"> ejemplos nacionales ilustrativos</w:t>
      </w:r>
      <w:r>
        <w:rPr>
          <w:lang w:eastAsia="en-US"/>
        </w:rPr>
        <w:t>.</w:t>
      </w:r>
    </w:p>
    <w:p w:rsidR="00831AD9" w:rsidRPr="00780B2A" w:rsidRDefault="00780B2A" w:rsidP="00831AD9">
      <w:pPr>
        <w:pStyle w:val="ONUME"/>
        <w:numPr>
          <w:ilvl w:val="0"/>
          <w:numId w:val="0"/>
        </w:numPr>
        <w:rPr>
          <w:lang w:eastAsia="en-US"/>
        </w:rPr>
      </w:pPr>
      <w:r>
        <w:rPr>
          <w:lang w:eastAsia="en-US"/>
        </w:rPr>
        <w:t>Se ruega revisar el resumen para incluir las principales conclusiones del informe</w:t>
      </w:r>
      <w:r w:rsidR="00831AD9" w:rsidRPr="00780B2A">
        <w:rPr>
          <w:lang w:eastAsia="en-US"/>
        </w:rPr>
        <w:t>.</w:t>
      </w:r>
    </w:p>
    <w:p w:rsidR="00831AD9" w:rsidRPr="00780B2A" w:rsidRDefault="00780B2A" w:rsidP="00831AD9">
      <w:pPr>
        <w:pStyle w:val="ONUME"/>
        <w:numPr>
          <w:ilvl w:val="0"/>
          <w:numId w:val="0"/>
        </w:numPr>
        <w:rPr>
          <w:lang w:eastAsia="en-US"/>
        </w:rPr>
      </w:pPr>
      <w:r w:rsidRPr="00780B2A">
        <w:rPr>
          <w:lang w:eastAsia="en-US"/>
        </w:rPr>
        <w:t>Si la OMPI así lo desea</w:t>
      </w:r>
      <w:r w:rsidR="00831AD9" w:rsidRPr="00780B2A">
        <w:rPr>
          <w:lang w:eastAsia="en-US"/>
        </w:rPr>
        <w:t>,</w:t>
      </w:r>
      <w:r w:rsidRPr="00780B2A">
        <w:rPr>
          <w:lang w:eastAsia="en-US"/>
        </w:rPr>
        <w:t xml:space="preserve"> abundar en la funci</w:t>
      </w:r>
      <w:r>
        <w:rPr>
          <w:lang w:eastAsia="en-US"/>
        </w:rPr>
        <w:t xml:space="preserve">ón específica de los derechos de P.I. en la </w:t>
      </w:r>
      <w:r w:rsidR="00B77B78">
        <w:rPr>
          <w:lang w:eastAsia="en-US"/>
        </w:rPr>
        <w:t>transferencia</w:t>
      </w:r>
      <w:r>
        <w:rPr>
          <w:lang w:eastAsia="en-US"/>
        </w:rPr>
        <w:t xml:space="preserve"> de tecnología.</w:t>
      </w:r>
    </w:p>
    <w:p w:rsidR="00831AD9" w:rsidRPr="00780B2A" w:rsidRDefault="00831AD9" w:rsidP="00831AD9"/>
    <w:p w:rsidR="00831AD9" w:rsidRPr="00780B2A" w:rsidRDefault="00831AD9" w:rsidP="00831AD9"/>
    <w:p w:rsidR="00831AD9" w:rsidRPr="00780B2A" w:rsidRDefault="00831AD9" w:rsidP="00831AD9"/>
    <w:p w:rsidR="00831AD9" w:rsidRPr="00B77B78" w:rsidRDefault="00831AD9" w:rsidP="00831AD9">
      <w:pPr>
        <w:pStyle w:val="Endofdocument-Annex"/>
        <w:rPr>
          <w:lang w:val="es-ES"/>
        </w:rPr>
      </w:pPr>
      <w:r w:rsidRPr="00B77B78">
        <w:rPr>
          <w:lang w:val="es-ES"/>
        </w:rPr>
        <w:t>[</w:t>
      </w:r>
      <w:r w:rsidR="00780B2A" w:rsidRPr="00B77B78">
        <w:rPr>
          <w:lang w:val="es-ES"/>
        </w:rPr>
        <w:t>Fin del Anexo II y del documento</w:t>
      </w:r>
      <w:r w:rsidRPr="00B77B78">
        <w:rPr>
          <w:lang w:val="es-ES"/>
        </w:rPr>
        <w:t>]</w:t>
      </w:r>
    </w:p>
    <w:p w:rsidR="00152CEA" w:rsidRPr="00B77B78" w:rsidRDefault="00152CEA" w:rsidP="00831AD9">
      <w:pPr>
        <w:pStyle w:val="Heading1"/>
      </w:pPr>
    </w:p>
    <w:sectPr w:rsidR="00152CEA" w:rsidRPr="00B77B78" w:rsidSect="005C4C26">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6C" w:rsidRDefault="00902A6C">
      <w:r>
        <w:separator/>
      </w:r>
    </w:p>
  </w:endnote>
  <w:endnote w:type="continuationSeparator" w:id="0">
    <w:p w:rsidR="00902A6C" w:rsidRPr="009D30E6" w:rsidRDefault="00902A6C" w:rsidP="007E663E">
      <w:pPr>
        <w:rPr>
          <w:sz w:val="17"/>
          <w:szCs w:val="17"/>
        </w:rPr>
      </w:pPr>
      <w:r w:rsidRPr="009D30E6">
        <w:rPr>
          <w:sz w:val="17"/>
          <w:szCs w:val="17"/>
        </w:rPr>
        <w:separator/>
      </w:r>
    </w:p>
    <w:p w:rsidR="00902A6C" w:rsidRPr="007E663E" w:rsidRDefault="00902A6C" w:rsidP="007E663E">
      <w:pPr>
        <w:spacing w:after="60"/>
        <w:rPr>
          <w:sz w:val="17"/>
          <w:szCs w:val="17"/>
        </w:rPr>
      </w:pPr>
      <w:r>
        <w:rPr>
          <w:sz w:val="17"/>
        </w:rPr>
        <w:t>[Continuación de la nota de la página anterior]</w:t>
      </w:r>
    </w:p>
  </w:endnote>
  <w:endnote w:type="continuationNotice" w:id="1">
    <w:p w:rsidR="00902A6C" w:rsidRPr="007E663E" w:rsidRDefault="00902A6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6C" w:rsidRDefault="00902A6C">
      <w:r>
        <w:separator/>
      </w:r>
    </w:p>
  </w:footnote>
  <w:footnote w:type="continuationSeparator" w:id="0">
    <w:p w:rsidR="00902A6C" w:rsidRPr="009D30E6" w:rsidRDefault="00902A6C" w:rsidP="007E663E">
      <w:pPr>
        <w:rPr>
          <w:sz w:val="17"/>
          <w:szCs w:val="17"/>
        </w:rPr>
      </w:pPr>
      <w:r w:rsidRPr="009D30E6">
        <w:rPr>
          <w:sz w:val="17"/>
          <w:szCs w:val="17"/>
        </w:rPr>
        <w:separator/>
      </w:r>
    </w:p>
    <w:p w:rsidR="00902A6C" w:rsidRPr="007E663E" w:rsidRDefault="00902A6C" w:rsidP="007E663E">
      <w:pPr>
        <w:spacing w:after="60"/>
        <w:rPr>
          <w:sz w:val="17"/>
          <w:szCs w:val="17"/>
        </w:rPr>
      </w:pPr>
      <w:r>
        <w:rPr>
          <w:sz w:val="17"/>
        </w:rPr>
        <w:t>[Continuación de la nota de la página anterior]</w:t>
      </w:r>
    </w:p>
  </w:footnote>
  <w:footnote w:type="continuationNotice" w:id="1">
    <w:p w:rsidR="00902A6C" w:rsidRPr="007E663E" w:rsidRDefault="00902A6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C6" w:rsidRPr="002F77F1" w:rsidRDefault="005524C6" w:rsidP="00223F1D">
    <w:pPr>
      <w:jc w:val="right"/>
    </w:pPr>
    <w:r w:rsidRPr="002F77F1">
      <w:rPr>
        <w:lang w:val="es-ES_tradnl"/>
      </w:rPr>
      <w:t>CDIP/14/INF/8</w:t>
    </w:r>
  </w:p>
  <w:p w:rsidR="005524C6" w:rsidRPr="002F77F1" w:rsidRDefault="005524C6" w:rsidP="00223F1D">
    <w:pPr>
      <w:jc w:val="right"/>
    </w:pPr>
    <w:r w:rsidRPr="002F77F1">
      <w:rPr>
        <w:lang w:val="es-ES_tradnl"/>
      </w:rPr>
      <w:t>Anexo III, página 9</w:t>
    </w:r>
  </w:p>
  <w:p w:rsidR="005524C6" w:rsidRDefault="005524C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D9" w:rsidRPr="00831AD9" w:rsidRDefault="00831AD9" w:rsidP="004A36D3">
    <w:pPr>
      <w:jc w:val="right"/>
      <w:rPr>
        <w:lang w:val="en-US"/>
      </w:rPr>
    </w:pPr>
    <w:r w:rsidRPr="00831AD9">
      <w:rPr>
        <w:lang w:val="en-US"/>
      </w:rPr>
      <w:t>CDIP/14/INF/10</w:t>
    </w:r>
  </w:p>
  <w:p w:rsidR="00831AD9" w:rsidRPr="00831AD9" w:rsidRDefault="00831AD9" w:rsidP="00477D6B">
    <w:pPr>
      <w:jc w:val="right"/>
      <w:rPr>
        <w:lang w:val="en-US"/>
      </w:rPr>
    </w:pPr>
    <w:proofErr w:type="spellStart"/>
    <w:r w:rsidRPr="00831AD9">
      <w:rPr>
        <w:lang w:val="en-US"/>
      </w:rPr>
      <w:t>Anex</w:t>
    </w:r>
    <w:r w:rsidR="004507ED">
      <w:rPr>
        <w:lang w:val="en-US"/>
      </w:rPr>
      <w:t>o</w:t>
    </w:r>
    <w:proofErr w:type="spellEnd"/>
    <w:r w:rsidRPr="00831AD9">
      <w:rPr>
        <w:lang w:val="en-US"/>
      </w:rPr>
      <w:t xml:space="preserve"> I, </w:t>
    </w:r>
    <w:proofErr w:type="spellStart"/>
    <w:r w:rsidRPr="00831AD9">
      <w:rPr>
        <w:lang w:val="en-US"/>
      </w:rPr>
      <w:t>p</w:t>
    </w:r>
    <w:r w:rsidR="004507ED">
      <w:rPr>
        <w:lang w:val="en-US"/>
      </w:rPr>
      <w:t>ágina</w:t>
    </w:r>
    <w:proofErr w:type="spellEnd"/>
    <w:r w:rsidRPr="00831AD9">
      <w:rPr>
        <w:lang w:val="en-US"/>
      </w:rPr>
      <w:t xml:space="preserve"> </w:t>
    </w:r>
    <w:r>
      <w:fldChar w:fldCharType="begin"/>
    </w:r>
    <w:r w:rsidRPr="00831AD9">
      <w:rPr>
        <w:lang w:val="en-US"/>
      </w:rPr>
      <w:instrText xml:space="preserve"> PAGE  \* MERGEFORMAT </w:instrText>
    </w:r>
    <w:r>
      <w:fldChar w:fldCharType="separate"/>
    </w:r>
    <w:r w:rsidR="001041FB">
      <w:rPr>
        <w:noProof/>
        <w:lang w:val="en-US"/>
      </w:rPr>
      <w:t>3</w:t>
    </w:r>
    <w:r>
      <w:fldChar w:fldCharType="end"/>
    </w:r>
  </w:p>
  <w:p w:rsidR="00831AD9" w:rsidRPr="00831AD9" w:rsidRDefault="00831AD9"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D9" w:rsidRDefault="00831AD9" w:rsidP="004A36D3">
    <w:pPr>
      <w:jc w:val="right"/>
    </w:pPr>
    <w:r>
      <w:t>CDIP/14/INF/10</w:t>
    </w:r>
  </w:p>
  <w:p w:rsidR="00831AD9" w:rsidRDefault="004507ED" w:rsidP="004675A2">
    <w:pPr>
      <w:jc w:val="right"/>
    </w:pPr>
    <w:r>
      <w:t>AN</w:t>
    </w:r>
    <w:r w:rsidR="00831AD9">
      <w:t>EX</w:t>
    </w:r>
    <w:r>
      <w:t>O</w:t>
    </w:r>
    <w:r w:rsidR="00831AD9">
      <w:t xml:space="preserve"> I</w:t>
    </w:r>
  </w:p>
  <w:p w:rsidR="00831AD9" w:rsidRDefault="00831A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9" w:rsidRPr="00077173" w:rsidRDefault="004C0263" w:rsidP="00477D6B">
    <w:pPr>
      <w:jc w:val="right"/>
      <w:rPr>
        <w:lang w:val="fr-CH"/>
      </w:rPr>
    </w:pPr>
    <w:r w:rsidRPr="00077173">
      <w:rPr>
        <w:lang w:val="fr-CH"/>
      </w:rPr>
      <w:t>CDIP/14/XX</w:t>
    </w:r>
  </w:p>
  <w:p w:rsidR="008D4229" w:rsidRPr="00077173" w:rsidRDefault="004C0263" w:rsidP="00477D6B">
    <w:pPr>
      <w:jc w:val="right"/>
      <w:rPr>
        <w:lang w:val="fr-CH"/>
      </w:rPr>
    </w:pPr>
    <w:r w:rsidRPr="00077173">
      <w:rPr>
        <w:lang w:val="fr-CH"/>
      </w:rPr>
      <w:t xml:space="preserve">ANNEX II, page </w:t>
    </w:r>
    <w:r>
      <w:fldChar w:fldCharType="begin"/>
    </w:r>
    <w:r w:rsidRPr="00077173">
      <w:rPr>
        <w:lang w:val="fr-CH"/>
      </w:rPr>
      <w:instrText xml:space="preserve"> PAGE   \* MERGEFORMAT </w:instrText>
    </w:r>
    <w:r>
      <w:fldChar w:fldCharType="separate"/>
    </w:r>
    <w:r w:rsidR="001B0671">
      <w:rPr>
        <w:noProof/>
        <w:lang w:val="fr-CH"/>
      </w:rPr>
      <w:t>2</w:t>
    </w:r>
    <w:r>
      <w:rPr>
        <w:noProof/>
      </w:rPr>
      <w:fldChar w:fldCharType="end"/>
    </w:r>
  </w:p>
  <w:p w:rsidR="008D4229" w:rsidRPr="00077173" w:rsidRDefault="001041FB"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9" w:rsidRDefault="004C0263" w:rsidP="004A36D3">
    <w:pPr>
      <w:jc w:val="right"/>
    </w:pPr>
    <w:r>
      <w:t>CDIP/14/INF/10</w:t>
    </w:r>
  </w:p>
  <w:p w:rsidR="008D4229" w:rsidRDefault="00036CB8" w:rsidP="00B553C8">
    <w:pPr>
      <w:jc w:val="right"/>
    </w:pPr>
    <w:r>
      <w:t>A</w:t>
    </w:r>
    <w:r w:rsidR="004C0263">
      <w:t>NEX</w:t>
    </w:r>
    <w:r>
      <w:t>O</w:t>
    </w:r>
    <w:r w:rsidR="004C0263">
      <w:t xml:space="preserve"> II</w:t>
    </w:r>
  </w:p>
  <w:p w:rsidR="008D4229" w:rsidRDefault="00104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FF3C26E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A006F6"/>
    <w:multiLevelType w:val="hybridMultilevel"/>
    <w:tmpl w:val="5F08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12C5"/>
    <w:multiLevelType w:val="multilevel"/>
    <w:tmpl w:val="A2A641F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132614C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FE87853"/>
    <w:multiLevelType w:val="multilevel"/>
    <w:tmpl w:val="A0322B6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003553"/>
    <w:multiLevelType w:val="hybridMultilevel"/>
    <w:tmpl w:val="CE0AEC40"/>
    <w:lvl w:ilvl="0" w:tplc="FFFFFFFF">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2"/>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6C"/>
    <w:rsid w:val="00010686"/>
    <w:rsid w:val="00036CB8"/>
    <w:rsid w:val="00052915"/>
    <w:rsid w:val="000568D4"/>
    <w:rsid w:val="000A1836"/>
    <w:rsid w:val="000B714B"/>
    <w:rsid w:val="000D0229"/>
    <w:rsid w:val="000D604A"/>
    <w:rsid w:val="000E3BB3"/>
    <w:rsid w:val="000F5E56"/>
    <w:rsid w:val="001041FB"/>
    <w:rsid w:val="001362EE"/>
    <w:rsid w:val="00152CEA"/>
    <w:rsid w:val="001832A6"/>
    <w:rsid w:val="00190D94"/>
    <w:rsid w:val="001B0671"/>
    <w:rsid w:val="002412C8"/>
    <w:rsid w:val="002634C4"/>
    <w:rsid w:val="00294098"/>
    <w:rsid w:val="002B00FC"/>
    <w:rsid w:val="002E0F47"/>
    <w:rsid w:val="002F4E68"/>
    <w:rsid w:val="00312F39"/>
    <w:rsid w:val="00324C1E"/>
    <w:rsid w:val="00354647"/>
    <w:rsid w:val="00377273"/>
    <w:rsid w:val="003845C1"/>
    <w:rsid w:val="00387287"/>
    <w:rsid w:val="00391590"/>
    <w:rsid w:val="003A10ED"/>
    <w:rsid w:val="003C19A7"/>
    <w:rsid w:val="003E48F1"/>
    <w:rsid w:val="003F347A"/>
    <w:rsid w:val="00423E3E"/>
    <w:rsid w:val="00427AF4"/>
    <w:rsid w:val="0044223A"/>
    <w:rsid w:val="004507ED"/>
    <w:rsid w:val="0045231F"/>
    <w:rsid w:val="004647DA"/>
    <w:rsid w:val="00477808"/>
    <w:rsid w:val="00477D6B"/>
    <w:rsid w:val="004A6C37"/>
    <w:rsid w:val="004C0263"/>
    <w:rsid w:val="004E297D"/>
    <w:rsid w:val="005332F0"/>
    <w:rsid w:val="0055013B"/>
    <w:rsid w:val="005524C6"/>
    <w:rsid w:val="00571B99"/>
    <w:rsid w:val="00583D98"/>
    <w:rsid w:val="00605827"/>
    <w:rsid w:val="006160EA"/>
    <w:rsid w:val="00675021"/>
    <w:rsid w:val="00693BF1"/>
    <w:rsid w:val="006A06C6"/>
    <w:rsid w:val="0070040A"/>
    <w:rsid w:val="007224C8"/>
    <w:rsid w:val="00780B2A"/>
    <w:rsid w:val="00794BE2"/>
    <w:rsid w:val="007B71FE"/>
    <w:rsid w:val="007D781E"/>
    <w:rsid w:val="007E663E"/>
    <w:rsid w:val="00815082"/>
    <w:rsid w:val="00831AD9"/>
    <w:rsid w:val="00861F50"/>
    <w:rsid w:val="0088395E"/>
    <w:rsid w:val="008B2CC1"/>
    <w:rsid w:val="008E65C5"/>
    <w:rsid w:val="008E6BD6"/>
    <w:rsid w:val="00902A6C"/>
    <w:rsid w:val="0090731E"/>
    <w:rsid w:val="00966A22"/>
    <w:rsid w:val="00972F03"/>
    <w:rsid w:val="009977F5"/>
    <w:rsid w:val="009A0C8B"/>
    <w:rsid w:val="009B6241"/>
    <w:rsid w:val="009E41DC"/>
    <w:rsid w:val="00A16FC0"/>
    <w:rsid w:val="00A32C9E"/>
    <w:rsid w:val="00A35964"/>
    <w:rsid w:val="00AB613D"/>
    <w:rsid w:val="00AE7F20"/>
    <w:rsid w:val="00AF7D6D"/>
    <w:rsid w:val="00B01180"/>
    <w:rsid w:val="00B45776"/>
    <w:rsid w:val="00B65A0A"/>
    <w:rsid w:val="00B67CDC"/>
    <w:rsid w:val="00B72D36"/>
    <w:rsid w:val="00B77B78"/>
    <w:rsid w:val="00B86749"/>
    <w:rsid w:val="00B91F31"/>
    <w:rsid w:val="00B93A10"/>
    <w:rsid w:val="00BB5848"/>
    <w:rsid w:val="00BC4164"/>
    <w:rsid w:val="00BC6A7F"/>
    <w:rsid w:val="00BD2DCC"/>
    <w:rsid w:val="00C90559"/>
    <w:rsid w:val="00CA2251"/>
    <w:rsid w:val="00D52543"/>
    <w:rsid w:val="00D56C7C"/>
    <w:rsid w:val="00D71B4D"/>
    <w:rsid w:val="00D90289"/>
    <w:rsid w:val="00D93D55"/>
    <w:rsid w:val="00DC4C60"/>
    <w:rsid w:val="00DD562C"/>
    <w:rsid w:val="00E0079A"/>
    <w:rsid w:val="00E444DA"/>
    <w:rsid w:val="00E45C84"/>
    <w:rsid w:val="00E504E5"/>
    <w:rsid w:val="00EB7A3E"/>
    <w:rsid w:val="00EC401A"/>
    <w:rsid w:val="00EF530A"/>
    <w:rsid w:val="00EF6622"/>
    <w:rsid w:val="00F55408"/>
    <w:rsid w:val="00F66152"/>
    <w:rsid w:val="00F80845"/>
    <w:rsid w:val="00F84474"/>
    <w:rsid w:val="00FA0F0D"/>
    <w:rsid w:val="00FB791C"/>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Main Title,Main Title1,Para1,Para 1,1."/>
    <w:basedOn w:val="Normal"/>
    <w:next w:val="Normal"/>
    <w:link w:val="Heading1Char"/>
    <w:qFormat/>
    <w:rsid w:val="00A32C9E"/>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8"/>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character" w:customStyle="1" w:styleId="FootnoteTextChar">
    <w:name w:val="Footnote Text Char"/>
    <w:link w:val="FootnoteText"/>
    <w:rsid w:val="005524C6"/>
    <w:rPr>
      <w:rFonts w:ascii="Arial" w:eastAsia="SimSun" w:hAnsi="Arial" w:cs="Arial"/>
      <w:sz w:val="18"/>
      <w:lang w:val="es-ES" w:eastAsia="zh-CN"/>
    </w:rPr>
  </w:style>
  <w:style w:type="character" w:styleId="FootnoteReference">
    <w:name w:val="footnote reference"/>
    <w:aliases w:val="16 Point,Superscript 6 Point,Ref,de nota al pie"/>
    <w:basedOn w:val="DefaultParagraphFont"/>
    <w:uiPriority w:val="99"/>
    <w:rsid w:val="005524C6"/>
    <w:rPr>
      <w:vertAlign w:val="superscript"/>
    </w:rPr>
  </w:style>
  <w:style w:type="character" w:customStyle="1" w:styleId="Heading1Char">
    <w:name w:val="Heading 1 Char"/>
    <w:aliases w:val="Main Title Char,Main Title1 Char,Para1 Char,Para 1 Char,1. Char"/>
    <w:link w:val="Heading1"/>
    <w:locked/>
    <w:rsid w:val="005524C6"/>
    <w:rPr>
      <w:rFonts w:ascii="Arial" w:eastAsia="SimSun" w:hAnsi="Arial" w:cs="Arial"/>
      <w:b/>
      <w:bCs/>
      <w:caps/>
      <w:kern w:val="32"/>
      <w:sz w:val="22"/>
      <w:szCs w:val="32"/>
      <w:lang w:val="es-ES" w:eastAsia="zh-CN"/>
    </w:rPr>
  </w:style>
  <w:style w:type="paragraph" w:styleId="NoSpacing">
    <w:name w:val="No Spacing"/>
    <w:uiPriority w:val="1"/>
    <w:qFormat/>
    <w:rsid w:val="005524C6"/>
    <w:rPr>
      <w:rFonts w:ascii="Calibri" w:eastAsia="Calibri" w:hAnsi="Calibri"/>
      <w:sz w:val="22"/>
      <w:szCs w:val="22"/>
    </w:rPr>
  </w:style>
  <w:style w:type="character" w:customStyle="1" w:styleId="HeaderChar">
    <w:name w:val="Header Char"/>
    <w:basedOn w:val="DefaultParagraphFont"/>
    <w:link w:val="Header"/>
    <w:uiPriority w:val="99"/>
    <w:rsid w:val="005524C6"/>
    <w:rPr>
      <w:rFonts w:ascii="Arial" w:eastAsia="SimSun" w:hAnsi="Arial" w:cs="Arial"/>
      <w:sz w:val="22"/>
      <w:lang w:val="es-ES" w:eastAsia="zh-CN"/>
    </w:rPr>
  </w:style>
  <w:style w:type="character" w:customStyle="1" w:styleId="FooterChar">
    <w:name w:val="Footer Char"/>
    <w:basedOn w:val="DefaultParagraphFont"/>
    <w:link w:val="Footer"/>
    <w:uiPriority w:val="99"/>
    <w:rsid w:val="005524C6"/>
    <w:rPr>
      <w:rFonts w:ascii="Arial" w:eastAsia="SimSun" w:hAnsi="Arial" w:cs="Arial"/>
      <w:sz w:val="22"/>
      <w:lang w:val="es-ES" w:eastAsia="zh-CN"/>
    </w:rPr>
  </w:style>
  <w:style w:type="character" w:customStyle="1" w:styleId="Heading2Char">
    <w:name w:val="Heading 2 Char"/>
    <w:aliases w:val="1.1 Char"/>
    <w:basedOn w:val="DefaultParagraphFont"/>
    <w:link w:val="Heading2"/>
    <w:rsid w:val="00831AD9"/>
    <w:rPr>
      <w:rFonts w:ascii="Arial" w:eastAsia="SimSun" w:hAnsi="Arial" w:cs="Arial"/>
      <w:bCs/>
      <w:iCs/>
      <w:caps/>
      <w:sz w:val="22"/>
      <w:szCs w:val="2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Main Title,Main Title1,Para1,Para 1,1."/>
    <w:basedOn w:val="Normal"/>
    <w:next w:val="Normal"/>
    <w:link w:val="Heading1Char"/>
    <w:qFormat/>
    <w:rsid w:val="00A32C9E"/>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8"/>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character" w:customStyle="1" w:styleId="FootnoteTextChar">
    <w:name w:val="Footnote Text Char"/>
    <w:link w:val="FootnoteText"/>
    <w:rsid w:val="005524C6"/>
    <w:rPr>
      <w:rFonts w:ascii="Arial" w:eastAsia="SimSun" w:hAnsi="Arial" w:cs="Arial"/>
      <w:sz w:val="18"/>
      <w:lang w:val="es-ES" w:eastAsia="zh-CN"/>
    </w:rPr>
  </w:style>
  <w:style w:type="character" w:styleId="FootnoteReference">
    <w:name w:val="footnote reference"/>
    <w:aliases w:val="16 Point,Superscript 6 Point,Ref,de nota al pie"/>
    <w:basedOn w:val="DefaultParagraphFont"/>
    <w:uiPriority w:val="99"/>
    <w:rsid w:val="005524C6"/>
    <w:rPr>
      <w:vertAlign w:val="superscript"/>
    </w:rPr>
  </w:style>
  <w:style w:type="character" w:customStyle="1" w:styleId="Heading1Char">
    <w:name w:val="Heading 1 Char"/>
    <w:aliases w:val="Main Title Char,Main Title1 Char,Para1 Char,Para 1 Char,1. Char"/>
    <w:link w:val="Heading1"/>
    <w:locked/>
    <w:rsid w:val="005524C6"/>
    <w:rPr>
      <w:rFonts w:ascii="Arial" w:eastAsia="SimSun" w:hAnsi="Arial" w:cs="Arial"/>
      <w:b/>
      <w:bCs/>
      <w:caps/>
      <w:kern w:val="32"/>
      <w:sz w:val="22"/>
      <w:szCs w:val="32"/>
      <w:lang w:val="es-ES" w:eastAsia="zh-CN"/>
    </w:rPr>
  </w:style>
  <w:style w:type="paragraph" w:styleId="NoSpacing">
    <w:name w:val="No Spacing"/>
    <w:uiPriority w:val="1"/>
    <w:qFormat/>
    <w:rsid w:val="005524C6"/>
    <w:rPr>
      <w:rFonts w:ascii="Calibri" w:eastAsia="Calibri" w:hAnsi="Calibri"/>
      <w:sz w:val="22"/>
      <w:szCs w:val="22"/>
    </w:rPr>
  </w:style>
  <w:style w:type="character" w:customStyle="1" w:styleId="HeaderChar">
    <w:name w:val="Header Char"/>
    <w:basedOn w:val="DefaultParagraphFont"/>
    <w:link w:val="Header"/>
    <w:uiPriority w:val="99"/>
    <w:rsid w:val="005524C6"/>
    <w:rPr>
      <w:rFonts w:ascii="Arial" w:eastAsia="SimSun" w:hAnsi="Arial" w:cs="Arial"/>
      <w:sz w:val="22"/>
      <w:lang w:val="es-ES" w:eastAsia="zh-CN"/>
    </w:rPr>
  </w:style>
  <w:style w:type="character" w:customStyle="1" w:styleId="FooterChar">
    <w:name w:val="Footer Char"/>
    <w:basedOn w:val="DefaultParagraphFont"/>
    <w:link w:val="Footer"/>
    <w:uiPriority w:val="99"/>
    <w:rsid w:val="005524C6"/>
    <w:rPr>
      <w:rFonts w:ascii="Arial" w:eastAsia="SimSun" w:hAnsi="Arial" w:cs="Arial"/>
      <w:sz w:val="22"/>
      <w:lang w:val="es-ES" w:eastAsia="zh-CN"/>
    </w:rPr>
  </w:style>
  <w:style w:type="character" w:customStyle="1" w:styleId="Heading2Char">
    <w:name w:val="Heading 2 Char"/>
    <w:aliases w:val="1.1 Char"/>
    <w:basedOn w:val="DefaultParagraphFont"/>
    <w:link w:val="Heading2"/>
    <w:rsid w:val="00831AD9"/>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(S).dotm</Template>
  <TotalTime>2</TotalTime>
  <Pages>5</Pages>
  <Words>1718</Words>
  <Characters>9318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CDIP/14/INF/8</vt:lpstr>
    </vt:vector>
  </TitlesOfParts>
  <Company>WIPO</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CDIP/14/INF/8</dc:title>
  <dc:subject>Resumen del Estudio sobre políticas e iniciativas en materia de Propiedad Intelectual en los países desarrollados para fomentar la transferencia de tecnología</dc:subject>
  <dc:creator>HAEFELI Ida Monica</dc:creator>
  <dc:description>LM - 1/10/2014</dc:description>
  <cp:lastModifiedBy>SHOUSHA Sally</cp:lastModifiedBy>
  <cp:revision>3</cp:revision>
  <cp:lastPrinted>2014-10-07T08:17:00Z</cp:lastPrinted>
  <dcterms:created xsi:type="dcterms:W3CDTF">2014-10-07T08:16:00Z</dcterms:created>
  <dcterms:modified xsi:type="dcterms:W3CDTF">2014-10-07T08:17:00Z</dcterms:modified>
</cp:coreProperties>
</file>