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F668BC" w:rsidTr="001609F2">
        <w:tc>
          <w:tcPr>
            <w:tcW w:w="4513" w:type="dxa"/>
            <w:tcBorders>
              <w:bottom w:val="single" w:sz="4" w:space="0" w:color="auto"/>
            </w:tcBorders>
            <w:tcMar>
              <w:bottom w:w="170" w:type="dxa"/>
            </w:tcMar>
          </w:tcPr>
          <w:p w:rsidR="00EC4E49" w:rsidRPr="00F668BC" w:rsidRDefault="00EC4E49" w:rsidP="00916EE2">
            <w:pPr>
              <w:rPr>
                <w:lang w:val="es-ES"/>
              </w:rPr>
            </w:pPr>
          </w:p>
        </w:tc>
        <w:tc>
          <w:tcPr>
            <w:tcW w:w="4337" w:type="dxa"/>
            <w:tcBorders>
              <w:bottom w:val="single" w:sz="4" w:space="0" w:color="auto"/>
            </w:tcBorders>
            <w:tcMar>
              <w:left w:w="0" w:type="dxa"/>
              <w:right w:w="0" w:type="dxa"/>
            </w:tcMar>
          </w:tcPr>
          <w:p w:rsidR="00EC4E49" w:rsidRPr="00F668BC" w:rsidRDefault="00D84436" w:rsidP="00916EE2">
            <w:pPr>
              <w:rPr>
                <w:lang w:val="es-ES"/>
              </w:rPr>
            </w:pPr>
            <w:r w:rsidRPr="00CD38C5">
              <w:rPr>
                <w:noProof/>
                <w:lang w:eastAsia="en-US"/>
              </w:rPr>
              <w:drawing>
                <wp:inline distT="0" distB="0" distL="0" distR="0" wp14:anchorId="1F09C857" wp14:editId="55576AA0">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F668BC" w:rsidRDefault="00D84436" w:rsidP="00D84436">
            <w:pPr>
              <w:jc w:val="right"/>
              <w:rPr>
                <w:lang w:val="es-ES"/>
              </w:rPr>
            </w:pPr>
            <w:r>
              <w:rPr>
                <w:b/>
                <w:sz w:val="40"/>
                <w:szCs w:val="40"/>
                <w:lang w:val="es-ES"/>
              </w:rPr>
              <w:t>S</w:t>
            </w:r>
          </w:p>
        </w:tc>
      </w:tr>
      <w:tr w:rsidR="001609F2" w:rsidRPr="00F668BC" w:rsidTr="00916EE2">
        <w:trPr>
          <w:trHeight w:hRule="exact" w:val="340"/>
        </w:trPr>
        <w:tc>
          <w:tcPr>
            <w:tcW w:w="9356" w:type="dxa"/>
            <w:gridSpan w:val="3"/>
            <w:tcBorders>
              <w:top w:val="single" w:sz="4" w:space="0" w:color="auto"/>
            </w:tcBorders>
            <w:tcMar>
              <w:top w:w="170" w:type="dxa"/>
              <w:left w:w="0" w:type="dxa"/>
              <w:right w:w="0" w:type="dxa"/>
            </w:tcMar>
            <w:vAlign w:val="bottom"/>
          </w:tcPr>
          <w:p w:rsidR="001609F2" w:rsidRPr="00F668BC" w:rsidRDefault="001609F2" w:rsidP="002631C5">
            <w:pPr>
              <w:jc w:val="right"/>
              <w:rPr>
                <w:rFonts w:ascii="Arial Black" w:hAnsi="Arial Black"/>
                <w:caps/>
                <w:sz w:val="15"/>
                <w:lang w:val="es-ES"/>
              </w:rPr>
            </w:pPr>
            <w:r w:rsidRPr="00F668BC">
              <w:rPr>
                <w:rFonts w:ascii="Arial Black" w:hAnsi="Arial Black"/>
                <w:caps/>
                <w:sz w:val="15"/>
                <w:lang w:val="es-ES"/>
              </w:rPr>
              <w:t>CDIP/14/4</w:t>
            </w:r>
          </w:p>
        </w:tc>
      </w:tr>
      <w:tr w:rsidR="001609F2" w:rsidRPr="00F668BC" w:rsidTr="00916EE2">
        <w:trPr>
          <w:trHeight w:hRule="exact" w:val="170"/>
        </w:trPr>
        <w:tc>
          <w:tcPr>
            <w:tcW w:w="9356" w:type="dxa"/>
            <w:gridSpan w:val="3"/>
            <w:noWrap/>
            <w:tcMar>
              <w:left w:w="0" w:type="dxa"/>
              <w:right w:w="0" w:type="dxa"/>
            </w:tcMar>
            <w:vAlign w:val="bottom"/>
          </w:tcPr>
          <w:p w:rsidR="001609F2" w:rsidRPr="00F668BC" w:rsidRDefault="001609F2" w:rsidP="00F668BC">
            <w:pPr>
              <w:jc w:val="right"/>
              <w:rPr>
                <w:rFonts w:ascii="Arial Black" w:hAnsi="Arial Black"/>
                <w:caps/>
                <w:sz w:val="15"/>
                <w:lang w:val="es-ES"/>
              </w:rPr>
            </w:pPr>
            <w:r w:rsidRPr="00F668BC">
              <w:rPr>
                <w:rFonts w:ascii="Arial Black" w:hAnsi="Arial Black"/>
                <w:caps/>
                <w:sz w:val="15"/>
                <w:lang w:val="es-ES"/>
              </w:rPr>
              <w:t xml:space="preserve">ORIGINAL:  </w:t>
            </w:r>
            <w:r w:rsidR="00F668BC" w:rsidRPr="00F668BC">
              <w:rPr>
                <w:rFonts w:ascii="Arial Black" w:hAnsi="Arial Black"/>
                <w:caps/>
                <w:sz w:val="15"/>
                <w:lang w:val="es-ES"/>
              </w:rPr>
              <w:t>Inglés</w:t>
            </w:r>
          </w:p>
        </w:tc>
      </w:tr>
      <w:tr w:rsidR="001609F2" w:rsidRPr="00F668BC" w:rsidTr="00916EE2">
        <w:trPr>
          <w:trHeight w:hRule="exact" w:val="198"/>
        </w:trPr>
        <w:tc>
          <w:tcPr>
            <w:tcW w:w="9356" w:type="dxa"/>
            <w:gridSpan w:val="3"/>
            <w:tcMar>
              <w:left w:w="0" w:type="dxa"/>
              <w:right w:w="0" w:type="dxa"/>
            </w:tcMar>
            <w:vAlign w:val="bottom"/>
          </w:tcPr>
          <w:p w:rsidR="001609F2" w:rsidRPr="00F668BC" w:rsidRDefault="0043543A" w:rsidP="0043543A">
            <w:pPr>
              <w:jc w:val="right"/>
              <w:rPr>
                <w:rFonts w:ascii="Arial Black" w:hAnsi="Arial Black"/>
                <w:caps/>
                <w:sz w:val="15"/>
                <w:lang w:val="es-ES"/>
              </w:rPr>
            </w:pPr>
            <w:r>
              <w:rPr>
                <w:rFonts w:ascii="Arial Black" w:hAnsi="Arial Black"/>
                <w:caps/>
                <w:sz w:val="15"/>
                <w:lang w:val="es-ES"/>
              </w:rPr>
              <w:t>Fecha</w:t>
            </w:r>
            <w:r w:rsidR="001609F2" w:rsidRPr="00F668BC">
              <w:rPr>
                <w:rFonts w:ascii="Arial Black" w:hAnsi="Arial Black"/>
                <w:caps/>
                <w:sz w:val="15"/>
                <w:lang w:val="es-ES"/>
              </w:rPr>
              <w:t xml:space="preserve">:  </w:t>
            </w:r>
            <w:r w:rsidR="00F668BC" w:rsidRPr="00F668BC">
              <w:rPr>
                <w:rFonts w:ascii="Arial Black" w:hAnsi="Arial Black"/>
                <w:caps/>
                <w:sz w:val="15"/>
                <w:lang w:val="es-ES"/>
              </w:rPr>
              <w:t xml:space="preserve">3 de </w:t>
            </w:r>
            <w:r w:rsidR="001609F2" w:rsidRPr="00F668BC">
              <w:rPr>
                <w:rFonts w:ascii="Arial Black" w:hAnsi="Arial Black"/>
                <w:caps/>
                <w:sz w:val="15"/>
                <w:lang w:val="es-ES"/>
              </w:rPr>
              <w:t>Sept</w:t>
            </w:r>
            <w:r w:rsidR="00F668BC" w:rsidRPr="00F668BC">
              <w:rPr>
                <w:rFonts w:ascii="Arial Black" w:hAnsi="Arial Black"/>
                <w:caps/>
                <w:sz w:val="15"/>
                <w:lang w:val="es-ES"/>
              </w:rPr>
              <w:t xml:space="preserve">iembre de </w:t>
            </w:r>
            <w:r w:rsidR="001609F2" w:rsidRPr="00F668BC">
              <w:rPr>
                <w:rFonts w:ascii="Arial Black" w:hAnsi="Arial Black"/>
                <w:caps/>
                <w:sz w:val="15"/>
                <w:lang w:val="es-ES"/>
              </w:rPr>
              <w:t xml:space="preserve"> 2014 </w:t>
            </w:r>
          </w:p>
        </w:tc>
      </w:tr>
    </w:tbl>
    <w:p w:rsidR="008B2CC1" w:rsidRPr="00F668BC" w:rsidRDefault="008B2CC1" w:rsidP="008B2CC1">
      <w:pPr>
        <w:rPr>
          <w:lang w:val="es-ES"/>
        </w:rPr>
      </w:pPr>
    </w:p>
    <w:p w:rsidR="008B2CC1" w:rsidRPr="00F668BC" w:rsidRDefault="008B2CC1" w:rsidP="008B2CC1">
      <w:pPr>
        <w:rPr>
          <w:lang w:val="es-ES"/>
        </w:rPr>
      </w:pPr>
    </w:p>
    <w:p w:rsidR="008B2CC1" w:rsidRPr="00F668BC" w:rsidRDefault="008B2CC1" w:rsidP="008B2CC1">
      <w:pPr>
        <w:rPr>
          <w:lang w:val="es-ES"/>
        </w:rPr>
      </w:pPr>
    </w:p>
    <w:p w:rsidR="008B2CC1" w:rsidRPr="00F668BC" w:rsidRDefault="008B2CC1" w:rsidP="008B2CC1">
      <w:pPr>
        <w:rPr>
          <w:lang w:val="es-ES"/>
        </w:rPr>
      </w:pPr>
    </w:p>
    <w:p w:rsidR="008B2CC1" w:rsidRPr="00F668BC" w:rsidRDefault="008B2CC1" w:rsidP="008B2CC1">
      <w:pPr>
        <w:rPr>
          <w:lang w:val="es-ES"/>
        </w:rPr>
      </w:pPr>
    </w:p>
    <w:p w:rsidR="006A44A7" w:rsidRPr="00F668BC" w:rsidRDefault="006A44A7" w:rsidP="006A44A7">
      <w:pPr>
        <w:rPr>
          <w:b/>
          <w:sz w:val="28"/>
          <w:szCs w:val="28"/>
          <w:lang w:val="es-ES"/>
        </w:rPr>
      </w:pPr>
      <w:r w:rsidRPr="00F668BC">
        <w:rPr>
          <w:b/>
          <w:sz w:val="28"/>
          <w:szCs w:val="28"/>
          <w:lang w:val="es-ES"/>
        </w:rPr>
        <w:t>Com</w:t>
      </w:r>
      <w:r w:rsidR="00F668BC" w:rsidRPr="00F668BC">
        <w:rPr>
          <w:b/>
          <w:sz w:val="28"/>
          <w:szCs w:val="28"/>
          <w:lang w:val="es-ES"/>
        </w:rPr>
        <w:t>ité de Desarrollo y Propiedad Intelectual</w:t>
      </w:r>
      <w:r w:rsidRPr="00F668BC">
        <w:rPr>
          <w:b/>
          <w:sz w:val="28"/>
          <w:szCs w:val="28"/>
          <w:lang w:val="es-ES"/>
        </w:rPr>
        <w:t xml:space="preserve"> (CDIP)</w:t>
      </w:r>
    </w:p>
    <w:p w:rsidR="003845C1" w:rsidRPr="00F668BC" w:rsidRDefault="003845C1" w:rsidP="003845C1">
      <w:pPr>
        <w:rPr>
          <w:lang w:val="es-ES"/>
        </w:rPr>
      </w:pPr>
    </w:p>
    <w:p w:rsidR="003845C1" w:rsidRPr="00F668BC" w:rsidRDefault="003845C1" w:rsidP="003845C1">
      <w:pPr>
        <w:rPr>
          <w:lang w:val="es-ES"/>
        </w:rPr>
      </w:pPr>
    </w:p>
    <w:p w:rsidR="006A44A7" w:rsidRPr="00F668BC" w:rsidRDefault="00F668BC" w:rsidP="006A44A7">
      <w:pPr>
        <w:rPr>
          <w:b/>
          <w:sz w:val="24"/>
          <w:szCs w:val="24"/>
          <w:lang w:val="es-ES"/>
        </w:rPr>
      </w:pPr>
      <w:r w:rsidRPr="00F668BC">
        <w:rPr>
          <w:b/>
          <w:sz w:val="24"/>
          <w:szCs w:val="24"/>
          <w:lang w:val="es-ES"/>
        </w:rPr>
        <w:t>Decimocuarta sesión</w:t>
      </w:r>
    </w:p>
    <w:p w:rsidR="006A44A7" w:rsidRPr="00F668BC" w:rsidRDefault="006A44A7" w:rsidP="006A44A7">
      <w:pPr>
        <w:rPr>
          <w:b/>
          <w:sz w:val="24"/>
          <w:szCs w:val="24"/>
          <w:lang w:val="es-ES"/>
        </w:rPr>
      </w:pPr>
      <w:r w:rsidRPr="00F668BC">
        <w:rPr>
          <w:b/>
          <w:sz w:val="24"/>
          <w:szCs w:val="24"/>
          <w:lang w:val="es-ES"/>
        </w:rPr>
        <w:t>G</w:t>
      </w:r>
      <w:r w:rsidR="00F668BC" w:rsidRPr="00F668BC">
        <w:rPr>
          <w:b/>
          <w:sz w:val="24"/>
          <w:szCs w:val="24"/>
          <w:lang w:val="es-ES"/>
        </w:rPr>
        <w:t>inebra</w:t>
      </w:r>
      <w:r w:rsidRPr="00F668BC">
        <w:rPr>
          <w:b/>
          <w:sz w:val="24"/>
          <w:szCs w:val="24"/>
          <w:lang w:val="es-ES"/>
        </w:rPr>
        <w:t xml:space="preserve">, </w:t>
      </w:r>
      <w:r w:rsidR="00F668BC" w:rsidRPr="00F668BC">
        <w:rPr>
          <w:b/>
          <w:sz w:val="24"/>
          <w:szCs w:val="24"/>
          <w:lang w:val="es-ES"/>
        </w:rPr>
        <w:t>10 a 14 de n</w:t>
      </w:r>
      <w:r w:rsidRPr="00F668BC">
        <w:rPr>
          <w:b/>
          <w:sz w:val="24"/>
          <w:szCs w:val="24"/>
          <w:lang w:val="es-ES"/>
        </w:rPr>
        <w:t>ov</w:t>
      </w:r>
      <w:r w:rsidR="00F668BC" w:rsidRPr="00F668BC">
        <w:rPr>
          <w:b/>
          <w:sz w:val="24"/>
          <w:szCs w:val="24"/>
          <w:lang w:val="es-ES"/>
        </w:rPr>
        <w:t>iembre de</w:t>
      </w:r>
      <w:r w:rsidRPr="00F668BC">
        <w:rPr>
          <w:b/>
          <w:sz w:val="24"/>
          <w:szCs w:val="24"/>
          <w:lang w:val="es-ES"/>
        </w:rPr>
        <w:t xml:space="preserve"> 2014</w:t>
      </w:r>
    </w:p>
    <w:p w:rsidR="006A44A7" w:rsidRPr="00F668BC" w:rsidRDefault="006A44A7" w:rsidP="006A44A7">
      <w:pPr>
        <w:rPr>
          <w:b/>
          <w:sz w:val="24"/>
          <w:szCs w:val="24"/>
          <w:lang w:val="es-ES"/>
        </w:rPr>
      </w:pPr>
    </w:p>
    <w:p w:rsidR="008B2CC1" w:rsidRPr="00F668BC" w:rsidRDefault="008B2CC1" w:rsidP="008B2CC1">
      <w:pPr>
        <w:rPr>
          <w:lang w:val="es-ES"/>
        </w:rPr>
      </w:pPr>
    </w:p>
    <w:p w:rsidR="008B2CC1" w:rsidRPr="00F668BC" w:rsidRDefault="008B2CC1" w:rsidP="008B2CC1">
      <w:pPr>
        <w:rPr>
          <w:lang w:val="es-ES"/>
        </w:rPr>
      </w:pPr>
    </w:p>
    <w:p w:rsidR="008B2CC1" w:rsidRPr="00F668BC" w:rsidRDefault="008B2CC1" w:rsidP="008B2CC1">
      <w:pPr>
        <w:rPr>
          <w:lang w:val="es-ES"/>
        </w:rPr>
      </w:pPr>
    </w:p>
    <w:p w:rsidR="008B2CC1" w:rsidRPr="00F668BC" w:rsidRDefault="00F668BC" w:rsidP="008B2CC1">
      <w:pPr>
        <w:rPr>
          <w:caps/>
          <w:sz w:val="24"/>
          <w:lang w:val="es-ES"/>
        </w:rPr>
      </w:pPr>
      <w:bookmarkStart w:id="0" w:name="TitleOfDoc"/>
      <w:bookmarkEnd w:id="0"/>
      <w:r w:rsidRPr="00F668BC">
        <w:rPr>
          <w:caps/>
          <w:sz w:val="24"/>
          <w:lang w:val="es-ES"/>
        </w:rPr>
        <w:t>RESUMEN DEL INFORME DE EVALUACIÓN DEL PROYECTO PILOTO PARA LA CREACIÓN DE ACADEMIAS NACIONALES DE P.i.</w:t>
      </w:r>
      <w:r w:rsidR="00365581" w:rsidRPr="00F668BC">
        <w:rPr>
          <w:caps/>
          <w:sz w:val="24"/>
          <w:lang w:val="es-ES"/>
        </w:rPr>
        <w:t xml:space="preserve"> </w:t>
      </w:r>
      <w:r w:rsidRPr="00F668BC">
        <w:rPr>
          <w:caps/>
          <w:sz w:val="24"/>
          <w:lang w:val="es-ES"/>
        </w:rPr>
        <w:t>–</w:t>
      </w:r>
      <w:r w:rsidR="00365581" w:rsidRPr="00F668BC">
        <w:rPr>
          <w:caps/>
          <w:sz w:val="24"/>
          <w:lang w:val="es-ES"/>
        </w:rPr>
        <w:t xml:space="preserve"> </w:t>
      </w:r>
      <w:r w:rsidRPr="00F668BC">
        <w:rPr>
          <w:caps/>
          <w:sz w:val="24"/>
          <w:lang w:val="es-ES"/>
        </w:rPr>
        <w:t xml:space="preserve">fase </w:t>
      </w:r>
      <w:r w:rsidR="00365581" w:rsidRPr="00F668BC">
        <w:rPr>
          <w:caps/>
          <w:sz w:val="24"/>
          <w:lang w:val="es-ES"/>
        </w:rPr>
        <w:t>II</w:t>
      </w:r>
    </w:p>
    <w:p w:rsidR="008B2CC1" w:rsidRPr="00F668BC" w:rsidRDefault="008B2CC1" w:rsidP="008B2CC1">
      <w:pPr>
        <w:rPr>
          <w:lang w:val="es-ES"/>
        </w:rPr>
      </w:pPr>
    </w:p>
    <w:p w:rsidR="008B2CC1" w:rsidRPr="00F668BC" w:rsidRDefault="005E7144" w:rsidP="008B2CC1">
      <w:pPr>
        <w:rPr>
          <w:i/>
          <w:lang w:val="es-ES"/>
        </w:rPr>
      </w:pPr>
      <w:bookmarkStart w:id="1" w:name="Prepared"/>
      <w:bookmarkEnd w:id="1"/>
      <w:r>
        <w:rPr>
          <w:i/>
          <w:lang w:val="es-ES"/>
        </w:rPr>
        <w:t>p</w:t>
      </w:r>
      <w:r w:rsidR="00365581" w:rsidRPr="00F668BC">
        <w:rPr>
          <w:i/>
          <w:lang w:val="es-ES"/>
        </w:rPr>
        <w:t>repar</w:t>
      </w:r>
      <w:r w:rsidR="00F668BC" w:rsidRPr="00F668BC">
        <w:rPr>
          <w:i/>
          <w:lang w:val="es-ES"/>
        </w:rPr>
        <w:t>ado por la Sra. Lois</w:t>
      </w:r>
      <w:r w:rsidR="00365581" w:rsidRPr="00F668BC">
        <w:rPr>
          <w:i/>
          <w:lang w:val="es-ES"/>
        </w:rPr>
        <w:t xml:space="preserve"> Austin, Consult</w:t>
      </w:r>
      <w:r w:rsidR="00F668BC" w:rsidRPr="00F668BC">
        <w:rPr>
          <w:i/>
          <w:lang w:val="es-ES"/>
        </w:rPr>
        <w:t>ora</w:t>
      </w:r>
      <w:r w:rsidR="00365581" w:rsidRPr="00F668BC">
        <w:rPr>
          <w:i/>
          <w:lang w:val="es-ES"/>
        </w:rPr>
        <w:t>, Lond</w:t>
      </w:r>
      <w:r w:rsidR="00F668BC" w:rsidRPr="00F668BC">
        <w:rPr>
          <w:i/>
          <w:lang w:val="es-ES"/>
        </w:rPr>
        <w:t>res</w:t>
      </w:r>
      <w:r w:rsidR="00365581" w:rsidRPr="00F668BC">
        <w:rPr>
          <w:i/>
          <w:lang w:val="es-ES"/>
        </w:rPr>
        <w:t xml:space="preserve">, </w:t>
      </w:r>
      <w:r w:rsidR="00F668BC" w:rsidRPr="00F668BC">
        <w:rPr>
          <w:i/>
          <w:lang w:val="es-ES"/>
        </w:rPr>
        <w:t>Reino Unido</w:t>
      </w:r>
    </w:p>
    <w:p w:rsidR="00AC205C" w:rsidRPr="00F668BC" w:rsidRDefault="00AC205C">
      <w:pPr>
        <w:rPr>
          <w:lang w:val="es-ES"/>
        </w:rPr>
      </w:pPr>
    </w:p>
    <w:p w:rsidR="000F5E56" w:rsidRPr="00F668BC" w:rsidRDefault="000F5E56">
      <w:pPr>
        <w:rPr>
          <w:lang w:val="es-ES"/>
        </w:rPr>
      </w:pPr>
    </w:p>
    <w:p w:rsidR="002928D3" w:rsidRPr="00F668BC" w:rsidRDefault="002928D3">
      <w:pPr>
        <w:rPr>
          <w:lang w:val="es-ES"/>
        </w:rPr>
      </w:pPr>
    </w:p>
    <w:p w:rsidR="002928D3" w:rsidRPr="00F668BC" w:rsidRDefault="002928D3" w:rsidP="0053057A">
      <w:pPr>
        <w:rPr>
          <w:lang w:val="es-ES"/>
        </w:rPr>
      </w:pPr>
    </w:p>
    <w:p w:rsidR="002928D3" w:rsidRPr="00F668BC" w:rsidRDefault="00F668BC" w:rsidP="00F668BC">
      <w:pPr>
        <w:pStyle w:val="ListParagraph"/>
        <w:numPr>
          <w:ilvl w:val="0"/>
          <w:numId w:val="4"/>
        </w:numPr>
        <w:rPr>
          <w:lang w:val="es-ES"/>
        </w:rPr>
      </w:pPr>
      <w:r w:rsidRPr="00F668BC">
        <w:rPr>
          <w:lang w:val="es-ES"/>
        </w:rPr>
        <w:t>El Anexo del presente documento contiene un resumen del informe de evaluación independiente y externo del proyecto piloto para la creación de academias nacionales de P.I.</w:t>
      </w:r>
      <w:r w:rsidR="00365581" w:rsidRPr="00F668BC">
        <w:rPr>
          <w:bCs/>
          <w:szCs w:val="22"/>
          <w:lang w:val="es-ES"/>
        </w:rPr>
        <w:t xml:space="preserve"> –</w:t>
      </w:r>
      <w:r w:rsidRPr="00F668BC">
        <w:rPr>
          <w:bCs/>
          <w:szCs w:val="22"/>
          <w:lang w:val="es-ES"/>
        </w:rPr>
        <w:t xml:space="preserve">Fase </w:t>
      </w:r>
      <w:r w:rsidR="00365581" w:rsidRPr="00F668BC">
        <w:rPr>
          <w:bCs/>
          <w:szCs w:val="22"/>
          <w:lang w:val="es-ES"/>
        </w:rPr>
        <w:t xml:space="preserve">II, </w:t>
      </w:r>
      <w:r w:rsidRPr="00F668BC">
        <w:rPr>
          <w:bCs/>
          <w:szCs w:val="22"/>
          <w:lang w:val="es-ES"/>
        </w:rPr>
        <w:t>realizado por la Sra</w:t>
      </w:r>
      <w:r w:rsidR="00365581" w:rsidRPr="00F668BC">
        <w:rPr>
          <w:bCs/>
          <w:szCs w:val="22"/>
          <w:lang w:val="es-ES"/>
        </w:rPr>
        <w:t>. Lois Austin, Consult</w:t>
      </w:r>
      <w:r w:rsidRPr="00F668BC">
        <w:rPr>
          <w:bCs/>
          <w:szCs w:val="22"/>
          <w:lang w:val="es-ES"/>
        </w:rPr>
        <w:t>ora</w:t>
      </w:r>
      <w:r w:rsidR="00365581" w:rsidRPr="00F668BC">
        <w:rPr>
          <w:szCs w:val="22"/>
          <w:lang w:val="es-ES"/>
        </w:rPr>
        <w:t>, Lond</w:t>
      </w:r>
      <w:r w:rsidRPr="00F668BC">
        <w:rPr>
          <w:szCs w:val="22"/>
          <w:lang w:val="es-ES"/>
        </w:rPr>
        <w:t>res</w:t>
      </w:r>
      <w:r w:rsidR="00365581" w:rsidRPr="00F668BC">
        <w:rPr>
          <w:szCs w:val="22"/>
          <w:lang w:val="es-ES"/>
        </w:rPr>
        <w:t xml:space="preserve">, </w:t>
      </w:r>
      <w:r w:rsidRPr="00F668BC">
        <w:rPr>
          <w:szCs w:val="22"/>
          <w:lang w:val="es-ES"/>
        </w:rPr>
        <w:t>Reino Unido</w:t>
      </w:r>
      <w:r w:rsidR="00365581" w:rsidRPr="00F668BC">
        <w:rPr>
          <w:szCs w:val="22"/>
          <w:lang w:val="es-ES"/>
        </w:rPr>
        <w:t>.</w:t>
      </w:r>
    </w:p>
    <w:p w:rsidR="00365581" w:rsidRPr="00F668BC" w:rsidRDefault="00365581" w:rsidP="00365581">
      <w:pPr>
        <w:pStyle w:val="ListParagraph"/>
        <w:ind w:left="0"/>
        <w:rPr>
          <w:lang w:val="es-ES"/>
        </w:rPr>
      </w:pPr>
    </w:p>
    <w:p w:rsidR="001609F2" w:rsidRPr="00F668BC" w:rsidRDefault="001609F2" w:rsidP="001609F2">
      <w:pPr>
        <w:pStyle w:val="Endofdocument-Annex"/>
        <w:tabs>
          <w:tab w:val="left" w:pos="567"/>
        </w:tabs>
        <w:ind w:left="4950"/>
        <w:rPr>
          <w:i/>
          <w:iCs/>
          <w:szCs w:val="22"/>
          <w:lang w:val="es-ES"/>
        </w:rPr>
      </w:pPr>
      <w:r w:rsidRPr="00F668BC">
        <w:rPr>
          <w:i/>
          <w:iCs/>
          <w:szCs w:val="22"/>
          <w:lang w:val="es-ES"/>
        </w:rPr>
        <w:t>2.</w:t>
      </w:r>
      <w:r w:rsidRPr="00F668BC">
        <w:rPr>
          <w:i/>
          <w:iCs/>
          <w:szCs w:val="22"/>
          <w:lang w:val="es-ES"/>
        </w:rPr>
        <w:tab/>
      </w:r>
      <w:r w:rsidR="00F668BC" w:rsidRPr="00F668BC">
        <w:rPr>
          <w:i/>
          <w:iCs/>
          <w:szCs w:val="22"/>
          <w:lang w:val="es-ES"/>
        </w:rPr>
        <w:t xml:space="preserve">Se invita al </w:t>
      </w:r>
      <w:r w:rsidRPr="00F668BC">
        <w:rPr>
          <w:i/>
          <w:iCs/>
          <w:szCs w:val="22"/>
          <w:lang w:val="es-ES"/>
        </w:rPr>
        <w:t xml:space="preserve">CDIP </w:t>
      </w:r>
      <w:r w:rsidR="00F668BC" w:rsidRPr="00F668BC">
        <w:rPr>
          <w:i/>
          <w:iCs/>
          <w:szCs w:val="22"/>
          <w:lang w:val="es-ES"/>
        </w:rPr>
        <w:t>a tomar nota de la información que figura en el Anexo del presente documento</w:t>
      </w:r>
      <w:r w:rsidRPr="00F668BC">
        <w:rPr>
          <w:i/>
          <w:iCs/>
          <w:szCs w:val="22"/>
          <w:lang w:val="es-ES"/>
        </w:rPr>
        <w:t>.</w:t>
      </w:r>
    </w:p>
    <w:p w:rsidR="001609F2" w:rsidRPr="00F668BC" w:rsidRDefault="001609F2" w:rsidP="001609F2">
      <w:pPr>
        <w:rPr>
          <w:lang w:val="es-ES"/>
        </w:rPr>
      </w:pPr>
    </w:p>
    <w:p w:rsidR="001609F2" w:rsidRPr="00F668BC" w:rsidRDefault="001609F2" w:rsidP="001609F2">
      <w:pPr>
        <w:rPr>
          <w:lang w:val="es-ES"/>
        </w:rPr>
      </w:pPr>
    </w:p>
    <w:p w:rsidR="001609F2" w:rsidRPr="00F668BC" w:rsidRDefault="001609F2" w:rsidP="001609F2">
      <w:pPr>
        <w:rPr>
          <w:lang w:val="es-ES"/>
        </w:rPr>
      </w:pPr>
    </w:p>
    <w:p w:rsidR="001609F2" w:rsidRDefault="001609F2" w:rsidP="001609F2">
      <w:pPr>
        <w:tabs>
          <w:tab w:val="left" w:pos="4950"/>
        </w:tabs>
        <w:rPr>
          <w:lang w:val="es-ES"/>
        </w:rPr>
      </w:pPr>
      <w:r w:rsidRPr="00F668BC">
        <w:rPr>
          <w:lang w:val="es-ES"/>
        </w:rPr>
        <w:tab/>
        <w:t>[</w:t>
      </w:r>
      <w:r w:rsidR="00F668BC" w:rsidRPr="00F668BC">
        <w:rPr>
          <w:lang w:val="es-ES"/>
        </w:rPr>
        <w:t xml:space="preserve">Sigue el </w:t>
      </w:r>
      <w:r w:rsidRPr="00F668BC">
        <w:rPr>
          <w:rStyle w:val="Endofdocument-AnnexChar"/>
          <w:lang w:val="es-ES"/>
        </w:rPr>
        <w:t>Anex</w:t>
      </w:r>
      <w:r w:rsidR="00F668BC" w:rsidRPr="00F668BC">
        <w:rPr>
          <w:rStyle w:val="Endofdocument-AnnexChar"/>
          <w:lang w:val="es-ES"/>
        </w:rPr>
        <w:t>o</w:t>
      </w:r>
      <w:r w:rsidRPr="00F668BC">
        <w:rPr>
          <w:lang w:val="es-ES"/>
        </w:rPr>
        <w:t>]</w:t>
      </w:r>
    </w:p>
    <w:p w:rsidR="00FB38C1" w:rsidRPr="00F668BC" w:rsidRDefault="00FB38C1" w:rsidP="001609F2">
      <w:pPr>
        <w:tabs>
          <w:tab w:val="left" w:pos="4950"/>
        </w:tabs>
        <w:rPr>
          <w:lang w:val="es-ES"/>
        </w:rPr>
      </w:pPr>
    </w:p>
    <w:p w:rsidR="003419A9" w:rsidRPr="00F668BC" w:rsidRDefault="003419A9" w:rsidP="001609F2">
      <w:pPr>
        <w:pStyle w:val="ListParagraph"/>
        <w:ind w:left="5533"/>
        <w:rPr>
          <w:lang w:val="es-ES"/>
        </w:rPr>
        <w:sectPr w:rsidR="003419A9" w:rsidRPr="00F668BC" w:rsidSect="00CE3DD7">
          <w:headerReference w:type="default" r:id="rId9"/>
          <w:endnotePr>
            <w:numFmt w:val="decimal"/>
          </w:endnotePr>
          <w:pgSz w:w="11907" w:h="16840" w:code="9"/>
          <w:pgMar w:top="567" w:right="1134" w:bottom="1418" w:left="1418" w:header="510" w:footer="1021" w:gutter="0"/>
          <w:cols w:space="720"/>
          <w:titlePg/>
          <w:docGrid w:linePitch="299"/>
        </w:sectPr>
      </w:pPr>
    </w:p>
    <w:sdt>
      <w:sdtPr>
        <w:rPr>
          <w:rFonts w:asciiTheme="majorHAnsi" w:eastAsiaTheme="majorEastAsia" w:hAnsiTheme="majorHAnsi" w:cstheme="majorBidi"/>
          <w:caps/>
          <w:szCs w:val="22"/>
          <w:lang w:val="es-ES" w:eastAsia="en-US"/>
        </w:rPr>
        <w:id w:val="-1013531452"/>
        <w:docPartObj>
          <w:docPartGallery w:val="Cover Pages"/>
          <w:docPartUnique/>
        </w:docPartObj>
      </w:sdtPr>
      <w:sdtEndPr>
        <w:rPr>
          <w:rFonts w:ascii="Arial" w:eastAsia="SimSun" w:hAnsi="Arial" w:cs="Arial"/>
          <w:caps w:val="0"/>
          <w:lang w:eastAsia="zh-CN"/>
        </w:rPr>
      </w:sdtEndPr>
      <w:sdtContent>
        <w:bookmarkStart w:id="3" w:name="_Toc210105974" w:displacedByCustomXml="prev"/>
        <w:bookmarkStart w:id="4" w:name="_Toc318890938" w:displacedByCustomXml="prev"/>
        <w:p w:rsidR="003419A9" w:rsidRPr="00F668BC" w:rsidRDefault="00F23E02" w:rsidP="002631C5">
          <w:pPr>
            <w:rPr>
              <w:b/>
              <w:bCs/>
              <w:lang w:val="es-ES"/>
            </w:rPr>
          </w:pPr>
          <w:r>
            <w:rPr>
              <w:b/>
              <w:lang w:val="es-ES"/>
            </w:rPr>
            <w:t>RESUMEN</w:t>
          </w:r>
        </w:p>
        <w:p w:rsidR="003419A9" w:rsidRPr="00F668BC" w:rsidRDefault="003419A9" w:rsidP="00FA34CE">
          <w:pPr>
            <w:pStyle w:val="ListParagraph"/>
            <w:ind w:left="0"/>
            <w:rPr>
              <w:lang w:val="es-ES"/>
            </w:rPr>
          </w:pPr>
        </w:p>
        <w:p w:rsidR="003419A9" w:rsidRPr="00F668BC" w:rsidRDefault="00F23E02" w:rsidP="00F23E02">
          <w:pPr>
            <w:jc w:val="both"/>
            <w:rPr>
              <w:rFonts w:cstheme="minorHAnsi"/>
              <w:lang w:val="es-ES"/>
            </w:rPr>
          </w:pPr>
          <w:r>
            <w:rPr>
              <w:rFonts w:cstheme="minorHAnsi"/>
              <w:lang w:val="es-ES"/>
            </w:rPr>
            <w:t xml:space="preserve">En el presente documento se expone </w:t>
          </w:r>
          <w:r w:rsidRPr="00F668BC">
            <w:rPr>
              <w:lang w:val="es-ES"/>
            </w:rPr>
            <w:t>el informe</w:t>
          </w:r>
          <w:r>
            <w:rPr>
              <w:lang w:val="es-ES"/>
            </w:rPr>
            <w:t xml:space="preserve"> final</w:t>
          </w:r>
          <w:r w:rsidRPr="00F668BC">
            <w:rPr>
              <w:lang w:val="es-ES"/>
            </w:rPr>
            <w:t xml:space="preserve"> de evaluación del proyecto piloto para la creación de academias nacionales de P.I.</w:t>
          </w:r>
          <w:r w:rsidRPr="00F668BC">
            <w:rPr>
              <w:bCs/>
              <w:szCs w:val="22"/>
              <w:lang w:val="es-ES"/>
            </w:rPr>
            <w:t xml:space="preserve"> –</w:t>
          </w:r>
          <w:r w:rsidR="005E7144">
            <w:rPr>
              <w:bCs/>
              <w:szCs w:val="22"/>
              <w:lang w:val="es-ES"/>
            </w:rPr>
            <w:t xml:space="preserve"> </w:t>
          </w:r>
          <w:r w:rsidRPr="00F668BC">
            <w:rPr>
              <w:bCs/>
              <w:szCs w:val="22"/>
              <w:lang w:val="es-ES"/>
            </w:rPr>
            <w:t>Fase II</w:t>
          </w:r>
          <w:r>
            <w:rPr>
              <w:bCs/>
              <w:szCs w:val="22"/>
              <w:lang w:val="es-ES"/>
            </w:rPr>
            <w:t>.  Dicho proyecto fue aprobado durante la novena sesión del Comité de Desarrollo y Propiedad Intelectual (CDIP), en mayo de 2012</w:t>
          </w:r>
          <w:r w:rsidR="00945D18">
            <w:rPr>
              <w:bCs/>
              <w:szCs w:val="22"/>
              <w:lang w:val="es-ES"/>
            </w:rPr>
            <w:t>, con la finalidad de alcanzar los siguientes objetivos antes de finalizar el año 2013</w:t>
          </w:r>
          <w:r w:rsidR="003419A9" w:rsidRPr="00F668BC">
            <w:rPr>
              <w:rFonts w:cstheme="minorHAnsi"/>
              <w:lang w:val="es-ES"/>
            </w:rPr>
            <w:t>:</w:t>
          </w:r>
          <w:r w:rsidR="00310C35" w:rsidRPr="00F668BC">
            <w:rPr>
              <w:rFonts w:cstheme="minorHAnsi"/>
              <w:lang w:val="es-ES"/>
            </w:rPr>
            <w:br/>
          </w:r>
        </w:p>
        <w:p w:rsidR="003419A9" w:rsidRPr="00F668BC" w:rsidRDefault="00310C35" w:rsidP="0087475D">
          <w:pPr>
            <w:pStyle w:val="ListParagraph"/>
            <w:tabs>
              <w:tab w:val="left" w:pos="1134"/>
            </w:tabs>
            <w:ind w:left="567"/>
            <w:rPr>
              <w:rFonts w:cstheme="minorHAnsi"/>
              <w:lang w:val="es-ES"/>
            </w:rPr>
          </w:pPr>
          <w:r w:rsidRPr="00F668BC">
            <w:rPr>
              <w:rFonts w:cstheme="minorHAnsi"/>
              <w:lang w:val="es-ES"/>
            </w:rPr>
            <w:t>a)</w:t>
          </w:r>
          <w:r w:rsidRPr="00F668BC">
            <w:rPr>
              <w:rFonts w:cstheme="minorHAnsi"/>
              <w:lang w:val="es-ES"/>
            </w:rPr>
            <w:tab/>
          </w:r>
          <w:r w:rsidR="00945D18">
            <w:rPr>
              <w:rFonts w:cstheme="minorHAnsi"/>
              <w:lang w:val="es-ES"/>
            </w:rPr>
            <w:t>Ayudar a los seis países seleccionados</w:t>
          </w:r>
          <w:r w:rsidR="003419A9" w:rsidRPr="00F668BC">
            <w:rPr>
              <w:rFonts w:cstheme="minorHAnsi"/>
              <w:lang w:val="es-ES"/>
            </w:rPr>
            <w:t xml:space="preserve"> (Colombia, </w:t>
          </w:r>
          <w:r w:rsidR="00BD2CCD">
            <w:rPr>
              <w:rFonts w:cstheme="minorHAnsi"/>
              <w:lang w:val="es-ES"/>
            </w:rPr>
            <w:t xml:space="preserve">Egipto, Etiopía, </w:t>
          </w:r>
          <w:r w:rsidR="005E7144">
            <w:rPr>
              <w:rFonts w:cstheme="minorHAnsi"/>
              <w:lang w:val="es-ES"/>
            </w:rPr>
            <w:t xml:space="preserve">el </w:t>
          </w:r>
          <w:r w:rsidR="00BD2CCD">
            <w:rPr>
              <w:rFonts w:cstheme="minorHAnsi"/>
              <w:lang w:val="es-ES"/>
            </w:rPr>
            <w:t>Perú,</w:t>
          </w:r>
          <w:r w:rsidR="005E7144">
            <w:rPr>
              <w:rFonts w:cstheme="minorHAnsi"/>
              <w:lang w:val="es-ES"/>
            </w:rPr>
            <w:t xml:space="preserve"> la </w:t>
          </w:r>
          <w:r w:rsidR="00BD2CCD">
            <w:rPr>
              <w:rFonts w:cstheme="minorHAnsi"/>
              <w:lang w:val="es-ES"/>
            </w:rPr>
            <w:t>R</w:t>
          </w:r>
          <w:r w:rsidR="00945D18">
            <w:rPr>
              <w:rFonts w:cstheme="minorHAnsi"/>
              <w:lang w:val="es-ES"/>
            </w:rPr>
            <w:t>epública Dominicana y Túnez</w:t>
          </w:r>
          <w:r w:rsidR="003419A9" w:rsidRPr="00F668BC">
            <w:rPr>
              <w:rFonts w:cstheme="minorHAnsi"/>
              <w:lang w:val="es-ES"/>
            </w:rPr>
            <w:t xml:space="preserve">) </w:t>
          </w:r>
          <w:r w:rsidR="00BD2CCD">
            <w:rPr>
              <w:rFonts w:cstheme="minorHAnsi"/>
              <w:lang w:val="es-ES"/>
            </w:rPr>
            <w:t xml:space="preserve">a </w:t>
          </w:r>
          <w:r w:rsidR="00BD2CCD" w:rsidRPr="00BD2CCD">
            <w:rPr>
              <w:rFonts w:cstheme="minorHAnsi"/>
              <w:lang w:val="es-ES"/>
            </w:rPr>
            <w:t xml:space="preserve">crear centros de formación de P.I. autosuficientes capaces de </w:t>
          </w:r>
          <w:r w:rsidR="009A59AD">
            <w:rPr>
              <w:rFonts w:cstheme="minorHAnsi"/>
              <w:lang w:val="es-ES"/>
            </w:rPr>
            <w:t>impartir</w:t>
          </w:r>
          <w:r w:rsidR="00BD2CCD" w:rsidRPr="00BD2CCD">
            <w:rPr>
              <w:rFonts w:cstheme="minorHAnsi"/>
              <w:lang w:val="es-ES"/>
            </w:rPr>
            <w:t xml:space="preserve"> al menos dos programas regulares de formación sobre nuevas cuestiones en la esfera de la P.I.</w:t>
          </w:r>
          <w:r w:rsidRPr="00F668BC">
            <w:rPr>
              <w:rFonts w:cstheme="minorHAnsi"/>
              <w:lang w:val="es-ES"/>
            </w:rPr>
            <w:t>;</w:t>
          </w:r>
          <w:r w:rsidRPr="00F668BC">
            <w:rPr>
              <w:rFonts w:cstheme="minorHAnsi"/>
              <w:lang w:val="es-ES"/>
            </w:rPr>
            <w:br/>
          </w:r>
        </w:p>
        <w:p w:rsidR="003419A9" w:rsidRPr="00F668BC" w:rsidRDefault="00310C35" w:rsidP="0087475D">
          <w:pPr>
            <w:pStyle w:val="ListParagraph"/>
            <w:ind w:left="567"/>
            <w:rPr>
              <w:rFonts w:cstheme="minorHAnsi"/>
              <w:lang w:val="es-ES"/>
            </w:rPr>
          </w:pPr>
          <w:r w:rsidRPr="00F668BC">
            <w:rPr>
              <w:rFonts w:cstheme="minorHAnsi"/>
              <w:lang w:val="es-ES"/>
            </w:rPr>
            <w:t>b)</w:t>
          </w:r>
          <w:r w:rsidRPr="00F668BC">
            <w:rPr>
              <w:rFonts w:cstheme="minorHAnsi"/>
              <w:lang w:val="es-ES"/>
            </w:rPr>
            <w:tab/>
          </w:r>
          <w:r w:rsidR="00BD2CCD" w:rsidRPr="00BD2CCD">
            <w:rPr>
              <w:rFonts w:cstheme="minorHAnsi"/>
              <w:lang w:val="es-ES"/>
            </w:rPr>
            <w:t>Generar los recursos humanos esenciales para desarrollar y proporcionar programas de formación sobre P.I. que tengan en cuenta los problemas y prioridades nacionales en materia de desarrollo, y las necesidades locales y el equilibrio adecuado entre los derechos de P.I. y el interés público</w:t>
          </w:r>
          <w:r w:rsidR="00BD2CCD">
            <w:rPr>
              <w:rFonts w:cstheme="minorHAnsi"/>
              <w:lang w:val="es-ES"/>
            </w:rPr>
            <w:t>;</w:t>
          </w:r>
          <w:r w:rsidRPr="00F668BC">
            <w:rPr>
              <w:rFonts w:cstheme="minorHAnsi"/>
              <w:lang w:val="es-ES"/>
            </w:rPr>
            <w:br/>
          </w:r>
        </w:p>
        <w:p w:rsidR="003419A9" w:rsidRPr="00F668BC" w:rsidRDefault="00310C35" w:rsidP="0087475D">
          <w:pPr>
            <w:pStyle w:val="ListParagraph"/>
            <w:ind w:left="567"/>
            <w:rPr>
              <w:rFonts w:cstheme="minorHAnsi"/>
              <w:lang w:val="es-ES"/>
            </w:rPr>
          </w:pPr>
          <w:r w:rsidRPr="00F668BC">
            <w:rPr>
              <w:rFonts w:cstheme="minorHAnsi"/>
              <w:lang w:val="es-ES"/>
            </w:rPr>
            <w:t>c)</w:t>
          </w:r>
          <w:r w:rsidRPr="00F668BC">
            <w:rPr>
              <w:rFonts w:cstheme="minorHAnsi"/>
              <w:lang w:val="es-ES"/>
            </w:rPr>
            <w:tab/>
          </w:r>
          <w:r w:rsidR="009A59AD">
            <w:rPr>
              <w:rFonts w:cstheme="minorHAnsi"/>
              <w:lang w:val="es-ES"/>
            </w:rPr>
            <w:t>E</w:t>
          </w:r>
          <w:r w:rsidR="00BD2CCD" w:rsidRPr="00BD2CCD">
            <w:rPr>
              <w:rFonts w:cstheme="minorHAnsi"/>
              <w:lang w:val="es-ES"/>
            </w:rPr>
            <w:t>laborar un conjunto de herramientas y directrices que sirvan de referencia para otros Estados miembros que deseen crear sus propias instituciones de formación</w:t>
          </w:r>
          <w:r w:rsidR="00CD2589">
            <w:rPr>
              <w:rFonts w:cstheme="minorHAnsi"/>
              <w:lang w:val="es-ES"/>
            </w:rPr>
            <w:t>;</w:t>
          </w:r>
          <w:r w:rsidRPr="00F668BC">
            <w:rPr>
              <w:rFonts w:cstheme="minorHAnsi"/>
              <w:lang w:val="es-ES"/>
            </w:rPr>
            <w:br/>
          </w:r>
        </w:p>
        <w:p w:rsidR="003419A9" w:rsidRPr="00F668BC" w:rsidRDefault="00310C35" w:rsidP="0087475D">
          <w:pPr>
            <w:pStyle w:val="ListParagraph"/>
            <w:ind w:left="567"/>
            <w:rPr>
              <w:rFonts w:cstheme="minorHAnsi"/>
              <w:lang w:val="es-ES"/>
            </w:rPr>
          </w:pPr>
          <w:r w:rsidRPr="00F668BC">
            <w:rPr>
              <w:rFonts w:cstheme="minorHAnsi"/>
              <w:lang w:val="es-ES"/>
            </w:rPr>
            <w:t>(d)</w:t>
          </w:r>
          <w:r w:rsidRPr="00F668BC">
            <w:rPr>
              <w:rFonts w:cstheme="minorHAnsi"/>
              <w:lang w:val="es-ES"/>
            </w:rPr>
            <w:tab/>
          </w:r>
          <w:r w:rsidR="00BD2CCD" w:rsidRPr="00BD2CCD">
            <w:rPr>
              <w:rFonts w:cstheme="minorHAnsi"/>
              <w:lang w:val="es-ES"/>
            </w:rPr>
            <w:t xml:space="preserve">Contribuir </w:t>
          </w:r>
          <w:r w:rsidR="00BD2CCD">
            <w:rPr>
              <w:rFonts w:cstheme="minorHAnsi"/>
              <w:lang w:val="es-ES"/>
            </w:rPr>
            <w:t>a</w:t>
          </w:r>
          <w:r w:rsidR="00BD2CCD" w:rsidRPr="00BD2CCD">
            <w:rPr>
              <w:rFonts w:cstheme="minorHAnsi"/>
              <w:lang w:val="es-ES"/>
            </w:rPr>
            <w:t xml:space="preserve"> la creación de un foro de debate sobre el uso de la P.I. para el desarrollo social y económico a escala nacional y regional</w:t>
          </w:r>
          <w:r w:rsidR="003419A9" w:rsidRPr="00F668BC">
            <w:rPr>
              <w:rFonts w:cstheme="minorHAnsi"/>
              <w:lang w:val="es-ES"/>
            </w:rPr>
            <w:t>.</w:t>
          </w:r>
        </w:p>
        <w:p w:rsidR="003419A9" w:rsidRPr="00F668BC" w:rsidRDefault="003419A9" w:rsidP="00FA34CE">
          <w:pPr>
            <w:tabs>
              <w:tab w:val="left" w:pos="5865"/>
            </w:tabs>
            <w:rPr>
              <w:rFonts w:cstheme="minorHAnsi"/>
              <w:lang w:val="es-ES"/>
            </w:rPr>
          </w:pPr>
        </w:p>
        <w:p w:rsidR="003419A9" w:rsidRPr="00F668BC" w:rsidRDefault="007B6708" w:rsidP="00FA34CE">
          <w:pPr>
            <w:rPr>
              <w:rFonts w:cstheme="minorHAnsi"/>
              <w:lang w:val="es-ES"/>
            </w:rPr>
          </w:pPr>
          <w:r w:rsidRPr="007B6708">
            <w:rPr>
              <w:rFonts w:cstheme="minorHAnsi"/>
              <w:lang w:val="es-ES"/>
            </w:rPr>
            <w:t>El proyecto se ejecutó bajo la supervisión de un director de proyecto</w:t>
          </w:r>
          <w:r w:rsidR="003419A9" w:rsidRPr="00F668BC">
            <w:rPr>
              <w:rFonts w:cstheme="minorHAnsi"/>
              <w:lang w:val="es-ES"/>
            </w:rPr>
            <w:t xml:space="preserve"> (</w:t>
          </w:r>
          <w:r>
            <w:rPr>
              <w:rFonts w:cstheme="minorHAnsi"/>
              <w:lang w:val="es-ES"/>
            </w:rPr>
            <w:t xml:space="preserve">el </w:t>
          </w:r>
          <w:r w:rsidR="003419A9" w:rsidRPr="00F668BC">
            <w:rPr>
              <w:rFonts w:cstheme="minorHAnsi"/>
              <w:lang w:val="es-ES"/>
            </w:rPr>
            <w:t xml:space="preserve">Director </w:t>
          </w:r>
          <w:r>
            <w:rPr>
              <w:rFonts w:cstheme="minorHAnsi"/>
              <w:lang w:val="es-ES"/>
            </w:rPr>
            <w:t>de la Academia de la OMPI</w:t>
          </w:r>
          <w:r w:rsidR="003419A9" w:rsidRPr="00F668BC">
            <w:rPr>
              <w:rFonts w:cstheme="minorHAnsi"/>
              <w:lang w:val="es-ES"/>
            </w:rPr>
            <w:t xml:space="preserve">) </w:t>
          </w:r>
          <w:r>
            <w:rPr>
              <w:rFonts w:cstheme="minorHAnsi"/>
              <w:lang w:val="es-ES"/>
            </w:rPr>
            <w:t>con ayuda de un oficial de programas.  La fase I del proyecto se llevó a cabo entre abril de 2009 y octubre de 2011.</w:t>
          </w:r>
        </w:p>
        <w:p w:rsidR="003419A9" w:rsidRPr="00F668BC" w:rsidRDefault="007B6708" w:rsidP="00FA34CE">
          <w:pPr>
            <w:rPr>
              <w:rFonts w:cstheme="minorHAnsi"/>
              <w:lang w:val="es-ES"/>
            </w:rPr>
          </w:pPr>
          <w:r>
            <w:rPr>
              <w:rFonts w:cstheme="minorHAnsi"/>
              <w:lang w:val="es-ES"/>
            </w:rPr>
            <w:t>La presente evaluación ha sido realizada por una consultora independiente y con arreglo a la siguiente metodología</w:t>
          </w:r>
          <w:r w:rsidR="003419A9" w:rsidRPr="00F668BC">
            <w:rPr>
              <w:rFonts w:cstheme="minorHAnsi"/>
              <w:lang w:val="es-ES"/>
            </w:rPr>
            <w:t>:</w:t>
          </w:r>
          <w:r w:rsidR="00BF15A0" w:rsidRPr="00F668BC">
            <w:rPr>
              <w:rFonts w:cstheme="minorHAnsi"/>
              <w:lang w:val="es-ES"/>
            </w:rPr>
            <w:br/>
          </w:r>
        </w:p>
        <w:p w:rsidR="003419A9" w:rsidRPr="00F668BC" w:rsidRDefault="007B6708" w:rsidP="007B6708">
          <w:pPr>
            <w:pStyle w:val="ListParagraph"/>
            <w:numPr>
              <w:ilvl w:val="0"/>
              <w:numId w:val="6"/>
            </w:numPr>
            <w:spacing w:after="200" w:line="276" w:lineRule="auto"/>
            <w:rPr>
              <w:rFonts w:cstheme="minorHAnsi"/>
              <w:szCs w:val="22"/>
              <w:lang w:val="es-ES"/>
            </w:rPr>
          </w:pPr>
          <w:r w:rsidRPr="007B6708">
            <w:rPr>
              <w:rFonts w:cstheme="minorHAnsi"/>
              <w:szCs w:val="22"/>
              <w:lang w:val="es-ES"/>
            </w:rPr>
            <w:t>Entrevistas con los principales interesados del equipo del proyecto, la Secretaría de la OMPI y los Estados miembros</w:t>
          </w:r>
          <w:r w:rsidR="009A59AD">
            <w:rPr>
              <w:rFonts w:cstheme="minorHAnsi"/>
              <w:szCs w:val="22"/>
              <w:lang w:val="es-ES"/>
            </w:rPr>
            <w:t xml:space="preserve"> </w:t>
          </w:r>
          <w:r w:rsidR="003A1A25">
            <w:rPr>
              <w:rFonts w:cstheme="minorHAnsi"/>
              <w:szCs w:val="22"/>
              <w:lang w:val="es-ES"/>
            </w:rPr>
            <w:t>y academias que han recibido apoyo en el marco del proyecto</w:t>
          </w:r>
          <w:r w:rsidR="00667DFF" w:rsidRPr="00F668BC">
            <w:rPr>
              <w:rFonts w:cstheme="minorHAnsi"/>
              <w:szCs w:val="22"/>
              <w:lang w:val="es-ES"/>
            </w:rPr>
            <w:t>;</w:t>
          </w:r>
        </w:p>
        <w:p w:rsidR="003419A9" w:rsidRPr="00F668BC" w:rsidRDefault="003A1A25" w:rsidP="00E87F2A">
          <w:pPr>
            <w:pStyle w:val="ListParagraph"/>
            <w:numPr>
              <w:ilvl w:val="0"/>
              <w:numId w:val="6"/>
            </w:numPr>
            <w:spacing w:after="200" w:line="276" w:lineRule="auto"/>
            <w:rPr>
              <w:rFonts w:cstheme="minorHAnsi"/>
              <w:szCs w:val="22"/>
              <w:lang w:val="es-ES"/>
            </w:rPr>
          </w:pPr>
          <w:r>
            <w:rPr>
              <w:rFonts w:cstheme="minorHAnsi"/>
              <w:szCs w:val="22"/>
              <w:lang w:val="es-ES"/>
            </w:rPr>
            <w:t>Examen de documentos esenciales</w:t>
          </w:r>
          <w:r w:rsidR="00667DFF" w:rsidRPr="00F668BC">
            <w:rPr>
              <w:rFonts w:cstheme="minorHAnsi"/>
              <w:szCs w:val="22"/>
              <w:lang w:val="es-ES"/>
            </w:rPr>
            <w:t>;</w:t>
          </w:r>
        </w:p>
        <w:p w:rsidR="003419A9" w:rsidRPr="00F668BC" w:rsidRDefault="003419A9" w:rsidP="00E87F2A">
          <w:pPr>
            <w:pStyle w:val="ListParagraph"/>
            <w:numPr>
              <w:ilvl w:val="0"/>
              <w:numId w:val="6"/>
            </w:numPr>
            <w:spacing w:after="200" w:line="276" w:lineRule="auto"/>
            <w:rPr>
              <w:rFonts w:cstheme="minorHAnsi"/>
              <w:szCs w:val="22"/>
              <w:lang w:val="es-ES"/>
            </w:rPr>
          </w:pPr>
          <w:r w:rsidRPr="00F668BC">
            <w:rPr>
              <w:rFonts w:cstheme="minorHAnsi"/>
              <w:szCs w:val="22"/>
              <w:lang w:val="es-ES"/>
            </w:rPr>
            <w:t>Incorpora</w:t>
          </w:r>
          <w:r w:rsidR="003A1A25">
            <w:rPr>
              <w:rFonts w:cstheme="minorHAnsi"/>
              <w:szCs w:val="22"/>
              <w:lang w:val="es-ES"/>
            </w:rPr>
            <w:t xml:space="preserve">ción de </w:t>
          </w:r>
          <w:r w:rsidR="00437547">
            <w:rPr>
              <w:rFonts w:cstheme="minorHAnsi"/>
              <w:szCs w:val="22"/>
              <w:lang w:val="es-ES"/>
            </w:rPr>
            <w:t xml:space="preserve">aclaraciones concretas </w:t>
          </w:r>
          <w:r w:rsidR="003A1A25">
            <w:rPr>
              <w:rFonts w:cstheme="minorHAnsi"/>
              <w:szCs w:val="22"/>
              <w:lang w:val="es-ES"/>
            </w:rPr>
            <w:t>de la Secretaría de la OMPI al informe</w:t>
          </w:r>
          <w:r w:rsidRPr="00F668BC">
            <w:rPr>
              <w:rFonts w:cstheme="minorHAnsi"/>
              <w:szCs w:val="22"/>
              <w:lang w:val="es-ES"/>
            </w:rPr>
            <w:t xml:space="preserve"> </w:t>
          </w:r>
          <w:r w:rsidR="00437547">
            <w:rPr>
              <w:rFonts w:cstheme="minorHAnsi"/>
              <w:szCs w:val="22"/>
              <w:lang w:val="es-ES"/>
            </w:rPr>
            <w:t>final de evaluación</w:t>
          </w:r>
          <w:r w:rsidR="00667DFF" w:rsidRPr="00F668BC">
            <w:rPr>
              <w:rFonts w:cstheme="minorHAnsi"/>
              <w:szCs w:val="22"/>
              <w:lang w:val="es-ES"/>
            </w:rPr>
            <w:t>.</w:t>
          </w:r>
        </w:p>
        <w:p w:rsidR="003419A9" w:rsidRPr="00F668BC" w:rsidRDefault="00437547" w:rsidP="00FA34CE">
          <w:pPr>
            <w:rPr>
              <w:rFonts w:cstheme="minorHAnsi"/>
              <w:lang w:val="es-ES"/>
            </w:rPr>
          </w:pPr>
          <w:r w:rsidRPr="00437547">
            <w:rPr>
              <w:rFonts w:cstheme="minorHAnsi"/>
              <w:lang w:val="es-ES"/>
            </w:rPr>
            <w:t xml:space="preserve">Los objetivos de la evaluación consisten en entender qué aspectos del proyecto han funcionado satisfactoriamente y cuáles no lo han hecho, evaluando </w:t>
          </w:r>
          <w:r w:rsidR="009A59AD">
            <w:rPr>
              <w:rFonts w:cstheme="minorHAnsi"/>
              <w:lang w:val="es-ES"/>
            </w:rPr>
            <w:t xml:space="preserve">con ese fin el marco conceptual y </w:t>
          </w:r>
          <w:r w:rsidRPr="00437547">
            <w:rPr>
              <w:rFonts w:cstheme="minorHAnsi"/>
              <w:lang w:val="es-ES"/>
            </w:rPr>
            <w:t>la gestión del proyecto</w:t>
          </w:r>
          <w:r w:rsidR="009A59AD">
            <w:rPr>
              <w:rFonts w:cstheme="minorHAnsi"/>
              <w:lang w:val="es-ES"/>
            </w:rPr>
            <w:t xml:space="preserve"> así como</w:t>
          </w:r>
          <w:r w:rsidRPr="00437547">
            <w:rPr>
              <w:rFonts w:cstheme="minorHAnsi"/>
              <w:lang w:val="es-ES"/>
            </w:rPr>
            <w:t xml:space="preserve"> los resultados obtenidos hasta la fecha  y la probabilidad de que los resultados obtenidos sean sostenibles</w:t>
          </w:r>
          <w:r w:rsidR="003419A9" w:rsidRPr="00F668BC">
            <w:rPr>
              <w:rFonts w:cstheme="minorHAnsi"/>
              <w:lang w:val="es-ES"/>
            </w:rPr>
            <w:t>.</w:t>
          </w:r>
        </w:p>
        <w:p w:rsidR="00667DFF" w:rsidRPr="00F668BC" w:rsidRDefault="00667DFF" w:rsidP="00FA34CE">
          <w:pPr>
            <w:rPr>
              <w:rFonts w:cstheme="minorHAnsi"/>
              <w:lang w:val="es-ES"/>
            </w:rPr>
          </w:pPr>
        </w:p>
        <w:p w:rsidR="003419A9" w:rsidRPr="00F668BC" w:rsidRDefault="007A49AB" w:rsidP="00FA34CE">
          <w:pPr>
            <w:rPr>
              <w:rFonts w:cstheme="minorHAnsi"/>
              <w:b/>
              <w:lang w:val="es-ES"/>
            </w:rPr>
          </w:pPr>
          <w:r>
            <w:rPr>
              <w:rFonts w:cstheme="minorHAnsi"/>
              <w:b/>
              <w:lang w:val="es-ES"/>
            </w:rPr>
            <w:t>Conclusiones principales</w:t>
          </w:r>
        </w:p>
        <w:p w:rsidR="00667DFF" w:rsidRPr="00F668BC" w:rsidRDefault="00667DFF" w:rsidP="00FA34CE">
          <w:pPr>
            <w:rPr>
              <w:rFonts w:cstheme="minorHAnsi"/>
              <w:b/>
              <w:lang w:val="es-ES"/>
            </w:rPr>
          </w:pPr>
        </w:p>
        <w:p w:rsidR="003419A9" w:rsidRPr="00F668BC" w:rsidRDefault="007A49AB" w:rsidP="00DD7458">
          <w:pPr>
            <w:ind w:left="360"/>
            <w:rPr>
              <w:rFonts w:cstheme="minorHAnsi"/>
              <w:lang w:val="es-ES"/>
            </w:rPr>
          </w:pPr>
          <w:r>
            <w:rPr>
              <w:rFonts w:cstheme="minorHAnsi"/>
              <w:lang w:val="es-ES"/>
            </w:rPr>
            <w:t>Se exponen conclusiones en cada uno de los ámbitos en los que se ha centrado la evaluación</w:t>
          </w:r>
          <w:r w:rsidR="003419A9" w:rsidRPr="00F668BC">
            <w:rPr>
              <w:rFonts w:cstheme="minorHAnsi"/>
              <w:lang w:val="es-ES"/>
            </w:rPr>
            <w:t>:</w:t>
          </w:r>
          <w:r w:rsidR="00667DFF" w:rsidRPr="00F668BC">
            <w:rPr>
              <w:rFonts w:cstheme="minorHAnsi"/>
              <w:lang w:val="es-ES"/>
            </w:rPr>
            <w:br/>
          </w:r>
        </w:p>
        <w:p w:rsidR="003419A9" w:rsidRPr="00F668BC" w:rsidRDefault="007A49AB" w:rsidP="00E87F2A">
          <w:pPr>
            <w:pStyle w:val="ListParagraph"/>
            <w:numPr>
              <w:ilvl w:val="0"/>
              <w:numId w:val="7"/>
            </w:numPr>
            <w:spacing w:after="200" w:line="276" w:lineRule="auto"/>
            <w:ind w:left="1080"/>
            <w:rPr>
              <w:rFonts w:cstheme="minorHAnsi"/>
              <w:szCs w:val="22"/>
              <w:lang w:val="es-ES"/>
            </w:rPr>
          </w:pPr>
          <w:r>
            <w:rPr>
              <w:rFonts w:cstheme="minorHAnsi"/>
              <w:szCs w:val="22"/>
              <w:lang w:val="es-ES"/>
            </w:rPr>
            <w:t>Concepción y gestión del proyecto</w:t>
          </w:r>
        </w:p>
        <w:p w:rsidR="003419A9" w:rsidRPr="00F668BC" w:rsidRDefault="007A49AB" w:rsidP="00E87F2A">
          <w:pPr>
            <w:pStyle w:val="ListParagraph"/>
            <w:numPr>
              <w:ilvl w:val="0"/>
              <w:numId w:val="7"/>
            </w:numPr>
            <w:spacing w:after="200" w:line="276" w:lineRule="auto"/>
            <w:ind w:left="1080"/>
            <w:rPr>
              <w:rFonts w:cstheme="minorHAnsi"/>
              <w:szCs w:val="22"/>
              <w:lang w:val="es-ES"/>
            </w:rPr>
          </w:pPr>
          <w:r>
            <w:rPr>
              <w:rFonts w:cstheme="minorHAnsi"/>
              <w:szCs w:val="22"/>
              <w:lang w:val="es-ES"/>
            </w:rPr>
            <w:t>Eficacia del proyecto</w:t>
          </w:r>
        </w:p>
        <w:p w:rsidR="003419A9" w:rsidRPr="00F668BC" w:rsidRDefault="009A59AD" w:rsidP="00E87F2A">
          <w:pPr>
            <w:pStyle w:val="ListParagraph"/>
            <w:numPr>
              <w:ilvl w:val="0"/>
              <w:numId w:val="7"/>
            </w:numPr>
            <w:spacing w:after="200" w:line="276" w:lineRule="auto"/>
            <w:ind w:left="1080"/>
            <w:rPr>
              <w:rFonts w:cstheme="minorHAnsi"/>
              <w:szCs w:val="22"/>
              <w:lang w:val="es-ES"/>
            </w:rPr>
          </w:pPr>
          <w:r>
            <w:rPr>
              <w:rFonts w:cstheme="minorHAnsi"/>
              <w:szCs w:val="22"/>
              <w:lang w:val="es-ES"/>
            </w:rPr>
            <w:t>Autosuficiencia</w:t>
          </w:r>
          <w:r w:rsidR="007A49AB">
            <w:rPr>
              <w:rFonts w:cstheme="minorHAnsi"/>
              <w:szCs w:val="22"/>
              <w:lang w:val="es-ES"/>
            </w:rPr>
            <w:t xml:space="preserve"> del proyecto</w:t>
          </w:r>
        </w:p>
        <w:p w:rsidR="003419A9" w:rsidRDefault="003419A9" w:rsidP="00FA34CE">
          <w:pPr>
            <w:rPr>
              <w:rFonts w:cstheme="minorHAnsi"/>
              <w:b/>
              <w:i/>
              <w:lang w:val="es-ES"/>
            </w:rPr>
          </w:pPr>
        </w:p>
        <w:p w:rsidR="00B941B1" w:rsidRDefault="00B941B1" w:rsidP="00FA34CE">
          <w:pPr>
            <w:rPr>
              <w:rFonts w:cstheme="minorHAnsi"/>
              <w:b/>
              <w:i/>
              <w:lang w:val="es-ES"/>
            </w:rPr>
          </w:pPr>
        </w:p>
        <w:p w:rsidR="00B941B1" w:rsidRPr="00F668BC" w:rsidRDefault="00B941B1" w:rsidP="00FA34CE">
          <w:pPr>
            <w:rPr>
              <w:rFonts w:cstheme="minorHAnsi"/>
              <w:b/>
              <w:i/>
              <w:lang w:val="es-ES"/>
            </w:rPr>
          </w:pPr>
          <w:bookmarkStart w:id="5" w:name="_GoBack"/>
          <w:bookmarkEnd w:id="5"/>
        </w:p>
        <w:p w:rsidR="003419A9" w:rsidRPr="00F668BC" w:rsidRDefault="005B3B8B" w:rsidP="00FA34CE">
          <w:pPr>
            <w:rPr>
              <w:rFonts w:cstheme="minorHAnsi"/>
              <w:b/>
              <w:i/>
              <w:lang w:val="es-ES"/>
            </w:rPr>
          </w:pPr>
          <w:r>
            <w:rPr>
              <w:rFonts w:cstheme="minorHAnsi"/>
              <w:b/>
              <w:i/>
              <w:lang w:val="es-ES"/>
            </w:rPr>
            <w:lastRenderedPageBreak/>
            <w:t>Concepción y gestión del proyecto</w:t>
          </w:r>
          <w:r w:rsidR="00667DFF" w:rsidRPr="00F668BC">
            <w:rPr>
              <w:rFonts w:cstheme="minorHAnsi"/>
              <w:b/>
              <w:i/>
              <w:lang w:val="es-ES"/>
            </w:rPr>
            <w:br/>
          </w:r>
        </w:p>
        <w:tbl>
          <w:tblPr>
            <w:tblStyle w:val="TableGrid"/>
            <w:tblW w:w="0" w:type="auto"/>
            <w:tblLook w:val="04A0" w:firstRow="1" w:lastRow="0" w:firstColumn="1" w:lastColumn="0" w:noHBand="0" w:noVBand="1"/>
          </w:tblPr>
          <w:tblGrid>
            <w:gridCol w:w="9180"/>
          </w:tblGrid>
          <w:tr w:rsidR="003419A9" w:rsidRPr="00B941B1" w:rsidTr="00667DFF">
            <w:tc>
              <w:tcPr>
                <w:tcW w:w="9180" w:type="dxa"/>
              </w:tcPr>
              <w:p w:rsidR="003419A9" w:rsidRPr="00F668BC" w:rsidRDefault="005B3B8B" w:rsidP="00294BC7">
                <w:pPr>
                  <w:jc w:val="left"/>
                  <w:rPr>
                    <w:lang w:val="es-ES"/>
                  </w:rPr>
                </w:pPr>
                <w:r>
                  <w:rPr>
                    <w:b/>
                    <w:i/>
                    <w:lang w:val="es-ES"/>
                  </w:rPr>
                  <w:t>Conclusión</w:t>
                </w:r>
                <w:r w:rsidR="003419A9" w:rsidRPr="00F668BC">
                  <w:rPr>
                    <w:b/>
                    <w:i/>
                    <w:lang w:val="es-ES"/>
                  </w:rPr>
                  <w:t xml:space="preserve"> 1:</w:t>
                </w:r>
                <w:r w:rsidR="003419A9" w:rsidRPr="00F668BC">
                  <w:rPr>
                    <w:b/>
                    <w:i/>
                    <w:lang w:val="es-ES"/>
                  </w:rPr>
                  <w:tab/>
                </w:r>
                <w:r>
                  <w:rPr>
                    <w:i/>
                    <w:lang w:val="es-ES"/>
                  </w:rPr>
                  <w:t>La documentación y el enfoque de la fase II del proyecto son detallados y en ellos se han tenido en cuenta algunas pero no todas las recomendaciones derivadas de la evaluación de la fase I</w:t>
                </w:r>
                <w:r w:rsidR="003419A9" w:rsidRPr="00F668BC">
                  <w:rPr>
                    <w:i/>
                    <w:lang w:val="es-ES"/>
                  </w:rPr>
                  <w:t>.</w:t>
                </w:r>
              </w:p>
            </w:tc>
          </w:tr>
          <w:tr w:rsidR="003419A9" w:rsidRPr="00B941B1" w:rsidTr="00667DFF">
            <w:tc>
              <w:tcPr>
                <w:tcW w:w="9180" w:type="dxa"/>
              </w:tcPr>
              <w:p w:rsidR="003419A9" w:rsidRPr="00F668BC" w:rsidRDefault="00BD4F93" w:rsidP="00BD4F93">
                <w:pPr>
                  <w:jc w:val="left"/>
                  <w:rPr>
                    <w:lang w:val="es-ES"/>
                  </w:rPr>
                </w:pPr>
                <w:r>
                  <w:rPr>
                    <w:b/>
                    <w:i/>
                    <w:lang w:val="es-ES"/>
                  </w:rPr>
                  <w:t>Conclusión</w:t>
                </w:r>
                <w:r w:rsidR="003419A9" w:rsidRPr="00F668BC">
                  <w:rPr>
                    <w:b/>
                    <w:i/>
                    <w:lang w:val="es-ES"/>
                  </w:rPr>
                  <w:t xml:space="preserve"> 2:</w:t>
                </w:r>
                <w:r w:rsidR="003419A9" w:rsidRPr="00F668BC">
                  <w:rPr>
                    <w:b/>
                    <w:i/>
                    <w:lang w:val="es-ES"/>
                  </w:rPr>
                  <w:tab/>
                </w:r>
                <w:r>
                  <w:rPr>
                    <w:i/>
                    <w:lang w:val="es-ES"/>
                  </w:rPr>
                  <w:t>En la documentación del proyecto se prevén varios riesgos internos y externos que pueden interponerse a la ejecución y realización del proyecto</w:t>
                </w:r>
                <w:r w:rsidR="003419A9" w:rsidRPr="00F668BC">
                  <w:rPr>
                    <w:i/>
                    <w:lang w:val="es-ES"/>
                  </w:rPr>
                  <w:t>.</w:t>
                </w:r>
              </w:p>
            </w:tc>
          </w:tr>
          <w:tr w:rsidR="003419A9" w:rsidRPr="00B941B1" w:rsidTr="00667DFF">
            <w:tc>
              <w:tcPr>
                <w:tcW w:w="9180" w:type="dxa"/>
              </w:tcPr>
              <w:p w:rsidR="003419A9" w:rsidRPr="00F668BC" w:rsidRDefault="00BD4F93" w:rsidP="00966467">
                <w:pPr>
                  <w:jc w:val="left"/>
                  <w:rPr>
                    <w:i/>
                    <w:lang w:val="es-ES"/>
                  </w:rPr>
                </w:pPr>
                <w:r>
                  <w:rPr>
                    <w:b/>
                    <w:i/>
                    <w:lang w:val="es-ES"/>
                  </w:rPr>
                  <w:t xml:space="preserve">Conclusión </w:t>
                </w:r>
                <w:r w:rsidR="003419A9" w:rsidRPr="00F668BC">
                  <w:rPr>
                    <w:b/>
                    <w:i/>
                    <w:lang w:val="es-ES"/>
                  </w:rPr>
                  <w:t>3:</w:t>
                </w:r>
                <w:r w:rsidR="003419A9" w:rsidRPr="00F668BC">
                  <w:rPr>
                    <w:b/>
                    <w:i/>
                    <w:lang w:val="es-ES"/>
                  </w:rPr>
                  <w:tab/>
                </w:r>
                <w:r w:rsidR="00CD2589">
                  <w:rPr>
                    <w:i/>
                    <w:lang w:val="es-ES"/>
                  </w:rPr>
                  <w:t xml:space="preserve">Algunas </w:t>
                </w:r>
                <w:r w:rsidR="00620771">
                  <w:rPr>
                    <w:i/>
                    <w:lang w:val="es-ES"/>
                  </w:rPr>
                  <w:t>o</w:t>
                </w:r>
                <w:r>
                  <w:rPr>
                    <w:i/>
                    <w:lang w:val="es-ES"/>
                  </w:rPr>
                  <w:t xml:space="preserve">ficinas </w:t>
                </w:r>
                <w:r w:rsidR="00620771">
                  <w:rPr>
                    <w:i/>
                    <w:lang w:val="es-ES"/>
                  </w:rPr>
                  <w:t>r</w:t>
                </w:r>
                <w:r>
                  <w:rPr>
                    <w:i/>
                    <w:lang w:val="es-ES"/>
                  </w:rPr>
                  <w:t>egionales de la OMPI han desempeñado una función limitada en la fase II del proyecto a pesar de la importante funci</w:t>
                </w:r>
                <w:r w:rsidR="00620771">
                  <w:rPr>
                    <w:i/>
                    <w:lang w:val="es-ES"/>
                  </w:rPr>
                  <w:t>ón que les incumbe como responsables de velar por que se apliquen</w:t>
                </w:r>
                <w:r>
                  <w:rPr>
                    <w:i/>
                    <w:lang w:val="es-ES"/>
                  </w:rPr>
                  <w:t xml:space="preserve"> estrategias de P.I</w:t>
                </w:r>
                <w:r w:rsidR="00620771">
                  <w:rPr>
                    <w:i/>
                    <w:lang w:val="es-ES"/>
                  </w:rPr>
                  <w:t xml:space="preserve"> a nivel nacional</w:t>
                </w:r>
                <w:r>
                  <w:rPr>
                    <w:i/>
                    <w:lang w:val="es-ES"/>
                  </w:rPr>
                  <w:t>.</w:t>
                </w:r>
                <w:r w:rsidR="00CD2589">
                  <w:rPr>
                    <w:i/>
                    <w:lang w:val="es-ES"/>
                  </w:rPr>
                  <w:t xml:space="preserve">  La Academia de la OMPI ha intentado colaborar con las oficinas pero </w:t>
                </w:r>
                <w:r w:rsidR="00966467">
                  <w:rPr>
                    <w:i/>
                    <w:lang w:val="es-ES"/>
                  </w:rPr>
                  <w:t xml:space="preserve">la </w:t>
                </w:r>
                <w:r w:rsidR="00CD2589">
                  <w:rPr>
                    <w:i/>
                    <w:lang w:val="es-ES"/>
                  </w:rPr>
                  <w:t xml:space="preserve">participación </w:t>
                </w:r>
                <w:r w:rsidR="00966467">
                  <w:rPr>
                    <w:i/>
                    <w:lang w:val="es-ES"/>
                  </w:rPr>
                  <w:t xml:space="preserve">ha variado </w:t>
                </w:r>
                <w:r w:rsidR="00CD2589">
                  <w:rPr>
                    <w:i/>
                    <w:lang w:val="es-ES"/>
                  </w:rPr>
                  <w:t>entre las regiones.</w:t>
                </w:r>
              </w:p>
            </w:tc>
          </w:tr>
          <w:tr w:rsidR="003419A9" w:rsidRPr="00F668BC" w:rsidTr="00667DFF">
            <w:tc>
              <w:tcPr>
                <w:tcW w:w="9180" w:type="dxa"/>
              </w:tcPr>
              <w:p w:rsidR="003419A9" w:rsidRPr="00F668BC" w:rsidRDefault="00BD4F93" w:rsidP="00CD2589">
                <w:pPr>
                  <w:jc w:val="left"/>
                  <w:rPr>
                    <w:lang w:val="es-ES"/>
                  </w:rPr>
                </w:pPr>
                <w:r>
                  <w:rPr>
                    <w:b/>
                    <w:i/>
                    <w:lang w:val="es-ES"/>
                  </w:rPr>
                  <w:t>Conclusión 4</w:t>
                </w:r>
                <w:r w:rsidR="003419A9" w:rsidRPr="00F668BC">
                  <w:rPr>
                    <w:b/>
                    <w:i/>
                    <w:lang w:val="es-ES"/>
                  </w:rPr>
                  <w:t>:</w:t>
                </w:r>
                <w:r w:rsidR="003419A9" w:rsidRPr="00F668BC">
                  <w:rPr>
                    <w:b/>
                    <w:i/>
                    <w:lang w:val="es-ES"/>
                  </w:rPr>
                  <w:tab/>
                </w:r>
                <w:r w:rsidR="00281FF1">
                  <w:rPr>
                    <w:i/>
                    <w:lang w:val="es-ES"/>
                  </w:rPr>
                  <w:t xml:space="preserve">A lo largo de todo el proyecto, que duró 20 meses, </w:t>
                </w:r>
                <w:r w:rsidR="006A5710">
                  <w:rPr>
                    <w:i/>
                    <w:lang w:val="es-ES"/>
                  </w:rPr>
                  <w:t xml:space="preserve">se produjeron retrasos </w:t>
                </w:r>
                <w:r w:rsidR="00620771">
                  <w:rPr>
                    <w:i/>
                    <w:lang w:val="es-ES"/>
                  </w:rPr>
                  <w:t>en la</w:t>
                </w:r>
                <w:r w:rsidR="006A5710">
                  <w:rPr>
                    <w:i/>
                    <w:lang w:val="es-ES"/>
                  </w:rPr>
                  <w:t xml:space="preserve"> ejecución de actividades</w:t>
                </w:r>
                <w:r w:rsidR="00CD2589">
                  <w:rPr>
                    <w:i/>
                    <w:lang w:val="es-ES"/>
                  </w:rPr>
                  <w:t>, principalmente por razones que estaban fuera de</w:t>
                </w:r>
                <w:r w:rsidR="00966467">
                  <w:rPr>
                    <w:i/>
                    <w:lang w:val="es-ES"/>
                  </w:rPr>
                  <w:t>l</w:t>
                </w:r>
                <w:r w:rsidR="00CD2589">
                  <w:rPr>
                    <w:i/>
                    <w:lang w:val="es-ES"/>
                  </w:rPr>
                  <w:t xml:space="preserve"> control del proyecto</w:t>
                </w:r>
                <w:r w:rsidR="006A5710">
                  <w:rPr>
                    <w:i/>
                    <w:lang w:val="es-ES"/>
                  </w:rPr>
                  <w:t xml:space="preserve">.  En dos de los países, varias actividades finalizaron fuera del plazo previsto y en el tercer país solo se pusieron en práctica actividades de forma limitada.  </w:t>
                </w:r>
                <w:r w:rsidR="00CD2589">
                  <w:rPr>
                    <w:i/>
                    <w:lang w:val="es-ES"/>
                  </w:rPr>
                  <w:t xml:space="preserve">Se adoptaron medidas paliativas para tener en cuenta esos retrasos.  </w:t>
                </w:r>
                <w:r w:rsidR="006A5710">
                  <w:rPr>
                    <w:i/>
                    <w:lang w:val="es-ES"/>
                  </w:rPr>
                  <w:t>No se solicitó un aumento del presupuesto.</w:t>
                </w:r>
              </w:p>
            </w:tc>
          </w:tr>
        </w:tbl>
        <w:p w:rsidR="003419A9" w:rsidRPr="00F668BC" w:rsidRDefault="003419A9" w:rsidP="00FA34CE">
          <w:pPr>
            <w:rPr>
              <w:rFonts w:cstheme="minorHAnsi"/>
              <w:lang w:val="es-ES"/>
            </w:rPr>
          </w:pPr>
        </w:p>
        <w:p w:rsidR="00966467" w:rsidRDefault="00DB06CD" w:rsidP="001D1994">
          <w:pPr>
            <w:rPr>
              <w:rFonts w:cstheme="minorHAnsi"/>
              <w:lang w:val="es-ES"/>
            </w:rPr>
          </w:pPr>
          <w:r>
            <w:rPr>
              <w:rFonts w:cstheme="minorHAnsi"/>
              <w:lang w:val="es-ES"/>
            </w:rPr>
            <w:t xml:space="preserve">La documentación del proyecto constituye una amplia reseña de los logros alcanzados en la fase I del proyecto y de la estrategia de ejecución de la fase II.  En la documentación se reflejan las recomendaciones de la evaluación de la fase I, por ejemplo, la necesidad de suprimir varios términos empleados en el proyecto que causaron confusión al principio.  En dicha documentación se prevén varios riesgos potenciales (de los cuales, varios fueron </w:t>
          </w:r>
          <w:r w:rsidR="00620771">
            <w:rPr>
              <w:rFonts w:cstheme="minorHAnsi"/>
              <w:lang w:val="es-ES"/>
            </w:rPr>
            <w:t>subsanados</w:t>
          </w:r>
          <w:r>
            <w:rPr>
              <w:rFonts w:cstheme="minorHAnsi"/>
              <w:lang w:val="es-ES"/>
            </w:rPr>
            <w:t xml:space="preserve"> durante la fase II) y estrategias para superarlos.  La OMPI adoptó varias medidas para mitigar los riesgos que entraña el proyecto, concretamente, para garantizar que se cumpla una serie de condiciones</w:t>
          </w:r>
          <w:r w:rsidR="001D1994">
            <w:rPr>
              <w:rFonts w:cstheme="minorHAnsi"/>
              <w:lang w:val="es-ES"/>
            </w:rPr>
            <w:t xml:space="preserve"> fundamentales antes de consolidar los lazos de cooperación.  </w:t>
          </w:r>
        </w:p>
        <w:p w:rsidR="00966467" w:rsidRDefault="00966467" w:rsidP="001D1994">
          <w:pPr>
            <w:rPr>
              <w:rFonts w:cstheme="minorHAnsi"/>
              <w:lang w:val="es-ES"/>
            </w:rPr>
          </w:pPr>
        </w:p>
        <w:p w:rsidR="001D1994" w:rsidRPr="00F668BC" w:rsidRDefault="001D1994" w:rsidP="001D1994">
          <w:pPr>
            <w:rPr>
              <w:rFonts w:cstheme="minorHAnsi"/>
              <w:lang w:val="es-ES"/>
            </w:rPr>
          </w:pPr>
          <w:r>
            <w:rPr>
              <w:rFonts w:cstheme="minorHAnsi"/>
              <w:lang w:val="es-ES"/>
            </w:rPr>
            <w:t>La fecha de ejecución del proyecto ha</w:t>
          </w:r>
          <w:r w:rsidR="009242E4">
            <w:rPr>
              <w:rFonts w:cstheme="minorHAnsi"/>
              <w:lang w:val="es-ES"/>
            </w:rPr>
            <w:t xml:space="preserve"> </w:t>
          </w:r>
          <w:r>
            <w:rPr>
              <w:rFonts w:cstheme="minorHAnsi"/>
              <w:lang w:val="es-ES"/>
            </w:rPr>
            <w:t xml:space="preserve">sido un aspecto importante para varios de los Estados miembros interesados pues la ejecución del mismo ha coincidido con varias medidas adoptadas en el plano nacional para difundir cuestiones relacionadas con la P.I.  </w:t>
          </w:r>
          <w:r w:rsidR="009242E4">
            <w:rPr>
              <w:rFonts w:cstheme="minorHAnsi"/>
              <w:lang w:val="es-ES"/>
            </w:rPr>
            <w:t>Ese ha sido el caso en</w:t>
          </w:r>
          <w:r>
            <w:rPr>
              <w:rFonts w:cstheme="minorHAnsi"/>
              <w:lang w:val="es-ES"/>
            </w:rPr>
            <w:t xml:space="preserve">  Egipto, el Perú y la República Dominicana, países en los que ya existían planes de establecimiento de un centro de formación en P.I.</w:t>
          </w:r>
        </w:p>
        <w:p w:rsidR="00CE3DD7" w:rsidRPr="00F668BC" w:rsidRDefault="00CE3DD7" w:rsidP="00FA34CE">
          <w:pPr>
            <w:rPr>
              <w:rFonts w:cstheme="minorHAnsi"/>
              <w:lang w:val="es-ES"/>
            </w:rPr>
          </w:pPr>
        </w:p>
        <w:p w:rsidR="003419A9" w:rsidRPr="00F668BC" w:rsidRDefault="001D1994" w:rsidP="00FA34CE">
          <w:pPr>
            <w:rPr>
              <w:rFonts w:cstheme="minorHAnsi"/>
              <w:lang w:val="es-ES"/>
            </w:rPr>
          </w:pPr>
          <w:r>
            <w:rPr>
              <w:rFonts w:cstheme="minorHAnsi"/>
              <w:lang w:val="es-ES"/>
            </w:rPr>
            <w:t>El proyecto se ha llevado a cabo bajo la dirección de la Academia de la OMPI pero ha exigido la participación de otros sectores de la O</w:t>
          </w:r>
          <w:r w:rsidR="009242E4">
            <w:rPr>
              <w:rFonts w:cstheme="minorHAnsi"/>
              <w:lang w:val="es-ES"/>
            </w:rPr>
            <w:t>rganización</w:t>
          </w:r>
          <w:r>
            <w:rPr>
              <w:rFonts w:cstheme="minorHAnsi"/>
              <w:lang w:val="es-ES"/>
            </w:rPr>
            <w:t xml:space="preserve">.  En ese sentido, el </w:t>
          </w:r>
          <w:r w:rsidR="009242E4">
            <w:rPr>
              <w:rFonts w:cstheme="minorHAnsi"/>
              <w:lang w:val="es-ES"/>
            </w:rPr>
            <w:t>otro componente clave han sido las o</w:t>
          </w:r>
          <w:r>
            <w:rPr>
              <w:rFonts w:cstheme="minorHAnsi"/>
              <w:lang w:val="es-ES"/>
            </w:rPr>
            <w:t xml:space="preserve">ficinas </w:t>
          </w:r>
          <w:r w:rsidR="009242E4">
            <w:rPr>
              <w:rFonts w:cstheme="minorHAnsi"/>
              <w:lang w:val="es-ES"/>
            </w:rPr>
            <w:t>r</w:t>
          </w:r>
          <w:r>
            <w:rPr>
              <w:rFonts w:cstheme="minorHAnsi"/>
              <w:lang w:val="es-ES"/>
            </w:rPr>
            <w:t xml:space="preserve">egionales, cuya función </w:t>
          </w:r>
          <w:r w:rsidR="00F66220">
            <w:rPr>
              <w:rFonts w:cstheme="minorHAnsi"/>
              <w:lang w:val="es-ES"/>
            </w:rPr>
            <w:t xml:space="preserve">se ha adaptado a </w:t>
          </w:r>
          <w:r w:rsidR="009242E4">
            <w:rPr>
              <w:rFonts w:cstheme="minorHAnsi"/>
              <w:lang w:val="es-ES"/>
            </w:rPr>
            <w:t>cada</w:t>
          </w:r>
          <w:r w:rsidR="00F66220">
            <w:rPr>
              <w:rFonts w:cstheme="minorHAnsi"/>
              <w:lang w:val="es-ES"/>
            </w:rPr>
            <w:t xml:space="preserve"> región y a la fase de ejecución</w:t>
          </w:r>
          <w:r w:rsidR="009242E4">
            <w:rPr>
              <w:rFonts w:cstheme="minorHAnsi"/>
              <w:lang w:val="es-ES"/>
            </w:rPr>
            <w:t xml:space="preserve"> de que se trate</w:t>
          </w:r>
          <w:r w:rsidR="00F66220">
            <w:rPr>
              <w:rFonts w:cstheme="minorHAnsi"/>
              <w:lang w:val="es-ES"/>
            </w:rPr>
            <w:t>.  En la evaluación de la fase I se señaló que sería menester aumentar la participación de dichas oficinas pero dicha participación ha aumentado de forma limitada en la fase II.  Por ejemplo, la Oficina para América Latina y el Caribe participó en las etapas iniciales a los fines de facilitar el contacto</w:t>
          </w:r>
          <w:r w:rsidR="00AC5CEB">
            <w:rPr>
              <w:rFonts w:cstheme="minorHAnsi"/>
              <w:lang w:val="es-ES"/>
            </w:rPr>
            <w:t xml:space="preserve"> entre la Academia de la OMPI y las principales partes interesadas en el plano nacional pero dicha</w:t>
          </w:r>
          <w:r w:rsidR="009242E4">
            <w:rPr>
              <w:rFonts w:cstheme="minorHAnsi"/>
              <w:lang w:val="es-ES"/>
            </w:rPr>
            <w:t>s</w:t>
          </w:r>
          <w:r w:rsidR="00AC5CEB">
            <w:rPr>
              <w:rFonts w:cstheme="minorHAnsi"/>
              <w:lang w:val="es-ES"/>
            </w:rPr>
            <w:t xml:space="preserve"> oficina</w:t>
          </w:r>
          <w:r w:rsidR="009242E4">
            <w:rPr>
              <w:rFonts w:cstheme="minorHAnsi"/>
              <w:lang w:val="es-ES"/>
            </w:rPr>
            <w:t xml:space="preserve">s no han participado o han participado muy escasamente </w:t>
          </w:r>
          <w:r w:rsidR="00AC5CEB">
            <w:rPr>
              <w:rFonts w:cstheme="minorHAnsi"/>
              <w:lang w:val="es-ES"/>
            </w:rPr>
            <w:t xml:space="preserve">durante la ejecución del proyecto. </w:t>
          </w:r>
          <w:r w:rsidR="00CD2589">
            <w:rPr>
              <w:rFonts w:cstheme="minorHAnsi"/>
              <w:lang w:val="es-ES"/>
            </w:rPr>
            <w:t xml:space="preserve"> Este nivel de participación a la baja no ha sido consecuencia necesariamente de la falta de </w:t>
          </w:r>
          <w:r w:rsidR="00623F1E">
            <w:rPr>
              <w:rFonts w:cstheme="minorHAnsi"/>
              <w:lang w:val="es-ES"/>
            </w:rPr>
            <w:t>iniciativas</w:t>
          </w:r>
          <w:r w:rsidR="00CD2589">
            <w:rPr>
              <w:rFonts w:cstheme="minorHAnsi"/>
              <w:lang w:val="es-ES"/>
            </w:rPr>
            <w:t xml:space="preserve"> de colaboración de la Academia ya que no siempre se ha respondido positivamente a las iniciativas destinadas a fomentar la participación de las oficinas.  </w:t>
          </w:r>
          <w:r w:rsidR="00343C80">
            <w:rPr>
              <w:rFonts w:cstheme="minorHAnsi"/>
              <w:lang w:val="es-ES"/>
            </w:rPr>
            <w:t>Por su parte</w:t>
          </w:r>
          <w:r w:rsidR="00AC5CEB">
            <w:rPr>
              <w:rFonts w:cstheme="minorHAnsi"/>
              <w:lang w:val="es-ES"/>
            </w:rPr>
            <w:t>, la Oficina para los Países Árabes participó menos en los inicios pero no dejó de aportar su contribución cuando los países</w:t>
          </w:r>
          <w:r w:rsidR="009242E4">
            <w:rPr>
              <w:rFonts w:cstheme="minorHAnsi"/>
              <w:lang w:val="es-ES"/>
            </w:rPr>
            <w:t xml:space="preserve"> de su región se enfrentaron con</w:t>
          </w:r>
          <w:r w:rsidR="00AC5CEB">
            <w:rPr>
              <w:rFonts w:cstheme="minorHAnsi"/>
              <w:lang w:val="es-ES"/>
            </w:rPr>
            <w:t xml:space="preserve"> problemas de retraso en la ejecución del proyecto causados por problemas de inseguridad política.  </w:t>
          </w:r>
          <w:r w:rsidR="00CD2589">
            <w:rPr>
              <w:rFonts w:cstheme="minorHAnsi"/>
              <w:lang w:val="es-ES"/>
            </w:rPr>
            <w:t xml:space="preserve">Sin embargo, se ha informado a las oficinas y se les ha consultado sobre asuntos conceptuales relativos a la elaboración de estrategias de cooperación.  </w:t>
          </w:r>
          <w:r w:rsidR="008A6BB4">
            <w:rPr>
              <w:rFonts w:cstheme="minorHAnsi"/>
              <w:lang w:val="es-ES"/>
            </w:rPr>
            <w:t xml:space="preserve">A ello </w:t>
          </w:r>
          <w:r w:rsidR="009242E4">
            <w:rPr>
              <w:rFonts w:cstheme="minorHAnsi"/>
              <w:lang w:val="es-ES"/>
            </w:rPr>
            <w:t>cabe</w:t>
          </w:r>
          <w:r w:rsidR="001F4A1F">
            <w:rPr>
              <w:rFonts w:cstheme="minorHAnsi"/>
              <w:lang w:val="es-ES"/>
            </w:rPr>
            <w:t xml:space="preserve"> añadir la contribución del p</w:t>
          </w:r>
          <w:r w:rsidR="008A6BB4">
            <w:rPr>
              <w:rFonts w:cstheme="minorHAnsi"/>
              <w:lang w:val="es-ES"/>
            </w:rPr>
            <w:t>r</w:t>
          </w:r>
          <w:r w:rsidR="001F4A1F">
            <w:rPr>
              <w:rFonts w:cstheme="minorHAnsi"/>
              <w:lang w:val="es-ES"/>
            </w:rPr>
            <w:t>o</w:t>
          </w:r>
          <w:r w:rsidR="0062275E">
            <w:rPr>
              <w:rFonts w:cstheme="minorHAnsi"/>
              <w:lang w:val="es-ES"/>
            </w:rPr>
            <w:t>grama</w:t>
          </w:r>
          <w:r w:rsidR="008A6BB4">
            <w:rPr>
              <w:rFonts w:cstheme="minorHAnsi"/>
              <w:lang w:val="es-ES"/>
            </w:rPr>
            <w:t xml:space="preserve"> de la OMPI </w:t>
          </w:r>
          <w:r w:rsidR="0062275E">
            <w:rPr>
              <w:rFonts w:cstheme="minorHAnsi"/>
              <w:lang w:val="es-ES"/>
            </w:rPr>
            <w:t>de bibliotecas depositarias, que se ha encargado del suministro de las publicaciones de P.I. necesarias para los nuevos centros de formación</w:t>
          </w:r>
          <w:r w:rsidR="003419A9" w:rsidRPr="00F668BC">
            <w:rPr>
              <w:rFonts w:cstheme="minorHAnsi"/>
              <w:lang w:val="es-ES"/>
            </w:rPr>
            <w:t>.</w:t>
          </w:r>
        </w:p>
        <w:p w:rsidR="00CE3DD7" w:rsidRPr="00F668BC" w:rsidRDefault="00CE3DD7" w:rsidP="00FA34CE">
          <w:pPr>
            <w:rPr>
              <w:rFonts w:cstheme="minorHAnsi"/>
              <w:lang w:val="es-ES"/>
            </w:rPr>
          </w:pPr>
        </w:p>
        <w:p w:rsidR="003419A9" w:rsidRPr="00F668BC" w:rsidRDefault="0062275E" w:rsidP="00FA34CE">
          <w:pPr>
            <w:rPr>
              <w:rFonts w:cstheme="minorHAnsi"/>
              <w:lang w:val="es-ES"/>
            </w:rPr>
          </w:pPr>
          <w:r>
            <w:rPr>
              <w:rFonts w:cstheme="minorHAnsi"/>
              <w:lang w:val="es-ES"/>
            </w:rPr>
            <w:lastRenderedPageBreak/>
            <w:t>El proyecto tuvo un</w:t>
          </w:r>
          <w:r w:rsidR="009242E4">
            <w:rPr>
              <w:rFonts w:cstheme="minorHAnsi"/>
              <w:lang w:val="es-ES"/>
            </w:rPr>
            <w:t>a duración de 20 meses, de mayo</w:t>
          </w:r>
          <w:r>
            <w:rPr>
              <w:rFonts w:cstheme="minorHAnsi"/>
              <w:lang w:val="es-ES"/>
            </w:rPr>
            <w:t xml:space="preserve"> de 2012 a diciembre de 2013.  Se acusaron retrasos en tres de los países destinatarios, a saber, en Egipto y Túnez, debido al contexto político, y en Etiopía, por falta de la infraestructura necesaria para establecer el centro de formación previsto.  </w:t>
          </w:r>
          <w:r w:rsidR="00CD2589">
            <w:rPr>
              <w:rFonts w:cstheme="minorHAnsi"/>
              <w:lang w:val="es-ES"/>
            </w:rPr>
            <w:t xml:space="preserve">Aunque se retrasó el programa de formación de formadores en Etiopia y en Egipto, se ejecutaron otras actividades de formación como la formación de coordinadores académicos, el suministro de becas y la compra de libros.  Los retrasos estaban previstos entre los posibles riesgos del proyecto y se adoptaron medidas paliativas ofreciendo becas a los formadores principales para participar en programas internacionales de maestría en Derecho de la P.I.  </w:t>
          </w:r>
          <w:r>
            <w:rPr>
              <w:rFonts w:cstheme="minorHAnsi"/>
              <w:lang w:val="es-ES"/>
            </w:rPr>
            <w:t>No obstante, dichos retrasos no conllevaron un aumento del presupuesto del proyecto por cuanto las actividades realizadas tras la finalización del plazo del proyecto no conllevaron consecuencias financieras y, en lo que respecta a Etiopía, se llevó a cabo un número limitado de actividades.</w:t>
          </w:r>
        </w:p>
        <w:p w:rsidR="003419A9" w:rsidRPr="00F668BC" w:rsidRDefault="003419A9" w:rsidP="00FA34CE">
          <w:pPr>
            <w:rPr>
              <w:rFonts w:cstheme="minorHAnsi"/>
              <w:lang w:val="es-ES"/>
            </w:rPr>
          </w:pPr>
        </w:p>
        <w:p w:rsidR="003419A9" w:rsidRPr="00F668BC" w:rsidRDefault="003419A9" w:rsidP="00D84436">
          <w:pPr>
            <w:keepNext/>
            <w:keepLines/>
            <w:rPr>
              <w:rFonts w:cstheme="minorHAnsi"/>
              <w:b/>
              <w:i/>
              <w:lang w:val="es-ES"/>
            </w:rPr>
          </w:pPr>
          <w:r w:rsidRPr="00F668BC">
            <w:rPr>
              <w:rFonts w:cstheme="minorHAnsi"/>
              <w:b/>
              <w:i/>
              <w:lang w:val="es-ES"/>
            </w:rPr>
            <w:t>Ef</w:t>
          </w:r>
          <w:r w:rsidR="0062275E">
            <w:rPr>
              <w:rFonts w:cstheme="minorHAnsi"/>
              <w:b/>
              <w:i/>
              <w:lang w:val="es-ES"/>
            </w:rPr>
            <w:t>icacia</w:t>
          </w:r>
          <w:r w:rsidR="00667DFF" w:rsidRPr="00F668BC">
            <w:rPr>
              <w:rFonts w:cstheme="minorHAnsi"/>
              <w:b/>
              <w:i/>
              <w:lang w:val="es-ES"/>
            </w:rPr>
            <w:br/>
          </w:r>
        </w:p>
        <w:tbl>
          <w:tblPr>
            <w:tblStyle w:val="TableGrid"/>
            <w:tblW w:w="0" w:type="auto"/>
            <w:tblLook w:val="04A0" w:firstRow="1" w:lastRow="0" w:firstColumn="1" w:lastColumn="0" w:noHBand="0" w:noVBand="1"/>
          </w:tblPr>
          <w:tblGrid>
            <w:gridCol w:w="9180"/>
          </w:tblGrid>
          <w:tr w:rsidR="003419A9" w:rsidRPr="00B941B1" w:rsidTr="00667DFF">
            <w:tc>
              <w:tcPr>
                <w:tcW w:w="9180" w:type="dxa"/>
              </w:tcPr>
              <w:p w:rsidR="003419A9" w:rsidRPr="00F668BC" w:rsidRDefault="0062275E" w:rsidP="007E0732">
                <w:pPr>
                  <w:keepNext/>
                  <w:keepLines/>
                  <w:jc w:val="left"/>
                  <w:rPr>
                    <w:i/>
                    <w:lang w:val="es-ES"/>
                  </w:rPr>
                </w:pPr>
                <w:r>
                  <w:rPr>
                    <w:b/>
                    <w:i/>
                    <w:lang w:val="es-ES"/>
                  </w:rPr>
                  <w:t xml:space="preserve">Conclusión </w:t>
                </w:r>
                <w:r w:rsidR="003419A9" w:rsidRPr="00F668BC">
                  <w:rPr>
                    <w:b/>
                    <w:i/>
                    <w:lang w:val="es-ES"/>
                  </w:rPr>
                  <w:t>5:</w:t>
                </w:r>
                <w:r w:rsidR="003419A9" w:rsidRPr="00F668BC">
                  <w:rPr>
                    <w:b/>
                    <w:i/>
                    <w:lang w:val="es-ES"/>
                  </w:rPr>
                  <w:tab/>
                </w:r>
                <w:r w:rsidRPr="0062275E">
                  <w:rPr>
                    <w:i/>
                    <w:lang w:val="es-ES"/>
                  </w:rPr>
                  <w:t xml:space="preserve">En la documentación del proyecto se adolece de falta de indicadores </w:t>
                </w:r>
                <w:r>
                  <w:rPr>
                    <w:i/>
                    <w:lang w:val="es-ES"/>
                  </w:rPr>
                  <w:t>acerca de lo que constituye un cen</w:t>
                </w:r>
                <w:r w:rsidR="0088027A">
                  <w:rPr>
                    <w:i/>
                    <w:lang w:val="es-ES"/>
                  </w:rPr>
                  <w:t xml:space="preserve">tro de formación </w:t>
                </w:r>
                <w:r w:rsidR="005E7144">
                  <w:rPr>
                    <w:i/>
                    <w:lang w:val="es-ES"/>
                  </w:rPr>
                  <w:t>autosuficiente</w:t>
                </w:r>
                <w:r w:rsidR="0088027A">
                  <w:rPr>
                    <w:i/>
                    <w:lang w:val="es-ES"/>
                  </w:rPr>
                  <w:t xml:space="preserve">.  Los indicadores incluidos en la documentación se centran en los productos y no en los resultados.  Conforme a los datos de la OMPI, durante la fase II del proyecto, tres de los seis países han creado centros de formación </w:t>
                </w:r>
                <w:r w:rsidR="005E7144">
                  <w:rPr>
                    <w:i/>
                    <w:lang w:val="es-ES"/>
                  </w:rPr>
                  <w:t>autosuficientes</w:t>
                </w:r>
                <w:r w:rsidR="0088027A">
                  <w:rPr>
                    <w:i/>
                    <w:lang w:val="es-ES"/>
                  </w:rPr>
                  <w:t xml:space="preserve"> y </w:t>
                </w:r>
                <w:r w:rsidR="007E0732">
                  <w:rPr>
                    <w:i/>
                    <w:lang w:val="es-ES"/>
                  </w:rPr>
                  <w:t>tres</w:t>
                </w:r>
                <w:r w:rsidR="0088027A">
                  <w:rPr>
                    <w:i/>
                    <w:lang w:val="es-ES"/>
                  </w:rPr>
                  <w:t xml:space="preserve"> han iniciado los preparativos para ello.  </w:t>
                </w:r>
                <w:r w:rsidR="007E0732">
                  <w:rPr>
                    <w:i/>
                    <w:lang w:val="es-ES"/>
                  </w:rPr>
                  <w:t>Dos</w:t>
                </w:r>
                <w:r w:rsidR="0088027A">
                  <w:rPr>
                    <w:i/>
                    <w:lang w:val="es-ES"/>
                  </w:rPr>
                  <w:t xml:space="preserve"> de los centros </w:t>
                </w:r>
                <w:r w:rsidR="009242E4">
                  <w:rPr>
                    <w:i/>
                    <w:lang w:val="es-ES"/>
                  </w:rPr>
                  <w:t xml:space="preserve">imparten </w:t>
                </w:r>
                <w:r w:rsidR="0088027A">
                  <w:rPr>
                    <w:i/>
                    <w:lang w:val="es-ES"/>
                  </w:rPr>
                  <w:t>programas regulares de formación en P.I.</w:t>
                </w:r>
              </w:p>
            </w:tc>
          </w:tr>
          <w:tr w:rsidR="003419A9" w:rsidRPr="00B941B1" w:rsidTr="00667DFF">
            <w:tc>
              <w:tcPr>
                <w:tcW w:w="9180" w:type="dxa"/>
              </w:tcPr>
              <w:p w:rsidR="003419A9" w:rsidRPr="00F668BC" w:rsidRDefault="0088027A" w:rsidP="003009A3">
                <w:pPr>
                  <w:jc w:val="left"/>
                  <w:rPr>
                    <w:b/>
                    <w:i/>
                    <w:lang w:val="es-ES"/>
                  </w:rPr>
                </w:pPr>
                <w:r>
                  <w:rPr>
                    <w:b/>
                    <w:i/>
                    <w:lang w:val="es-ES"/>
                  </w:rPr>
                  <w:t>Conclusión</w:t>
                </w:r>
                <w:r w:rsidR="003419A9" w:rsidRPr="00F668BC">
                  <w:rPr>
                    <w:b/>
                    <w:i/>
                    <w:lang w:val="es-ES"/>
                  </w:rPr>
                  <w:t xml:space="preserve"> 6</w:t>
                </w:r>
                <w:proofErr w:type="gramStart"/>
                <w:r w:rsidR="003419A9" w:rsidRPr="00F668BC">
                  <w:rPr>
                    <w:b/>
                    <w:i/>
                    <w:lang w:val="es-ES"/>
                  </w:rPr>
                  <w:t xml:space="preserve">:  </w:t>
                </w:r>
                <w:r w:rsidR="007E0732">
                  <w:rPr>
                    <w:i/>
                    <w:lang w:val="es-ES"/>
                  </w:rPr>
                  <w:t>86</w:t>
                </w:r>
                <w:proofErr w:type="gramEnd"/>
                <w:r>
                  <w:rPr>
                    <w:i/>
                    <w:lang w:val="es-ES"/>
                  </w:rPr>
                  <w:t xml:space="preserve"> personas han sido acreditadas para impartir formación a raíz del proyecto aun cuando subsisten obstáculos para garantizar que puedan poner en práctica sus aptitudes.  Las academias han realizado una evaluación de l</w:t>
                </w:r>
                <w:r w:rsidR="003009A3">
                  <w:rPr>
                    <w:i/>
                    <w:lang w:val="es-ES"/>
                  </w:rPr>
                  <w:t>a capacidad docente de dichos formadores.</w:t>
                </w:r>
              </w:p>
            </w:tc>
          </w:tr>
          <w:tr w:rsidR="003419A9" w:rsidRPr="00B941B1" w:rsidTr="00667DFF">
            <w:tc>
              <w:tcPr>
                <w:tcW w:w="9180" w:type="dxa"/>
              </w:tcPr>
              <w:p w:rsidR="003419A9" w:rsidRPr="00F668BC" w:rsidRDefault="0088027A" w:rsidP="007E0732">
                <w:pPr>
                  <w:jc w:val="left"/>
                  <w:rPr>
                    <w:i/>
                    <w:lang w:val="es-ES"/>
                  </w:rPr>
                </w:pPr>
                <w:r>
                  <w:rPr>
                    <w:b/>
                    <w:i/>
                    <w:lang w:val="es-ES"/>
                  </w:rPr>
                  <w:t>Conclusión</w:t>
                </w:r>
                <w:r w:rsidR="003419A9" w:rsidRPr="00F668BC">
                  <w:rPr>
                    <w:b/>
                    <w:i/>
                    <w:lang w:val="es-ES"/>
                  </w:rPr>
                  <w:t xml:space="preserve"> 7:</w:t>
                </w:r>
                <w:r w:rsidR="003419A9" w:rsidRPr="00F668BC">
                  <w:rPr>
                    <w:b/>
                    <w:i/>
                    <w:lang w:val="es-ES"/>
                  </w:rPr>
                  <w:tab/>
                </w:r>
                <w:r w:rsidR="006024FA">
                  <w:rPr>
                    <w:i/>
                    <w:lang w:val="es-ES"/>
                  </w:rPr>
                  <w:t>Se ha formado a cuatro coordinadores para que se encarg</w:t>
                </w:r>
                <w:r w:rsidR="009242E4">
                  <w:rPr>
                    <w:i/>
                    <w:lang w:val="es-ES"/>
                  </w:rPr>
                  <w:t>u</w:t>
                </w:r>
                <w:r w:rsidR="006024FA">
                  <w:rPr>
                    <w:i/>
                    <w:lang w:val="es-ES"/>
                  </w:rPr>
                  <w:t xml:space="preserve">en de la dirección de los centros de formación, lo que constituye </w:t>
                </w:r>
                <w:r w:rsidR="007E0732">
                  <w:rPr>
                    <w:i/>
                    <w:lang w:val="es-ES"/>
                  </w:rPr>
                  <w:t xml:space="preserve">el 67% </w:t>
                </w:r>
                <w:r w:rsidR="006024FA">
                  <w:rPr>
                    <w:i/>
                    <w:lang w:val="es-ES"/>
                  </w:rPr>
                  <w:t>de</w:t>
                </w:r>
                <w:r w:rsidR="007E0732">
                  <w:rPr>
                    <w:i/>
                    <w:lang w:val="es-ES"/>
                  </w:rPr>
                  <w:t>l total</w:t>
                </w:r>
                <w:r w:rsidR="006024FA">
                  <w:rPr>
                    <w:i/>
                    <w:lang w:val="es-ES"/>
                  </w:rPr>
                  <w:t xml:space="preserve"> </w:t>
                </w:r>
                <w:r w:rsidR="007E0732">
                  <w:rPr>
                    <w:i/>
                    <w:lang w:val="es-ES"/>
                  </w:rPr>
                  <w:t>de</w:t>
                </w:r>
                <w:r w:rsidR="006024FA">
                  <w:rPr>
                    <w:i/>
                    <w:lang w:val="es-ES"/>
                  </w:rPr>
                  <w:t xml:space="preserve"> coordinadores que se había previsto formar durante el proyecto</w:t>
                </w:r>
                <w:r w:rsidR="003419A9" w:rsidRPr="00F668BC">
                  <w:rPr>
                    <w:i/>
                    <w:lang w:val="es-ES"/>
                  </w:rPr>
                  <w:t>.</w:t>
                </w:r>
              </w:p>
            </w:tc>
          </w:tr>
          <w:tr w:rsidR="003419A9" w:rsidRPr="00B941B1" w:rsidTr="00667DFF">
            <w:tc>
              <w:tcPr>
                <w:tcW w:w="9180" w:type="dxa"/>
              </w:tcPr>
              <w:p w:rsidR="003419A9" w:rsidRPr="00F668BC" w:rsidRDefault="0088027A" w:rsidP="00692575">
                <w:pPr>
                  <w:jc w:val="left"/>
                  <w:rPr>
                    <w:i/>
                    <w:lang w:val="es-ES"/>
                  </w:rPr>
                </w:pPr>
                <w:r>
                  <w:rPr>
                    <w:b/>
                    <w:i/>
                    <w:lang w:val="es-ES"/>
                  </w:rPr>
                  <w:t>Conclusión</w:t>
                </w:r>
                <w:r w:rsidR="003419A9" w:rsidRPr="00F668BC">
                  <w:rPr>
                    <w:b/>
                    <w:i/>
                    <w:lang w:val="es-ES"/>
                  </w:rPr>
                  <w:t xml:space="preserve"> 8:</w:t>
                </w:r>
                <w:r w:rsidR="003419A9" w:rsidRPr="00F668BC">
                  <w:rPr>
                    <w:b/>
                    <w:i/>
                    <w:lang w:val="es-ES"/>
                  </w:rPr>
                  <w:tab/>
                </w:r>
                <w:r w:rsidR="006024FA">
                  <w:rPr>
                    <w:i/>
                    <w:lang w:val="es-ES"/>
                  </w:rPr>
                  <w:t>No se cuenta con un moderador para el espacio Wiki en el que se almacena el material de formación elaborado durante la fase II del proyecto y dicho espacio todavía no ha empezado a funcionar (aun cuando esté disponible en el sitio web de la OMPI).  Eso ha obstaculizado la difusión del material elaborado, en beneficio de otros países que desean establecer centros de formación en P.I.</w:t>
                </w:r>
              </w:p>
            </w:tc>
          </w:tr>
          <w:tr w:rsidR="003419A9" w:rsidRPr="00B941B1" w:rsidTr="00667DFF">
            <w:tc>
              <w:tcPr>
                <w:tcW w:w="9180" w:type="dxa"/>
              </w:tcPr>
              <w:p w:rsidR="003419A9" w:rsidRPr="00F668BC" w:rsidRDefault="0088027A" w:rsidP="009D5C9E">
                <w:pPr>
                  <w:jc w:val="left"/>
                  <w:rPr>
                    <w:lang w:val="es-ES"/>
                  </w:rPr>
                </w:pPr>
                <w:r>
                  <w:rPr>
                    <w:b/>
                    <w:i/>
                    <w:lang w:val="es-ES"/>
                  </w:rPr>
                  <w:t>Conclusión</w:t>
                </w:r>
                <w:r w:rsidR="003419A9" w:rsidRPr="00F668BC">
                  <w:rPr>
                    <w:b/>
                    <w:i/>
                    <w:lang w:val="es-ES"/>
                  </w:rPr>
                  <w:t xml:space="preserve"> 9:</w:t>
                </w:r>
                <w:r w:rsidR="003419A9" w:rsidRPr="00F668BC">
                  <w:rPr>
                    <w:b/>
                    <w:i/>
                    <w:lang w:val="es-ES"/>
                  </w:rPr>
                  <w:tab/>
                </w:r>
                <w:r w:rsidR="003419A9" w:rsidRPr="00F668BC">
                  <w:rPr>
                    <w:i/>
                    <w:lang w:val="es-ES"/>
                  </w:rPr>
                  <w:t xml:space="preserve">No </w:t>
                </w:r>
                <w:r w:rsidR="009D5C9E">
                  <w:rPr>
                    <w:i/>
                    <w:lang w:val="es-ES"/>
                  </w:rPr>
                  <w:t>se han elaborado con arreglo al calendario del proyecto directrices sobre las medidas y procedimientos necesarios para crear una institución de formación en P.I.</w:t>
                </w:r>
              </w:p>
            </w:tc>
          </w:tr>
        </w:tbl>
        <w:p w:rsidR="003419A9" w:rsidRPr="00F668BC" w:rsidRDefault="003419A9" w:rsidP="00FA34CE">
          <w:pPr>
            <w:rPr>
              <w:rFonts w:cstheme="minorHAnsi"/>
              <w:lang w:val="es-ES"/>
            </w:rPr>
          </w:pPr>
        </w:p>
        <w:p w:rsidR="003419A9" w:rsidRPr="00F668BC" w:rsidRDefault="009D5C9E" w:rsidP="00FA34CE">
          <w:pPr>
            <w:rPr>
              <w:lang w:val="es-ES"/>
            </w:rPr>
          </w:pPr>
          <w:r>
            <w:rPr>
              <w:lang w:val="es-ES"/>
            </w:rPr>
            <w:t>A los fines de alcanzar los objetivos del proyecto se ha previsto la realización</w:t>
          </w:r>
          <w:r w:rsidR="00A00CE5">
            <w:rPr>
              <w:lang w:val="es-ES"/>
            </w:rPr>
            <w:t xml:space="preserve"> en común </w:t>
          </w:r>
          <w:r>
            <w:rPr>
              <w:lang w:val="es-ES"/>
            </w:rPr>
            <w:t xml:space="preserve"> de varias actividades esenciales, a saber</w:t>
          </w:r>
          <w:r w:rsidR="003419A9" w:rsidRPr="00F668BC">
            <w:rPr>
              <w:lang w:val="es-ES"/>
            </w:rPr>
            <w:t>:</w:t>
          </w:r>
          <w:r w:rsidR="00667DFF" w:rsidRPr="00F668BC">
            <w:rPr>
              <w:lang w:val="es-ES"/>
            </w:rPr>
            <w:br/>
          </w:r>
        </w:p>
        <w:p w:rsidR="003419A9" w:rsidRPr="00F668BC" w:rsidRDefault="000751F7" w:rsidP="00E87F2A">
          <w:pPr>
            <w:pStyle w:val="ListParagraph"/>
            <w:numPr>
              <w:ilvl w:val="0"/>
              <w:numId w:val="8"/>
            </w:numPr>
            <w:spacing w:after="200" w:line="276" w:lineRule="auto"/>
            <w:rPr>
              <w:lang w:val="es-ES"/>
            </w:rPr>
          </w:pPr>
          <w:r>
            <w:rPr>
              <w:lang w:val="es-ES"/>
            </w:rPr>
            <w:t>Organización de programas de formación de formadores</w:t>
          </w:r>
          <w:r w:rsidR="00667DFF" w:rsidRPr="00F668BC">
            <w:rPr>
              <w:lang w:val="es-ES"/>
            </w:rPr>
            <w:t>;</w:t>
          </w:r>
        </w:p>
        <w:p w:rsidR="003419A9" w:rsidRPr="00F668BC" w:rsidRDefault="000751F7" w:rsidP="00E87F2A">
          <w:pPr>
            <w:pStyle w:val="ListParagraph"/>
            <w:numPr>
              <w:ilvl w:val="0"/>
              <w:numId w:val="8"/>
            </w:numPr>
            <w:spacing w:after="200" w:line="276" w:lineRule="auto"/>
            <w:rPr>
              <w:lang w:val="es-ES"/>
            </w:rPr>
          </w:pPr>
          <w:r>
            <w:rPr>
              <w:lang w:val="es-ES"/>
            </w:rPr>
            <w:t>Organización de oportunidades de formación de coordinadores académicos</w:t>
          </w:r>
          <w:r w:rsidR="00667DFF" w:rsidRPr="00F668BC">
            <w:rPr>
              <w:lang w:val="es-ES"/>
            </w:rPr>
            <w:t>;</w:t>
          </w:r>
        </w:p>
        <w:p w:rsidR="003419A9" w:rsidRPr="00F668BC" w:rsidRDefault="000751F7" w:rsidP="00E87F2A">
          <w:pPr>
            <w:pStyle w:val="ListParagraph"/>
            <w:numPr>
              <w:ilvl w:val="0"/>
              <w:numId w:val="8"/>
            </w:numPr>
            <w:spacing w:after="200" w:line="276" w:lineRule="auto"/>
            <w:rPr>
              <w:lang w:val="es-ES"/>
            </w:rPr>
          </w:pPr>
          <w:r>
            <w:rPr>
              <w:lang w:val="es-ES"/>
            </w:rPr>
            <w:t>Apoyo para la elaboración de programas de formación</w:t>
          </w:r>
          <w:r w:rsidR="00667DFF" w:rsidRPr="00F668BC">
            <w:rPr>
              <w:lang w:val="es-ES"/>
            </w:rPr>
            <w:t>;</w:t>
          </w:r>
        </w:p>
        <w:p w:rsidR="003419A9" w:rsidRPr="00F668BC" w:rsidRDefault="003419A9" w:rsidP="00E87F2A">
          <w:pPr>
            <w:pStyle w:val="ListParagraph"/>
            <w:numPr>
              <w:ilvl w:val="0"/>
              <w:numId w:val="8"/>
            </w:numPr>
            <w:spacing w:after="200" w:line="276" w:lineRule="auto"/>
            <w:rPr>
              <w:lang w:val="es-ES"/>
            </w:rPr>
          </w:pPr>
          <w:r w:rsidRPr="00F668BC">
            <w:rPr>
              <w:lang w:val="es-ES"/>
            </w:rPr>
            <w:t>As</w:t>
          </w:r>
          <w:r w:rsidR="000751F7">
            <w:rPr>
              <w:lang w:val="es-ES"/>
            </w:rPr>
            <w:t>istencia para la creación de una biblioteca de P.I.</w:t>
          </w:r>
        </w:p>
        <w:p w:rsidR="003419A9" w:rsidRPr="00F668BC" w:rsidRDefault="000751F7" w:rsidP="00FA34CE">
          <w:pPr>
            <w:rPr>
              <w:lang w:val="es-ES"/>
            </w:rPr>
          </w:pPr>
          <w:r>
            <w:rPr>
              <w:lang w:val="es-ES"/>
            </w:rPr>
            <w:t xml:space="preserve">Los resultados obtenidos en relación con los distintos ámbitos de actividad varían de un caso a otro;  en algunos países se han llevado a cabo todas las actividades y en otros, las actividades han tenido un éxito limitado (a menudo, por factores que </w:t>
          </w:r>
          <w:r w:rsidR="008A5B21">
            <w:rPr>
              <w:lang w:val="es-ES"/>
            </w:rPr>
            <w:t xml:space="preserve">quedan fuera </w:t>
          </w:r>
          <w:r>
            <w:rPr>
              <w:lang w:val="es-ES"/>
            </w:rPr>
            <w:t>del ámbito de acción</w:t>
          </w:r>
          <w:r w:rsidR="008A5B21">
            <w:rPr>
              <w:lang w:val="es-ES"/>
            </w:rPr>
            <w:t xml:space="preserve"> </w:t>
          </w:r>
          <w:r>
            <w:rPr>
              <w:lang w:val="es-ES"/>
            </w:rPr>
            <w:t>del proyecto).  En cinco de los seis países se han llevado a cabo programas de formación de formadores y 8</w:t>
          </w:r>
          <w:r w:rsidR="007E0732">
            <w:rPr>
              <w:lang w:val="es-ES"/>
            </w:rPr>
            <w:t>6</w:t>
          </w:r>
          <w:r>
            <w:rPr>
              <w:lang w:val="es-ES"/>
            </w:rPr>
            <w:t xml:space="preserve"> personas han sido acredita</w:t>
          </w:r>
          <w:r w:rsidR="008A5B21">
            <w:rPr>
              <w:lang w:val="es-ES"/>
            </w:rPr>
            <w:t>d</w:t>
          </w:r>
          <w:r>
            <w:rPr>
              <w:lang w:val="es-ES"/>
            </w:rPr>
            <w:t>as como formadores por los propios centros de formación y están en condiciones de impartir formación en cuestiones relativas a la P.I.  En todos los países se llevaron a cabo actividades de formación de coordinadores académicos</w:t>
          </w:r>
          <w:r w:rsidR="008A5B21">
            <w:rPr>
              <w:lang w:val="es-ES"/>
            </w:rPr>
            <w:t xml:space="preserve"> aun cuando solo se suministrarán certificados en cuatro países.  </w:t>
          </w:r>
          <w:r w:rsidR="007E0732">
            <w:rPr>
              <w:lang w:val="es-ES"/>
            </w:rPr>
            <w:t xml:space="preserve">Se pidió asistencia a la </w:t>
          </w:r>
          <w:r w:rsidR="008A5B21">
            <w:rPr>
              <w:lang w:val="es-ES"/>
            </w:rPr>
            <w:t>OMPI para la elaboración de programas de formac</w:t>
          </w:r>
          <w:r w:rsidR="00A00CE5">
            <w:rPr>
              <w:lang w:val="es-ES"/>
            </w:rPr>
            <w:t>ión en Colombia y la República D</w:t>
          </w:r>
          <w:r w:rsidR="008A5B21">
            <w:rPr>
              <w:lang w:val="es-ES"/>
            </w:rPr>
            <w:t xml:space="preserve">ominicana, en </w:t>
          </w:r>
          <w:r w:rsidR="008A5B21">
            <w:rPr>
              <w:lang w:val="es-ES"/>
            </w:rPr>
            <w:lastRenderedPageBreak/>
            <w:t xml:space="preserve">sintonía con las actividades previstas, a diferencia del Perú, en donde los formadores y la academia se han encargado de elaborar dichos programas por su cuenta.  En Túnez </w:t>
          </w:r>
          <w:r w:rsidR="00A00CE5">
            <w:rPr>
              <w:lang w:val="es-ES"/>
            </w:rPr>
            <w:t xml:space="preserve">y </w:t>
          </w:r>
          <w:r w:rsidR="008A5B21">
            <w:rPr>
              <w:lang w:val="es-ES"/>
            </w:rPr>
            <w:t>Egipto se acusan retrasos y en Etiopía no ha empezado todavía la labor a ese respecto.</w:t>
          </w:r>
          <w:r>
            <w:rPr>
              <w:lang w:val="es-ES"/>
            </w:rPr>
            <w:t xml:space="preserve"> </w:t>
          </w:r>
        </w:p>
        <w:p w:rsidR="00CE3DD7" w:rsidRPr="00F668BC" w:rsidRDefault="00CE3DD7" w:rsidP="00FA34CE">
          <w:pPr>
            <w:rPr>
              <w:lang w:val="es-ES"/>
            </w:rPr>
          </w:pPr>
        </w:p>
        <w:p w:rsidR="003419A9" w:rsidRPr="00F668BC" w:rsidRDefault="008A5B21" w:rsidP="00FA34CE">
          <w:pPr>
            <w:rPr>
              <w:lang w:val="es-ES"/>
            </w:rPr>
          </w:pPr>
          <w:r>
            <w:rPr>
              <w:lang w:val="es-ES"/>
            </w:rPr>
            <w:t xml:space="preserve">En cada uno de los seis países y con arreglo al calendario del proyecto está en curso la asistencia necesaria para el establecimiento de una biblioteca en cada centro de formación pero en ninguno de los países ha finalizado todavía el proceso de adquisición de material de referencia, por lo que dicha actividad </w:t>
          </w:r>
          <w:r w:rsidR="00027E1B">
            <w:rPr>
              <w:lang w:val="es-ES"/>
            </w:rPr>
            <w:t>seguirá en curso</w:t>
          </w:r>
          <w:r>
            <w:rPr>
              <w:lang w:val="es-ES"/>
            </w:rPr>
            <w:t xml:space="preserve"> una vez terminado el proyecto.  En dos de los seis países (Colombia y República Dominicana) se imparten regularmente como mínimo dos cursos de formación en P.I., a diferencia de los cuatro países restantes, en los que no se imparten cursos todavía.</w:t>
          </w:r>
        </w:p>
        <w:p w:rsidR="00CE3DD7" w:rsidRPr="00F668BC" w:rsidRDefault="00CE3DD7" w:rsidP="00FA34CE">
          <w:pPr>
            <w:rPr>
              <w:lang w:val="es-ES"/>
            </w:rPr>
          </w:pPr>
        </w:p>
        <w:p w:rsidR="003419A9" w:rsidRDefault="0065046C" w:rsidP="00FA34CE">
          <w:pPr>
            <w:rPr>
              <w:lang w:val="es-ES"/>
            </w:rPr>
          </w:pPr>
          <w:r>
            <w:rPr>
              <w:lang w:val="es-ES"/>
            </w:rPr>
            <w:t xml:space="preserve">Determinar si el apoyo que ha suministrado la OMPI ha sido eficaz para contribuir a crear un centro de formación </w:t>
          </w:r>
          <w:r w:rsidR="005E7144">
            <w:rPr>
              <w:lang w:val="es-ES"/>
            </w:rPr>
            <w:t>autosuficiente</w:t>
          </w:r>
          <w:r>
            <w:rPr>
              <w:lang w:val="es-ES"/>
            </w:rPr>
            <w:t xml:space="preserve"> en cada uno de los seis países </w:t>
          </w:r>
          <w:r w:rsidR="005E7144">
            <w:rPr>
              <w:lang w:val="es-ES"/>
            </w:rPr>
            <w:t xml:space="preserve">varía </w:t>
          </w:r>
          <w:r>
            <w:rPr>
              <w:lang w:val="es-ES"/>
            </w:rPr>
            <w:t xml:space="preserve"> de un caso a otro.  La Academia de la OMPI considera que en Colombia, el Perú y la República Dominicana, los centros son </w:t>
          </w:r>
          <w:r w:rsidR="005E7144">
            <w:rPr>
              <w:lang w:val="es-ES"/>
            </w:rPr>
            <w:t xml:space="preserve">autosuficientes </w:t>
          </w:r>
          <w:r>
            <w:rPr>
              <w:lang w:val="es-ES"/>
            </w:rPr>
            <w:t>y que en Túnez</w:t>
          </w:r>
          <w:r w:rsidR="002F523C">
            <w:rPr>
              <w:lang w:val="es-ES"/>
            </w:rPr>
            <w:t>, Etiopía</w:t>
          </w:r>
          <w:r>
            <w:rPr>
              <w:lang w:val="es-ES"/>
            </w:rPr>
            <w:t xml:space="preserve"> y Egipto.  La falta de indicadores claros que permitan evaluar detalladamente dicha </w:t>
          </w:r>
          <w:r w:rsidR="005E7144">
            <w:rPr>
              <w:lang w:val="es-ES"/>
            </w:rPr>
            <w:t xml:space="preserve">autosuficiencia </w:t>
          </w:r>
          <w:r>
            <w:rPr>
              <w:lang w:val="es-ES"/>
            </w:rPr>
            <w:t>ha impedido hacerse una idea clara a ese respecto.</w:t>
          </w:r>
        </w:p>
        <w:p w:rsidR="00F96174" w:rsidRDefault="00F96174" w:rsidP="00FA34CE">
          <w:pPr>
            <w:rPr>
              <w:lang w:val="es-ES"/>
            </w:rPr>
          </w:pPr>
        </w:p>
        <w:p w:rsidR="00F96174" w:rsidRPr="00F668BC" w:rsidRDefault="00F96174" w:rsidP="00FA34CE">
          <w:pPr>
            <w:rPr>
              <w:lang w:val="es-ES"/>
            </w:rPr>
          </w:pPr>
          <w:r>
            <w:rPr>
              <w:lang w:val="es-ES"/>
            </w:rPr>
            <w:t xml:space="preserve">El proyecto ha logrado algunos resultados muy positivos.  Un total de 8.484 personas ha obtenido un certificado de formación proporcionado por 71 de los 86 formadores acreditados y coordinados por los cinco directores académicos formados mediante el proyecto.  Un 60,5% de los formadores </w:t>
          </w:r>
          <w:r w:rsidR="00B7106F">
            <w:rPr>
              <w:lang w:val="es-ES"/>
            </w:rPr>
            <w:t xml:space="preserve">que han recibido formación </w:t>
          </w:r>
          <w:r>
            <w:rPr>
              <w:lang w:val="es-ES"/>
            </w:rPr>
            <w:t>son mujeres.  Además, los módulos de formación sobre novedades recientes de la Agenda de la OMPI para el Desarrollo y las metodologías de enseñanza se han compilado en un espacio de Internet que está abierto al público y se ha puesto a punto un total de seis programas de formación regular en P.I.</w:t>
          </w:r>
        </w:p>
        <w:p w:rsidR="003419A9" w:rsidRPr="00F668BC" w:rsidRDefault="003419A9" w:rsidP="00FA34CE">
          <w:pPr>
            <w:rPr>
              <w:rFonts w:cstheme="minorHAnsi"/>
              <w:b/>
              <w:i/>
              <w:lang w:val="es-ES"/>
            </w:rPr>
          </w:pPr>
        </w:p>
        <w:p w:rsidR="003419A9" w:rsidRPr="00F668BC" w:rsidRDefault="005E7144" w:rsidP="00FA34CE">
          <w:pPr>
            <w:rPr>
              <w:rFonts w:cstheme="minorHAnsi"/>
              <w:b/>
              <w:i/>
              <w:lang w:val="es-ES"/>
            </w:rPr>
          </w:pPr>
          <w:r>
            <w:rPr>
              <w:rFonts w:cstheme="minorHAnsi"/>
              <w:b/>
              <w:i/>
              <w:lang w:val="es-ES"/>
            </w:rPr>
            <w:t>Autosuficiencia</w:t>
          </w:r>
          <w:r w:rsidR="00667DFF" w:rsidRPr="00F668BC">
            <w:rPr>
              <w:rFonts w:cstheme="minorHAnsi"/>
              <w:b/>
              <w:i/>
              <w:lang w:val="es-ES"/>
            </w:rPr>
            <w:br/>
          </w:r>
        </w:p>
        <w:tbl>
          <w:tblPr>
            <w:tblStyle w:val="TableGrid"/>
            <w:tblW w:w="0" w:type="auto"/>
            <w:tblLook w:val="04A0" w:firstRow="1" w:lastRow="0" w:firstColumn="1" w:lastColumn="0" w:noHBand="0" w:noVBand="1"/>
          </w:tblPr>
          <w:tblGrid>
            <w:gridCol w:w="9242"/>
          </w:tblGrid>
          <w:tr w:rsidR="003419A9" w:rsidRPr="00B941B1" w:rsidTr="00667DFF">
            <w:tc>
              <w:tcPr>
                <w:tcW w:w="9242" w:type="dxa"/>
              </w:tcPr>
              <w:p w:rsidR="003419A9" w:rsidRPr="00F668BC" w:rsidRDefault="0088027A" w:rsidP="005E7144">
                <w:pPr>
                  <w:jc w:val="left"/>
                  <w:rPr>
                    <w:i/>
                    <w:lang w:val="es-ES"/>
                  </w:rPr>
                </w:pPr>
                <w:r>
                  <w:rPr>
                    <w:b/>
                    <w:i/>
                    <w:lang w:val="es-ES"/>
                  </w:rPr>
                  <w:t>Conclusión</w:t>
                </w:r>
                <w:r w:rsidR="003419A9" w:rsidRPr="00F668BC">
                  <w:rPr>
                    <w:b/>
                    <w:i/>
                    <w:lang w:val="es-ES"/>
                  </w:rPr>
                  <w:t xml:space="preserve"> 10: </w:t>
                </w:r>
                <w:r w:rsidR="0065046C">
                  <w:rPr>
                    <w:i/>
                    <w:lang w:val="es-ES"/>
                  </w:rPr>
                  <w:t>En el documento del proyecto son pocos los indicadores que permitan evaluar la</w:t>
                </w:r>
                <w:r w:rsidR="005E7144">
                  <w:rPr>
                    <w:i/>
                    <w:lang w:val="es-ES"/>
                  </w:rPr>
                  <w:t xml:space="preserve"> autosuficiencia</w:t>
                </w:r>
                <w:r w:rsidR="0065046C">
                  <w:rPr>
                    <w:i/>
                    <w:lang w:val="es-ES"/>
                  </w:rPr>
                  <w:t xml:space="preserve">.  Habida cuenta de la situación de unos y otros centros de formación en lo que respecta a la ejecución de las actividades, es prematuro pronunciarse acerca de la </w:t>
                </w:r>
                <w:r w:rsidR="005E7144">
                  <w:rPr>
                    <w:i/>
                    <w:lang w:val="es-ES"/>
                  </w:rPr>
                  <w:t>autosuficiencia</w:t>
                </w:r>
                <w:r w:rsidR="0065046C">
                  <w:rPr>
                    <w:i/>
                    <w:lang w:val="es-ES"/>
                  </w:rPr>
                  <w:t xml:space="preserve"> de cada centro.</w:t>
                </w:r>
              </w:p>
            </w:tc>
          </w:tr>
        </w:tbl>
        <w:p w:rsidR="003419A9" w:rsidRPr="00F668BC" w:rsidRDefault="003419A9" w:rsidP="00FA34CE">
          <w:pPr>
            <w:rPr>
              <w:rFonts w:cstheme="minorHAnsi"/>
              <w:lang w:val="es-ES"/>
            </w:rPr>
          </w:pPr>
        </w:p>
        <w:p w:rsidR="003419A9" w:rsidRPr="00F668BC" w:rsidRDefault="0065046C" w:rsidP="00FA34CE">
          <w:pPr>
            <w:rPr>
              <w:rFonts w:cstheme="minorHAnsi"/>
              <w:lang w:val="es-ES"/>
            </w:rPr>
          </w:pPr>
          <w:r>
            <w:rPr>
              <w:rFonts w:cstheme="minorHAnsi"/>
              <w:lang w:val="es-ES"/>
            </w:rPr>
            <w:t xml:space="preserve">Uno de los objetivos centrales del proyecto ha sido crear centros de formación </w:t>
          </w:r>
          <w:r w:rsidR="005E7144">
            <w:rPr>
              <w:rFonts w:cstheme="minorHAnsi"/>
              <w:lang w:val="es-ES"/>
            </w:rPr>
            <w:t>autosuficientes</w:t>
          </w:r>
          <w:r>
            <w:rPr>
              <w:rFonts w:cstheme="minorHAnsi"/>
              <w:lang w:val="es-ES"/>
            </w:rPr>
            <w:t xml:space="preserve"> una vez que dejen de recibir apoyo de la OMPI.  No obstante, se acusa una falta de criterios claros para evaluar la </w:t>
          </w:r>
          <w:r w:rsidR="005E7144" w:rsidRPr="005E7144">
            <w:rPr>
              <w:lang w:val="es-ES"/>
            </w:rPr>
            <w:t>autosuficiencia</w:t>
          </w:r>
          <w:r>
            <w:rPr>
              <w:rFonts w:cstheme="minorHAnsi"/>
              <w:lang w:val="es-ES"/>
            </w:rPr>
            <w:t xml:space="preserve"> de los centros y al mismo tiempo, es relativamente temprano para realizar una evaluación de esa índole (en particular, en los países en los que se ha</w:t>
          </w:r>
          <w:r w:rsidR="00027E1B">
            <w:rPr>
              <w:rFonts w:cstheme="minorHAnsi"/>
              <w:lang w:val="es-ES"/>
            </w:rPr>
            <w:t>n</w:t>
          </w:r>
          <w:r>
            <w:rPr>
              <w:rFonts w:cstheme="minorHAnsi"/>
              <w:lang w:val="es-ES"/>
            </w:rPr>
            <w:t xml:space="preserve"> producido retrasos en la ejecución de las actividades</w:t>
          </w:r>
          <w:r w:rsidR="003419A9" w:rsidRPr="00F668BC">
            <w:rPr>
              <w:rFonts w:cstheme="minorHAnsi"/>
              <w:lang w:val="es-ES"/>
            </w:rPr>
            <w:t>).</w:t>
          </w:r>
          <w:r>
            <w:rPr>
              <w:rFonts w:cstheme="minorHAnsi"/>
              <w:lang w:val="es-ES"/>
            </w:rPr>
            <w:t xml:space="preserve">  No obstante, la reciente incorporación en el presupuesto ordinario de la OMPI de actividades de asistencia a las academias nacionales de P.I. debería dar cabida a c</w:t>
          </w:r>
          <w:r w:rsidR="00402CE1">
            <w:rPr>
              <w:rFonts w:cstheme="minorHAnsi"/>
              <w:lang w:val="es-ES"/>
            </w:rPr>
            <w:t>a</w:t>
          </w:r>
          <w:r>
            <w:rPr>
              <w:rFonts w:cstheme="minorHAnsi"/>
              <w:lang w:val="es-ES"/>
            </w:rPr>
            <w:t>lendarios más flexibles que los aplicados en el proyecto en cuestión y debería permitir que los se</w:t>
          </w:r>
          <w:r w:rsidR="00402CE1">
            <w:rPr>
              <w:rFonts w:cstheme="minorHAnsi"/>
              <w:lang w:val="es-ES"/>
            </w:rPr>
            <w:t xml:space="preserve">is </w:t>
          </w:r>
          <w:r>
            <w:rPr>
              <w:rFonts w:cstheme="minorHAnsi"/>
              <w:lang w:val="es-ES"/>
            </w:rPr>
            <w:t xml:space="preserve">países piloto sigan recibiendo asistencia de la OMPI en caso de que </w:t>
          </w:r>
          <w:r w:rsidR="00402CE1">
            <w:rPr>
              <w:rFonts w:cstheme="minorHAnsi"/>
              <w:lang w:val="es-ES"/>
            </w:rPr>
            <w:t xml:space="preserve">se </w:t>
          </w:r>
          <w:r>
            <w:rPr>
              <w:rFonts w:cstheme="minorHAnsi"/>
              <w:lang w:val="es-ES"/>
            </w:rPr>
            <w:t xml:space="preserve">precise cooperación financiera en el futuro y esa medida podría </w:t>
          </w:r>
          <w:r w:rsidR="00402CE1">
            <w:rPr>
              <w:rFonts w:cstheme="minorHAnsi"/>
              <w:lang w:val="es-ES"/>
            </w:rPr>
            <w:t>consolidar</w:t>
          </w:r>
          <w:r>
            <w:rPr>
              <w:rFonts w:cstheme="minorHAnsi"/>
              <w:lang w:val="es-ES"/>
            </w:rPr>
            <w:t xml:space="preserve"> la </w:t>
          </w:r>
          <w:r w:rsidR="005E7144" w:rsidRPr="005E7144">
            <w:rPr>
              <w:lang w:val="es-ES"/>
            </w:rPr>
            <w:t>autosuficiencia</w:t>
          </w:r>
          <w:r w:rsidR="005E7144" w:rsidRPr="005E7144">
            <w:rPr>
              <w:rFonts w:cstheme="minorHAnsi"/>
              <w:lang w:val="es-ES"/>
            </w:rPr>
            <w:t xml:space="preserve"> </w:t>
          </w:r>
          <w:r>
            <w:rPr>
              <w:rFonts w:cstheme="minorHAnsi"/>
              <w:lang w:val="es-ES"/>
            </w:rPr>
            <w:t>de los centros de</w:t>
          </w:r>
          <w:r w:rsidR="00402CE1">
            <w:rPr>
              <w:rFonts w:cstheme="minorHAnsi"/>
              <w:lang w:val="es-ES"/>
            </w:rPr>
            <w:t xml:space="preserve"> formación</w:t>
          </w:r>
          <w:r w:rsidR="003419A9" w:rsidRPr="00F668BC">
            <w:rPr>
              <w:rFonts w:cstheme="minorHAnsi"/>
              <w:lang w:val="es-ES"/>
            </w:rPr>
            <w:t>.</w:t>
          </w:r>
        </w:p>
        <w:p w:rsidR="003419A9" w:rsidRPr="00F668BC" w:rsidRDefault="003419A9" w:rsidP="00FA34CE">
          <w:pPr>
            <w:rPr>
              <w:rFonts w:cstheme="minorHAnsi"/>
              <w:lang w:val="es-ES"/>
            </w:rPr>
          </w:pPr>
        </w:p>
        <w:p w:rsidR="003419A9" w:rsidRPr="00F668BC" w:rsidRDefault="003419A9" w:rsidP="00FA34CE">
          <w:pPr>
            <w:rPr>
              <w:rFonts w:cstheme="minorHAnsi"/>
              <w:b/>
              <w:lang w:val="es-ES"/>
            </w:rPr>
          </w:pPr>
          <w:r w:rsidRPr="00F668BC">
            <w:rPr>
              <w:rFonts w:cstheme="minorHAnsi"/>
              <w:b/>
              <w:lang w:val="es-ES"/>
            </w:rPr>
            <w:t>Recom</w:t>
          </w:r>
          <w:r w:rsidR="00F54B02">
            <w:rPr>
              <w:rFonts w:cstheme="minorHAnsi"/>
              <w:b/>
              <w:lang w:val="es-ES"/>
            </w:rPr>
            <w:t>endaciones</w:t>
          </w:r>
        </w:p>
        <w:p w:rsidR="003419A9" w:rsidRPr="00F668BC" w:rsidRDefault="00F54B02" w:rsidP="00FA34CE">
          <w:pPr>
            <w:rPr>
              <w:lang w:val="es-ES"/>
            </w:rPr>
          </w:pPr>
          <w:r>
            <w:rPr>
              <w:lang w:val="es-ES"/>
            </w:rPr>
            <w:t>Con miras a tener en cuenta las conclusiones a las que se ha llegado en la presente evaluación, se formulan seis recomendaciones de medidas futuras.</w:t>
          </w:r>
        </w:p>
        <w:p w:rsidR="00C25EF1" w:rsidRPr="00F668BC" w:rsidRDefault="00C25EF1" w:rsidP="00FA34CE">
          <w:pPr>
            <w:rPr>
              <w:lang w:val="es-ES"/>
            </w:rPr>
          </w:pPr>
        </w:p>
        <w:p w:rsidR="002631C5" w:rsidRDefault="002631C5">
          <w:pPr>
            <w:rPr>
              <w:b/>
              <w:i/>
              <w:lang w:val="es-ES"/>
            </w:rPr>
          </w:pPr>
          <w:r>
            <w:rPr>
              <w:b/>
              <w:i/>
              <w:lang w:val="es-ES"/>
            </w:rPr>
            <w:br w:type="page"/>
          </w:r>
        </w:p>
        <w:p w:rsidR="003419A9" w:rsidRPr="00F668BC" w:rsidRDefault="003419A9" w:rsidP="00FA34CE">
          <w:pPr>
            <w:rPr>
              <w:b/>
              <w:i/>
              <w:lang w:val="es-ES"/>
            </w:rPr>
          </w:pPr>
          <w:r w:rsidRPr="00F668BC">
            <w:rPr>
              <w:b/>
              <w:i/>
              <w:lang w:val="es-ES"/>
            </w:rPr>
            <w:lastRenderedPageBreak/>
            <w:t>A</w:t>
          </w:r>
          <w:r w:rsidRPr="00F668BC">
            <w:rPr>
              <w:b/>
              <w:i/>
              <w:lang w:val="es-ES"/>
            </w:rPr>
            <w:tab/>
          </w:r>
          <w:r w:rsidR="00F54B02">
            <w:rPr>
              <w:b/>
              <w:i/>
              <w:lang w:val="es-ES"/>
            </w:rPr>
            <w:t>Concepción y gestión del proyecto</w:t>
          </w:r>
        </w:p>
        <w:p w:rsidR="00667DFF" w:rsidRPr="00F668BC" w:rsidRDefault="00667DFF" w:rsidP="00FA34CE">
          <w:pPr>
            <w:rPr>
              <w:b/>
              <w:i/>
              <w:lang w:val="es-ES"/>
            </w:rPr>
          </w:pPr>
        </w:p>
        <w:p w:rsidR="003419A9" w:rsidRPr="00F668BC" w:rsidRDefault="00F54B02" w:rsidP="00FA34CE">
          <w:pPr>
            <w:rPr>
              <w:b/>
              <w:u w:val="single"/>
              <w:lang w:val="es-ES"/>
            </w:rPr>
          </w:pPr>
          <w:r>
            <w:rPr>
              <w:b/>
              <w:u w:val="single"/>
              <w:lang w:val="es-ES"/>
            </w:rPr>
            <w:t xml:space="preserve">Recomendación </w:t>
          </w:r>
          <w:r w:rsidR="003419A9" w:rsidRPr="00F668BC">
            <w:rPr>
              <w:b/>
              <w:u w:val="single"/>
              <w:lang w:val="es-ES"/>
            </w:rPr>
            <w:t>1</w:t>
          </w:r>
        </w:p>
        <w:p w:rsidR="00667DFF" w:rsidRPr="00F668BC" w:rsidRDefault="00667DFF" w:rsidP="00FA34CE">
          <w:pPr>
            <w:rPr>
              <w:b/>
              <w:u w:val="single"/>
              <w:lang w:val="es-ES"/>
            </w:rPr>
          </w:pPr>
        </w:p>
        <w:p w:rsidR="003419A9" w:rsidRPr="00F668BC" w:rsidRDefault="003419A9" w:rsidP="00FA34CE">
          <w:pPr>
            <w:rPr>
              <w:lang w:val="es-ES"/>
            </w:rPr>
          </w:pPr>
          <w:r w:rsidRPr="00F668BC">
            <w:rPr>
              <w:lang w:val="es-ES"/>
            </w:rPr>
            <w:t>(</w:t>
          </w:r>
          <w:r w:rsidR="00F54B02">
            <w:rPr>
              <w:lang w:val="es-ES"/>
            </w:rPr>
            <w:t>Conclusión 1</w:t>
          </w:r>
          <w:r w:rsidRPr="00F668BC">
            <w:rPr>
              <w:lang w:val="es-ES"/>
            </w:rPr>
            <w:t>)</w:t>
          </w:r>
        </w:p>
        <w:p w:rsidR="00667DFF" w:rsidRPr="00F668BC" w:rsidRDefault="00667DFF" w:rsidP="00FA34CE">
          <w:pPr>
            <w:rPr>
              <w:lang w:val="es-ES"/>
            </w:rPr>
          </w:pPr>
        </w:p>
        <w:p w:rsidR="003419A9" w:rsidRPr="00F668BC" w:rsidRDefault="00F54B02" w:rsidP="00FA34CE">
          <w:pPr>
            <w:rPr>
              <w:lang w:val="es-ES"/>
            </w:rPr>
          </w:pPr>
          <w:r>
            <w:rPr>
              <w:lang w:val="es-ES"/>
            </w:rPr>
            <w:t xml:space="preserve">Tras las evaluaciones del proyecto, la OMPI debe considerar la posibilidad de elaborar planes de acción o de gestión que permitan responder a cada una de las recomendaciones formuladas.  Dichos planes </w:t>
          </w:r>
          <w:r w:rsidR="004534E4">
            <w:rPr>
              <w:lang w:val="es-ES"/>
            </w:rPr>
            <w:t>permitirían documentar las razones de que algunas recomendaciones sean aceptadas por la OMPI y otras no lo sean; con ese fin se designaría a una persona o a un equipo encargado de dar seguimiento a cada recomendación; y se fomentaría el establecimiento de un plazo para la aplicación de la recomendación</w:t>
          </w:r>
          <w:r w:rsidR="003419A9" w:rsidRPr="00F668BC">
            <w:rPr>
              <w:lang w:val="es-ES"/>
            </w:rPr>
            <w:t>.</w:t>
          </w:r>
        </w:p>
        <w:p w:rsidR="00667DFF" w:rsidRPr="00F668BC" w:rsidRDefault="00667DFF" w:rsidP="00FA34CE">
          <w:pPr>
            <w:rPr>
              <w:lang w:val="es-ES"/>
            </w:rPr>
          </w:pPr>
        </w:p>
        <w:p w:rsidR="003419A9" w:rsidRPr="00F668BC" w:rsidRDefault="00F54B02" w:rsidP="00FA34CE">
          <w:pPr>
            <w:rPr>
              <w:b/>
              <w:u w:val="single"/>
              <w:lang w:val="es-ES"/>
            </w:rPr>
          </w:pPr>
          <w:r>
            <w:rPr>
              <w:b/>
              <w:u w:val="single"/>
              <w:lang w:val="es-ES"/>
            </w:rPr>
            <w:t xml:space="preserve">Recomendación </w:t>
          </w:r>
          <w:r w:rsidR="003419A9" w:rsidRPr="00F668BC">
            <w:rPr>
              <w:b/>
              <w:u w:val="single"/>
              <w:lang w:val="es-ES"/>
            </w:rPr>
            <w:t>2</w:t>
          </w:r>
        </w:p>
        <w:p w:rsidR="00667DFF" w:rsidRPr="00F668BC" w:rsidRDefault="00667DFF" w:rsidP="00FA34CE">
          <w:pPr>
            <w:rPr>
              <w:b/>
              <w:u w:val="single"/>
              <w:lang w:val="es-ES"/>
            </w:rPr>
          </w:pPr>
        </w:p>
        <w:p w:rsidR="003419A9" w:rsidRPr="00F668BC" w:rsidRDefault="003419A9" w:rsidP="00FA34CE">
          <w:pPr>
            <w:rPr>
              <w:lang w:val="es-ES"/>
            </w:rPr>
          </w:pPr>
          <w:r w:rsidRPr="00F668BC">
            <w:rPr>
              <w:lang w:val="es-ES"/>
            </w:rPr>
            <w:t>(</w:t>
          </w:r>
          <w:r w:rsidR="004534E4">
            <w:rPr>
              <w:lang w:val="es-ES"/>
            </w:rPr>
            <w:t>Conclusión</w:t>
          </w:r>
          <w:r w:rsidRPr="00F668BC">
            <w:rPr>
              <w:lang w:val="es-ES"/>
            </w:rPr>
            <w:t xml:space="preserve"> 3)</w:t>
          </w:r>
        </w:p>
        <w:p w:rsidR="00667DFF" w:rsidRPr="00F668BC" w:rsidRDefault="00667DFF" w:rsidP="00FA34CE">
          <w:pPr>
            <w:rPr>
              <w:lang w:val="es-ES"/>
            </w:rPr>
          </w:pPr>
        </w:p>
        <w:p w:rsidR="003419A9" w:rsidRPr="00F668BC" w:rsidRDefault="004534E4" w:rsidP="00FA34CE">
          <w:pPr>
            <w:rPr>
              <w:lang w:val="es-ES"/>
            </w:rPr>
          </w:pPr>
          <w:r>
            <w:rPr>
              <w:lang w:val="es-ES"/>
            </w:rPr>
            <w:t xml:space="preserve">En futuros proyecto similares, ya </w:t>
          </w:r>
          <w:r w:rsidR="00027E1B">
            <w:rPr>
              <w:lang w:val="es-ES"/>
            </w:rPr>
            <w:t>estén</w:t>
          </w:r>
          <w:r>
            <w:rPr>
              <w:lang w:val="es-ES"/>
            </w:rPr>
            <w:t xml:space="preserve"> financiados como proyectos especiales o por conducto del presupuesto ordinario de la OMPI, debe reforzarse la función de las oficinas regionales a lo largo de todo el proyecto en cuestión.  Se debe solicitar la contribución de dichas oficinas en las fases de concepci</w:t>
          </w:r>
          <w:r w:rsidR="00DB5CD8">
            <w:rPr>
              <w:lang w:val="es-ES"/>
            </w:rPr>
            <w:t>ón</w:t>
          </w:r>
          <w:r>
            <w:rPr>
              <w:lang w:val="es-ES"/>
            </w:rPr>
            <w:t xml:space="preserve"> del pr</w:t>
          </w:r>
          <w:r w:rsidR="00DB5CD8">
            <w:rPr>
              <w:lang w:val="es-ES"/>
            </w:rPr>
            <w:t>o</w:t>
          </w:r>
          <w:r>
            <w:rPr>
              <w:lang w:val="es-ES"/>
            </w:rPr>
            <w:t xml:space="preserve">yecto, garantizando así el compromiso de estas últimas con los objetivos del proyecto, lo que constituye una manera de velar por la viabilidad del </w:t>
          </w:r>
          <w:r w:rsidR="00027E1B">
            <w:rPr>
              <w:lang w:val="es-ES"/>
            </w:rPr>
            <w:t>mismo</w:t>
          </w:r>
          <w:r>
            <w:rPr>
              <w:lang w:val="es-ES"/>
            </w:rPr>
            <w:t xml:space="preserve">.  Las oficinas están en condiciones de prestar asesoramiento </w:t>
          </w:r>
          <w:r w:rsidR="00027E1B">
            <w:rPr>
              <w:lang w:val="es-ES"/>
            </w:rPr>
            <w:t>para</w:t>
          </w:r>
          <w:r>
            <w:rPr>
              <w:lang w:val="es-ES"/>
            </w:rPr>
            <w:t xml:space="preserve"> determinar cuál es la ubicación idónea para una academia (por ejemplo, en la oficina nacional de P.I. o en un ministerio del gobierno) y pueden suministrar orientaciones sobre las estructuras gubernamentales a nivel nacional. </w:t>
          </w:r>
          <w:r w:rsidR="00DB5CD8">
            <w:rPr>
              <w:lang w:val="es-ES"/>
            </w:rPr>
            <w:t xml:space="preserve"> Las oficinas tienen también la posibilidad de fomentar la inclusión de los centros de formación en las estrategias nacionales de P.I.</w:t>
          </w:r>
        </w:p>
        <w:p w:rsidR="003419A9" w:rsidRPr="00F668BC" w:rsidRDefault="003419A9" w:rsidP="00FA34CE">
          <w:pPr>
            <w:rPr>
              <w:b/>
              <w:i/>
              <w:lang w:val="es-ES"/>
            </w:rPr>
          </w:pPr>
        </w:p>
        <w:p w:rsidR="003419A9" w:rsidRPr="00F668BC" w:rsidRDefault="003419A9" w:rsidP="00FA34CE">
          <w:pPr>
            <w:rPr>
              <w:b/>
              <w:i/>
              <w:lang w:val="es-ES"/>
            </w:rPr>
          </w:pPr>
          <w:r w:rsidRPr="00F668BC">
            <w:rPr>
              <w:b/>
              <w:i/>
              <w:lang w:val="es-ES"/>
            </w:rPr>
            <w:t>B</w:t>
          </w:r>
          <w:r w:rsidRPr="00F668BC">
            <w:rPr>
              <w:b/>
              <w:i/>
              <w:lang w:val="es-ES"/>
            </w:rPr>
            <w:tab/>
            <w:t>Ef</w:t>
          </w:r>
          <w:r w:rsidR="00DB5CD8">
            <w:rPr>
              <w:b/>
              <w:i/>
              <w:lang w:val="es-ES"/>
            </w:rPr>
            <w:t>icacia</w:t>
          </w:r>
        </w:p>
        <w:p w:rsidR="00667DFF" w:rsidRPr="00F668BC" w:rsidRDefault="00667DFF" w:rsidP="00FA34CE">
          <w:pPr>
            <w:rPr>
              <w:b/>
              <w:i/>
              <w:lang w:val="es-ES"/>
            </w:rPr>
          </w:pPr>
        </w:p>
        <w:p w:rsidR="003419A9" w:rsidRPr="00F668BC" w:rsidRDefault="00F54B02" w:rsidP="00FA34CE">
          <w:pPr>
            <w:rPr>
              <w:b/>
              <w:u w:val="single"/>
              <w:lang w:val="es-ES"/>
            </w:rPr>
          </w:pPr>
          <w:r>
            <w:rPr>
              <w:b/>
              <w:u w:val="single"/>
              <w:lang w:val="es-ES"/>
            </w:rPr>
            <w:t xml:space="preserve">Recomendación </w:t>
          </w:r>
          <w:r w:rsidR="003419A9" w:rsidRPr="00F668BC">
            <w:rPr>
              <w:b/>
              <w:u w:val="single"/>
              <w:lang w:val="es-ES"/>
            </w:rPr>
            <w:t>3</w:t>
          </w:r>
        </w:p>
        <w:p w:rsidR="00667DFF" w:rsidRPr="00F668BC" w:rsidRDefault="00667DFF" w:rsidP="00FA34CE">
          <w:pPr>
            <w:rPr>
              <w:b/>
              <w:u w:val="single"/>
              <w:lang w:val="es-ES"/>
            </w:rPr>
          </w:pPr>
        </w:p>
        <w:p w:rsidR="003419A9" w:rsidRPr="00F668BC" w:rsidRDefault="003419A9" w:rsidP="00FA34CE">
          <w:pPr>
            <w:rPr>
              <w:lang w:val="es-ES"/>
            </w:rPr>
          </w:pPr>
          <w:r w:rsidRPr="00F668BC">
            <w:rPr>
              <w:lang w:val="es-ES"/>
            </w:rPr>
            <w:t>(</w:t>
          </w:r>
          <w:r w:rsidR="004534E4">
            <w:rPr>
              <w:lang w:val="es-ES"/>
            </w:rPr>
            <w:t>Conclusi</w:t>
          </w:r>
          <w:r w:rsidR="00DB5CD8">
            <w:rPr>
              <w:lang w:val="es-ES"/>
            </w:rPr>
            <w:t>ones</w:t>
          </w:r>
          <w:r w:rsidRPr="00F668BC">
            <w:rPr>
              <w:lang w:val="es-ES"/>
            </w:rPr>
            <w:t xml:space="preserve"> 5 </w:t>
          </w:r>
          <w:r w:rsidR="00DB5CD8">
            <w:rPr>
              <w:lang w:val="es-ES"/>
            </w:rPr>
            <w:t>y</w:t>
          </w:r>
          <w:r w:rsidR="00027E1B">
            <w:rPr>
              <w:lang w:val="es-ES"/>
            </w:rPr>
            <w:t xml:space="preserve"> </w:t>
          </w:r>
          <w:r w:rsidRPr="00F668BC">
            <w:rPr>
              <w:lang w:val="es-ES"/>
            </w:rPr>
            <w:t>10)</w:t>
          </w:r>
        </w:p>
        <w:p w:rsidR="00667DFF" w:rsidRPr="00F668BC" w:rsidRDefault="00667DFF" w:rsidP="00FA34CE">
          <w:pPr>
            <w:rPr>
              <w:lang w:val="es-ES"/>
            </w:rPr>
          </w:pPr>
        </w:p>
        <w:p w:rsidR="003419A9" w:rsidRPr="00F668BC" w:rsidRDefault="00DB5CD8" w:rsidP="00FA34CE">
          <w:pPr>
            <w:rPr>
              <w:lang w:val="es-ES"/>
            </w:rPr>
          </w:pPr>
          <w:r>
            <w:rPr>
              <w:lang w:val="es-ES"/>
            </w:rPr>
            <w:t>Mediante una coordinación entre la Academia de la OMPI y las oficinas</w:t>
          </w:r>
          <w:r w:rsidR="00027E1B">
            <w:rPr>
              <w:lang w:val="es-ES"/>
            </w:rPr>
            <w:t xml:space="preserve"> r</w:t>
          </w:r>
          <w:r>
            <w:rPr>
              <w:lang w:val="es-ES"/>
            </w:rPr>
            <w:t xml:space="preserve">egionales, habrían de elaborarse indicadores que permitan evaluar si se han creado centros de formación verdaderamente </w:t>
          </w:r>
          <w:r w:rsidR="005E7144">
            <w:rPr>
              <w:lang w:val="es-ES"/>
            </w:rPr>
            <w:t>autosuficientes</w:t>
          </w:r>
          <w:r>
            <w:rPr>
              <w:lang w:val="es-ES"/>
            </w:rPr>
            <w:t>, en particular, habida cuenta de que dicha actividad se contempla hoy en el presupuesto ordinario de la OMPI</w:t>
          </w:r>
          <w:r w:rsidR="003419A9" w:rsidRPr="00F668BC">
            <w:rPr>
              <w:lang w:val="es-ES"/>
            </w:rPr>
            <w:t xml:space="preserve">. </w:t>
          </w:r>
        </w:p>
        <w:p w:rsidR="00667DFF" w:rsidRPr="00F668BC" w:rsidRDefault="00667DFF" w:rsidP="00FA34CE">
          <w:pPr>
            <w:rPr>
              <w:lang w:val="es-ES"/>
            </w:rPr>
          </w:pPr>
        </w:p>
        <w:p w:rsidR="003419A9" w:rsidRPr="00F668BC" w:rsidRDefault="00DB5CD8" w:rsidP="00FA34CE">
          <w:pPr>
            <w:rPr>
              <w:lang w:val="es-ES"/>
            </w:rPr>
          </w:pPr>
          <w:r>
            <w:rPr>
              <w:lang w:val="es-ES"/>
            </w:rPr>
            <w:t>Los indicadores deben ser específicos, mensurables, realizables, pertinentes y sujetos a plazo</w:t>
          </w:r>
          <w:r w:rsidR="003419A9" w:rsidRPr="00F668BC">
            <w:rPr>
              <w:lang w:val="es-ES"/>
            </w:rPr>
            <w:t xml:space="preserve"> </w:t>
          </w:r>
          <w:r w:rsidR="00BB4125">
            <w:rPr>
              <w:lang w:val="es-ES"/>
            </w:rPr>
            <w:t xml:space="preserve">y deben estar </w:t>
          </w:r>
          <w:r w:rsidR="00027E1B">
            <w:rPr>
              <w:lang w:val="es-ES"/>
            </w:rPr>
            <w:t>orientados hacia</w:t>
          </w:r>
          <w:r w:rsidR="00BB4125">
            <w:rPr>
              <w:lang w:val="es-ES"/>
            </w:rPr>
            <w:t xml:space="preserve"> la obtención de productos y </w:t>
          </w:r>
          <w:r w:rsidR="00027E1B">
            <w:rPr>
              <w:lang w:val="es-ES"/>
            </w:rPr>
            <w:t xml:space="preserve"> también de </w:t>
          </w:r>
          <w:r w:rsidR="00BB4125">
            <w:rPr>
              <w:lang w:val="es-ES"/>
            </w:rPr>
            <w:t>resultados</w:t>
          </w:r>
          <w:r w:rsidR="003419A9" w:rsidRPr="00F668BC">
            <w:rPr>
              <w:lang w:val="es-ES"/>
            </w:rPr>
            <w:t>.</w:t>
          </w:r>
        </w:p>
        <w:p w:rsidR="00667DFF" w:rsidRPr="00F668BC" w:rsidRDefault="00667DFF" w:rsidP="00FA34CE">
          <w:pPr>
            <w:rPr>
              <w:lang w:val="es-ES"/>
            </w:rPr>
          </w:pPr>
        </w:p>
        <w:p w:rsidR="003419A9" w:rsidRPr="00F668BC" w:rsidRDefault="00F54B02" w:rsidP="00FA34CE">
          <w:pPr>
            <w:rPr>
              <w:b/>
              <w:u w:val="single"/>
              <w:lang w:val="es-ES"/>
            </w:rPr>
          </w:pPr>
          <w:r>
            <w:rPr>
              <w:b/>
              <w:u w:val="single"/>
              <w:lang w:val="es-ES"/>
            </w:rPr>
            <w:t>Recomendación</w:t>
          </w:r>
          <w:r w:rsidR="00BB4125">
            <w:rPr>
              <w:b/>
              <w:u w:val="single"/>
              <w:lang w:val="es-ES"/>
            </w:rPr>
            <w:t xml:space="preserve"> </w:t>
          </w:r>
          <w:r w:rsidR="003419A9" w:rsidRPr="00F668BC">
            <w:rPr>
              <w:b/>
              <w:u w:val="single"/>
              <w:lang w:val="es-ES"/>
            </w:rPr>
            <w:t>4</w:t>
          </w:r>
        </w:p>
        <w:p w:rsidR="00667DFF" w:rsidRPr="00F668BC" w:rsidRDefault="00667DFF" w:rsidP="00FA34CE">
          <w:pPr>
            <w:rPr>
              <w:b/>
              <w:u w:val="single"/>
              <w:lang w:val="es-ES"/>
            </w:rPr>
          </w:pPr>
        </w:p>
        <w:p w:rsidR="003419A9" w:rsidRPr="00F668BC" w:rsidRDefault="003419A9" w:rsidP="00FA34CE">
          <w:pPr>
            <w:rPr>
              <w:lang w:val="es-ES"/>
            </w:rPr>
          </w:pPr>
          <w:r w:rsidRPr="00F668BC">
            <w:rPr>
              <w:lang w:val="es-ES"/>
            </w:rPr>
            <w:t>(</w:t>
          </w:r>
          <w:r w:rsidR="004534E4">
            <w:rPr>
              <w:lang w:val="es-ES"/>
            </w:rPr>
            <w:t>Conclusión</w:t>
          </w:r>
          <w:r w:rsidRPr="00F668BC">
            <w:rPr>
              <w:lang w:val="es-ES"/>
            </w:rPr>
            <w:t xml:space="preserve"> 6)</w:t>
          </w:r>
        </w:p>
        <w:p w:rsidR="00667DFF" w:rsidRPr="00F668BC" w:rsidRDefault="00667DFF" w:rsidP="00FA34CE">
          <w:pPr>
            <w:rPr>
              <w:lang w:val="es-ES"/>
            </w:rPr>
          </w:pPr>
        </w:p>
        <w:p w:rsidR="003419A9" w:rsidRPr="00F668BC" w:rsidRDefault="00BB4125" w:rsidP="00FA34CE">
          <w:pPr>
            <w:rPr>
              <w:lang w:val="es-ES"/>
            </w:rPr>
          </w:pPr>
          <w:r>
            <w:rPr>
              <w:lang w:val="es-ES"/>
            </w:rPr>
            <w:t xml:space="preserve">Con miras a prestar apoyo a los nuevos centros de formación, la Academia de la OMPI, en coordinación con la oficina regional pertinente, debe elaborar un modelo de evaluación </w:t>
          </w:r>
          <w:r w:rsidR="00027E1B">
            <w:rPr>
              <w:lang w:val="es-ES"/>
            </w:rPr>
            <w:t xml:space="preserve">que </w:t>
          </w:r>
          <w:r>
            <w:rPr>
              <w:lang w:val="es-ES"/>
            </w:rPr>
            <w:t xml:space="preserve">pueda poner a disposición de los centros a los fines de que sea adaptado y utilizado para evaluar hasta qué punto los formadores tienen la competencia y la capacidad necesarias para asumir la responsabilidad de la formación.  </w:t>
          </w:r>
          <w:r w:rsidR="0081370E">
            <w:rPr>
              <w:lang w:val="es-ES"/>
            </w:rPr>
            <w:t xml:space="preserve">Eso garantizaría el compromiso de la OMPI con el proyecto una vez finalizada la formación.  Se podría recurrir a los consultores independientes que hayan participado en la concepción de los proyectos para realizar evaluaciones independientes de los que hayan recibido formación y verificar si los módulos de formación y el modelo adoptado permiten alcanzar los objetivos, en el sentido de crear recursos humanos </w:t>
          </w:r>
          <w:r w:rsidR="0081370E">
            <w:rPr>
              <w:lang w:val="es-ES"/>
            </w:rPr>
            <w:lastRenderedPageBreak/>
            <w:t>capaces de elaborar y poner en práctica programas de formación en P.I.  Además, en el futuro, habrá que incluir en la concepción del proyecto un plan sobre la manera en que los formadores que hayan recibido la formación utilizarán las aptitudes adquiridas, ya sea a nivel nacional o internacional, para garantizar q</w:t>
          </w:r>
          <w:r w:rsidR="00027E1B">
            <w:rPr>
              <w:lang w:val="es-ES"/>
            </w:rPr>
            <w:t xml:space="preserve">ue la formación sea pertinente y </w:t>
          </w:r>
          <w:r w:rsidR="0081370E">
            <w:rPr>
              <w:lang w:val="es-ES"/>
            </w:rPr>
            <w:t>útil</w:t>
          </w:r>
          <w:r w:rsidR="00027E1B">
            <w:rPr>
              <w:lang w:val="es-ES"/>
            </w:rPr>
            <w:t>,</w:t>
          </w:r>
          <w:r w:rsidR="0081370E">
            <w:rPr>
              <w:lang w:val="es-ES"/>
            </w:rPr>
            <w:t xml:space="preserve"> y sea empleada.  En ese aspecto de la concepción del proyecto se requiere la colaboración de las oficinas regionales de la OMPI, dada su amplia comprensión de los contextos y oportunidades nacionales, regionales e internacionales.</w:t>
          </w:r>
          <w:r w:rsidR="003419A9" w:rsidRPr="00F668BC">
            <w:rPr>
              <w:lang w:val="es-ES"/>
            </w:rPr>
            <w:t xml:space="preserve"> </w:t>
          </w:r>
        </w:p>
        <w:p w:rsidR="00667DFF" w:rsidRPr="00F668BC" w:rsidRDefault="00667DFF" w:rsidP="00FA34CE">
          <w:pPr>
            <w:rPr>
              <w:lang w:val="es-ES"/>
            </w:rPr>
          </w:pPr>
        </w:p>
        <w:p w:rsidR="003419A9" w:rsidRPr="00F668BC" w:rsidRDefault="00F54B02" w:rsidP="00FA34CE">
          <w:pPr>
            <w:rPr>
              <w:b/>
              <w:u w:val="single"/>
              <w:lang w:val="es-ES"/>
            </w:rPr>
          </w:pPr>
          <w:r>
            <w:rPr>
              <w:b/>
              <w:u w:val="single"/>
              <w:lang w:val="es-ES"/>
            </w:rPr>
            <w:t>Recomendación</w:t>
          </w:r>
          <w:r w:rsidR="00027E1B">
            <w:rPr>
              <w:b/>
              <w:u w:val="single"/>
              <w:lang w:val="es-ES"/>
            </w:rPr>
            <w:t xml:space="preserve"> </w:t>
          </w:r>
          <w:r w:rsidR="003419A9" w:rsidRPr="00F668BC">
            <w:rPr>
              <w:b/>
              <w:u w:val="single"/>
              <w:lang w:val="es-ES"/>
            </w:rPr>
            <w:t>5</w:t>
          </w:r>
        </w:p>
        <w:p w:rsidR="00667DFF" w:rsidRPr="00F668BC" w:rsidRDefault="00667DFF" w:rsidP="00FA34CE">
          <w:pPr>
            <w:rPr>
              <w:b/>
              <w:u w:val="single"/>
              <w:lang w:val="es-ES"/>
            </w:rPr>
          </w:pPr>
        </w:p>
        <w:p w:rsidR="003419A9" w:rsidRPr="00F668BC" w:rsidRDefault="003419A9" w:rsidP="00FA34CE">
          <w:pPr>
            <w:rPr>
              <w:lang w:val="es-ES"/>
            </w:rPr>
          </w:pPr>
          <w:r w:rsidRPr="00F668BC">
            <w:rPr>
              <w:lang w:val="es-ES"/>
            </w:rPr>
            <w:t>(</w:t>
          </w:r>
          <w:r w:rsidR="004534E4">
            <w:rPr>
              <w:lang w:val="es-ES"/>
            </w:rPr>
            <w:t>Conclusión</w:t>
          </w:r>
          <w:r w:rsidRPr="00F668BC">
            <w:rPr>
              <w:lang w:val="es-ES"/>
            </w:rPr>
            <w:t xml:space="preserve"> 8)</w:t>
          </w:r>
        </w:p>
        <w:p w:rsidR="00667DFF" w:rsidRPr="00F668BC" w:rsidRDefault="00667DFF" w:rsidP="00FA34CE">
          <w:pPr>
            <w:rPr>
              <w:lang w:val="es-ES"/>
            </w:rPr>
          </w:pPr>
        </w:p>
        <w:p w:rsidR="003419A9" w:rsidRPr="00F668BC" w:rsidRDefault="0081370E" w:rsidP="00FA34CE">
          <w:pPr>
            <w:rPr>
              <w:lang w:val="es-ES"/>
            </w:rPr>
          </w:pPr>
          <w:r>
            <w:rPr>
              <w:lang w:val="es-ES"/>
            </w:rPr>
            <w:t xml:space="preserve">La OMPI debe </w:t>
          </w:r>
          <w:r w:rsidR="00161018">
            <w:rPr>
              <w:lang w:val="es-ES"/>
            </w:rPr>
            <w:t>inaugurar oficialmente el proyecto relativo al espacio Wiki y difundirlo entre los Estados miembros</w:t>
          </w:r>
          <w:r w:rsidR="003419A9" w:rsidRPr="00F668BC">
            <w:rPr>
              <w:lang w:val="es-ES"/>
            </w:rPr>
            <w:t>.</w:t>
          </w:r>
        </w:p>
        <w:p w:rsidR="00667DFF" w:rsidRPr="00F668BC" w:rsidRDefault="00667DFF" w:rsidP="00FA34CE">
          <w:pPr>
            <w:rPr>
              <w:lang w:val="es-ES"/>
            </w:rPr>
          </w:pPr>
        </w:p>
        <w:p w:rsidR="003419A9" w:rsidRPr="00F668BC" w:rsidRDefault="00161018" w:rsidP="00FA34CE">
          <w:pPr>
            <w:rPr>
              <w:lang w:val="es-ES"/>
            </w:rPr>
          </w:pPr>
          <w:r>
            <w:rPr>
              <w:lang w:val="es-ES"/>
            </w:rPr>
            <w:t>Debe seleccionarse un moderador para dicho espacio a los fines de fomentar y supervisar debates y observaciones acerca de la creación de instituciones de formación en P.I. y de la formación que se imparta en cada uno de ellos.</w:t>
          </w:r>
        </w:p>
        <w:p w:rsidR="00667DFF" w:rsidRPr="00F668BC" w:rsidRDefault="00667DFF" w:rsidP="00FA34CE">
          <w:pPr>
            <w:rPr>
              <w:lang w:val="es-ES"/>
            </w:rPr>
          </w:pPr>
        </w:p>
        <w:p w:rsidR="003419A9" w:rsidRPr="00F668BC" w:rsidRDefault="00F54B02" w:rsidP="00FA34CE">
          <w:pPr>
            <w:rPr>
              <w:b/>
              <w:u w:val="single"/>
              <w:lang w:val="es-ES"/>
            </w:rPr>
          </w:pPr>
          <w:r>
            <w:rPr>
              <w:b/>
              <w:u w:val="single"/>
              <w:lang w:val="es-ES"/>
            </w:rPr>
            <w:t>Recomendación</w:t>
          </w:r>
          <w:r w:rsidR="00027E1B">
            <w:rPr>
              <w:b/>
              <w:u w:val="single"/>
              <w:lang w:val="es-ES"/>
            </w:rPr>
            <w:t xml:space="preserve"> </w:t>
          </w:r>
          <w:r w:rsidR="003419A9" w:rsidRPr="00F668BC">
            <w:rPr>
              <w:b/>
              <w:u w:val="single"/>
              <w:lang w:val="es-ES"/>
            </w:rPr>
            <w:t>6</w:t>
          </w:r>
        </w:p>
        <w:p w:rsidR="00667DFF" w:rsidRPr="00F668BC" w:rsidRDefault="00667DFF" w:rsidP="00FA34CE">
          <w:pPr>
            <w:rPr>
              <w:b/>
              <w:u w:val="single"/>
              <w:lang w:val="es-ES"/>
            </w:rPr>
          </w:pPr>
        </w:p>
        <w:p w:rsidR="003419A9" w:rsidRPr="00F668BC" w:rsidRDefault="003419A9" w:rsidP="00FA34CE">
          <w:pPr>
            <w:rPr>
              <w:lang w:val="es-ES"/>
            </w:rPr>
          </w:pPr>
          <w:r w:rsidRPr="00F668BC">
            <w:rPr>
              <w:lang w:val="es-ES"/>
            </w:rPr>
            <w:t>(</w:t>
          </w:r>
          <w:r w:rsidR="004534E4">
            <w:rPr>
              <w:lang w:val="es-ES"/>
            </w:rPr>
            <w:t>Conclusión</w:t>
          </w:r>
          <w:r w:rsidRPr="00F668BC">
            <w:rPr>
              <w:lang w:val="es-ES"/>
            </w:rPr>
            <w:t xml:space="preserve"> 9)</w:t>
          </w:r>
        </w:p>
        <w:p w:rsidR="00667DFF" w:rsidRPr="00F668BC" w:rsidRDefault="00667DFF" w:rsidP="00FA34CE">
          <w:pPr>
            <w:rPr>
              <w:lang w:val="es-ES"/>
            </w:rPr>
          </w:pPr>
        </w:p>
        <w:p w:rsidR="00623F1E" w:rsidRDefault="00DD5F5C" w:rsidP="00FA34CE">
          <w:pPr>
            <w:rPr>
              <w:lang w:val="es-ES"/>
            </w:rPr>
          </w:pPr>
          <w:r>
            <w:rPr>
              <w:lang w:val="es-ES"/>
            </w:rPr>
            <w:t>El equipo del proyecto, en estrecha coordinación con las oficinas regionales, debe</w:t>
          </w:r>
          <w:r w:rsidR="0062405E">
            <w:rPr>
              <w:lang w:val="es-ES"/>
            </w:rPr>
            <w:t xml:space="preserve"> finalizar </w:t>
          </w:r>
          <w:r>
            <w:rPr>
              <w:lang w:val="es-ES"/>
            </w:rPr>
            <w:t xml:space="preserve">sin demora </w:t>
          </w:r>
          <w:r w:rsidR="0062405E">
            <w:rPr>
              <w:lang w:val="es-ES"/>
            </w:rPr>
            <w:t xml:space="preserve">la elaboración de </w:t>
          </w:r>
          <w:r>
            <w:rPr>
              <w:lang w:val="es-ES"/>
            </w:rPr>
            <w:t xml:space="preserve">una serie de directrices </w:t>
          </w:r>
          <w:r w:rsidR="0062405E">
            <w:rPr>
              <w:lang w:val="es-ES"/>
            </w:rPr>
            <w:t xml:space="preserve">que se están preparando </w:t>
          </w:r>
          <w:r>
            <w:rPr>
              <w:lang w:val="es-ES"/>
            </w:rPr>
            <w:t xml:space="preserve">sobre los procedimientos necesarios para crear centros de formación en P.I. </w:t>
          </w:r>
          <w:r w:rsidR="005E7144">
            <w:rPr>
              <w:lang w:val="es-ES"/>
            </w:rPr>
            <w:t>autosuficientes</w:t>
          </w:r>
          <w:r>
            <w:rPr>
              <w:lang w:val="es-ES"/>
            </w:rPr>
            <w:t xml:space="preserve">.  </w:t>
          </w:r>
        </w:p>
        <w:p w:rsidR="00623F1E" w:rsidRDefault="00623F1E" w:rsidP="00FA34CE">
          <w:pPr>
            <w:rPr>
              <w:lang w:val="es-ES"/>
            </w:rPr>
          </w:pPr>
        </w:p>
        <w:p w:rsidR="003419A9" w:rsidRPr="00F668BC" w:rsidRDefault="00DD5F5C" w:rsidP="00FA34CE">
          <w:pPr>
            <w:rPr>
              <w:lang w:val="es-ES"/>
            </w:rPr>
          </w:pPr>
          <w:r>
            <w:rPr>
              <w:lang w:val="es-ES"/>
            </w:rPr>
            <w:t>Dichas directrices deben ir acompañadas de un plan de difusión y deben darse a conocer entre los Estados miembros</w:t>
          </w:r>
          <w:r w:rsidR="003419A9" w:rsidRPr="00F668BC">
            <w:rPr>
              <w:lang w:val="es-ES"/>
            </w:rPr>
            <w:t>.</w:t>
          </w:r>
        </w:p>
        <w:p w:rsidR="003419A9" w:rsidRPr="00F668BC" w:rsidRDefault="003419A9" w:rsidP="00FA34CE">
          <w:pPr>
            <w:rPr>
              <w:rFonts w:cstheme="minorHAnsi"/>
              <w:lang w:val="es-ES"/>
            </w:rPr>
          </w:pPr>
        </w:p>
        <w:p w:rsidR="003419A9" w:rsidRPr="00F668BC" w:rsidRDefault="00DD5F5C" w:rsidP="00FA34CE">
          <w:pPr>
            <w:pStyle w:val="Heading1"/>
            <w:rPr>
              <w:b/>
              <w:u w:val="single"/>
              <w:lang w:val="es-ES"/>
            </w:rPr>
          </w:pPr>
          <w:r>
            <w:rPr>
              <w:b/>
              <w:caps w:val="0"/>
              <w:u w:val="single"/>
              <w:lang w:val="es-ES"/>
            </w:rPr>
            <w:t>Siglas y abreviaciones</w:t>
          </w:r>
        </w:p>
        <w:p w:rsidR="003419A9" w:rsidRPr="00F668BC" w:rsidRDefault="003419A9" w:rsidP="00FA34CE">
          <w:pPr>
            <w:rPr>
              <w:rFonts w:cstheme="minorHAnsi"/>
              <w:lang w:val="es-ES"/>
            </w:rPr>
          </w:pPr>
        </w:p>
        <w:p w:rsidR="003419A9" w:rsidRPr="00F668BC" w:rsidRDefault="003419A9" w:rsidP="00FA34CE">
          <w:pPr>
            <w:pStyle w:val="ListParagraph"/>
            <w:ind w:left="0"/>
            <w:rPr>
              <w:rFonts w:cstheme="minorHAnsi"/>
              <w:szCs w:val="22"/>
              <w:lang w:val="es-ES"/>
            </w:rPr>
          </w:pPr>
          <w:r w:rsidRPr="00F668BC">
            <w:rPr>
              <w:rFonts w:cstheme="minorHAnsi"/>
              <w:szCs w:val="22"/>
              <w:lang w:val="es-ES"/>
            </w:rPr>
            <w:t>CDIP</w:t>
          </w:r>
          <w:r w:rsidRPr="00F668BC">
            <w:rPr>
              <w:rFonts w:cstheme="minorHAnsi"/>
              <w:szCs w:val="22"/>
              <w:lang w:val="es-ES"/>
            </w:rPr>
            <w:tab/>
          </w:r>
          <w:r w:rsidRPr="00F668BC">
            <w:rPr>
              <w:rFonts w:cstheme="minorHAnsi"/>
              <w:szCs w:val="22"/>
              <w:lang w:val="es-ES"/>
            </w:rPr>
            <w:tab/>
          </w:r>
          <w:r w:rsidRPr="00F668BC">
            <w:rPr>
              <w:rFonts w:cstheme="minorHAnsi"/>
              <w:szCs w:val="22"/>
              <w:lang w:val="es-ES"/>
            </w:rPr>
            <w:tab/>
          </w:r>
          <w:r w:rsidR="00DD5F5C">
            <w:rPr>
              <w:rFonts w:cstheme="minorHAnsi"/>
              <w:szCs w:val="22"/>
              <w:lang w:val="es-ES"/>
            </w:rPr>
            <w:t xml:space="preserve">Comité </w:t>
          </w:r>
          <w:r w:rsidR="00DD5F5C" w:rsidRPr="00751539">
            <w:rPr>
              <w:rFonts w:cstheme="minorHAnsi"/>
              <w:szCs w:val="22"/>
              <w:lang w:val="es-ES_tradnl"/>
            </w:rPr>
            <w:t>de Desarrollo y Propiedad Intelectual</w:t>
          </w:r>
        </w:p>
        <w:p w:rsidR="003419A9" w:rsidRPr="00F668BC" w:rsidRDefault="00DD5F5C" w:rsidP="00FA34CE">
          <w:pPr>
            <w:rPr>
              <w:rFonts w:cstheme="minorHAnsi"/>
              <w:lang w:val="es-ES"/>
            </w:rPr>
          </w:pPr>
          <w:r>
            <w:rPr>
              <w:rFonts w:cstheme="minorHAnsi"/>
              <w:lang w:val="es-ES"/>
            </w:rPr>
            <w:t>P.I.</w:t>
          </w:r>
          <w:r w:rsidR="003419A9" w:rsidRPr="00F668BC">
            <w:rPr>
              <w:rFonts w:cstheme="minorHAnsi"/>
              <w:lang w:val="es-ES"/>
            </w:rPr>
            <w:tab/>
          </w:r>
          <w:r w:rsidR="003419A9" w:rsidRPr="00F668BC">
            <w:rPr>
              <w:rFonts w:cstheme="minorHAnsi"/>
              <w:lang w:val="es-ES"/>
            </w:rPr>
            <w:tab/>
          </w:r>
          <w:r w:rsidR="003419A9" w:rsidRPr="00F668BC">
            <w:rPr>
              <w:rFonts w:cstheme="minorHAnsi"/>
              <w:lang w:val="es-ES"/>
            </w:rPr>
            <w:tab/>
          </w:r>
          <w:r>
            <w:rPr>
              <w:rFonts w:cstheme="minorHAnsi"/>
              <w:lang w:val="es-ES"/>
            </w:rPr>
            <w:t>Propiedad Intelectual</w:t>
          </w:r>
        </w:p>
        <w:p w:rsidR="003419A9" w:rsidRPr="00F668BC" w:rsidRDefault="00DD5F5C" w:rsidP="00FA34CE">
          <w:pPr>
            <w:rPr>
              <w:rFonts w:cstheme="minorHAnsi"/>
              <w:lang w:val="es-ES"/>
            </w:rPr>
          </w:pPr>
          <w:r>
            <w:rPr>
              <w:rFonts w:cstheme="minorHAnsi"/>
              <w:lang w:val="es-ES"/>
            </w:rPr>
            <w:t>PMA</w:t>
          </w:r>
          <w:r w:rsidR="003419A9" w:rsidRPr="00F668BC">
            <w:rPr>
              <w:rFonts w:cstheme="minorHAnsi"/>
              <w:lang w:val="es-ES"/>
            </w:rPr>
            <w:tab/>
          </w:r>
          <w:r w:rsidR="003419A9" w:rsidRPr="00F668BC">
            <w:rPr>
              <w:rFonts w:cstheme="minorHAnsi"/>
              <w:lang w:val="es-ES"/>
            </w:rPr>
            <w:tab/>
          </w:r>
          <w:r w:rsidR="003419A9" w:rsidRPr="00F668BC">
            <w:rPr>
              <w:rFonts w:cstheme="minorHAnsi"/>
              <w:lang w:val="es-ES"/>
            </w:rPr>
            <w:tab/>
          </w:r>
          <w:r>
            <w:rPr>
              <w:rFonts w:cstheme="minorHAnsi"/>
              <w:lang w:val="es-ES"/>
            </w:rPr>
            <w:t>País menos Adelantado</w:t>
          </w:r>
        </w:p>
        <w:p w:rsidR="00285975" w:rsidRPr="00F668BC" w:rsidRDefault="00DD5F5C" w:rsidP="00FA34CE">
          <w:pPr>
            <w:rPr>
              <w:rFonts w:cstheme="minorHAnsi"/>
              <w:lang w:val="es-ES"/>
            </w:rPr>
          </w:pPr>
          <w:r>
            <w:rPr>
              <w:rFonts w:cstheme="minorHAnsi"/>
              <w:lang w:val="es-ES"/>
            </w:rPr>
            <w:t>OMPI</w:t>
          </w:r>
          <w:r w:rsidR="002451CB" w:rsidRPr="00F668BC">
            <w:rPr>
              <w:rFonts w:cstheme="minorHAnsi"/>
              <w:lang w:val="es-ES"/>
            </w:rPr>
            <w:tab/>
          </w:r>
          <w:r w:rsidR="002451CB" w:rsidRPr="00F668BC">
            <w:rPr>
              <w:rFonts w:cstheme="minorHAnsi"/>
              <w:lang w:val="es-ES"/>
            </w:rPr>
            <w:tab/>
          </w:r>
          <w:r>
            <w:rPr>
              <w:rFonts w:cstheme="minorHAnsi"/>
              <w:lang w:val="es-ES"/>
            </w:rPr>
            <w:tab/>
            <w:t>Organización Mundial de la Propiedad Intelectual</w:t>
          </w:r>
        </w:p>
        <w:p w:rsidR="00285975" w:rsidRPr="00F668BC" w:rsidRDefault="00285975" w:rsidP="00FA34CE">
          <w:pPr>
            <w:rPr>
              <w:rFonts w:cstheme="minorHAnsi"/>
              <w:lang w:val="es-ES"/>
            </w:rPr>
          </w:pPr>
        </w:p>
        <w:p w:rsidR="00285975" w:rsidRPr="00F668BC" w:rsidRDefault="00285975" w:rsidP="00FA34CE">
          <w:pPr>
            <w:rPr>
              <w:rFonts w:cstheme="minorHAnsi"/>
              <w:lang w:val="es-ES"/>
            </w:rPr>
          </w:pPr>
        </w:p>
        <w:p w:rsidR="00285975" w:rsidRPr="00F668BC" w:rsidRDefault="00285975" w:rsidP="00285975">
          <w:pPr>
            <w:tabs>
              <w:tab w:val="left" w:pos="4962"/>
            </w:tabs>
            <w:ind w:firstLine="4962"/>
            <w:rPr>
              <w:rFonts w:cstheme="minorHAnsi"/>
              <w:lang w:val="es-ES"/>
            </w:rPr>
          </w:pPr>
          <w:r w:rsidRPr="00F668BC">
            <w:rPr>
              <w:rFonts w:cstheme="minorHAnsi"/>
              <w:lang w:val="es-ES"/>
            </w:rPr>
            <w:t>[</w:t>
          </w:r>
          <w:r w:rsidR="00DD5F5C">
            <w:rPr>
              <w:rFonts w:cstheme="minorHAnsi"/>
              <w:lang w:val="es-ES"/>
            </w:rPr>
            <w:t>Fin del Anexo y del documento</w:t>
          </w:r>
          <w:r w:rsidRPr="00F668BC">
            <w:rPr>
              <w:rFonts w:cstheme="minorHAnsi"/>
              <w:lang w:val="es-ES"/>
            </w:rPr>
            <w:t>]</w:t>
          </w:r>
        </w:p>
      </w:sdtContent>
    </w:sdt>
    <w:bookmarkEnd w:id="3" w:displacedByCustomXml="prev"/>
    <w:bookmarkEnd w:id="4" w:displacedByCustomXml="prev"/>
    <w:sectPr w:rsidR="00285975" w:rsidRPr="00F668BC" w:rsidSect="00285975">
      <w:headerReference w:type="default" r:id="rId10"/>
      <w:headerReference w:type="first" r:id="rId11"/>
      <w:pgSz w:w="11906" w:h="16838"/>
      <w:pgMar w:top="567" w:right="1134"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812" w:rsidRDefault="00340812">
      <w:r>
        <w:separator/>
      </w:r>
    </w:p>
  </w:endnote>
  <w:endnote w:type="continuationSeparator" w:id="0">
    <w:p w:rsidR="00340812" w:rsidRDefault="00340812" w:rsidP="003B38C1">
      <w:r>
        <w:separator/>
      </w:r>
    </w:p>
    <w:p w:rsidR="00340812" w:rsidRPr="003B38C1" w:rsidRDefault="00340812" w:rsidP="003B38C1">
      <w:pPr>
        <w:spacing w:after="60"/>
        <w:rPr>
          <w:sz w:val="17"/>
        </w:rPr>
      </w:pPr>
      <w:r>
        <w:rPr>
          <w:sz w:val="17"/>
        </w:rPr>
        <w:t>[Endnote continued from previous page]</w:t>
      </w:r>
    </w:p>
  </w:endnote>
  <w:endnote w:type="continuationNotice" w:id="1">
    <w:p w:rsidR="00340812" w:rsidRPr="003B38C1" w:rsidRDefault="0034081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812" w:rsidRDefault="00340812">
      <w:r>
        <w:separator/>
      </w:r>
    </w:p>
  </w:footnote>
  <w:footnote w:type="continuationSeparator" w:id="0">
    <w:p w:rsidR="00340812" w:rsidRDefault="00340812" w:rsidP="008B60B2">
      <w:r>
        <w:separator/>
      </w:r>
    </w:p>
    <w:p w:rsidR="00340812" w:rsidRPr="00ED77FB" w:rsidRDefault="00340812" w:rsidP="008B60B2">
      <w:pPr>
        <w:spacing w:after="60"/>
        <w:rPr>
          <w:sz w:val="17"/>
          <w:szCs w:val="17"/>
        </w:rPr>
      </w:pPr>
      <w:r w:rsidRPr="00ED77FB">
        <w:rPr>
          <w:sz w:val="17"/>
          <w:szCs w:val="17"/>
        </w:rPr>
        <w:t>[Footnote continued from previous page]</w:t>
      </w:r>
    </w:p>
  </w:footnote>
  <w:footnote w:type="continuationNotice" w:id="1">
    <w:p w:rsidR="00340812" w:rsidRPr="00ED77FB" w:rsidRDefault="0034081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1D8" w:rsidRDefault="001741D8" w:rsidP="00477D6B">
    <w:pPr>
      <w:jc w:val="right"/>
    </w:pPr>
    <w:bookmarkStart w:id="2" w:name="Code2"/>
    <w:bookmarkEnd w:id="2"/>
    <w:r>
      <w:t>CDIP/14/4</w:t>
    </w:r>
  </w:p>
  <w:p w:rsidR="001741D8" w:rsidRDefault="001741D8" w:rsidP="00477D6B">
    <w:pPr>
      <w:jc w:val="right"/>
    </w:pPr>
    <w:r>
      <w:t xml:space="preserve">Annex, page </w:t>
    </w:r>
    <w:r>
      <w:fldChar w:fldCharType="begin"/>
    </w:r>
    <w:r>
      <w:instrText xml:space="preserve"> PAGE  \* MERGEFORMAT </w:instrText>
    </w:r>
    <w:r>
      <w:fldChar w:fldCharType="separate"/>
    </w:r>
    <w:r w:rsidR="00FB38C1">
      <w:rPr>
        <w:noProof/>
      </w:rPr>
      <w:t>1</w:t>
    </w:r>
    <w:r>
      <w:fldChar w:fldCharType="end"/>
    </w:r>
  </w:p>
  <w:p w:rsidR="001741D8" w:rsidRDefault="001741D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140797"/>
      <w:docPartObj>
        <w:docPartGallery w:val="Page Numbers (Top of Page)"/>
        <w:docPartUnique/>
      </w:docPartObj>
    </w:sdtPr>
    <w:sdtEndPr>
      <w:rPr>
        <w:noProof/>
      </w:rPr>
    </w:sdtEndPr>
    <w:sdtContent>
      <w:p w:rsidR="001741D8" w:rsidRDefault="001741D8" w:rsidP="00571207">
        <w:pPr>
          <w:pStyle w:val="Header"/>
          <w:jc w:val="right"/>
        </w:pPr>
        <w:r>
          <w:t>CDIP/14/4</w:t>
        </w:r>
      </w:p>
      <w:p w:rsidR="001741D8" w:rsidRDefault="001741D8" w:rsidP="00571207">
        <w:pPr>
          <w:pStyle w:val="Header"/>
          <w:jc w:val="right"/>
        </w:pPr>
        <w:r>
          <w:t>A</w:t>
        </w:r>
        <w:r w:rsidR="00FB38C1">
          <w:t xml:space="preserve">nexo, página </w:t>
        </w:r>
        <w:r w:rsidR="00FB38C1">
          <w:fldChar w:fldCharType="begin"/>
        </w:r>
        <w:r w:rsidR="00FB38C1">
          <w:instrText xml:space="preserve"> PAGE   \* MERGEFORMAT </w:instrText>
        </w:r>
        <w:r w:rsidR="00FB38C1">
          <w:fldChar w:fldCharType="separate"/>
        </w:r>
        <w:r w:rsidR="00B941B1">
          <w:rPr>
            <w:noProof/>
          </w:rPr>
          <w:t>6</w:t>
        </w:r>
        <w:r w:rsidR="00FB38C1">
          <w:rPr>
            <w:noProof/>
          </w:rPr>
          <w:fldChar w:fldCharType="end"/>
        </w:r>
      </w:p>
    </w:sdtContent>
  </w:sdt>
  <w:p w:rsidR="001741D8" w:rsidRDefault="001741D8" w:rsidP="002866D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8C1" w:rsidRDefault="00FB38C1" w:rsidP="00FB38C1">
    <w:pPr>
      <w:pStyle w:val="Header"/>
      <w:jc w:val="right"/>
    </w:pPr>
    <w:r>
      <w:t>CDIP/14/4</w:t>
    </w:r>
  </w:p>
  <w:p w:rsidR="00FB38C1" w:rsidRDefault="00FB38C1" w:rsidP="00FB38C1">
    <w:pPr>
      <w:pStyle w:val="Header"/>
      <w:jc w:val="right"/>
    </w:pPr>
    <w:r>
      <w:t>ANEXO</w:t>
    </w:r>
  </w:p>
  <w:p w:rsidR="00FB38C1" w:rsidRDefault="00FB38C1" w:rsidP="00FB38C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73A9"/>
    <w:multiLevelType w:val="hybridMultilevel"/>
    <w:tmpl w:val="E4CC0024"/>
    <w:lvl w:ilvl="0" w:tplc="7A58ED2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727F5A"/>
    <w:multiLevelType w:val="hybridMultilevel"/>
    <w:tmpl w:val="E2C2EB90"/>
    <w:lvl w:ilvl="0" w:tplc="7A58ED2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8E389E"/>
    <w:multiLevelType w:val="hybridMultilevel"/>
    <w:tmpl w:val="8E2827E4"/>
    <w:lvl w:ilvl="0" w:tplc="7A58ED2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E70F2C"/>
    <w:multiLevelType w:val="hybridMultilevel"/>
    <w:tmpl w:val="6602BF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nsid w:val="1C6D29A0"/>
    <w:multiLevelType w:val="hybridMultilevel"/>
    <w:tmpl w:val="B49EB85C"/>
    <w:lvl w:ilvl="0" w:tplc="693C971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8F5B27"/>
    <w:multiLevelType w:val="hybridMultilevel"/>
    <w:tmpl w:val="DC7C2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04539C4"/>
    <w:multiLevelType w:val="hybridMultilevel"/>
    <w:tmpl w:val="B1080E88"/>
    <w:lvl w:ilvl="0" w:tplc="110A220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44C22EF"/>
    <w:multiLevelType w:val="hybridMultilevel"/>
    <w:tmpl w:val="A3B262D8"/>
    <w:lvl w:ilvl="0" w:tplc="7A58ED2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5E54EF"/>
    <w:multiLevelType w:val="hybridMultilevel"/>
    <w:tmpl w:val="455E8DF8"/>
    <w:lvl w:ilvl="0" w:tplc="7A58ED20">
      <w:start w:val="5"/>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9473840"/>
    <w:multiLevelType w:val="hybridMultilevel"/>
    <w:tmpl w:val="38E04B62"/>
    <w:lvl w:ilvl="0" w:tplc="7A58ED2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640804"/>
    <w:multiLevelType w:val="hybridMultilevel"/>
    <w:tmpl w:val="788E4A4A"/>
    <w:lvl w:ilvl="0" w:tplc="7A58ED20">
      <w:start w:val="5"/>
      <w:numFmt w:val="bullet"/>
      <w:lvlText w:val="-"/>
      <w:lvlJc w:val="left"/>
      <w:pPr>
        <w:ind w:left="927" w:hanging="360"/>
      </w:pPr>
      <w:rPr>
        <w:rFonts w:ascii="Calibri" w:eastAsiaTheme="minorHAnsi" w:hAnsi="Calibri" w:cstheme="minorBid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nsid w:val="36797FF5"/>
    <w:multiLevelType w:val="hybridMultilevel"/>
    <w:tmpl w:val="55061B70"/>
    <w:lvl w:ilvl="0" w:tplc="7A58ED20">
      <w:start w:val="5"/>
      <w:numFmt w:val="bullet"/>
      <w:lvlText w:val="-"/>
      <w:lvlJc w:val="left"/>
      <w:pPr>
        <w:tabs>
          <w:tab w:val="num" w:pos="732"/>
        </w:tabs>
        <w:ind w:left="732" w:hanging="244"/>
      </w:pPr>
      <w:rPr>
        <w:rFonts w:ascii="Calibri" w:eastAsiaTheme="minorHAnsi" w:hAnsi="Calibri" w:cstheme="minorBidi" w:hint="default"/>
        <w:color w:val="auto"/>
        <w:sz w:val="20"/>
        <w:szCs w:val="20"/>
      </w:rPr>
    </w:lvl>
    <w:lvl w:ilvl="1" w:tplc="08090003">
      <w:start w:val="1"/>
      <w:numFmt w:val="bullet"/>
      <w:lvlText w:val="o"/>
      <w:lvlJc w:val="left"/>
      <w:pPr>
        <w:tabs>
          <w:tab w:val="num" w:pos="1928"/>
        </w:tabs>
        <w:ind w:left="1928" w:hanging="360"/>
      </w:pPr>
      <w:rPr>
        <w:rFonts w:ascii="Courier New" w:hAnsi="Courier New" w:cs="Wingdings" w:hint="default"/>
      </w:rPr>
    </w:lvl>
    <w:lvl w:ilvl="2" w:tplc="08090005">
      <w:start w:val="1"/>
      <w:numFmt w:val="bullet"/>
      <w:lvlText w:val=""/>
      <w:lvlJc w:val="left"/>
      <w:pPr>
        <w:tabs>
          <w:tab w:val="num" w:pos="2648"/>
        </w:tabs>
        <w:ind w:left="2648" w:hanging="360"/>
      </w:pPr>
      <w:rPr>
        <w:rFonts w:ascii="Wingdings" w:hAnsi="Wingdings" w:hint="default"/>
      </w:rPr>
    </w:lvl>
    <w:lvl w:ilvl="3" w:tplc="08090001">
      <w:start w:val="1"/>
      <w:numFmt w:val="bullet"/>
      <w:lvlText w:val=""/>
      <w:lvlJc w:val="left"/>
      <w:pPr>
        <w:tabs>
          <w:tab w:val="num" w:pos="3368"/>
        </w:tabs>
        <w:ind w:left="3368" w:hanging="360"/>
      </w:pPr>
      <w:rPr>
        <w:rFonts w:ascii="Symbol" w:hAnsi="Symbol" w:hint="default"/>
      </w:rPr>
    </w:lvl>
    <w:lvl w:ilvl="4" w:tplc="08090003">
      <w:start w:val="1"/>
      <w:numFmt w:val="bullet"/>
      <w:lvlText w:val="o"/>
      <w:lvlJc w:val="left"/>
      <w:pPr>
        <w:tabs>
          <w:tab w:val="num" w:pos="4088"/>
        </w:tabs>
        <w:ind w:left="4088" w:hanging="360"/>
      </w:pPr>
      <w:rPr>
        <w:rFonts w:ascii="Courier New" w:hAnsi="Courier New" w:cs="Wingdings" w:hint="default"/>
      </w:rPr>
    </w:lvl>
    <w:lvl w:ilvl="5" w:tplc="08090005">
      <w:start w:val="1"/>
      <w:numFmt w:val="bullet"/>
      <w:lvlText w:val=""/>
      <w:lvlJc w:val="left"/>
      <w:pPr>
        <w:tabs>
          <w:tab w:val="num" w:pos="4808"/>
        </w:tabs>
        <w:ind w:left="4808" w:hanging="360"/>
      </w:pPr>
      <w:rPr>
        <w:rFonts w:ascii="Wingdings" w:hAnsi="Wingdings" w:hint="default"/>
      </w:rPr>
    </w:lvl>
    <w:lvl w:ilvl="6" w:tplc="08090001">
      <w:start w:val="1"/>
      <w:numFmt w:val="bullet"/>
      <w:lvlText w:val=""/>
      <w:lvlJc w:val="left"/>
      <w:pPr>
        <w:tabs>
          <w:tab w:val="num" w:pos="5528"/>
        </w:tabs>
        <w:ind w:left="5528" w:hanging="360"/>
      </w:pPr>
      <w:rPr>
        <w:rFonts w:ascii="Symbol" w:hAnsi="Symbol" w:hint="default"/>
      </w:rPr>
    </w:lvl>
    <w:lvl w:ilvl="7" w:tplc="08090003">
      <w:start w:val="1"/>
      <w:numFmt w:val="bullet"/>
      <w:lvlText w:val="o"/>
      <w:lvlJc w:val="left"/>
      <w:pPr>
        <w:tabs>
          <w:tab w:val="num" w:pos="6248"/>
        </w:tabs>
        <w:ind w:left="6248" w:hanging="360"/>
      </w:pPr>
      <w:rPr>
        <w:rFonts w:ascii="Courier New" w:hAnsi="Courier New" w:cs="Wingdings" w:hint="default"/>
      </w:rPr>
    </w:lvl>
    <w:lvl w:ilvl="8" w:tplc="08090005">
      <w:start w:val="1"/>
      <w:numFmt w:val="bullet"/>
      <w:lvlText w:val=""/>
      <w:lvlJc w:val="left"/>
      <w:pPr>
        <w:tabs>
          <w:tab w:val="num" w:pos="6968"/>
        </w:tabs>
        <w:ind w:left="6968" w:hanging="360"/>
      </w:pPr>
      <w:rPr>
        <w:rFonts w:ascii="Wingdings" w:hAnsi="Wingdings" w:hint="default"/>
      </w:rPr>
    </w:lvl>
  </w:abstractNum>
  <w:abstractNum w:abstractNumId="14">
    <w:nsid w:val="36B21244"/>
    <w:multiLevelType w:val="hybridMultilevel"/>
    <w:tmpl w:val="70CA7B06"/>
    <w:lvl w:ilvl="0" w:tplc="3900FCC4">
      <w:start w:val="3"/>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4A53B57"/>
    <w:multiLevelType w:val="hybridMultilevel"/>
    <w:tmpl w:val="877C1708"/>
    <w:lvl w:ilvl="0" w:tplc="7A58ED20">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994A05"/>
    <w:multiLevelType w:val="hybridMultilevel"/>
    <w:tmpl w:val="50A07FE4"/>
    <w:lvl w:ilvl="0" w:tplc="531A78A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6EE6233"/>
    <w:multiLevelType w:val="hybridMultilevel"/>
    <w:tmpl w:val="056C4316"/>
    <w:lvl w:ilvl="0" w:tplc="3E3ACAB0">
      <w:start w:val="1"/>
      <w:numFmt w:val="bullet"/>
      <w:lvlText w:val="•"/>
      <w:lvlJc w:val="left"/>
      <w:pPr>
        <w:tabs>
          <w:tab w:val="num" w:pos="732"/>
        </w:tabs>
        <w:ind w:left="732" w:hanging="244"/>
      </w:pPr>
      <w:rPr>
        <w:rFonts w:ascii="Arial" w:hAnsi="Arial" w:cs="Times New Roman" w:hint="default"/>
        <w:color w:val="auto"/>
        <w:sz w:val="20"/>
        <w:szCs w:val="20"/>
      </w:rPr>
    </w:lvl>
    <w:lvl w:ilvl="1" w:tplc="08090003">
      <w:start w:val="1"/>
      <w:numFmt w:val="bullet"/>
      <w:lvlText w:val="o"/>
      <w:lvlJc w:val="left"/>
      <w:pPr>
        <w:tabs>
          <w:tab w:val="num" w:pos="1928"/>
        </w:tabs>
        <w:ind w:left="1928" w:hanging="360"/>
      </w:pPr>
      <w:rPr>
        <w:rFonts w:ascii="Courier New" w:hAnsi="Courier New" w:cs="Wingdings" w:hint="default"/>
      </w:rPr>
    </w:lvl>
    <w:lvl w:ilvl="2" w:tplc="08090005">
      <w:start w:val="1"/>
      <w:numFmt w:val="bullet"/>
      <w:lvlText w:val=""/>
      <w:lvlJc w:val="left"/>
      <w:pPr>
        <w:tabs>
          <w:tab w:val="num" w:pos="2648"/>
        </w:tabs>
        <w:ind w:left="2648" w:hanging="360"/>
      </w:pPr>
      <w:rPr>
        <w:rFonts w:ascii="Wingdings" w:hAnsi="Wingdings" w:hint="default"/>
      </w:rPr>
    </w:lvl>
    <w:lvl w:ilvl="3" w:tplc="08090001">
      <w:start w:val="1"/>
      <w:numFmt w:val="bullet"/>
      <w:lvlText w:val=""/>
      <w:lvlJc w:val="left"/>
      <w:pPr>
        <w:tabs>
          <w:tab w:val="num" w:pos="3368"/>
        </w:tabs>
        <w:ind w:left="3368" w:hanging="360"/>
      </w:pPr>
      <w:rPr>
        <w:rFonts w:ascii="Symbol" w:hAnsi="Symbol" w:hint="default"/>
      </w:rPr>
    </w:lvl>
    <w:lvl w:ilvl="4" w:tplc="08090003">
      <w:start w:val="1"/>
      <w:numFmt w:val="bullet"/>
      <w:lvlText w:val="o"/>
      <w:lvlJc w:val="left"/>
      <w:pPr>
        <w:tabs>
          <w:tab w:val="num" w:pos="4088"/>
        </w:tabs>
        <w:ind w:left="4088" w:hanging="360"/>
      </w:pPr>
      <w:rPr>
        <w:rFonts w:ascii="Courier New" w:hAnsi="Courier New" w:cs="Wingdings" w:hint="default"/>
      </w:rPr>
    </w:lvl>
    <w:lvl w:ilvl="5" w:tplc="08090005">
      <w:start w:val="1"/>
      <w:numFmt w:val="bullet"/>
      <w:lvlText w:val=""/>
      <w:lvlJc w:val="left"/>
      <w:pPr>
        <w:tabs>
          <w:tab w:val="num" w:pos="4808"/>
        </w:tabs>
        <w:ind w:left="4808" w:hanging="360"/>
      </w:pPr>
      <w:rPr>
        <w:rFonts w:ascii="Wingdings" w:hAnsi="Wingdings" w:hint="default"/>
      </w:rPr>
    </w:lvl>
    <w:lvl w:ilvl="6" w:tplc="08090001">
      <w:start w:val="1"/>
      <w:numFmt w:val="bullet"/>
      <w:lvlText w:val=""/>
      <w:lvlJc w:val="left"/>
      <w:pPr>
        <w:tabs>
          <w:tab w:val="num" w:pos="5528"/>
        </w:tabs>
        <w:ind w:left="5528" w:hanging="360"/>
      </w:pPr>
      <w:rPr>
        <w:rFonts w:ascii="Symbol" w:hAnsi="Symbol" w:hint="default"/>
      </w:rPr>
    </w:lvl>
    <w:lvl w:ilvl="7" w:tplc="08090003">
      <w:start w:val="1"/>
      <w:numFmt w:val="bullet"/>
      <w:lvlText w:val="o"/>
      <w:lvlJc w:val="left"/>
      <w:pPr>
        <w:tabs>
          <w:tab w:val="num" w:pos="6248"/>
        </w:tabs>
        <w:ind w:left="6248" w:hanging="360"/>
      </w:pPr>
      <w:rPr>
        <w:rFonts w:ascii="Courier New" w:hAnsi="Courier New" w:cs="Wingdings" w:hint="default"/>
      </w:rPr>
    </w:lvl>
    <w:lvl w:ilvl="8" w:tplc="08090005">
      <w:start w:val="1"/>
      <w:numFmt w:val="bullet"/>
      <w:lvlText w:val=""/>
      <w:lvlJc w:val="left"/>
      <w:pPr>
        <w:tabs>
          <w:tab w:val="num" w:pos="6968"/>
        </w:tabs>
        <w:ind w:left="6968" w:hanging="360"/>
      </w:pPr>
      <w:rPr>
        <w:rFonts w:ascii="Wingdings" w:hAnsi="Wingdings" w:hint="default"/>
      </w:r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9F3DF1"/>
    <w:multiLevelType w:val="hybridMultilevel"/>
    <w:tmpl w:val="13DC3176"/>
    <w:lvl w:ilvl="0" w:tplc="7A58ED2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1F719FA"/>
    <w:multiLevelType w:val="hybridMultilevel"/>
    <w:tmpl w:val="05D62694"/>
    <w:lvl w:ilvl="0" w:tplc="78E67C84">
      <w:start w:val="1"/>
      <w:numFmt w:val="decimal"/>
      <w:lvlText w:val="%1."/>
      <w:lvlJc w:val="left"/>
      <w:pPr>
        <w:ind w:left="720" w:hanging="360"/>
      </w:pPr>
      <w:rPr>
        <w:rFonts w:ascii="Arial" w:hAnsi="Arial" w:cs="Arial" w:hint="default"/>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6146691"/>
    <w:multiLevelType w:val="hybridMultilevel"/>
    <w:tmpl w:val="06D690B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nsid w:val="67B9699A"/>
    <w:multiLevelType w:val="hybridMultilevel"/>
    <w:tmpl w:val="0D109248"/>
    <w:lvl w:ilvl="0" w:tplc="7A58ED20">
      <w:start w:val="5"/>
      <w:numFmt w:val="bullet"/>
      <w:lvlText w:val="-"/>
      <w:lvlJc w:val="left"/>
      <w:pPr>
        <w:ind w:left="360" w:hanging="360"/>
      </w:pPr>
      <w:rPr>
        <w:rFonts w:ascii="Calibri" w:eastAsiaTheme="minorHAnsi" w:hAnsi="Calibri" w:cstheme="minorBidi" w:hint="default"/>
      </w:rPr>
    </w:lvl>
    <w:lvl w:ilvl="1" w:tplc="7A58ED20">
      <w:start w:val="5"/>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9413B14"/>
    <w:multiLevelType w:val="hybridMultilevel"/>
    <w:tmpl w:val="3CB081F2"/>
    <w:lvl w:ilvl="0" w:tplc="7A9AFF00">
      <w:start w:val="1"/>
      <w:numFmt w:val="decimal"/>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BE6FFB"/>
    <w:multiLevelType w:val="hybridMultilevel"/>
    <w:tmpl w:val="38A45BE6"/>
    <w:lvl w:ilvl="0" w:tplc="9738E928">
      <w:numFmt w:val="bullet"/>
      <w:lvlText w:val="-"/>
      <w:lvlJc w:val="left"/>
      <w:pPr>
        <w:ind w:left="720" w:hanging="360"/>
      </w:pPr>
      <w:rPr>
        <w:rFonts w:ascii="Arial" w:eastAsia="MS Mincho" w:hAnsi="Arial" w:cs="Symbol" w:hint="default"/>
      </w:rPr>
    </w:lvl>
    <w:lvl w:ilvl="1" w:tplc="100C0003">
      <w:start w:val="1"/>
      <w:numFmt w:val="bullet"/>
      <w:lvlText w:val="o"/>
      <w:lvlJc w:val="left"/>
      <w:pPr>
        <w:ind w:left="1440" w:hanging="360"/>
      </w:pPr>
      <w:rPr>
        <w:rFonts w:ascii="Courier New" w:hAnsi="Courier New" w:cs="Arial"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Arial"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Arial" w:hint="default"/>
      </w:rPr>
    </w:lvl>
    <w:lvl w:ilvl="8" w:tplc="100C0005">
      <w:start w:val="1"/>
      <w:numFmt w:val="bullet"/>
      <w:lvlText w:val=""/>
      <w:lvlJc w:val="left"/>
      <w:pPr>
        <w:ind w:left="6480" w:hanging="360"/>
      </w:pPr>
      <w:rPr>
        <w:rFonts w:ascii="Wingdings" w:hAnsi="Wingdings" w:hint="default"/>
      </w:rPr>
    </w:lvl>
  </w:abstractNum>
  <w:abstractNum w:abstractNumId="25">
    <w:nsid w:val="69E53823"/>
    <w:multiLevelType w:val="hybridMultilevel"/>
    <w:tmpl w:val="12EE82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CD86F36"/>
    <w:multiLevelType w:val="hybridMultilevel"/>
    <w:tmpl w:val="62BC4326"/>
    <w:lvl w:ilvl="0" w:tplc="7A58ED2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460482D"/>
    <w:multiLevelType w:val="hybridMultilevel"/>
    <w:tmpl w:val="45FC3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6381904"/>
    <w:multiLevelType w:val="hybridMultilevel"/>
    <w:tmpl w:val="A1DA9D7A"/>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716F3D"/>
    <w:multiLevelType w:val="hybridMultilevel"/>
    <w:tmpl w:val="A0FEB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871207"/>
    <w:multiLevelType w:val="hybridMultilevel"/>
    <w:tmpl w:val="A2FAC93A"/>
    <w:lvl w:ilvl="0" w:tplc="7A58ED2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CCD1AC5"/>
    <w:multiLevelType w:val="hybridMultilevel"/>
    <w:tmpl w:val="6A44236A"/>
    <w:lvl w:ilvl="0" w:tplc="7A58ED20">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A957AA"/>
    <w:multiLevelType w:val="hybridMultilevel"/>
    <w:tmpl w:val="83DC31E6"/>
    <w:lvl w:ilvl="0" w:tplc="B3C89DDC">
      <w:start w:val="1"/>
      <w:numFmt w:val="decimal"/>
      <w:lvlText w:val="%1."/>
      <w:lvlJc w:val="left"/>
      <w:pPr>
        <w:ind w:left="720" w:hanging="360"/>
      </w:pPr>
      <w:rPr>
        <w:rFonts w:ascii="Arial" w:hAnsi="Arial" w:cs="Arial" w:hint="default"/>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
  </w:num>
  <w:num w:numId="3">
    <w:abstractNumId w:val="7"/>
  </w:num>
  <w:num w:numId="4">
    <w:abstractNumId w:val="29"/>
  </w:num>
  <w:num w:numId="5">
    <w:abstractNumId w:val="16"/>
  </w:num>
  <w:num w:numId="6">
    <w:abstractNumId w:val="12"/>
  </w:num>
  <w:num w:numId="7">
    <w:abstractNumId w:val="3"/>
  </w:num>
  <w:num w:numId="8">
    <w:abstractNumId w:val="30"/>
  </w:num>
  <w:num w:numId="9">
    <w:abstractNumId w:val="0"/>
  </w:num>
  <w:num w:numId="10">
    <w:abstractNumId w:val="11"/>
  </w:num>
  <w:num w:numId="11">
    <w:abstractNumId w:val="10"/>
  </w:num>
  <w:num w:numId="12">
    <w:abstractNumId w:val="22"/>
  </w:num>
  <w:num w:numId="13">
    <w:abstractNumId w:val="9"/>
  </w:num>
  <w:num w:numId="14">
    <w:abstractNumId w:val="31"/>
  </w:num>
  <w:num w:numId="15">
    <w:abstractNumId w:val="2"/>
  </w:num>
  <w:num w:numId="16">
    <w:abstractNumId w:val="15"/>
  </w:num>
  <w:num w:numId="17">
    <w:abstractNumId w:val="19"/>
  </w:num>
  <w:num w:numId="18">
    <w:abstractNumId w:val="8"/>
  </w:num>
  <w:num w:numId="19">
    <w:abstractNumId w:val="28"/>
  </w:num>
  <w:num w:numId="20">
    <w:abstractNumId w:val="23"/>
  </w:num>
  <w:num w:numId="21">
    <w:abstractNumId w:val="2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7"/>
  </w:num>
  <w:num w:numId="25">
    <w:abstractNumId w:val="20"/>
  </w:num>
  <w:num w:numId="26">
    <w:abstractNumId w:val="6"/>
  </w:num>
  <w:num w:numId="27">
    <w:abstractNumId w:val="5"/>
  </w:num>
  <w:num w:numId="28">
    <w:abstractNumId w:val="27"/>
  </w:num>
  <w:num w:numId="29">
    <w:abstractNumId w:val="32"/>
  </w:num>
  <w:num w:numId="30">
    <w:abstractNumId w:val="25"/>
  </w:num>
  <w:num w:numId="31">
    <w:abstractNumId w:val="14"/>
  </w:num>
  <w:num w:numId="32">
    <w:abstractNumId w:val="26"/>
  </w:num>
  <w:num w:numId="3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581"/>
    <w:rsid w:val="00027E1B"/>
    <w:rsid w:val="00043CAA"/>
    <w:rsid w:val="000751F7"/>
    <w:rsid w:val="00075432"/>
    <w:rsid w:val="00080496"/>
    <w:rsid w:val="000931F8"/>
    <w:rsid w:val="000968ED"/>
    <w:rsid w:val="000B14ED"/>
    <w:rsid w:val="000F0819"/>
    <w:rsid w:val="000F5E56"/>
    <w:rsid w:val="001362EE"/>
    <w:rsid w:val="001609F2"/>
    <w:rsid w:val="00161018"/>
    <w:rsid w:val="0016610E"/>
    <w:rsid w:val="001741D8"/>
    <w:rsid w:val="001832A6"/>
    <w:rsid w:val="001D1994"/>
    <w:rsid w:val="001F4A1F"/>
    <w:rsid w:val="002451CB"/>
    <w:rsid w:val="00254B48"/>
    <w:rsid w:val="002631C5"/>
    <w:rsid w:val="002634C4"/>
    <w:rsid w:val="00281FF1"/>
    <w:rsid w:val="00285975"/>
    <w:rsid w:val="002866D1"/>
    <w:rsid w:val="002928D3"/>
    <w:rsid w:val="00294BC7"/>
    <w:rsid w:val="002951F8"/>
    <w:rsid w:val="002C3F71"/>
    <w:rsid w:val="002F1FE6"/>
    <w:rsid w:val="002F4E68"/>
    <w:rsid w:val="002F523C"/>
    <w:rsid w:val="003009A3"/>
    <w:rsid w:val="00310C35"/>
    <w:rsid w:val="00312F7F"/>
    <w:rsid w:val="00337FB4"/>
    <w:rsid w:val="00340812"/>
    <w:rsid w:val="003419A9"/>
    <w:rsid w:val="00343C80"/>
    <w:rsid w:val="00361450"/>
    <w:rsid w:val="00365581"/>
    <w:rsid w:val="003673CF"/>
    <w:rsid w:val="00381971"/>
    <w:rsid w:val="003845C1"/>
    <w:rsid w:val="003A1A25"/>
    <w:rsid w:val="003A6F89"/>
    <w:rsid w:val="003B38C1"/>
    <w:rsid w:val="003C35F6"/>
    <w:rsid w:val="00402CE1"/>
    <w:rsid w:val="00417F31"/>
    <w:rsid w:val="00423E3E"/>
    <w:rsid w:val="00427AF4"/>
    <w:rsid w:val="0043543A"/>
    <w:rsid w:val="00437547"/>
    <w:rsid w:val="004534E4"/>
    <w:rsid w:val="00463706"/>
    <w:rsid w:val="004647DA"/>
    <w:rsid w:val="00474062"/>
    <w:rsid w:val="00477D6B"/>
    <w:rsid w:val="00487FD4"/>
    <w:rsid w:val="004A240E"/>
    <w:rsid w:val="004B349C"/>
    <w:rsid w:val="005019FF"/>
    <w:rsid w:val="0053057A"/>
    <w:rsid w:val="005414E9"/>
    <w:rsid w:val="00543703"/>
    <w:rsid w:val="00544600"/>
    <w:rsid w:val="00560A29"/>
    <w:rsid w:val="00561F0B"/>
    <w:rsid w:val="00571207"/>
    <w:rsid w:val="005732CE"/>
    <w:rsid w:val="005B3B8B"/>
    <w:rsid w:val="005C2E40"/>
    <w:rsid w:val="005C6649"/>
    <w:rsid w:val="005E7144"/>
    <w:rsid w:val="005E7975"/>
    <w:rsid w:val="006024FA"/>
    <w:rsid w:val="00605827"/>
    <w:rsid w:val="006145E2"/>
    <w:rsid w:val="00620771"/>
    <w:rsid w:val="006211D8"/>
    <w:rsid w:val="0062275E"/>
    <w:rsid w:val="00623F1E"/>
    <w:rsid w:val="0062405E"/>
    <w:rsid w:val="00626B2B"/>
    <w:rsid w:val="00646050"/>
    <w:rsid w:val="0065046C"/>
    <w:rsid w:val="0066539B"/>
    <w:rsid w:val="00667DFF"/>
    <w:rsid w:val="006713CA"/>
    <w:rsid w:val="00676C5C"/>
    <w:rsid w:val="00692575"/>
    <w:rsid w:val="006A44A7"/>
    <w:rsid w:val="006A5710"/>
    <w:rsid w:val="00725B37"/>
    <w:rsid w:val="00743737"/>
    <w:rsid w:val="00751EF7"/>
    <w:rsid w:val="007528C6"/>
    <w:rsid w:val="00755A02"/>
    <w:rsid w:val="00774968"/>
    <w:rsid w:val="007A49AB"/>
    <w:rsid w:val="007B6708"/>
    <w:rsid w:val="007D1613"/>
    <w:rsid w:val="007E0732"/>
    <w:rsid w:val="007E09E3"/>
    <w:rsid w:val="008011D4"/>
    <w:rsid w:val="0081370E"/>
    <w:rsid w:val="00830341"/>
    <w:rsid w:val="0087475D"/>
    <w:rsid w:val="0088027A"/>
    <w:rsid w:val="008A5B21"/>
    <w:rsid w:val="008A6BB4"/>
    <w:rsid w:val="008B2CC1"/>
    <w:rsid w:val="008B60B2"/>
    <w:rsid w:val="008C0FAD"/>
    <w:rsid w:val="008F3F6E"/>
    <w:rsid w:val="0090731E"/>
    <w:rsid w:val="00914914"/>
    <w:rsid w:val="00916EE2"/>
    <w:rsid w:val="009242E4"/>
    <w:rsid w:val="00945D18"/>
    <w:rsid w:val="00966467"/>
    <w:rsid w:val="00966A22"/>
    <w:rsid w:val="0096722F"/>
    <w:rsid w:val="00980843"/>
    <w:rsid w:val="009A59AD"/>
    <w:rsid w:val="009A5C5D"/>
    <w:rsid w:val="009D0FFC"/>
    <w:rsid w:val="009D5C9E"/>
    <w:rsid w:val="009E2791"/>
    <w:rsid w:val="009E3F6F"/>
    <w:rsid w:val="009F499F"/>
    <w:rsid w:val="009F4BE1"/>
    <w:rsid w:val="00A00CE5"/>
    <w:rsid w:val="00A42DAF"/>
    <w:rsid w:val="00A45BD8"/>
    <w:rsid w:val="00A869B7"/>
    <w:rsid w:val="00AA4753"/>
    <w:rsid w:val="00AC205C"/>
    <w:rsid w:val="00AC5CEB"/>
    <w:rsid w:val="00AF0A6B"/>
    <w:rsid w:val="00B05A69"/>
    <w:rsid w:val="00B265D8"/>
    <w:rsid w:val="00B7106F"/>
    <w:rsid w:val="00B941B1"/>
    <w:rsid w:val="00B9734B"/>
    <w:rsid w:val="00BA0CAC"/>
    <w:rsid w:val="00BB4125"/>
    <w:rsid w:val="00BD2CCD"/>
    <w:rsid w:val="00BD4F93"/>
    <w:rsid w:val="00BF15A0"/>
    <w:rsid w:val="00C11BFE"/>
    <w:rsid w:val="00C22438"/>
    <w:rsid w:val="00C25EF1"/>
    <w:rsid w:val="00C26FCF"/>
    <w:rsid w:val="00C72C0A"/>
    <w:rsid w:val="00CD2589"/>
    <w:rsid w:val="00CD3DFA"/>
    <w:rsid w:val="00CE3DD7"/>
    <w:rsid w:val="00CE5562"/>
    <w:rsid w:val="00CE5FF4"/>
    <w:rsid w:val="00D065DC"/>
    <w:rsid w:val="00D3206E"/>
    <w:rsid w:val="00D45252"/>
    <w:rsid w:val="00D71B4D"/>
    <w:rsid w:val="00D84436"/>
    <w:rsid w:val="00D93D55"/>
    <w:rsid w:val="00D975A1"/>
    <w:rsid w:val="00DB06CD"/>
    <w:rsid w:val="00DB5CD8"/>
    <w:rsid w:val="00DC2EBA"/>
    <w:rsid w:val="00DD5F5C"/>
    <w:rsid w:val="00DD7458"/>
    <w:rsid w:val="00E20E38"/>
    <w:rsid w:val="00E335FE"/>
    <w:rsid w:val="00E34F2D"/>
    <w:rsid w:val="00E87F2A"/>
    <w:rsid w:val="00EB1FF0"/>
    <w:rsid w:val="00EC4E49"/>
    <w:rsid w:val="00ED77FB"/>
    <w:rsid w:val="00EE0B96"/>
    <w:rsid w:val="00EE45FA"/>
    <w:rsid w:val="00F103B9"/>
    <w:rsid w:val="00F23E02"/>
    <w:rsid w:val="00F54B02"/>
    <w:rsid w:val="00F66152"/>
    <w:rsid w:val="00F66220"/>
    <w:rsid w:val="00F668BC"/>
    <w:rsid w:val="00F96174"/>
    <w:rsid w:val="00FA34CE"/>
    <w:rsid w:val="00FB38C1"/>
    <w:rsid w:val="00FE2158"/>
    <w:rsid w:val="00FE526F"/>
    <w:rsid w:val="00FF6C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F6E"/>
    <w:rPr>
      <w:rFonts w:ascii="Arial" w:eastAsia="SimSun" w:hAnsi="Arial" w:cs="Arial"/>
      <w:sz w:val="22"/>
      <w:lang w:eastAsia="zh-CN"/>
    </w:rPr>
  </w:style>
  <w:style w:type="paragraph" w:styleId="Heading1">
    <w:name w:val="heading 1"/>
    <w:basedOn w:val="Normal"/>
    <w:next w:val="Normal"/>
    <w:link w:val="Heading1Char"/>
    <w:uiPriority w:val="9"/>
    <w:qFormat/>
    <w:rsid w:val="008F3F6E"/>
    <w:pPr>
      <w:keepNext/>
      <w:spacing w:before="240" w:after="60"/>
      <w:outlineLvl w:val="0"/>
    </w:pPr>
    <w:rPr>
      <w:bCs/>
      <w:caps/>
      <w:kern w:val="32"/>
      <w:szCs w:val="22"/>
    </w:rPr>
  </w:style>
  <w:style w:type="paragraph" w:styleId="Heading2">
    <w:name w:val="heading 2"/>
    <w:aliases w:val="Heading 2 Char Char Char,Heading 2 Char Char Char Char Char Char Char Char Char"/>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unhideWhenUsed/>
    <w:qFormat/>
    <w:rsid w:val="003419A9"/>
    <w:pPr>
      <w:keepNext/>
      <w:keepLines/>
      <w:spacing w:before="200" w:line="276" w:lineRule="auto"/>
      <w:outlineLvl w:val="4"/>
    </w:pPr>
    <w:rPr>
      <w:rFonts w:asciiTheme="majorHAnsi" w:eastAsiaTheme="majorEastAsia" w:hAnsiTheme="majorHAnsi" w:cstheme="majorBidi"/>
      <w:color w:val="243F60" w:themeColor="accent1" w:themeShade="7F"/>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5C2E40"/>
    <w:rPr>
      <w:rFonts w:ascii="Tahoma" w:hAnsi="Tahoma" w:cs="Tahoma"/>
      <w:sz w:val="16"/>
      <w:szCs w:val="16"/>
    </w:rPr>
  </w:style>
  <w:style w:type="character" w:customStyle="1" w:styleId="BalloonTextChar">
    <w:name w:val="Balloon Text Char"/>
    <w:basedOn w:val="DefaultParagraphFont"/>
    <w:link w:val="BalloonText"/>
    <w:uiPriority w:val="99"/>
    <w:rsid w:val="005C2E40"/>
    <w:rPr>
      <w:rFonts w:ascii="Tahoma" w:eastAsia="SimSun" w:hAnsi="Tahoma" w:cs="Tahoma"/>
      <w:sz w:val="16"/>
      <w:szCs w:val="16"/>
      <w:lang w:eastAsia="zh-CN"/>
    </w:rPr>
  </w:style>
  <w:style w:type="paragraph" w:styleId="ListParagraph">
    <w:name w:val="List Paragraph"/>
    <w:basedOn w:val="Normal"/>
    <w:uiPriority w:val="34"/>
    <w:qFormat/>
    <w:rsid w:val="00365581"/>
    <w:pPr>
      <w:ind w:left="720"/>
      <w:contextualSpacing/>
    </w:pPr>
  </w:style>
  <w:style w:type="character" w:customStyle="1" w:styleId="Endofdocument-AnnexChar">
    <w:name w:val="[End of document - Annex] Char"/>
    <w:link w:val="Endofdocument-Annex"/>
    <w:rsid w:val="001609F2"/>
    <w:rPr>
      <w:rFonts w:ascii="Arial" w:eastAsia="SimSun" w:hAnsi="Arial" w:cs="Arial"/>
      <w:sz w:val="22"/>
      <w:lang w:eastAsia="zh-CN"/>
    </w:rPr>
  </w:style>
  <w:style w:type="character" w:customStyle="1" w:styleId="Heading5Char">
    <w:name w:val="Heading 5 Char"/>
    <w:basedOn w:val="DefaultParagraphFont"/>
    <w:link w:val="Heading5"/>
    <w:rsid w:val="003419A9"/>
    <w:rPr>
      <w:rFonts w:asciiTheme="majorHAnsi" w:eastAsiaTheme="majorEastAsia" w:hAnsiTheme="majorHAnsi" w:cstheme="majorBidi"/>
      <w:color w:val="243F60" w:themeColor="accent1" w:themeShade="7F"/>
      <w:sz w:val="22"/>
      <w:szCs w:val="22"/>
      <w:lang w:val="en-GB"/>
    </w:rPr>
  </w:style>
  <w:style w:type="paragraph" w:styleId="NoSpacing">
    <w:name w:val="No Spacing"/>
    <w:link w:val="NoSpacingChar"/>
    <w:uiPriority w:val="1"/>
    <w:qFormat/>
    <w:rsid w:val="003419A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419A9"/>
    <w:rPr>
      <w:rFonts w:asciiTheme="minorHAnsi" w:eastAsiaTheme="minorEastAsia" w:hAnsiTheme="minorHAnsi" w:cstheme="minorBidi"/>
      <w:sz w:val="22"/>
      <w:szCs w:val="22"/>
      <w:lang w:eastAsia="ja-JP"/>
    </w:rPr>
  </w:style>
  <w:style w:type="character" w:customStyle="1" w:styleId="Heading1Char">
    <w:name w:val="Heading 1 Char"/>
    <w:basedOn w:val="DefaultParagraphFont"/>
    <w:link w:val="Heading1"/>
    <w:uiPriority w:val="9"/>
    <w:rsid w:val="008F3F6E"/>
    <w:rPr>
      <w:rFonts w:ascii="Arial" w:eastAsia="SimSun" w:hAnsi="Arial" w:cs="Arial"/>
      <w:bCs/>
      <w:caps/>
      <w:kern w:val="32"/>
      <w:sz w:val="22"/>
      <w:szCs w:val="22"/>
      <w:lang w:eastAsia="zh-CN"/>
    </w:rPr>
  </w:style>
  <w:style w:type="paragraph" w:styleId="TOCHeading">
    <w:name w:val="TOC Heading"/>
    <w:basedOn w:val="Heading1"/>
    <w:next w:val="Normal"/>
    <w:uiPriority w:val="39"/>
    <w:unhideWhenUsed/>
    <w:qFormat/>
    <w:rsid w:val="003419A9"/>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character" w:customStyle="1" w:styleId="Heading2Char">
    <w:name w:val="Heading 2 Char"/>
    <w:aliases w:val="Heading 2 Char Char Char Char,Heading 2 Char Char Char Char Char Char Char Char Char Char"/>
    <w:basedOn w:val="DefaultParagraphFont"/>
    <w:link w:val="Heading2"/>
    <w:rsid w:val="003419A9"/>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3419A9"/>
    <w:rPr>
      <w:rFonts w:ascii="Arial" w:eastAsia="SimSun" w:hAnsi="Arial" w:cs="Arial"/>
      <w:bCs/>
      <w:i/>
      <w:sz w:val="22"/>
      <w:szCs w:val="28"/>
      <w:lang w:eastAsia="zh-CN"/>
    </w:rPr>
  </w:style>
  <w:style w:type="character" w:customStyle="1" w:styleId="HeaderChar">
    <w:name w:val="Header Char"/>
    <w:basedOn w:val="DefaultParagraphFont"/>
    <w:link w:val="Header"/>
    <w:uiPriority w:val="99"/>
    <w:rsid w:val="003419A9"/>
    <w:rPr>
      <w:rFonts w:ascii="Arial" w:eastAsia="SimSun" w:hAnsi="Arial" w:cs="Arial"/>
      <w:sz w:val="22"/>
      <w:lang w:eastAsia="zh-CN"/>
    </w:rPr>
  </w:style>
  <w:style w:type="character" w:customStyle="1" w:styleId="FooterChar">
    <w:name w:val="Footer Char"/>
    <w:basedOn w:val="DefaultParagraphFont"/>
    <w:link w:val="Footer"/>
    <w:uiPriority w:val="99"/>
    <w:rsid w:val="003419A9"/>
    <w:rPr>
      <w:rFonts w:ascii="Arial" w:eastAsia="SimSun" w:hAnsi="Arial" w:cs="Arial"/>
      <w:sz w:val="22"/>
      <w:lang w:eastAsia="zh-CN"/>
    </w:rPr>
  </w:style>
  <w:style w:type="table" w:styleId="TableGrid">
    <w:name w:val="Table Grid"/>
    <w:basedOn w:val="TableNormal"/>
    <w:uiPriority w:val="59"/>
    <w:rsid w:val="003419A9"/>
    <w:pPr>
      <w:jc w:val="both"/>
    </w:pPr>
    <w:rPr>
      <w:rFonts w:asciiTheme="minorHAnsi" w:eastAsiaTheme="minorEastAsia" w:hAnsiTheme="minorHAnsi" w:cstheme="minorBid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3419A9"/>
    <w:rPr>
      <w:b/>
      <w:color w:val="C0504D" w:themeColor="accent2"/>
    </w:rPr>
  </w:style>
  <w:style w:type="character" w:customStyle="1" w:styleId="BodyTextChar">
    <w:name w:val="Body Text Char"/>
    <w:basedOn w:val="DefaultParagraphFont"/>
    <w:link w:val="BodyText"/>
    <w:rsid w:val="003419A9"/>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3419A9"/>
    <w:rPr>
      <w:rFonts w:ascii="Arial" w:eastAsia="SimSun" w:hAnsi="Arial" w:cs="Arial"/>
      <w:sz w:val="18"/>
      <w:lang w:eastAsia="zh-CN"/>
    </w:rPr>
  </w:style>
  <w:style w:type="character" w:styleId="FootnoteReference">
    <w:name w:val="footnote reference"/>
    <w:basedOn w:val="DefaultParagraphFont"/>
    <w:uiPriority w:val="99"/>
    <w:unhideWhenUsed/>
    <w:rsid w:val="003419A9"/>
    <w:rPr>
      <w:vertAlign w:val="superscript"/>
    </w:rPr>
  </w:style>
  <w:style w:type="paragraph" w:styleId="TOC1">
    <w:name w:val="toc 1"/>
    <w:basedOn w:val="Normal"/>
    <w:next w:val="Normal"/>
    <w:autoRedefine/>
    <w:uiPriority w:val="39"/>
    <w:unhideWhenUsed/>
    <w:rsid w:val="003419A9"/>
    <w:pPr>
      <w:spacing w:after="100" w:line="276" w:lineRule="auto"/>
    </w:pPr>
    <w:rPr>
      <w:rFonts w:asciiTheme="minorHAnsi" w:eastAsiaTheme="minorHAnsi" w:hAnsiTheme="minorHAnsi" w:cstheme="minorBidi"/>
      <w:szCs w:val="22"/>
      <w:lang w:val="en-GB" w:eastAsia="en-US"/>
    </w:rPr>
  </w:style>
  <w:style w:type="paragraph" w:styleId="TOC2">
    <w:name w:val="toc 2"/>
    <w:basedOn w:val="Normal"/>
    <w:next w:val="Normal"/>
    <w:autoRedefine/>
    <w:uiPriority w:val="39"/>
    <w:unhideWhenUsed/>
    <w:rsid w:val="003419A9"/>
    <w:pPr>
      <w:spacing w:after="100" w:line="276" w:lineRule="auto"/>
      <w:ind w:left="220"/>
    </w:pPr>
    <w:rPr>
      <w:rFonts w:asciiTheme="minorHAnsi" w:eastAsiaTheme="minorHAnsi" w:hAnsiTheme="minorHAnsi" w:cstheme="minorBidi"/>
      <w:szCs w:val="22"/>
      <w:lang w:val="en-GB" w:eastAsia="en-US"/>
    </w:rPr>
  </w:style>
  <w:style w:type="character" w:styleId="Hyperlink">
    <w:name w:val="Hyperlink"/>
    <w:basedOn w:val="DefaultParagraphFont"/>
    <w:uiPriority w:val="99"/>
    <w:unhideWhenUsed/>
    <w:rsid w:val="003419A9"/>
    <w:rPr>
      <w:color w:val="0000FF" w:themeColor="hyperlink"/>
      <w:u w:val="single"/>
    </w:rPr>
  </w:style>
  <w:style w:type="character" w:styleId="IntenseEmphasis">
    <w:name w:val="Intense Emphasis"/>
    <w:uiPriority w:val="21"/>
    <w:qFormat/>
    <w:rsid w:val="003419A9"/>
    <w:rPr>
      <w:b/>
      <w:i/>
      <w:color w:val="C0504D" w:themeColor="accent2"/>
      <w:spacing w:val="10"/>
    </w:rPr>
  </w:style>
  <w:style w:type="character" w:styleId="CommentReference">
    <w:name w:val="annotation reference"/>
    <w:basedOn w:val="DefaultParagraphFont"/>
    <w:uiPriority w:val="99"/>
    <w:unhideWhenUsed/>
    <w:rsid w:val="003419A9"/>
    <w:rPr>
      <w:sz w:val="16"/>
      <w:szCs w:val="16"/>
    </w:rPr>
  </w:style>
  <w:style w:type="character" w:customStyle="1" w:styleId="CommentTextChar">
    <w:name w:val="Comment Text Char"/>
    <w:basedOn w:val="DefaultParagraphFont"/>
    <w:uiPriority w:val="99"/>
    <w:semiHidden/>
    <w:rsid w:val="003419A9"/>
    <w:rPr>
      <w:sz w:val="20"/>
      <w:szCs w:val="20"/>
    </w:rPr>
  </w:style>
  <w:style w:type="paragraph" w:styleId="CommentSubject">
    <w:name w:val="annotation subject"/>
    <w:basedOn w:val="CommentText"/>
    <w:next w:val="CommentText"/>
    <w:link w:val="CommentSubjectChar"/>
    <w:uiPriority w:val="99"/>
    <w:unhideWhenUsed/>
    <w:rsid w:val="003419A9"/>
    <w:pPr>
      <w:spacing w:after="200"/>
    </w:pPr>
    <w:rPr>
      <w:rFonts w:asciiTheme="minorHAnsi" w:eastAsiaTheme="minorHAnsi" w:hAnsiTheme="minorHAnsi" w:cstheme="minorBidi"/>
      <w:b/>
      <w:bCs/>
      <w:sz w:val="20"/>
      <w:lang w:val="en-GB" w:eastAsia="en-US"/>
    </w:rPr>
  </w:style>
  <w:style w:type="character" w:customStyle="1" w:styleId="CommentTextChar1">
    <w:name w:val="Comment Text Char1"/>
    <w:basedOn w:val="DefaultParagraphFont"/>
    <w:link w:val="CommentText"/>
    <w:uiPriority w:val="99"/>
    <w:semiHidden/>
    <w:rsid w:val="003419A9"/>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3419A9"/>
    <w:rPr>
      <w:rFonts w:asciiTheme="minorHAnsi" w:eastAsiaTheme="minorHAnsi" w:hAnsiTheme="minorHAnsi" w:cstheme="minorBidi"/>
      <w:b/>
      <w:bCs/>
      <w:sz w:val="18"/>
      <w:lang w:val="en-GB" w:eastAsia="zh-CN"/>
    </w:rPr>
  </w:style>
  <w:style w:type="paragraph" w:styleId="Revision">
    <w:name w:val="Revision"/>
    <w:hidden/>
    <w:uiPriority w:val="99"/>
    <w:semiHidden/>
    <w:rsid w:val="003419A9"/>
    <w:rPr>
      <w:rFonts w:asciiTheme="minorHAnsi" w:eastAsiaTheme="minorHAnsi" w:hAnsiTheme="minorHAnsi" w:cstheme="minorBidi"/>
      <w:sz w:val="22"/>
      <w:szCs w:val="22"/>
      <w:lang w:val="en-GB"/>
    </w:rPr>
  </w:style>
  <w:style w:type="paragraph" w:customStyle="1" w:styleId="Default">
    <w:name w:val="Default"/>
    <w:rsid w:val="00CD3DFA"/>
    <w:pPr>
      <w:autoSpaceDE w:val="0"/>
      <w:autoSpaceDN w:val="0"/>
      <w:adjustRightInd w:val="0"/>
    </w:pPr>
    <w:rPr>
      <w:rFonts w:ascii="Arial" w:eastAsiaTheme="minorHAnsi" w:hAnsi="Arial" w:cs="Arial"/>
      <w:color w:val="000000"/>
      <w:sz w:val="24"/>
      <w:szCs w:val="24"/>
    </w:rPr>
  </w:style>
  <w:style w:type="character" w:customStyle="1" w:styleId="Heading3Char">
    <w:name w:val="Heading 3 Char"/>
    <w:basedOn w:val="DefaultParagraphFont"/>
    <w:link w:val="Heading3"/>
    <w:rsid w:val="00EB1FF0"/>
    <w:rPr>
      <w:rFonts w:ascii="Arial" w:eastAsia="SimSun" w:hAnsi="Arial" w:cs="Arial"/>
      <w:bCs/>
      <w:sz w:val="22"/>
      <w:szCs w:val="26"/>
      <w:u w:val="single"/>
      <w:lang w:eastAsia="zh-CN"/>
    </w:rPr>
  </w:style>
  <w:style w:type="character" w:customStyle="1" w:styleId="newstxt1">
    <w:name w:val="newstxt1"/>
    <w:rsid w:val="00EB1FF0"/>
    <w:rPr>
      <w:rFonts w:ascii="Verdana" w:hAnsi="Verdana" w:hint="default"/>
      <w:b w:val="0"/>
      <w:bCs w:val="0"/>
      <w:strike w:val="0"/>
      <w:dstrike w:val="0"/>
      <w:color w:val="333333"/>
      <w:sz w:val="14"/>
      <w:szCs w:val="14"/>
      <w:u w:val="none"/>
      <w:effect w:val="none"/>
    </w:rPr>
  </w:style>
  <w:style w:type="table" w:styleId="LightShading-Accent2">
    <w:name w:val="Light Shading Accent 2"/>
    <w:basedOn w:val="TableNormal"/>
    <w:uiPriority w:val="60"/>
    <w:rsid w:val="009F4BE1"/>
    <w:rPr>
      <w:rFonts w:asciiTheme="minorHAnsi" w:eastAsiaTheme="minorHAnsi" w:hAnsiTheme="minorHAnsi" w:cstheme="minorBidi"/>
      <w:color w:val="943634" w:themeColor="accent2" w:themeShade="BF"/>
      <w:sz w:val="22"/>
      <w:szCs w:val="22"/>
      <w:lang w:val="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F6E"/>
    <w:rPr>
      <w:rFonts w:ascii="Arial" w:eastAsia="SimSun" w:hAnsi="Arial" w:cs="Arial"/>
      <w:sz w:val="22"/>
      <w:lang w:eastAsia="zh-CN"/>
    </w:rPr>
  </w:style>
  <w:style w:type="paragraph" w:styleId="Heading1">
    <w:name w:val="heading 1"/>
    <w:basedOn w:val="Normal"/>
    <w:next w:val="Normal"/>
    <w:link w:val="Heading1Char"/>
    <w:uiPriority w:val="9"/>
    <w:qFormat/>
    <w:rsid w:val="008F3F6E"/>
    <w:pPr>
      <w:keepNext/>
      <w:spacing w:before="240" w:after="60"/>
      <w:outlineLvl w:val="0"/>
    </w:pPr>
    <w:rPr>
      <w:bCs/>
      <w:caps/>
      <w:kern w:val="32"/>
      <w:szCs w:val="22"/>
    </w:rPr>
  </w:style>
  <w:style w:type="paragraph" w:styleId="Heading2">
    <w:name w:val="heading 2"/>
    <w:aliases w:val="Heading 2 Char Char Char,Heading 2 Char Char Char Char Char Char Char Char Char"/>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unhideWhenUsed/>
    <w:qFormat/>
    <w:rsid w:val="003419A9"/>
    <w:pPr>
      <w:keepNext/>
      <w:keepLines/>
      <w:spacing w:before="200" w:line="276" w:lineRule="auto"/>
      <w:outlineLvl w:val="4"/>
    </w:pPr>
    <w:rPr>
      <w:rFonts w:asciiTheme="majorHAnsi" w:eastAsiaTheme="majorEastAsia" w:hAnsiTheme="majorHAnsi" w:cstheme="majorBidi"/>
      <w:color w:val="243F60" w:themeColor="accent1" w:themeShade="7F"/>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5C2E40"/>
    <w:rPr>
      <w:rFonts w:ascii="Tahoma" w:hAnsi="Tahoma" w:cs="Tahoma"/>
      <w:sz w:val="16"/>
      <w:szCs w:val="16"/>
    </w:rPr>
  </w:style>
  <w:style w:type="character" w:customStyle="1" w:styleId="BalloonTextChar">
    <w:name w:val="Balloon Text Char"/>
    <w:basedOn w:val="DefaultParagraphFont"/>
    <w:link w:val="BalloonText"/>
    <w:uiPriority w:val="99"/>
    <w:rsid w:val="005C2E40"/>
    <w:rPr>
      <w:rFonts w:ascii="Tahoma" w:eastAsia="SimSun" w:hAnsi="Tahoma" w:cs="Tahoma"/>
      <w:sz w:val="16"/>
      <w:szCs w:val="16"/>
      <w:lang w:eastAsia="zh-CN"/>
    </w:rPr>
  </w:style>
  <w:style w:type="paragraph" w:styleId="ListParagraph">
    <w:name w:val="List Paragraph"/>
    <w:basedOn w:val="Normal"/>
    <w:uiPriority w:val="34"/>
    <w:qFormat/>
    <w:rsid w:val="00365581"/>
    <w:pPr>
      <w:ind w:left="720"/>
      <w:contextualSpacing/>
    </w:pPr>
  </w:style>
  <w:style w:type="character" w:customStyle="1" w:styleId="Endofdocument-AnnexChar">
    <w:name w:val="[End of document - Annex] Char"/>
    <w:link w:val="Endofdocument-Annex"/>
    <w:rsid w:val="001609F2"/>
    <w:rPr>
      <w:rFonts w:ascii="Arial" w:eastAsia="SimSun" w:hAnsi="Arial" w:cs="Arial"/>
      <w:sz w:val="22"/>
      <w:lang w:eastAsia="zh-CN"/>
    </w:rPr>
  </w:style>
  <w:style w:type="character" w:customStyle="1" w:styleId="Heading5Char">
    <w:name w:val="Heading 5 Char"/>
    <w:basedOn w:val="DefaultParagraphFont"/>
    <w:link w:val="Heading5"/>
    <w:rsid w:val="003419A9"/>
    <w:rPr>
      <w:rFonts w:asciiTheme="majorHAnsi" w:eastAsiaTheme="majorEastAsia" w:hAnsiTheme="majorHAnsi" w:cstheme="majorBidi"/>
      <w:color w:val="243F60" w:themeColor="accent1" w:themeShade="7F"/>
      <w:sz w:val="22"/>
      <w:szCs w:val="22"/>
      <w:lang w:val="en-GB"/>
    </w:rPr>
  </w:style>
  <w:style w:type="paragraph" w:styleId="NoSpacing">
    <w:name w:val="No Spacing"/>
    <w:link w:val="NoSpacingChar"/>
    <w:uiPriority w:val="1"/>
    <w:qFormat/>
    <w:rsid w:val="003419A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419A9"/>
    <w:rPr>
      <w:rFonts w:asciiTheme="minorHAnsi" w:eastAsiaTheme="minorEastAsia" w:hAnsiTheme="minorHAnsi" w:cstheme="minorBidi"/>
      <w:sz w:val="22"/>
      <w:szCs w:val="22"/>
      <w:lang w:eastAsia="ja-JP"/>
    </w:rPr>
  </w:style>
  <w:style w:type="character" w:customStyle="1" w:styleId="Heading1Char">
    <w:name w:val="Heading 1 Char"/>
    <w:basedOn w:val="DefaultParagraphFont"/>
    <w:link w:val="Heading1"/>
    <w:uiPriority w:val="9"/>
    <w:rsid w:val="008F3F6E"/>
    <w:rPr>
      <w:rFonts w:ascii="Arial" w:eastAsia="SimSun" w:hAnsi="Arial" w:cs="Arial"/>
      <w:bCs/>
      <w:caps/>
      <w:kern w:val="32"/>
      <w:sz w:val="22"/>
      <w:szCs w:val="22"/>
      <w:lang w:eastAsia="zh-CN"/>
    </w:rPr>
  </w:style>
  <w:style w:type="paragraph" w:styleId="TOCHeading">
    <w:name w:val="TOC Heading"/>
    <w:basedOn w:val="Heading1"/>
    <w:next w:val="Normal"/>
    <w:uiPriority w:val="39"/>
    <w:unhideWhenUsed/>
    <w:qFormat/>
    <w:rsid w:val="003419A9"/>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character" w:customStyle="1" w:styleId="Heading2Char">
    <w:name w:val="Heading 2 Char"/>
    <w:aliases w:val="Heading 2 Char Char Char Char,Heading 2 Char Char Char Char Char Char Char Char Char Char"/>
    <w:basedOn w:val="DefaultParagraphFont"/>
    <w:link w:val="Heading2"/>
    <w:rsid w:val="003419A9"/>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3419A9"/>
    <w:rPr>
      <w:rFonts w:ascii="Arial" w:eastAsia="SimSun" w:hAnsi="Arial" w:cs="Arial"/>
      <w:bCs/>
      <w:i/>
      <w:sz w:val="22"/>
      <w:szCs w:val="28"/>
      <w:lang w:eastAsia="zh-CN"/>
    </w:rPr>
  </w:style>
  <w:style w:type="character" w:customStyle="1" w:styleId="HeaderChar">
    <w:name w:val="Header Char"/>
    <w:basedOn w:val="DefaultParagraphFont"/>
    <w:link w:val="Header"/>
    <w:uiPriority w:val="99"/>
    <w:rsid w:val="003419A9"/>
    <w:rPr>
      <w:rFonts w:ascii="Arial" w:eastAsia="SimSun" w:hAnsi="Arial" w:cs="Arial"/>
      <w:sz w:val="22"/>
      <w:lang w:eastAsia="zh-CN"/>
    </w:rPr>
  </w:style>
  <w:style w:type="character" w:customStyle="1" w:styleId="FooterChar">
    <w:name w:val="Footer Char"/>
    <w:basedOn w:val="DefaultParagraphFont"/>
    <w:link w:val="Footer"/>
    <w:uiPriority w:val="99"/>
    <w:rsid w:val="003419A9"/>
    <w:rPr>
      <w:rFonts w:ascii="Arial" w:eastAsia="SimSun" w:hAnsi="Arial" w:cs="Arial"/>
      <w:sz w:val="22"/>
      <w:lang w:eastAsia="zh-CN"/>
    </w:rPr>
  </w:style>
  <w:style w:type="table" w:styleId="TableGrid">
    <w:name w:val="Table Grid"/>
    <w:basedOn w:val="TableNormal"/>
    <w:uiPriority w:val="59"/>
    <w:rsid w:val="003419A9"/>
    <w:pPr>
      <w:jc w:val="both"/>
    </w:pPr>
    <w:rPr>
      <w:rFonts w:asciiTheme="minorHAnsi" w:eastAsiaTheme="minorEastAsia" w:hAnsiTheme="minorHAnsi" w:cstheme="minorBid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3419A9"/>
    <w:rPr>
      <w:b/>
      <w:color w:val="C0504D" w:themeColor="accent2"/>
    </w:rPr>
  </w:style>
  <w:style w:type="character" w:customStyle="1" w:styleId="BodyTextChar">
    <w:name w:val="Body Text Char"/>
    <w:basedOn w:val="DefaultParagraphFont"/>
    <w:link w:val="BodyText"/>
    <w:rsid w:val="003419A9"/>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3419A9"/>
    <w:rPr>
      <w:rFonts w:ascii="Arial" w:eastAsia="SimSun" w:hAnsi="Arial" w:cs="Arial"/>
      <w:sz w:val="18"/>
      <w:lang w:eastAsia="zh-CN"/>
    </w:rPr>
  </w:style>
  <w:style w:type="character" w:styleId="FootnoteReference">
    <w:name w:val="footnote reference"/>
    <w:basedOn w:val="DefaultParagraphFont"/>
    <w:uiPriority w:val="99"/>
    <w:unhideWhenUsed/>
    <w:rsid w:val="003419A9"/>
    <w:rPr>
      <w:vertAlign w:val="superscript"/>
    </w:rPr>
  </w:style>
  <w:style w:type="paragraph" w:styleId="TOC1">
    <w:name w:val="toc 1"/>
    <w:basedOn w:val="Normal"/>
    <w:next w:val="Normal"/>
    <w:autoRedefine/>
    <w:uiPriority w:val="39"/>
    <w:unhideWhenUsed/>
    <w:rsid w:val="003419A9"/>
    <w:pPr>
      <w:spacing w:after="100" w:line="276" w:lineRule="auto"/>
    </w:pPr>
    <w:rPr>
      <w:rFonts w:asciiTheme="minorHAnsi" w:eastAsiaTheme="minorHAnsi" w:hAnsiTheme="minorHAnsi" w:cstheme="minorBidi"/>
      <w:szCs w:val="22"/>
      <w:lang w:val="en-GB" w:eastAsia="en-US"/>
    </w:rPr>
  </w:style>
  <w:style w:type="paragraph" w:styleId="TOC2">
    <w:name w:val="toc 2"/>
    <w:basedOn w:val="Normal"/>
    <w:next w:val="Normal"/>
    <w:autoRedefine/>
    <w:uiPriority w:val="39"/>
    <w:unhideWhenUsed/>
    <w:rsid w:val="003419A9"/>
    <w:pPr>
      <w:spacing w:after="100" w:line="276" w:lineRule="auto"/>
      <w:ind w:left="220"/>
    </w:pPr>
    <w:rPr>
      <w:rFonts w:asciiTheme="minorHAnsi" w:eastAsiaTheme="minorHAnsi" w:hAnsiTheme="minorHAnsi" w:cstheme="minorBidi"/>
      <w:szCs w:val="22"/>
      <w:lang w:val="en-GB" w:eastAsia="en-US"/>
    </w:rPr>
  </w:style>
  <w:style w:type="character" w:styleId="Hyperlink">
    <w:name w:val="Hyperlink"/>
    <w:basedOn w:val="DefaultParagraphFont"/>
    <w:uiPriority w:val="99"/>
    <w:unhideWhenUsed/>
    <w:rsid w:val="003419A9"/>
    <w:rPr>
      <w:color w:val="0000FF" w:themeColor="hyperlink"/>
      <w:u w:val="single"/>
    </w:rPr>
  </w:style>
  <w:style w:type="character" w:styleId="IntenseEmphasis">
    <w:name w:val="Intense Emphasis"/>
    <w:uiPriority w:val="21"/>
    <w:qFormat/>
    <w:rsid w:val="003419A9"/>
    <w:rPr>
      <w:b/>
      <w:i/>
      <w:color w:val="C0504D" w:themeColor="accent2"/>
      <w:spacing w:val="10"/>
    </w:rPr>
  </w:style>
  <w:style w:type="character" w:styleId="CommentReference">
    <w:name w:val="annotation reference"/>
    <w:basedOn w:val="DefaultParagraphFont"/>
    <w:uiPriority w:val="99"/>
    <w:unhideWhenUsed/>
    <w:rsid w:val="003419A9"/>
    <w:rPr>
      <w:sz w:val="16"/>
      <w:szCs w:val="16"/>
    </w:rPr>
  </w:style>
  <w:style w:type="character" w:customStyle="1" w:styleId="CommentTextChar">
    <w:name w:val="Comment Text Char"/>
    <w:basedOn w:val="DefaultParagraphFont"/>
    <w:uiPriority w:val="99"/>
    <w:semiHidden/>
    <w:rsid w:val="003419A9"/>
    <w:rPr>
      <w:sz w:val="20"/>
      <w:szCs w:val="20"/>
    </w:rPr>
  </w:style>
  <w:style w:type="paragraph" w:styleId="CommentSubject">
    <w:name w:val="annotation subject"/>
    <w:basedOn w:val="CommentText"/>
    <w:next w:val="CommentText"/>
    <w:link w:val="CommentSubjectChar"/>
    <w:uiPriority w:val="99"/>
    <w:unhideWhenUsed/>
    <w:rsid w:val="003419A9"/>
    <w:pPr>
      <w:spacing w:after="200"/>
    </w:pPr>
    <w:rPr>
      <w:rFonts w:asciiTheme="minorHAnsi" w:eastAsiaTheme="minorHAnsi" w:hAnsiTheme="minorHAnsi" w:cstheme="minorBidi"/>
      <w:b/>
      <w:bCs/>
      <w:sz w:val="20"/>
      <w:lang w:val="en-GB" w:eastAsia="en-US"/>
    </w:rPr>
  </w:style>
  <w:style w:type="character" w:customStyle="1" w:styleId="CommentTextChar1">
    <w:name w:val="Comment Text Char1"/>
    <w:basedOn w:val="DefaultParagraphFont"/>
    <w:link w:val="CommentText"/>
    <w:uiPriority w:val="99"/>
    <w:semiHidden/>
    <w:rsid w:val="003419A9"/>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3419A9"/>
    <w:rPr>
      <w:rFonts w:asciiTheme="minorHAnsi" w:eastAsiaTheme="minorHAnsi" w:hAnsiTheme="minorHAnsi" w:cstheme="minorBidi"/>
      <w:b/>
      <w:bCs/>
      <w:sz w:val="18"/>
      <w:lang w:val="en-GB" w:eastAsia="zh-CN"/>
    </w:rPr>
  </w:style>
  <w:style w:type="paragraph" w:styleId="Revision">
    <w:name w:val="Revision"/>
    <w:hidden/>
    <w:uiPriority w:val="99"/>
    <w:semiHidden/>
    <w:rsid w:val="003419A9"/>
    <w:rPr>
      <w:rFonts w:asciiTheme="minorHAnsi" w:eastAsiaTheme="minorHAnsi" w:hAnsiTheme="minorHAnsi" w:cstheme="minorBidi"/>
      <w:sz w:val="22"/>
      <w:szCs w:val="22"/>
      <w:lang w:val="en-GB"/>
    </w:rPr>
  </w:style>
  <w:style w:type="paragraph" w:customStyle="1" w:styleId="Default">
    <w:name w:val="Default"/>
    <w:rsid w:val="00CD3DFA"/>
    <w:pPr>
      <w:autoSpaceDE w:val="0"/>
      <w:autoSpaceDN w:val="0"/>
      <w:adjustRightInd w:val="0"/>
    </w:pPr>
    <w:rPr>
      <w:rFonts w:ascii="Arial" w:eastAsiaTheme="minorHAnsi" w:hAnsi="Arial" w:cs="Arial"/>
      <w:color w:val="000000"/>
      <w:sz w:val="24"/>
      <w:szCs w:val="24"/>
    </w:rPr>
  </w:style>
  <w:style w:type="character" w:customStyle="1" w:styleId="Heading3Char">
    <w:name w:val="Heading 3 Char"/>
    <w:basedOn w:val="DefaultParagraphFont"/>
    <w:link w:val="Heading3"/>
    <w:rsid w:val="00EB1FF0"/>
    <w:rPr>
      <w:rFonts w:ascii="Arial" w:eastAsia="SimSun" w:hAnsi="Arial" w:cs="Arial"/>
      <w:bCs/>
      <w:sz w:val="22"/>
      <w:szCs w:val="26"/>
      <w:u w:val="single"/>
      <w:lang w:eastAsia="zh-CN"/>
    </w:rPr>
  </w:style>
  <w:style w:type="character" w:customStyle="1" w:styleId="newstxt1">
    <w:name w:val="newstxt1"/>
    <w:rsid w:val="00EB1FF0"/>
    <w:rPr>
      <w:rFonts w:ascii="Verdana" w:hAnsi="Verdana" w:hint="default"/>
      <w:b w:val="0"/>
      <w:bCs w:val="0"/>
      <w:strike w:val="0"/>
      <w:dstrike w:val="0"/>
      <w:color w:val="333333"/>
      <w:sz w:val="14"/>
      <w:szCs w:val="14"/>
      <w:u w:val="none"/>
      <w:effect w:val="none"/>
    </w:rPr>
  </w:style>
  <w:style w:type="table" w:styleId="LightShading-Accent2">
    <w:name w:val="Light Shading Accent 2"/>
    <w:basedOn w:val="TableNormal"/>
    <w:uiPriority w:val="60"/>
    <w:rsid w:val="009F4BE1"/>
    <w:rPr>
      <w:rFonts w:asciiTheme="minorHAnsi" w:eastAsiaTheme="minorHAnsi" w:hAnsiTheme="minorHAnsi" w:cstheme="minorBidi"/>
      <w:color w:val="943634" w:themeColor="accent2" w:themeShade="BF"/>
      <w:sz w:val="22"/>
      <w:szCs w:val="22"/>
      <w:lang w:val="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14 (E).dotm</Template>
  <TotalTime>1</TotalTime>
  <Pages>7</Pages>
  <Words>3024</Words>
  <Characters>15902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CDIP/14/</vt:lpstr>
    </vt:vector>
  </TitlesOfParts>
  <Company>WIPO</Company>
  <LinksUpToDate>false</LinksUpToDate>
  <CharactersWithSpaces>18889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dc:title>
  <dc:creator>IBRAHIM Ammar</dc:creator>
  <dc:description>JC_x000d_
09.10.14</dc:description>
  <cp:lastModifiedBy>BRACI Biljana</cp:lastModifiedBy>
  <cp:revision>3</cp:revision>
  <cp:lastPrinted>2014-09-05T15:42:00Z</cp:lastPrinted>
  <dcterms:created xsi:type="dcterms:W3CDTF">2014-10-13T15:41:00Z</dcterms:created>
  <dcterms:modified xsi:type="dcterms:W3CDTF">2014-10-13T15:42:00Z</dcterms:modified>
</cp:coreProperties>
</file>