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CB" w:rsidRPr="006376E7" w:rsidRDefault="009A66CB">
      <w:bookmarkStart w:id="0" w:name="_GoBack"/>
      <w:bookmarkEnd w:id="0"/>
    </w:p>
    <w:tbl>
      <w:tblPr>
        <w:tblW w:w="9356" w:type="dxa"/>
        <w:tblInd w:w="108" w:type="dxa"/>
        <w:tblLayout w:type="fixed"/>
        <w:tblLook w:val="01E0" w:firstRow="1" w:lastRow="1" w:firstColumn="1" w:lastColumn="1" w:noHBand="0" w:noVBand="0"/>
      </w:tblPr>
      <w:tblGrid>
        <w:gridCol w:w="4513"/>
        <w:gridCol w:w="4337"/>
        <w:gridCol w:w="506"/>
      </w:tblGrid>
      <w:tr w:rsidR="006376E7" w:rsidRPr="006376E7" w:rsidTr="009A66CB">
        <w:tc>
          <w:tcPr>
            <w:tcW w:w="4513" w:type="dxa"/>
            <w:tcBorders>
              <w:bottom w:val="single" w:sz="4" w:space="0" w:color="auto"/>
            </w:tcBorders>
            <w:tcMar>
              <w:bottom w:w="170" w:type="dxa"/>
            </w:tcMar>
          </w:tcPr>
          <w:p w:rsidR="00E504E5" w:rsidRPr="006376E7" w:rsidRDefault="00E504E5" w:rsidP="00AB613D"/>
        </w:tc>
        <w:tc>
          <w:tcPr>
            <w:tcW w:w="4337" w:type="dxa"/>
            <w:tcBorders>
              <w:bottom w:val="single" w:sz="4" w:space="0" w:color="auto"/>
            </w:tcBorders>
            <w:tcMar>
              <w:left w:w="0" w:type="dxa"/>
              <w:right w:w="0" w:type="dxa"/>
            </w:tcMar>
          </w:tcPr>
          <w:p w:rsidR="00E504E5" w:rsidRPr="006376E7" w:rsidRDefault="00693BF1" w:rsidP="00AB613D">
            <w:r w:rsidRPr="006376E7">
              <w:rPr>
                <w:noProof/>
                <w:lang w:val="en-US" w:eastAsia="en-US"/>
              </w:rPr>
              <w:drawing>
                <wp:inline distT="0" distB="0" distL="0" distR="0" wp14:anchorId="6C18CDF5" wp14:editId="0EA20ED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6376E7" w:rsidRDefault="003E210D" w:rsidP="003260F8">
            <w:pPr>
              <w:jc w:val="right"/>
            </w:pPr>
            <w:r w:rsidRPr="006376E7">
              <w:rPr>
                <w:b/>
                <w:sz w:val="40"/>
                <w:szCs w:val="40"/>
              </w:rPr>
              <w:t>S</w:t>
            </w:r>
          </w:p>
        </w:tc>
      </w:tr>
      <w:tr w:rsidR="006376E7" w:rsidRPr="006376E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376E7" w:rsidRDefault="00693BF1" w:rsidP="003E210D">
            <w:pPr>
              <w:jc w:val="right"/>
              <w:rPr>
                <w:rFonts w:ascii="Arial Black" w:hAnsi="Arial Black"/>
                <w:caps/>
                <w:sz w:val="15"/>
              </w:rPr>
            </w:pPr>
            <w:bookmarkStart w:id="1" w:name="Code"/>
            <w:bookmarkEnd w:id="1"/>
            <w:r w:rsidRPr="006376E7">
              <w:rPr>
                <w:rFonts w:ascii="Arial Black" w:hAnsi="Arial Black"/>
                <w:caps/>
                <w:sz w:val="15"/>
              </w:rPr>
              <w:t>cdip/14/</w:t>
            </w:r>
            <w:r w:rsidR="003E210D" w:rsidRPr="006376E7">
              <w:rPr>
                <w:rFonts w:ascii="Arial Black" w:hAnsi="Arial Black"/>
                <w:caps/>
                <w:sz w:val="15"/>
              </w:rPr>
              <w:t>2</w:t>
            </w:r>
          </w:p>
        </w:tc>
      </w:tr>
      <w:tr w:rsidR="006376E7" w:rsidRPr="006376E7" w:rsidTr="00AB613D">
        <w:trPr>
          <w:trHeight w:hRule="exact" w:val="170"/>
        </w:trPr>
        <w:tc>
          <w:tcPr>
            <w:tcW w:w="9356" w:type="dxa"/>
            <w:gridSpan w:val="3"/>
            <w:noWrap/>
            <w:tcMar>
              <w:left w:w="0" w:type="dxa"/>
              <w:right w:w="0" w:type="dxa"/>
            </w:tcMar>
            <w:vAlign w:val="bottom"/>
          </w:tcPr>
          <w:p w:rsidR="008B2CC1" w:rsidRPr="006376E7" w:rsidRDefault="003260F8" w:rsidP="003260F8">
            <w:pPr>
              <w:jc w:val="right"/>
              <w:rPr>
                <w:rFonts w:ascii="Arial Black" w:hAnsi="Arial Black"/>
                <w:caps/>
                <w:sz w:val="15"/>
              </w:rPr>
            </w:pPr>
            <w:r w:rsidRPr="006376E7">
              <w:rPr>
                <w:rFonts w:ascii="Arial Black" w:hAnsi="Arial Black"/>
                <w:caps/>
                <w:sz w:val="15"/>
              </w:rPr>
              <w:t>ORIGINAL:  English</w:t>
            </w:r>
          </w:p>
        </w:tc>
      </w:tr>
      <w:tr w:rsidR="006376E7" w:rsidRPr="006376E7" w:rsidTr="00AB613D">
        <w:trPr>
          <w:trHeight w:hRule="exact" w:val="198"/>
        </w:trPr>
        <w:tc>
          <w:tcPr>
            <w:tcW w:w="9356" w:type="dxa"/>
            <w:gridSpan w:val="3"/>
            <w:tcMar>
              <w:left w:w="0" w:type="dxa"/>
              <w:right w:w="0" w:type="dxa"/>
            </w:tcMar>
            <w:vAlign w:val="bottom"/>
          </w:tcPr>
          <w:p w:rsidR="008B2CC1" w:rsidRPr="006376E7" w:rsidRDefault="00675021" w:rsidP="00AB613D">
            <w:pPr>
              <w:jc w:val="right"/>
              <w:rPr>
                <w:rFonts w:ascii="Arial Black" w:hAnsi="Arial Black"/>
                <w:caps/>
                <w:sz w:val="15"/>
              </w:rPr>
            </w:pPr>
            <w:r w:rsidRPr="006376E7">
              <w:rPr>
                <w:rFonts w:ascii="Arial Black" w:hAnsi="Arial Black"/>
                <w:caps/>
                <w:sz w:val="15"/>
              </w:rPr>
              <w:t>fecha</w:t>
            </w:r>
            <w:r w:rsidR="008B2CC1" w:rsidRPr="006376E7">
              <w:rPr>
                <w:rFonts w:ascii="Arial Black" w:hAnsi="Arial Black"/>
                <w:caps/>
                <w:sz w:val="15"/>
              </w:rPr>
              <w:t>:</w:t>
            </w:r>
            <w:r w:rsidR="00F84474" w:rsidRPr="006376E7">
              <w:rPr>
                <w:rFonts w:ascii="Arial Black" w:hAnsi="Arial Black"/>
                <w:caps/>
                <w:sz w:val="15"/>
              </w:rPr>
              <w:t xml:space="preserve"> </w:t>
            </w:r>
            <w:r w:rsidR="008B2CC1" w:rsidRPr="006376E7">
              <w:rPr>
                <w:rFonts w:ascii="Arial Black" w:hAnsi="Arial Black"/>
                <w:caps/>
                <w:sz w:val="15"/>
              </w:rPr>
              <w:t xml:space="preserve"> </w:t>
            </w:r>
            <w:bookmarkStart w:id="2" w:name="Date"/>
            <w:bookmarkEnd w:id="2"/>
            <w:r w:rsidR="00FD3586" w:rsidRPr="006376E7">
              <w:rPr>
                <w:rFonts w:ascii="Arial Black" w:hAnsi="Arial Black"/>
                <w:caps/>
                <w:sz w:val="15"/>
              </w:rPr>
              <w:t>28 DE AGOSTO DE 2014</w:t>
            </w:r>
          </w:p>
        </w:tc>
      </w:tr>
    </w:tbl>
    <w:p w:rsidR="003260F8" w:rsidRPr="006376E7" w:rsidRDefault="003260F8" w:rsidP="008B2CC1"/>
    <w:p w:rsidR="003260F8" w:rsidRPr="006376E7" w:rsidRDefault="003260F8" w:rsidP="008B2CC1"/>
    <w:p w:rsidR="003260F8" w:rsidRPr="006376E7" w:rsidRDefault="003260F8" w:rsidP="008B2CC1"/>
    <w:p w:rsidR="003260F8" w:rsidRPr="006376E7" w:rsidRDefault="003260F8" w:rsidP="008B2CC1"/>
    <w:p w:rsidR="003260F8" w:rsidRPr="006376E7" w:rsidRDefault="003260F8" w:rsidP="008B2CC1"/>
    <w:p w:rsidR="003260F8" w:rsidRPr="006376E7" w:rsidRDefault="00693BF1" w:rsidP="00693BF1">
      <w:pPr>
        <w:rPr>
          <w:b/>
          <w:sz w:val="28"/>
          <w:szCs w:val="28"/>
        </w:rPr>
      </w:pPr>
      <w:r w:rsidRPr="006376E7">
        <w:rPr>
          <w:b/>
          <w:sz w:val="28"/>
          <w:szCs w:val="28"/>
        </w:rPr>
        <w:t>Comité de Desarrollo y Propiedad Intelectual (CDIP)</w:t>
      </w:r>
    </w:p>
    <w:p w:rsidR="003260F8" w:rsidRPr="006376E7" w:rsidRDefault="003260F8" w:rsidP="003845C1"/>
    <w:p w:rsidR="003260F8" w:rsidRPr="006376E7" w:rsidRDefault="003260F8" w:rsidP="003845C1"/>
    <w:p w:rsidR="003260F8" w:rsidRPr="006376E7" w:rsidRDefault="00F10CBE" w:rsidP="00693BF1">
      <w:pPr>
        <w:rPr>
          <w:b/>
          <w:sz w:val="24"/>
          <w:szCs w:val="24"/>
        </w:rPr>
      </w:pPr>
      <w:r w:rsidRPr="006376E7">
        <w:rPr>
          <w:b/>
          <w:sz w:val="24"/>
          <w:szCs w:val="24"/>
        </w:rPr>
        <w:t>De</w:t>
      </w:r>
      <w:r w:rsidR="00060026" w:rsidRPr="006376E7">
        <w:rPr>
          <w:b/>
          <w:sz w:val="24"/>
          <w:szCs w:val="24"/>
        </w:rPr>
        <w:t>cimo</w:t>
      </w:r>
      <w:r w:rsidR="00693BF1" w:rsidRPr="006376E7">
        <w:rPr>
          <w:b/>
          <w:sz w:val="24"/>
          <w:szCs w:val="24"/>
        </w:rPr>
        <w:t>cuarta sesión</w:t>
      </w:r>
    </w:p>
    <w:p w:rsidR="003260F8" w:rsidRPr="006376E7" w:rsidRDefault="00693BF1" w:rsidP="00693BF1">
      <w:pPr>
        <w:rPr>
          <w:b/>
          <w:sz w:val="24"/>
          <w:szCs w:val="24"/>
        </w:rPr>
      </w:pPr>
      <w:r w:rsidRPr="006376E7">
        <w:rPr>
          <w:b/>
          <w:sz w:val="24"/>
          <w:szCs w:val="24"/>
        </w:rPr>
        <w:t>Ginebra, 10 a 14 de noviembre de 2014</w:t>
      </w:r>
    </w:p>
    <w:p w:rsidR="003260F8" w:rsidRPr="006376E7" w:rsidRDefault="003260F8" w:rsidP="00693BF1"/>
    <w:p w:rsidR="003260F8" w:rsidRPr="006376E7" w:rsidRDefault="003260F8" w:rsidP="008B2CC1"/>
    <w:p w:rsidR="003260F8" w:rsidRPr="006376E7" w:rsidRDefault="003260F8" w:rsidP="008B2CC1"/>
    <w:p w:rsidR="003260F8" w:rsidRPr="0074345C" w:rsidRDefault="003260F8" w:rsidP="008B2CC1"/>
    <w:p w:rsidR="003260F8" w:rsidRPr="0074345C" w:rsidRDefault="003260F8" w:rsidP="003260F8">
      <w:pPr>
        <w:rPr>
          <w:caps/>
          <w:sz w:val="24"/>
        </w:rPr>
      </w:pPr>
      <w:bookmarkStart w:id="3" w:name="TitleOfDoc"/>
      <w:bookmarkEnd w:id="3"/>
      <w:r w:rsidRPr="0074345C">
        <w:rPr>
          <w:caps/>
          <w:sz w:val="24"/>
        </w:rPr>
        <w:t>INFORME</w:t>
      </w:r>
      <w:r w:rsidR="00FC18DD" w:rsidRPr="0074345C">
        <w:rPr>
          <w:caps/>
          <w:sz w:val="24"/>
        </w:rPr>
        <w:t>S</w:t>
      </w:r>
      <w:r w:rsidRPr="0074345C">
        <w:rPr>
          <w:caps/>
          <w:sz w:val="24"/>
        </w:rPr>
        <w:t xml:space="preserve"> SOBRE LA MARCHA DE LAS ACTIVIDADES</w:t>
      </w:r>
    </w:p>
    <w:p w:rsidR="003260F8" w:rsidRPr="0074345C" w:rsidRDefault="003260F8" w:rsidP="00502F27"/>
    <w:p w:rsidR="003260F8" w:rsidRPr="0074345C" w:rsidRDefault="003260F8" w:rsidP="003260F8">
      <w:pPr>
        <w:rPr>
          <w:i/>
        </w:rPr>
      </w:pPr>
      <w:bookmarkStart w:id="4" w:name="Prepared"/>
      <w:bookmarkEnd w:id="4"/>
      <w:proofErr w:type="gramStart"/>
      <w:r w:rsidRPr="0074345C">
        <w:rPr>
          <w:i/>
        </w:rPr>
        <w:t>preparado</w:t>
      </w:r>
      <w:r w:rsidR="00FC18DD" w:rsidRPr="0074345C">
        <w:rPr>
          <w:i/>
        </w:rPr>
        <w:t>s</w:t>
      </w:r>
      <w:proofErr w:type="gramEnd"/>
      <w:r w:rsidRPr="0074345C">
        <w:rPr>
          <w:i/>
        </w:rPr>
        <w:t xml:space="preserve"> por la Secretaría</w:t>
      </w:r>
    </w:p>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3260F8">
      <w:pPr>
        <w:pStyle w:val="ListParagraph"/>
        <w:numPr>
          <w:ilvl w:val="0"/>
          <w:numId w:val="7"/>
        </w:numPr>
        <w:ind w:left="540" w:hanging="540"/>
        <w:rPr>
          <w:lang w:val="es-ES"/>
        </w:rPr>
      </w:pPr>
      <w:r w:rsidRPr="0074345C">
        <w:rPr>
          <w:lang w:val="es-ES"/>
        </w:rPr>
        <w:t xml:space="preserve">En los </w:t>
      </w:r>
      <w:r w:rsidR="00FC18DD" w:rsidRPr="0074345C">
        <w:rPr>
          <w:lang w:val="es-ES"/>
        </w:rPr>
        <w:t xml:space="preserve">Anexos </w:t>
      </w:r>
      <w:r w:rsidRPr="0074345C">
        <w:rPr>
          <w:lang w:val="es-ES"/>
        </w:rPr>
        <w:t>del presente documento figuran los informes siguientes:</w:t>
      </w:r>
    </w:p>
    <w:p w:rsidR="003260F8" w:rsidRPr="0074345C" w:rsidRDefault="003260F8" w:rsidP="00502F27">
      <w:pPr>
        <w:pStyle w:val="ListParagraph"/>
        <w:ind w:left="540"/>
        <w:rPr>
          <w:lang w:val="es-ES"/>
        </w:rPr>
      </w:pPr>
    </w:p>
    <w:p w:rsidR="003260F8" w:rsidRPr="0074345C" w:rsidRDefault="003260F8" w:rsidP="00D74422">
      <w:pPr>
        <w:pStyle w:val="ListParagraph"/>
        <w:numPr>
          <w:ilvl w:val="0"/>
          <w:numId w:val="8"/>
        </w:numPr>
        <w:ind w:left="567" w:firstLine="0"/>
        <w:rPr>
          <w:lang w:val="es-ES"/>
        </w:rPr>
      </w:pPr>
      <w:r w:rsidRPr="0074345C">
        <w:rPr>
          <w:lang w:val="es-ES"/>
        </w:rPr>
        <w:t>Informes de situación sobre los proyectos de la Agenda para el Desarrollo</w:t>
      </w:r>
      <w:r w:rsidR="00FC18DD" w:rsidRPr="0074345C">
        <w:rPr>
          <w:lang w:val="es-ES"/>
        </w:rPr>
        <w:t xml:space="preserve"> que se mencionan a continuación</w:t>
      </w:r>
      <w:r w:rsidRPr="0074345C">
        <w:rPr>
          <w:lang w:val="es-ES"/>
        </w:rPr>
        <w:t>:</w:t>
      </w:r>
    </w:p>
    <w:p w:rsidR="003260F8" w:rsidRPr="0074345C" w:rsidRDefault="003260F8" w:rsidP="00502F27">
      <w:pPr>
        <w:pStyle w:val="ListParagraph"/>
        <w:ind w:left="1170"/>
        <w:rPr>
          <w:lang w:val="es-ES"/>
        </w:rPr>
      </w:pPr>
    </w:p>
    <w:p w:rsidR="003260F8" w:rsidRPr="0074345C" w:rsidRDefault="00C94642" w:rsidP="00D74422">
      <w:pPr>
        <w:pStyle w:val="ListParagraph"/>
        <w:numPr>
          <w:ilvl w:val="0"/>
          <w:numId w:val="9"/>
        </w:numPr>
        <w:ind w:left="1134" w:firstLine="0"/>
        <w:rPr>
          <w:lang w:val="es-ES"/>
        </w:rPr>
      </w:pPr>
      <w:r w:rsidRPr="0074345C">
        <w:rPr>
          <w:lang w:val="es-ES"/>
        </w:rPr>
        <w:t>Fortalecer la capacidad de las instituciones nacionales de P.I. públicas y privadas para administrar, supervisar y fomentar el funcionamiento de las industrias culturales, además de mejorar el rendimiento e intensificar la red de organismos de gestión colectiva del derecho de autor (Anexo I</w:t>
      </w:r>
      <w:r w:rsidR="00502F27" w:rsidRPr="0074345C">
        <w:rPr>
          <w:lang w:val="es-ES"/>
        </w:rPr>
        <w:t>);</w:t>
      </w:r>
    </w:p>
    <w:p w:rsidR="003260F8" w:rsidRPr="0074345C" w:rsidRDefault="003260F8" w:rsidP="00502F27">
      <w:pPr>
        <w:ind w:left="1170"/>
      </w:pPr>
    </w:p>
    <w:p w:rsidR="003260F8" w:rsidRPr="0074345C" w:rsidRDefault="00C94642" w:rsidP="00D74422">
      <w:pPr>
        <w:pStyle w:val="ListParagraph"/>
        <w:numPr>
          <w:ilvl w:val="0"/>
          <w:numId w:val="9"/>
        </w:numPr>
        <w:ind w:left="1134" w:firstLine="0"/>
        <w:rPr>
          <w:lang w:val="es-ES"/>
        </w:rPr>
      </w:pPr>
      <w:r w:rsidRPr="0074345C">
        <w:rPr>
          <w:lang w:val="es-ES"/>
        </w:rPr>
        <w:t>Proyecto sobre propiedad intelectual y transferencia de tecnología: desafíos comunes y búsqueda de soluciones</w:t>
      </w:r>
      <w:r w:rsidR="00502F27" w:rsidRPr="0074345C">
        <w:rPr>
          <w:lang w:val="es-ES"/>
        </w:rPr>
        <w:t xml:space="preserve"> (Anex</w:t>
      </w:r>
      <w:r w:rsidRPr="0074345C">
        <w:rPr>
          <w:lang w:val="es-ES"/>
        </w:rPr>
        <w:t>o</w:t>
      </w:r>
      <w:r w:rsidR="00502F27" w:rsidRPr="0074345C">
        <w:rPr>
          <w:lang w:val="es-ES"/>
        </w:rPr>
        <w:t xml:space="preserve"> II);</w:t>
      </w:r>
    </w:p>
    <w:p w:rsidR="003260F8" w:rsidRPr="0074345C" w:rsidRDefault="003260F8" w:rsidP="00502F27">
      <w:pPr>
        <w:ind w:left="1170"/>
      </w:pPr>
    </w:p>
    <w:p w:rsidR="003260F8" w:rsidRPr="0074345C" w:rsidRDefault="003260F8" w:rsidP="00D74422">
      <w:pPr>
        <w:pStyle w:val="ListParagraph"/>
        <w:numPr>
          <w:ilvl w:val="0"/>
          <w:numId w:val="9"/>
        </w:numPr>
        <w:ind w:left="1134" w:firstLine="0"/>
        <w:rPr>
          <w:lang w:val="es-ES"/>
        </w:rPr>
      </w:pPr>
      <w:r w:rsidRPr="0074345C">
        <w:rPr>
          <w:lang w:val="es-ES"/>
        </w:rPr>
        <w:t>Proyecto sobre los proyectos de colaboración abiert</w:t>
      </w:r>
      <w:r w:rsidR="00C94642" w:rsidRPr="0074345C">
        <w:rPr>
          <w:lang w:val="es-ES"/>
        </w:rPr>
        <w:t>a y los modelos de P.I. (Anexo I</w:t>
      </w:r>
      <w:r w:rsidRPr="0074345C">
        <w:rPr>
          <w:lang w:val="es-ES"/>
        </w:rPr>
        <w:t>II);</w:t>
      </w:r>
    </w:p>
    <w:p w:rsidR="003260F8" w:rsidRPr="0074345C" w:rsidRDefault="003260F8" w:rsidP="00502F27">
      <w:pPr>
        <w:pStyle w:val="ListParagraph"/>
        <w:ind w:left="1800"/>
        <w:rPr>
          <w:lang w:val="es-ES"/>
        </w:rPr>
      </w:pPr>
    </w:p>
    <w:p w:rsidR="003260F8" w:rsidRPr="0074345C" w:rsidRDefault="003260F8" w:rsidP="00D74422">
      <w:pPr>
        <w:pStyle w:val="ListParagraph"/>
        <w:numPr>
          <w:ilvl w:val="0"/>
          <w:numId w:val="9"/>
        </w:numPr>
        <w:ind w:left="1134" w:firstLine="0"/>
        <w:rPr>
          <w:lang w:val="es-ES"/>
        </w:rPr>
      </w:pPr>
      <w:r w:rsidRPr="0074345C">
        <w:rPr>
          <w:lang w:val="es-ES"/>
        </w:rPr>
        <w:t xml:space="preserve">Fortalecimiento y desarrollo del sector audiovisual en Burkina Faso y en determinados países de África (Anexo </w:t>
      </w:r>
      <w:r w:rsidR="00C94642" w:rsidRPr="0074345C">
        <w:rPr>
          <w:lang w:val="es-ES"/>
        </w:rPr>
        <w:t>IV</w:t>
      </w:r>
      <w:r w:rsidRPr="0074345C">
        <w:rPr>
          <w:lang w:val="es-ES"/>
        </w:rPr>
        <w:t>);</w:t>
      </w:r>
    </w:p>
    <w:p w:rsidR="003260F8" w:rsidRPr="0074345C" w:rsidRDefault="003260F8" w:rsidP="00502F27">
      <w:pPr>
        <w:pStyle w:val="ListParagraph"/>
        <w:ind w:left="1800"/>
        <w:rPr>
          <w:lang w:val="es-ES"/>
        </w:rPr>
      </w:pPr>
    </w:p>
    <w:p w:rsidR="003260F8" w:rsidRPr="0074345C" w:rsidRDefault="00C94642" w:rsidP="00D74422">
      <w:pPr>
        <w:pStyle w:val="ListParagraph"/>
        <w:numPr>
          <w:ilvl w:val="0"/>
          <w:numId w:val="9"/>
        </w:numPr>
        <w:ind w:left="1134" w:firstLine="0"/>
        <w:rPr>
          <w:lang w:val="es-ES"/>
        </w:rPr>
      </w:pPr>
      <w:r w:rsidRPr="0074345C">
        <w:rPr>
          <w:lang w:val="es-ES"/>
        </w:rPr>
        <w:t xml:space="preserve">Proyecto sobre la cooperación Sur–Sur en materia de P.I. y desarrollo entre los países en desarrollo y los PMA (Anexo </w:t>
      </w:r>
      <w:r w:rsidR="00502F27" w:rsidRPr="0074345C">
        <w:rPr>
          <w:lang w:val="es-ES"/>
        </w:rPr>
        <w:t>V);</w:t>
      </w:r>
    </w:p>
    <w:p w:rsidR="003260F8" w:rsidRPr="0074345C" w:rsidRDefault="003260F8" w:rsidP="00502F27">
      <w:pPr>
        <w:pStyle w:val="ListParagraph"/>
        <w:ind w:left="1800"/>
        <w:rPr>
          <w:lang w:val="es-ES"/>
        </w:rPr>
      </w:pPr>
    </w:p>
    <w:p w:rsidR="003260F8" w:rsidRPr="0074345C" w:rsidRDefault="00C94642" w:rsidP="00D74422">
      <w:pPr>
        <w:pStyle w:val="ListParagraph"/>
        <w:numPr>
          <w:ilvl w:val="0"/>
          <w:numId w:val="9"/>
        </w:numPr>
        <w:ind w:left="1134" w:firstLine="0"/>
        <w:rPr>
          <w:lang w:val="es-ES"/>
        </w:rPr>
      </w:pPr>
      <w:r w:rsidRPr="0074345C">
        <w:rPr>
          <w:lang w:val="es-ES"/>
        </w:rPr>
        <w:lastRenderedPageBreak/>
        <w:t>Proyecto piloto sobre la propiedad intelectual (P.I.) y la gestión de diseños para fomentar las actividades comerciales en los países en desarrollo y los países menos adelantados (PMA)</w:t>
      </w:r>
      <w:r w:rsidR="00502F27" w:rsidRPr="0074345C">
        <w:rPr>
          <w:lang w:val="es-ES"/>
        </w:rPr>
        <w:t xml:space="preserve"> (Anex</w:t>
      </w:r>
      <w:r w:rsidRPr="0074345C">
        <w:rPr>
          <w:lang w:val="es-ES"/>
        </w:rPr>
        <w:t>o</w:t>
      </w:r>
      <w:r w:rsidR="00502F27" w:rsidRPr="0074345C">
        <w:rPr>
          <w:lang w:val="es-ES"/>
        </w:rPr>
        <w:t xml:space="preserve"> VI);  </w:t>
      </w:r>
      <w:r w:rsidRPr="0074345C">
        <w:rPr>
          <w:lang w:val="es-ES"/>
        </w:rPr>
        <w:t>y</w:t>
      </w:r>
    </w:p>
    <w:p w:rsidR="003260F8" w:rsidRPr="0074345C" w:rsidRDefault="003260F8" w:rsidP="00502F27">
      <w:pPr>
        <w:ind w:left="1170"/>
      </w:pPr>
    </w:p>
    <w:p w:rsidR="003260F8" w:rsidRPr="0074345C" w:rsidRDefault="00C94642" w:rsidP="00D74422">
      <w:pPr>
        <w:pStyle w:val="ListParagraph"/>
        <w:numPr>
          <w:ilvl w:val="0"/>
          <w:numId w:val="9"/>
        </w:numPr>
        <w:ind w:left="1134" w:firstLine="0"/>
        <w:rPr>
          <w:lang w:val="es-ES"/>
        </w:rPr>
      </w:pPr>
      <w:r w:rsidRPr="0074345C">
        <w:rPr>
          <w:lang w:val="es-ES"/>
        </w:rPr>
        <w:t>Fortalecimiento de capacidades en el uso de información técnica y científica relativa a tecnologías apropiadas para solucionar determinados problemas de desarrollo – Fase II (Anexo VII);</w:t>
      </w:r>
    </w:p>
    <w:p w:rsidR="003260F8" w:rsidRPr="0074345C" w:rsidRDefault="003260F8" w:rsidP="00502F27">
      <w:pPr>
        <w:rPr>
          <w:rFonts w:ascii="Helvetica" w:hAnsi="Helvetica"/>
        </w:rPr>
      </w:pPr>
    </w:p>
    <w:p w:rsidR="003260F8" w:rsidRPr="0074345C" w:rsidRDefault="003260F8" w:rsidP="00D74422">
      <w:pPr>
        <w:pStyle w:val="ListParagraph"/>
        <w:numPr>
          <w:ilvl w:val="0"/>
          <w:numId w:val="8"/>
        </w:numPr>
        <w:ind w:left="567" w:firstLine="0"/>
        <w:rPr>
          <w:lang w:val="es-ES"/>
        </w:rPr>
      </w:pPr>
      <w:r w:rsidRPr="0074345C">
        <w:rPr>
          <w:lang w:val="es-ES"/>
        </w:rPr>
        <w:t xml:space="preserve">Informes de </w:t>
      </w:r>
      <w:r w:rsidR="00C94642" w:rsidRPr="0074345C">
        <w:rPr>
          <w:lang w:val="es-ES"/>
        </w:rPr>
        <w:t>terminación de</w:t>
      </w:r>
      <w:r w:rsidRPr="0074345C">
        <w:rPr>
          <w:lang w:val="es-ES"/>
        </w:rPr>
        <w:t xml:space="preserve"> los proyectos de la Agenda para el Desarrollo</w:t>
      </w:r>
      <w:r w:rsidR="00FC18DD" w:rsidRPr="0074345C">
        <w:rPr>
          <w:lang w:val="es-ES"/>
        </w:rPr>
        <w:t xml:space="preserve"> que se mencionan a continuación</w:t>
      </w:r>
      <w:r w:rsidRPr="0074345C">
        <w:rPr>
          <w:lang w:val="es-ES"/>
        </w:rPr>
        <w:t>:</w:t>
      </w:r>
    </w:p>
    <w:p w:rsidR="003260F8" w:rsidRPr="0074345C" w:rsidRDefault="003260F8" w:rsidP="00502F27">
      <w:pPr>
        <w:pStyle w:val="ListParagraph"/>
        <w:ind w:left="1170"/>
        <w:rPr>
          <w:lang w:val="es-ES"/>
        </w:rPr>
      </w:pPr>
    </w:p>
    <w:p w:rsidR="003260F8" w:rsidRPr="0074345C" w:rsidRDefault="003260F8" w:rsidP="00D74422">
      <w:pPr>
        <w:pStyle w:val="ListParagraph"/>
        <w:numPr>
          <w:ilvl w:val="0"/>
          <w:numId w:val="10"/>
        </w:numPr>
        <w:tabs>
          <w:tab w:val="left" w:pos="1843"/>
        </w:tabs>
        <w:ind w:left="1134" w:firstLine="0"/>
        <w:rPr>
          <w:lang w:val="es-ES"/>
        </w:rPr>
      </w:pPr>
      <w:r w:rsidRPr="0074345C">
        <w:rPr>
          <w:lang w:val="es-ES"/>
        </w:rPr>
        <w:t xml:space="preserve">Acceso a bases de datos especializadas </w:t>
      </w:r>
      <w:r w:rsidR="00C94642" w:rsidRPr="0074345C">
        <w:rPr>
          <w:lang w:val="es-ES"/>
        </w:rPr>
        <w:t xml:space="preserve">y mantenimiento </w:t>
      </w:r>
      <w:r w:rsidR="00D74422" w:rsidRPr="0074345C">
        <w:rPr>
          <w:lang w:val="es-ES"/>
        </w:rPr>
        <w:t>– Fase II (Anexo </w:t>
      </w:r>
      <w:r w:rsidR="00C94642" w:rsidRPr="0074345C">
        <w:rPr>
          <w:lang w:val="es-ES"/>
        </w:rPr>
        <w:t>VII</w:t>
      </w:r>
      <w:r w:rsidRPr="0074345C">
        <w:rPr>
          <w:lang w:val="es-ES"/>
        </w:rPr>
        <w:t>I);</w:t>
      </w:r>
    </w:p>
    <w:p w:rsidR="003260F8" w:rsidRPr="0074345C" w:rsidRDefault="003260F8" w:rsidP="00D74422">
      <w:pPr>
        <w:pStyle w:val="ListParagraph"/>
        <w:tabs>
          <w:tab w:val="left" w:pos="1843"/>
        </w:tabs>
        <w:ind w:left="1134"/>
        <w:rPr>
          <w:lang w:val="es-ES"/>
        </w:rPr>
      </w:pPr>
    </w:p>
    <w:p w:rsidR="003260F8" w:rsidRPr="0074345C" w:rsidRDefault="003260F8" w:rsidP="00D74422">
      <w:pPr>
        <w:pStyle w:val="ListParagraph"/>
        <w:numPr>
          <w:ilvl w:val="0"/>
          <w:numId w:val="10"/>
        </w:numPr>
        <w:tabs>
          <w:tab w:val="left" w:pos="1843"/>
        </w:tabs>
        <w:ind w:left="1134" w:firstLine="0"/>
        <w:rPr>
          <w:lang w:val="es-ES"/>
        </w:rPr>
      </w:pPr>
      <w:r w:rsidRPr="0074345C">
        <w:rPr>
          <w:lang w:val="es-ES"/>
        </w:rPr>
        <w:t xml:space="preserve">Proyecto piloto para la creación de academias nacionales de P.I. </w:t>
      </w:r>
      <w:r w:rsidR="00792417" w:rsidRPr="0074345C">
        <w:rPr>
          <w:lang w:val="es-ES"/>
        </w:rPr>
        <w:t>“</w:t>
      </w:r>
      <w:r w:rsidRPr="0074345C">
        <w:rPr>
          <w:lang w:val="es-ES"/>
        </w:rPr>
        <w:t>en fase de implantación”</w:t>
      </w:r>
      <w:r w:rsidR="00502F27" w:rsidRPr="0074345C">
        <w:rPr>
          <w:lang w:val="es-ES"/>
        </w:rPr>
        <w:t xml:space="preserve"> </w:t>
      </w:r>
      <w:r w:rsidR="00C94642" w:rsidRPr="0074345C">
        <w:rPr>
          <w:lang w:val="es-ES"/>
        </w:rPr>
        <w:t>- F</w:t>
      </w:r>
      <w:r w:rsidR="00502F27" w:rsidRPr="0074345C">
        <w:rPr>
          <w:lang w:val="es-ES"/>
        </w:rPr>
        <w:t>ase II (Anex</w:t>
      </w:r>
      <w:r w:rsidR="00C94642" w:rsidRPr="0074345C">
        <w:rPr>
          <w:lang w:val="es-ES"/>
        </w:rPr>
        <w:t>o</w:t>
      </w:r>
      <w:r w:rsidR="00502F27" w:rsidRPr="0074345C">
        <w:rPr>
          <w:lang w:val="es-ES"/>
        </w:rPr>
        <w:t> IX);</w:t>
      </w:r>
    </w:p>
    <w:p w:rsidR="003260F8" w:rsidRPr="0074345C" w:rsidRDefault="003260F8" w:rsidP="00C94642">
      <w:pPr>
        <w:pStyle w:val="ListParagraph"/>
        <w:ind w:left="1800"/>
        <w:rPr>
          <w:lang w:val="es-ES"/>
        </w:rPr>
      </w:pPr>
    </w:p>
    <w:p w:rsidR="003260F8" w:rsidRPr="0074345C" w:rsidRDefault="003260F8" w:rsidP="003260F8">
      <w:pPr>
        <w:pStyle w:val="ListParagraph"/>
        <w:numPr>
          <w:ilvl w:val="0"/>
          <w:numId w:val="10"/>
        </w:numPr>
        <w:tabs>
          <w:tab w:val="left" w:pos="1843"/>
        </w:tabs>
        <w:ind w:left="1134" w:firstLine="0"/>
        <w:rPr>
          <w:lang w:val="es-ES"/>
        </w:rPr>
      </w:pPr>
      <w:r w:rsidRPr="0074345C">
        <w:rPr>
          <w:lang w:val="es-ES"/>
        </w:rPr>
        <w:t>Proyecto sobre propiedad intelectual y desarrollo socioeconómico (Anexo </w:t>
      </w:r>
      <w:r w:rsidR="00D74422" w:rsidRPr="0074345C">
        <w:rPr>
          <w:lang w:val="es-ES"/>
        </w:rPr>
        <w:t>X</w:t>
      </w:r>
      <w:r w:rsidRPr="0074345C">
        <w:rPr>
          <w:lang w:val="es-ES"/>
        </w:rPr>
        <w:t>);</w:t>
      </w:r>
      <w:r w:rsidR="00D74422" w:rsidRPr="0074345C">
        <w:rPr>
          <w:lang w:val="es-ES"/>
        </w:rPr>
        <w:t xml:space="preserve">  y</w:t>
      </w:r>
    </w:p>
    <w:p w:rsidR="003260F8" w:rsidRPr="0074345C" w:rsidRDefault="003260F8" w:rsidP="00502F27">
      <w:pPr>
        <w:pStyle w:val="ListParagraph"/>
        <w:ind w:left="1800"/>
        <w:rPr>
          <w:lang w:val="es-ES"/>
        </w:rPr>
      </w:pPr>
    </w:p>
    <w:p w:rsidR="003260F8" w:rsidRPr="0074345C" w:rsidRDefault="003260F8" w:rsidP="003260F8">
      <w:pPr>
        <w:pStyle w:val="ListParagraph"/>
        <w:numPr>
          <w:ilvl w:val="0"/>
          <w:numId w:val="10"/>
        </w:numPr>
        <w:tabs>
          <w:tab w:val="left" w:pos="1843"/>
        </w:tabs>
        <w:ind w:left="1134" w:firstLine="0"/>
        <w:rPr>
          <w:lang w:val="es-ES"/>
        </w:rPr>
      </w:pPr>
      <w:r w:rsidRPr="0074345C">
        <w:rPr>
          <w:lang w:val="es-ES"/>
        </w:rPr>
        <w:t>Proyecto sobre creación de instrumentos de acceso a la información contenida e</w:t>
      </w:r>
      <w:r w:rsidR="00D74422" w:rsidRPr="0074345C">
        <w:rPr>
          <w:lang w:val="es-ES"/>
        </w:rPr>
        <w:t>n patentes  – Fase II (Anexo XI</w:t>
      </w:r>
      <w:r w:rsidRPr="0074345C">
        <w:rPr>
          <w:lang w:val="es-ES"/>
        </w:rPr>
        <w:t>).</w:t>
      </w:r>
    </w:p>
    <w:p w:rsidR="003260F8" w:rsidRPr="0074345C" w:rsidRDefault="003260F8" w:rsidP="00502F27">
      <w:pPr>
        <w:rPr>
          <w:rFonts w:asciiTheme="minorBidi" w:hAnsiTheme="minorBidi"/>
        </w:rPr>
      </w:pPr>
    </w:p>
    <w:p w:rsidR="003260F8" w:rsidRPr="0074345C" w:rsidRDefault="00D74422" w:rsidP="00D74422">
      <w:pPr>
        <w:pStyle w:val="ListParagraph"/>
        <w:numPr>
          <w:ilvl w:val="0"/>
          <w:numId w:val="8"/>
        </w:numPr>
        <w:ind w:left="567" w:firstLine="0"/>
        <w:rPr>
          <w:rStyle w:val="Hyperlink"/>
          <w:color w:val="auto"/>
          <w:lang w:val="es-ES"/>
        </w:rPr>
      </w:pPr>
      <w:r w:rsidRPr="0074345C">
        <w:rPr>
          <w:lang w:val="es-ES"/>
        </w:rPr>
        <w:t xml:space="preserve">Un informe sobre el avance </w:t>
      </w:r>
      <w:r w:rsidR="00FC18DD" w:rsidRPr="0074345C">
        <w:rPr>
          <w:lang w:val="es-ES"/>
        </w:rPr>
        <w:t xml:space="preserve">de la labor </w:t>
      </w:r>
      <w:r w:rsidRPr="0074345C">
        <w:rPr>
          <w:lang w:val="es-ES"/>
        </w:rPr>
        <w:t>relativ</w:t>
      </w:r>
      <w:r w:rsidR="00FC18DD" w:rsidRPr="0074345C">
        <w:rPr>
          <w:lang w:val="es-ES"/>
        </w:rPr>
        <w:t>a</w:t>
      </w:r>
      <w:r w:rsidRPr="0074345C">
        <w:rPr>
          <w:lang w:val="es-ES"/>
        </w:rPr>
        <w:t xml:space="preserve"> a las recomendaciones </w:t>
      </w:r>
      <w:r w:rsidR="00FC18DD" w:rsidRPr="0074345C">
        <w:rPr>
          <w:lang w:val="es-ES"/>
        </w:rPr>
        <w:t>de</w:t>
      </w:r>
      <w:r w:rsidRPr="0074345C">
        <w:rPr>
          <w:lang w:val="es-ES"/>
        </w:rPr>
        <w:t xml:space="preserve"> aplicación inmediata</w:t>
      </w:r>
      <w:r w:rsidR="00502F27" w:rsidRPr="0074345C">
        <w:rPr>
          <w:lang w:val="es-ES"/>
        </w:rPr>
        <w:t xml:space="preserve"> (</w:t>
      </w:r>
      <w:r w:rsidRPr="0074345C">
        <w:rPr>
          <w:lang w:val="es-ES"/>
        </w:rPr>
        <w:t xml:space="preserve">las </w:t>
      </w:r>
      <w:r w:rsidR="00502F27" w:rsidRPr="0074345C">
        <w:rPr>
          <w:lang w:val="es-ES"/>
        </w:rPr>
        <w:t xml:space="preserve">19 </w:t>
      </w:r>
      <w:r w:rsidRPr="0074345C">
        <w:rPr>
          <w:lang w:val="es-ES"/>
        </w:rPr>
        <w:t>r</w:t>
      </w:r>
      <w:r w:rsidR="00502F27" w:rsidRPr="0074345C">
        <w:rPr>
          <w:lang w:val="es-ES"/>
        </w:rPr>
        <w:t>ecomenda</w:t>
      </w:r>
      <w:r w:rsidRPr="0074345C">
        <w:rPr>
          <w:lang w:val="es-ES"/>
        </w:rPr>
        <w:t>c</w:t>
      </w:r>
      <w:r w:rsidR="00502F27" w:rsidRPr="0074345C">
        <w:rPr>
          <w:lang w:val="es-ES"/>
        </w:rPr>
        <w:t>ion</w:t>
      </w:r>
      <w:r w:rsidRPr="0074345C">
        <w:rPr>
          <w:lang w:val="es-ES"/>
        </w:rPr>
        <w:t>e</w:t>
      </w:r>
      <w:r w:rsidR="00502F27" w:rsidRPr="0074345C">
        <w:rPr>
          <w:lang w:val="es-ES"/>
        </w:rPr>
        <w:t>s)</w:t>
      </w:r>
      <w:r w:rsidR="00FC18DD" w:rsidRPr="0074345C">
        <w:rPr>
          <w:lang w:val="es-ES"/>
        </w:rPr>
        <w:t xml:space="preserve"> que abarca el período comprendido entre julio de 2013 y junio de 2014</w:t>
      </w:r>
      <w:r w:rsidR="00502F27" w:rsidRPr="0074345C">
        <w:rPr>
          <w:lang w:val="es-ES"/>
        </w:rPr>
        <w:t xml:space="preserve">.  </w:t>
      </w:r>
      <w:r w:rsidR="003260F8" w:rsidRPr="0074345C">
        <w:rPr>
          <w:lang w:val="es-ES"/>
        </w:rPr>
        <w:t xml:space="preserve">Como </w:t>
      </w:r>
      <w:r w:rsidR="00FC18DD" w:rsidRPr="0074345C">
        <w:rPr>
          <w:lang w:val="es-ES"/>
        </w:rPr>
        <w:t>ya es</w:t>
      </w:r>
      <w:r w:rsidR="003260F8" w:rsidRPr="0074345C">
        <w:rPr>
          <w:lang w:val="es-ES"/>
        </w:rPr>
        <w:t xml:space="preserve"> ha</w:t>
      </w:r>
      <w:r w:rsidR="00FC18DD" w:rsidRPr="0074345C">
        <w:rPr>
          <w:lang w:val="es-ES"/>
        </w:rPr>
        <w:t>bitual</w:t>
      </w:r>
      <w:r w:rsidR="003260F8" w:rsidRPr="0074345C">
        <w:rPr>
          <w:lang w:val="es-ES"/>
        </w:rPr>
        <w:t>, el informe se centra en las estrategias adoptadas para dar aplicación a cada recomendación y destaca los principales logros alcanzados.</w:t>
      </w:r>
      <w:r w:rsidR="00502F27" w:rsidRPr="0074345C">
        <w:rPr>
          <w:lang w:val="es-ES"/>
        </w:rPr>
        <w:t xml:space="preserve">  </w:t>
      </w:r>
      <w:r w:rsidR="003260F8" w:rsidRPr="0074345C">
        <w:rPr>
          <w:lang w:val="es-ES"/>
        </w:rPr>
        <w:t>La lista de actividades y otras informaciones conexas figuran en las bases de datos de asistencia técnica en materia de P.I. (IP-TAD) que se pueden consultar en</w:t>
      </w:r>
      <w:proofErr w:type="gramStart"/>
      <w:r w:rsidR="003260F8" w:rsidRPr="0074345C">
        <w:rPr>
          <w:lang w:val="es-ES"/>
        </w:rPr>
        <w:t xml:space="preserve">: </w:t>
      </w:r>
      <w:r w:rsidR="00E00028" w:rsidRPr="0074345C">
        <w:rPr>
          <w:lang w:val="es-ES"/>
        </w:rPr>
        <w:t xml:space="preserve"> </w:t>
      </w:r>
      <w:r w:rsidRPr="0074345C">
        <w:rPr>
          <w:rFonts w:ascii="ZWAdobeF" w:hAnsi="ZWAdobeF" w:cs="ZWAdobeF"/>
          <w:sz w:val="2"/>
          <w:szCs w:val="2"/>
          <w:lang w:val="es-ES"/>
        </w:rPr>
        <w:t>H</w:t>
      </w:r>
      <w:proofErr w:type="gramEnd"/>
      <w:r w:rsidR="006E27CC">
        <w:fldChar w:fldCharType="begin"/>
      </w:r>
      <w:r w:rsidR="006E27CC" w:rsidRPr="006E27CC">
        <w:rPr>
          <w:lang w:val="es-ES_tradnl"/>
        </w:rPr>
        <w:instrText xml:space="preserve"> HYPERLINK "http://www.wipo.int/tad/es/index.jsp" \o "http://www.wipo.int/tad" </w:instrText>
      </w:r>
      <w:r w:rsidR="006E27CC">
        <w:fldChar w:fldCharType="separate"/>
      </w:r>
      <w:r w:rsidRPr="0074345C">
        <w:rPr>
          <w:rStyle w:val="Hyperlink"/>
          <w:color w:val="auto"/>
          <w:lang w:val="es-ES"/>
        </w:rPr>
        <w:t>http://www.wipo.int/tad/es/</w:t>
      </w:r>
      <w:r w:rsidR="006E27CC">
        <w:rPr>
          <w:rStyle w:val="Hyperlink"/>
          <w:color w:val="auto"/>
          <w:lang w:val="es-ES"/>
        </w:rPr>
        <w:fldChar w:fldCharType="end"/>
      </w:r>
      <w:r w:rsidR="003260F8" w:rsidRPr="0074345C">
        <w:rPr>
          <w:lang w:val="es-ES"/>
        </w:rPr>
        <w:t>.</w:t>
      </w:r>
    </w:p>
    <w:p w:rsidR="003260F8" w:rsidRPr="0074345C" w:rsidRDefault="003260F8" w:rsidP="00502F27">
      <w:pPr>
        <w:ind w:left="540"/>
        <w:rPr>
          <w:rStyle w:val="Hyperlink"/>
          <w:color w:val="auto"/>
        </w:rPr>
      </w:pPr>
    </w:p>
    <w:p w:rsidR="003260F8" w:rsidRPr="0074345C" w:rsidRDefault="003260F8" w:rsidP="00FC18DD">
      <w:pPr>
        <w:pStyle w:val="Endofdocument-Annex"/>
        <w:tabs>
          <w:tab w:val="left" w:pos="567"/>
          <w:tab w:val="left" w:pos="5529"/>
        </w:tabs>
        <w:ind w:left="4950"/>
        <w:rPr>
          <w:i/>
          <w:iCs/>
          <w:szCs w:val="22"/>
          <w:lang w:val="es-ES"/>
        </w:rPr>
      </w:pPr>
      <w:r w:rsidRPr="0074345C">
        <w:rPr>
          <w:i/>
          <w:iCs/>
          <w:szCs w:val="22"/>
          <w:lang w:val="es-ES"/>
        </w:rPr>
        <w:t>2.</w:t>
      </w:r>
      <w:r w:rsidR="00E00028" w:rsidRPr="0074345C">
        <w:rPr>
          <w:iCs/>
          <w:szCs w:val="22"/>
          <w:lang w:val="es-ES"/>
        </w:rPr>
        <w:tab/>
      </w:r>
      <w:r w:rsidRPr="0074345C">
        <w:rPr>
          <w:i/>
          <w:iCs/>
          <w:szCs w:val="22"/>
          <w:lang w:val="es-ES"/>
        </w:rPr>
        <w:t>Se invita al CDIP a tomar nota de la información que figura en l</w:t>
      </w:r>
      <w:r w:rsidR="00FC18DD" w:rsidRPr="0074345C">
        <w:rPr>
          <w:i/>
          <w:iCs/>
          <w:szCs w:val="22"/>
          <w:lang w:val="es-ES"/>
        </w:rPr>
        <w:t>os</w:t>
      </w:r>
      <w:r w:rsidRPr="0074345C">
        <w:rPr>
          <w:i/>
          <w:iCs/>
          <w:szCs w:val="22"/>
          <w:lang w:val="es-ES"/>
        </w:rPr>
        <w:t xml:space="preserve"> Anexo</w:t>
      </w:r>
      <w:r w:rsidR="00FC18DD" w:rsidRPr="0074345C">
        <w:rPr>
          <w:i/>
          <w:iCs/>
          <w:szCs w:val="22"/>
          <w:lang w:val="es-ES"/>
        </w:rPr>
        <w:t>s</w:t>
      </w:r>
      <w:r w:rsidRPr="0074345C">
        <w:rPr>
          <w:i/>
          <w:iCs/>
          <w:szCs w:val="22"/>
          <w:lang w:val="es-ES"/>
        </w:rPr>
        <w:t xml:space="preserve"> del presente documento.</w:t>
      </w:r>
    </w:p>
    <w:p w:rsidR="003260F8" w:rsidRPr="0074345C" w:rsidRDefault="003260F8" w:rsidP="00502F27">
      <w:pPr>
        <w:ind w:left="5373" w:firstLine="27"/>
      </w:pPr>
    </w:p>
    <w:p w:rsidR="003260F8" w:rsidRPr="0074345C" w:rsidRDefault="003260F8" w:rsidP="00502F27">
      <w:pPr>
        <w:ind w:left="5373" w:firstLine="27"/>
      </w:pPr>
    </w:p>
    <w:p w:rsidR="003260F8" w:rsidRPr="0074345C" w:rsidRDefault="003260F8" w:rsidP="00502F27">
      <w:pPr>
        <w:ind w:left="5373" w:firstLine="27"/>
      </w:pPr>
    </w:p>
    <w:p w:rsidR="003260F8" w:rsidRPr="0074345C" w:rsidRDefault="003260F8" w:rsidP="003260F8">
      <w:pPr>
        <w:ind w:left="4962"/>
      </w:pPr>
      <w:r w:rsidRPr="0074345C">
        <w:t>[Siguen los Anexos]</w:t>
      </w:r>
    </w:p>
    <w:p w:rsidR="00502F27" w:rsidRPr="0074345C" w:rsidRDefault="00502F27" w:rsidP="00502F27">
      <w:pPr>
        <w:ind w:left="5373" w:firstLine="27"/>
        <w:sectPr w:rsidR="00502F27" w:rsidRPr="0074345C" w:rsidSect="00E0002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432"/>
        </w:trPr>
        <w:tc>
          <w:tcPr>
            <w:tcW w:w="9288" w:type="dxa"/>
            <w:gridSpan w:val="2"/>
            <w:shd w:val="clear" w:color="auto" w:fill="auto"/>
            <w:vAlign w:val="center"/>
          </w:tcPr>
          <w:p w:rsidR="00502F27" w:rsidRPr="0074345C" w:rsidRDefault="003260F8" w:rsidP="003260F8">
            <w:pPr>
              <w:pStyle w:val="Heading2"/>
            </w:pPr>
            <w:r w:rsidRPr="0074345C">
              <w:lastRenderedPageBreak/>
              <w:t>RESUMEN DEL PROYECTO</w:t>
            </w:r>
          </w:p>
        </w:tc>
      </w:tr>
      <w:tr w:rsidR="006376E7" w:rsidRPr="0074345C" w:rsidTr="00E00028">
        <w:trPr>
          <w:trHeight w:val="496"/>
        </w:trPr>
        <w:tc>
          <w:tcPr>
            <w:tcW w:w="2376" w:type="dxa"/>
            <w:shd w:val="clear" w:color="auto" w:fill="auto"/>
          </w:tcPr>
          <w:p w:rsidR="00502F27" w:rsidRPr="0074345C" w:rsidRDefault="003260F8" w:rsidP="003260F8">
            <w:pPr>
              <w:pStyle w:val="Heading3"/>
            </w:pPr>
            <w:r w:rsidRPr="0074345C">
              <w:t>Código del proyecto</w:t>
            </w:r>
          </w:p>
        </w:tc>
        <w:tc>
          <w:tcPr>
            <w:tcW w:w="6912" w:type="dxa"/>
            <w:shd w:val="clear" w:color="auto" w:fill="auto"/>
          </w:tcPr>
          <w:p w:rsidR="003260F8" w:rsidRPr="0074345C" w:rsidRDefault="003260F8" w:rsidP="00E00028"/>
          <w:p w:rsidR="00502F27" w:rsidRPr="0074345C" w:rsidRDefault="00502F27" w:rsidP="00E00028">
            <w:r w:rsidRPr="0074345C">
              <w:t>DA_10_24</w:t>
            </w:r>
          </w:p>
        </w:tc>
      </w:tr>
      <w:tr w:rsidR="006376E7" w:rsidRPr="0074345C" w:rsidTr="00E00028">
        <w:trPr>
          <w:trHeight w:val="404"/>
        </w:trPr>
        <w:tc>
          <w:tcPr>
            <w:tcW w:w="2376" w:type="dxa"/>
            <w:shd w:val="clear" w:color="auto" w:fill="auto"/>
          </w:tcPr>
          <w:p w:rsidR="003260F8" w:rsidRPr="0074345C" w:rsidRDefault="003260F8" w:rsidP="003260F8">
            <w:pPr>
              <w:pStyle w:val="Heading3"/>
            </w:pPr>
            <w:r w:rsidRPr="0074345C">
              <w:t>Título</w:t>
            </w:r>
          </w:p>
          <w:p w:rsidR="00502F27" w:rsidRPr="0074345C" w:rsidRDefault="00502F27" w:rsidP="00E00028"/>
        </w:tc>
        <w:tc>
          <w:tcPr>
            <w:tcW w:w="6912" w:type="dxa"/>
            <w:shd w:val="clear" w:color="auto" w:fill="auto"/>
          </w:tcPr>
          <w:p w:rsidR="003260F8" w:rsidRPr="0074345C" w:rsidRDefault="003260F8" w:rsidP="00E00028">
            <w:pPr>
              <w:rPr>
                <w:iCs/>
              </w:rPr>
            </w:pPr>
          </w:p>
          <w:p w:rsidR="003260F8" w:rsidRPr="0074345C" w:rsidRDefault="003260F8" w:rsidP="003260F8">
            <w:pPr>
              <w:rPr>
                <w:iCs/>
              </w:rPr>
            </w:pPr>
            <w:r w:rsidRPr="0074345C">
              <w:rPr>
                <w:iCs/>
              </w:rPr>
              <w:t>Fortalecer la capacidad de las instituciones nacionales de P.I. públicas y privadas para administrar, supervisar y fomentar el funcionamiento de las industrias culturales, además de mejorar el rendimiento e intensificar la red de organismos de gestión colectiva del derecho de autor.</w:t>
            </w:r>
          </w:p>
          <w:p w:rsidR="00502F27" w:rsidRPr="0074345C" w:rsidRDefault="00502F27" w:rsidP="00E00028">
            <w:pPr>
              <w:rPr>
                <w:iCs/>
              </w:rPr>
            </w:pPr>
          </w:p>
        </w:tc>
      </w:tr>
      <w:tr w:rsidR="006376E7" w:rsidRPr="0074345C" w:rsidTr="00E00028">
        <w:tc>
          <w:tcPr>
            <w:tcW w:w="2376" w:type="dxa"/>
            <w:shd w:val="clear" w:color="auto" w:fill="auto"/>
          </w:tcPr>
          <w:p w:rsidR="003260F8" w:rsidRPr="0074345C" w:rsidRDefault="003260F8" w:rsidP="003260F8">
            <w:pPr>
              <w:pStyle w:val="Heading3"/>
            </w:pPr>
            <w:r w:rsidRPr="0074345C">
              <w:t>Recomendación de la Agenda para el Desarrollo</w:t>
            </w:r>
          </w:p>
          <w:p w:rsidR="00502F27" w:rsidRPr="0074345C" w:rsidRDefault="00502F27" w:rsidP="00E00028"/>
        </w:tc>
        <w:tc>
          <w:tcPr>
            <w:tcW w:w="6912" w:type="dxa"/>
            <w:shd w:val="clear" w:color="auto" w:fill="auto"/>
          </w:tcPr>
          <w:p w:rsidR="003260F8" w:rsidRPr="0074345C" w:rsidRDefault="003260F8" w:rsidP="00E00028">
            <w:pPr>
              <w:rPr>
                <w:i/>
              </w:rPr>
            </w:pPr>
          </w:p>
          <w:p w:rsidR="003260F8" w:rsidRPr="0074345C" w:rsidRDefault="003260F8" w:rsidP="003260F8">
            <w:pPr>
              <w:rPr>
                <w:i/>
              </w:rPr>
            </w:pPr>
            <w:r w:rsidRPr="0074345C">
              <w:rPr>
                <w:i/>
              </w:rPr>
              <w:t>Recomendación 10</w:t>
            </w:r>
            <w:proofErr w:type="gramStart"/>
            <w:r w:rsidRPr="0074345C">
              <w:rPr>
                <w:i/>
              </w:rPr>
              <w:t xml:space="preserve">: </w:t>
            </w:r>
            <w:r w:rsidR="00DA5C75" w:rsidRPr="0074345C">
              <w:rPr>
                <w:i/>
              </w:rPr>
              <w:t xml:space="preserve"> </w:t>
            </w:r>
            <w:r w:rsidRPr="0074345C">
              <w:rPr>
                <w:i/>
              </w:rPr>
              <w:t>Ayudar</w:t>
            </w:r>
            <w:proofErr w:type="gramEnd"/>
            <w:r w:rsidRPr="0074345C">
              <w:rPr>
                <w:i/>
              </w:rPr>
              <w:t xml:space="preserve">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w:t>
            </w:r>
            <w:r w:rsidR="00502F27" w:rsidRPr="0074345C">
              <w:rPr>
                <w:i/>
              </w:rPr>
              <w:t xml:space="preserve">  </w:t>
            </w:r>
            <w:r w:rsidRPr="0074345C">
              <w:rPr>
                <w:i/>
              </w:rPr>
              <w:t>Este tipo de asistencia técnica debe beneficiar también a las organizaciones regionales y subregionales de P.I.</w:t>
            </w:r>
          </w:p>
          <w:p w:rsidR="00502F27" w:rsidRPr="0074345C" w:rsidRDefault="00502F27" w:rsidP="00E00028">
            <w:pPr>
              <w:rPr>
                <w:i/>
              </w:rPr>
            </w:pPr>
          </w:p>
        </w:tc>
      </w:tr>
      <w:tr w:rsidR="006376E7" w:rsidRPr="0074345C" w:rsidTr="00E00028">
        <w:tc>
          <w:tcPr>
            <w:tcW w:w="2376" w:type="dxa"/>
            <w:shd w:val="clear" w:color="auto" w:fill="auto"/>
          </w:tcPr>
          <w:p w:rsidR="003260F8" w:rsidRPr="0074345C" w:rsidRDefault="003260F8" w:rsidP="003260F8">
            <w:pPr>
              <w:pStyle w:val="Heading3"/>
            </w:pPr>
            <w:r w:rsidRPr="0074345C">
              <w:t>Presupuesto del proyecto</w:t>
            </w:r>
          </w:p>
          <w:p w:rsidR="00502F27" w:rsidRPr="0074345C" w:rsidRDefault="00502F27" w:rsidP="00E00028"/>
        </w:tc>
        <w:tc>
          <w:tcPr>
            <w:tcW w:w="6912" w:type="dxa"/>
            <w:shd w:val="clear" w:color="auto" w:fill="auto"/>
          </w:tcPr>
          <w:p w:rsidR="003260F8" w:rsidRPr="0074345C" w:rsidRDefault="003260F8" w:rsidP="00E00028"/>
          <w:p w:rsidR="003260F8" w:rsidRPr="0074345C" w:rsidRDefault="003260F8" w:rsidP="003260F8">
            <w:r w:rsidRPr="0074345C">
              <w:t>Gastos no relativos al personal: 840.000 francos suizos</w:t>
            </w:r>
          </w:p>
          <w:p w:rsidR="003260F8" w:rsidRPr="0074345C" w:rsidRDefault="003260F8" w:rsidP="003260F8">
            <w:r w:rsidRPr="0074345C">
              <w:t>Gastos adicionales de personal: 268.000 francos suizos.</w:t>
            </w:r>
          </w:p>
          <w:p w:rsidR="00502F27" w:rsidRPr="0074345C" w:rsidRDefault="00502F27" w:rsidP="00E00028"/>
        </w:tc>
      </w:tr>
      <w:tr w:rsidR="006376E7" w:rsidRPr="0074345C" w:rsidTr="00E00028">
        <w:tc>
          <w:tcPr>
            <w:tcW w:w="2376" w:type="dxa"/>
            <w:shd w:val="clear" w:color="auto" w:fill="auto"/>
          </w:tcPr>
          <w:p w:rsidR="003260F8" w:rsidRPr="0074345C" w:rsidRDefault="003260F8" w:rsidP="003260F8">
            <w:pPr>
              <w:pStyle w:val="Heading3"/>
            </w:pPr>
            <w:r w:rsidRPr="0074345C">
              <w:t>Fecha de inicio del proyecto</w:t>
            </w:r>
          </w:p>
          <w:p w:rsidR="00502F27" w:rsidRPr="0074345C" w:rsidRDefault="00502F27" w:rsidP="00E00028"/>
        </w:tc>
        <w:tc>
          <w:tcPr>
            <w:tcW w:w="6912" w:type="dxa"/>
            <w:shd w:val="clear" w:color="auto" w:fill="auto"/>
          </w:tcPr>
          <w:p w:rsidR="003260F8" w:rsidRPr="0074345C" w:rsidRDefault="003260F8" w:rsidP="00E00028"/>
          <w:p w:rsidR="00502F27" w:rsidRPr="0074345C" w:rsidRDefault="003260F8" w:rsidP="003260F8">
            <w:r w:rsidRPr="0074345C">
              <w:t>Abril de 2009</w:t>
            </w:r>
          </w:p>
        </w:tc>
      </w:tr>
      <w:tr w:rsidR="006376E7" w:rsidRPr="0074345C" w:rsidTr="00E00028">
        <w:tc>
          <w:tcPr>
            <w:tcW w:w="2376" w:type="dxa"/>
            <w:shd w:val="clear" w:color="auto" w:fill="auto"/>
          </w:tcPr>
          <w:p w:rsidR="003260F8" w:rsidRPr="0074345C" w:rsidRDefault="003260F8" w:rsidP="003260F8">
            <w:pPr>
              <w:pStyle w:val="Heading3"/>
            </w:pPr>
            <w:r w:rsidRPr="0074345C">
              <w:t>Duración del proyecto</w:t>
            </w:r>
          </w:p>
          <w:p w:rsidR="00502F27" w:rsidRPr="0074345C" w:rsidRDefault="00502F27" w:rsidP="00E00028"/>
        </w:tc>
        <w:tc>
          <w:tcPr>
            <w:tcW w:w="6912" w:type="dxa"/>
            <w:shd w:val="clear" w:color="auto" w:fill="auto"/>
          </w:tcPr>
          <w:p w:rsidR="003260F8" w:rsidRPr="0074345C" w:rsidRDefault="003260F8" w:rsidP="00E00028"/>
          <w:p w:rsidR="00502F27" w:rsidRPr="0074345C" w:rsidRDefault="003260F8" w:rsidP="003260F8">
            <w:r w:rsidRPr="0074345C">
              <w:t>18 meses</w:t>
            </w:r>
          </w:p>
        </w:tc>
      </w:tr>
      <w:tr w:rsidR="006376E7" w:rsidRPr="0074345C" w:rsidTr="00E00028">
        <w:tc>
          <w:tcPr>
            <w:tcW w:w="2376" w:type="dxa"/>
            <w:shd w:val="clear" w:color="auto" w:fill="auto"/>
          </w:tcPr>
          <w:p w:rsidR="00502F27" w:rsidRPr="0074345C" w:rsidRDefault="003260F8" w:rsidP="003260F8">
            <w:pPr>
              <w:pStyle w:val="Heading3"/>
            </w:pPr>
            <w:r w:rsidRPr="0074345C">
              <w:t xml:space="preserve">Principales sectores de la OMPI interesados y vínculos con los </w:t>
            </w:r>
            <w:r w:rsidR="00AC0CD4" w:rsidRPr="0074345C">
              <w:t>Programas</w:t>
            </w:r>
            <w:r w:rsidRPr="0074345C">
              <w:t xml:space="preserve"> de la Organización</w:t>
            </w:r>
          </w:p>
        </w:tc>
        <w:tc>
          <w:tcPr>
            <w:tcW w:w="6912" w:type="dxa"/>
            <w:shd w:val="clear" w:color="auto" w:fill="auto"/>
          </w:tcPr>
          <w:p w:rsidR="003260F8" w:rsidRPr="0074345C" w:rsidRDefault="003260F8" w:rsidP="00E00028"/>
          <w:p w:rsidR="003260F8" w:rsidRPr="0074345C" w:rsidRDefault="003260F8" w:rsidP="003260F8">
            <w:r w:rsidRPr="0074345C">
              <w:t>Sector de Cultura e Industrias Creativas</w:t>
            </w:r>
          </w:p>
          <w:p w:rsidR="003260F8" w:rsidRPr="0074345C" w:rsidRDefault="003260F8" w:rsidP="003260F8">
            <w:r w:rsidRPr="0074345C">
              <w:t>Sector de la Infraestructura Mundial</w:t>
            </w:r>
          </w:p>
          <w:p w:rsidR="003260F8" w:rsidRPr="0074345C" w:rsidRDefault="003260F8" w:rsidP="003260F8">
            <w:r w:rsidRPr="0074345C">
              <w:t>Sector de Desarrollo</w:t>
            </w:r>
          </w:p>
          <w:p w:rsidR="003260F8" w:rsidRPr="0074345C" w:rsidRDefault="003260F8" w:rsidP="00E00028"/>
          <w:p w:rsidR="003260F8" w:rsidRPr="0074345C" w:rsidRDefault="003260F8" w:rsidP="003260F8">
            <w:r w:rsidRPr="0074345C">
              <w:t xml:space="preserve">Vínculos con los </w:t>
            </w:r>
            <w:r w:rsidR="00AC0CD4" w:rsidRPr="0074345C">
              <w:t>Programas</w:t>
            </w:r>
            <w:r w:rsidRPr="0074345C">
              <w:t xml:space="preserve"> 3, 9, 10 y 15</w:t>
            </w:r>
            <w:r w:rsidR="00DA5C75" w:rsidRPr="0074345C">
              <w:t xml:space="preserve"> de la OMPI</w:t>
            </w:r>
            <w:r w:rsidRPr="0074345C">
              <w:t>.</w:t>
            </w:r>
          </w:p>
          <w:p w:rsidR="00502F27" w:rsidRPr="0074345C" w:rsidRDefault="00502F27" w:rsidP="00E00028"/>
        </w:tc>
      </w:tr>
      <w:tr w:rsidR="006376E7" w:rsidRPr="0074345C" w:rsidTr="00E00028">
        <w:trPr>
          <w:trHeight w:val="2664"/>
        </w:trPr>
        <w:tc>
          <w:tcPr>
            <w:tcW w:w="2376" w:type="dxa"/>
            <w:shd w:val="clear" w:color="auto" w:fill="auto"/>
          </w:tcPr>
          <w:p w:rsidR="00502F27" w:rsidRPr="0074345C" w:rsidRDefault="003260F8" w:rsidP="003260F8">
            <w:pPr>
              <w:pStyle w:val="Heading3"/>
            </w:pPr>
            <w:r w:rsidRPr="0074345C">
              <w:t>Breve descripción del proyecto</w:t>
            </w:r>
          </w:p>
        </w:tc>
        <w:tc>
          <w:tcPr>
            <w:tcW w:w="6912" w:type="dxa"/>
            <w:shd w:val="clear" w:color="auto" w:fill="auto"/>
          </w:tcPr>
          <w:p w:rsidR="003260F8" w:rsidRPr="0074345C" w:rsidRDefault="003260F8" w:rsidP="00E00028"/>
          <w:p w:rsidR="003260F8" w:rsidRPr="0074345C" w:rsidRDefault="003260F8" w:rsidP="003260F8">
            <w:r w:rsidRPr="0074345C">
              <w:t>El objetivo de este proyecto es prestar asistencia en la mejora y el fortalecimiento de las instituciones nacionales y privadas que representan a las industrias creativas para fomentar la comprensión de la utilidad de la P.I en la eficacia de la gestión y la promoción de esas industrias y para facilitar la creación de redes regionales o subregionales de gestión colectiva del derecho de autor y los derechos conexos.</w:t>
            </w:r>
          </w:p>
          <w:p w:rsidR="003260F8" w:rsidRPr="0074345C" w:rsidRDefault="003260F8" w:rsidP="00E00028"/>
          <w:p w:rsidR="003260F8" w:rsidRPr="0074345C" w:rsidRDefault="003260F8" w:rsidP="003260F8">
            <w:r w:rsidRPr="0074345C">
              <w:t xml:space="preserve">El primer componente del proyecto, relacionado con las </w:t>
            </w:r>
            <w:r w:rsidR="00916512" w:rsidRPr="0074345C">
              <w:t xml:space="preserve">industrias culturales, </w:t>
            </w:r>
            <w:r w:rsidRPr="0074345C">
              <w:t>se completó con éxito en 2010 (véase el documento CDIP/6/2 Anexo VIII).</w:t>
            </w:r>
          </w:p>
          <w:p w:rsidR="003260F8" w:rsidRPr="0074345C" w:rsidRDefault="003260F8" w:rsidP="00E00028"/>
          <w:p w:rsidR="003260F8" w:rsidRPr="0074345C" w:rsidRDefault="003260F8" w:rsidP="003260F8">
            <w:r w:rsidRPr="0074345C">
              <w:t>El segundo componente del proyecto, relacionado con los organismos de gestión colectiva, sigue en curso.</w:t>
            </w:r>
            <w:r w:rsidR="00502F27" w:rsidRPr="0074345C">
              <w:t xml:space="preserve">  </w:t>
            </w:r>
            <w:r w:rsidRPr="0074345C">
              <w:t xml:space="preserve">El objetivo de este proyecto es proporcionar a las organismos de gestión colectiva de la </w:t>
            </w:r>
            <w:r w:rsidR="00916512" w:rsidRPr="0074345C">
              <w:rPr>
                <w:i/>
              </w:rPr>
              <w:lastRenderedPageBreak/>
              <w:t xml:space="preserve">West </w:t>
            </w:r>
            <w:proofErr w:type="spellStart"/>
            <w:r w:rsidR="00916512" w:rsidRPr="0074345C">
              <w:rPr>
                <w:i/>
              </w:rPr>
              <w:t>African</w:t>
            </w:r>
            <w:proofErr w:type="spellEnd"/>
            <w:r w:rsidR="00916512" w:rsidRPr="0074345C">
              <w:rPr>
                <w:i/>
              </w:rPr>
              <w:t xml:space="preserve"> Copyright Network</w:t>
            </w:r>
            <w:r w:rsidR="00916512" w:rsidRPr="0074345C">
              <w:t xml:space="preserve"> (WAN)</w:t>
            </w:r>
            <w:r w:rsidRPr="0074345C">
              <w:t>, un conjunto de herramientas de infraestructura técnica que les permita gestionar eficazmente la documentación relativa al derecho de autor, licencias y distribución en sus jurisdicciones, con el fin de establecer una plataforma de gestión colectiva a escala regional, con herramientas para integrarse con redes internacionales de organismos de gestión colectiva que utilizan normas internacionales establecidas.</w:t>
            </w:r>
            <w:r w:rsidR="00502F27" w:rsidRPr="0074345C">
              <w:t xml:space="preserve">  </w:t>
            </w:r>
          </w:p>
          <w:p w:rsidR="003260F8" w:rsidRPr="0074345C" w:rsidRDefault="003260F8" w:rsidP="00E00028"/>
          <w:p w:rsidR="00502F27" w:rsidRPr="0074345C" w:rsidRDefault="003260F8" w:rsidP="003260F8">
            <w:r w:rsidRPr="0074345C">
              <w:t>El proyecto y las herramientas que se elaborarán y ejecutarán deberán concebirse de tal forma que los resultados puedan ulteriormente personalizarse y aplicarse en proyectos piloto similares en organismos de gestión colectiva o grupos de países.</w:t>
            </w:r>
          </w:p>
          <w:p w:rsidR="00DA5C75" w:rsidRPr="0074345C" w:rsidRDefault="00DA5C75" w:rsidP="003260F8"/>
        </w:tc>
      </w:tr>
      <w:tr w:rsidR="006376E7" w:rsidRPr="0074345C" w:rsidTr="00E00028">
        <w:trPr>
          <w:trHeight w:val="484"/>
        </w:trPr>
        <w:tc>
          <w:tcPr>
            <w:tcW w:w="2376" w:type="dxa"/>
            <w:shd w:val="clear" w:color="auto" w:fill="auto"/>
          </w:tcPr>
          <w:p w:rsidR="003260F8" w:rsidRPr="0074345C" w:rsidRDefault="003260F8" w:rsidP="003260F8">
            <w:pPr>
              <w:pStyle w:val="Heading3"/>
            </w:pPr>
            <w:r w:rsidRPr="0074345C">
              <w:lastRenderedPageBreak/>
              <w:t>Director del Proyecto</w:t>
            </w:r>
          </w:p>
          <w:p w:rsidR="00502F27" w:rsidRPr="0074345C" w:rsidRDefault="00502F27" w:rsidP="00E00028"/>
        </w:tc>
        <w:tc>
          <w:tcPr>
            <w:tcW w:w="6912" w:type="dxa"/>
          </w:tcPr>
          <w:p w:rsidR="003260F8" w:rsidRPr="0074345C" w:rsidRDefault="003260F8" w:rsidP="00E00028">
            <w:pPr>
              <w:rPr>
                <w:iCs/>
              </w:rPr>
            </w:pPr>
          </w:p>
          <w:p w:rsidR="00502F27" w:rsidRPr="0074345C" w:rsidRDefault="00502F27" w:rsidP="00E00028">
            <w:pPr>
              <w:rPr>
                <w:iCs/>
              </w:rPr>
            </w:pPr>
            <w:r w:rsidRPr="0074345C">
              <w:rPr>
                <w:iCs/>
              </w:rPr>
              <w:t>William Meredith</w:t>
            </w:r>
          </w:p>
        </w:tc>
      </w:tr>
      <w:tr w:rsidR="006376E7" w:rsidRPr="0074345C" w:rsidTr="00E00028">
        <w:trPr>
          <w:trHeight w:val="1165"/>
        </w:trPr>
        <w:tc>
          <w:tcPr>
            <w:tcW w:w="2376" w:type="dxa"/>
            <w:shd w:val="clear" w:color="auto" w:fill="auto"/>
          </w:tcPr>
          <w:p w:rsidR="00502F27" w:rsidRPr="0074345C" w:rsidDel="00196374" w:rsidRDefault="003260F8" w:rsidP="003260F8">
            <w:pPr>
              <w:pStyle w:val="Heading3"/>
            </w:pPr>
            <w:r w:rsidRPr="0074345C">
              <w:t xml:space="preserve">Vínculos con los resultados previstos en el presupuesto por </w:t>
            </w:r>
            <w:r w:rsidR="00AC0CD4" w:rsidRPr="0074345C">
              <w:t>Programas</w:t>
            </w:r>
          </w:p>
        </w:tc>
        <w:tc>
          <w:tcPr>
            <w:tcW w:w="6912" w:type="dxa"/>
          </w:tcPr>
          <w:p w:rsidR="003260F8" w:rsidRPr="0074345C" w:rsidRDefault="003260F8" w:rsidP="00E00028">
            <w:pPr>
              <w:rPr>
                <w:i/>
                <w:iCs/>
              </w:rPr>
            </w:pPr>
          </w:p>
          <w:p w:rsidR="003260F8" w:rsidRPr="0074345C" w:rsidRDefault="003260F8" w:rsidP="003260F8">
            <w:pPr>
              <w:rPr>
                <w:i/>
                <w:iCs/>
              </w:rPr>
            </w:pPr>
            <w:r w:rsidRPr="0074345C">
              <w:rPr>
                <w:i/>
                <w:iCs/>
              </w:rPr>
              <w:t>Resultado previsto:  IV.5</w:t>
            </w:r>
          </w:p>
          <w:p w:rsidR="003260F8" w:rsidRPr="0074345C" w:rsidRDefault="003260F8" w:rsidP="00E00028">
            <w:pPr>
              <w:rPr>
                <w:iCs/>
              </w:rPr>
            </w:pPr>
          </w:p>
          <w:p w:rsidR="003260F8" w:rsidRPr="0074345C" w:rsidRDefault="003260F8" w:rsidP="003260F8">
            <w:pPr>
              <w:rPr>
                <w:iCs/>
              </w:rPr>
            </w:pPr>
            <w:r w:rsidRPr="0074345C">
              <w:rPr>
                <w:iCs/>
              </w:rPr>
              <w:t>Mejora de la infraestructura técnica y de conocimientos de las oficinas y demás instituciones de P.I. que les permit</w:t>
            </w:r>
            <w:r w:rsidR="00891684" w:rsidRPr="0074345C">
              <w:rPr>
                <w:iCs/>
              </w:rPr>
              <w:t>a</w:t>
            </w:r>
            <w:r w:rsidRPr="0074345C">
              <w:rPr>
                <w:iCs/>
              </w:rPr>
              <w:t xml:space="preserve"> prestar mejores servicios (más económicos, más rápidos y de mejor calidad) a sus usuarios.</w:t>
            </w:r>
          </w:p>
          <w:p w:rsidR="00502F27" w:rsidRPr="0074345C" w:rsidDel="00196374" w:rsidRDefault="00502F27" w:rsidP="00E00028">
            <w:pPr>
              <w:rPr>
                <w:iCs/>
              </w:rPr>
            </w:pPr>
          </w:p>
        </w:tc>
      </w:tr>
      <w:tr w:rsidR="006376E7" w:rsidRPr="0074345C" w:rsidTr="00E00028">
        <w:trPr>
          <w:trHeight w:val="1735"/>
        </w:trPr>
        <w:tc>
          <w:tcPr>
            <w:tcW w:w="2376" w:type="dxa"/>
            <w:shd w:val="clear" w:color="auto" w:fill="auto"/>
          </w:tcPr>
          <w:p w:rsidR="003260F8" w:rsidRPr="0074345C" w:rsidRDefault="003260F8" w:rsidP="003260F8">
            <w:pPr>
              <w:pStyle w:val="Heading3"/>
            </w:pPr>
            <w:r w:rsidRPr="0074345C">
              <w:t>Progreso en la ejecución del proyecto</w:t>
            </w:r>
          </w:p>
          <w:p w:rsidR="00502F27" w:rsidRPr="0074345C" w:rsidRDefault="00502F27" w:rsidP="00E00028"/>
        </w:tc>
        <w:tc>
          <w:tcPr>
            <w:tcW w:w="6912" w:type="dxa"/>
          </w:tcPr>
          <w:p w:rsidR="003260F8" w:rsidRPr="0074345C" w:rsidRDefault="003260F8" w:rsidP="00E00028"/>
          <w:p w:rsidR="003260F8" w:rsidRPr="0074345C" w:rsidRDefault="003260F8" w:rsidP="003260F8">
            <w:pPr>
              <w:rPr>
                <w:b/>
              </w:rPr>
            </w:pPr>
            <w:r w:rsidRPr="0074345C">
              <w:t>El primer componente del proyecto, relacionado con las industrias culturales,  se completó con éxito en 2010 (véase el documento CDIP/6/2</w:t>
            </w:r>
            <w:r w:rsidR="00891684" w:rsidRPr="0074345C">
              <w:t>,</w:t>
            </w:r>
            <w:r w:rsidRPr="0074345C">
              <w:t xml:space="preserve"> Anexo VIII).</w:t>
            </w:r>
            <w:r w:rsidR="00502F27" w:rsidRPr="0074345C">
              <w:t xml:space="preserve">  </w:t>
            </w:r>
            <w:r w:rsidRPr="0074345C">
              <w:t xml:space="preserve">El presente informe abarca solo el segundo componente del proyecto, relacionado con los </w:t>
            </w:r>
            <w:r w:rsidRPr="0074345C">
              <w:rPr>
                <w:rStyle w:val="Strong"/>
                <w:b w:val="0"/>
              </w:rPr>
              <w:t>organismos de gestión colectiva</w:t>
            </w:r>
            <w:r w:rsidRPr="0074345C">
              <w:rPr>
                <w:b/>
              </w:rPr>
              <w:t>.</w:t>
            </w:r>
          </w:p>
          <w:p w:rsidR="003260F8" w:rsidRPr="0074345C" w:rsidRDefault="003260F8" w:rsidP="00E00028"/>
          <w:p w:rsidR="003260F8" w:rsidRPr="0074345C" w:rsidRDefault="00B30D83" w:rsidP="00E00028">
            <w:r w:rsidRPr="0074345C">
              <w:t xml:space="preserve">En </w:t>
            </w:r>
            <w:r w:rsidR="00792417" w:rsidRPr="0074345C">
              <w:t xml:space="preserve">2013, se elaboró </w:t>
            </w:r>
            <w:r w:rsidR="00B85A3C" w:rsidRPr="0074345C">
              <w:t xml:space="preserve">y examinó </w:t>
            </w:r>
            <w:r w:rsidRPr="0074345C">
              <w:t>un</w:t>
            </w:r>
            <w:r w:rsidR="00792417" w:rsidRPr="0074345C">
              <w:t xml:space="preserve">a </w:t>
            </w:r>
            <w:r w:rsidR="00B85A3C" w:rsidRPr="0074345C">
              <w:t>lista</w:t>
            </w:r>
            <w:r w:rsidR="00792417" w:rsidRPr="0074345C">
              <w:t xml:space="preserve"> completa de</w:t>
            </w:r>
            <w:r w:rsidRPr="0074345C">
              <w:t xml:space="preserve"> requisitos </w:t>
            </w:r>
            <w:r w:rsidR="00502F27" w:rsidRPr="0074345C">
              <w:t>(</w:t>
            </w:r>
            <w:r w:rsidR="00891684" w:rsidRPr="0074345C">
              <w:t>requisitos operativos</w:t>
            </w:r>
            <w:r w:rsidRPr="0074345C">
              <w:t xml:space="preserve"> de alto nivel)</w:t>
            </w:r>
            <w:r w:rsidR="00502F27" w:rsidRPr="0074345C">
              <w:t xml:space="preserve">.  </w:t>
            </w:r>
            <w:r w:rsidR="00D40A9E" w:rsidRPr="0074345C">
              <w:t>También</w:t>
            </w:r>
            <w:r w:rsidRPr="0074345C">
              <w:t xml:space="preserve"> se avanzó en la </w:t>
            </w:r>
            <w:r w:rsidR="00D40A9E" w:rsidRPr="0074345C">
              <w:t>elaboración</w:t>
            </w:r>
            <w:r w:rsidRPr="0074345C">
              <w:t xml:space="preserve"> de un modelo </w:t>
            </w:r>
            <w:r w:rsidR="00592134" w:rsidRPr="0074345C">
              <w:t>operativo</w:t>
            </w:r>
            <w:r w:rsidR="00060026" w:rsidRPr="0074345C">
              <w:t xml:space="preserve"> </w:t>
            </w:r>
            <w:r w:rsidRPr="0074345C">
              <w:t xml:space="preserve">para la creación y </w:t>
            </w:r>
            <w:r w:rsidR="00792417" w:rsidRPr="0074345C">
              <w:t xml:space="preserve">el </w:t>
            </w:r>
            <w:r w:rsidR="00D40A9E" w:rsidRPr="0074345C">
              <w:t>funcionamiento</w:t>
            </w:r>
            <w:r w:rsidRPr="0074345C">
              <w:t xml:space="preserve"> sostenible a largo </w:t>
            </w:r>
            <w:r w:rsidR="00D40A9E" w:rsidRPr="0074345C">
              <w:t>plazo</w:t>
            </w:r>
            <w:r w:rsidRPr="0074345C">
              <w:t xml:space="preserve"> del sistema</w:t>
            </w:r>
            <w:r w:rsidR="00502F27" w:rsidRPr="0074345C">
              <w:t>.</w:t>
            </w:r>
          </w:p>
          <w:p w:rsidR="003260F8" w:rsidRPr="0074345C" w:rsidRDefault="003260F8" w:rsidP="00E00028"/>
          <w:p w:rsidR="003260F8" w:rsidRPr="0074345C" w:rsidRDefault="00B30D83" w:rsidP="00E00028">
            <w:r w:rsidRPr="0074345C">
              <w:t xml:space="preserve">En abril de </w:t>
            </w:r>
            <w:r w:rsidR="00502F27" w:rsidRPr="0074345C">
              <w:t xml:space="preserve">2014, </w:t>
            </w:r>
            <w:r w:rsidRPr="0074345C">
              <w:t xml:space="preserve">se </w:t>
            </w:r>
            <w:r w:rsidR="004137F8" w:rsidRPr="0074345C">
              <w:t>celebró</w:t>
            </w:r>
            <w:r w:rsidRPr="0074345C">
              <w:t xml:space="preserve"> un taller en Ginebra </w:t>
            </w:r>
            <w:r w:rsidR="00592134" w:rsidRPr="0074345C">
              <w:t xml:space="preserve">para los </w:t>
            </w:r>
            <w:r w:rsidR="004137F8" w:rsidRPr="0074345C">
              <w:t>representantes</w:t>
            </w:r>
            <w:r w:rsidRPr="0074345C">
              <w:t xml:space="preserve"> de </w:t>
            </w:r>
            <w:r w:rsidR="00592134" w:rsidRPr="0074345C">
              <w:t xml:space="preserve">los </w:t>
            </w:r>
            <w:r w:rsidRPr="0074345C">
              <w:t>o</w:t>
            </w:r>
            <w:r w:rsidR="00761353" w:rsidRPr="0074345C">
              <w:t>rganismos de gestión colectiva</w:t>
            </w:r>
            <w:r w:rsidR="00502F27" w:rsidRPr="0074345C">
              <w:t xml:space="preserve"> </w:t>
            </w:r>
            <w:r w:rsidRPr="0074345C">
              <w:t xml:space="preserve">que </w:t>
            </w:r>
            <w:r w:rsidR="00792417" w:rsidRPr="0074345C">
              <w:t>podrían utilizar el n</w:t>
            </w:r>
            <w:r w:rsidR="00891684" w:rsidRPr="0074345C">
              <w:t>uevo sistema con el fin de</w:t>
            </w:r>
            <w:r w:rsidRPr="0074345C">
              <w:t xml:space="preserve"> examinar los requisitos </w:t>
            </w:r>
            <w:r w:rsidR="00891684" w:rsidRPr="0074345C">
              <w:t>operativos de alto nivel</w:t>
            </w:r>
            <w:r w:rsidRPr="0074345C">
              <w:t xml:space="preserve">, </w:t>
            </w:r>
            <w:r w:rsidR="004137F8" w:rsidRPr="0074345C">
              <w:t>así</w:t>
            </w:r>
            <w:r w:rsidRPr="0074345C">
              <w:t xml:space="preserve"> </w:t>
            </w:r>
            <w:r w:rsidR="004137F8" w:rsidRPr="0074345C">
              <w:t>como</w:t>
            </w:r>
            <w:r w:rsidR="00891684" w:rsidRPr="0074345C">
              <w:t xml:space="preserve"> para crear un grupo de expertos operativo</w:t>
            </w:r>
            <w:r w:rsidR="00A50874" w:rsidRPr="0074345C">
              <w:t>s</w:t>
            </w:r>
            <w:r w:rsidR="00891684" w:rsidRPr="0074345C">
              <w:t xml:space="preserve"> </w:t>
            </w:r>
            <w:r w:rsidRPr="0074345C">
              <w:t xml:space="preserve">que asesorarán al equipo de proyecto </w:t>
            </w:r>
            <w:r w:rsidR="004137F8" w:rsidRPr="0074345C">
              <w:t>durante</w:t>
            </w:r>
            <w:r w:rsidRPr="0074345C">
              <w:t xml:space="preserve"> la fase de desarrollo del sistema</w:t>
            </w:r>
            <w:r w:rsidR="00502F27" w:rsidRPr="0074345C">
              <w:t>.</w:t>
            </w:r>
          </w:p>
          <w:p w:rsidR="003260F8" w:rsidRPr="0074345C" w:rsidRDefault="003260F8" w:rsidP="00E00028"/>
          <w:p w:rsidR="003260F8" w:rsidRPr="0074345C" w:rsidRDefault="00891684" w:rsidP="00E00028">
            <w:r w:rsidRPr="0074345C">
              <w:t>Sobre la base de los requisitos documentados</w:t>
            </w:r>
            <w:r w:rsidR="00B30D83" w:rsidRPr="0074345C">
              <w:t>, se inici</w:t>
            </w:r>
            <w:r w:rsidRPr="0074345C">
              <w:t>ó</w:t>
            </w:r>
            <w:r w:rsidR="00B30D83" w:rsidRPr="0074345C">
              <w:t xml:space="preserve"> el proceso de </w:t>
            </w:r>
            <w:r w:rsidR="00EB3B9E" w:rsidRPr="0074345C">
              <w:t xml:space="preserve"> solicitud de ofertas </w:t>
            </w:r>
            <w:r w:rsidR="00D81509" w:rsidRPr="0074345C">
              <w:t xml:space="preserve">a principios de </w:t>
            </w:r>
            <w:r w:rsidR="00502F27" w:rsidRPr="0074345C">
              <w:t xml:space="preserve">2014 </w:t>
            </w:r>
            <w:r w:rsidR="00D81509" w:rsidRPr="0074345C">
              <w:t>para encontrar un asociado para el desarrollo del sistema</w:t>
            </w:r>
            <w:r w:rsidR="00502F27" w:rsidRPr="0074345C">
              <w:t xml:space="preserve">.  </w:t>
            </w:r>
            <w:r w:rsidR="00DC4E5F" w:rsidRPr="0074345C">
              <w:t xml:space="preserve">Se finalizó la </w:t>
            </w:r>
            <w:r w:rsidR="004137F8" w:rsidRPr="0074345C">
              <w:t>evaluación</w:t>
            </w:r>
            <w:r w:rsidR="00D81509" w:rsidRPr="0074345C">
              <w:t xml:space="preserve"> y las negociaciones del contrato </w:t>
            </w:r>
            <w:r w:rsidR="004137F8" w:rsidRPr="0074345C">
              <w:t>están</w:t>
            </w:r>
            <w:r w:rsidR="00D81509" w:rsidRPr="0074345C">
              <w:t xml:space="preserve"> en curso </w:t>
            </w:r>
            <w:r w:rsidR="00502F27" w:rsidRPr="0074345C">
              <w:t>(</w:t>
            </w:r>
            <w:r w:rsidR="00D81509" w:rsidRPr="0074345C">
              <w:t xml:space="preserve">desde julio de </w:t>
            </w:r>
            <w:r w:rsidR="00502F27" w:rsidRPr="0074345C">
              <w:t xml:space="preserve">2014).  </w:t>
            </w:r>
            <w:r w:rsidR="00DC4E5F" w:rsidRPr="0074345C">
              <w:t xml:space="preserve">El asociado </w:t>
            </w:r>
            <w:r w:rsidR="00EB3B9E" w:rsidRPr="0074345C">
              <w:t>elaborará el p</w:t>
            </w:r>
            <w:r w:rsidR="009E13C2" w:rsidRPr="0074345C">
              <w:t xml:space="preserve">rograma </w:t>
            </w:r>
            <w:r w:rsidR="00DC4E5F" w:rsidRPr="0074345C">
              <w:t xml:space="preserve">a </w:t>
            </w:r>
            <w:r w:rsidR="004137F8" w:rsidRPr="0074345C">
              <w:t>informático</w:t>
            </w:r>
            <w:r w:rsidR="00DC4E5F" w:rsidRPr="0074345C">
              <w:t xml:space="preserve"> para los </w:t>
            </w:r>
            <w:r w:rsidR="004137F8" w:rsidRPr="0074345C">
              <w:t>componentes</w:t>
            </w:r>
            <w:r w:rsidR="00DC4E5F" w:rsidRPr="0074345C">
              <w:t xml:space="preserve"> locales del sistema</w:t>
            </w:r>
            <w:r w:rsidR="00502F27" w:rsidRPr="0074345C">
              <w:t xml:space="preserve"> (</w:t>
            </w:r>
            <w:r w:rsidR="00DC4E5F" w:rsidRPr="0074345C">
              <w:t xml:space="preserve">que se pondrá en marcha en los </w:t>
            </w:r>
            <w:r w:rsidR="00502F27" w:rsidRPr="0074345C">
              <w:t xml:space="preserve"> </w:t>
            </w:r>
            <w:r w:rsidR="002164FF" w:rsidRPr="0074345C">
              <w:t>organismos de gestión colectiva</w:t>
            </w:r>
            <w:r w:rsidR="00DC4E5F" w:rsidRPr="0074345C">
              <w:t xml:space="preserve">) y para </w:t>
            </w:r>
            <w:r w:rsidR="00060026" w:rsidRPr="0074345C">
              <w:t>l</w:t>
            </w:r>
            <w:r w:rsidR="00DC4E5F" w:rsidRPr="0074345C">
              <w:t xml:space="preserve">os </w:t>
            </w:r>
            <w:r w:rsidR="004137F8" w:rsidRPr="0074345C">
              <w:t>componentes</w:t>
            </w:r>
            <w:r w:rsidR="00DC4E5F" w:rsidRPr="0074345C">
              <w:t xml:space="preserve"> </w:t>
            </w:r>
            <w:r w:rsidR="00EB3B9E" w:rsidRPr="0074345C">
              <w:t xml:space="preserve">compartidos </w:t>
            </w:r>
            <w:r w:rsidR="00DC4E5F" w:rsidRPr="0074345C">
              <w:t>del sistema</w:t>
            </w:r>
            <w:r w:rsidR="00502F27" w:rsidRPr="0074345C">
              <w:t xml:space="preserve"> (</w:t>
            </w:r>
            <w:r w:rsidR="00DC4E5F" w:rsidRPr="0074345C">
              <w:t xml:space="preserve">para </w:t>
            </w:r>
            <w:r w:rsidR="00EB3B9E" w:rsidRPr="0074345C">
              <w:t xml:space="preserve">conectar a los </w:t>
            </w:r>
            <w:r w:rsidR="002164FF" w:rsidRPr="0074345C">
              <w:t>organismos de gestión colectiva</w:t>
            </w:r>
            <w:r w:rsidR="00DC4E5F" w:rsidRPr="0074345C">
              <w:t xml:space="preserve"> </w:t>
            </w:r>
            <w:r w:rsidR="00EB3B9E" w:rsidRPr="0074345C">
              <w:t>con las re</w:t>
            </w:r>
            <w:r w:rsidR="00DC4E5F" w:rsidRPr="0074345C">
              <w:t xml:space="preserve">des </w:t>
            </w:r>
            <w:r w:rsidR="004137F8" w:rsidRPr="0074345C">
              <w:t>regionales</w:t>
            </w:r>
            <w:r w:rsidR="00DC4E5F" w:rsidRPr="0074345C">
              <w:t xml:space="preserve"> y </w:t>
            </w:r>
            <w:r w:rsidR="00EB3B9E" w:rsidRPr="0074345C">
              <w:t xml:space="preserve">con los </w:t>
            </w:r>
            <w:r w:rsidR="00DC4E5F" w:rsidRPr="0074345C">
              <w:t>sistemas internacionales de gestión de derechos).</w:t>
            </w:r>
          </w:p>
          <w:p w:rsidR="003260F8" w:rsidRPr="0074345C" w:rsidRDefault="003260F8" w:rsidP="00E00028"/>
          <w:p w:rsidR="003260F8" w:rsidRPr="0074345C" w:rsidRDefault="00DC4E5F" w:rsidP="00E00028">
            <w:r w:rsidRPr="0074345C">
              <w:t xml:space="preserve">Se ha contratado </w:t>
            </w:r>
            <w:r w:rsidR="004137F8" w:rsidRPr="0074345C">
              <w:t>asimismo</w:t>
            </w:r>
            <w:r w:rsidRPr="0074345C">
              <w:t xml:space="preserve"> </w:t>
            </w:r>
            <w:r w:rsidR="00EB3B9E" w:rsidRPr="0074345C">
              <w:t xml:space="preserve">a </w:t>
            </w:r>
            <w:r w:rsidRPr="0074345C">
              <w:t xml:space="preserve">un director de proyecto </w:t>
            </w:r>
            <w:r w:rsidR="004137F8" w:rsidRPr="0074345C">
              <w:t>técnico</w:t>
            </w:r>
            <w:r w:rsidRPr="0074345C">
              <w:t xml:space="preserve"> que se </w:t>
            </w:r>
            <w:r w:rsidR="004137F8" w:rsidRPr="0074345C">
              <w:t>encargará</w:t>
            </w:r>
            <w:r w:rsidRPr="0074345C">
              <w:t xml:space="preserve"> de dirigir </w:t>
            </w:r>
            <w:r w:rsidR="004137F8" w:rsidRPr="0074345C">
              <w:t>el</w:t>
            </w:r>
            <w:r w:rsidRPr="0074345C">
              <w:t xml:space="preserve"> proyecto en las fases de desarrollo y piloto</w:t>
            </w:r>
            <w:r w:rsidR="00502F27" w:rsidRPr="0074345C">
              <w:t>.</w:t>
            </w:r>
          </w:p>
          <w:p w:rsidR="003260F8" w:rsidRPr="0074345C" w:rsidRDefault="003260F8" w:rsidP="00E00028"/>
          <w:p w:rsidR="003260F8" w:rsidRPr="0074345C" w:rsidRDefault="00DC4E5F" w:rsidP="00E00028">
            <w:r w:rsidRPr="0074345C">
              <w:t xml:space="preserve">Estas actividades se </w:t>
            </w:r>
            <w:r w:rsidR="004137F8" w:rsidRPr="0074345C">
              <w:t>están</w:t>
            </w:r>
            <w:r w:rsidRPr="0074345C">
              <w:t xml:space="preserve"> realizando en el marco del </w:t>
            </w:r>
            <w:r w:rsidR="001357B4" w:rsidRPr="0074345C">
              <w:t xml:space="preserve">presupuesto por </w:t>
            </w:r>
            <w:r w:rsidR="00EB3B9E" w:rsidRPr="0074345C">
              <w:t>p</w:t>
            </w:r>
            <w:r w:rsidR="00AC0CD4" w:rsidRPr="0074345C">
              <w:t>rogramas</w:t>
            </w:r>
            <w:r w:rsidR="001357B4" w:rsidRPr="0074345C">
              <w:t xml:space="preserve"> aprobado </w:t>
            </w:r>
            <w:r w:rsidR="00EB3B9E" w:rsidRPr="0074345C">
              <w:t xml:space="preserve">para el </w:t>
            </w:r>
            <w:r w:rsidR="000F2B97" w:rsidRPr="0074345C">
              <w:t>p</w:t>
            </w:r>
            <w:r w:rsidR="009E13C2" w:rsidRPr="0074345C">
              <w:t xml:space="preserve">rograma </w:t>
            </w:r>
            <w:r w:rsidR="00502F27" w:rsidRPr="0074345C">
              <w:t>15.</w:t>
            </w:r>
          </w:p>
          <w:p w:rsidR="00502F27" w:rsidRPr="0074345C" w:rsidRDefault="00502F27" w:rsidP="00E00028"/>
        </w:tc>
      </w:tr>
      <w:tr w:rsidR="006376E7" w:rsidRPr="0074345C" w:rsidTr="00E00028">
        <w:trPr>
          <w:trHeight w:val="1212"/>
        </w:trPr>
        <w:tc>
          <w:tcPr>
            <w:tcW w:w="2376" w:type="dxa"/>
            <w:shd w:val="clear" w:color="auto" w:fill="auto"/>
          </w:tcPr>
          <w:p w:rsidR="00502F27" w:rsidRPr="0074345C" w:rsidRDefault="003260F8" w:rsidP="003260F8">
            <w:pPr>
              <w:pStyle w:val="Heading3"/>
            </w:pPr>
            <w:r w:rsidRPr="0074345C">
              <w:t>Ejemplos de logros y efectos y enseñanzas extraídas</w:t>
            </w:r>
          </w:p>
        </w:tc>
        <w:tc>
          <w:tcPr>
            <w:tcW w:w="6912" w:type="dxa"/>
          </w:tcPr>
          <w:p w:rsidR="003260F8" w:rsidRPr="0074345C" w:rsidRDefault="003260F8" w:rsidP="00E00028">
            <w:pPr>
              <w:rPr>
                <w:iCs/>
              </w:rPr>
            </w:pPr>
          </w:p>
          <w:p w:rsidR="003260F8" w:rsidRPr="0074345C" w:rsidRDefault="001357B4" w:rsidP="00E00028">
            <w:pPr>
              <w:rPr>
                <w:iCs/>
              </w:rPr>
            </w:pPr>
            <w:r w:rsidRPr="0074345C">
              <w:rPr>
                <w:iCs/>
              </w:rPr>
              <w:t xml:space="preserve">Es importante contar con </w:t>
            </w:r>
            <w:r w:rsidR="00EB3B9E" w:rsidRPr="0074345C">
              <w:rPr>
                <w:iCs/>
              </w:rPr>
              <w:t xml:space="preserve">la </w:t>
            </w:r>
            <w:r w:rsidR="004137F8" w:rsidRPr="0074345C">
              <w:rPr>
                <w:iCs/>
              </w:rPr>
              <w:t>aprobación</w:t>
            </w:r>
            <w:r w:rsidRPr="0074345C">
              <w:rPr>
                <w:iCs/>
              </w:rPr>
              <w:t xml:space="preserve"> de tod</w:t>
            </w:r>
            <w:r w:rsidR="00EB3B9E" w:rsidRPr="0074345C">
              <w:rPr>
                <w:iCs/>
              </w:rPr>
              <w:t>os los interesados</w:t>
            </w:r>
            <w:r w:rsidRPr="0074345C">
              <w:rPr>
                <w:iCs/>
              </w:rPr>
              <w:t xml:space="preserve">, incluidos los usuarios </w:t>
            </w:r>
            <w:r w:rsidR="004137F8" w:rsidRPr="0074345C">
              <w:rPr>
                <w:iCs/>
              </w:rPr>
              <w:t>empresariales</w:t>
            </w:r>
            <w:r w:rsidRPr="0074345C">
              <w:rPr>
                <w:iCs/>
              </w:rPr>
              <w:t xml:space="preserve"> y las asociaciones </w:t>
            </w:r>
            <w:r w:rsidR="004137F8" w:rsidRPr="0074345C">
              <w:rPr>
                <w:iCs/>
              </w:rPr>
              <w:t>profesionales</w:t>
            </w:r>
            <w:r w:rsidR="00502F27" w:rsidRPr="0074345C">
              <w:rPr>
                <w:iCs/>
              </w:rPr>
              <w:t xml:space="preserve">. </w:t>
            </w:r>
            <w:r w:rsidR="00A50874" w:rsidRPr="0074345C">
              <w:rPr>
                <w:iCs/>
              </w:rPr>
              <w:t xml:space="preserve">Este objetivo se </w:t>
            </w:r>
            <w:r w:rsidR="004137F8" w:rsidRPr="0074345C">
              <w:rPr>
                <w:iCs/>
              </w:rPr>
              <w:t>está</w:t>
            </w:r>
            <w:r w:rsidRPr="0074345C">
              <w:rPr>
                <w:iCs/>
              </w:rPr>
              <w:t xml:space="preserve"> logrando </w:t>
            </w:r>
            <w:r w:rsidR="00A50874" w:rsidRPr="0074345C">
              <w:rPr>
                <w:iCs/>
              </w:rPr>
              <w:t xml:space="preserve">gracias a </w:t>
            </w:r>
            <w:r w:rsidRPr="0074345C">
              <w:rPr>
                <w:iCs/>
              </w:rPr>
              <w:t xml:space="preserve">la </w:t>
            </w:r>
            <w:r w:rsidR="004137F8" w:rsidRPr="0074345C">
              <w:rPr>
                <w:iCs/>
              </w:rPr>
              <w:t>labor</w:t>
            </w:r>
            <w:r w:rsidRPr="0074345C">
              <w:rPr>
                <w:iCs/>
              </w:rPr>
              <w:t xml:space="preserve"> del Grupo de expertos </w:t>
            </w:r>
            <w:r w:rsidR="00A50874" w:rsidRPr="0074345C">
              <w:rPr>
                <w:iCs/>
              </w:rPr>
              <w:t>operativos</w:t>
            </w:r>
            <w:r w:rsidRPr="0074345C">
              <w:rPr>
                <w:iCs/>
              </w:rPr>
              <w:t xml:space="preserve"> (mencionado antes) </w:t>
            </w:r>
            <w:r w:rsidR="00A50874" w:rsidRPr="0074345C">
              <w:rPr>
                <w:iCs/>
              </w:rPr>
              <w:t xml:space="preserve">y mediante alianzas tentativas </w:t>
            </w:r>
            <w:r w:rsidRPr="0074345C">
              <w:rPr>
                <w:iCs/>
              </w:rPr>
              <w:t xml:space="preserve">con asociaciones </w:t>
            </w:r>
            <w:r w:rsidR="004137F8" w:rsidRPr="0074345C">
              <w:rPr>
                <w:iCs/>
              </w:rPr>
              <w:t>profesionales</w:t>
            </w:r>
            <w:r w:rsidR="00502F27" w:rsidRPr="0074345C">
              <w:rPr>
                <w:iCs/>
              </w:rPr>
              <w:t>.</w:t>
            </w:r>
          </w:p>
          <w:p w:rsidR="00502F27" w:rsidRPr="0074345C" w:rsidRDefault="00502F27" w:rsidP="00E00028">
            <w:pPr>
              <w:rPr>
                <w:iCs/>
              </w:rPr>
            </w:pPr>
          </w:p>
        </w:tc>
      </w:tr>
      <w:tr w:rsidR="006376E7" w:rsidRPr="0074345C" w:rsidTr="00E00028">
        <w:trPr>
          <w:trHeight w:val="713"/>
        </w:trPr>
        <w:tc>
          <w:tcPr>
            <w:tcW w:w="2376" w:type="dxa"/>
            <w:shd w:val="clear" w:color="auto" w:fill="auto"/>
          </w:tcPr>
          <w:p w:rsidR="00502F27" w:rsidRPr="0074345C" w:rsidRDefault="003260F8" w:rsidP="003260F8">
            <w:pPr>
              <w:pStyle w:val="Heading3"/>
            </w:pPr>
            <w:r w:rsidRPr="0074345C">
              <w:lastRenderedPageBreak/>
              <w:t>Riesgos y medidas paliativas</w:t>
            </w:r>
          </w:p>
        </w:tc>
        <w:tc>
          <w:tcPr>
            <w:tcW w:w="6912" w:type="dxa"/>
          </w:tcPr>
          <w:p w:rsidR="003260F8" w:rsidRPr="0074345C" w:rsidRDefault="003260F8" w:rsidP="00E00028">
            <w:pPr>
              <w:rPr>
                <w:iCs/>
              </w:rPr>
            </w:pPr>
          </w:p>
          <w:p w:rsidR="003260F8" w:rsidRPr="0074345C" w:rsidRDefault="003260F8" w:rsidP="003260F8">
            <w:pPr>
              <w:rPr>
                <w:iCs/>
              </w:rPr>
            </w:pPr>
            <w:r w:rsidRPr="0074345C">
              <w:rPr>
                <w:iCs/>
              </w:rPr>
              <w:t>El principal riesgo, reconocido en anteriores informes de proyecto, es la interconexión de los sistemas nacionales en la WAN y la gestión de los datos y la conexión con los sistemas internacionales, en particular los de la CISAC y el SCAPR.</w:t>
            </w:r>
          </w:p>
          <w:p w:rsidR="003260F8" w:rsidRPr="0074345C" w:rsidRDefault="003260F8" w:rsidP="00E00028">
            <w:pPr>
              <w:rPr>
                <w:iCs/>
              </w:rPr>
            </w:pPr>
          </w:p>
          <w:p w:rsidR="003260F8" w:rsidRPr="0074345C" w:rsidRDefault="00A50874" w:rsidP="00E00028">
            <w:pPr>
              <w:rPr>
                <w:iCs/>
              </w:rPr>
            </w:pPr>
            <w:r w:rsidRPr="0074345C">
              <w:rPr>
                <w:iCs/>
              </w:rPr>
              <w:t>Para palia</w:t>
            </w:r>
            <w:r w:rsidR="000F2B97" w:rsidRPr="0074345C">
              <w:rPr>
                <w:iCs/>
              </w:rPr>
              <w:t>r</w:t>
            </w:r>
            <w:r w:rsidRPr="0074345C">
              <w:rPr>
                <w:iCs/>
              </w:rPr>
              <w:t xml:space="preserve"> ese</w:t>
            </w:r>
            <w:r w:rsidR="009E13C2" w:rsidRPr="0074345C">
              <w:rPr>
                <w:iCs/>
              </w:rPr>
              <w:t xml:space="preserve"> riesgo, </w:t>
            </w:r>
            <w:r w:rsidR="000F2B97" w:rsidRPr="0074345C">
              <w:rPr>
                <w:iCs/>
              </w:rPr>
              <w:t xml:space="preserve">se ha optado, en el marco de este </w:t>
            </w:r>
            <w:r w:rsidR="00193CE1" w:rsidRPr="0074345C">
              <w:rPr>
                <w:iCs/>
              </w:rPr>
              <w:t>proyecto</w:t>
            </w:r>
            <w:r w:rsidR="000F2B97" w:rsidRPr="0074345C">
              <w:rPr>
                <w:iCs/>
              </w:rPr>
              <w:t xml:space="preserve">, </w:t>
            </w:r>
            <w:r w:rsidR="009E13C2" w:rsidRPr="0074345C">
              <w:rPr>
                <w:iCs/>
              </w:rPr>
              <w:t xml:space="preserve">por buscar alianzas con </w:t>
            </w:r>
            <w:r w:rsidR="000F2B97" w:rsidRPr="0074345C">
              <w:rPr>
                <w:iCs/>
              </w:rPr>
              <w:t xml:space="preserve">empresas </w:t>
            </w:r>
            <w:r w:rsidR="009E13C2" w:rsidRPr="0074345C">
              <w:rPr>
                <w:iCs/>
              </w:rPr>
              <w:t>pert</w:t>
            </w:r>
            <w:r w:rsidR="000F2B97" w:rsidRPr="0074345C">
              <w:rPr>
                <w:iCs/>
              </w:rPr>
              <w:t xml:space="preserve">inentes del sector privado, </w:t>
            </w:r>
            <w:r w:rsidR="009E13C2" w:rsidRPr="0074345C">
              <w:rPr>
                <w:iCs/>
              </w:rPr>
              <w:t xml:space="preserve">organizaciones </w:t>
            </w:r>
            <w:r w:rsidR="000F2B97" w:rsidRPr="0074345C">
              <w:rPr>
                <w:iCs/>
              </w:rPr>
              <w:t>sin afán de lucro</w:t>
            </w:r>
            <w:r w:rsidR="009E13C2" w:rsidRPr="0074345C">
              <w:rPr>
                <w:iCs/>
              </w:rPr>
              <w:t xml:space="preserve"> y asociaciones que </w:t>
            </w:r>
            <w:r w:rsidR="000F2B97" w:rsidRPr="0074345C">
              <w:rPr>
                <w:iCs/>
              </w:rPr>
              <w:t>cuenten con lo</w:t>
            </w:r>
            <w:r w:rsidR="009E13C2" w:rsidRPr="0074345C">
              <w:rPr>
                <w:iCs/>
              </w:rPr>
              <w:t>s conocimientos especializados necesarios.</w:t>
            </w:r>
          </w:p>
          <w:p w:rsidR="00502F27" w:rsidRPr="0074345C" w:rsidRDefault="00502F27" w:rsidP="00E00028">
            <w:pPr>
              <w:rPr>
                <w:iCs/>
              </w:rPr>
            </w:pPr>
          </w:p>
        </w:tc>
      </w:tr>
      <w:tr w:rsidR="006376E7" w:rsidRPr="0074345C" w:rsidTr="00E00028">
        <w:trPr>
          <w:trHeight w:val="901"/>
        </w:trPr>
        <w:tc>
          <w:tcPr>
            <w:tcW w:w="2376" w:type="dxa"/>
            <w:shd w:val="clear" w:color="auto" w:fill="auto"/>
          </w:tcPr>
          <w:p w:rsidR="00502F27" w:rsidRPr="0074345C" w:rsidRDefault="003260F8" w:rsidP="003260F8">
            <w:pPr>
              <w:pStyle w:val="Heading3"/>
            </w:pPr>
            <w:r w:rsidRPr="0074345C">
              <w:t>Cuestiones que requieren atención inmediata</w:t>
            </w:r>
          </w:p>
        </w:tc>
        <w:tc>
          <w:tcPr>
            <w:tcW w:w="6912" w:type="dxa"/>
          </w:tcPr>
          <w:p w:rsidR="003260F8" w:rsidRPr="0074345C" w:rsidRDefault="003260F8" w:rsidP="00E00028">
            <w:pPr>
              <w:ind w:left="360"/>
              <w:rPr>
                <w:iCs/>
              </w:rPr>
            </w:pPr>
          </w:p>
          <w:p w:rsidR="003260F8" w:rsidRPr="0074345C" w:rsidRDefault="003260F8" w:rsidP="003260F8">
            <w:pPr>
              <w:rPr>
                <w:iCs/>
              </w:rPr>
            </w:pPr>
            <w:r w:rsidRPr="0074345C">
              <w:rPr>
                <w:iCs/>
              </w:rPr>
              <w:t>No disponible.</w:t>
            </w:r>
          </w:p>
          <w:p w:rsidR="00502F27" w:rsidRPr="0074345C" w:rsidRDefault="00502F27" w:rsidP="00E00028">
            <w:pPr>
              <w:ind w:left="360"/>
              <w:rPr>
                <w:iCs/>
              </w:rPr>
            </w:pPr>
          </w:p>
        </w:tc>
      </w:tr>
      <w:tr w:rsidR="006376E7" w:rsidRPr="0074345C" w:rsidTr="00E00028">
        <w:trPr>
          <w:trHeight w:val="1081"/>
        </w:trPr>
        <w:tc>
          <w:tcPr>
            <w:tcW w:w="2376" w:type="dxa"/>
            <w:shd w:val="clear" w:color="auto" w:fill="auto"/>
          </w:tcPr>
          <w:p w:rsidR="00502F27" w:rsidRPr="0074345C" w:rsidRDefault="003260F8" w:rsidP="003260F8">
            <w:pPr>
              <w:pStyle w:val="Heading3"/>
            </w:pPr>
            <w:r w:rsidRPr="0074345C">
              <w:t>Siguientes pasos</w:t>
            </w:r>
          </w:p>
        </w:tc>
        <w:tc>
          <w:tcPr>
            <w:tcW w:w="6912" w:type="dxa"/>
          </w:tcPr>
          <w:p w:rsidR="003260F8" w:rsidRPr="0074345C" w:rsidRDefault="003260F8" w:rsidP="00E00028">
            <w:pPr>
              <w:rPr>
                <w:iCs/>
              </w:rPr>
            </w:pPr>
          </w:p>
          <w:p w:rsidR="003260F8" w:rsidRPr="0074345C" w:rsidRDefault="009E13C2" w:rsidP="00E00028">
            <w:pPr>
              <w:rPr>
                <w:iCs/>
              </w:rPr>
            </w:pPr>
            <w:r w:rsidRPr="0074345C">
              <w:rPr>
                <w:iCs/>
              </w:rPr>
              <w:t xml:space="preserve">Tras la </w:t>
            </w:r>
            <w:r w:rsidR="004137F8" w:rsidRPr="0074345C">
              <w:rPr>
                <w:iCs/>
              </w:rPr>
              <w:t>adjudicación</w:t>
            </w:r>
            <w:r w:rsidRPr="0074345C">
              <w:rPr>
                <w:iCs/>
              </w:rPr>
              <w:t xml:space="preserve"> del contrato al asociado </w:t>
            </w:r>
            <w:r w:rsidR="004137F8" w:rsidRPr="0074345C">
              <w:rPr>
                <w:iCs/>
              </w:rPr>
              <w:t>más</w:t>
            </w:r>
            <w:r w:rsidRPr="0074345C">
              <w:rPr>
                <w:iCs/>
              </w:rPr>
              <w:t xml:space="preserve"> </w:t>
            </w:r>
            <w:r w:rsidR="004137F8" w:rsidRPr="0074345C">
              <w:rPr>
                <w:iCs/>
              </w:rPr>
              <w:t>idóneo</w:t>
            </w:r>
            <w:r w:rsidRPr="0074345C">
              <w:rPr>
                <w:iCs/>
              </w:rPr>
              <w:t xml:space="preserve"> para el desa</w:t>
            </w:r>
            <w:r w:rsidR="00000502" w:rsidRPr="0074345C">
              <w:rPr>
                <w:iCs/>
              </w:rPr>
              <w:t xml:space="preserve">rrollo del </w:t>
            </w:r>
            <w:r w:rsidRPr="0074345C">
              <w:rPr>
                <w:iCs/>
              </w:rPr>
              <w:t>sistema</w:t>
            </w:r>
            <w:r w:rsidR="00502F27" w:rsidRPr="0074345C">
              <w:rPr>
                <w:iCs/>
              </w:rPr>
              <w:t xml:space="preserve">, </w:t>
            </w:r>
            <w:r w:rsidR="00000502" w:rsidRPr="0074345C">
              <w:rPr>
                <w:iCs/>
              </w:rPr>
              <w:t xml:space="preserve">se finalizará la fase de prueba preliminar </w:t>
            </w:r>
            <w:r w:rsidRPr="0074345C">
              <w:rPr>
                <w:iCs/>
              </w:rPr>
              <w:t>a principios de</w:t>
            </w:r>
            <w:r w:rsidR="00502F27" w:rsidRPr="0074345C">
              <w:rPr>
                <w:iCs/>
              </w:rPr>
              <w:t xml:space="preserve"> 2015.  </w:t>
            </w:r>
            <w:r w:rsidR="00000502" w:rsidRPr="0074345C">
              <w:rPr>
                <w:iCs/>
              </w:rPr>
              <w:t xml:space="preserve">Esta fase </w:t>
            </w:r>
            <w:r w:rsidR="004137F8" w:rsidRPr="0074345C">
              <w:rPr>
                <w:iCs/>
              </w:rPr>
              <w:t>será</w:t>
            </w:r>
            <w:r w:rsidR="00000502" w:rsidRPr="0074345C">
              <w:rPr>
                <w:iCs/>
              </w:rPr>
              <w:t xml:space="preserve"> seguida</w:t>
            </w:r>
            <w:r w:rsidR="000F2B97" w:rsidRPr="0074345C">
              <w:rPr>
                <w:iCs/>
              </w:rPr>
              <w:t>,</w:t>
            </w:r>
            <w:r w:rsidR="00000502" w:rsidRPr="0074345C">
              <w:rPr>
                <w:iCs/>
              </w:rPr>
              <w:t xml:space="preserve"> </w:t>
            </w:r>
            <w:r w:rsidRPr="0074345C">
              <w:rPr>
                <w:iCs/>
              </w:rPr>
              <w:t>al final de</w:t>
            </w:r>
            <w:r w:rsidR="00502F27" w:rsidRPr="0074345C">
              <w:rPr>
                <w:iCs/>
              </w:rPr>
              <w:t xml:space="preserve"> 2015</w:t>
            </w:r>
            <w:r w:rsidR="000F2B97" w:rsidRPr="0074345C">
              <w:rPr>
                <w:iCs/>
              </w:rPr>
              <w:t>,</w:t>
            </w:r>
            <w:r w:rsidR="00502F27" w:rsidRPr="0074345C">
              <w:rPr>
                <w:iCs/>
              </w:rPr>
              <w:t xml:space="preserve"> </w:t>
            </w:r>
            <w:r w:rsidR="00000502" w:rsidRPr="0074345C">
              <w:rPr>
                <w:iCs/>
              </w:rPr>
              <w:t xml:space="preserve">de una </w:t>
            </w:r>
            <w:r w:rsidR="000F2B97" w:rsidRPr="0074345C">
              <w:rPr>
                <w:iCs/>
              </w:rPr>
              <w:t xml:space="preserve">versión </w:t>
            </w:r>
            <w:r w:rsidR="00000502" w:rsidRPr="0074345C">
              <w:rPr>
                <w:iCs/>
              </w:rPr>
              <w:t xml:space="preserve">piloto del </w:t>
            </w:r>
            <w:r w:rsidRPr="0074345C">
              <w:rPr>
                <w:iCs/>
              </w:rPr>
              <w:t>sistema</w:t>
            </w:r>
            <w:r w:rsidR="00502F27" w:rsidRPr="0074345C">
              <w:rPr>
                <w:iCs/>
              </w:rPr>
              <w:t xml:space="preserve"> </w:t>
            </w:r>
            <w:r w:rsidR="00000502" w:rsidRPr="0074345C">
              <w:rPr>
                <w:iCs/>
              </w:rPr>
              <w:t xml:space="preserve">para su implantación en un </w:t>
            </w:r>
            <w:r w:rsidR="004137F8" w:rsidRPr="0074345C">
              <w:rPr>
                <w:iCs/>
              </w:rPr>
              <w:t>número</w:t>
            </w:r>
            <w:r w:rsidR="00000502" w:rsidRPr="0074345C">
              <w:rPr>
                <w:iCs/>
              </w:rPr>
              <w:t xml:space="preserve"> </w:t>
            </w:r>
            <w:r w:rsidR="000F2B97" w:rsidRPr="0074345C">
              <w:rPr>
                <w:iCs/>
              </w:rPr>
              <w:t>selecto</w:t>
            </w:r>
            <w:r w:rsidR="00000502" w:rsidRPr="0074345C">
              <w:rPr>
                <w:iCs/>
              </w:rPr>
              <w:t xml:space="preserve"> de o</w:t>
            </w:r>
            <w:r w:rsidR="002164FF" w:rsidRPr="0074345C">
              <w:t>rganismos de gestión colectiva</w:t>
            </w:r>
            <w:r w:rsidR="00502F27" w:rsidRPr="0074345C">
              <w:rPr>
                <w:iCs/>
              </w:rPr>
              <w:t>.</w:t>
            </w:r>
          </w:p>
          <w:p w:rsidR="003260F8" w:rsidRPr="0074345C" w:rsidRDefault="003260F8" w:rsidP="00E00028">
            <w:pPr>
              <w:rPr>
                <w:iCs/>
              </w:rPr>
            </w:pPr>
          </w:p>
          <w:p w:rsidR="003260F8" w:rsidRPr="0074345C" w:rsidRDefault="00000502" w:rsidP="00E00028">
            <w:pPr>
              <w:rPr>
                <w:iCs/>
              </w:rPr>
            </w:pPr>
            <w:r w:rsidRPr="0074345C">
              <w:rPr>
                <w:iCs/>
              </w:rPr>
              <w:t xml:space="preserve">Se formuló una propuesta </w:t>
            </w:r>
            <w:r w:rsidR="0036706E" w:rsidRPr="0074345C">
              <w:rPr>
                <w:iCs/>
              </w:rPr>
              <w:t xml:space="preserve">al Comité del Programa y Presupuesto </w:t>
            </w:r>
            <w:r w:rsidR="000F2B97" w:rsidRPr="0074345C">
              <w:rPr>
                <w:iCs/>
              </w:rPr>
              <w:t xml:space="preserve">de crear, </w:t>
            </w:r>
            <w:r w:rsidR="0036706E" w:rsidRPr="0074345C">
              <w:rPr>
                <w:iCs/>
              </w:rPr>
              <w:t xml:space="preserve">como parte de </w:t>
            </w:r>
            <w:r w:rsidR="009F6A9D" w:rsidRPr="0074345C">
              <w:rPr>
                <w:iCs/>
              </w:rPr>
              <w:t xml:space="preserve">las estrategias de </w:t>
            </w:r>
            <w:r w:rsidR="004137F8" w:rsidRPr="0074345C">
              <w:rPr>
                <w:iCs/>
              </w:rPr>
              <w:t>ejecución</w:t>
            </w:r>
            <w:r w:rsidR="009F6A9D" w:rsidRPr="0074345C">
              <w:rPr>
                <w:iCs/>
              </w:rPr>
              <w:t xml:space="preserve"> del programa </w:t>
            </w:r>
            <w:r w:rsidR="00502F27" w:rsidRPr="0074345C">
              <w:rPr>
                <w:iCs/>
              </w:rPr>
              <w:t>15</w:t>
            </w:r>
            <w:r w:rsidR="000F2B97" w:rsidRPr="0074345C">
              <w:rPr>
                <w:iCs/>
              </w:rPr>
              <w:t xml:space="preserve">, </w:t>
            </w:r>
            <w:r w:rsidR="009F6A9D" w:rsidRPr="0074345C">
              <w:rPr>
                <w:iCs/>
              </w:rPr>
              <w:t>una plataforma informática regional e internacional destinada a apoyar a los o</w:t>
            </w:r>
            <w:r w:rsidR="009F6A9D" w:rsidRPr="0074345C">
              <w:t>rganismos de gestión colectiva</w:t>
            </w:r>
            <w:r w:rsidR="00502F27" w:rsidRPr="0074345C">
              <w:rPr>
                <w:iCs/>
              </w:rPr>
              <w:t xml:space="preserve">, </w:t>
            </w:r>
            <w:r w:rsidR="009F6A9D" w:rsidRPr="0074345C">
              <w:rPr>
                <w:iCs/>
              </w:rPr>
              <w:t>que fue aprobada para el presupuesto por programas del bienio 2014/15</w:t>
            </w:r>
            <w:r w:rsidR="00502F27" w:rsidRPr="0074345C">
              <w:rPr>
                <w:iCs/>
              </w:rPr>
              <w:t xml:space="preserve">.  </w:t>
            </w:r>
            <w:r w:rsidR="000F2B97" w:rsidRPr="0074345C">
              <w:rPr>
                <w:iCs/>
              </w:rPr>
              <w:t>Por</w:t>
            </w:r>
            <w:r w:rsidR="009F6A9D" w:rsidRPr="0074345C">
              <w:rPr>
                <w:iCs/>
              </w:rPr>
              <w:t xml:space="preserve"> consiguiente, las a</w:t>
            </w:r>
            <w:r w:rsidR="009E13C2" w:rsidRPr="0074345C">
              <w:rPr>
                <w:iCs/>
              </w:rPr>
              <w:t xml:space="preserve">ctividades </w:t>
            </w:r>
            <w:r w:rsidR="009F6A9D" w:rsidRPr="0074345C">
              <w:rPr>
                <w:iCs/>
              </w:rPr>
              <w:t>relati</w:t>
            </w:r>
            <w:r w:rsidR="004137F8" w:rsidRPr="0074345C">
              <w:rPr>
                <w:iCs/>
              </w:rPr>
              <w:t>va</w:t>
            </w:r>
            <w:r w:rsidR="009F6A9D" w:rsidRPr="0074345C">
              <w:rPr>
                <w:iCs/>
              </w:rPr>
              <w:t>s al p</w:t>
            </w:r>
            <w:r w:rsidR="009E13C2" w:rsidRPr="0074345C">
              <w:rPr>
                <w:iCs/>
              </w:rPr>
              <w:t xml:space="preserve">royecto </w:t>
            </w:r>
            <w:r w:rsidR="00502F27" w:rsidRPr="0074345C">
              <w:rPr>
                <w:iCs/>
              </w:rPr>
              <w:t xml:space="preserve">DA_10_24 </w:t>
            </w:r>
            <w:r w:rsidR="009F6A9D" w:rsidRPr="0074345C">
              <w:rPr>
                <w:iCs/>
              </w:rPr>
              <w:t xml:space="preserve">se han incorporado </w:t>
            </w:r>
            <w:r w:rsidR="004137F8" w:rsidRPr="0074345C">
              <w:rPr>
                <w:iCs/>
              </w:rPr>
              <w:t>plenamente</w:t>
            </w:r>
            <w:r w:rsidR="00F31194" w:rsidRPr="0074345C">
              <w:rPr>
                <w:iCs/>
              </w:rPr>
              <w:t xml:space="preserve"> en el presupuesto ordinario del </w:t>
            </w:r>
            <w:r w:rsidR="000F2B97" w:rsidRPr="0074345C">
              <w:rPr>
                <w:iCs/>
              </w:rPr>
              <w:t>p</w:t>
            </w:r>
            <w:r w:rsidR="009E13C2" w:rsidRPr="0074345C">
              <w:rPr>
                <w:iCs/>
              </w:rPr>
              <w:t xml:space="preserve">rograma </w:t>
            </w:r>
            <w:r w:rsidR="00502F27" w:rsidRPr="0074345C">
              <w:rPr>
                <w:iCs/>
              </w:rPr>
              <w:t xml:space="preserve"> </w:t>
            </w:r>
            <w:r w:rsidR="00F31194" w:rsidRPr="0074345C">
              <w:rPr>
                <w:iCs/>
              </w:rPr>
              <w:t>1</w:t>
            </w:r>
            <w:r w:rsidR="00502F27" w:rsidRPr="0074345C">
              <w:rPr>
                <w:iCs/>
              </w:rPr>
              <w:t xml:space="preserve">5. </w:t>
            </w:r>
            <w:r w:rsidR="00F31194" w:rsidRPr="0074345C">
              <w:rPr>
                <w:iCs/>
              </w:rPr>
              <w:t>Se ha</w:t>
            </w:r>
            <w:r w:rsidR="000F2B97" w:rsidRPr="0074345C">
              <w:rPr>
                <w:iCs/>
              </w:rPr>
              <w:t>n</w:t>
            </w:r>
            <w:r w:rsidR="00F31194" w:rsidRPr="0074345C">
              <w:rPr>
                <w:iCs/>
              </w:rPr>
              <w:t xml:space="preserve"> asignado </w:t>
            </w:r>
            <w:r w:rsidR="004137F8" w:rsidRPr="0074345C">
              <w:rPr>
                <w:iCs/>
              </w:rPr>
              <w:t>f</w:t>
            </w:r>
            <w:r w:rsidR="000F2B97" w:rsidRPr="0074345C">
              <w:rPr>
                <w:iCs/>
              </w:rPr>
              <w:t>ondos</w:t>
            </w:r>
            <w:r w:rsidR="00F31194" w:rsidRPr="0074345C">
              <w:rPr>
                <w:iCs/>
              </w:rPr>
              <w:t xml:space="preserve"> </w:t>
            </w:r>
            <w:r w:rsidR="000F2B97" w:rsidRPr="0074345C">
              <w:rPr>
                <w:iCs/>
              </w:rPr>
              <w:t>suficientes</w:t>
            </w:r>
            <w:r w:rsidR="00F31194" w:rsidRPr="0074345C">
              <w:rPr>
                <w:iCs/>
              </w:rPr>
              <w:t xml:space="preserve"> para el desarrollo del s</w:t>
            </w:r>
            <w:r w:rsidR="009E13C2" w:rsidRPr="0074345C">
              <w:rPr>
                <w:iCs/>
              </w:rPr>
              <w:t>istema</w:t>
            </w:r>
            <w:r w:rsidR="00502F27" w:rsidRPr="0074345C">
              <w:rPr>
                <w:iCs/>
              </w:rPr>
              <w:t xml:space="preserve"> </w:t>
            </w:r>
            <w:r w:rsidR="00F31194" w:rsidRPr="0074345C">
              <w:rPr>
                <w:iCs/>
              </w:rPr>
              <w:t xml:space="preserve">piloto y se formulará una propuesta para que </w:t>
            </w:r>
            <w:r w:rsidR="000F2B97" w:rsidRPr="0074345C">
              <w:rPr>
                <w:iCs/>
              </w:rPr>
              <w:t xml:space="preserve">se siga implantando y reforzando el sistema </w:t>
            </w:r>
            <w:r w:rsidR="00F31194" w:rsidRPr="0074345C">
              <w:rPr>
                <w:iCs/>
              </w:rPr>
              <w:t xml:space="preserve">en el bienio </w:t>
            </w:r>
            <w:r w:rsidR="00502F27" w:rsidRPr="0074345C">
              <w:rPr>
                <w:iCs/>
              </w:rPr>
              <w:t xml:space="preserve">2016/2017.  </w:t>
            </w:r>
          </w:p>
          <w:p w:rsidR="003260F8" w:rsidRPr="0074345C" w:rsidRDefault="003260F8" w:rsidP="00E00028">
            <w:pPr>
              <w:rPr>
                <w:iCs/>
              </w:rPr>
            </w:pPr>
          </w:p>
          <w:p w:rsidR="003260F8" w:rsidRPr="0074345C" w:rsidRDefault="00F31194" w:rsidP="00E00028">
            <w:pPr>
              <w:rPr>
                <w:iCs/>
              </w:rPr>
            </w:pPr>
            <w:r w:rsidRPr="0074345C">
              <w:rPr>
                <w:iCs/>
              </w:rPr>
              <w:t xml:space="preserve">Dado que las </w:t>
            </w:r>
            <w:r w:rsidR="009E13C2" w:rsidRPr="0074345C">
              <w:rPr>
                <w:iCs/>
              </w:rPr>
              <w:t>actividades</w:t>
            </w:r>
            <w:r w:rsidRPr="0074345C">
              <w:rPr>
                <w:iCs/>
              </w:rPr>
              <w:t xml:space="preserve"> y los </w:t>
            </w:r>
            <w:r w:rsidR="004137F8" w:rsidRPr="0074345C">
              <w:rPr>
                <w:iCs/>
              </w:rPr>
              <w:t>resultados</w:t>
            </w:r>
            <w:r w:rsidRPr="0074345C">
              <w:rPr>
                <w:iCs/>
              </w:rPr>
              <w:t xml:space="preserve"> previstos para el </w:t>
            </w:r>
            <w:r w:rsidR="004137F8" w:rsidRPr="0074345C">
              <w:rPr>
                <w:iCs/>
              </w:rPr>
              <w:t>componente</w:t>
            </w:r>
            <w:r w:rsidRPr="0074345C">
              <w:rPr>
                <w:iCs/>
              </w:rPr>
              <w:t xml:space="preserve"> del </w:t>
            </w:r>
            <w:r w:rsidR="009E13C2" w:rsidRPr="0074345C">
              <w:rPr>
                <w:iCs/>
              </w:rPr>
              <w:t>proyecto</w:t>
            </w:r>
            <w:r w:rsidRPr="0074345C">
              <w:rPr>
                <w:iCs/>
              </w:rPr>
              <w:t xml:space="preserve"> </w:t>
            </w:r>
            <w:r w:rsidR="004137F8" w:rsidRPr="0074345C">
              <w:rPr>
                <w:iCs/>
              </w:rPr>
              <w:t>relativo</w:t>
            </w:r>
            <w:r w:rsidRPr="0074345C">
              <w:rPr>
                <w:iCs/>
              </w:rPr>
              <w:t xml:space="preserve"> a los o</w:t>
            </w:r>
            <w:r w:rsidRPr="0074345C">
              <w:t xml:space="preserve">rganismos de gestión colectiva son ahora parte integral del programa de trabajo del </w:t>
            </w:r>
            <w:r w:rsidR="00502F27" w:rsidRPr="0074345C">
              <w:rPr>
                <w:iCs/>
              </w:rPr>
              <w:t xml:space="preserve"> </w:t>
            </w:r>
            <w:r w:rsidR="000F2B97" w:rsidRPr="0074345C">
              <w:rPr>
                <w:iCs/>
              </w:rPr>
              <w:t>p</w:t>
            </w:r>
            <w:r w:rsidR="009E13C2" w:rsidRPr="0074345C">
              <w:rPr>
                <w:iCs/>
              </w:rPr>
              <w:t xml:space="preserve">rograma </w:t>
            </w:r>
            <w:r w:rsidR="00502F27" w:rsidRPr="0074345C">
              <w:rPr>
                <w:iCs/>
              </w:rPr>
              <w:t>15</w:t>
            </w:r>
            <w:r w:rsidRPr="0074345C">
              <w:rPr>
                <w:iCs/>
              </w:rPr>
              <w:t xml:space="preserve"> y que han asignado fondos suficientes del presupuesto ordinario para su ejecución, se propone que el proyecto de la Agenda para el Desarrollo</w:t>
            </w:r>
            <w:r w:rsidR="009E13C2" w:rsidRPr="0074345C">
              <w:rPr>
                <w:iCs/>
              </w:rPr>
              <w:t xml:space="preserve"> </w:t>
            </w:r>
            <w:r w:rsidR="00502F27" w:rsidRPr="0074345C">
              <w:rPr>
                <w:iCs/>
              </w:rPr>
              <w:t xml:space="preserve"> DA_10_24 </w:t>
            </w:r>
            <w:r w:rsidRPr="0074345C">
              <w:rPr>
                <w:iCs/>
              </w:rPr>
              <w:t xml:space="preserve">se cierre </w:t>
            </w:r>
            <w:r w:rsidR="004137F8" w:rsidRPr="0074345C">
              <w:rPr>
                <w:iCs/>
              </w:rPr>
              <w:t>oficialmente</w:t>
            </w:r>
            <w:r w:rsidR="00502F27" w:rsidRPr="0074345C">
              <w:rPr>
                <w:iCs/>
              </w:rPr>
              <w:t xml:space="preserve">.  </w:t>
            </w:r>
            <w:r w:rsidRPr="0074345C">
              <w:rPr>
                <w:iCs/>
              </w:rPr>
              <w:t xml:space="preserve">Se mantendrá informado al </w:t>
            </w:r>
            <w:r w:rsidR="009E13C2" w:rsidRPr="0074345C">
              <w:rPr>
                <w:iCs/>
              </w:rPr>
              <w:t>CDIP</w:t>
            </w:r>
            <w:r w:rsidRPr="0074345C">
              <w:rPr>
                <w:iCs/>
              </w:rPr>
              <w:t xml:space="preserve"> de los </w:t>
            </w:r>
            <w:r w:rsidR="004137F8" w:rsidRPr="0074345C">
              <w:rPr>
                <w:iCs/>
              </w:rPr>
              <w:t>avances</w:t>
            </w:r>
            <w:r w:rsidRPr="0074345C">
              <w:rPr>
                <w:iCs/>
              </w:rPr>
              <w:t xml:space="preserve"> </w:t>
            </w:r>
            <w:r w:rsidR="004137F8" w:rsidRPr="0074345C">
              <w:rPr>
                <w:iCs/>
              </w:rPr>
              <w:t>relacionados</w:t>
            </w:r>
            <w:r w:rsidRPr="0074345C">
              <w:rPr>
                <w:iCs/>
              </w:rPr>
              <w:t xml:space="preserve"> con este componente en caso necesario</w:t>
            </w:r>
            <w:r w:rsidR="00502F27" w:rsidRPr="0074345C">
              <w:rPr>
                <w:iCs/>
              </w:rPr>
              <w:t>.</w:t>
            </w:r>
          </w:p>
          <w:p w:rsidR="003260F8" w:rsidRPr="0074345C" w:rsidRDefault="003260F8" w:rsidP="00E00028">
            <w:pPr>
              <w:rPr>
                <w:iCs/>
              </w:rPr>
            </w:pPr>
          </w:p>
          <w:p w:rsidR="00502F27" w:rsidRPr="0074345C" w:rsidRDefault="00502F27" w:rsidP="00E00028">
            <w:pPr>
              <w:rPr>
                <w:iCs/>
              </w:rPr>
            </w:pPr>
          </w:p>
        </w:tc>
      </w:tr>
      <w:tr w:rsidR="006376E7" w:rsidRPr="0074345C" w:rsidTr="00E00028">
        <w:trPr>
          <w:trHeight w:val="1407"/>
        </w:trPr>
        <w:tc>
          <w:tcPr>
            <w:tcW w:w="2376" w:type="dxa"/>
            <w:shd w:val="clear" w:color="auto" w:fill="auto"/>
          </w:tcPr>
          <w:p w:rsidR="00502F27" w:rsidRPr="0074345C" w:rsidRDefault="003260F8" w:rsidP="003260F8">
            <w:pPr>
              <w:pStyle w:val="Heading3"/>
            </w:pPr>
            <w:r w:rsidRPr="0074345C">
              <w:t>Calendario de ejecución</w:t>
            </w:r>
          </w:p>
        </w:tc>
        <w:tc>
          <w:tcPr>
            <w:tcW w:w="6912" w:type="dxa"/>
          </w:tcPr>
          <w:p w:rsidR="003260F8" w:rsidRPr="0074345C" w:rsidRDefault="003260F8" w:rsidP="00E00028">
            <w:pPr>
              <w:rPr>
                <w:iCs/>
              </w:rPr>
            </w:pPr>
          </w:p>
          <w:p w:rsidR="00F31194" w:rsidRPr="0074345C" w:rsidRDefault="009E13C2" w:rsidP="00E00028">
            <w:pPr>
              <w:rPr>
                <w:iCs/>
              </w:rPr>
            </w:pPr>
            <w:r w:rsidRPr="0074345C">
              <w:rPr>
                <w:iCs/>
              </w:rPr>
              <w:t>Fase de prueba preliminar</w:t>
            </w:r>
            <w:r w:rsidR="00F31194" w:rsidRPr="0074345C">
              <w:rPr>
                <w:iCs/>
              </w:rPr>
              <w:t xml:space="preserve">: </w:t>
            </w:r>
            <w:r w:rsidRPr="0074345C">
              <w:rPr>
                <w:iCs/>
              </w:rPr>
              <w:t>principios de</w:t>
            </w:r>
            <w:r w:rsidR="00502F27" w:rsidRPr="0074345C">
              <w:rPr>
                <w:iCs/>
              </w:rPr>
              <w:t xml:space="preserve"> 2015.</w:t>
            </w:r>
          </w:p>
          <w:p w:rsidR="003260F8" w:rsidRPr="0074345C" w:rsidRDefault="00F31194" w:rsidP="00E00028">
            <w:pPr>
              <w:rPr>
                <w:iCs/>
              </w:rPr>
            </w:pPr>
            <w:r w:rsidRPr="0074345C">
              <w:rPr>
                <w:iCs/>
              </w:rPr>
              <w:t>Sistema piloto para pruebas e implantación</w:t>
            </w:r>
            <w:r w:rsidR="00502F27" w:rsidRPr="0074345C">
              <w:rPr>
                <w:iCs/>
              </w:rPr>
              <w:t xml:space="preserve">: </w:t>
            </w:r>
            <w:r w:rsidR="009E13C2" w:rsidRPr="0074345C">
              <w:rPr>
                <w:iCs/>
              </w:rPr>
              <w:t>al final de</w:t>
            </w:r>
            <w:r w:rsidR="00502F27" w:rsidRPr="0074345C">
              <w:rPr>
                <w:iCs/>
              </w:rPr>
              <w:t xml:space="preserve"> 2015.</w:t>
            </w:r>
          </w:p>
          <w:p w:rsidR="00502F27" w:rsidRPr="0074345C" w:rsidRDefault="00F31194" w:rsidP="00392985">
            <w:pPr>
              <w:rPr>
                <w:iCs/>
              </w:rPr>
            </w:pPr>
            <w:r w:rsidRPr="0074345C">
              <w:rPr>
                <w:iCs/>
              </w:rPr>
              <w:t xml:space="preserve">Fases y resultados ulteriores </w:t>
            </w:r>
            <w:r w:rsidR="00392985" w:rsidRPr="0074345C">
              <w:rPr>
                <w:iCs/>
              </w:rPr>
              <w:t>por planificar</w:t>
            </w:r>
            <w:r w:rsidR="00502F27" w:rsidRPr="0074345C">
              <w:rPr>
                <w:iCs/>
              </w:rPr>
              <w:t>.</w:t>
            </w:r>
          </w:p>
        </w:tc>
      </w:tr>
      <w:tr w:rsidR="006376E7" w:rsidRPr="0074345C" w:rsidTr="00E00028">
        <w:trPr>
          <w:trHeight w:val="848"/>
        </w:trPr>
        <w:tc>
          <w:tcPr>
            <w:tcW w:w="2376" w:type="dxa"/>
            <w:shd w:val="clear" w:color="auto" w:fill="auto"/>
          </w:tcPr>
          <w:p w:rsidR="00502F27" w:rsidRPr="0074345C" w:rsidRDefault="003260F8" w:rsidP="003260F8">
            <w:pPr>
              <w:pStyle w:val="Heading3"/>
            </w:pPr>
            <w:r w:rsidRPr="0074345C">
              <w:t>Porcentaje de ejecución del proyecto</w:t>
            </w:r>
            <w:r w:rsidR="00502F27" w:rsidRPr="0074345C">
              <w:t xml:space="preserve"> </w:t>
            </w:r>
          </w:p>
        </w:tc>
        <w:tc>
          <w:tcPr>
            <w:tcW w:w="6912" w:type="dxa"/>
          </w:tcPr>
          <w:p w:rsidR="003260F8" w:rsidRPr="0074345C" w:rsidRDefault="003260F8" w:rsidP="00E00028">
            <w:pPr>
              <w:rPr>
                <w:iCs/>
              </w:rPr>
            </w:pPr>
          </w:p>
          <w:p w:rsidR="003260F8" w:rsidRPr="0074345C" w:rsidRDefault="003260F8" w:rsidP="003260F8">
            <w:pPr>
              <w:rPr>
                <w:iCs/>
              </w:rPr>
            </w:pPr>
            <w:r w:rsidRPr="0074345C">
              <w:rPr>
                <w:iCs/>
              </w:rPr>
              <w:t>Porcentaje de utilización del presupuesto a finales de agosto de 2014</w:t>
            </w:r>
            <w:proofErr w:type="gramStart"/>
            <w:r w:rsidRPr="0074345C">
              <w:rPr>
                <w:iCs/>
              </w:rPr>
              <w:t>:  62</w:t>
            </w:r>
            <w:proofErr w:type="gramEnd"/>
            <w:r w:rsidRPr="0074345C">
              <w:rPr>
                <w:iCs/>
              </w:rPr>
              <w:t>%.</w:t>
            </w:r>
          </w:p>
          <w:p w:rsidR="00502F27" w:rsidRPr="0074345C" w:rsidRDefault="00502F27" w:rsidP="00E00028">
            <w:pPr>
              <w:rPr>
                <w:iCs/>
              </w:rPr>
            </w:pPr>
          </w:p>
        </w:tc>
      </w:tr>
      <w:tr w:rsidR="00502F27" w:rsidRPr="0074345C" w:rsidTr="00E00028">
        <w:trPr>
          <w:trHeight w:val="848"/>
        </w:trPr>
        <w:tc>
          <w:tcPr>
            <w:tcW w:w="2376" w:type="dxa"/>
            <w:shd w:val="clear" w:color="auto" w:fill="auto"/>
          </w:tcPr>
          <w:p w:rsidR="00502F27" w:rsidRPr="0074345C" w:rsidRDefault="003260F8" w:rsidP="003260F8">
            <w:pPr>
              <w:pStyle w:val="Heading3"/>
            </w:pPr>
            <w:r w:rsidRPr="0074345C">
              <w:lastRenderedPageBreak/>
              <w:t>Informes previos</w:t>
            </w:r>
          </w:p>
        </w:tc>
        <w:tc>
          <w:tcPr>
            <w:tcW w:w="6912" w:type="dxa"/>
          </w:tcPr>
          <w:p w:rsidR="003260F8" w:rsidRPr="0074345C" w:rsidRDefault="003260F8" w:rsidP="00E00028">
            <w:pPr>
              <w:rPr>
                <w:iCs/>
              </w:rPr>
            </w:pPr>
          </w:p>
          <w:p w:rsidR="003260F8" w:rsidRPr="0074345C" w:rsidRDefault="00000502" w:rsidP="00E00028">
            <w:r w:rsidRPr="0074345C">
              <w:t>Se presentaron al Comité los informes sobre la marcha del p</w:t>
            </w:r>
            <w:r w:rsidR="009E13C2" w:rsidRPr="0074345C">
              <w:t>royecto</w:t>
            </w:r>
            <w:r w:rsidR="00502F27" w:rsidRPr="0074345C">
              <w:t xml:space="preserve">, </w:t>
            </w:r>
            <w:r w:rsidRPr="0074345C">
              <w:t xml:space="preserve">en los </w:t>
            </w:r>
            <w:r w:rsidR="009E13C2" w:rsidRPr="0074345C">
              <w:t xml:space="preserve">documentos </w:t>
            </w:r>
            <w:r w:rsidR="00502F27" w:rsidRPr="0074345C">
              <w:t xml:space="preserve"> </w:t>
            </w:r>
            <w:r w:rsidR="00502F27" w:rsidRPr="0074345C">
              <w:rPr>
                <w:iCs/>
              </w:rPr>
              <w:t xml:space="preserve">CDIP/4/2, </w:t>
            </w:r>
            <w:r w:rsidR="009E13C2" w:rsidRPr="0074345C">
              <w:rPr>
                <w:iCs/>
              </w:rPr>
              <w:t xml:space="preserve">Anexo </w:t>
            </w:r>
            <w:r w:rsidR="00502F27" w:rsidRPr="0074345C">
              <w:rPr>
                <w:iCs/>
              </w:rPr>
              <w:t xml:space="preserve">VIII, CDIP/6/2, </w:t>
            </w:r>
            <w:r w:rsidR="009E13C2" w:rsidRPr="0074345C">
              <w:rPr>
                <w:iCs/>
              </w:rPr>
              <w:t xml:space="preserve">Anexo </w:t>
            </w:r>
            <w:r w:rsidR="00502F27" w:rsidRPr="0074345C">
              <w:rPr>
                <w:iCs/>
              </w:rPr>
              <w:t xml:space="preserve">VIII, CDIP/8/2, </w:t>
            </w:r>
            <w:r w:rsidR="009E13C2" w:rsidRPr="0074345C">
              <w:rPr>
                <w:iCs/>
              </w:rPr>
              <w:t xml:space="preserve">Anexo </w:t>
            </w:r>
            <w:r w:rsidR="00502F27" w:rsidRPr="0074345C">
              <w:rPr>
                <w:iCs/>
              </w:rPr>
              <w:t xml:space="preserve">VII, CDIP/10/2, </w:t>
            </w:r>
            <w:r w:rsidR="009E13C2" w:rsidRPr="0074345C">
              <w:rPr>
                <w:iCs/>
              </w:rPr>
              <w:t xml:space="preserve">Anexo </w:t>
            </w:r>
            <w:r w:rsidR="00502F27" w:rsidRPr="0074345C">
              <w:rPr>
                <w:iCs/>
              </w:rPr>
              <w:t xml:space="preserve">III </w:t>
            </w:r>
            <w:r w:rsidRPr="0074345C">
              <w:rPr>
                <w:iCs/>
              </w:rPr>
              <w:t>y</w:t>
            </w:r>
            <w:r w:rsidR="00502F27" w:rsidRPr="0074345C">
              <w:rPr>
                <w:iCs/>
              </w:rPr>
              <w:t xml:space="preserve"> CDIP/12/2</w:t>
            </w:r>
            <w:r w:rsidRPr="0074345C">
              <w:rPr>
                <w:iCs/>
              </w:rPr>
              <w:t>,</w:t>
            </w:r>
            <w:r w:rsidR="00502F27" w:rsidRPr="0074345C">
              <w:rPr>
                <w:iCs/>
              </w:rPr>
              <w:t xml:space="preserve"> </w:t>
            </w:r>
            <w:r w:rsidR="009E13C2" w:rsidRPr="0074345C">
              <w:rPr>
                <w:iCs/>
              </w:rPr>
              <w:t xml:space="preserve">Anexo </w:t>
            </w:r>
            <w:r w:rsidRPr="0074345C">
              <w:rPr>
                <w:iCs/>
              </w:rPr>
              <w:t>III, e</w:t>
            </w:r>
            <w:r w:rsidR="003B2FA3" w:rsidRPr="0074345C">
              <w:rPr>
                <w:iCs/>
              </w:rPr>
              <w:t>n sus sesiones sexta, octava, dé</w:t>
            </w:r>
            <w:r w:rsidRPr="0074345C">
              <w:rPr>
                <w:iCs/>
              </w:rPr>
              <w:t>cima y décimo segunda, respectivamente</w:t>
            </w:r>
            <w:r w:rsidR="00502F27" w:rsidRPr="0074345C">
              <w:rPr>
                <w:iCs/>
              </w:rPr>
              <w:t>.</w:t>
            </w:r>
          </w:p>
          <w:p w:rsidR="003260F8" w:rsidRPr="0074345C" w:rsidRDefault="003260F8" w:rsidP="00E00028">
            <w:pPr>
              <w:rPr>
                <w:iCs/>
              </w:rPr>
            </w:pPr>
          </w:p>
          <w:p w:rsidR="00502F27" w:rsidRPr="0074345C" w:rsidRDefault="00502F27" w:rsidP="00E00028">
            <w:pPr>
              <w:rPr>
                <w:iCs/>
              </w:rPr>
            </w:pPr>
          </w:p>
        </w:tc>
      </w:tr>
    </w:tbl>
    <w:p w:rsidR="003260F8" w:rsidRPr="0074345C" w:rsidRDefault="003260F8" w:rsidP="00502F27"/>
    <w:p w:rsidR="00502F27" w:rsidRPr="0074345C" w:rsidRDefault="00502F27" w:rsidP="00502F27">
      <w:r w:rsidRPr="0074345C">
        <w:br w:type="page"/>
      </w:r>
    </w:p>
    <w:tbl>
      <w:tblPr>
        <w:tblW w:w="0" w:type="auto"/>
        <w:tblLook w:val="01E0" w:firstRow="1" w:lastRow="1" w:firstColumn="1" w:lastColumn="1" w:noHBand="0" w:noVBand="0"/>
      </w:tblPr>
      <w:tblGrid>
        <w:gridCol w:w="9287"/>
      </w:tblGrid>
      <w:tr w:rsidR="00502F27" w:rsidRPr="0074345C" w:rsidTr="00E00028">
        <w:trPr>
          <w:trHeight w:val="494"/>
        </w:trPr>
        <w:tc>
          <w:tcPr>
            <w:tcW w:w="9287" w:type="dxa"/>
            <w:vAlign w:val="center"/>
          </w:tcPr>
          <w:p w:rsidR="00502F27" w:rsidRPr="0074345C" w:rsidRDefault="00502F27" w:rsidP="003260F8">
            <w:r w:rsidRPr="0074345C">
              <w:lastRenderedPageBreak/>
              <w:br w:type="page"/>
            </w:r>
            <w:r w:rsidR="003260F8" w:rsidRPr="0074345C">
              <w:t>EVALUACIÓN INTERNA DEL PROYECTO</w:t>
            </w:r>
          </w:p>
        </w:tc>
      </w:tr>
    </w:tbl>
    <w:p w:rsidR="003260F8" w:rsidRPr="0074345C" w:rsidRDefault="003260F8" w:rsidP="00502F27"/>
    <w:p w:rsidR="003260F8" w:rsidRPr="0074345C" w:rsidRDefault="003260F8" w:rsidP="003260F8">
      <w:r w:rsidRPr="0074345C">
        <w:t>Clave de los colores</w:t>
      </w:r>
    </w:p>
    <w:p w:rsidR="00502F27" w:rsidRPr="0074345C" w:rsidRDefault="00502F27" w:rsidP="00502F27"/>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shd w:val="clear" w:color="auto" w:fill="auto"/>
            <w:vAlign w:val="center"/>
          </w:tcPr>
          <w:p w:rsidR="00502F27" w:rsidRPr="0074345C" w:rsidRDefault="00502F27" w:rsidP="00E00028">
            <w:r w:rsidRPr="0074345C">
              <w:t>****</w:t>
            </w:r>
          </w:p>
        </w:tc>
        <w:tc>
          <w:tcPr>
            <w:tcW w:w="1677" w:type="dxa"/>
            <w:shd w:val="clear" w:color="auto" w:fill="auto"/>
            <w:vAlign w:val="center"/>
          </w:tcPr>
          <w:p w:rsidR="00502F27" w:rsidRPr="0074345C" w:rsidRDefault="00502F27" w:rsidP="00E00028">
            <w:r w:rsidRPr="0074345C">
              <w:t>***</w:t>
            </w:r>
          </w:p>
        </w:tc>
        <w:tc>
          <w:tcPr>
            <w:tcW w:w="1797" w:type="dxa"/>
            <w:shd w:val="clear" w:color="auto" w:fill="auto"/>
            <w:vAlign w:val="center"/>
          </w:tcPr>
          <w:p w:rsidR="00502F27" w:rsidRPr="0074345C" w:rsidRDefault="00502F27" w:rsidP="00E00028">
            <w:r w:rsidRPr="0074345C">
              <w:t>**</w:t>
            </w:r>
          </w:p>
        </w:tc>
        <w:tc>
          <w:tcPr>
            <w:tcW w:w="1895" w:type="dxa"/>
            <w:shd w:val="clear" w:color="auto" w:fill="auto"/>
            <w:vAlign w:val="center"/>
          </w:tcPr>
          <w:p w:rsidR="00502F27" w:rsidRPr="0074345C" w:rsidRDefault="003260F8" w:rsidP="003260F8">
            <w:r w:rsidRPr="0074345C">
              <w:t>NA</w:t>
            </w:r>
          </w:p>
        </w:tc>
        <w:tc>
          <w:tcPr>
            <w:tcW w:w="2563" w:type="dxa"/>
            <w:shd w:val="clear" w:color="auto" w:fill="auto"/>
            <w:vAlign w:val="center"/>
          </w:tcPr>
          <w:p w:rsidR="00502F27" w:rsidRPr="0074345C" w:rsidRDefault="003260F8" w:rsidP="003260F8">
            <w:r w:rsidRPr="0074345C">
              <w:t>SE/AD</w:t>
            </w:r>
          </w:p>
        </w:tc>
      </w:tr>
      <w:tr w:rsidR="00502F27" w:rsidRPr="0074345C" w:rsidTr="00E00028">
        <w:tc>
          <w:tcPr>
            <w:tcW w:w="1416" w:type="dxa"/>
            <w:shd w:val="clear" w:color="auto" w:fill="auto"/>
          </w:tcPr>
          <w:p w:rsidR="00502F27" w:rsidRPr="0074345C" w:rsidRDefault="003260F8" w:rsidP="003260F8">
            <w:r w:rsidRPr="0074345C">
              <w:t>Plenamente logrado.</w:t>
            </w:r>
          </w:p>
        </w:tc>
        <w:tc>
          <w:tcPr>
            <w:tcW w:w="1677" w:type="dxa"/>
            <w:shd w:val="clear" w:color="auto" w:fill="auto"/>
          </w:tcPr>
          <w:p w:rsidR="00502F27" w:rsidRPr="0074345C" w:rsidRDefault="003260F8" w:rsidP="003260F8">
            <w:r w:rsidRPr="0074345C">
              <w:t>Avance notable</w:t>
            </w:r>
          </w:p>
        </w:tc>
        <w:tc>
          <w:tcPr>
            <w:tcW w:w="1797" w:type="dxa"/>
            <w:shd w:val="clear" w:color="auto" w:fill="auto"/>
          </w:tcPr>
          <w:p w:rsidR="00502F27" w:rsidRPr="0074345C" w:rsidRDefault="003260F8" w:rsidP="003260F8">
            <w:r w:rsidRPr="0074345C">
              <w:t>Avance</w:t>
            </w:r>
          </w:p>
        </w:tc>
        <w:tc>
          <w:tcPr>
            <w:tcW w:w="1895" w:type="dxa"/>
            <w:shd w:val="clear" w:color="auto" w:fill="auto"/>
          </w:tcPr>
          <w:p w:rsidR="00502F27" w:rsidRPr="0074345C" w:rsidRDefault="003260F8" w:rsidP="003260F8">
            <w:r w:rsidRPr="0074345C">
              <w:t>Ningún avance</w:t>
            </w:r>
          </w:p>
        </w:tc>
        <w:tc>
          <w:tcPr>
            <w:tcW w:w="2563" w:type="dxa"/>
            <w:shd w:val="clear" w:color="auto" w:fill="auto"/>
          </w:tcPr>
          <w:p w:rsidR="00502F27" w:rsidRPr="0074345C" w:rsidRDefault="003260F8" w:rsidP="003260F8">
            <w:r w:rsidRPr="0074345C">
              <w:t>Sin evaluar /actividad discontinuada</w:t>
            </w:r>
          </w:p>
        </w:tc>
      </w:tr>
    </w:tbl>
    <w:p w:rsidR="003260F8" w:rsidRPr="0074345C" w:rsidRDefault="003260F8" w:rsidP="00502F27"/>
    <w:p w:rsidR="003260F8" w:rsidRPr="0074345C" w:rsidRDefault="003260F8" w:rsidP="00502F27"/>
    <w:p w:rsidR="003260F8" w:rsidRPr="0074345C" w:rsidRDefault="003260F8" w:rsidP="003260F8">
      <w:r w:rsidRPr="0074345C">
        <w:t>La presente evaluación se refiere únicamente a la parte del proyecto que se relaciona con las herramientas para los organismos de gestión colectiva.</w:t>
      </w:r>
    </w:p>
    <w:p w:rsidR="00502F27" w:rsidRPr="0074345C" w:rsidRDefault="00502F27" w:rsidP="00502F27"/>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964"/>
      </w:tblGrid>
      <w:tr w:rsidR="006376E7" w:rsidRPr="0074345C" w:rsidTr="009F2FA4">
        <w:trPr>
          <w:trHeight w:val="616"/>
        </w:trPr>
        <w:tc>
          <w:tcPr>
            <w:tcW w:w="2410" w:type="dxa"/>
            <w:shd w:val="clear" w:color="auto" w:fill="auto"/>
          </w:tcPr>
          <w:p w:rsidR="003260F8" w:rsidRPr="0074345C" w:rsidRDefault="003260F8" w:rsidP="00E00028">
            <w:pPr>
              <w:rPr>
                <w:rStyle w:val="Heading3Char"/>
              </w:rPr>
            </w:pPr>
          </w:p>
          <w:p w:rsidR="00502F27" w:rsidRPr="0074345C" w:rsidRDefault="003260F8" w:rsidP="00916512">
            <w:r w:rsidRPr="0074345C">
              <w:rPr>
                <w:u w:val="single"/>
              </w:rPr>
              <w:t>Productos del proyecto</w:t>
            </w:r>
            <w:r w:rsidR="00916512" w:rsidRPr="0074345C">
              <w:rPr>
                <w:vertAlign w:val="superscript"/>
              </w:rPr>
              <w:footnoteReference w:id="2"/>
            </w:r>
            <w:r w:rsidR="00916512" w:rsidRPr="0074345C">
              <w:rPr>
                <w:u w:val="single"/>
              </w:rPr>
              <w:br/>
            </w:r>
            <w:r w:rsidRPr="0074345C">
              <w:t>(</w:t>
            </w:r>
            <w:r w:rsidRPr="0074345C">
              <w:rPr>
                <w:u w:val="single"/>
              </w:rPr>
              <w:t>Resultado previsto)</w:t>
            </w:r>
          </w:p>
        </w:tc>
        <w:tc>
          <w:tcPr>
            <w:tcW w:w="2694" w:type="dxa"/>
            <w:shd w:val="clear" w:color="auto" w:fill="auto"/>
          </w:tcPr>
          <w:p w:rsidR="003260F8" w:rsidRPr="0074345C" w:rsidRDefault="003260F8" w:rsidP="00E00028">
            <w:pPr>
              <w:rPr>
                <w:rStyle w:val="Heading3Char"/>
              </w:rPr>
            </w:pPr>
          </w:p>
          <w:p w:rsidR="003260F8" w:rsidRPr="0074345C" w:rsidRDefault="003260F8" w:rsidP="003260F8">
            <w:r w:rsidRPr="0074345C">
              <w:rPr>
                <w:u w:val="single"/>
              </w:rPr>
              <w:t>Indicadores de obtención de resultados</w:t>
            </w:r>
          </w:p>
          <w:p w:rsidR="00502F27" w:rsidRPr="0074345C" w:rsidRDefault="00502F27" w:rsidP="00E00028"/>
        </w:tc>
        <w:tc>
          <w:tcPr>
            <w:tcW w:w="3402" w:type="dxa"/>
            <w:shd w:val="clear" w:color="auto" w:fill="auto"/>
          </w:tcPr>
          <w:p w:rsidR="00502F27" w:rsidRPr="0074345C" w:rsidRDefault="003260F8" w:rsidP="003260F8">
            <w:pPr>
              <w:pStyle w:val="Heading3"/>
            </w:pPr>
            <w:r w:rsidRPr="0074345C">
              <w:t>Datos sobre el rendimiento</w:t>
            </w:r>
          </w:p>
        </w:tc>
        <w:tc>
          <w:tcPr>
            <w:tcW w:w="964" w:type="dxa"/>
            <w:shd w:val="clear" w:color="auto" w:fill="auto"/>
          </w:tcPr>
          <w:p w:rsidR="00502F27" w:rsidRPr="0074345C" w:rsidRDefault="003260F8" w:rsidP="003260F8">
            <w:pPr>
              <w:pStyle w:val="Heading3"/>
            </w:pPr>
            <w:r w:rsidRPr="0074345C">
              <w:t>Clave de colores</w:t>
            </w:r>
          </w:p>
        </w:tc>
      </w:tr>
      <w:tr w:rsidR="006376E7" w:rsidRPr="0074345C" w:rsidTr="009F2FA4">
        <w:trPr>
          <w:trHeight w:val="509"/>
        </w:trPr>
        <w:tc>
          <w:tcPr>
            <w:tcW w:w="2410" w:type="dxa"/>
            <w:shd w:val="clear" w:color="auto" w:fill="auto"/>
          </w:tcPr>
          <w:p w:rsidR="003260F8" w:rsidRPr="0074345C" w:rsidRDefault="003260F8" w:rsidP="00E00028">
            <w:pPr>
              <w:rPr>
                <w:bCs/>
              </w:rPr>
            </w:pPr>
          </w:p>
          <w:p w:rsidR="00502F27" w:rsidRPr="0074345C" w:rsidRDefault="003260F8" w:rsidP="003260F8">
            <w:pPr>
              <w:rPr>
                <w:bCs/>
              </w:rPr>
            </w:pPr>
            <w:r w:rsidRPr="0074345C">
              <w:rPr>
                <w:bCs/>
              </w:rPr>
              <w:t>Provisión de materiales informáticos</w:t>
            </w:r>
          </w:p>
        </w:tc>
        <w:tc>
          <w:tcPr>
            <w:tcW w:w="2694" w:type="dxa"/>
            <w:shd w:val="clear" w:color="auto" w:fill="auto"/>
          </w:tcPr>
          <w:p w:rsidR="003260F8" w:rsidRPr="0074345C" w:rsidRDefault="003260F8" w:rsidP="00E00028"/>
          <w:p w:rsidR="003260F8" w:rsidRPr="0074345C" w:rsidRDefault="003260F8" w:rsidP="003260F8">
            <w:r w:rsidRPr="0074345C">
              <w:t>Compatibilidad de la infraestructura informática de los organismos de gestión colectiva con los requisitos para la implantación de sistemas informáticos modernos.</w:t>
            </w:r>
          </w:p>
          <w:p w:rsidR="00502F27" w:rsidRPr="0074345C" w:rsidRDefault="00502F27" w:rsidP="00E00028"/>
        </w:tc>
        <w:tc>
          <w:tcPr>
            <w:tcW w:w="3402" w:type="dxa"/>
            <w:shd w:val="clear" w:color="auto" w:fill="auto"/>
          </w:tcPr>
          <w:p w:rsidR="003260F8" w:rsidRPr="0074345C" w:rsidRDefault="003260F8" w:rsidP="00E00028"/>
          <w:p w:rsidR="00502F27" w:rsidRPr="0074345C" w:rsidRDefault="003260F8" w:rsidP="003260F8">
            <w:r w:rsidRPr="0074345C">
              <w:t>Desde julio de 2012 la OMPI ha discontinuado el suministro de materiales y equipos informáticos.</w:t>
            </w:r>
          </w:p>
        </w:tc>
        <w:tc>
          <w:tcPr>
            <w:tcW w:w="964" w:type="dxa"/>
            <w:shd w:val="clear" w:color="auto" w:fill="auto"/>
          </w:tcPr>
          <w:p w:rsidR="003260F8" w:rsidRPr="0074345C" w:rsidRDefault="003260F8" w:rsidP="00E00028"/>
          <w:p w:rsidR="00502F27" w:rsidRPr="0074345C" w:rsidRDefault="003260F8" w:rsidP="003260F8">
            <w:r w:rsidRPr="0074345C">
              <w:t>SE/AD</w:t>
            </w:r>
          </w:p>
        </w:tc>
      </w:tr>
      <w:tr w:rsidR="006376E7" w:rsidRPr="0074345C" w:rsidTr="009F2FA4">
        <w:trPr>
          <w:trHeight w:val="509"/>
        </w:trPr>
        <w:tc>
          <w:tcPr>
            <w:tcW w:w="2410" w:type="dxa"/>
            <w:shd w:val="clear" w:color="auto" w:fill="auto"/>
          </w:tcPr>
          <w:p w:rsidR="003260F8" w:rsidRPr="0074345C" w:rsidRDefault="003260F8" w:rsidP="00E00028">
            <w:pPr>
              <w:rPr>
                <w:bCs/>
              </w:rPr>
            </w:pPr>
          </w:p>
          <w:p w:rsidR="00502F27" w:rsidRPr="0074345C" w:rsidRDefault="003260F8" w:rsidP="003B2FA3">
            <w:pPr>
              <w:rPr>
                <w:bCs/>
              </w:rPr>
            </w:pPr>
            <w:r w:rsidRPr="0074345C">
              <w:rPr>
                <w:bCs/>
              </w:rPr>
              <w:t xml:space="preserve">Actualización de los </w:t>
            </w:r>
            <w:r w:rsidR="00AC0CD4" w:rsidRPr="0074345C">
              <w:rPr>
                <w:bCs/>
              </w:rPr>
              <w:t>Programas</w:t>
            </w:r>
            <w:r w:rsidRPr="0074345C">
              <w:rPr>
                <w:bCs/>
              </w:rPr>
              <w:t xml:space="preserve"> informáticos (</w:t>
            </w:r>
            <w:r w:rsidR="003B2FA3" w:rsidRPr="0074345C">
              <w:rPr>
                <w:bCs/>
              </w:rPr>
              <w:t>OMPI</w:t>
            </w:r>
            <w:r w:rsidRPr="0074345C">
              <w:rPr>
                <w:bCs/>
              </w:rPr>
              <w:t>COS).</w:t>
            </w:r>
          </w:p>
        </w:tc>
        <w:tc>
          <w:tcPr>
            <w:tcW w:w="2694" w:type="dxa"/>
            <w:shd w:val="clear" w:color="auto" w:fill="auto"/>
          </w:tcPr>
          <w:p w:rsidR="003260F8" w:rsidRPr="0074345C" w:rsidRDefault="003260F8" w:rsidP="00E00028"/>
          <w:p w:rsidR="003260F8" w:rsidRPr="0074345C" w:rsidRDefault="003260F8" w:rsidP="003260F8">
            <w:r w:rsidRPr="0074345C">
              <w:t>Capacidad para apoyar actividades de catalogación, licencias y distribución de los organismos de gestión colectiva, y de integrarse en las redes regionales e internacionales.</w:t>
            </w:r>
          </w:p>
          <w:p w:rsidR="00502F27" w:rsidRPr="0074345C" w:rsidRDefault="00502F27" w:rsidP="00E00028"/>
        </w:tc>
        <w:tc>
          <w:tcPr>
            <w:tcW w:w="3402" w:type="dxa"/>
            <w:shd w:val="clear" w:color="auto" w:fill="auto"/>
          </w:tcPr>
          <w:p w:rsidR="003260F8" w:rsidRPr="0074345C" w:rsidRDefault="003260F8" w:rsidP="00E00028"/>
          <w:p w:rsidR="00502F27" w:rsidRPr="0074345C" w:rsidRDefault="003B2FA3" w:rsidP="003B2FA3">
            <w:r w:rsidRPr="0074345C">
              <w:t xml:space="preserve">La concepción del </w:t>
            </w:r>
            <w:r w:rsidR="00773E6B" w:rsidRPr="0074345C">
              <w:t xml:space="preserve">programa </w:t>
            </w:r>
            <w:r w:rsidR="00967C83" w:rsidRPr="0074345C">
              <w:t>informático</w:t>
            </w:r>
            <w:r w:rsidR="00773E6B" w:rsidRPr="0074345C">
              <w:t xml:space="preserve"> y la labor </w:t>
            </w:r>
            <w:r w:rsidR="00967C83" w:rsidRPr="0074345C">
              <w:t>relativa</w:t>
            </w:r>
            <w:r w:rsidR="00773E6B" w:rsidRPr="0074345C">
              <w:t xml:space="preserve"> al desarrollo </w:t>
            </w:r>
            <w:r w:rsidRPr="0074345C">
              <w:t xml:space="preserve">están previstas para </w:t>
            </w:r>
            <w:r w:rsidR="00773E6B" w:rsidRPr="0074345C">
              <w:t xml:space="preserve">mediados de </w:t>
            </w:r>
            <w:r w:rsidR="00502F27" w:rsidRPr="0074345C">
              <w:t xml:space="preserve">2014.  </w:t>
            </w:r>
            <w:r w:rsidR="00773E6B" w:rsidRPr="0074345C">
              <w:t>La prueba preliminar y, posteriormente, sistema piloto</w:t>
            </w:r>
            <w:r w:rsidRPr="0074345C">
              <w:t>,</w:t>
            </w:r>
            <w:r w:rsidR="00773E6B" w:rsidRPr="0074345C">
              <w:t xml:space="preserve"> en 2</w:t>
            </w:r>
            <w:r w:rsidR="00502F27" w:rsidRPr="0074345C">
              <w:t>015.</w:t>
            </w:r>
          </w:p>
        </w:tc>
        <w:tc>
          <w:tcPr>
            <w:tcW w:w="964" w:type="dxa"/>
            <w:shd w:val="clear" w:color="auto" w:fill="auto"/>
          </w:tcPr>
          <w:p w:rsidR="00502F27" w:rsidRPr="0074345C" w:rsidRDefault="00502F27" w:rsidP="00E00028">
            <w:r w:rsidRPr="0074345C">
              <w:t>**</w:t>
            </w:r>
          </w:p>
        </w:tc>
      </w:tr>
      <w:tr w:rsidR="006376E7" w:rsidRPr="0074345C" w:rsidTr="009F2FA4">
        <w:trPr>
          <w:trHeight w:val="509"/>
        </w:trPr>
        <w:tc>
          <w:tcPr>
            <w:tcW w:w="2410" w:type="dxa"/>
            <w:shd w:val="clear" w:color="auto" w:fill="auto"/>
          </w:tcPr>
          <w:p w:rsidR="003260F8" w:rsidRPr="0074345C" w:rsidRDefault="003260F8" w:rsidP="00E00028">
            <w:pPr>
              <w:rPr>
                <w:bCs/>
              </w:rPr>
            </w:pPr>
          </w:p>
          <w:p w:rsidR="003260F8" w:rsidRPr="0074345C" w:rsidRDefault="003260F8" w:rsidP="003260F8">
            <w:pPr>
              <w:rPr>
                <w:bCs/>
              </w:rPr>
            </w:pPr>
            <w:r w:rsidRPr="0074345C">
              <w:rPr>
                <w:bCs/>
              </w:rPr>
              <w:t>Base de datos accesible y segura sobre el repertorio de obras musicales de los organismos de gestión colectiva.</w:t>
            </w:r>
          </w:p>
          <w:p w:rsidR="00502F27" w:rsidRPr="0074345C" w:rsidRDefault="00502F27" w:rsidP="00E00028">
            <w:pPr>
              <w:rPr>
                <w:bCs/>
              </w:rPr>
            </w:pPr>
          </w:p>
        </w:tc>
        <w:tc>
          <w:tcPr>
            <w:tcW w:w="2694" w:type="dxa"/>
            <w:shd w:val="clear" w:color="auto" w:fill="auto"/>
          </w:tcPr>
          <w:p w:rsidR="003260F8" w:rsidRPr="0074345C" w:rsidRDefault="003260F8" w:rsidP="00E00028"/>
          <w:p w:rsidR="00502F27" w:rsidRPr="0074345C" w:rsidRDefault="003260F8" w:rsidP="003260F8">
            <w:r w:rsidRPr="0074345C">
              <w:t>Base de datos para el intercambio a través de los sistemas adoptados.</w:t>
            </w:r>
          </w:p>
        </w:tc>
        <w:tc>
          <w:tcPr>
            <w:tcW w:w="3402" w:type="dxa"/>
            <w:shd w:val="clear" w:color="auto" w:fill="auto"/>
          </w:tcPr>
          <w:p w:rsidR="003260F8" w:rsidRPr="0074345C" w:rsidRDefault="003260F8" w:rsidP="00E00028"/>
          <w:p w:rsidR="00502F27" w:rsidRPr="0074345C" w:rsidRDefault="003260F8" w:rsidP="003260F8">
            <w:r w:rsidRPr="0074345C">
              <w:t>No se avanzará hasta la implantación de los sistemas.</w:t>
            </w:r>
          </w:p>
        </w:tc>
        <w:tc>
          <w:tcPr>
            <w:tcW w:w="964" w:type="dxa"/>
            <w:shd w:val="clear" w:color="auto" w:fill="auto"/>
          </w:tcPr>
          <w:p w:rsidR="003260F8" w:rsidRPr="0074345C" w:rsidRDefault="003260F8" w:rsidP="00E00028"/>
          <w:p w:rsidR="00502F27" w:rsidRPr="0074345C" w:rsidRDefault="003260F8" w:rsidP="003260F8">
            <w:r w:rsidRPr="0074345C">
              <w:t>NA</w:t>
            </w:r>
          </w:p>
        </w:tc>
      </w:tr>
      <w:tr w:rsidR="00502F27" w:rsidRPr="0074345C" w:rsidTr="009F2FA4">
        <w:trPr>
          <w:trHeight w:val="509"/>
        </w:trPr>
        <w:tc>
          <w:tcPr>
            <w:tcW w:w="2410" w:type="dxa"/>
            <w:shd w:val="clear" w:color="auto" w:fill="auto"/>
          </w:tcPr>
          <w:p w:rsidR="003260F8" w:rsidRPr="0074345C" w:rsidRDefault="003260F8" w:rsidP="00E00028">
            <w:pPr>
              <w:rPr>
                <w:bCs/>
              </w:rPr>
            </w:pPr>
          </w:p>
          <w:p w:rsidR="00502F27" w:rsidRPr="0074345C" w:rsidRDefault="003260F8" w:rsidP="003260F8">
            <w:pPr>
              <w:rPr>
                <w:bCs/>
              </w:rPr>
            </w:pPr>
            <w:r w:rsidRPr="0074345C">
              <w:rPr>
                <w:bCs/>
              </w:rPr>
              <w:t>Paquete de instalación.</w:t>
            </w:r>
          </w:p>
        </w:tc>
        <w:tc>
          <w:tcPr>
            <w:tcW w:w="2694" w:type="dxa"/>
            <w:shd w:val="clear" w:color="auto" w:fill="auto"/>
          </w:tcPr>
          <w:p w:rsidR="003260F8" w:rsidRPr="0074345C" w:rsidRDefault="003260F8" w:rsidP="00E00028"/>
          <w:p w:rsidR="00502F27" w:rsidRPr="0074345C" w:rsidRDefault="003260F8" w:rsidP="009F2FA4">
            <w:r w:rsidRPr="0074345C">
              <w:t>Número de paquetes de formación, funcionarios formados, datos recolectados y procesados.</w:t>
            </w:r>
          </w:p>
        </w:tc>
        <w:tc>
          <w:tcPr>
            <w:tcW w:w="3402" w:type="dxa"/>
            <w:shd w:val="clear" w:color="auto" w:fill="auto"/>
          </w:tcPr>
          <w:p w:rsidR="003260F8" w:rsidRPr="0074345C" w:rsidRDefault="003260F8" w:rsidP="00E00028"/>
          <w:p w:rsidR="00502F27" w:rsidRPr="0074345C" w:rsidRDefault="003260F8" w:rsidP="003260F8">
            <w:r w:rsidRPr="0074345C">
              <w:t>No se avanzará hasta la implantación de los sistemas.</w:t>
            </w:r>
          </w:p>
        </w:tc>
        <w:tc>
          <w:tcPr>
            <w:tcW w:w="964" w:type="dxa"/>
            <w:shd w:val="clear" w:color="auto" w:fill="auto"/>
          </w:tcPr>
          <w:p w:rsidR="003260F8" w:rsidRPr="0074345C" w:rsidRDefault="003260F8" w:rsidP="00E00028"/>
          <w:p w:rsidR="00502F27" w:rsidRPr="0074345C" w:rsidRDefault="003260F8" w:rsidP="003260F8">
            <w:r w:rsidRPr="0074345C">
              <w:t>NA</w:t>
            </w:r>
          </w:p>
        </w:tc>
      </w:tr>
    </w:tbl>
    <w:p w:rsidR="00502F27" w:rsidRPr="0074345C" w:rsidRDefault="00502F27" w:rsidP="00502F27"/>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964"/>
      </w:tblGrid>
      <w:tr w:rsidR="006376E7" w:rsidRPr="0074345C" w:rsidTr="009F2FA4">
        <w:trPr>
          <w:trHeight w:val="616"/>
        </w:trPr>
        <w:tc>
          <w:tcPr>
            <w:tcW w:w="2410" w:type="dxa"/>
            <w:shd w:val="clear" w:color="auto" w:fill="auto"/>
          </w:tcPr>
          <w:p w:rsidR="00502F27" w:rsidRPr="0074345C" w:rsidRDefault="003260F8" w:rsidP="003260F8">
            <w:pPr>
              <w:pStyle w:val="Heading3"/>
            </w:pPr>
            <w:r w:rsidRPr="0074345C">
              <w:t>Objetivos del proyecto</w:t>
            </w:r>
          </w:p>
        </w:tc>
        <w:tc>
          <w:tcPr>
            <w:tcW w:w="2694" w:type="dxa"/>
            <w:shd w:val="clear" w:color="auto" w:fill="auto"/>
          </w:tcPr>
          <w:p w:rsidR="003260F8" w:rsidRPr="0074345C" w:rsidRDefault="003260F8" w:rsidP="00E00028">
            <w:pPr>
              <w:autoSpaceDE w:val="0"/>
              <w:autoSpaceDN w:val="0"/>
              <w:adjustRightInd w:val="0"/>
              <w:rPr>
                <w:bCs/>
                <w:szCs w:val="22"/>
                <w:u w:val="single"/>
              </w:rPr>
            </w:pPr>
          </w:p>
          <w:p w:rsidR="003260F8" w:rsidRPr="0074345C" w:rsidRDefault="003260F8" w:rsidP="003260F8">
            <w:pPr>
              <w:autoSpaceDE w:val="0"/>
              <w:autoSpaceDN w:val="0"/>
              <w:adjustRightInd w:val="0"/>
              <w:rPr>
                <w:bCs/>
                <w:szCs w:val="22"/>
                <w:u w:val="single"/>
              </w:rPr>
            </w:pPr>
            <w:r w:rsidRPr="0074345C">
              <w:rPr>
                <w:bCs/>
                <w:szCs w:val="22"/>
                <w:u w:val="single"/>
              </w:rPr>
              <w:t>Indicadores de cumplimiento de los objetivos</w:t>
            </w:r>
          </w:p>
          <w:p w:rsidR="003260F8" w:rsidRPr="0074345C" w:rsidRDefault="003260F8" w:rsidP="003260F8">
            <w:pPr>
              <w:autoSpaceDE w:val="0"/>
              <w:autoSpaceDN w:val="0"/>
              <w:adjustRightInd w:val="0"/>
              <w:rPr>
                <w:bCs/>
                <w:szCs w:val="22"/>
                <w:u w:val="single"/>
              </w:rPr>
            </w:pPr>
            <w:r w:rsidRPr="0074345C">
              <w:rPr>
                <w:bCs/>
                <w:szCs w:val="22"/>
                <w:u w:val="single"/>
              </w:rPr>
              <w:t>(Indicadores de resultado)</w:t>
            </w:r>
          </w:p>
          <w:p w:rsidR="00502F27" w:rsidRPr="0074345C" w:rsidRDefault="00502F27" w:rsidP="00E00028"/>
        </w:tc>
        <w:tc>
          <w:tcPr>
            <w:tcW w:w="3402" w:type="dxa"/>
            <w:shd w:val="clear" w:color="auto" w:fill="auto"/>
          </w:tcPr>
          <w:p w:rsidR="00502F27" w:rsidRPr="0074345C" w:rsidRDefault="003260F8" w:rsidP="003260F8">
            <w:pPr>
              <w:pStyle w:val="Heading3"/>
            </w:pPr>
            <w:r w:rsidRPr="0074345C">
              <w:t>Datos sobre el rendimiento</w:t>
            </w:r>
          </w:p>
        </w:tc>
        <w:tc>
          <w:tcPr>
            <w:tcW w:w="964" w:type="dxa"/>
            <w:shd w:val="clear" w:color="auto" w:fill="auto"/>
          </w:tcPr>
          <w:p w:rsidR="00502F27" w:rsidRPr="0074345C" w:rsidRDefault="003260F8" w:rsidP="003260F8">
            <w:pPr>
              <w:pStyle w:val="Heading3"/>
            </w:pPr>
            <w:r w:rsidRPr="0074345C">
              <w:t>Clave de colores</w:t>
            </w:r>
          </w:p>
        </w:tc>
      </w:tr>
      <w:tr w:rsidR="006376E7" w:rsidRPr="0074345C" w:rsidTr="009F2FA4">
        <w:trPr>
          <w:trHeight w:val="509"/>
        </w:trPr>
        <w:tc>
          <w:tcPr>
            <w:tcW w:w="2410" w:type="dxa"/>
            <w:shd w:val="clear" w:color="auto" w:fill="auto"/>
          </w:tcPr>
          <w:p w:rsidR="003260F8" w:rsidRPr="0074345C" w:rsidRDefault="003260F8" w:rsidP="00E00028">
            <w:pPr>
              <w:rPr>
                <w:bCs/>
              </w:rPr>
            </w:pPr>
          </w:p>
          <w:p w:rsidR="003260F8" w:rsidRPr="0074345C" w:rsidRDefault="003260F8" w:rsidP="003260F8">
            <w:pPr>
              <w:rPr>
                <w:bCs/>
              </w:rPr>
            </w:pPr>
            <w:r w:rsidRPr="0074345C">
              <w:rPr>
                <w:bCs/>
              </w:rPr>
              <w:t>Realización de las actividades de gestión colectiva en un entorno en red, con arreglo a las normas más modernas.</w:t>
            </w:r>
          </w:p>
          <w:p w:rsidR="00502F27" w:rsidRPr="0074345C" w:rsidRDefault="00502F27" w:rsidP="00E00028">
            <w:pPr>
              <w:rPr>
                <w:bCs/>
              </w:rPr>
            </w:pPr>
          </w:p>
        </w:tc>
        <w:tc>
          <w:tcPr>
            <w:tcW w:w="2694" w:type="dxa"/>
            <w:shd w:val="clear" w:color="auto" w:fill="auto"/>
          </w:tcPr>
          <w:p w:rsidR="003260F8" w:rsidRPr="0074345C" w:rsidRDefault="003260F8" w:rsidP="00E00028"/>
          <w:p w:rsidR="00502F27" w:rsidRPr="0074345C" w:rsidRDefault="003260F8" w:rsidP="003260F8">
            <w:r w:rsidRPr="0074345C">
              <w:t>Los organismos de gestión colectiva agrupados en red aplican normas compatibles con las normas internacionales.</w:t>
            </w:r>
          </w:p>
        </w:tc>
        <w:tc>
          <w:tcPr>
            <w:tcW w:w="3402" w:type="dxa"/>
            <w:shd w:val="clear" w:color="auto" w:fill="auto"/>
          </w:tcPr>
          <w:p w:rsidR="003260F8" w:rsidRPr="0074345C" w:rsidRDefault="003260F8" w:rsidP="00E00028"/>
          <w:p w:rsidR="00502F27" w:rsidRPr="0074345C" w:rsidRDefault="003260F8" w:rsidP="003260F8">
            <w:r w:rsidRPr="0074345C">
              <w:t>No se podrán evaluar los logros hasta que se implanten los sistemas.</w:t>
            </w:r>
          </w:p>
        </w:tc>
        <w:tc>
          <w:tcPr>
            <w:tcW w:w="964" w:type="dxa"/>
            <w:shd w:val="clear" w:color="auto" w:fill="auto"/>
          </w:tcPr>
          <w:p w:rsidR="003260F8" w:rsidRPr="0074345C" w:rsidRDefault="003260F8" w:rsidP="00E00028"/>
          <w:p w:rsidR="00502F27" w:rsidRPr="0074345C" w:rsidRDefault="003260F8" w:rsidP="003260F8">
            <w:r w:rsidRPr="0074345C">
              <w:t>NA</w:t>
            </w:r>
          </w:p>
        </w:tc>
      </w:tr>
      <w:tr w:rsidR="006376E7" w:rsidRPr="0074345C" w:rsidTr="009F2FA4">
        <w:trPr>
          <w:trHeight w:val="509"/>
        </w:trPr>
        <w:tc>
          <w:tcPr>
            <w:tcW w:w="2410" w:type="dxa"/>
            <w:shd w:val="clear" w:color="auto" w:fill="auto"/>
          </w:tcPr>
          <w:p w:rsidR="003260F8" w:rsidRPr="0074345C" w:rsidRDefault="003260F8" w:rsidP="00E00028">
            <w:pPr>
              <w:rPr>
                <w:bCs/>
              </w:rPr>
            </w:pPr>
          </w:p>
          <w:p w:rsidR="00502F27" w:rsidRPr="0074345C" w:rsidRDefault="00DA5C75" w:rsidP="00DA5C75">
            <w:pPr>
              <w:rPr>
                <w:bCs/>
              </w:rPr>
            </w:pPr>
            <w:r w:rsidRPr="0074345C">
              <w:t>Se está e</w:t>
            </w:r>
            <w:r w:rsidR="003260F8" w:rsidRPr="0074345C">
              <w:t>laboran</w:t>
            </w:r>
            <w:r w:rsidRPr="0074345C">
              <w:t>do</w:t>
            </w:r>
            <w:r w:rsidR="003260F8" w:rsidRPr="0074345C">
              <w:t xml:space="preserve"> una plataforma de T.I. y creand</w:t>
            </w:r>
            <w:r w:rsidRPr="0074345C">
              <w:t>o</w:t>
            </w:r>
            <w:r w:rsidR="003260F8" w:rsidRPr="0074345C">
              <w:t xml:space="preserve"> un centro de datos.</w:t>
            </w:r>
          </w:p>
        </w:tc>
        <w:tc>
          <w:tcPr>
            <w:tcW w:w="2694" w:type="dxa"/>
            <w:shd w:val="clear" w:color="auto" w:fill="auto"/>
          </w:tcPr>
          <w:p w:rsidR="003260F8" w:rsidRPr="0074345C" w:rsidRDefault="003260F8" w:rsidP="00E00028"/>
          <w:p w:rsidR="003260F8" w:rsidRPr="0074345C" w:rsidRDefault="003260F8" w:rsidP="003260F8">
            <w:r w:rsidRPr="0074345C">
              <w:t>Las bases de datos de nueve organismos de gestión colectiva son uniformes y accesibles como unidad (por Internet u otros medios) por parte de todos los organismos de gestión colectiva agrupadas en red.</w:t>
            </w:r>
          </w:p>
          <w:p w:rsidR="00502F27" w:rsidRPr="0074345C" w:rsidRDefault="00502F27" w:rsidP="00E00028"/>
        </w:tc>
        <w:tc>
          <w:tcPr>
            <w:tcW w:w="3402" w:type="dxa"/>
            <w:shd w:val="clear" w:color="auto" w:fill="auto"/>
          </w:tcPr>
          <w:p w:rsidR="003260F8" w:rsidRPr="0074345C" w:rsidRDefault="003260F8" w:rsidP="00E00028"/>
          <w:p w:rsidR="00502F27" w:rsidRPr="0074345C" w:rsidRDefault="003260F8" w:rsidP="003260F8">
            <w:r w:rsidRPr="0074345C">
              <w:t>Ídem.</w:t>
            </w:r>
          </w:p>
        </w:tc>
        <w:tc>
          <w:tcPr>
            <w:tcW w:w="964" w:type="dxa"/>
            <w:shd w:val="clear" w:color="auto" w:fill="auto"/>
          </w:tcPr>
          <w:p w:rsidR="003260F8" w:rsidRPr="0074345C" w:rsidRDefault="003260F8" w:rsidP="00E00028"/>
          <w:p w:rsidR="00502F27" w:rsidRPr="0074345C" w:rsidRDefault="003260F8" w:rsidP="003260F8">
            <w:r w:rsidRPr="0074345C">
              <w:t>NA</w:t>
            </w:r>
          </w:p>
        </w:tc>
      </w:tr>
      <w:tr w:rsidR="00502F27" w:rsidRPr="0074345C" w:rsidTr="009F2FA4">
        <w:trPr>
          <w:trHeight w:val="509"/>
        </w:trPr>
        <w:tc>
          <w:tcPr>
            <w:tcW w:w="2410" w:type="dxa"/>
            <w:shd w:val="clear" w:color="auto" w:fill="auto"/>
          </w:tcPr>
          <w:p w:rsidR="003260F8" w:rsidRPr="0074345C" w:rsidRDefault="003260F8" w:rsidP="00E00028">
            <w:pPr>
              <w:rPr>
                <w:bCs/>
              </w:rPr>
            </w:pPr>
          </w:p>
          <w:p w:rsidR="003260F8" w:rsidRPr="0074345C" w:rsidRDefault="003260F8" w:rsidP="003260F8">
            <w:pPr>
              <w:rPr>
                <w:bCs/>
              </w:rPr>
            </w:pPr>
            <w:r w:rsidRPr="0074345C">
              <w:rPr>
                <w:bCs/>
              </w:rPr>
              <w:t>Lograr un sistema de registro rentable y de fácil acceso para identificar las obras y los titulares de derechos.</w:t>
            </w:r>
          </w:p>
          <w:p w:rsidR="00502F27" w:rsidRPr="0074345C" w:rsidRDefault="00502F27" w:rsidP="00E00028">
            <w:pPr>
              <w:rPr>
                <w:bCs/>
              </w:rPr>
            </w:pPr>
          </w:p>
        </w:tc>
        <w:tc>
          <w:tcPr>
            <w:tcW w:w="2694" w:type="dxa"/>
            <w:shd w:val="clear" w:color="auto" w:fill="auto"/>
          </w:tcPr>
          <w:p w:rsidR="003260F8" w:rsidRPr="0074345C" w:rsidRDefault="003260F8" w:rsidP="00E00028"/>
          <w:p w:rsidR="00502F27" w:rsidRPr="0074345C" w:rsidRDefault="003260F8" w:rsidP="003260F8">
            <w:r w:rsidRPr="0074345C">
              <w:t>Todos los organismos de gestión colectiva ya tienen acceso a las bases de datos internacionales y pueden registrar las obras y los datos de las partes interesadas.</w:t>
            </w:r>
          </w:p>
        </w:tc>
        <w:tc>
          <w:tcPr>
            <w:tcW w:w="3402" w:type="dxa"/>
            <w:shd w:val="clear" w:color="auto" w:fill="auto"/>
          </w:tcPr>
          <w:p w:rsidR="003260F8" w:rsidRPr="0074345C" w:rsidRDefault="003260F8" w:rsidP="00E00028"/>
          <w:p w:rsidR="00502F27" w:rsidRPr="0074345C" w:rsidRDefault="003260F8" w:rsidP="003260F8">
            <w:r w:rsidRPr="0074345C">
              <w:t>Ídem.</w:t>
            </w:r>
          </w:p>
        </w:tc>
        <w:tc>
          <w:tcPr>
            <w:tcW w:w="964" w:type="dxa"/>
            <w:shd w:val="clear" w:color="auto" w:fill="auto"/>
          </w:tcPr>
          <w:p w:rsidR="003260F8" w:rsidRPr="0074345C" w:rsidRDefault="003260F8" w:rsidP="00E00028"/>
          <w:p w:rsidR="00502F27" w:rsidRPr="0074345C" w:rsidRDefault="003260F8" w:rsidP="003260F8">
            <w:r w:rsidRPr="0074345C">
              <w:t>NA</w:t>
            </w:r>
          </w:p>
        </w:tc>
      </w:tr>
    </w:tbl>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3260F8">
      <w:pPr>
        <w:tabs>
          <w:tab w:val="left" w:pos="5670"/>
        </w:tabs>
        <w:ind w:firstLine="5670"/>
      </w:pPr>
      <w:r w:rsidRPr="0074345C">
        <w:t>[Sigue el Anexo II]</w:t>
      </w:r>
    </w:p>
    <w:p w:rsidR="00502F27" w:rsidRPr="0074345C" w:rsidRDefault="00502F27" w:rsidP="00502F27">
      <w:pPr>
        <w:sectPr w:rsidR="00502F27" w:rsidRPr="0074345C" w:rsidSect="00E00028">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502F27" w:rsidRPr="0074345C" w:rsidRDefault="00502F27" w:rsidP="00502F2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F27" w:rsidRPr="0074345C" w:rsidRDefault="003260F8" w:rsidP="003260F8">
            <w:pPr>
              <w:rPr>
                <w:bCs/>
                <w:iCs/>
                <w:caps/>
                <w:szCs w:val="28"/>
                <w:lang w:eastAsia="en-US"/>
              </w:rPr>
            </w:pPr>
            <w:r w:rsidRPr="0074345C">
              <w:rPr>
                <w:bCs/>
                <w:iCs/>
                <w:caps/>
                <w:szCs w:val="28"/>
                <w:lang w:eastAsia="en-US"/>
              </w:rPr>
              <w:t>RESUMEN DEL PROYECTO</w:t>
            </w:r>
          </w:p>
        </w:tc>
      </w:tr>
      <w:tr w:rsidR="006376E7" w:rsidRPr="0074345C" w:rsidTr="00E00028">
        <w:trPr>
          <w:trHeight w:val="496"/>
        </w:trPr>
        <w:tc>
          <w:tcPr>
            <w:tcW w:w="2376" w:type="dxa"/>
            <w:shd w:val="clear" w:color="auto" w:fill="auto"/>
            <w:vAlign w:val="center"/>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Código del proyecto</w:t>
            </w:r>
          </w:p>
          <w:p w:rsidR="00502F27" w:rsidRPr="0074345C" w:rsidRDefault="00502F27" w:rsidP="00E00028"/>
        </w:tc>
        <w:tc>
          <w:tcPr>
            <w:tcW w:w="6912" w:type="dxa"/>
            <w:shd w:val="clear" w:color="auto" w:fill="auto"/>
            <w:vAlign w:val="center"/>
          </w:tcPr>
          <w:p w:rsidR="003260F8" w:rsidRPr="0074345C" w:rsidRDefault="003260F8" w:rsidP="00E00028">
            <w:pPr>
              <w:rPr>
                <w:iCs/>
              </w:rPr>
            </w:pPr>
          </w:p>
          <w:p w:rsidR="003260F8" w:rsidRPr="0074345C" w:rsidRDefault="003260F8" w:rsidP="003260F8">
            <w:pPr>
              <w:rPr>
                <w:iCs/>
              </w:rPr>
            </w:pPr>
            <w:r w:rsidRPr="0074345C">
              <w:rPr>
                <w:iCs/>
              </w:rPr>
              <w:t>DA_19_25_26_28_01</w:t>
            </w:r>
          </w:p>
          <w:p w:rsidR="00502F27" w:rsidRPr="0074345C" w:rsidRDefault="00502F27" w:rsidP="00E00028">
            <w:pPr>
              <w:rPr>
                <w:iCs/>
              </w:rPr>
            </w:pPr>
          </w:p>
        </w:tc>
      </w:tr>
      <w:tr w:rsidR="006376E7" w:rsidRPr="0074345C" w:rsidTr="00E00028">
        <w:trPr>
          <w:trHeight w:val="404"/>
        </w:trPr>
        <w:tc>
          <w:tcPr>
            <w:tcW w:w="2376" w:type="dxa"/>
            <w:shd w:val="clear" w:color="auto" w:fill="auto"/>
            <w:vAlign w:val="center"/>
          </w:tcPr>
          <w:p w:rsidR="00502F27" w:rsidRPr="0074345C" w:rsidRDefault="003260F8" w:rsidP="003260F8">
            <w:pPr>
              <w:pStyle w:val="Heading3"/>
              <w:keepNext w:val="0"/>
              <w:spacing w:before="60"/>
            </w:pPr>
            <w:r w:rsidRPr="0074345C">
              <w:t>Título</w:t>
            </w:r>
          </w:p>
        </w:tc>
        <w:tc>
          <w:tcPr>
            <w:tcW w:w="6912" w:type="dxa"/>
            <w:shd w:val="clear" w:color="auto" w:fill="auto"/>
            <w:vAlign w:val="center"/>
          </w:tcPr>
          <w:p w:rsidR="003260F8" w:rsidRPr="0074345C" w:rsidRDefault="003260F8" w:rsidP="00E00028">
            <w:pPr>
              <w:spacing w:before="60" w:after="60"/>
              <w:rPr>
                <w:iCs/>
              </w:rPr>
            </w:pPr>
          </w:p>
          <w:p w:rsidR="00502F27" w:rsidRPr="0074345C" w:rsidRDefault="003260F8" w:rsidP="005A7EBB">
            <w:pPr>
              <w:spacing w:before="60" w:after="60"/>
              <w:rPr>
                <w:iCs/>
              </w:rPr>
            </w:pPr>
            <w:r w:rsidRPr="0074345C">
              <w:rPr>
                <w:iCs/>
              </w:rPr>
              <w:t>Propiedad intelectual y transferencia de tecnología: desafíos comunes y búsqueda de soluciones</w:t>
            </w:r>
          </w:p>
        </w:tc>
      </w:tr>
      <w:tr w:rsidR="006376E7" w:rsidRPr="0074345C" w:rsidTr="00E00028">
        <w:tc>
          <w:tcPr>
            <w:tcW w:w="2376" w:type="dxa"/>
            <w:shd w:val="clear" w:color="auto" w:fill="auto"/>
          </w:tcPr>
          <w:p w:rsidR="003260F8" w:rsidRPr="0074345C" w:rsidRDefault="003260F8" w:rsidP="00E00028">
            <w:pPr>
              <w:pStyle w:val="Heading3"/>
              <w:keepNext w:val="0"/>
              <w:spacing w:before="60"/>
            </w:pPr>
          </w:p>
          <w:p w:rsidR="003260F8" w:rsidRPr="0074345C" w:rsidRDefault="003260F8" w:rsidP="003260F8">
            <w:pPr>
              <w:pStyle w:val="Heading3"/>
              <w:keepNext w:val="0"/>
              <w:spacing w:before="60"/>
            </w:pPr>
            <w:r w:rsidRPr="0074345C">
              <w:t>Recomendación de la Agenda para el Desarrollo</w:t>
            </w:r>
          </w:p>
          <w:p w:rsidR="00502F27" w:rsidRPr="0074345C" w:rsidRDefault="00502F27" w:rsidP="00E00028">
            <w:pPr>
              <w:spacing w:before="60" w:after="60"/>
            </w:pPr>
          </w:p>
        </w:tc>
        <w:tc>
          <w:tcPr>
            <w:tcW w:w="6912" w:type="dxa"/>
            <w:shd w:val="clear" w:color="auto" w:fill="auto"/>
          </w:tcPr>
          <w:p w:rsidR="003260F8" w:rsidRPr="0074345C" w:rsidRDefault="003260F8" w:rsidP="00E00028">
            <w:pPr>
              <w:spacing w:before="60" w:after="60"/>
              <w:rPr>
                <w:i/>
              </w:rPr>
            </w:pPr>
          </w:p>
          <w:p w:rsidR="003260F8" w:rsidRPr="0074345C" w:rsidRDefault="003260F8" w:rsidP="003260F8">
            <w:pPr>
              <w:spacing w:before="60" w:after="60"/>
              <w:rPr>
                <w:iCs/>
              </w:rPr>
            </w:pPr>
            <w:r w:rsidRPr="0074345C">
              <w:rPr>
                <w:i/>
                <w:iCs/>
              </w:rPr>
              <w:t xml:space="preserve">Recomendación 19:  </w:t>
            </w:r>
            <w:r w:rsidRPr="0074345C">
              <w:rPr>
                <w:iCs/>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3260F8" w:rsidRPr="0074345C" w:rsidRDefault="003260F8" w:rsidP="00E00028">
            <w:pPr>
              <w:spacing w:before="60" w:after="60"/>
              <w:rPr>
                <w:iCs/>
              </w:rPr>
            </w:pPr>
          </w:p>
          <w:p w:rsidR="003260F8" w:rsidRPr="0074345C" w:rsidRDefault="003260F8" w:rsidP="003260F8">
            <w:pPr>
              <w:spacing w:before="60" w:after="60"/>
              <w:rPr>
                <w:iCs/>
              </w:rPr>
            </w:pPr>
            <w:r w:rsidRPr="0074345C">
              <w:rPr>
                <w:i/>
                <w:iCs/>
              </w:rPr>
              <w:t>Recomendación 25</w:t>
            </w:r>
            <w:proofErr w:type="gramStart"/>
            <w:r w:rsidRPr="0074345C">
              <w:rPr>
                <w:i/>
                <w:iCs/>
              </w:rPr>
              <w:t xml:space="preserve">:  </w:t>
            </w:r>
            <w:r w:rsidRPr="0074345C">
              <w:rPr>
                <w:iCs/>
              </w:rPr>
              <w:t>Estudiar</w:t>
            </w:r>
            <w:proofErr w:type="gramEnd"/>
            <w:r w:rsidRPr="0074345C">
              <w:rPr>
                <w:iCs/>
              </w:rPr>
              <w:t xml:space="preserve">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3260F8" w:rsidRPr="0074345C" w:rsidRDefault="003260F8" w:rsidP="00E00028">
            <w:pPr>
              <w:spacing w:before="60" w:after="60"/>
              <w:rPr>
                <w:iCs/>
              </w:rPr>
            </w:pPr>
          </w:p>
          <w:p w:rsidR="003260F8" w:rsidRPr="0074345C" w:rsidRDefault="003260F8" w:rsidP="003260F8">
            <w:pPr>
              <w:spacing w:before="60" w:after="60"/>
              <w:rPr>
                <w:iCs/>
              </w:rPr>
            </w:pPr>
            <w:r w:rsidRPr="0074345C">
              <w:rPr>
                <w:i/>
                <w:iCs/>
              </w:rPr>
              <w:t>Recomendación 26</w:t>
            </w:r>
            <w:proofErr w:type="gramStart"/>
            <w:r w:rsidRPr="0074345C">
              <w:rPr>
                <w:i/>
                <w:iCs/>
              </w:rPr>
              <w:t xml:space="preserve">:  </w:t>
            </w:r>
            <w:r w:rsidRPr="0074345C">
              <w:rPr>
                <w:iCs/>
              </w:rPr>
              <w:t>Alentar</w:t>
            </w:r>
            <w:proofErr w:type="gramEnd"/>
            <w:r w:rsidRPr="0074345C">
              <w:rPr>
                <w:iCs/>
              </w:rPr>
              <w:t xml:space="preserve">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rsidR="003260F8" w:rsidRPr="0074345C" w:rsidRDefault="003260F8" w:rsidP="00E00028">
            <w:pPr>
              <w:spacing w:before="60" w:after="60"/>
              <w:rPr>
                <w:iCs/>
              </w:rPr>
            </w:pPr>
          </w:p>
          <w:p w:rsidR="003260F8" w:rsidRPr="0074345C" w:rsidRDefault="003260F8" w:rsidP="003260F8">
            <w:pPr>
              <w:spacing w:before="60" w:after="60"/>
              <w:rPr>
                <w:i/>
              </w:rPr>
            </w:pPr>
            <w:r w:rsidRPr="0074345C">
              <w:rPr>
                <w:i/>
              </w:rPr>
              <w:t>Recomendación 28</w:t>
            </w:r>
            <w:proofErr w:type="gramStart"/>
            <w:r w:rsidRPr="0074345C">
              <w:rPr>
                <w:i/>
              </w:rPr>
              <w:t xml:space="preserve">:  </w:t>
            </w:r>
            <w:r w:rsidRPr="0074345C">
              <w:t>Estudiar</w:t>
            </w:r>
            <w:proofErr w:type="gramEnd"/>
            <w:r w:rsidRPr="0074345C">
              <w:t xml:space="preserve"> las políticas y medidas de apoyo a la P.I. que podrían adoptar los Estados miembros, en especial los países desarrollados, para fomentar la transferencia y difusión de tecnología a los países en desarrollo</w:t>
            </w:r>
            <w:r w:rsidRPr="0074345C">
              <w:rPr>
                <w:i/>
              </w:rPr>
              <w:t>.</w:t>
            </w:r>
          </w:p>
          <w:p w:rsidR="00502F27" w:rsidRPr="0074345C" w:rsidRDefault="00502F27" w:rsidP="00E00028">
            <w:pPr>
              <w:spacing w:before="60" w:after="60"/>
              <w:rPr>
                <w:i/>
              </w:rPr>
            </w:pPr>
          </w:p>
        </w:tc>
      </w:tr>
      <w:tr w:rsidR="006376E7" w:rsidRPr="0074345C" w:rsidTr="00E00028">
        <w:tc>
          <w:tcPr>
            <w:tcW w:w="2376" w:type="dxa"/>
            <w:shd w:val="clear" w:color="auto" w:fill="auto"/>
          </w:tcPr>
          <w:p w:rsidR="003260F8" w:rsidRPr="0074345C" w:rsidRDefault="003260F8" w:rsidP="00E00028">
            <w:pPr>
              <w:pStyle w:val="Heading3"/>
              <w:keepNext w:val="0"/>
              <w:spacing w:before="60"/>
            </w:pPr>
          </w:p>
          <w:p w:rsidR="003260F8" w:rsidRPr="0074345C" w:rsidRDefault="003260F8" w:rsidP="003260F8">
            <w:pPr>
              <w:pStyle w:val="Heading3"/>
              <w:keepNext w:val="0"/>
              <w:spacing w:before="60"/>
            </w:pPr>
            <w:r w:rsidRPr="0074345C">
              <w:t>Presupuesto del proyecto</w:t>
            </w:r>
          </w:p>
          <w:p w:rsidR="00502F27" w:rsidRPr="0074345C" w:rsidRDefault="00502F27" w:rsidP="00E00028">
            <w:pPr>
              <w:spacing w:before="60" w:after="60"/>
            </w:pPr>
          </w:p>
        </w:tc>
        <w:tc>
          <w:tcPr>
            <w:tcW w:w="6912" w:type="dxa"/>
            <w:shd w:val="clear" w:color="auto" w:fill="auto"/>
          </w:tcPr>
          <w:p w:rsidR="003260F8" w:rsidRPr="0074345C" w:rsidRDefault="003260F8" w:rsidP="00E00028">
            <w:pPr>
              <w:spacing w:before="60" w:after="60"/>
            </w:pPr>
          </w:p>
          <w:p w:rsidR="003260F8" w:rsidRPr="0074345C" w:rsidRDefault="003260F8" w:rsidP="003260F8">
            <w:pPr>
              <w:spacing w:before="60" w:after="60"/>
            </w:pPr>
            <w:r w:rsidRPr="0074345C">
              <w:t>Gastos no relativos al personal: 1.193.000 francos suizos</w:t>
            </w:r>
          </w:p>
          <w:p w:rsidR="003260F8" w:rsidRPr="0074345C" w:rsidRDefault="003260F8" w:rsidP="00E00028">
            <w:pPr>
              <w:spacing w:before="60" w:after="60"/>
            </w:pPr>
          </w:p>
          <w:p w:rsidR="003260F8" w:rsidRPr="0074345C" w:rsidRDefault="003260F8" w:rsidP="003260F8">
            <w:pPr>
              <w:spacing w:before="60" w:after="60"/>
            </w:pPr>
            <w:r w:rsidRPr="0074345C">
              <w:t>Gastos de personal: 598.000 francos suizos</w:t>
            </w:r>
          </w:p>
          <w:p w:rsidR="00502F27" w:rsidRPr="0074345C" w:rsidRDefault="00502F27" w:rsidP="00E00028">
            <w:pPr>
              <w:spacing w:before="60" w:after="60"/>
            </w:pPr>
            <w:r w:rsidRPr="0074345C">
              <w:t xml:space="preserve"> </w:t>
            </w:r>
          </w:p>
        </w:tc>
      </w:tr>
      <w:tr w:rsidR="006376E7" w:rsidRPr="0074345C" w:rsidTr="00E00028">
        <w:tc>
          <w:tcPr>
            <w:tcW w:w="2376" w:type="dxa"/>
            <w:shd w:val="clear" w:color="auto" w:fill="auto"/>
          </w:tcPr>
          <w:p w:rsidR="003260F8" w:rsidRPr="0074345C" w:rsidRDefault="003260F8" w:rsidP="00E00028">
            <w:pPr>
              <w:pStyle w:val="Heading3"/>
              <w:keepNext w:val="0"/>
              <w:spacing w:before="60"/>
            </w:pPr>
          </w:p>
          <w:p w:rsidR="003260F8" w:rsidRPr="0074345C" w:rsidRDefault="003260F8" w:rsidP="003260F8">
            <w:pPr>
              <w:pStyle w:val="Heading3"/>
              <w:keepNext w:val="0"/>
              <w:spacing w:before="60"/>
            </w:pPr>
            <w:r w:rsidRPr="0074345C">
              <w:t>Fecha de inicio del proyecto</w:t>
            </w:r>
          </w:p>
          <w:p w:rsidR="00502F27" w:rsidRPr="0074345C" w:rsidRDefault="00502F27" w:rsidP="00E00028">
            <w:pPr>
              <w:spacing w:before="60" w:after="60"/>
            </w:pPr>
          </w:p>
        </w:tc>
        <w:tc>
          <w:tcPr>
            <w:tcW w:w="6912" w:type="dxa"/>
            <w:shd w:val="clear" w:color="auto" w:fill="auto"/>
          </w:tcPr>
          <w:p w:rsidR="003260F8" w:rsidRPr="0074345C" w:rsidRDefault="003260F8" w:rsidP="00E00028">
            <w:pPr>
              <w:spacing w:before="60" w:after="60"/>
            </w:pPr>
          </w:p>
          <w:p w:rsidR="00502F27" w:rsidRPr="0074345C" w:rsidRDefault="003260F8" w:rsidP="003260F8">
            <w:pPr>
              <w:spacing w:before="60" w:after="60"/>
            </w:pPr>
            <w:r w:rsidRPr="0074345C">
              <w:t>Enero de 2011</w:t>
            </w:r>
          </w:p>
        </w:tc>
      </w:tr>
      <w:tr w:rsidR="006376E7" w:rsidRPr="0074345C" w:rsidTr="00E00028">
        <w:tc>
          <w:tcPr>
            <w:tcW w:w="2376" w:type="dxa"/>
            <w:shd w:val="clear" w:color="auto" w:fill="auto"/>
          </w:tcPr>
          <w:p w:rsidR="003260F8" w:rsidRPr="0074345C" w:rsidRDefault="003260F8" w:rsidP="00E00028">
            <w:pPr>
              <w:pStyle w:val="Heading3"/>
              <w:keepNext w:val="0"/>
              <w:spacing w:before="60"/>
            </w:pPr>
          </w:p>
          <w:p w:rsidR="003260F8" w:rsidRPr="0074345C" w:rsidRDefault="003260F8" w:rsidP="003260F8">
            <w:pPr>
              <w:pStyle w:val="Heading3"/>
              <w:keepNext w:val="0"/>
              <w:spacing w:before="60"/>
            </w:pPr>
            <w:r w:rsidRPr="0074345C">
              <w:t>Duración del proyecto</w:t>
            </w:r>
          </w:p>
          <w:p w:rsidR="00502F27" w:rsidRPr="0074345C" w:rsidRDefault="00502F27" w:rsidP="00E00028">
            <w:pPr>
              <w:spacing w:before="60" w:after="60"/>
            </w:pPr>
          </w:p>
        </w:tc>
        <w:tc>
          <w:tcPr>
            <w:tcW w:w="6912" w:type="dxa"/>
            <w:shd w:val="clear" w:color="auto" w:fill="auto"/>
          </w:tcPr>
          <w:p w:rsidR="003260F8" w:rsidRPr="0074345C" w:rsidRDefault="003260F8" w:rsidP="00E00028">
            <w:pPr>
              <w:spacing w:before="60" w:after="60"/>
            </w:pPr>
          </w:p>
          <w:p w:rsidR="00502F27" w:rsidRPr="0074345C" w:rsidRDefault="00502F27" w:rsidP="00773E6B">
            <w:pPr>
              <w:spacing w:before="60" w:after="60"/>
            </w:pPr>
            <w:r w:rsidRPr="0074345C">
              <w:t>42 m</w:t>
            </w:r>
            <w:r w:rsidR="00773E6B" w:rsidRPr="0074345C">
              <w:t xml:space="preserve">eses según el nuevo calendario aprobado por el </w:t>
            </w:r>
            <w:r w:rsidR="009E13C2" w:rsidRPr="0074345C">
              <w:t>CDIP</w:t>
            </w:r>
            <w:r w:rsidRPr="0074345C">
              <w:t xml:space="preserve"> </w:t>
            </w:r>
            <w:r w:rsidR="009F2FA4" w:rsidRPr="0074345C">
              <w:t>en su decimo</w:t>
            </w:r>
            <w:r w:rsidR="00773E6B" w:rsidRPr="0074345C">
              <w:t>segunda sesión</w:t>
            </w:r>
            <w:r w:rsidRPr="0074345C">
              <w:t>.</w:t>
            </w:r>
          </w:p>
        </w:tc>
      </w:tr>
    </w:tbl>
    <w:p w:rsidR="00502F27" w:rsidRPr="0074345C" w:rsidRDefault="00502F27" w:rsidP="00502F27">
      <w:r w:rsidRPr="0074345C">
        <w:rPr>
          <w:bC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c>
          <w:tcPr>
            <w:tcW w:w="2376" w:type="dxa"/>
            <w:shd w:val="clear" w:color="auto" w:fill="auto"/>
          </w:tcPr>
          <w:p w:rsidR="003260F8" w:rsidRPr="0074345C" w:rsidRDefault="003260F8" w:rsidP="003260F8">
            <w:pPr>
              <w:pStyle w:val="Heading3"/>
              <w:keepNext w:val="0"/>
              <w:spacing w:before="60"/>
            </w:pPr>
            <w:r w:rsidRPr="0074345C">
              <w:lastRenderedPageBreak/>
              <w:t xml:space="preserve">Principales sectores de la OMPI interesados y vínculos con los </w:t>
            </w:r>
            <w:r w:rsidR="00B46E3A" w:rsidRPr="0074345C">
              <w:t>Programa</w:t>
            </w:r>
            <w:r w:rsidRPr="0074345C">
              <w:t>s de la Organización</w:t>
            </w:r>
            <w:r w:rsidR="00502F27" w:rsidRPr="0074345C">
              <w:t xml:space="preserve"> </w:t>
            </w:r>
          </w:p>
          <w:p w:rsidR="00502F27" w:rsidRPr="0074345C" w:rsidRDefault="00193CE1" w:rsidP="00E00028">
            <w:pPr>
              <w:pStyle w:val="Heading3"/>
              <w:keepNext w:val="0"/>
              <w:spacing w:before="60"/>
            </w:pPr>
            <w:r w:rsidRPr="0074345C">
              <w:t xml:space="preserve">OMPI </w:t>
            </w:r>
            <w:r w:rsidR="00502F27" w:rsidRPr="0074345C">
              <w:t xml:space="preserve"> </w:t>
            </w:r>
            <w:r w:rsidR="009E13C2" w:rsidRPr="0074345C">
              <w:t xml:space="preserve">Programa </w:t>
            </w:r>
            <w:r w:rsidR="00502F27" w:rsidRPr="0074345C">
              <w:t>s</w:t>
            </w:r>
          </w:p>
        </w:tc>
        <w:tc>
          <w:tcPr>
            <w:tcW w:w="6912" w:type="dxa"/>
            <w:shd w:val="clear" w:color="auto" w:fill="auto"/>
          </w:tcPr>
          <w:p w:rsidR="003260F8" w:rsidRPr="0074345C" w:rsidRDefault="003260F8" w:rsidP="003260F8">
            <w:pPr>
              <w:spacing w:before="60" w:after="60"/>
            </w:pPr>
            <w:r w:rsidRPr="0074345C">
              <w:t>Sector de Tecnología e Innovación; División de Desafíos Mundiales;  y División de Economía y Estadística.</w:t>
            </w:r>
          </w:p>
          <w:p w:rsidR="003260F8" w:rsidRPr="0074345C" w:rsidRDefault="003260F8" w:rsidP="00E00028">
            <w:pPr>
              <w:spacing w:before="60" w:after="60"/>
            </w:pPr>
          </w:p>
          <w:p w:rsidR="003260F8" w:rsidRPr="0074345C" w:rsidRDefault="003260F8" w:rsidP="003260F8">
            <w:pPr>
              <w:spacing w:before="60" w:after="60"/>
            </w:pPr>
            <w:r w:rsidRPr="0074345C">
              <w:t xml:space="preserve">El </w:t>
            </w:r>
            <w:r w:rsidR="00193CE1" w:rsidRPr="0074345C">
              <w:t xml:space="preserve">proyectos </w:t>
            </w:r>
            <w:r w:rsidRPr="0074345C">
              <w:t>obre Estructura de apoyo a la innovación y a la transferencia de tecnología para las instituciones nacionales</w:t>
            </w:r>
          </w:p>
          <w:p w:rsidR="003260F8" w:rsidRPr="0074345C" w:rsidRDefault="003260F8" w:rsidP="00E00028">
            <w:pPr>
              <w:spacing w:before="60" w:after="60"/>
            </w:pPr>
          </w:p>
          <w:p w:rsidR="003260F8" w:rsidRPr="0074345C" w:rsidRDefault="003260F8" w:rsidP="003260F8">
            <w:pPr>
              <w:spacing w:before="60" w:after="60"/>
            </w:pPr>
            <w:r w:rsidRPr="0074345C">
              <w:t xml:space="preserve">Vínculos con los </w:t>
            </w:r>
            <w:r w:rsidR="00AC0CD4" w:rsidRPr="0074345C">
              <w:t>Programas</w:t>
            </w:r>
            <w:r w:rsidRPr="0074345C">
              <w:t xml:space="preserve"> 1, 8, 9, 10 y 18.</w:t>
            </w:r>
            <w:r w:rsidR="00502F27" w:rsidRPr="0074345C">
              <w:t xml:space="preserve"> </w:t>
            </w:r>
          </w:p>
          <w:p w:rsidR="00502F27" w:rsidRPr="0074345C" w:rsidRDefault="00502F27" w:rsidP="00E00028">
            <w:pPr>
              <w:spacing w:before="60" w:after="60"/>
            </w:pPr>
          </w:p>
        </w:tc>
      </w:tr>
      <w:tr w:rsidR="006376E7" w:rsidRPr="0074345C" w:rsidTr="00E00028">
        <w:tc>
          <w:tcPr>
            <w:tcW w:w="2376" w:type="dxa"/>
            <w:shd w:val="clear" w:color="auto" w:fill="auto"/>
          </w:tcPr>
          <w:p w:rsidR="00502F27" w:rsidRPr="0074345C" w:rsidRDefault="003260F8" w:rsidP="003260F8">
            <w:pPr>
              <w:pStyle w:val="Heading3"/>
              <w:keepNext w:val="0"/>
              <w:spacing w:before="60"/>
            </w:pPr>
            <w:r w:rsidRPr="0074345C">
              <w:t>Breve descripción del proyecto</w:t>
            </w:r>
          </w:p>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p w:rsidR="00B97C8D" w:rsidRPr="0074345C" w:rsidRDefault="00B97C8D" w:rsidP="00B97C8D"/>
        </w:tc>
        <w:tc>
          <w:tcPr>
            <w:tcW w:w="6912" w:type="dxa"/>
            <w:shd w:val="clear" w:color="auto" w:fill="auto"/>
          </w:tcPr>
          <w:p w:rsidR="003260F8" w:rsidRPr="0074345C" w:rsidRDefault="003260F8" w:rsidP="003260F8">
            <w:r w:rsidRPr="0074345C">
              <w:t>El proyecto constará de una serie de actividades destinadas a estudiar posibles iniciativas y políticas de P.I. que favorezcan la transferencia de tecnología así como la difusión y facilitación del acceso a la tecnología en aras del desarrollo, especialmente en beneficio de los países en desarrollo y de los PMA.</w:t>
            </w:r>
          </w:p>
          <w:p w:rsidR="003260F8" w:rsidRPr="0074345C" w:rsidRDefault="003260F8" w:rsidP="00E00028"/>
          <w:p w:rsidR="003260F8" w:rsidRPr="0074345C" w:rsidRDefault="003260F8" w:rsidP="003260F8">
            <w:r w:rsidRPr="0074345C">
              <w:t xml:space="preserve">Las actividades previstas en el marco del </w:t>
            </w:r>
            <w:r w:rsidR="00193CE1" w:rsidRPr="0074345C">
              <w:t xml:space="preserve">proyectos </w:t>
            </w:r>
            <w:r w:rsidR="00BD041E" w:rsidRPr="0074345C">
              <w:t>son</w:t>
            </w:r>
            <w:r w:rsidRPr="0074345C">
              <w:t xml:space="preserve"> las siguientes (véase el documento </w:t>
            </w:r>
            <w:hyperlink r:id="rId17" w:history="1">
              <w:r w:rsidR="00916512" w:rsidRPr="0074345C">
                <w:rPr>
                  <w:rStyle w:val="Hyperlink"/>
                  <w:color w:val="auto"/>
                </w:rPr>
                <w:t>CDIP/9/INF/4</w:t>
              </w:r>
            </w:hyperlink>
            <w:r w:rsidRPr="0074345C">
              <w:t>, párrafo 55):</w:t>
            </w:r>
            <w:r w:rsidR="00502F27" w:rsidRPr="0074345C">
              <w:t xml:space="preserve"> </w:t>
            </w:r>
          </w:p>
          <w:p w:rsidR="003260F8" w:rsidRPr="0074345C" w:rsidRDefault="003260F8" w:rsidP="00E00028"/>
          <w:p w:rsidR="003260F8" w:rsidRPr="0074345C" w:rsidRDefault="003260F8" w:rsidP="003260F8">
            <w:pPr>
              <w:ind w:left="34"/>
            </w:pPr>
            <w:r w:rsidRPr="0074345C">
              <w:t>Actividad 1.  La organización de cinco reuniones regionales de consulta sobre transferencia de tecnología en diferentes regiones del mundo, en particular los países en desarrollo, previa consulta con los Estados miembros en Ginebra, en las que participen las partes interesadas del sector de la transferencia de tecnología, incluidas las organizaciones pertinentes de las Naciones Unidas.</w:t>
            </w:r>
          </w:p>
          <w:p w:rsidR="003260F8" w:rsidRPr="0074345C" w:rsidRDefault="003260F8" w:rsidP="00E00028">
            <w:pPr>
              <w:ind w:left="34"/>
            </w:pPr>
          </w:p>
          <w:p w:rsidR="003260F8" w:rsidRPr="0074345C" w:rsidRDefault="003260F8" w:rsidP="003260F8">
            <w:pPr>
              <w:ind w:left="34"/>
            </w:pPr>
            <w:r w:rsidRPr="0074345C">
              <w:t>Actividad 2.  La elaboración de varios estudios analíticos, examinados por expertos, en colaboración con organizaciones pertinentes del sistema de Naciones Unidas y otras organizaciones internacionales, que abarquen estudios económicos y estudios de caso sobre la transferencia de tecnología a escala internacional que generen datos que puedan utilizarse para el foro internacional de alto nivel.</w:t>
            </w:r>
          </w:p>
          <w:p w:rsidR="003260F8" w:rsidRPr="0074345C" w:rsidRDefault="003260F8" w:rsidP="00E00028">
            <w:pPr>
              <w:ind w:left="34"/>
            </w:pPr>
          </w:p>
          <w:p w:rsidR="003260F8" w:rsidRPr="0074345C" w:rsidRDefault="003260F8" w:rsidP="003260F8">
            <w:pPr>
              <w:ind w:left="34"/>
            </w:pPr>
            <w:r w:rsidRPr="0074345C">
              <w:t>Actividad 3.  La elaboración de un documento conceptual sobre la búsqueda de soluciones sobre la base de los debates en el foro internacional de expertos de alto nivel que se presentará al CDIP para su aprobación (en particular, la presentación previa del documento conceptual, para que los expertos internacionales puedan formular observaciones sobre ese primer proyecto; la presentación del documento conceptual a las Misiones Permanentes en Ginebra y la celebración de una reunión de un día con las organizaciones intergubernamentales, las organizaciones no gubernamentales y las asociaciones pro</w:t>
            </w:r>
            <w:r w:rsidR="00916512" w:rsidRPr="0074345C">
              <w:t xml:space="preserve">fesionales (véase el documento </w:t>
            </w:r>
            <w:hyperlink r:id="rId18" w:history="1">
              <w:r w:rsidR="00916512" w:rsidRPr="0074345C">
                <w:rPr>
                  <w:rStyle w:val="Hyperlink"/>
                  <w:color w:val="auto"/>
                </w:rPr>
                <w:t>CDIP/9/INF/4</w:t>
              </w:r>
            </w:hyperlink>
            <w:r w:rsidRPr="0074345C">
              <w:t>, párrafo 66).</w:t>
            </w:r>
          </w:p>
          <w:p w:rsidR="003260F8" w:rsidRPr="0074345C" w:rsidRDefault="003260F8" w:rsidP="00E00028">
            <w:pPr>
              <w:ind w:left="34"/>
            </w:pPr>
          </w:p>
          <w:p w:rsidR="003260F8" w:rsidRPr="0074345C" w:rsidRDefault="003260F8" w:rsidP="003260F8">
            <w:pPr>
              <w:ind w:left="34"/>
            </w:pPr>
            <w:r w:rsidRPr="0074345C">
              <w:t>Actividad 4.  La preparación y suministro de materiales, módulos, herramientas didácticas y otros instrumentos resultantes de las recomendaciones adoptadas en la Reunión de expertos, y la incorporación de esos resultados en un marco mundial de creación de capacidad de la OMPI.</w:t>
            </w:r>
            <w:r w:rsidR="00502F27" w:rsidRPr="0074345C">
              <w:t xml:space="preserve">  </w:t>
            </w:r>
            <w:r w:rsidRPr="0074345C">
              <w:t>Ello puede incluir el contenido y proyectos nacionales concretos relacionados con la creación y desarrollo de la infraestructura necesaria para la gestión de activos de P.I. en relación con la transferencia de tecnología.</w:t>
            </w:r>
          </w:p>
          <w:p w:rsidR="003260F8" w:rsidRPr="0074345C" w:rsidRDefault="003260F8" w:rsidP="00E00028">
            <w:pPr>
              <w:ind w:left="34"/>
            </w:pPr>
          </w:p>
          <w:p w:rsidR="009F2FA4" w:rsidRPr="0074345C" w:rsidRDefault="009F2FA4" w:rsidP="00E00028">
            <w:pPr>
              <w:ind w:left="34"/>
            </w:pPr>
          </w:p>
          <w:p w:rsidR="003260F8" w:rsidRPr="0074345C" w:rsidRDefault="003260F8" w:rsidP="003260F8">
            <w:pPr>
              <w:ind w:left="34"/>
            </w:pPr>
            <w:r w:rsidRPr="0074345C">
              <w:lastRenderedPageBreak/>
              <w:t>Actividad  5.  La organización de un foro de expertos de alto nivel  en forma de una conferencia internacional para entablar debates sobre cómo, en el marco del mandato de la OMPI, se puede facilitar más el acceso al conocimiento y la tecnología de los países en desarrollo y PMA, en particular en ámbitos emergentes y en otras esferas de especial interés para los países en desarrollo, teniendo en cuenta las recomendaciones 19, 25, 26 y 28.  En particular, los expertos deberán examinar las políticas relacionadas con la P.I. favorables a la transferencia de tecnología en los países desarrollados.</w:t>
            </w:r>
          </w:p>
          <w:p w:rsidR="003260F8" w:rsidRPr="0074345C" w:rsidRDefault="003260F8" w:rsidP="00E00028">
            <w:pPr>
              <w:ind w:left="34"/>
            </w:pPr>
          </w:p>
          <w:p w:rsidR="003260F8" w:rsidRPr="0074345C" w:rsidRDefault="003260F8" w:rsidP="003260F8">
            <w:pPr>
              <w:ind w:left="34"/>
            </w:pPr>
            <w:r w:rsidRPr="0074345C">
              <w:t>Actividad  6.  La creación de un foro en Internet sobre “Transferencia de tecnología y P.I.; desafíos comunes y búsqueda de soluciones” dentro del portal sobre la estructura de apoyo a la innovación y a la transferencia de tecnología para las instituciones nacionales de P.I. que se establecerá en el marco del proyecto en relación con la Recomendación 10 en consulta con los Estados miembros u otras partes interesadas, facilitando al mismo tiempo la participación de los países en desarrollo and PMA en ese foro en Internet.</w:t>
            </w:r>
          </w:p>
          <w:p w:rsidR="003260F8" w:rsidRPr="0074345C" w:rsidRDefault="003260F8" w:rsidP="00E00028">
            <w:pPr>
              <w:spacing w:before="60" w:after="60"/>
              <w:ind w:left="34"/>
            </w:pPr>
          </w:p>
          <w:p w:rsidR="003260F8" w:rsidRPr="0074345C" w:rsidRDefault="003260F8" w:rsidP="003260F8">
            <w:pPr>
              <w:spacing w:before="60" w:after="60"/>
              <w:ind w:left="34"/>
            </w:pPr>
            <w:r w:rsidRPr="0074345C">
              <w:t xml:space="preserve">Actividad  7.  La incorporación de los resultados de la actividades mencionadas </w:t>
            </w:r>
            <w:r w:rsidRPr="0074345C">
              <w:rPr>
                <w:i/>
              </w:rPr>
              <w:t>supra</w:t>
            </w:r>
            <w:r w:rsidRPr="0074345C">
              <w:t xml:space="preserve"> en los </w:t>
            </w:r>
            <w:r w:rsidR="00AC0CD4" w:rsidRPr="0074345C">
              <w:t>Programas</w:t>
            </w:r>
            <w:r w:rsidRPr="0074345C">
              <w:t xml:space="preserve"> de la OMPI, tras su examen por el CDIP y teniendo en cuenta las posibles recomendaciones formuladas por el Comité a la Asamblea General.</w:t>
            </w:r>
          </w:p>
          <w:p w:rsidR="00502F27" w:rsidRPr="0074345C" w:rsidRDefault="00502F27" w:rsidP="00E00028">
            <w:pPr>
              <w:spacing w:before="60" w:after="60"/>
              <w:ind w:left="34"/>
            </w:pPr>
            <w:r w:rsidRPr="0074345C">
              <w:t xml:space="preserve"> </w:t>
            </w:r>
          </w:p>
        </w:tc>
      </w:tr>
    </w:tbl>
    <w:p w:rsidR="00502F27" w:rsidRPr="0074345C" w:rsidRDefault="00502F27" w:rsidP="00502F27">
      <w:r w:rsidRPr="0074345C">
        <w:rPr>
          <w:bCs/>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484"/>
        </w:trPr>
        <w:tc>
          <w:tcPr>
            <w:tcW w:w="2376" w:type="dxa"/>
            <w:shd w:val="clear" w:color="auto" w:fill="auto"/>
            <w:vAlign w:val="center"/>
          </w:tcPr>
          <w:p w:rsidR="003260F8" w:rsidRPr="0074345C" w:rsidRDefault="003260F8" w:rsidP="00E00028">
            <w:pPr>
              <w:pStyle w:val="Heading3"/>
              <w:keepNext w:val="0"/>
              <w:spacing w:before="60"/>
            </w:pPr>
          </w:p>
          <w:p w:rsidR="003260F8" w:rsidRPr="0074345C" w:rsidRDefault="003260F8" w:rsidP="003260F8">
            <w:pPr>
              <w:pStyle w:val="Heading3"/>
              <w:keepNext w:val="0"/>
              <w:spacing w:before="60"/>
            </w:pPr>
            <w:r w:rsidRPr="0074345C">
              <w:t>Director del Proyecto</w:t>
            </w:r>
          </w:p>
          <w:p w:rsidR="00502F27" w:rsidRPr="0074345C" w:rsidRDefault="00502F27" w:rsidP="00E00028"/>
        </w:tc>
        <w:tc>
          <w:tcPr>
            <w:tcW w:w="6912" w:type="dxa"/>
            <w:vAlign w:val="center"/>
          </w:tcPr>
          <w:p w:rsidR="00502F27" w:rsidRPr="0074345C" w:rsidRDefault="003260F8" w:rsidP="003260F8">
            <w:pPr>
              <w:spacing w:before="60" w:after="60"/>
              <w:rPr>
                <w:iCs/>
              </w:rPr>
            </w:pPr>
            <w:r w:rsidRPr="0074345C">
              <w:rPr>
                <w:iCs/>
              </w:rPr>
              <w:t>Sr. Ali Jazairy</w:t>
            </w:r>
          </w:p>
        </w:tc>
      </w:tr>
      <w:tr w:rsidR="006376E7" w:rsidRPr="0074345C" w:rsidTr="00E00028">
        <w:trPr>
          <w:trHeight w:val="1165"/>
        </w:trPr>
        <w:tc>
          <w:tcPr>
            <w:tcW w:w="2376" w:type="dxa"/>
            <w:shd w:val="clear" w:color="auto" w:fill="auto"/>
          </w:tcPr>
          <w:p w:rsidR="003260F8" w:rsidRPr="0074345C" w:rsidRDefault="003260F8" w:rsidP="00E00028">
            <w:pPr>
              <w:pStyle w:val="Heading3"/>
              <w:keepNext w:val="0"/>
              <w:spacing w:before="60"/>
            </w:pPr>
          </w:p>
          <w:p w:rsidR="00502F27" w:rsidRPr="0074345C" w:rsidDel="00196374" w:rsidRDefault="003260F8" w:rsidP="00B46E3A">
            <w:pPr>
              <w:pStyle w:val="Heading3"/>
              <w:keepNext w:val="0"/>
              <w:spacing w:before="60"/>
            </w:pPr>
            <w:r w:rsidRPr="0074345C">
              <w:t xml:space="preserve">Vínculos con los resultados previstos en el presupuesto por </w:t>
            </w:r>
            <w:r w:rsidR="009E13C2" w:rsidRPr="0074345C">
              <w:t>Programa</w:t>
            </w:r>
            <w:r w:rsidRPr="0074345C">
              <w:t>s</w:t>
            </w:r>
          </w:p>
        </w:tc>
        <w:tc>
          <w:tcPr>
            <w:tcW w:w="6912" w:type="dxa"/>
          </w:tcPr>
          <w:p w:rsidR="003260F8" w:rsidRPr="0074345C" w:rsidRDefault="003260F8" w:rsidP="00E00028">
            <w:pPr>
              <w:spacing w:before="60" w:after="60"/>
              <w:rPr>
                <w:i/>
                <w:iCs/>
              </w:rPr>
            </w:pPr>
          </w:p>
          <w:p w:rsidR="003260F8" w:rsidRPr="0074345C" w:rsidRDefault="003260F8" w:rsidP="003260F8">
            <w:pPr>
              <w:spacing w:before="60" w:after="60"/>
              <w:rPr>
                <w:i/>
                <w:iCs/>
              </w:rPr>
            </w:pPr>
            <w:r w:rsidRPr="0074345C">
              <w:rPr>
                <w:i/>
                <w:iCs/>
              </w:rPr>
              <w:t>Resultado previsto:  IV.2</w:t>
            </w:r>
          </w:p>
          <w:p w:rsidR="00502F27" w:rsidRPr="0074345C" w:rsidDel="00196374" w:rsidRDefault="003260F8" w:rsidP="003260F8">
            <w:pPr>
              <w:spacing w:before="60" w:after="60"/>
              <w:rPr>
                <w:iCs/>
              </w:rPr>
            </w:pPr>
            <w:r w:rsidRPr="0074345C">
              <w:rPr>
                <w:iCs/>
              </w:rPr>
              <w:t>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p>
        </w:tc>
      </w:tr>
      <w:tr w:rsidR="006376E7" w:rsidRPr="0074345C" w:rsidTr="00E00028">
        <w:trPr>
          <w:trHeight w:val="1735"/>
        </w:trPr>
        <w:tc>
          <w:tcPr>
            <w:tcW w:w="2376" w:type="dxa"/>
            <w:shd w:val="clear" w:color="auto" w:fill="auto"/>
          </w:tcPr>
          <w:p w:rsidR="003260F8" w:rsidRPr="0074345C" w:rsidRDefault="003260F8" w:rsidP="00E00028">
            <w:pPr>
              <w:pStyle w:val="Heading3"/>
              <w:keepNext w:val="0"/>
              <w:spacing w:before="60"/>
            </w:pPr>
          </w:p>
          <w:p w:rsidR="003260F8" w:rsidRPr="0074345C" w:rsidRDefault="003260F8" w:rsidP="003260F8">
            <w:pPr>
              <w:pStyle w:val="Heading3"/>
              <w:keepNext w:val="0"/>
              <w:spacing w:before="60"/>
            </w:pPr>
            <w:r w:rsidRPr="0074345C">
              <w:t>Progreso en la ejecución del proyecto</w:t>
            </w:r>
          </w:p>
          <w:p w:rsidR="00B97C8D" w:rsidRPr="0074345C" w:rsidRDefault="00B97C8D" w:rsidP="00B97C8D"/>
          <w:p w:rsidR="00502F27" w:rsidRPr="0074345C" w:rsidRDefault="00502F27"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B97C8D">
            <w:pPr>
              <w:ind w:left="34"/>
            </w:pPr>
            <w:r w:rsidRPr="0074345C">
              <w:t>.</w:t>
            </w: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E00028">
            <w:pPr>
              <w:spacing w:before="60" w:after="60"/>
            </w:pPr>
          </w:p>
          <w:p w:rsidR="00B97C8D" w:rsidRPr="0074345C" w:rsidRDefault="00B97C8D" w:rsidP="003F2760">
            <w:pPr>
              <w:ind w:left="34"/>
            </w:pPr>
          </w:p>
        </w:tc>
        <w:tc>
          <w:tcPr>
            <w:tcW w:w="6912" w:type="dxa"/>
          </w:tcPr>
          <w:p w:rsidR="003260F8" w:rsidRPr="0074345C" w:rsidRDefault="003260F8" w:rsidP="00E00028">
            <w:pPr>
              <w:rPr>
                <w:iCs/>
              </w:rPr>
            </w:pPr>
          </w:p>
          <w:p w:rsidR="003260F8" w:rsidRPr="0074345C" w:rsidRDefault="00582344" w:rsidP="00E00028">
            <w:pPr>
              <w:rPr>
                <w:iCs/>
              </w:rPr>
            </w:pPr>
            <w:r w:rsidRPr="0074345C">
              <w:rPr>
                <w:iCs/>
              </w:rPr>
              <w:t xml:space="preserve">El </w:t>
            </w:r>
            <w:r w:rsidR="00193CE1" w:rsidRPr="0074345C">
              <w:rPr>
                <w:iCs/>
              </w:rPr>
              <w:t xml:space="preserve">proyecto </w:t>
            </w:r>
            <w:r w:rsidR="00060026" w:rsidRPr="0074345C">
              <w:rPr>
                <w:iCs/>
              </w:rPr>
              <w:t>s</w:t>
            </w:r>
            <w:r w:rsidRPr="0074345C">
              <w:rPr>
                <w:iCs/>
              </w:rPr>
              <w:t xml:space="preserve">e </w:t>
            </w:r>
            <w:r w:rsidR="00060026" w:rsidRPr="0074345C">
              <w:rPr>
                <w:iCs/>
              </w:rPr>
              <w:t xml:space="preserve">está ejecutando </w:t>
            </w:r>
            <w:r w:rsidR="00E5505A" w:rsidRPr="0074345C">
              <w:rPr>
                <w:iCs/>
              </w:rPr>
              <w:t xml:space="preserve">en los plazos establecidos, </w:t>
            </w:r>
            <w:r w:rsidR="00060026" w:rsidRPr="0074345C">
              <w:rPr>
                <w:iCs/>
              </w:rPr>
              <w:t>con arreglo al n</w:t>
            </w:r>
            <w:r w:rsidRPr="0074345C">
              <w:rPr>
                <w:iCs/>
              </w:rPr>
              <w:t xml:space="preserve">uevo calendario </w:t>
            </w:r>
            <w:r w:rsidR="00060026" w:rsidRPr="0074345C">
              <w:rPr>
                <w:iCs/>
              </w:rPr>
              <w:t>aprobado</w:t>
            </w:r>
            <w:r w:rsidRPr="0074345C">
              <w:rPr>
                <w:iCs/>
              </w:rPr>
              <w:t xml:space="preserve"> por el </w:t>
            </w:r>
            <w:r w:rsidR="009E13C2" w:rsidRPr="0074345C">
              <w:rPr>
                <w:iCs/>
              </w:rPr>
              <w:t>CDIP</w:t>
            </w:r>
            <w:r w:rsidR="00060026" w:rsidRPr="0074345C">
              <w:rPr>
                <w:iCs/>
              </w:rPr>
              <w:t xml:space="preserve"> en su dé</w:t>
            </w:r>
            <w:r w:rsidRPr="0074345C">
              <w:rPr>
                <w:iCs/>
              </w:rPr>
              <w:t xml:space="preserve">cimo segunda </w:t>
            </w:r>
            <w:r w:rsidR="00060026" w:rsidRPr="0074345C">
              <w:rPr>
                <w:iCs/>
              </w:rPr>
              <w:t>sesión</w:t>
            </w:r>
            <w:r w:rsidRPr="0074345C">
              <w:rPr>
                <w:iCs/>
              </w:rPr>
              <w:t xml:space="preserve"> </w:t>
            </w:r>
            <w:r w:rsidR="00502F27" w:rsidRPr="0074345C">
              <w:rPr>
                <w:iCs/>
              </w:rPr>
              <w:t>(document</w:t>
            </w:r>
            <w:r w:rsidRPr="0074345C">
              <w:rPr>
                <w:iCs/>
              </w:rPr>
              <w:t>o</w:t>
            </w:r>
            <w:r w:rsidR="00502F27" w:rsidRPr="0074345C">
              <w:rPr>
                <w:iCs/>
              </w:rPr>
              <w:t xml:space="preserve"> </w:t>
            </w:r>
            <w:hyperlink r:id="rId19" w:history="1">
              <w:r w:rsidR="00502F27" w:rsidRPr="0074345C">
                <w:rPr>
                  <w:rStyle w:val="Hyperlink"/>
                  <w:iCs/>
                  <w:color w:val="auto"/>
                </w:rPr>
                <w:t xml:space="preserve">CDIP/12/2, </w:t>
              </w:r>
              <w:r w:rsidR="009E13C2" w:rsidRPr="0074345C">
                <w:rPr>
                  <w:rStyle w:val="Hyperlink"/>
                  <w:iCs/>
                  <w:color w:val="auto"/>
                </w:rPr>
                <w:t xml:space="preserve">Anexo </w:t>
              </w:r>
              <w:r w:rsidR="00502F27" w:rsidRPr="0074345C">
                <w:rPr>
                  <w:rStyle w:val="Hyperlink"/>
                  <w:iCs/>
                  <w:color w:val="auto"/>
                </w:rPr>
                <w:t xml:space="preserve"> VI</w:t>
              </w:r>
            </w:hyperlink>
            <w:r w:rsidR="00502F27" w:rsidRPr="0074345C">
              <w:rPr>
                <w:rStyle w:val="Hyperlink"/>
                <w:iCs/>
                <w:color w:val="auto"/>
              </w:rPr>
              <w:t>)</w:t>
            </w:r>
            <w:r w:rsidR="00502F27" w:rsidRPr="0074345C">
              <w:rPr>
                <w:iCs/>
              </w:rPr>
              <w:t xml:space="preserve">, </w:t>
            </w:r>
            <w:r w:rsidRPr="0074345C">
              <w:rPr>
                <w:iCs/>
              </w:rPr>
              <w:t xml:space="preserve">con la </w:t>
            </w:r>
            <w:r w:rsidR="00060026" w:rsidRPr="0074345C">
              <w:rPr>
                <w:iCs/>
              </w:rPr>
              <w:t>excepción</w:t>
            </w:r>
            <w:r w:rsidRPr="0074345C">
              <w:rPr>
                <w:iCs/>
              </w:rPr>
              <w:t xml:space="preserve"> del</w:t>
            </w:r>
            <w:r w:rsidRPr="0074345C">
              <w:t xml:space="preserve"> Foro internacional de expertos de alto nivel sobre “transferencia de tecnología y P.I.:  desafíos comunes y búsqueda de soluciones </w:t>
            </w:r>
            <w:r w:rsidR="00502F27" w:rsidRPr="0074345C">
              <w:t>(</w:t>
            </w:r>
            <w:r w:rsidR="002034F4" w:rsidRPr="0074345C">
              <w:t xml:space="preserve">véase la actividad </w:t>
            </w:r>
            <w:r w:rsidR="00502F27" w:rsidRPr="0074345C">
              <w:t xml:space="preserve">5, </w:t>
            </w:r>
            <w:r w:rsidR="002034F4" w:rsidRPr="0074345C">
              <w:t>más abajo</w:t>
            </w:r>
            <w:r w:rsidR="00060026" w:rsidRPr="0074345C">
              <w:t>)</w:t>
            </w:r>
            <w:r w:rsidR="00502F27" w:rsidRPr="0074345C">
              <w:t xml:space="preserve"> </w:t>
            </w:r>
            <w:r w:rsidR="00060026" w:rsidRPr="0074345C">
              <w:t>que,</w:t>
            </w:r>
            <w:r w:rsidRPr="0074345C">
              <w:t xml:space="preserve"> por razones </w:t>
            </w:r>
            <w:r w:rsidR="002034F4" w:rsidRPr="0074345C">
              <w:t xml:space="preserve">logísticas, </w:t>
            </w:r>
            <w:r w:rsidR="00060026" w:rsidRPr="0074345C">
              <w:t xml:space="preserve">se celebrará </w:t>
            </w:r>
            <w:r w:rsidR="002034F4" w:rsidRPr="0074345C">
              <w:t xml:space="preserve">del 19 al 21 de enero de </w:t>
            </w:r>
            <w:r w:rsidR="00502F27" w:rsidRPr="0074345C">
              <w:t xml:space="preserve">2015, </w:t>
            </w:r>
            <w:r w:rsidR="002034F4" w:rsidRPr="0074345C">
              <w:t>después de la aprobación del documento conceptual por el CDIP en su presente sesión</w:t>
            </w:r>
            <w:r w:rsidR="00B97C8D" w:rsidRPr="0074345C">
              <w:t>,</w:t>
            </w:r>
            <w:r w:rsidR="002034F4" w:rsidRPr="0074345C">
              <w:t xml:space="preserve"> y no en junio de 2014, como </w:t>
            </w:r>
            <w:r w:rsidR="00060026" w:rsidRPr="0074345C">
              <w:t xml:space="preserve">estaba </w:t>
            </w:r>
            <w:r w:rsidR="002034F4" w:rsidRPr="0074345C">
              <w:t>previsto originalmente</w:t>
            </w:r>
            <w:r w:rsidR="00502F27" w:rsidRPr="0074345C">
              <w:t>.</w:t>
            </w:r>
          </w:p>
          <w:p w:rsidR="003260F8" w:rsidRPr="0074345C" w:rsidRDefault="003260F8" w:rsidP="00E00028">
            <w:pPr>
              <w:rPr>
                <w:iCs/>
              </w:rPr>
            </w:pPr>
          </w:p>
          <w:p w:rsidR="003260F8" w:rsidRPr="0074345C" w:rsidRDefault="002034F4" w:rsidP="0060525B">
            <w:pPr>
              <w:rPr>
                <w:iCs/>
              </w:rPr>
            </w:pPr>
            <w:r w:rsidRPr="0074345C">
              <w:rPr>
                <w:u w:val="single"/>
              </w:rPr>
              <w:t xml:space="preserve">Actividad </w:t>
            </w:r>
            <w:r w:rsidR="00502F27" w:rsidRPr="0074345C">
              <w:rPr>
                <w:u w:val="single"/>
              </w:rPr>
              <w:t>1</w:t>
            </w:r>
            <w:r w:rsidR="00502F27" w:rsidRPr="0074345C">
              <w:t>: </w:t>
            </w:r>
            <w:r w:rsidR="0060525B" w:rsidRPr="0074345C">
              <w:t>se han celebrado las cinco reuniones regionales de consulta sobre transferencia de tecnología</w:t>
            </w:r>
            <w:r w:rsidR="00502F27" w:rsidRPr="0074345C">
              <w:t xml:space="preserve">, </w:t>
            </w:r>
            <w:r w:rsidR="0060525B" w:rsidRPr="0074345C">
              <w:t xml:space="preserve">la primera en </w:t>
            </w:r>
            <w:hyperlink r:id="rId20" w:history="1">
              <w:r w:rsidR="00502F27" w:rsidRPr="0074345C">
                <w:rPr>
                  <w:rStyle w:val="Hyperlink"/>
                  <w:iCs/>
                  <w:color w:val="auto"/>
                </w:rPr>
                <w:t>Singap</w:t>
              </w:r>
              <w:r w:rsidR="0060525B" w:rsidRPr="0074345C">
                <w:rPr>
                  <w:rStyle w:val="Hyperlink"/>
                  <w:iCs/>
                  <w:color w:val="auto"/>
                </w:rPr>
                <w:t>ur</w:t>
              </w:r>
            </w:hyperlink>
            <w:r w:rsidR="00502F27" w:rsidRPr="0074345C">
              <w:rPr>
                <w:iCs/>
              </w:rPr>
              <w:t xml:space="preserve"> (</w:t>
            </w:r>
            <w:r w:rsidR="0060525B" w:rsidRPr="0074345C">
              <w:rPr>
                <w:iCs/>
              </w:rPr>
              <w:t>para la región de Asia</w:t>
            </w:r>
            <w:r w:rsidR="00502F27" w:rsidRPr="0074345C">
              <w:rPr>
                <w:iCs/>
              </w:rPr>
              <w:t xml:space="preserve">) </w:t>
            </w:r>
            <w:r w:rsidR="0060525B" w:rsidRPr="0074345C">
              <w:rPr>
                <w:iCs/>
              </w:rPr>
              <w:t>los días 1</w:t>
            </w:r>
            <w:r w:rsidRPr="0074345C">
              <w:rPr>
                <w:iCs/>
              </w:rPr>
              <w:t>6</w:t>
            </w:r>
            <w:r w:rsidR="0060525B" w:rsidRPr="0074345C">
              <w:rPr>
                <w:iCs/>
              </w:rPr>
              <w:t xml:space="preserve"> </w:t>
            </w:r>
            <w:r w:rsidRPr="0074345C">
              <w:rPr>
                <w:iCs/>
              </w:rPr>
              <w:t>y 17 de julio de</w:t>
            </w:r>
            <w:r w:rsidR="00502F27" w:rsidRPr="0074345C">
              <w:rPr>
                <w:iCs/>
              </w:rPr>
              <w:t xml:space="preserve"> 2012, </w:t>
            </w:r>
            <w:r w:rsidR="0060525B" w:rsidRPr="0074345C">
              <w:rPr>
                <w:iCs/>
              </w:rPr>
              <w:t xml:space="preserve">la segunda en </w:t>
            </w:r>
            <w:hyperlink r:id="rId21" w:history="1">
              <w:r w:rsidR="00502F27" w:rsidRPr="0074345C">
                <w:rPr>
                  <w:rStyle w:val="Hyperlink"/>
                  <w:iCs/>
                  <w:color w:val="auto"/>
                </w:rPr>
                <w:t>A</w:t>
              </w:r>
              <w:r w:rsidR="0060525B" w:rsidRPr="0074345C">
                <w:rPr>
                  <w:rStyle w:val="Hyperlink"/>
                  <w:iCs/>
                  <w:color w:val="auto"/>
                </w:rPr>
                <w:t>rgel</w:t>
              </w:r>
            </w:hyperlink>
            <w:r w:rsidR="00502F27" w:rsidRPr="0074345C">
              <w:rPr>
                <w:iCs/>
              </w:rPr>
              <w:t xml:space="preserve"> (</w:t>
            </w:r>
            <w:r w:rsidR="0060525B" w:rsidRPr="0074345C">
              <w:rPr>
                <w:iCs/>
              </w:rPr>
              <w:t>para la región africana y árabe) los días 29 y 30 de enero de 2013</w:t>
            </w:r>
            <w:r w:rsidR="00502F27" w:rsidRPr="0074345C">
              <w:t xml:space="preserve">, </w:t>
            </w:r>
            <w:r w:rsidR="0060525B" w:rsidRPr="0074345C">
              <w:t xml:space="preserve">la tercera en </w:t>
            </w:r>
            <w:hyperlink r:id="rId22" w:history="1">
              <w:r w:rsidR="0060525B" w:rsidRPr="0074345C">
                <w:rPr>
                  <w:rStyle w:val="Hyperlink"/>
                  <w:iCs/>
                  <w:color w:val="auto"/>
                </w:rPr>
                <w:t>Estam</w:t>
              </w:r>
              <w:r w:rsidR="00502F27" w:rsidRPr="0074345C">
                <w:rPr>
                  <w:rStyle w:val="Hyperlink"/>
                  <w:iCs/>
                  <w:color w:val="auto"/>
                </w:rPr>
                <w:t>bul</w:t>
              </w:r>
            </w:hyperlink>
            <w:r w:rsidR="00502F27" w:rsidRPr="0074345C">
              <w:rPr>
                <w:iCs/>
              </w:rPr>
              <w:t xml:space="preserve"> (</w:t>
            </w:r>
            <w:r w:rsidR="0060525B" w:rsidRPr="0074345C">
              <w:rPr>
                <w:iCs/>
              </w:rPr>
              <w:t>para la región en transición) los días 24 y 25 de octubre de 2013</w:t>
            </w:r>
            <w:r w:rsidR="00B97C8D" w:rsidRPr="0074345C">
              <w:rPr>
                <w:iCs/>
              </w:rPr>
              <w:t xml:space="preserve">, </w:t>
            </w:r>
            <w:r w:rsidR="0060525B" w:rsidRPr="0074345C">
              <w:rPr>
                <w:iCs/>
              </w:rPr>
              <w:t xml:space="preserve">la cuarta reunión en </w:t>
            </w:r>
            <w:hyperlink r:id="rId23" w:history="1">
              <w:r w:rsidR="0060525B" w:rsidRPr="0074345C">
                <w:rPr>
                  <w:rStyle w:val="Hyperlink"/>
                  <w:iCs/>
                  <w:color w:val="auto"/>
                </w:rPr>
                <w:t>Geneva</w:t>
              </w:r>
            </w:hyperlink>
            <w:r w:rsidR="0060525B" w:rsidRPr="0074345C">
              <w:t xml:space="preserve"> </w:t>
            </w:r>
            <w:r w:rsidR="0060525B" w:rsidRPr="0074345C">
              <w:rPr>
                <w:iCs/>
              </w:rPr>
              <w:t xml:space="preserve">(para los países desarrollados) los días 25 y 26 de noviembre de 2013, y la quinta y final en </w:t>
            </w:r>
            <w:hyperlink r:id="rId24" w:history="1">
              <w:r w:rsidR="0060525B" w:rsidRPr="0074345C">
                <w:rPr>
                  <w:rStyle w:val="Hyperlink"/>
                  <w:iCs/>
                  <w:color w:val="auto"/>
                </w:rPr>
                <w:t>Monterrey</w:t>
              </w:r>
            </w:hyperlink>
            <w:r w:rsidR="0060525B" w:rsidRPr="0074345C">
              <w:rPr>
                <w:iCs/>
              </w:rPr>
              <w:t xml:space="preserve"> (para la región de América Latina y el Caribe) los días 5 y 6 de diciembre de 2013</w:t>
            </w:r>
            <w:r w:rsidR="00502F27" w:rsidRPr="0074345C">
              <w:rPr>
                <w:iCs/>
              </w:rPr>
              <w:t xml:space="preserve">.  </w:t>
            </w:r>
          </w:p>
          <w:p w:rsidR="003260F8" w:rsidRPr="0074345C" w:rsidRDefault="003260F8" w:rsidP="00E00028">
            <w:pPr>
              <w:rPr>
                <w:iCs/>
              </w:rPr>
            </w:pPr>
          </w:p>
          <w:p w:rsidR="003260F8" w:rsidRPr="0074345C" w:rsidRDefault="002034F4" w:rsidP="00E00028">
            <w:r w:rsidRPr="0074345C">
              <w:rPr>
                <w:u w:val="single"/>
              </w:rPr>
              <w:t>Actividad</w:t>
            </w:r>
            <w:r w:rsidR="00502F27" w:rsidRPr="0074345C">
              <w:rPr>
                <w:u w:val="single"/>
              </w:rPr>
              <w:t xml:space="preserve"> 2</w:t>
            </w:r>
            <w:r w:rsidR="00502F27" w:rsidRPr="0074345C">
              <w:t>:</w:t>
            </w:r>
            <w:proofErr w:type="gramStart"/>
            <w:r w:rsidR="00502F27" w:rsidRPr="0074345C">
              <w:t>  </w:t>
            </w:r>
            <w:r w:rsidR="005F647C" w:rsidRPr="0074345C">
              <w:t>la</w:t>
            </w:r>
            <w:proofErr w:type="gramEnd"/>
            <w:r w:rsidR="005F647C" w:rsidRPr="0074345C">
              <w:t xml:space="preserve"> Secretaría encomendó la </w:t>
            </w:r>
            <w:r w:rsidR="00B97C8D" w:rsidRPr="0074345C">
              <w:t>elabora</w:t>
            </w:r>
            <w:r w:rsidR="00AC0857" w:rsidRPr="0074345C">
              <w:t>ción</w:t>
            </w:r>
            <w:r w:rsidR="005F647C" w:rsidRPr="0074345C">
              <w:t xml:space="preserve"> de seis estudios </w:t>
            </w:r>
            <w:r w:rsidR="00AC0857" w:rsidRPr="0074345C">
              <w:t>analíticos</w:t>
            </w:r>
            <w:r w:rsidR="00B97C8D" w:rsidRPr="0074345C">
              <w:t>. S</w:t>
            </w:r>
            <w:r w:rsidR="005F647C" w:rsidRPr="0074345C">
              <w:t xml:space="preserve">e recibieron los </w:t>
            </w:r>
            <w:r w:rsidR="00B97C8D" w:rsidRPr="0074345C">
              <w:t xml:space="preserve">borradores finales </w:t>
            </w:r>
            <w:r w:rsidR="005F647C" w:rsidRPr="0074345C">
              <w:t xml:space="preserve">de los seis estudios al final de la primera semana de </w:t>
            </w:r>
            <w:r w:rsidRPr="0074345C">
              <w:t>septiembre de</w:t>
            </w:r>
            <w:r w:rsidR="00502F27" w:rsidRPr="0074345C">
              <w:t xml:space="preserve"> 2014. </w:t>
            </w:r>
            <w:r w:rsidR="005F647C" w:rsidRPr="0074345C">
              <w:t xml:space="preserve">Los seis estudios han sido examinados por expertos internacionales y todos los autores de </w:t>
            </w:r>
            <w:r w:rsidR="00AC0857" w:rsidRPr="0074345C">
              <w:t>los</w:t>
            </w:r>
            <w:r w:rsidR="005F647C" w:rsidRPr="0074345C">
              <w:t xml:space="preserve"> </w:t>
            </w:r>
            <w:r w:rsidR="00655AC1" w:rsidRPr="0074345C">
              <w:t>e</w:t>
            </w:r>
            <w:r w:rsidR="005F647C" w:rsidRPr="0074345C">
              <w:t xml:space="preserve">studios han tenido la oportunidad de incorporar sugerencias en el marco del proceso de </w:t>
            </w:r>
            <w:r w:rsidR="00B97C8D" w:rsidRPr="0074345C">
              <w:t xml:space="preserve">examen por </w:t>
            </w:r>
            <w:r w:rsidR="00037286" w:rsidRPr="0074345C">
              <w:t>expertos</w:t>
            </w:r>
            <w:r w:rsidR="00502F27" w:rsidRPr="0074345C">
              <w:t xml:space="preserve">.  </w:t>
            </w:r>
            <w:r w:rsidR="005F647C" w:rsidRPr="0074345C">
              <w:t xml:space="preserve">Tanto las versiones finales de los </w:t>
            </w:r>
            <w:r w:rsidR="00655AC1" w:rsidRPr="0074345C">
              <w:t>e</w:t>
            </w:r>
            <w:r w:rsidR="005F647C" w:rsidRPr="0074345C">
              <w:t>studios como los comentar</w:t>
            </w:r>
            <w:r w:rsidR="00655AC1" w:rsidRPr="0074345C">
              <w:t>i</w:t>
            </w:r>
            <w:r w:rsidR="005F647C" w:rsidRPr="0074345C">
              <w:t xml:space="preserve">os formulados por los </w:t>
            </w:r>
            <w:r w:rsidR="00B97C8D" w:rsidRPr="0074345C">
              <w:t>expertos que los examinaron</w:t>
            </w:r>
            <w:r w:rsidR="005F647C" w:rsidRPr="0074345C">
              <w:t xml:space="preserve"> est</w:t>
            </w:r>
            <w:r w:rsidR="003F2760" w:rsidRPr="0074345C">
              <w:t>ar</w:t>
            </w:r>
            <w:r w:rsidR="005F647C" w:rsidRPr="0074345C">
              <w:t xml:space="preserve">án </w:t>
            </w:r>
            <w:r w:rsidR="00655AC1" w:rsidRPr="0074345C">
              <w:t xml:space="preserve">a </w:t>
            </w:r>
            <w:r w:rsidR="00AC0857" w:rsidRPr="0074345C">
              <w:t>disposición</w:t>
            </w:r>
            <w:r w:rsidR="00655AC1" w:rsidRPr="0074345C">
              <w:t xml:space="preserve"> </w:t>
            </w:r>
            <w:r w:rsidR="00B97C8D" w:rsidRPr="0074345C">
              <w:t xml:space="preserve">del CDIP, en su </w:t>
            </w:r>
            <w:r w:rsidR="00F10CBE" w:rsidRPr="0074345C">
              <w:t>decimocuarta</w:t>
            </w:r>
            <w:r w:rsidR="004137F8" w:rsidRPr="0074345C">
              <w:t xml:space="preserve"> sesión</w:t>
            </w:r>
            <w:r w:rsidR="00502F27" w:rsidRPr="0074345C">
              <w:t>.</w:t>
            </w:r>
          </w:p>
          <w:p w:rsidR="003260F8" w:rsidRPr="0074345C" w:rsidRDefault="003260F8" w:rsidP="00E00028">
            <w:pPr>
              <w:rPr>
                <w:iCs/>
              </w:rPr>
            </w:pPr>
          </w:p>
          <w:p w:rsidR="003260F8" w:rsidRPr="0074345C" w:rsidRDefault="002034F4" w:rsidP="00E00028">
            <w:pPr>
              <w:ind w:left="34"/>
            </w:pPr>
            <w:r w:rsidRPr="0074345C">
              <w:rPr>
                <w:u w:val="single"/>
              </w:rPr>
              <w:t>Actividad</w:t>
            </w:r>
            <w:r w:rsidR="00502F27" w:rsidRPr="0074345C">
              <w:rPr>
                <w:u w:val="single"/>
              </w:rPr>
              <w:t xml:space="preserve"> 3</w:t>
            </w:r>
            <w:r w:rsidR="00502F27" w:rsidRPr="0074345C">
              <w:t>:</w:t>
            </w:r>
            <w:proofErr w:type="gramStart"/>
            <w:r w:rsidR="00502F27" w:rsidRPr="0074345C">
              <w:t>  </w:t>
            </w:r>
            <w:r w:rsidR="00204C4F" w:rsidRPr="0074345C">
              <w:t>Se</w:t>
            </w:r>
            <w:proofErr w:type="gramEnd"/>
            <w:r w:rsidR="00204C4F" w:rsidRPr="0074345C">
              <w:t xml:space="preserve"> ha elaborado el documento conceptual que describe </w:t>
            </w:r>
            <w:r w:rsidR="00B97C8D" w:rsidRPr="0074345C">
              <w:t xml:space="preserve">los antecedentes del proyecto y </w:t>
            </w:r>
            <w:r w:rsidR="00204C4F" w:rsidRPr="0074345C">
              <w:t xml:space="preserve">resumen </w:t>
            </w:r>
            <w:r w:rsidR="00B97C8D" w:rsidRPr="0074345C">
              <w:t>l</w:t>
            </w:r>
            <w:r w:rsidR="00204C4F" w:rsidRPr="0074345C">
              <w:t xml:space="preserve">os diferentes resultados del proyecto (entre otros, las reuniones regionales de consulta  y los </w:t>
            </w:r>
            <w:r w:rsidR="00204C4F" w:rsidRPr="0074345C">
              <w:rPr>
                <w:szCs w:val="22"/>
              </w:rPr>
              <w:t>estudios analíticos examinados por expertos</w:t>
            </w:r>
            <w:r w:rsidR="00204C4F" w:rsidRPr="0074345C">
              <w:t xml:space="preserve">). Además, como lo decidió el Comité (véase el documento </w:t>
            </w:r>
            <w:hyperlink r:id="rId25" w:history="1">
              <w:r w:rsidR="00204C4F" w:rsidRPr="0074345C">
                <w:rPr>
                  <w:rStyle w:val="Hyperlink"/>
                  <w:color w:val="auto"/>
                </w:rPr>
                <w:t>CDIP/9/INF/4</w:t>
              </w:r>
            </w:hyperlink>
            <w:r w:rsidR="00204C4F" w:rsidRPr="0074345C">
              <w:t>, párrafo 66), antes de la presentación del documento conceptual para su aprobación por el CDIP en su presente sesión, se había presentado un borrador de</w:t>
            </w:r>
            <w:r w:rsidR="003F2760" w:rsidRPr="0074345C">
              <w:t>l</w:t>
            </w:r>
            <w:r w:rsidR="00204C4F" w:rsidRPr="0074345C">
              <w:t xml:space="preserve"> documento conceptual en una sesión de información informal a las Misiones Permanentes de los Estados miembros en Ginebra el 1º de septiembre de 2014</w:t>
            </w:r>
            <w:r w:rsidR="00502F27" w:rsidRPr="0074345C">
              <w:t xml:space="preserve">.  </w:t>
            </w:r>
            <w:r w:rsidR="003F2760" w:rsidRPr="0074345C">
              <w:t xml:space="preserve">Además, </w:t>
            </w:r>
            <w:r w:rsidR="00037286" w:rsidRPr="0074345C">
              <w:t xml:space="preserve">antes de la presente sesión del </w:t>
            </w:r>
            <w:r w:rsidR="009E13C2" w:rsidRPr="0074345C">
              <w:t>CDIP</w:t>
            </w:r>
            <w:r w:rsidR="00502F27" w:rsidRPr="0074345C">
              <w:t xml:space="preserve">, </w:t>
            </w:r>
            <w:r w:rsidR="00037286" w:rsidRPr="0074345C">
              <w:t xml:space="preserve">como lo acordó el </w:t>
            </w:r>
            <w:r w:rsidR="009E13C2" w:rsidRPr="0074345C">
              <w:t xml:space="preserve">Comité </w:t>
            </w:r>
            <w:r w:rsidR="00502F27" w:rsidRPr="0074345C">
              <w:t>(</w:t>
            </w:r>
            <w:r w:rsidR="00655AC1" w:rsidRPr="0074345C">
              <w:rPr>
                <w:szCs w:val="22"/>
              </w:rPr>
              <w:t xml:space="preserve">véase el documento </w:t>
            </w:r>
            <w:hyperlink r:id="rId26" w:history="1">
              <w:r w:rsidR="00502F27" w:rsidRPr="0074345C">
                <w:rPr>
                  <w:rStyle w:val="Hyperlink"/>
                  <w:color w:val="auto"/>
                  <w:szCs w:val="22"/>
                </w:rPr>
                <w:t>CDIP/9/INF/4</w:t>
              </w:r>
            </w:hyperlink>
            <w:r w:rsidR="00502F27" w:rsidRPr="0074345C">
              <w:rPr>
                <w:szCs w:val="22"/>
              </w:rPr>
              <w:t xml:space="preserve">, </w:t>
            </w:r>
            <w:r w:rsidR="00655AC1" w:rsidRPr="0074345C">
              <w:rPr>
                <w:szCs w:val="22"/>
              </w:rPr>
              <w:t>párrafo</w:t>
            </w:r>
            <w:r w:rsidR="00502F27" w:rsidRPr="0074345C">
              <w:rPr>
                <w:szCs w:val="22"/>
              </w:rPr>
              <w:t xml:space="preserve"> 66), </w:t>
            </w:r>
            <w:r w:rsidR="00037286" w:rsidRPr="0074345C">
              <w:rPr>
                <w:szCs w:val="22"/>
              </w:rPr>
              <w:t>se organizará una r</w:t>
            </w:r>
            <w:r w:rsidR="00060026" w:rsidRPr="0074345C">
              <w:rPr>
                <w:szCs w:val="22"/>
              </w:rPr>
              <w:t>eunión</w:t>
            </w:r>
            <w:r w:rsidR="00037286" w:rsidRPr="0074345C">
              <w:rPr>
                <w:szCs w:val="22"/>
              </w:rPr>
              <w:t xml:space="preserve"> de un día con organizaciones </w:t>
            </w:r>
            <w:r w:rsidR="00037286" w:rsidRPr="0074345C">
              <w:rPr>
                <w:szCs w:val="22"/>
              </w:rPr>
              <w:lastRenderedPageBreak/>
              <w:t>intergubernamentales y no gubernamentales</w:t>
            </w:r>
            <w:r w:rsidR="00083838" w:rsidRPr="0074345C">
              <w:rPr>
                <w:szCs w:val="22"/>
              </w:rPr>
              <w:t xml:space="preserve"> y</w:t>
            </w:r>
            <w:r w:rsidR="00037286" w:rsidRPr="0074345C">
              <w:rPr>
                <w:szCs w:val="22"/>
              </w:rPr>
              <w:t xml:space="preserve"> asociaciones profesionales </w:t>
            </w:r>
            <w:r w:rsidR="009E13C2" w:rsidRPr="0074345C">
              <w:t>a principios de</w:t>
            </w:r>
            <w:r w:rsidR="00502F27" w:rsidRPr="0074345C">
              <w:t xml:space="preserve"> </w:t>
            </w:r>
            <w:r w:rsidRPr="0074345C">
              <w:t>octubre de</w:t>
            </w:r>
            <w:r w:rsidR="00502F27" w:rsidRPr="0074345C">
              <w:t xml:space="preserve"> 2014.  </w:t>
            </w:r>
            <w:r w:rsidRPr="0074345C">
              <w:t xml:space="preserve">La Secretaría </w:t>
            </w:r>
            <w:r w:rsidR="00083838" w:rsidRPr="0074345C">
              <w:t xml:space="preserve">dará un informe oral al </w:t>
            </w:r>
            <w:r w:rsidR="009E13C2" w:rsidRPr="0074345C">
              <w:t>CDIP</w:t>
            </w:r>
            <w:r w:rsidR="00502F27" w:rsidRPr="0074345C">
              <w:t xml:space="preserve"> </w:t>
            </w:r>
            <w:r w:rsidR="00083838" w:rsidRPr="0074345C">
              <w:t xml:space="preserve">sobre las eventuales observaciones sobre el </w:t>
            </w:r>
            <w:r w:rsidR="00B46E3A" w:rsidRPr="0074345C">
              <w:t xml:space="preserve">documento conceptual </w:t>
            </w:r>
            <w:r w:rsidR="00083838" w:rsidRPr="0074345C">
              <w:t>recibidas en la reunión de un día.</w:t>
            </w:r>
          </w:p>
          <w:p w:rsidR="003260F8" w:rsidRPr="0074345C" w:rsidRDefault="003260F8" w:rsidP="00E00028">
            <w:pPr>
              <w:ind w:left="34"/>
            </w:pPr>
          </w:p>
          <w:p w:rsidR="003260F8" w:rsidRPr="0074345C" w:rsidRDefault="002034F4" w:rsidP="00E00028">
            <w:pPr>
              <w:ind w:left="34"/>
            </w:pPr>
            <w:r w:rsidRPr="0074345C">
              <w:rPr>
                <w:u w:val="single"/>
              </w:rPr>
              <w:t>Actividad</w:t>
            </w:r>
            <w:r w:rsidR="00502F27" w:rsidRPr="0074345C">
              <w:rPr>
                <w:u w:val="single"/>
              </w:rPr>
              <w:t xml:space="preserve"> 4</w:t>
            </w:r>
            <w:r w:rsidR="00502F27" w:rsidRPr="0074345C">
              <w:t>:</w:t>
            </w:r>
            <w:proofErr w:type="gramStart"/>
            <w:r w:rsidR="00502F27" w:rsidRPr="0074345C">
              <w:t>  </w:t>
            </w:r>
            <w:r w:rsidR="00AC0857" w:rsidRPr="0074345C">
              <w:t>Conforme</w:t>
            </w:r>
            <w:proofErr w:type="gramEnd"/>
            <w:r w:rsidR="00AC0857" w:rsidRPr="0074345C">
              <w:t xml:space="preserve"> a</w:t>
            </w:r>
            <w:r w:rsidR="00083838" w:rsidRPr="0074345C">
              <w:t xml:space="preserve">l calendario establecido, se iniciará la labor relativa a la preparación y el suministro de materiales, módulos, herramientas didácticas y otros instrumentos resultantes de las </w:t>
            </w:r>
            <w:r w:rsidR="00B46E3A" w:rsidRPr="0074345C">
              <w:t>recomendaciones</w:t>
            </w:r>
            <w:r w:rsidR="00502F27" w:rsidRPr="0074345C">
              <w:t xml:space="preserve"> adopt</w:t>
            </w:r>
            <w:r w:rsidR="00083838" w:rsidRPr="0074345C">
              <w:t xml:space="preserve">adas por el </w:t>
            </w:r>
            <w:r w:rsidRPr="0074345C">
              <w:t>Foro internacional de expertos de alto nivel</w:t>
            </w:r>
            <w:r w:rsidR="00083838" w:rsidRPr="0074345C">
              <w:t xml:space="preserve">, después de </w:t>
            </w:r>
            <w:r w:rsidR="003F2760" w:rsidRPr="0074345C">
              <w:t>su</w:t>
            </w:r>
            <w:r w:rsidR="00083838" w:rsidRPr="0074345C">
              <w:t xml:space="preserve"> celebración</w:t>
            </w:r>
            <w:r w:rsidR="00502F27" w:rsidRPr="0074345C">
              <w:t>.</w:t>
            </w:r>
          </w:p>
          <w:p w:rsidR="003260F8" w:rsidRPr="0074345C" w:rsidRDefault="003260F8" w:rsidP="00E00028">
            <w:pPr>
              <w:ind w:left="34"/>
            </w:pPr>
          </w:p>
          <w:p w:rsidR="003260F8" w:rsidRPr="0074345C" w:rsidRDefault="00916512" w:rsidP="00B849C7">
            <w:pPr>
              <w:ind w:left="34"/>
            </w:pPr>
            <w:r w:rsidRPr="0074345C">
              <w:rPr>
                <w:u w:val="single"/>
              </w:rPr>
              <w:t xml:space="preserve">Actividad </w:t>
            </w:r>
            <w:r w:rsidR="003260F8" w:rsidRPr="0074345C">
              <w:rPr>
                <w:u w:val="single"/>
              </w:rPr>
              <w:t>5</w:t>
            </w:r>
            <w:r w:rsidR="003260F8" w:rsidRPr="0074345C">
              <w:t>:</w:t>
            </w:r>
            <w:proofErr w:type="gramStart"/>
            <w:r w:rsidR="003260F8" w:rsidRPr="0074345C">
              <w:t>  el</w:t>
            </w:r>
            <w:proofErr w:type="gramEnd"/>
            <w:r w:rsidR="003260F8" w:rsidRPr="0074345C">
              <w:t xml:space="preserve"> </w:t>
            </w:r>
            <w:r w:rsidR="00B849C7" w:rsidRPr="0074345C">
              <w:t xml:space="preserve">Foro </w:t>
            </w:r>
            <w:r w:rsidR="003260F8" w:rsidRPr="0074345C">
              <w:t>internacional de expertos de alto nivel sobre “transferencia de tecnología y P.I.:  desafíos comunes y búsqueda de soluciones” se celebrará</w:t>
            </w:r>
            <w:r w:rsidR="00B849C7" w:rsidRPr="0074345C">
              <w:t xml:space="preserve"> del 19 al 21 de enero</w:t>
            </w:r>
            <w:r w:rsidR="003260F8" w:rsidRPr="0074345C">
              <w:t xml:space="preserve"> de 2015, después de la aprobación del documento conceptual por el CDIP en su </w:t>
            </w:r>
            <w:r w:rsidR="00B849C7" w:rsidRPr="0074345C">
              <w:t xml:space="preserve">presente </w:t>
            </w:r>
            <w:r w:rsidR="003260F8" w:rsidRPr="0074345C">
              <w:t>sesión.</w:t>
            </w:r>
          </w:p>
          <w:p w:rsidR="00502F27" w:rsidRPr="0074345C" w:rsidRDefault="00502F27" w:rsidP="00E00028">
            <w:pPr>
              <w:spacing w:before="60" w:after="60"/>
              <w:ind w:left="34"/>
            </w:pPr>
          </w:p>
        </w:tc>
      </w:tr>
      <w:tr w:rsidR="006376E7" w:rsidRPr="0074345C" w:rsidTr="00E00028">
        <w:trPr>
          <w:trHeight w:val="1212"/>
        </w:trPr>
        <w:tc>
          <w:tcPr>
            <w:tcW w:w="2376" w:type="dxa"/>
            <w:shd w:val="clear" w:color="auto" w:fill="auto"/>
          </w:tcPr>
          <w:p w:rsidR="003260F8" w:rsidRPr="0074345C" w:rsidRDefault="003260F8" w:rsidP="00E00028">
            <w:pPr>
              <w:pStyle w:val="Heading3"/>
              <w:keepNext w:val="0"/>
              <w:spacing w:before="60"/>
            </w:pPr>
          </w:p>
          <w:p w:rsidR="00502F27" w:rsidRPr="0074345C" w:rsidRDefault="003260F8" w:rsidP="003260F8">
            <w:pPr>
              <w:pStyle w:val="Heading3"/>
              <w:keepNext w:val="0"/>
              <w:spacing w:before="60"/>
            </w:pPr>
            <w:r w:rsidRPr="0074345C">
              <w:t>Ejemplos de logros y efectos y enseñanzas extraídas</w:t>
            </w:r>
          </w:p>
        </w:tc>
        <w:tc>
          <w:tcPr>
            <w:tcW w:w="6912" w:type="dxa"/>
            <w:vAlign w:val="center"/>
          </w:tcPr>
          <w:p w:rsidR="003260F8" w:rsidRPr="0074345C" w:rsidRDefault="003260F8" w:rsidP="00E00028">
            <w:pPr>
              <w:spacing w:before="60" w:after="60"/>
              <w:rPr>
                <w:szCs w:val="22"/>
              </w:rPr>
            </w:pPr>
          </w:p>
          <w:p w:rsidR="003260F8" w:rsidRPr="0074345C" w:rsidRDefault="003260F8" w:rsidP="003260F8">
            <w:pPr>
              <w:spacing w:before="60" w:after="60"/>
              <w:rPr>
                <w:szCs w:val="22"/>
              </w:rPr>
            </w:pPr>
            <w:r w:rsidRPr="0074345C">
              <w:rPr>
                <w:szCs w:val="22"/>
              </w:rPr>
              <w:t xml:space="preserve">Las </w:t>
            </w:r>
            <w:r w:rsidR="00B849C7" w:rsidRPr="0074345C">
              <w:rPr>
                <w:szCs w:val="22"/>
              </w:rPr>
              <w:t xml:space="preserve">cinco </w:t>
            </w:r>
            <w:r w:rsidRPr="0074345C">
              <w:rPr>
                <w:szCs w:val="22"/>
              </w:rPr>
              <w:t xml:space="preserve">reuniones regionales de consulta sobre transferencia de tecnología </w:t>
            </w:r>
            <w:r w:rsidR="00B849C7" w:rsidRPr="0074345C">
              <w:rPr>
                <w:szCs w:val="22"/>
              </w:rPr>
              <w:t xml:space="preserve">celebradas hasta la fecha </w:t>
            </w:r>
            <w:r w:rsidRPr="0074345C">
              <w:rPr>
                <w:szCs w:val="22"/>
              </w:rPr>
              <w:t xml:space="preserve">han logrado despertar mucho interés entre los países participantes </w:t>
            </w:r>
            <w:r w:rsidR="00B849C7" w:rsidRPr="0074345C">
              <w:rPr>
                <w:szCs w:val="22"/>
              </w:rPr>
              <w:t>y</w:t>
            </w:r>
            <w:r w:rsidRPr="0074345C">
              <w:rPr>
                <w:szCs w:val="22"/>
              </w:rPr>
              <w:t xml:space="preserve"> los participantes a las reuniones.</w:t>
            </w:r>
            <w:r w:rsidR="00502F27" w:rsidRPr="0074345C">
              <w:rPr>
                <w:szCs w:val="22"/>
              </w:rPr>
              <w:t xml:space="preserve">  </w:t>
            </w:r>
          </w:p>
          <w:p w:rsidR="00502F27" w:rsidRPr="0074345C" w:rsidRDefault="00502F27" w:rsidP="00E00028">
            <w:pPr>
              <w:spacing w:before="60" w:after="60"/>
              <w:rPr>
                <w:szCs w:val="22"/>
              </w:rPr>
            </w:pPr>
          </w:p>
        </w:tc>
      </w:tr>
      <w:tr w:rsidR="006376E7" w:rsidRPr="0074345C" w:rsidTr="00E00028">
        <w:trPr>
          <w:trHeight w:val="1126"/>
        </w:trPr>
        <w:tc>
          <w:tcPr>
            <w:tcW w:w="2376" w:type="dxa"/>
            <w:shd w:val="clear" w:color="auto" w:fill="auto"/>
          </w:tcPr>
          <w:p w:rsidR="003260F8" w:rsidRPr="0074345C" w:rsidRDefault="003260F8" w:rsidP="00E00028">
            <w:pPr>
              <w:pStyle w:val="Heading3"/>
              <w:keepNext w:val="0"/>
              <w:spacing w:before="60"/>
            </w:pPr>
          </w:p>
          <w:p w:rsidR="00502F27" w:rsidRPr="0074345C" w:rsidRDefault="003260F8" w:rsidP="003260F8">
            <w:pPr>
              <w:pStyle w:val="Heading3"/>
              <w:keepNext w:val="0"/>
              <w:spacing w:before="60"/>
            </w:pPr>
            <w:r w:rsidRPr="0074345C">
              <w:t>Riesgos y medidas paliativas</w:t>
            </w:r>
          </w:p>
        </w:tc>
        <w:tc>
          <w:tcPr>
            <w:tcW w:w="6912" w:type="dxa"/>
          </w:tcPr>
          <w:p w:rsidR="003260F8" w:rsidRPr="0074345C" w:rsidRDefault="003260F8" w:rsidP="00E00028">
            <w:pPr>
              <w:spacing w:before="60" w:after="60"/>
              <w:rPr>
                <w:iCs/>
              </w:rPr>
            </w:pPr>
          </w:p>
          <w:p w:rsidR="00502F27" w:rsidRPr="0074345C" w:rsidRDefault="003260F8" w:rsidP="003260F8">
            <w:pPr>
              <w:spacing w:before="60" w:after="60"/>
              <w:rPr>
                <w:iCs/>
              </w:rPr>
            </w:pPr>
            <w:r w:rsidRPr="0074345C">
              <w:rPr>
                <w:iCs/>
              </w:rPr>
              <w:t>Ninguna</w:t>
            </w:r>
          </w:p>
        </w:tc>
      </w:tr>
      <w:tr w:rsidR="006376E7" w:rsidRPr="0074345C" w:rsidTr="00E00028">
        <w:trPr>
          <w:trHeight w:val="901"/>
        </w:trPr>
        <w:tc>
          <w:tcPr>
            <w:tcW w:w="2376" w:type="dxa"/>
            <w:shd w:val="clear" w:color="auto" w:fill="auto"/>
          </w:tcPr>
          <w:p w:rsidR="00502F27" w:rsidRPr="0074345C" w:rsidRDefault="00B46E3A" w:rsidP="00E00028">
            <w:pPr>
              <w:pStyle w:val="Heading3"/>
              <w:keepNext w:val="0"/>
              <w:spacing w:before="60"/>
            </w:pPr>
            <w:r w:rsidRPr="0074345C">
              <w:t>Cuestiones que requieren atención inmediata</w:t>
            </w:r>
          </w:p>
        </w:tc>
        <w:tc>
          <w:tcPr>
            <w:tcW w:w="6912" w:type="dxa"/>
          </w:tcPr>
          <w:p w:rsidR="00502F27" w:rsidRPr="0074345C" w:rsidRDefault="003260F8" w:rsidP="003260F8">
            <w:pPr>
              <w:spacing w:before="60" w:after="60"/>
              <w:rPr>
                <w:iCs/>
              </w:rPr>
            </w:pPr>
            <w:r w:rsidRPr="0074345C">
              <w:rPr>
                <w:iCs/>
              </w:rPr>
              <w:t>Ninguna</w:t>
            </w:r>
          </w:p>
        </w:tc>
      </w:tr>
      <w:tr w:rsidR="006376E7" w:rsidRPr="0074345C" w:rsidTr="00E00028">
        <w:trPr>
          <w:trHeight w:val="1081"/>
        </w:trPr>
        <w:tc>
          <w:tcPr>
            <w:tcW w:w="2376" w:type="dxa"/>
            <w:shd w:val="clear" w:color="auto" w:fill="auto"/>
          </w:tcPr>
          <w:p w:rsidR="003260F8" w:rsidRPr="0074345C" w:rsidRDefault="003260F8" w:rsidP="00E00028">
            <w:pPr>
              <w:pStyle w:val="Heading3"/>
              <w:keepNext w:val="0"/>
              <w:spacing w:before="60"/>
            </w:pPr>
          </w:p>
          <w:p w:rsidR="00502F27" w:rsidRPr="0074345C" w:rsidRDefault="003260F8" w:rsidP="003260F8">
            <w:pPr>
              <w:pStyle w:val="Heading3"/>
              <w:keepNext w:val="0"/>
              <w:spacing w:before="60"/>
            </w:pPr>
            <w:r w:rsidRPr="0074345C">
              <w:t>Siguientes pasos</w:t>
            </w:r>
          </w:p>
        </w:tc>
        <w:tc>
          <w:tcPr>
            <w:tcW w:w="6912" w:type="dxa"/>
          </w:tcPr>
          <w:p w:rsidR="003260F8" w:rsidRPr="0074345C" w:rsidRDefault="003260F8" w:rsidP="00E00028">
            <w:pPr>
              <w:spacing w:before="60" w:after="60"/>
              <w:ind w:left="34"/>
            </w:pPr>
          </w:p>
          <w:p w:rsidR="003260F8" w:rsidRPr="0074345C" w:rsidRDefault="00083838" w:rsidP="00E00028">
            <w:pPr>
              <w:spacing w:before="60" w:after="60"/>
              <w:ind w:left="34"/>
            </w:pPr>
            <w:r w:rsidRPr="0074345C">
              <w:t xml:space="preserve">La labor relativa a la creación de un </w:t>
            </w:r>
            <w:r w:rsidRPr="0074345C">
              <w:rPr>
                <w:szCs w:val="22"/>
              </w:rPr>
              <w:t>foro en Internet</w:t>
            </w:r>
            <w:r w:rsidRPr="0074345C">
              <w:t xml:space="preserve"> se finalizará una vez que se haya celebrado el </w:t>
            </w:r>
            <w:r w:rsidR="002034F4" w:rsidRPr="0074345C">
              <w:t>Foro internacional de expertos de alto nivel</w:t>
            </w:r>
            <w:r w:rsidR="00502F27" w:rsidRPr="0074345C">
              <w:t>.</w:t>
            </w:r>
          </w:p>
          <w:p w:rsidR="003260F8" w:rsidRPr="0074345C" w:rsidRDefault="003260F8" w:rsidP="00E00028">
            <w:pPr>
              <w:spacing w:before="60" w:after="60"/>
              <w:ind w:left="34"/>
            </w:pPr>
          </w:p>
          <w:p w:rsidR="003260F8" w:rsidRPr="0074345C" w:rsidRDefault="00B849C7" w:rsidP="003260F8">
            <w:pPr>
              <w:spacing w:before="60" w:after="60"/>
              <w:ind w:left="34"/>
            </w:pPr>
            <w:r w:rsidRPr="0074345C">
              <w:t>Además,</w:t>
            </w:r>
            <w:r w:rsidR="003260F8" w:rsidRPr="0074345C">
              <w:t xml:space="preserve"> la labor encaminada a incorporar los resultados de las actividades mencionadas </w:t>
            </w:r>
            <w:r w:rsidR="003260F8" w:rsidRPr="0074345C">
              <w:rPr>
                <w:i/>
              </w:rPr>
              <w:t>supra</w:t>
            </w:r>
            <w:r w:rsidR="003260F8" w:rsidRPr="0074345C">
              <w:t xml:space="preserve"> en los </w:t>
            </w:r>
            <w:r w:rsidR="00AC0CD4" w:rsidRPr="0074345C">
              <w:t>Programas</w:t>
            </w:r>
            <w:r w:rsidR="003260F8" w:rsidRPr="0074345C">
              <w:t xml:space="preserve"> de la OMPI podrá iniciarse después de la celebración del foro de alto nivel </w:t>
            </w:r>
            <w:r w:rsidRPr="0074345C">
              <w:t xml:space="preserve">y </w:t>
            </w:r>
            <w:r w:rsidR="003260F8" w:rsidRPr="0074345C">
              <w:t>(como se acordó)</w:t>
            </w:r>
            <w:r w:rsidRPr="0074345C">
              <w:t xml:space="preserve"> solo comenzará</w:t>
            </w:r>
            <w:r w:rsidR="003260F8" w:rsidRPr="0074345C">
              <w:t xml:space="preserve"> tras el examen por el CDIP y las posibles recomendaciones del Comité a la Asamblea General.</w:t>
            </w:r>
          </w:p>
          <w:p w:rsidR="00502F27" w:rsidRPr="0074345C" w:rsidRDefault="00502F27" w:rsidP="00E00028">
            <w:pPr>
              <w:spacing w:before="60" w:after="60"/>
              <w:rPr>
                <w:iCs/>
              </w:rPr>
            </w:pPr>
          </w:p>
        </w:tc>
      </w:tr>
      <w:tr w:rsidR="006376E7" w:rsidRPr="0074345C" w:rsidTr="00E00028">
        <w:trPr>
          <w:trHeight w:val="1149"/>
        </w:trPr>
        <w:tc>
          <w:tcPr>
            <w:tcW w:w="2376" w:type="dxa"/>
            <w:shd w:val="clear" w:color="auto" w:fill="auto"/>
          </w:tcPr>
          <w:p w:rsidR="003260F8" w:rsidRPr="0074345C" w:rsidRDefault="003260F8" w:rsidP="00E00028">
            <w:pPr>
              <w:pStyle w:val="Heading3"/>
              <w:keepNext w:val="0"/>
              <w:spacing w:before="60"/>
            </w:pPr>
          </w:p>
          <w:p w:rsidR="00502F27" w:rsidRPr="0074345C" w:rsidRDefault="003260F8" w:rsidP="003260F8">
            <w:pPr>
              <w:pStyle w:val="Heading3"/>
              <w:keepNext w:val="0"/>
              <w:spacing w:before="60"/>
            </w:pPr>
            <w:r w:rsidRPr="0074345C">
              <w:t>Calendario de ejecución</w:t>
            </w:r>
          </w:p>
        </w:tc>
        <w:tc>
          <w:tcPr>
            <w:tcW w:w="6912" w:type="dxa"/>
          </w:tcPr>
          <w:p w:rsidR="003260F8" w:rsidRPr="0074345C" w:rsidRDefault="003260F8" w:rsidP="00E00028">
            <w:pPr>
              <w:spacing w:before="60" w:after="60"/>
              <w:rPr>
                <w:iCs/>
              </w:rPr>
            </w:pPr>
          </w:p>
          <w:p w:rsidR="00502F27" w:rsidRPr="0074345C" w:rsidRDefault="00083838" w:rsidP="00D24812">
            <w:pPr>
              <w:spacing w:before="60" w:after="60"/>
              <w:rPr>
                <w:iCs/>
              </w:rPr>
            </w:pPr>
            <w:r w:rsidRPr="0074345C">
              <w:rPr>
                <w:iCs/>
              </w:rPr>
              <w:t xml:space="preserve">Todas las fases del </w:t>
            </w:r>
            <w:r w:rsidR="00193CE1" w:rsidRPr="0074345C">
              <w:rPr>
                <w:iCs/>
              </w:rPr>
              <w:t xml:space="preserve">proyecto </w:t>
            </w:r>
            <w:r w:rsidR="003F2760" w:rsidRPr="0074345C">
              <w:rPr>
                <w:iCs/>
              </w:rPr>
              <w:t>s</w:t>
            </w:r>
            <w:r w:rsidRPr="0074345C">
              <w:rPr>
                <w:iCs/>
              </w:rPr>
              <w:t xml:space="preserve">e están ejecutando </w:t>
            </w:r>
            <w:r w:rsidR="003F2760" w:rsidRPr="0074345C">
              <w:rPr>
                <w:iCs/>
              </w:rPr>
              <w:t>en los plazos establecidos</w:t>
            </w:r>
            <w:r w:rsidRPr="0074345C">
              <w:rPr>
                <w:iCs/>
              </w:rPr>
              <w:t xml:space="preserve">, con arreglo al nuevo calendario aprobado por el </w:t>
            </w:r>
            <w:r w:rsidR="009E13C2" w:rsidRPr="0074345C">
              <w:rPr>
                <w:iCs/>
              </w:rPr>
              <w:t>CDIP</w:t>
            </w:r>
            <w:r w:rsidR="00502F27" w:rsidRPr="0074345C">
              <w:rPr>
                <w:iCs/>
              </w:rPr>
              <w:t xml:space="preserve"> </w:t>
            </w:r>
            <w:r w:rsidR="00060026" w:rsidRPr="0074345C">
              <w:rPr>
                <w:iCs/>
              </w:rPr>
              <w:t>en su dé</w:t>
            </w:r>
            <w:r w:rsidRPr="0074345C">
              <w:rPr>
                <w:iCs/>
              </w:rPr>
              <w:t xml:space="preserve">cimo segunda sesión </w:t>
            </w:r>
            <w:r w:rsidR="00502F27" w:rsidRPr="0074345C">
              <w:rPr>
                <w:iCs/>
              </w:rPr>
              <w:t>(document</w:t>
            </w:r>
            <w:r w:rsidRPr="0074345C">
              <w:rPr>
                <w:iCs/>
              </w:rPr>
              <w:t>o</w:t>
            </w:r>
            <w:r w:rsidR="00502F27" w:rsidRPr="0074345C">
              <w:rPr>
                <w:iCs/>
              </w:rPr>
              <w:t xml:space="preserve"> </w:t>
            </w:r>
            <w:hyperlink r:id="rId27" w:history="1">
              <w:r w:rsidR="00502F27" w:rsidRPr="0074345C">
                <w:rPr>
                  <w:rStyle w:val="Hyperlink"/>
                  <w:iCs/>
                  <w:color w:val="auto"/>
                </w:rPr>
                <w:t>CDIP/12/2</w:t>
              </w:r>
            </w:hyperlink>
            <w:r w:rsidR="00502F27" w:rsidRPr="0074345C">
              <w:rPr>
                <w:rStyle w:val="Hyperlink"/>
                <w:iCs/>
                <w:color w:val="auto"/>
              </w:rPr>
              <w:t xml:space="preserve">, </w:t>
            </w:r>
            <w:r w:rsidR="009E13C2" w:rsidRPr="0074345C">
              <w:rPr>
                <w:rStyle w:val="Hyperlink"/>
                <w:iCs/>
                <w:color w:val="auto"/>
              </w:rPr>
              <w:t xml:space="preserve">Anexo </w:t>
            </w:r>
            <w:r w:rsidR="00502F27" w:rsidRPr="0074345C">
              <w:rPr>
                <w:rStyle w:val="Hyperlink"/>
                <w:iCs/>
                <w:color w:val="auto"/>
              </w:rPr>
              <w:t xml:space="preserve"> VI).</w:t>
            </w:r>
          </w:p>
        </w:tc>
      </w:tr>
      <w:tr w:rsidR="006376E7" w:rsidRPr="0074345C" w:rsidTr="00E00028">
        <w:trPr>
          <w:trHeight w:val="848"/>
        </w:trPr>
        <w:tc>
          <w:tcPr>
            <w:tcW w:w="2376" w:type="dxa"/>
            <w:shd w:val="clear" w:color="auto" w:fill="auto"/>
          </w:tcPr>
          <w:p w:rsidR="003260F8" w:rsidRPr="0074345C" w:rsidRDefault="003260F8" w:rsidP="00E00028">
            <w:pPr>
              <w:pStyle w:val="Heading3"/>
              <w:keepNext w:val="0"/>
              <w:spacing w:before="60"/>
            </w:pPr>
          </w:p>
          <w:p w:rsidR="00502F27" w:rsidRPr="0074345C" w:rsidRDefault="003260F8" w:rsidP="003260F8">
            <w:pPr>
              <w:pStyle w:val="Heading3"/>
              <w:keepNext w:val="0"/>
              <w:spacing w:before="60"/>
            </w:pPr>
            <w:r w:rsidRPr="0074345C">
              <w:t>Porcentaje de ejecución del proyecto</w:t>
            </w:r>
            <w:r w:rsidR="00502F27" w:rsidRPr="0074345C">
              <w:t xml:space="preserve"> </w:t>
            </w:r>
          </w:p>
        </w:tc>
        <w:tc>
          <w:tcPr>
            <w:tcW w:w="6912" w:type="dxa"/>
          </w:tcPr>
          <w:p w:rsidR="003260F8" w:rsidRPr="0074345C" w:rsidRDefault="003260F8" w:rsidP="00E00028">
            <w:pPr>
              <w:spacing w:before="60" w:after="60"/>
              <w:rPr>
                <w:iCs/>
              </w:rPr>
            </w:pPr>
          </w:p>
          <w:p w:rsidR="00502F27" w:rsidRPr="0074345C" w:rsidRDefault="003260F8" w:rsidP="003260F8">
            <w:pPr>
              <w:spacing w:before="60" w:after="60"/>
              <w:rPr>
                <w:iCs/>
              </w:rPr>
            </w:pPr>
            <w:r w:rsidRPr="0074345C">
              <w:rPr>
                <w:iCs/>
              </w:rPr>
              <w:t>Porcentaje de utilización del presupuesto a finales de agosto de 2014</w:t>
            </w:r>
            <w:proofErr w:type="gramStart"/>
            <w:r w:rsidRPr="0074345C">
              <w:rPr>
                <w:iCs/>
              </w:rPr>
              <w:t>:  68</w:t>
            </w:r>
            <w:proofErr w:type="gramEnd"/>
            <w:r w:rsidRPr="0074345C">
              <w:rPr>
                <w:iCs/>
              </w:rPr>
              <w:t>%.</w:t>
            </w:r>
          </w:p>
        </w:tc>
      </w:tr>
      <w:tr w:rsidR="00502F27" w:rsidRPr="0074345C" w:rsidTr="00E00028">
        <w:trPr>
          <w:trHeight w:val="848"/>
        </w:trPr>
        <w:tc>
          <w:tcPr>
            <w:tcW w:w="2376" w:type="dxa"/>
            <w:shd w:val="clear" w:color="auto" w:fill="auto"/>
          </w:tcPr>
          <w:p w:rsidR="00502F27" w:rsidRPr="0074345C" w:rsidRDefault="003260F8" w:rsidP="00B849C7">
            <w:pPr>
              <w:pStyle w:val="Heading3"/>
              <w:spacing w:before="60"/>
            </w:pPr>
            <w:r w:rsidRPr="0074345C">
              <w:lastRenderedPageBreak/>
              <w:t>Informes previos</w:t>
            </w:r>
          </w:p>
        </w:tc>
        <w:tc>
          <w:tcPr>
            <w:tcW w:w="6912" w:type="dxa"/>
          </w:tcPr>
          <w:p w:rsidR="00502F27" w:rsidRPr="0074345C" w:rsidRDefault="003260F8" w:rsidP="00B849C7">
            <w:pPr>
              <w:keepNext/>
              <w:keepLines/>
              <w:spacing w:before="60" w:after="60"/>
              <w:rPr>
                <w:iCs/>
              </w:rPr>
            </w:pPr>
            <w:r w:rsidRPr="0074345C">
              <w:rPr>
                <w:iCs/>
              </w:rPr>
              <w:t xml:space="preserve">El primer informe sobre la marcha del proyecto, contenido en el documento </w:t>
            </w:r>
            <w:hyperlink r:id="rId28" w:history="1">
              <w:r w:rsidR="00916512" w:rsidRPr="0074345C">
                <w:rPr>
                  <w:rStyle w:val="Hyperlink"/>
                  <w:iCs/>
                  <w:color w:val="auto"/>
                </w:rPr>
                <w:t>CDIP/8/2</w:t>
              </w:r>
            </w:hyperlink>
            <w:r w:rsidRPr="0074345C">
              <w:rPr>
                <w:iCs/>
              </w:rPr>
              <w:t>, Anexo VIII, se presentó en la octava sesión del CDIP, celebrada en noviembre de 2011.</w:t>
            </w:r>
            <w:r w:rsidR="00502F27" w:rsidRPr="0074345C">
              <w:rPr>
                <w:iCs/>
              </w:rPr>
              <w:t xml:space="preserve">  </w:t>
            </w:r>
            <w:r w:rsidRPr="0074345C">
              <w:rPr>
                <w:iCs/>
              </w:rPr>
              <w:t xml:space="preserve">El segundo informe, contenido en el documento </w:t>
            </w:r>
            <w:hyperlink r:id="rId29" w:history="1">
              <w:r w:rsidR="00916512" w:rsidRPr="0074345C">
                <w:rPr>
                  <w:rStyle w:val="Hyperlink"/>
                  <w:iCs/>
                  <w:color w:val="auto"/>
                </w:rPr>
                <w:t>CDIP/10/2</w:t>
              </w:r>
            </w:hyperlink>
            <w:r w:rsidRPr="0074345C">
              <w:rPr>
                <w:iCs/>
              </w:rPr>
              <w:t>, se presentó en la décima</w:t>
            </w:r>
            <w:r w:rsidR="00B849C7" w:rsidRPr="0074345C">
              <w:rPr>
                <w:iCs/>
              </w:rPr>
              <w:t xml:space="preserve"> sesión</w:t>
            </w:r>
            <w:r w:rsidRPr="0074345C">
              <w:rPr>
                <w:iCs/>
              </w:rPr>
              <w:t xml:space="preserve"> del CDIP</w:t>
            </w:r>
            <w:r w:rsidR="00B849C7" w:rsidRPr="0074345C">
              <w:rPr>
                <w:iCs/>
              </w:rPr>
              <w:t>, en</w:t>
            </w:r>
            <w:r w:rsidRPr="0074345C">
              <w:rPr>
                <w:iCs/>
              </w:rPr>
              <w:t xml:space="preserve"> noviembre de 2012.</w:t>
            </w:r>
            <w:r w:rsidR="00502F27" w:rsidRPr="0074345C">
              <w:rPr>
                <w:iCs/>
              </w:rPr>
              <w:t xml:space="preserve"> </w:t>
            </w:r>
            <w:r w:rsidR="00502F27" w:rsidRPr="0074345C">
              <w:t xml:space="preserve"> </w:t>
            </w:r>
            <w:r w:rsidRPr="0074345C">
              <w:t xml:space="preserve">El </w:t>
            </w:r>
            <w:r w:rsidR="00B849C7" w:rsidRPr="0074345C">
              <w:t>tercer</w:t>
            </w:r>
            <w:r w:rsidRPr="0074345C">
              <w:t xml:space="preserve"> informe, contenido en el documento </w:t>
            </w:r>
            <w:hyperlink r:id="rId30" w:history="1">
              <w:r w:rsidR="00916512" w:rsidRPr="0074345C">
                <w:rPr>
                  <w:rStyle w:val="Hyperlink"/>
                  <w:iCs/>
                  <w:color w:val="auto"/>
                </w:rPr>
                <w:t>CDIP/12/2</w:t>
              </w:r>
            </w:hyperlink>
            <w:r w:rsidRPr="0074345C">
              <w:t xml:space="preserve">, </w:t>
            </w:r>
            <w:r w:rsidR="00B849C7" w:rsidRPr="0074345C">
              <w:t>fue</w:t>
            </w:r>
            <w:r w:rsidRPr="0074345C">
              <w:t xml:space="preserve"> present</w:t>
            </w:r>
            <w:r w:rsidR="00B849C7" w:rsidRPr="0074345C">
              <w:t>ado</w:t>
            </w:r>
            <w:r w:rsidRPr="0074345C">
              <w:t xml:space="preserve"> en la </w:t>
            </w:r>
            <w:r w:rsidR="00B849C7" w:rsidRPr="0074345C">
              <w:t>12ª</w:t>
            </w:r>
            <w:r w:rsidRPr="0074345C">
              <w:t xml:space="preserve"> sesión del CDIP de noviembre de 201</w:t>
            </w:r>
            <w:r w:rsidR="00B849C7" w:rsidRPr="0074345C">
              <w:t>3</w:t>
            </w:r>
            <w:r w:rsidRPr="0074345C">
              <w:t>.</w:t>
            </w:r>
          </w:p>
        </w:tc>
      </w:tr>
    </w:tbl>
    <w:p w:rsidR="00502F27" w:rsidRPr="0074345C" w:rsidRDefault="00502F27" w:rsidP="00B849C7">
      <w:pPr>
        <w:keepNext/>
      </w:pPr>
    </w:p>
    <w:p w:rsidR="000C11F8" w:rsidRPr="0074345C" w:rsidRDefault="000C11F8">
      <w:r w:rsidRPr="0074345C">
        <w:br w:type="page"/>
      </w:r>
    </w:p>
    <w:tbl>
      <w:tblPr>
        <w:tblW w:w="9578" w:type="dxa"/>
        <w:tblLook w:val="01E0" w:firstRow="1" w:lastRow="1" w:firstColumn="1" w:lastColumn="1" w:noHBand="0" w:noVBand="0"/>
      </w:tblPr>
      <w:tblGrid>
        <w:gridCol w:w="9578"/>
      </w:tblGrid>
      <w:tr w:rsidR="00502F27" w:rsidRPr="0074345C" w:rsidTr="00E00028">
        <w:trPr>
          <w:trHeight w:val="494"/>
        </w:trPr>
        <w:tc>
          <w:tcPr>
            <w:tcW w:w="9578" w:type="dxa"/>
            <w:vAlign w:val="center"/>
          </w:tcPr>
          <w:tbl>
            <w:tblPr>
              <w:tblW w:w="0" w:type="auto"/>
              <w:tblLook w:val="01E0" w:firstRow="1" w:lastRow="1" w:firstColumn="1" w:lastColumn="1" w:noHBand="0" w:noVBand="0"/>
            </w:tblPr>
            <w:tblGrid>
              <w:gridCol w:w="9287"/>
            </w:tblGrid>
            <w:tr w:rsidR="006376E7" w:rsidRPr="0074345C" w:rsidTr="00E00028">
              <w:trPr>
                <w:trHeight w:val="494"/>
              </w:trPr>
              <w:tc>
                <w:tcPr>
                  <w:tcW w:w="9287" w:type="dxa"/>
                  <w:vAlign w:val="center"/>
                </w:tcPr>
                <w:p w:rsidR="003260F8" w:rsidRPr="0074345C" w:rsidRDefault="00502F27" w:rsidP="003260F8">
                  <w:pPr>
                    <w:ind w:left="-108"/>
                  </w:pPr>
                  <w:r w:rsidRPr="0074345C">
                    <w:lastRenderedPageBreak/>
                    <w:br w:type="page"/>
                  </w:r>
                  <w:r w:rsidR="003260F8" w:rsidRPr="0074345C">
                    <w:t>EVALUACIÓN INTERNA DEL PROYECTO</w:t>
                  </w:r>
                </w:p>
                <w:p w:rsidR="00502F27" w:rsidRPr="0074345C" w:rsidRDefault="00502F27" w:rsidP="00E00028">
                  <w:pPr>
                    <w:ind w:left="-108"/>
                  </w:pPr>
                </w:p>
              </w:tc>
            </w:tr>
          </w:tbl>
          <w:p w:rsidR="003260F8" w:rsidRPr="0074345C" w:rsidRDefault="003260F8" w:rsidP="003260F8">
            <w:r w:rsidRPr="0074345C">
              <w:t>Clave de los colores</w:t>
            </w:r>
          </w:p>
          <w:p w:rsidR="00502F27" w:rsidRPr="0074345C" w:rsidRDefault="00502F27" w:rsidP="00E00028"/>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tcPr>
                <w:p w:rsidR="00502F27" w:rsidRPr="0074345C" w:rsidRDefault="00502F27" w:rsidP="00E00028">
                  <w:pPr>
                    <w:spacing w:before="60" w:after="60"/>
                  </w:pPr>
                  <w:r w:rsidRPr="0074345C">
                    <w:t>****</w:t>
                  </w:r>
                </w:p>
              </w:tc>
              <w:tc>
                <w:tcPr>
                  <w:tcW w:w="1677" w:type="dxa"/>
                  <w:vAlign w:val="center"/>
                </w:tcPr>
                <w:p w:rsidR="00502F27" w:rsidRPr="0074345C" w:rsidRDefault="00502F27" w:rsidP="00E00028">
                  <w:pPr>
                    <w:spacing w:before="60" w:after="60"/>
                  </w:pPr>
                  <w:r w:rsidRPr="0074345C">
                    <w:t>***</w:t>
                  </w:r>
                </w:p>
              </w:tc>
              <w:tc>
                <w:tcPr>
                  <w:tcW w:w="1797" w:type="dxa"/>
                  <w:vAlign w:val="center"/>
                </w:tcPr>
                <w:p w:rsidR="00502F27" w:rsidRPr="0074345C" w:rsidRDefault="00502F27" w:rsidP="00E00028">
                  <w:pPr>
                    <w:spacing w:before="60" w:after="60"/>
                  </w:pPr>
                  <w:r w:rsidRPr="0074345C">
                    <w:t>**</w:t>
                  </w:r>
                </w:p>
              </w:tc>
              <w:tc>
                <w:tcPr>
                  <w:tcW w:w="1895" w:type="dxa"/>
                  <w:vAlign w:val="center"/>
                </w:tcPr>
                <w:p w:rsidR="00502F27" w:rsidRPr="0074345C" w:rsidRDefault="003260F8" w:rsidP="003260F8">
                  <w:pPr>
                    <w:spacing w:before="60" w:after="60"/>
                  </w:pPr>
                  <w:r w:rsidRPr="0074345C">
                    <w:t>NA</w:t>
                  </w:r>
                </w:p>
              </w:tc>
              <w:tc>
                <w:tcPr>
                  <w:tcW w:w="2563" w:type="dxa"/>
                  <w:vAlign w:val="center"/>
                </w:tcPr>
                <w:p w:rsidR="00502F27" w:rsidRPr="0074345C" w:rsidRDefault="003260F8" w:rsidP="003260F8">
                  <w:pPr>
                    <w:spacing w:before="60" w:after="60"/>
                  </w:pPr>
                  <w:r w:rsidRPr="0074345C">
                    <w:t>SE/AD</w:t>
                  </w:r>
                </w:p>
              </w:tc>
            </w:tr>
            <w:tr w:rsidR="006376E7" w:rsidRPr="0074345C" w:rsidTr="00E00028">
              <w:tc>
                <w:tcPr>
                  <w:tcW w:w="1416" w:type="dxa"/>
                </w:tcPr>
                <w:p w:rsidR="00502F27" w:rsidRPr="0074345C" w:rsidRDefault="003260F8" w:rsidP="003260F8">
                  <w:pPr>
                    <w:spacing w:before="60" w:after="60"/>
                  </w:pPr>
                  <w:r w:rsidRPr="0074345C">
                    <w:t>Plenamente logrado.</w:t>
                  </w:r>
                </w:p>
              </w:tc>
              <w:tc>
                <w:tcPr>
                  <w:tcW w:w="1677" w:type="dxa"/>
                </w:tcPr>
                <w:p w:rsidR="00502F27" w:rsidRPr="0074345C" w:rsidRDefault="003260F8" w:rsidP="003260F8">
                  <w:pPr>
                    <w:spacing w:before="60" w:after="60"/>
                  </w:pPr>
                  <w:r w:rsidRPr="0074345C">
                    <w:t>Avance notable</w:t>
                  </w:r>
                </w:p>
              </w:tc>
              <w:tc>
                <w:tcPr>
                  <w:tcW w:w="1797" w:type="dxa"/>
                </w:tcPr>
                <w:p w:rsidR="00502F27" w:rsidRPr="0074345C" w:rsidRDefault="003260F8" w:rsidP="003260F8">
                  <w:pPr>
                    <w:spacing w:before="60" w:after="60"/>
                  </w:pPr>
                  <w:r w:rsidRPr="0074345C">
                    <w:t>Avance</w:t>
                  </w:r>
                </w:p>
              </w:tc>
              <w:tc>
                <w:tcPr>
                  <w:tcW w:w="1895" w:type="dxa"/>
                </w:tcPr>
                <w:p w:rsidR="00502F27" w:rsidRPr="0074345C" w:rsidRDefault="003260F8" w:rsidP="003260F8">
                  <w:pPr>
                    <w:spacing w:before="60" w:after="60"/>
                  </w:pPr>
                  <w:r w:rsidRPr="0074345C">
                    <w:t>Ningún avance</w:t>
                  </w:r>
                </w:p>
              </w:tc>
              <w:tc>
                <w:tcPr>
                  <w:tcW w:w="2563" w:type="dxa"/>
                </w:tcPr>
                <w:p w:rsidR="00502F27" w:rsidRPr="0074345C" w:rsidRDefault="003260F8" w:rsidP="003260F8">
                  <w:pPr>
                    <w:spacing w:before="60" w:after="60"/>
                  </w:pPr>
                  <w:r w:rsidRPr="0074345C">
                    <w:t>Sin evaluar /actividad discontinuada</w:t>
                  </w:r>
                </w:p>
              </w:tc>
            </w:tr>
          </w:tbl>
          <w:p w:rsidR="00502F27" w:rsidRPr="0074345C" w:rsidRDefault="00502F27" w:rsidP="00E00028"/>
          <w:tbl>
            <w:tblPr>
              <w:tblW w:w="9356" w:type="dxa"/>
              <w:tblLook w:val="01E0" w:firstRow="1" w:lastRow="1" w:firstColumn="1" w:lastColumn="1" w:noHBand="0" w:noVBand="0"/>
            </w:tblPr>
            <w:tblGrid>
              <w:gridCol w:w="2300"/>
              <w:gridCol w:w="2556"/>
              <w:gridCol w:w="3232"/>
              <w:gridCol w:w="1268"/>
            </w:tblGrid>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b/>
                      <w:szCs w:val="22"/>
                      <w:u w:val="single"/>
                    </w:rPr>
                  </w:pPr>
                  <w:r w:rsidRPr="0074345C">
                    <w:rPr>
                      <w:szCs w:val="22"/>
                      <w:u w:val="single"/>
                    </w:rPr>
                    <w:t>Productos del proyecto</w:t>
                  </w:r>
                  <w:r w:rsidRPr="0074345C">
                    <w:rPr>
                      <w:szCs w:val="22"/>
                    </w:rPr>
                    <w:t xml:space="preserve"> </w:t>
                  </w:r>
                  <w:r w:rsidRPr="0074345C">
                    <w:rPr>
                      <w:szCs w:val="22"/>
                      <w:u w:val="single"/>
                    </w:rP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szCs w:val="22"/>
                      <w:u w:val="single"/>
                    </w:rPr>
                  </w:pPr>
                  <w:r w:rsidRPr="0074345C">
                    <w:rPr>
                      <w:szCs w:val="22"/>
                      <w:u w:val="single"/>
                    </w:rPr>
                    <w:t>Indicadores de obtención de resultados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spacing w:before="60"/>
                    <w:rPr>
                      <w:szCs w:val="22"/>
                    </w:rPr>
                  </w:pPr>
                  <w:r w:rsidRPr="0074345C">
                    <w:rPr>
                      <w:szCs w:val="22"/>
                    </w:rPr>
                    <w:t>Datos sobre el rendimiento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spacing w:before="120" w:after="120"/>
                    <w:rPr>
                      <w:szCs w:val="22"/>
                    </w:rPr>
                  </w:pPr>
                  <w:r w:rsidRPr="0074345C">
                    <w:rPr>
                      <w:szCs w:val="22"/>
                    </w:rPr>
                    <w:t>Clave de colores</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rPr>
                      <w:bCs/>
                    </w:rPr>
                    <w:t>0.  Documento del proyecto</w:t>
                  </w:r>
                  <w:r w:rsidR="00502F27" w:rsidRPr="0074345C">
                    <w:rPr>
                      <w:bCs/>
                    </w:rPr>
                    <w:t xml:space="preserve">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El proyecto de documento ha sido preparado dentro de los tres meses a partir de la aprobación del proyecto, en consulta con los Estados miembros.</w:t>
                  </w:r>
                  <w:r w:rsidR="00502F27" w:rsidRPr="0074345C">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Se finalizó la redacción del documento del proyecto en noviembre de 2011 y se revisó en mayo de 2012.</w:t>
                  </w:r>
                </w:p>
                <w:p w:rsidR="00502F27" w:rsidRPr="0074345C" w:rsidRDefault="00502F27" w:rsidP="00E00028">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spacing w:before="120" w:after="120"/>
                  </w:pPr>
                  <w:r w:rsidRPr="0074345C">
                    <w:t>****</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rPr>
                      <w:bCs/>
                    </w:rPr>
                    <w:t>1.  Organización de reuniones regionales de consulta sobre transferencia de tecnología</w:t>
                  </w:r>
                  <w:r w:rsidR="00502F27" w:rsidRPr="0074345C">
                    <w:rPr>
                      <w:bCs/>
                    </w:rPr>
                    <w:t xml:space="preserve">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Organización de reuniones en un plazo de tres meses desde la finalización del informe del proyecto;</w:t>
                  </w:r>
                </w:p>
                <w:p w:rsidR="003260F8" w:rsidRPr="0074345C" w:rsidRDefault="003260F8" w:rsidP="003260F8">
                  <w:pPr>
                    <w:spacing w:before="60" w:after="60"/>
                  </w:pPr>
                  <w:r w:rsidRPr="0074345C">
                    <w:t>– comentarios de los participantes;  y</w:t>
                  </w:r>
                </w:p>
                <w:p w:rsidR="00502F27" w:rsidRPr="0074345C" w:rsidRDefault="003260F8" w:rsidP="003260F8">
                  <w:pPr>
                    <w:spacing w:before="60" w:after="60"/>
                  </w:pPr>
                  <w:r w:rsidRPr="0074345C">
                    <w:t>– observaciones derivadas de las consultas con los Estados miembros.</w:t>
                  </w:r>
                  <w:r w:rsidR="00502F27" w:rsidRPr="0074345C">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083838" w:rsidP="00D24812">
                  <w:pPr>
                    <w:spacing w:before="60" w:after="60"/>
                    <w:rPr>
                      <w:iCs/>
                    </w:rPr>
                  </w:pPr>
                  <w:r w:rsidRPr="0074345C">
                    <w:t xml:space="preserve">Las </w:t>
                  </w:r>
                  <w:r w:rsidR="00ED5802" w:rsidRPr="0074345C">
                    <w:t>cinco reuniones regionales de consulta sobre transferencia de tecnología previstas han tenido lugar</w:t>
                  </w:r>
                  <w:r w:rsidR="00502F27" w:rsidRPr="0074345C">
                    <w:t xml:space="preserve">: </w:t>
                  </w:r>
                  <w:r w:rsidR="00ED5802" w:rsidRPr="0074345C">
                    <w:t xml:space="preserve">la primera en </w:t>
                  </w:r>
                  <w:r w:rsidR="00ED5802" w:rsidRPr="0074345C">
                    <w:rPr>
                      <w:iCs/>
                    </w:rPr>
                    <w:t>Singapur, los días 16 y 17 de julio de 2012; la segunda en Argel, los días 29 y 30 de enero de 2013;</w:t>
                  </w:r>
                  <w:r w:rsidR="00ED5802" w:rsidRPr="0074345C">
                    <w:t xml:space="preserve"> la tercera en </w:t>
                  </w:r>
                  <w:r w:rsidR="00ED5802" w:rsidRPr="0074345C">
                    <w:rPr>
                      <w:iCs/>
                    </w:rPr>
                    <w:t>Estambul, los días 24 y 25 de octubre de 2013</w:t>
                  </w:r>
                  <w:r w:rsidR="003F2760" w:rsidRPr="0074345C">
                    <w:rPr>
                      <w:iCs/>
                    </w:rPr>
                    <w:t>,</w:t>
                  </w:r>
                  <w:r w:rsidR="00ED5802" w:rsidRPr="0074345C">
                    <w:rPr>
                      <w:iCs/>
                    </w:rPr>
                    <w:t xml:space="preserve"> la cuarta reunión en G</w:t>
                  </w:r>
                  <w:r w:rsidR="00D24812" w:rsidRPr="0074345C">
                    <w:rPr>
                      <w:iCs/>
                    </w:rPr>
                    <w:t>inebra</w:t>
                  </w:r>
                  <w:r w:rsidR="00AC0857" w:rsidRPr="0074345C">
                    <w:t xml:space="preserve">, </w:t>
                  </w:r>
                  <w:r w:rsidR="00ED5802" w:rsidRPr="0074345C">
                    <w:rPr>
                      <w:iCs/>
                    </w:rPr>
                    <w:t>los días 25 y 26 de noviembre de 2013</w:t>
                  </w:r>
                  <w:r w:rsidR="00AC0857" w:rsidRPr="0074345C">
                    <w:rPr>
                      <w:iCs/>
                    </w:rPr>
                    <w:t>;</w:t>
                  </w:r>
                  <w:r w:rsidR="00ED5802" w:rsidRPr="0074345C">
                    <w:rPr>
                      <w:iCs/>
                    </w:rPr>
                    <w:t xml:space="preserve"> y la quinta y final en Monterrey</w:t>
                  </w:r>
                  <w:r w:rsidR="00AC0857" w:rsidRPr="0074345C">
                    <w:rPr>
                      <w:iCs/>
                    </w:rPr>
                    <w:t xml:space="preserve">, </w:t>
                  </w:r>
                  <w:r w:rsidR="00ED5802" w:rsidRPr="0074345C">
                    <w:rPr>
                      <w:iCs/>
                    </w:rPr>
                    <w:t>los días 5 y 6 de diciembre de 2013</w:t>
                  </w:r>
                  <w:r w:rsidR="00AC0857" w:rsidRPr="0074345C">
                    <w:rPr>
                      <w:iCs/>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spacing w:before="120" w:after="120"/>
                  </w:pPr>
                  <w:r w:rsidRPr="0074345C">
                    <w:t>****</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rPr>
                      <w:bCs/>
                    </w:rPr>
                    <w:lastRenderedPageBreak/>
                    <w:t>2. Estudios, estudios de caso y análisis.</w:t>
                  </w:r>
                  <w:r w:rsidR="00502F27" w:rsidRPr="0074345C">
                    <w:rPr>
                      <w:bCs/>
                    </w:rPr>
                    <w:t xml:space="preserve">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Finalización de los estudios y análisis dentro del plazo convenido y conforme a las especificaciones que figuran en el mandato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AC0857" w:rsidP="00E00028">
                  <w:pPr>
                    <w:spacing w:before="60" w:after="60"/>
                  </w:pPr>
                  <w:r w:rsidRPr="0074345C">
                    <w:t xml:space="preserve">La Secretaría encomendó la </w:t>
                  </w:r>
                  <w:r w:rsidR="003F2760" w:rsidRPr="0074345C">
                    <w:t>elabora</w:t>
                  </w:r>
                  <w:r w:rsidRPr="0074345C">
                    <w:t>ción de seis estudios analíticos</w:t>
                  </w:r>
                  <w:r w:rsidR="003F2760" w:rsidRPr="0074345C">
                    <w:t>. Se</w:t>
                  </w:r>
                  <w:r w:rsidRPr="0074345C">
                    <w:t xml:space="preserve"> recibieron los borradores </w:t>
                  </w:r>
                  <w:r w:rsidR="00D24812" w:rsidRPr="0074345C">
                    <w:t xml:space="preserve">finales </w:t>
                  </w:r>
                  <w:r w:rsidRPr="0074345C">
                    <w:t xml:space="preserve">de los seis estudios al final de la primera semana de septiembre de 2014. Los seis estudios han sido examinados por expertos internacionales y los autores de los estudios han tenido la oportunidad de incorporar sugerencias en el marco del proceso de examen por expertos.  Tanto las versiones finales de los estudios como los comentarios formulados por los examinadores </w:t>
                  </w:r>
                  <w:r w:rsidR="003F2760" w:rsidRPr="0074345C">
                    <w:t xml:space="preserve">estarán a disposición del CDIP, en su </w:t>
                  </w:r>
                  <w:r w:rsidR="004137F8" w:rsidRPr="0074345C">
                    <w:t xml:space="preserve"> </w:t>
                  </w:r>
                  <w:r w:rsidR="003F2760" w:rsidRPr="0074345C">
                    <w:t>decimocuarta sesión.</w:t>
                  </w:r>
                </w:p>
                <w:p w:rsidR="00502F27" w:rsidRPr="0074345C" w:rsidRDefault="00502F27" w:rsidP="00E00028">
                  <w:pPr>
                    <w:spacing w:before="60" w:after="60"/>
                  </w:pPr>
                  <w:r w:rsidRPr="0074345C">
                    <w:t xml:space="preserve"> </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spacing w:before="120" w:after="120"/>
                  </w:pPr>
                  <w:r w:rsidRPr="0074345C">
                    <w:t>****</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lastRenderedPageBreak/>
                    <w:t>3. Documento conceptual</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Elaboración de un proyecto de documento conceptual sobre la búsqueda de soluciones que servirá de base para los debates en el foro internacional de expertos de alto nivel, que se presentará al CDIP para su aprobación</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204C4F" w:rsidP="00D24812">
                  <w:pPr>
                    <w:ind w:left="34"/>
                  </w:pPr>
                  <w:r w:rsidRPr="0074345C">
                    <w:t>S</w:t>
                  </w:r>
                  <w:r w:rsidR="00AC0857" w:rsidRPr="0074345C">
                    <w:t xml:space="preserve">e ha elaborado </w:t>
                  </w:r>
                  <w:r w:rsidR="00D24812" w:rsidRPr="0074345C">
                    <w:t xml:space="preserve">una primera versión </w:t>
                  </w:r>
                  <w:r w:rsidRPr="0074345C">
                    <w:t xml:space="preserve">del </w:t>
                  </w:r>
                  <w:r w:rsidR="00AC0857" w:rsidRPr="0074345C">
                    <w:t xml:space="preserve">documento conceptual que describe los antecedentes del proyecto y </w:t>
                  </w:r>
                  <w:r w:rsidRPr="0074345C">
                    <w:t xml:space="preserve"> resume l</w:t>
                  </w:r>
                  <w:r w:rsidR="00AC0857" w:rsidRPr="0074345C">
                    <w:t xml:space="preserve">os diferentes resultados del proyecto (entre otros, las reuniones regionales de consulta  y los </w:t>
                  </w:r>
                  <w:r w:rsidR="00AC0857" w:rsidRPr="0074345C">
                    <w:rPr>
                      <w:szCs w:val="22"/>
                    </w:rPr>
                    <w:t>estudios analíticos examinados por expertos</w:t>
                  </w:r>
                  <w:r w:rsidR="00AC0857" w:rsidRPr="0074345C">
                    <w:t xml:space="preserve">). Además, como </w:t>
                  </w:r>
                  <w:r w:rsidRPr="0074345C">
                    <w:t>lo decidió</w:t>
                  </w:r>
                  <w:r w:rsidR="00AC0857" w:rsidRPr="0074345C">
                    <w:t xml:space="preserve"> el Comité (véase el documento </w:t>
                  </w:r>
                  <w:hyperlink r:id="rId31" w:history="1">
                    <w:r w:rsidRPr="0074345C">
                      <w:rPr>
                        <w:rStyle w:val="Hyperlink"/>
                        <w:color w:val="auto"/>
                      </w:rPr>
                      <w:t>CDIP/9/INF/4</w:t>
                    </w:r>
                  </w:hyperlink>
                  <w:r w:rsidR="00AC0857" w:rsidRPr="0074345C">
                    <w:t xml:space="preserve">, párrafo 66), antes de la presentación del documento conceptual para su aprobación por el CDIP en su presente sesión, se </w:t>
                  </w:r>
                  <w:r w:rsidRPr="0074345C">
                    <w:t>había presentado</w:t>
                  </w:r>
                  <w:r w:rsidR="00AC0857" w:rsidRPr="0074345C">
                    <w:t xml:space="preserve"> un </w:t>
                  </w:r>
                  <w:r w:rsidRPr="0074345C">
                    <w:t>borrador</w:t>
                  </w:r>
                  <w:r w:rsidR="00AC0857" w:rsidRPr="0074345C">
                    <w:t xml:space="preserve"> de documento conceptual en una sesión de información informal a las Misiones Permanentes de los Estados miembros en Ginebra el 1º de septiembre de 2014.</w:t>
                  </w:r>
                  <w:r w:rsidRPr="0074345C">
                    <w:t xml:space="preserve"> </w:t>
                  </w:r>
                  <w:r w:rsidR="00502F27" w:rsidRPr="0074345C">
                    <w:t xml:space="preserve"> </w:t>
                  </w:r>
                  <w:r w:rsidR="00D24812" w:rsidRPr="0074345C">
                    <w:t>Además</w:t>
                  </w:r>
                  <w:r w:rsidR="001873D4" w:rsidRPr="0074345C">
                    <w:t>, antes de la presente sesión del CDIP, como lo acordó el Comité (</w:t>
                  </w:r>
                  <w:r w:rsidR="001873D4" w:rsidRPr="0074345C">
                    <w:rPr>
                      <w:szCs w:val="22"/>
                    </w:rPr>
                    <w:t xml:space="preserve">véase el documento </w:t>
                  </w:r>
                  <w:hyperlink r:id="rId32" w:history="1">
                    <w:r w:rsidR="001873D4" w:rsidRPr="0074345C">
                      <w:rPr>
                        <w:rStyle w:val="Hyperlink"/>
                        <w:color w:val="auto"/>
                        <w:szCs w:val="22"/>
                      </w:rPr>
                      <w:t>CDIP/9/INF/4</w:t>
                    </w:r>
                  </w:hyperlink>
                  <w:r w:rsidR="001873D4" w:rsidRPr="0074345C">
                    <w:rPr>
                      <w:szCs w:val="22"/>
                    </w:rPr>
                    <w:t>, párrafo 66), se organizará una reunión de un día con organizaciones intergubernamentales</w:t>
                  </w:r>
                  <w:r w:rsidR="00D24812" w:rsidRPr="0074345C">
                    <w:rPr>
                      <w:szCs w:val="22"/>
                    </w:rPr>
                    <w:t>,</w:t>
                  </w:r>
                  <w:r w:rsidR="001873D4" w:rsidRPr="0074345C">
                    <w:rPr>
                      <w:szCs w:val="22"/>
                    </w:rPr>
                    <w:t xml:space="preserve"> </w:t>
                  </w:r>
                  <w:r w:rsidR="00D24812" w:rsidRPr="0074345C">
                    <w:rPr>
                      <w:szCs w:val="22"/>
                    </w:rPr>
                    <w:t xml:space="preserve">organizaciones </w:t>
                  </w:r>
                  <w:r w:rsidR="001873D4" w:rsidRPr="0074345C">
                    <w:rPr>
                      <w:szCs w:val="22"/>
                    </w:rPr>
                    <w:t xml:space="preserve">no gubernamentales y asociaciones profesionales </w:t>
                  </w:r>
                  <w:r w:rsidR="001873D4" w:rsidRPr="0074345C">
                    <w:t>a principios de octubre de 2014.  La Secretaría dará un informe oral al CDIP sobre las eventuales observaciones sobre el documento conceptual recibidas en la reunión de un día.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spacing w:before="120" w:after="120"/>
                  </w:pPr>
                  <w:r w:rsidRPr="0074345C">
                    <w:t>****</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4. Materiales del foro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Preparación y suministro de materiales, módulos, herramientas didácticas u otros instrumentos resultantes de la recomendaciones del foro internacional de expertos de alto nivel</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Es demasiado pronto para suministrar materiales.</w:t>
                  </w:r>
                  <w:r w:rsidR="00502F27" w:rsidRPr="0074345C">
                    <w:t xml:space="preserve">  </w:t>
                  </w:r>
                  <w:r w:rsidRPr="0074345C">
                    <w:t>Se están ya elaborando los materiales y herramientas didácticas derivados de las consultas regionales y los estudios encomendados.</w:t>
                  </w:r>
                </w:p>
                <w:p w:rsidR="003260F8" w:rsidRPr="0074345C" w:rsidRDefault="003260F8" w:rsidP="00E00028">
                  <w:pPr>
                    <w:spacing w:before="60" w:after="60"/>
                  </w:pPr>
                </w:p>
                <w:p w:rsidR="00502F27" w:rsidRPr="0074345C" w:rsidRDefault="00502F27" w:rsidP="00E00028">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120" w:after="120"/>
                  </w:pPr>
                  <w:r w:rsidRPr="0074345C">
                    <w:t>No está disponible.</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rPr>
                      <w:bCs/>
                    </w:rPr>
                  </w:pPr>
                  <w:r w:rsidRPr="0074345C">
                    <w:rPr>
                      <w:bCs/>
                    </w:rPr>
                    <w:lastRenderedPageBreak/>
                    <w:t>5. Organización del foro de expertos de alto nivel</w:t>
                  </w:r>
                  <w:r w:rsidR="00502F27" w:rsidRPr="0074345C">
                    <w:rPr>
                      <w:bCs/>
                    </w:rPr>
                    <w:t xml:space="preserve"> </w:t>
                  </w:r>
                </w:p>
                <w:p w:rsidR="00502F27" w:rsidRPr="0074345C" w:rsidRDefault="00502F27" w:rsidP="00E00028">
                  <w:pPr>
                    <w:spacing w:before="60" w:after="60"/>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Organización del foro de expertos de alto nivel en el plazo de seis meses desde la finalización de los estudios:</w:t>
                  </w:r>
                </w:p>
                <w:p w:rsidR="003260F8" w:rsidRPr="0074345C" w:rsidRDefault="003260F8" w:rsidP="003260F8">
                  <w:pPr>
                    <w:spacing w:before="60" w:after="60"/>
                  </w:pPr>
                  <w:r w:rsidRPr="0074345C">
                    <w:t>–  alto grado de asistencia al foro;</w:t>
                  </w:r>
                </w:p>
                <w:p w:rsidR="003260F8" w:rsidRPr="0074345C" w:rsidRDefault="003260F8" w:rsidP="003260F8">
                  <w:pPr>
                    <w:spacing w:before="60" w:after="60"/>
                  </w:pPr>
                  <w:r w:rsidRPr="0074345C">
                    <w:t>–  observaciones positivas de los participantes acerca del documento conceptual y de los estudios;  y</w:t>
                  </w:r>
                </w:p>
                <w:p w:rsidR="00502F27" w:rsidRPr="0074345C" w:rsidRDefault="003260F8" w:rsidP="003260F8">
                  <w:pPr>
                    <w:spacing w:before="60" w:after="60"/>
                  </w:pPr>
                  <w:r w:rsidRPr="0074345C">
                    <w:t>–  adopción en el foro de una lista de sugerencias, recomendaciones y posibles medidas para fomentar la transferencia de tecnología, tras consultas con los Estados miembros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 xml:space="preserve">Se prevé la celebración del foro internacional de expertos de alto nivel de tres días de duración al término del proyecto  en el </w:t>
                  </w:r>
                  <w:r w:rsidR="000C11F8" w:rsidRPr="0074345C">
                    <w:t>primer</w:t>
                  </w:r>
                  <w:r w:rsidRPr="0074345C">
                    <w:t xml:space="preserve"> trimestre de 2015, </w:t>
                  </w:r>
                  <w:r w:rsidR="000C11F8" w:rsidRPr="0074345C">
                    <w:t>tras la</w:t>
                  </w:r>
                  <w:r w:rsidRPr="0074345C">
                    <w:t xml:space="preserve"> aprobación del documento conceptual p</w:t>
                  </w:r>
                  <w:r w:rsidR="00D24812" w:rsidRPr="0074345C">
                    <w:t xml:space="preserve">or el </w:t>
                  </w:r>
                  <w:r w:rsidR="000C11F8" w:rsidRPr="0074345C">
                    <w:t>CDIP en su sesión de noviembre</w:t>
                  </w:r>
                  <w:r w:rsidRPr="0074345C">
                    <w:t xml:space="preserve"> de 2014.</w:t>
                  </w: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502F27" w:rsidRPr="0074345C" w:rsidRDefault="00502F27" w:rsidP="00E00028">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spacing w:before="120" w:after="120"/>
                  </w:pPr>
                  <w:r w:rsidRPr="0074345C">
                    <w:t>**</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6.  Creación y utilización de un foro en Internet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  Foro de Internet activo en una fase temprana;</w:t>
                  </w:r>
                </w:p>
                <w:p w:rsidR="003260F8" w:rsidRPr="0074345C" w:rsidRDefault="003260F8" w:rsidP="003260F8">
                  <w:pPr>
                    <w:spacing w:before="60" w:after="60"/>
                  </w:pPr>
                  <w:r w:rsidRPr="0074345C">
                    <w:t>–  número de usuarios del foro y observaciones recibidas acerca de su calidad;  y</w:t>
                  </w:r>
                </w:p>
                <w:p w:rsidR="00502F27" w:rsidRPr="0074345C" w:rsidRDefault="003260F8" w:rsidP="003260F8">
                  <w:pPr>
                    <w:spacing w:before="60" w:after="60"/>
                  </w:pPr>
                  <w:r w:rsidRPr="0074345C">
                    <w:t>–  compilación y análisis de comentarios del público publicados en el foro.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FootnoteText"/>
                    <w:spacing w:before="60" w:after="60"/>
                    <w:rPr>
                      <w:sz w:val="22"/>
                    </w:rPr>
                  </w:pPr>
                  <w:r w:rsidRPr="0074345C">
                    <w:rPr>
                      <w:sz w:val="22"/>
                    </w:rPr>
                    <w:t>Es demasiado pronto para suministrar materiales.</w:t>
                  </w:r>
                  <w:r w:rsidR="00502F27" w:rsidRPr="0074345C">
                    <w:rPr>
                      <w:sz w:val="22"/>
                    </w:rPr>
                    <w:t xml:space="preserve">  </w:t>
                  </w:r>
                  <w:r w:rsidRPr="0074345C">
                    <w:rPr>
                      <w:sz w:val="22"/>
                    </w:rPr>
                    <w:t xml:space="preserve">El foro en Internet se está incorporando al portal ya creado sobre la Estructura de apoyo a la innovación y a la transferencia de tecnología para las instituciones nacionales, establecida en el marco del proyecto para la Recomendación 10: </w:t>
                  </w:r>
                  <w:r w:rsidRPr="0074345C">
                    <w:rPr>
                      <w:sz w:val="22"/>
                      <w:u w:val="single"/>
                    </w:rPr>
                    <w:t>http://www-cms.wipo.int/innovation</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120" w:after="120"/>
                  </w:pPr>
                  <w:r w:rsidRPr="0074345C">
                    <w:t>No está disponible.</w:t>
                  </w:r>
                </w:p>
              </w:tc>
            </w:tr>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7.  Reforzar las actividades que ya se están ejecutando en la OMPI para promover el acceso a los conocimientos y la tecnología</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pPr>
                  <w:r w:rsidRPr="0074345C">
                    <w:t xml:space="preserve">Incorporación en los </w:t>
                  </w:r>
                  <w:r w:rsidR="00AC0CD4" w:rsidRPr="0074345C">
                    <w:t>Programas</w:t>
                  </w:r>
                  <w:r w:rsidRPr="0074345C">
                    <w:t xml:space="preserve"> de la OMPI de todo resultado que se obtenga de las actividades mencionadas anteriormente, tras su consideración por el CDIP y las eventuales recomendaciones de dicho Comité a la Asamblea General.</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Es demasiado pronto para suministrar materiales.</w:t>
                  </w: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502F27" w:rsidRPr="0074345C" w:rsidRDefault="00502F27" w:rsidP="00E00028">
                  <w:pPr>
                    <w:spacing w:before="60" w:after="60"/>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120" w:after="120"/>
                  </w:pPr>
                  <w:r w:rsidRPr="0074345C">
                    <w:t>No está disponible.</w:t>
                  </w:r>
                </w:p>
              </w:tc>
            </w:tr>
          </w:tbl>
          <w:p w:rsidR="00502F27" w:rsidRPr="0074345C" w:rsidRDefault="00502F27" w:rsidP="00E00028"/>
        </w:tc>
      </w:tr>
    </w:tbl>
    <w:p w:rsidR="003260F8" w:rsidRPr="0074345C" w:rsidRDefault="003260F8" w:rsidP="00502F27"/>
    <w:p w:rsidR="003260F8" w:rsidRPr="0074345C" w:rsidRDefault="00502F27" w:rsidP="00502F27">
      <w:r w:rsidRPr="0074345C">
        <w:br w:type="page"/>
      </w:r>
    </w:p>
    <w:p w:rsidR="00502F27" w:rsidRPr="0074345C" w:rsidRDefault="00502F27" w:rsidP="00502F27"/>
    <w:tbl>
      <w:tblPr>
        <w:tblW w:w="9469" w:type="dxa"/>
        <w:tblInd w:w="108" w:type="dxa"/>
        <w:tblLayout w:type="fixed"/>
        <w:tblLook w:val="01E0" w:firstRow="1" w:lastRow="1" w:firstColumn="1" w:lastColumn="1" w:noHBand="0" w:noVBand="0"/>
      </w:tblPr>
      <w:tblGrid>
        <w:gridCol w:w="2410"/>
        <w:gridCol w:w="2693"/>
        <w:gridCol w:w="3402"/>
        <w:gridCol w:w="964"/>
      </w:tblGrid>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pPr>
            <w:r w:rsidRPr="0074345C">
              <w:t>Objetivos generales del Proyecto</w:t>
            </w: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pStyle w:val="Heading3"/>
            </w:pPr>
            <w:r w:rsidRPr="0074345C">
              <w:t>Indicadores de cumplimiento de los objetivos(s)</w:t>
            </w:r>
            <w:r w:rsidR="00502F27" w:rsidRPr="0074345C">
              <w:t xml:space="preserve"> </w:t>
            </w:r>
          </w:p>
          <w:p w:rsidR="003260F8" w:rsidRPr="0074345C" w:rsidRDefault="003260F8" w:rsidP="003260F8">
            <w:r w:rsidRPr="0074345C">
              <w:t>(Indicadores de resultado)</w:t>
            </w:r>
          </w:p>
          <w:p w:rsidR="00502F27" w:rsidRPr="0074345C" w:rsidRDefault="00502F27" w:rsidP="00E00028"/>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pPr>
            <w:r w:rsidRPr="0074345C">
              <w:t>Datos sobre el rendimiento</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pPr>
            <w:r w:rsidRPr="0074345C">
              <w:t>Clave de colores</w:t>
            </w:r>
          </w:p>
        </w:tc>
      </w:tr>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502F27" w:rsidP="003260F8">
            <w:pPr>
              <w:spacing w:before="60" w:after="60"/>
              <w:rPr>
                <w:bCs/>
              </w:rPr>
            </w:pPr>
            <w:r w:rsidRPr="0074345C">
              <w:br w:type="page"/>
            </w:r>
            <w:r w:rsidR="003260F8" w:rsidRPr="0074345C">
              <w:t>Estudio de nuevos medios para establecer un sistema de colaboración internacional en materia de P.I., mejorar la comprensión y crear consenso sobre posibles iniciativas o políticas de P.I. encaminadas a fomentar la transferencia de tecnología</w:t>
            </w:r>
          </w:p>
          <w:p w:rsidR="00502F27" w:rsidRPr="0074345C" w:rsidRDefault="00502F27" w:rsidP="00E00028">
            <w:pPr>
              <w:spacing w:before="60" w:after="60"/>
            </w:pPr>
          </w:p>
        </w:tc>
        <w:tc>
          <w:tcPr>
            <w:tcW w:w="2693"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D24812" w:rsidP="00D24812">
            <w:pPr>
              <w:pStyle w:val="ListParagraph"/>
              <w:numPr>
                <w:ilvl w:val="0"/>
                <w:numId w:val="48"/>
              </w:numPr>
              <w:ind w:left="34" w:firstLine="0"/>
              <w:contextualSpacing w:val="0"/>
              <w:rPr>
                <w:lang w:val="es-ES"/>
              </w:rPr>
            </w:pPr>
            <w:r w:rsidRPr="0074345C">
              <w:rPr>
                <w:lang w:val="es-ES"/>
              </w:rPr>
              <w:t>observaciones</w:t>
            </w:r>
            <w:r w:rsidR="003260F8" w:rsidRPr="0074345C">
              <w:rPr>
                <w:lang w:val="es-ES"/>
              </w:rPr>
              <w:t xml:space="preserve"> del Comité sobre el grado de mejora de la comprensión de las cuestiones y de los objetivos del proyecto cumplidos;</w:t>
            </w:r>
          </w:p>
          <w:p w:rsidR="003260F8" w:rsidRPr="0074345C" w:rsidRDefault="003260F8" w:rsidP="00E00028">
            <w:pPr>
              <w:pStyle w:val="ListParagraph"/>
              <w:ind w:left="0"/>
              <w:rPr>
                <w:lang w:val="es-ES"/>
              </w:rPr>
            </w:pPr>
          </w:p>
          <w:p w:rsidR="003260F8" w:rsidRPr="0074345C" w:rsidRDefault="00D24812" w:rsidP="00D24812">
            <w:pPr>
              <w:pStyle w:val="ListParagraph"/>
              <w:numPr>
                <w:ilvl w:val="0"/>
                <w:numId w:val="48"/>
              </w:numPr>
              <w:ind w:left="34"/>
              <w:rPr>
                <w:lang w:val="es-ES"/>
              </w:rPr>
            </w:pPr>
            <w:r w:rsidRPr="0074345C">
              <w:rPr>
                <w:lang w:val="es-ES"/>
              </w:rPr>
              <w:t xml:space="preserve">b) </w:t>
            </w:r>
            <w:r w:rsidR="003260F8" w:rsidRPr="0074345C">
              <w:rPr>
                <w:lang w:val="es-ES"/>
              </w:rPr>
              <w:t>adopción y aplicación concreta por los Estados miembros de las sugerencias, recomendaciones y eventuales medidas para el fomento de la transferencia de tecnología;</w:t>
            </w:r>
          </w:p>
          <w:p w:rsidR="003260F8" w:rsidRPr="0074345C" w:rsidRDefault="003260F8" w:rsidP="00E00028">
            <w:pPr>
              <w:pStyle w:val="ListParagraph"/>
              <w:rPr>
                <w:lang w:val="es-ES"/>
              </w:rPr>
            </w:pPr>
          </w:p>
          <w:p w:rsidR="003260F8" w:rsidRPr="0074345C" w:rsidRDefault="00CD3311" w:rsidP="00CD3311">
            <w:pPr>
              <w:pStyle w:val="ListParagraph"/>
              <w:numPr>
                <w:ilvl w:val="0"/>
                <w:numId w:val="48"/>
              </w:numPr>
              <w:ind w:left="34"/>
              <w:rPr>
                <w:lang w:val="es-ES"/>
              </w:rPr>
            </w:pPr>
            <w:r w:rsidRPr="0074345C">
              <w:rPr>
                <w:lang w:val="es-ES"/>
              </w:rPr>
              <w:t xml:space="preserve">c) </w:t>
            </w:r>
            <w:r w:rsidR="003260F8" w:rsidRPr="0074345C">
              <w:rPr>
                <w:lang w:val="es-ES"/>
              </w:rPr>
              <w:t>observaciones sobre los contenidos formuladas por los usuarios en el foro en Internet y mediante los cuestionarios de evaluación;  y</w:t>
            </w:r>
          </w:p>
          <w:p w:rsidR="003260F8" w:rsidRPr="0074345C" w:rsidRDefault="003260F8" w:rsidP="00E00028">
            <w:pPr>
              <w:pStyle w:val="ListParagraph"/>
              <w:rPr>
                <w:lang w:val="es-ES"/>
              </w:rPr>
            </w:pPr>
          </w:p>
          <w:p w:rsidR="003260F8" w:rsidRPr="0074345C" w:rsidRDefault="003260F8" w:rsidP="00CD3311">
            <w:pPr>
              <w:pStyle w:val="ListParagraph"/>
              <w:numPr>
                <w:ilvl w:val="0"/>
                <w:numId w:val="48"/>
              </w:numPr>
              <w:ind w:left="34" w:hanging="34"/>
              <w:rPr>
                <w:lang w:val="es-ES"/>
              </w:rPr>
            </w:pPr>
            <w:r w:rsidRPr="0074345C">
              <w:rPr>
                <w:lang w:val="es-ES"/>
              </w:rPr>
              <w:t>difusión del uso del medio entre los países en desarrollo y PMA.</w:t>
            </w:r>
          </w:p>
          <w:p w:rsidR="00502F27" w:rsidRPr="0074345C" w:rsidRDefault="00502F27" w:rsidP="00E00028">
            <w:pPr>
              <w:pStyle w:val="ListParagraph"/>
              <w:spacing w:before="60" w:after="60"/>
              <w:ind w:left="0"/>
              <w:rPr>
                <w:lang w:val="es-E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pPr>
            <w:r w:rsidRPr="0074345C">
              <w:t>Es demasiado prematuro evaluar el rendimiento.</w:t>
            </w: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3260F8" w:rsidRPr="0074345C" w:rsidRDefault="003260F8" w:rsidP="00E00028">
            <w:pPr>
              <w:spacing w:before="60" w:after="60"/>
            </w:pPr>
          </w:p>
          <w:p w:rsidR="00502F27" w:rsidRPr="0074345C" w:rsidRDefault="00502F27" w:rsidP="00E00028">
            <w:pPr>
              <w:spacing w:before="60" w:after="60"/>
            </w:pP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spacing w:before="60"/>
              <w:rPr>
                <w:u w:val="none"/>
              </w:rPr>
            </w:pPr>
            <w:r w:rsidRPr="0074345C">
              <w:rPr>
                <w:u w:val="none"/>
              </w:rPr>
              <w:t>SE/AD</w:t>
            </w:r>
          </w:p>
        </w:tc>
      </w:tr>
    </w:tbl>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3260F8">
      <w:pPr>
        <w:tabs>
          <w:tab w:val="left" w:pos="5670"/>
        </w:tabs>
        <w:ind w:firstLine="5670"/>
      </w:pPr>
      <w:r w:rsidRPr="0074345C">
        <w:t>[Sigue el Anexo III]</w:t>
      </w:r>
    </w:p>
    <w:p w:rsidR="003260F8" w:rsidRPr="0074345C" w:rsidRDefault="003260F8" w:rsidP="00502F27"/>
    <w:p w:rsidR="00502F27" w:rsidRPr="0074345C" w:rsidRDefault="00502F27" w:rsidP="00502F27">
      <w:pPr>
        <w:pStyle w:val="Endofdocument"/>
        <w:ind w:left="0"/>
        <w:jc w:val="left"/>
        <w:rPr>
          <w:rFonts w:ascii="Arial" w:hAnsi="Arial" w:cs="Arial"/>
          <w:sz w:val="22"/>
          <w:szCs w:val="22"/>
          <w:lang w:val="es-ES"/>
        </w:rPr>
        <w:sectPr w:rsidR="00502F27" w:rsidRPr="0074345C" w:rsidSect="00E00028">
          <w:headerReference w:type="default" r:id="rId33"/>
          <w:headerReference w:type="first" r:id="rId34"/>
          <w:endnotePr>
            <w:numFmt w:val="decimal"/>
          </w:endnotePr>
          <w:pgSz w:w="11907" w:h="16840" w:code="9"/>
          <w:pgMar w:top="567" w:right="1134"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2F27" w:rsidRPr="0074345C" w:rsidRDefault="003260F8" w:rsidP="003260F8">
            <w:pPr>
              <w:rPr>
                <w:bCs/>
                <w:iCs/>
                <w:caps/>
                <w:szCs w:val="28"/>
                <w:lang w:eastAsia="en-US"/>
              </w:rPr>
            </w:pPr>
            <w:r w:rsidRPr="0074345C">
              <w:rPr>
                <w:bCs/>
                <w:iCs/>
                <w:caps/>
                <w:szCs w:val="28"/>
                <w:lang w:eastAsia="en-US"/>
              </w:rPr>
              <w:lastRenderedPageBreak/>
              <w:t>RESUMEN DEL PROYECTO</w:t>
            </w:r>
          </w:p>
        </w:tc>
      </w:tr>
      <w:tr w:rsidR="006376E7" w:rsidRPr="0074345C" w:rsidTr="00E00028">
        <w:trPr>
          <w:trHeight w:val="496"/>
        </w:trPr>
        <w:tc>
          <w:tcPr>
            <w:tcW w:w="2376" w:type="dxa"/>
            <w:shd w:val="clear" w:color="auto" w:fill="auto"/>
            <w:vAlign w:val="center"/>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Código del proyecto</w:t>
            </w:r>
          </w:p>
          <w:p w:rsidR="00502F27" w:rsidRPr="0074345C" w:rsidRDefault="00502F27" w:rsidP="00E00028"/>
        </w:tc>
        <w:tc>
          <w:tcPr>
            <w:tcW w:w="6912" w:type="dxa"/>
            <w:shd w:val="clear" w:color="auto" w:fill="auto"/>
            <w:vAlign w:val="center"/>
          </w:tcPr>
          <w:p w:rsidR="003260F8" w:rsidRPr="0074345C" w:rsidRDefault="003260F8" w:rsidP="00E00028">
            <w:pPr>
              <w:rPr>
                <w:iCs/>
              </w:rPr>
            </w:pPr>
          </w:p>
          <w:p w:rsidR="003260F8" w:rsidRPr="0074345C" w:rsidRDefault="003260F8" w:rsidP="003260F8">
            <w:pPr>
              <w:rPr>
                <w:iCs/>
              </w:rPr>
            </w:pPr>
            <w:r w:rsidRPr="0074345C">
              <w:rPr>
                <w:iCs/>
              </w:rPr>
              <w:t>DA_36</w:t>
            </w:r>
          </w:p>
          <w:p w:rsidR="00502F27" w:rsidRPr="0074345C" w:rsidRDefault="00502F27" w:rsidP="00E00028">
            <w:pPr>
              <w:rPr>
                <w:iCs/>
              </w:rPr>
            </w:pPr>
          </w:p>
        </w:tc>
      </w:tr>
      <w:tr w:rsidR="006376E7" w:rsidRPr="0074345C" w:rsidTr="00E00028">
        <w:trPr>
          <w:trHeight w:val="404"/>
        </w:trPr>
        <w:tc>
          <w:tcPr>
            <w:tcW w:w="2376" w:type="dxa"/>
            <w:shd w:val="clear" w:color="auto" w:fill="auto"/>
            <w:vAlign w:val="center"/>
          </w:tcPr>
          <w:p w:rsidR="00502F27" w:rsidRPr="0074345C" w:rsidRDefault="003260F8" w:rsidP="003260F8">
            <w:pPr>
              <w:pStyle w:val="Heading3"/>
              <w:keepNext w:val="0"/>
              <w:spacing w:before="0" w:after="0"/>
            </w:pPr>
            <w:r w:rsidRPr="0074345C">
              <w:t>Título</w:t>
            </w:r>
          </w:p>
        </w:tc>
        <w:tc>
          <w:tcPr>
            <w:tcW w:w="6912" w:type="dxa"/>
            <w:shd w:val="clear" w:color="auto" w:fill="auto"/>
            <w:vAlign w:val="center"/>
          </w:tcPr>
          <w:p w:rsidR="003260F8" w:rsidRPr="0074345C" w:rsidRDefault="003260F8" w:rsidP="00E00028">
            <w:pPr>
              <w:rPr>
                <w:iCs/>
              </w:rPr>
            </w:pPr>
          </w:p>
          <w:p w:rsidR="003260F8" w:rsidRPr="0074345C" w:rsidRDefault="003260F8" w:rsidP="003260F8">
            <w:pPr>
              <w:rPr>
                <w:iCs/>
              </w:rPr>
            </w:pPr>
            <w:r w:rsidRPr="0074345C">
              <w:rPr>
                <w:iCs/>
              </w:rPr>
              <w:t>Proyectos de colaboración abierta y los modelos de P.I.</w:t>
            </w:r>
          </w:p>
          <w:p w:rsidR="00502F27" w:rsidRPr="0074345C" w:rsidRDefault="00502F27" w:rsidP="00E00028">
            <w:pPr>
              <w:rPr>
                <w:iCs/>
              </w:rPr>
            </w:pPr>
          </w:p>
        </w:tc>
      </w:tr>
      <w:tr w:rsidR="006376E7" w:rsidRPr="0074345C" w:rsidTr="00E00028">
        <w:tc>
          <w:tcPr>
            <w:tcW w:w="2376" w:type="dxa"/>
            <w:shd w:val="clear" w:color="auto" w:fill="auto"/>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Recomendación de la Agenda para el Desarrollo</w:t>
            </w:r>
          </w:p>
          <w:p w:rsidR="00502F27" w:rsidRPr="0074345C" w:rsidRDefault="00502F27" w:rsidP="00E00028"/>
        </w:tc>
        <w:tc>
          <w:tcPr>
            <w:tcW w:w="6912" w:type="dxa"/>
            <w:shd w:val="clear" w:color="auto" w:fill="auto"/>
          </w:tcPr>
          <w:p w:rsidR="003260F8" w:rsidRPr="0074345C" w:rsidRDefault="003260F8" w:rsidP="00E00028">
            <w:pPr>
              <w:rPr>
                <w:i/>
              </w:rPr>
            </w:pPr>
          </w:p>
          <w:p w:rsidR="00502F27" w:rsidRPr="0074345C" w:rsidRDefault="003260F8" w:rsidP="003260F8">
            <w:pPr>
              <w:rPr>
                <w:iCs/>
              </w:rPr>
            </w:pPr>
            <w:r w:rsidRPr="0074345C">
              <w:rPr>
                <w:i/>
                <w:iCs/>
              </w:rPr>
              <w:t xml:space="preserve">Recomendación 36 (Categoría D):  </w:t>
            </w:r>
            <w:r w:rsidRPr="0074345C">
              <w:rPr>
                <w:iCs/>
              </w:rPr>
              <w:t>Intercambiar experiencias sobre proyectos de colaboración abierta, como el Proyecto del Genoma Humano, y sobre modelos de P.I.</w:t>
            </w:r>
          </w:p>
        </w:tc>
      </w:tr>
      <w:tr w:rsidR="006376E7" w:rsidRPr="0074345C" w:rsidTr="00E00028">
        <w:tc>
          <w:tcPr>
            <w:tcW w:w="2376" w:type="dxa"/>
            <w:shd w:val="clear" w:color="auto" w:fill="auto"/>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Presupuesto del proyecto</w:t>
            </w:r>
          </w:p>
          <w:p w:rsidR="00502F27" w:rsidRPr="0074345C" w:rsidRDefault="00502F27" w:rsidP="00E00028"/>
        </w:tc>
        <w:tc>
          <w:tcPr>
            <w:tcW w:w="6912" w:type="dxa"/>
            <w:shd w:val="clear" w:color="auto" w:fill="auto"/>
          </w:tcPr>
          <w:p w:rsidR="003260F8" w:rsidRPr="0074345C" w:rsidRDefault="003260F8" w:rsidP="00E00028"/>
          <w:p w:rsidR="003260F8" w:rsidRPr="0074345C" w:rsidRDefault="003260F8" w:rsidP="003260F8">
            <w:r w:rsidRPr="0074345C">
              <w:t>Gastos no relativos al personal:  734.000 francos suizos</w:t>
            </w:r>
          </w:p>
          <w:p w:rsidR="003260F8" w:rsidRPr="0074345C" w:rsidRDefault="003260F8" w:rsidP="00E00028"/>
          <w:p w:rsidR="003260F8" w:rsidRPr="0074345C" w:rsidRDefault="003260F8" w:rsidP="003260F8">
            <w:r w:rsidRPr="0074345C">
              <w:t>Gastos de personal:  161.000 francos suizos</w:t>
            </w:r>
          </w:p>
          <w:p w:rsidR="00502F27" w:rsidRPr="0074345C" w:rsidRDefault="00502F27" w:rsidP="00E00028"/>
        </w:tc>
      </w:tr>
      <w:tr w:rsidR="006376E7" w:rsidRPr="0074345C" w:rsidTr="00E00028">
        <w:tc>
          <w:tcPr>
            <w:tcW w:w="2376" w:type="dxa"/>
            <w:shd w:val="clear" w:color="auto" w:fill="auto"/>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Fecha de inicio del proyecto</w:t>
            </w:r>
          </w:p>
          <w:p w:rsidR="00502F27" w:rsidRPr="0074345C" w:rsidRDefault="00502F27" w:rsidP="00E00028"/>
        </w:tc>
        <w:tc>
          <w:tcPr>
            <w:tcW w:w="6912" w:type="dxa"/>
            <w:shd w:val="clear" w:color="auto" w:fill="auto"/>
          </w:tcPr>
          <w:p w:rsidR="003260F8" w:rsidRPr="0074345C" w:rsidRDefault="003260F8" w:rsidP="00E00028"/>
          <w:p w:rsidR="00502F27" w:rsidRPr="0074345C" w:rsidRDefault="003260F8" w:rsidP="003260F8">
            <w:r w:rsidRPr="0074345C">
              <w:t>Enero de 2011</w:t>
            </w:r>
          </w:p>
        </w:tc>
      </w:tr>
      <w:tr w:rsidR="006376E7" w:rsidRPr="0074345C" w:rsidTr="00E00028">
        <w:tc>
          <w:tcPr>
            <w:tcW w:w="2376" w:type="dxa"/>
            <w:shd w:val="clear" w:color="auto" w:fill="auto"/>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Duración del proyecto</w:t>
            </w:r>
          </w:p>
          <w:p w:rsidR="00502F27" w:rsidRPr="0074345C" w:rsidRDefault="00502F27" w:rsidP="00E00028"/>
        </w:tc>
        <w:tc>
          <w:tcPr>
            <w:tcW w:w="6912" w:type="dxa"/>
            <w:shd w:val="clear" w:color="auto" w:fill="auto"/>
          </w:tcPr>
          <w:p w:rsidR="003260F8" w:rsidRPr="0074345C" w:rsidRDefault="003260F8" w:rsidP="00E00028"/>
          <w:p w:rsidR="00502F27" w:rsidRPr="0074345C" w:rsidRDefault="00502F27" w:rsidP="00D57A2B">
            <w:r w:rsidRPr="0074345C">
              <w:t xml:space="preserve">42 </w:t>
            </w:r>
            <w:r w:rsidR="00A852CA" w:rsidRPr="0074345C">
              <w:t>meses</w:t>
            </w:r>
            <w:r w:rsidRPr="0074345C">
              <w:t xml:space="preserve">, </w:t>
            </w:r>
            <w:r w:rsidR="00D57A2B" w:rsidRPr="0074345C">
              <w:t xml:space="preserve">conforme </w:t>
            </w:r>
            <w:r w:rsidR="00A852CA" w:rsidRPr="0074345C">
              <w:t xml:space="preserve">al </w:t>
            </w:r>
            <w:r w:rsidR="004D64A6" w:rsidRPr="0074345C">
              <w:t>n</w:t>
            </w:r>
            <w:r w:rsidR="00A852CA" w:rsidRPr="0074345C">
              <w:t>uevo calendario aprobado por el C</w:t>
            </w:r>
            <w:r w:rsidR="009E13C2" w:rsidRPr="0074345C">
              <w:t>DIP</w:t>
            </w:r>
            <w:r w:rsidRPr="0074345C">
              <w:t xml:space="preserve"> </w:t>
            </w:r>
            <w:r w:rsidR="004D64A6" w:rsidRPr="0074345C">
              <w:t>en su dé</w:t>
            </w:r>
            <w:r w:rsidR="00A852CA" w:rsidRPr="0074345C">
              <w:t xml:space="preserve">cimo segunda </w:t>
            </w:r>
            <w:r w:rsidR="004D64A6" w:rsidRPr="0074345C">
              <w:t>sesión</w:t>
            </w:r>
            <w:r w:rsidRPr="0074345C">
              <w:t>.</w:t>
            </w:r>
          </w:p>
        </w:tc>
      </w:tr>
      <w:tr w:rsidR="006376E7" w:rsidRPr="0074345C" w:rsidTr="00E00028">
        <w:tc>
          <w:tcPr>
            <w:tcW w:w="2376" w:type="dxa"/>
            <w:shd w:val="clear" w:color="auto" w:fill="auto"/>
          </w:tcPr>
          <w:p w:rsidR="003260F8" w:rsidRPr="0074345C" w:rsidRDefault="003260F8" w:rsidP="00E00028">
            <w:pPr>
              <w:pStyle w:val="Heading3"/>
              <w:keepNext w:val="0"/>
              <w:spacing w:before="0" w:after="0"/>
            </w:pPr>
          </w:p>
          <w:p w:rsidR="00502F27" w:rsidRPr="0074345C" w:rsidRDefault="003260F8" w:rsidP="003260F8">
            <w:pPr>
              <w:pStyle w:val="Heading3"/>
              <w:keepNext w:val="0"/>
              <w:spacing w:before="0" w:after="0"/>
            </w:pPr>
            <w:r w:rsidRPr="0074345C">
              <w:t xml:space="preserve">Principales sectores de la OMPI interesados y vínculos con los </w:t>
            </w:r>
            <w:r w:rsidR="00AC0CD4" w:rsidRPr="0074345C">
              <w:t>Programas</w:t>
            </w:r>
            <w:r w:rsidRPr="0074345C">
              <w:t xml:space="preserve"> de la Organización</w:t>
            </w:r>
          </w:p>
        </w:tc>
        <w:tc>
          <w:tcPr>
            <w:tcW w:w="6912" w:type="dxa"/>
            <w:shd w:val="clear" w:color="auto" w:fill="auto"/>
          </w:tcPr>
          <w:p w:rsidR="003260F8" w:rsidRPr="0074345C" w:rsidRDefault="003260F8" w:rsidP="00E00028"/>
          <w:p w:rsidR="003260F8" w:rsidRPr="0074345C" w:rsidRDefault="000C11F8" w:rsidP="00E00028">
            <w:r w:rsidRPr="0074345C">
              <w:t>Sección de Innovación y Transferencia de Tecnología</w:t>
            </w:r>
            <w:r w:rsidR="00502F27" w:rsidRPr="0074345C">
              <w:t xml:space="preserve">, </w:t>
            </w:r>
            <w:r w:rsidRPr="0074345C">
              <w:t>Sector de Innovación y Tecnología</w:t>
            </w:r>
            <w:r w:rsidR="00502F27" w:rsidRPr="0074345C">
              <w:t xml:space="preserve">. </w:t>
            </w:r>
          </w:p>
          <w:p w:rsidR="003260F8" w:rsidRPr="0074345C" w:rsidRDefault="003260F8" w:rsidP="00E00028"/>
          <w:p w:rsidR="003260F8" w:rsidRPr="0074345C" w:rsidRDefault="003260F8" w:rsidP="003260F8">
            <w:r w:rsidRPr="0074345C">
              <w:t>División de Economía y Estadística</w:t>
            </w:r>
          </w:p>
          <w:p w:rsidR="003260F8" w:rsidRPr="0074345C" w:rsidRDefault="003260F8" w:rsidP="00E00028"/>
          <w:p w:rsidR="003260F8" w:rsidRPr="0074345C" w:rsidRDefault="003260F8" w:rsidP="003260F8">
            <w:r w:rsidRPr="0074345C">
              <w:t xml:space="preserve">Vínculos con los </w:t>
            </w:r>
            <w:r w:rsidR="00AC0CD4" w:rsidRPr="0074345C">
              <w:t>Programas</w:t>
            </w:r>
            <w:r w:rsidRPr="0074345C">
              <w:t xml:space="preserve"> 1, 8, 9, 10, 16 y 18 de la OMPI</w:t>
            </w:r>
          </w:p>
          <w:p w:rsidR="00502F27" w:rsidRPr="0074345C" w:rsidRDefault="00502F27" w:rsidP="00E00028"/>
        </w:tc>
      </w:tr>
      <w:tr w:rsidR="006376E7" w:rsidRPr="0074345C" w:rsidTr="00E00028">
        <w:trPr>
          <w:trHeight w:val="2664"/>
        </w:trPr>
        <w:tc>
          <w:tcPr>
            <w:tcW w:w="2376" w:type="dxa"/>
            <w:shd w:val="clear" w:color="auto" w:fill="auto"/>
          </w:tcPr>
          <w:p w:rsidR="003260F8" w:rsidRPr="0074345C" w:rsidRDefault="003260F8" w:rsidP="00E00028">
            <w:pPr>
              <w:pStyle w:val="Heading3"/>
              <w:keepNext w:val="0"/>
              <w:spacing w:before="0" w:after="0"/>
            </w:pPr>
          </w:p>
          <w:p w:rsidR="00502F27" w:rsidRPr="0074345C" w:rsidRDefault="003260F8" w:rsidP="003260F8">
            <w:pPr>
              <w:pStyle w:val="Heading3"/>
              <w:keepNext w:val="0"/>
              <w:spacing w:before="0" w:after="0"/>
            </w:pPr>
            <w:r w:rsidRPr="0074345C">
              <w:t>Breve descripción del proyecto</w:t>
            </w:r>
          </w:p>
        </w:tc>
        <w:tc>
          <w:tcPr>
            <w:tcW w:w="6912" w:type="dxa"/>
            <w:shd w:val="clear" w:color="auto" w:fill="auto"/>
          </w:tcPr>
          <w:p w:rsidR="003260F8" w:rsidRPr="0074345C" w:rsidRDefault="003260F8" w:rsidP="00E00028"/>
          <w:p w:rsidR="003260F8" w:rsidRPr="0074345C" w:rsidRDefault="003260F8" w:rsidP="003260F8">
            <w:r w:rsidRPr="0074345C">
              <w:t>Los proyectos de colaboración abierta introducen soluciones innovadoras creadas por los inventores y los descubridores que en todas partes del mundo aportan soluciones, permitiendo compartir entre varias entidades las prácticas más difundidas.</w:t>
            </w:r>
            <w:r w:rsidR="00502F27" w:rsidRPr="0074345C">
              <w:t xml:space="preserve"> </w:t>
            </w:r>
          </w:p>
          <w:p w:rsidR="003260F8" w:rsidRPr="0074345C" w:rsidRDefault="003260F8" w:rsidP="00E00028"/>
          <w:p w:rsidR="003260F8" w:rsidRPr="0074345C" w:rsidRDefault="000C11F8" w:rsidP="003260F8">
            <w:r w:rsidRPr="0074345C">
              <w:t>En ese contexto, el proyecto</w:t>
            </w:r>
            <w:r w:rsidR="003260F8" w:rsidRPr="0074345C">
              <w:t xml:space="preserve"> emprenderá una serie de actividades destinadas a intercambiar experiencias sobre entornos de innovación colectiva (incluidos los entornos centrados en el usuario, en los que los usuarios crean de manera conjunta innovaciones valiéndose de acuerdos de colaboración abierta)</w:t>
            </w:r>
            <w:r w:rsidR="00107936" w:rsidRPr="0074345C">
              <w:t xml:space="preserve"> </w:t>
            </w:r>
            <w:r w:rsidR="003260F8" w:rsidRPr="0074345C">
              <w:t>en países desarrollados y en desarrollo, así como sobre modelos de propiedad intelectual (P.I.).</w:t>
            </w:r>
            <w:r w:rsidR="00502F27" w:rsidRPr="0074345C">
              <w:t xml:space="preserve">  </w:t>
            </w:r>
            <w:r w:rsidR="00A852CA" w:rsidRPr="0074345C">
              <w:t>La innovación colectiva podría definirse como la ósmosis y la ósmosis inversa de los conocimientos a través de la membrana porosa que separa una organización o comunidad de su entorno</w:t>
            </w:r>
            <w:r w:rsidR="00502F27" w:rsidRPr="0074345C">
              <w:t xml:space="preserve">.  </w:t>
            </w:r>
            <w:r w:rsidR="00A852CA" w:rsidRPr="0074345C">
              <w:t xml:space="preserve">Puede facilitarse a través de una serie de acuerdos que pueden </w:t>
            </w:r>
            <w:r w:rsidR="004D64A6" w:rsidRPr="0074345C">
              <w:t>abarcar</w:t>
            </w:r>
            <w:r w:rsidR="00A852CA" w:rsidRPr="0074345C">
              <w:t xml:space="preserve"> modelos </w:t>
            </w:r>
            <w:r w:rsidR="004D64A6" w:rsidRPr="0074345C">
              <w:t xml:space="preserve">más </w:t>
            </w:r>
            <w:r w:rsidR="00A852CA" w:rsidRPr="0074345C">
              <w:t>tradicionales como</w:t>
            </w:r>
            <w:r w:rsidR="004D64A6" w:rsidRPr="0074345C">
              <w:t xml:space="preserve"> </w:t>
            </w:r>
            <w:r w:rsidR="00A852CA" w:rsidRPr="0074345C">
              <w:t>la concesión de licencias (por ejemplo, sobre patentes, modelos de utilidad, marcas, derechos de autor, diseños industriales y secretos comerciales), la subcontratación, los contratos de colaboración en I+D y las empresas conjuntas</w:t>
            </w:r>
            <w:r w:rsidR="004D64A6" w:rsidRPr="0074345C">
              <w:t>.</w:t>
            </w:r>
            <w:r w:rsidR="00502F27" w:rsidRPr="0074345C">
              <w:t xml:space="preserve"> </w:t>
            </w:r>
            <w:r w:rsidR="003260F8" w:rsidRPr="0074345C">
              <w:t xml:space="preserve">Otras opciones comprenden las tendencias a </w:t>
            </w:r>
            <w:r w:rsidR="003260F8" w:rsidRPr="0074345C">
              <w:lastRenderedPageBreak/>
              <w:t xml:space="preserve">las que dio origen Internet, que fomentan la innovación impulsada por el usuario, por ejemplo, la participación colectiva y los concursos de ideas, las licencias </w:t>
            </w:r>
            <w:proofErr w:type="spellStart"/>
            <w:r w:rsidR="003260F8" w:rsidRPr="0074345C">
              <w:rPr>
                <w:i/>
              </w:rPr>
              <w:t>Creative</w:t>
            </w:r>
            <w:proofErr w:type="spellEnd"/>
            <w:r w:rsidR="003260F8" w:rsidRPr="0074345C">
              <w:rPr>
                <w:i/>
              </w:rPr>
              <w:t xml:space="preserve"> </w:t>
            </w:r>
            <w:proofErr w:type="spellStart"/>
            <w:r w:rsidR="003260F8" w:rsidRPr="0074345C">
              <w:rPr>
                <w:i/>
              </w:rPr>
              <w:t>Commons</w:t>
            </w:r>
            <w:proofErr w:type="spellEnd"/>
            <w:r w:rsidR="003260F8" w:rsidRPr="0074345C">
              <w:t xml:space="preserve"> y los </w:t>
            </w:r>
            <w:r w:rsidR="00AC0CD4" w:rsidRPr="0074345C">
              <w:t>Programas</w:t>
            </w:r>
            <w:r w:rsidR="003260F8" w:rsidRPr="0074345C">
              <w:t xml:space="preserve"> informáticos de código abierto.</w:t>
            </w:r>
            <w:r w:rsidR="00502F27" w:rsidRPr="0074345C">
              <w:t xml:space="preserve">  </w:t>
            </w:r>
            <w:r w:rsidR="003260F8" w:rsidRPr="0074345C">
              <w:t>El objetivo de este proyecto es trazar esquemas de situación y examinar las iniciativas representativas de colaboración abierta que existen actualmente y sus relaciones con los modelos de P.I. mediante un estudio taxonómico-analítico.</w:t>
            </w:r>
            <w:r w:rsidR="00502F27" w:rsidRPr="0074345C">
              <w:t xml:space="preserve">  </w:t>
            </w:r>
            <w:r w:rsidR="003260F8" w:rsidRPr="0074345C">
              <w:t>Tras un intercambio de opiniones y de las prácticas más difundidas entre los Estados miembros y los expertos, el estudio servirá para evaluar las ventajas y desventajas de los proyectos existentes y reconocer las conclusiones prácticas correspondientes.</w:t>
            </w:r>
            <w:r w:rsidR="00502F27" w:rsidRPr="0074345C">
              <w:t xml:space="preserve">  </w:t>
            </w:r>
            <w:r w:rsidR="003260F8" w:rsidRPr="0074345C">
              <w:t>Para permitir un intercambio lo más amplio posible de información técnica y de experiencias con todas las partes interesadas, se propone en el marco de este proyecto crear una “plataforma interactiva sobre proyectos de colaboración abierta y modelos de P.I.”.</w:t>
            </w:r>
          </w:p>
          <w:p w:rsidR="003260F8" w:rsidRPr="0074345C" w:rsidRDefault="003260F8" w:rsidP="00E00028"/>
          <w:p w:rsidR="004D64A6" w:rsidRPr="0074345C" w:rsidRDefault="004D64A6" w:rsidP="004D64A6">
            <w:r w:rsidRPr="0074345C">
              <w:t>El proyecto comprende propuestas para establecer una plataforma interactiva para el intercambio de experiencias sobre proyectos de colaboración abierta, como el Proyecto del Genoma Humano, así como sobre modelos de P.I. La “plataforma interactiva” se concebirá como un portal digital dual compuesto por un sitio Web y un foro en Internet. El sitio Web (función “enviar”) constituirá un depósito inteligente que permitirá informar acerca de los estudios/las experiencias realizadas en el ámbito de los proyectos de colaboración abierta y los modelos de P.I. El foro en Internet (función “recibir”) permitirá recibir información acerca de las experiencias adquiridas en proyectos de colaboración abierta y modelos de P.I. y sobre ellos.</w:t>
            </w:r>
          </w:p>
          <w:p w:rsidR="003260F8" w:rsidRPr="0074345C" w:rsidRDefault="00502F27" w:rsidP="004D64A6">
            <w:r w:rsidRPr="0074345C">
              <w:t xml:space="preserve"> </w:t>
            </w:r>
          </w:p>
          <w:p w:rsidR="003260F8" w:rsidRPr="0074345C" w:rsidRDefault="003260F8" w:rsidP="00E00028"/>
          <w:p w:rsidR="003260F8" w:rsidRPr="0074345C" w:rsidRDefault="003260F8" w:rsidP="003260F8">
            <w:r w:rsidRPr="0074345C">
              <w:t xml:space="preserve">Las actividades previstas en el marco </w:t>
            </w:r>
            <w:r w:rsidR="00BD041E" w:rsidRPr="0074345C">
              <w:t>de los proyectos</w:t>
            </w:r>
            <w:r w:rsidR="00193CE1" w:rsidRPr="0074345C">
              <w:t xml:space="preserve"> </w:t>
            </w:r>
            <w:r w:rsidR="00BD041E" w:rsidRPr="0074345C">
              <w:t>son</w:t>
            </w:r>
            <w:r w:rsidRPr="0074345C">
              <w:t xml:space="preserve"> las siguientes, (véase el documento </w:t>
            </w:r>
            <w:hyperlink r:id="rId35" w:history="1">
              <w:r w:rsidR="001537B7" w:rsidRPr="0074345C">
                <w:rPr>
                  <w:rStyle w:val="Hyperlink"/>
                  <w:color w:val="auto"/>
                </w:rPr>
                <w:t>CDIP/6/6 Rev</w:t>
              </w:r>
            </w:hyperlink>
            <w:r w:rsidR="0051717A" w:rsidRPr="0074345C">
              <w:rPr>
                <w:rStyle w:val="Hyperlink"/>
                <w:color w:val="auto"/>
              </w:rPr>
              <w:t>.</w:t>
            </w:r>
            <w:r w:rsidRPr="0074345C">
              <w:t>):</w:t>
            </w:r>
            <w:r w:rsidR="00502F27" w:rsidRPr="0074345C">
              <w:t xml:space="preserve"> </w:t>
            </w:r>
          </w:p>
          <w:p w:rsidR="003260F8" w:rsidRPr="0074345C" w:rsidRDefault="003260F8" w:rsidP="00E00028"/>
          <w:p w:rsidR="003260F8" w:rsidRPr="0074345C" w:rsidRDefault="003260F8" w:rsidP="003260F8">
            <w:r w:rsidRPr="0074345C">
              <w:rPr>
                <w:u w:val="single"/>
              </w:rPr>
              <w:t>Actividad 1</w:t>
            </w:r>
            <w:r w:rsidRPr="0074345C">
              <w:t>.  Preparar un estudio taxonómico–analítico destinado a trazar esquemas de situación, categorizar y analizar las distintas iniciativas de colaboración abierta y los modelos de P.I. en que se basan.</w:t>
            </w:r>
          </w:p>
          <w:p w:rsidR="003260F8" w:rsidRPr="0074345C" w:rsidRDefault="003260F8" w:rsidP="00E00028"/>
          <w:p w:rsidR="003260F8" w:rsidRPr="0074345C" w:rsidRDefault="001537B7" w:rsidP="003260F8">
            <w:r w:rsidRPr="0074345C">
              <w:rPr>
                <w:u w:val="single"/>
              </w:rPr>
              <w:t xml:space="preserve">Actividad </w:t>
            </w:r>
            <w:r w:rsidR="003260F8" w:rsidRPr="0074345C">
              <w:rPr>
                <w:u w:val="single"/>
              </w:rPr>
              <w:t>2</w:t>
            </w:r>
            <w:r w:rsidR="003260F8" w:rsidRPr="0074345C">
              <w:t>.  Organizar una reunión de composición abierta con los Estados miembros para mantener un debate constructivo sobre la esencia, la lógica y las etapas del plantea</w:t>
            </w:r>
            <w:r w:rsidR="00107936" w:rsidRPr="0074345C">
              <w:t>miento.</w:t>
            </w:r>
          </w:p>
          <w:p w:rsidR="003260F8" w:rsidRPr="0074345C" w:rsidRDefault="003260F8" w:rsidP="00E00028"/>
          <w:p w:rsidR="003260F8" w:rsidRPr="0074345C" w:rsidRDefault="001537B7" w:rsidP="003260F8">
            <w:r w:rsidRPr="0074345C">
              <w:rPr>
                <w:u w:val="single"/>
              </w:rPr>
              <w:t xml:space="preserve">Actividad </w:t>
            </w:r>
            <w:r w:rsidR="003260F8" w:rsidRPr="0074345C">
              <w:rPr>
                <w:u w:val="single"/>
              </w:rPr>
              <w:t>3</w:t>
            </w:r>
            <w:r w:rsidR="003260F8" w:rsidRPr="0074345C">
              <w:t>.  Realizar un detallado estudio de evaluación para determinar las ventajas y desventajas de los proyectos en curso, delineando los modelos de P.I. que se utilizan en los entornos e</w:t>
            </w:r>
            <w:r w:rsidR="00107936" w:rsidRPr="0074345C">
              <w:t>xitosos de colaboración abierta.</w:t>
            </w:r>
          </w:p>
          <w:p w:rsidR="003260F8" w:rsidRPr="0074345C" w:rsidRDefault="003260F8" w:rsidP="00E00028"/>
          <w:p w:rsidR="003260F8" w:rsidRPr="0074345C" w:rsidRDefault="001537B7" w:rsidP="003260F8">
            <w:r w:rsidRPr="0074345C">
              <w:rPr>
                <w:u w:val="single"/>
              </w:rPr>
              <w:t xml:space="preserve">Actividad </w:t>
            </w:r>
            <w:r w:rsidR="003260F8" w:rsidRPr="0074345C">
              <w:rPr>
                <w:u w:val="single"/>
              </w:rPr>
              <w:t>4</w:t>
            </w:r>
            <w:r w:rsidR="003260F8" w:rsidRPr="0074345C">
              <w:t xml:space="preserve">.  Organizar una reunión de expertos para intercambiar las prácticas más difundidas en materia de proyectos de colaboración abierta, como el Proyecto del Genoma Humano, el Proyecto de Red de Laboratorios Vivientes de la Comisión Europea, las propuestas de becas de financiación presentadas por los Gobiernos de Bangladesh, Barbados, Bolivia y </w:t>
            </w:r>
            <w:proofErr w:type="spellStart"/>
            <w:r w:rsidR="003260F8" w:rsidRPr="0074345C">
              <w:t>Suriname</w:t>
            </w:r>
            <w:proofErr w:type="spellEnd"/>
            <w:r w:rsidR="003260F8" w:rsidRPr="0074345C">
              <w:t xml:space="preserve"> al Grupo de Expertos en Investigación y Desarrollo: financiación y </w:t>
            </w:r>
            <w:r w:rsidR="003260F8" w:rsidRPr="0074345C">
              <w:lastRenderedPageBreak/>
              <w:t xml:space="preserve">coordinación, de la OMS, y las experiencias de empresas privadas, como </w:t>
            </w:r>
            <w:proofErr w:type="spellStart"/>
            <w:r w:rsidR="003260F8" w:rsidRPr="0074345C">
              <w:rPr>
                <w:i/>
              </w:rPr>
              <w:t>InnoCentive</w:t>
            </w:r>
            <w:proofErr w:type="spellEnd"/>
            <w:r w:rsidR="003260F8" w:rsidRPr="0074345C">
              <w:t xml:space="preserve">, el </w:t>
            </w:r>
            <w:r w:rsidR="003260F8" w:rsidRPr="0074345C">
              <w:rPr>
                <w:i/>
              </w:rPr>
              <w:t xml:space="preserve">Merck Gene </w:t>
            </w:r>
            <w:proofErr w:type="spellStart"/>
            <w:r w:rsidR="003260F8" w:rsidRPr="0074345C">
              <w:rPr>
                <w:i/>
              </w:rPr>
              <w:t>Index</w:t>
            </w:r>
            <w:proofErr w:type="spellEnd"/>
            <w:r w:rsidR="003260F8" w:rsidRPr="0074345C">
              <w:rPr>
                <w:i/>
              </w:rPr>
              <w:t xml:space="preserve"> </w:t>
            </w:r>
            <w:r w:rsidR="003260F8" w:rsidRPr="0074345C">
              <w:t xml:space="preserve">y </w:t>
            </w:r>
            <w:r w:rsidR="00107936" w:rsidRPr="0074345C">
              <w:rPr>
                <w:i/>
              </w:rPr>
              <w:t>Natura</w:t>
            </w:r>
            <w:r w:rsidR="00107936" w:rsidRPr="0074345C">
              <w:t>.</w:t>
            </w:r>
          </w:p>
          <w:p w:rsidR="003260F8" w:rsidRPr="0074345C" w:rsidRDefault="003260F8" w:rsidP="00E00028"/>
          <w:p w:rsidR="003260F8" w:rsidRPr="0074345C" w:rsidRDefault="001537B7" w:rsidP="003260F8">
            <w:r w:rsidRPr="0074345C">
              <w:rPr>
                <w:u w:val="single"/>
              </w:rPr>
              <w:t xml:space="preserve">Actividad </w:t>
            </w:r>
            <w:r w:rsidR="003260F8" w:rsidRPr="0074345C">
              <w:rPr>
                <w:u w:val="single"/>
              </w:rPr>
              <w:t>5</w:t>
            </w:r>
            <w:r w:rsidR="003260F8" w:rsidRPr="0074345C">
              <w:t>.  Establecer una plataforma interactiva de intercambio de experiencias que constará de dos componentes: un sitio web en el que se presente información sobre los estudios y se propongan instrumentos de P.I. y un foro en Internet destinado a recibir información sobre las experiencias adquiridas en proyectos de colabor</w:t>
            </w:r>
            <w:r w:rsidR="00107936" w:rsidRPr="0074345C">
              <w:t>ación abierta y modelos de P.I.</w:t>
            </w:r>
          </w:p>
          <w:p w:rsidR="003260F8" w:rsidRPr="0074345C" w:rsidRDefault="003260F8" w:rsidP="00E00028"/>
          <w:p w:rsidR="003260F8" w:rsidRPr="0074345C" w:rsidRDefault="003260F8" w:rsidP="003260F8">
            <w:r w:rsidRPr="0074345C">
              <w:rPr>
                <w:u w:val="single"/>
              </w:rPr>
              <w:t>Actividad 6</w:t>
            </w:r>
            <w:r w:rsidRPr="0074345C">
              <w:t xml:space="preserve">.  Incorporar las recomendaciones resultantes en los </w:t>
            </w:r>
            <w:r w:rsidR="00AC0CD4" w:rsidRPr="0074345C">
              <w:t>Programas</w:t>
            </w:r>
            <w:r w:rsidRPr="0074345C">
              <w:t xml:space="preserve"> pertinentes de la OMPI, tras la aprobación por los Estados miembros.</w:t>
            </w:r>
          </w:p>
          <w:p w:rsidR="00502F27" w:rsidRPr="0074345C" w:rsidRDefault="00502F27" w:rsidP="00E00028"/>
        </w:tc>
      </w:tr>
    </w:tbl>
    <w:p w:rsidR="00502F27" w:rsidRPr="0074345C" w:rsidRDefault="00502F27" w:rsidP="00502F27">
      <w:r w:rsidRPr="0074345C">
        <w:rPr>
          <w:bCs/>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484"/>
        </w:trPr>
        <w:tc>
          <w:tcPr>
            <w:tcW w:w="2376" w:type="dxa"/>
            <w:shd w:val="clear" w:color="auto" w:fill="auto"/>
            <w:vAlign w:val="center"/>
          </w:tcPr>
          <w:p w:rsidR="00502F27" w:rsidRPr="0074345C" w:rsidRDefault="003260F8" w:rsidP="003260F8">
            <w:pPr>
              <w:pStyle w:val="Heading3"/>
              <w:keepNext w:val="0"/>
              <w:spacing w:before="60"/>
            </w:pPr>
            <w:r w:rsidRPr="0074345C">
              <w:lastRenderedPageBreak/>
              <w:t>Director del Proyecto</w:t>
            </w:r>
          </w:p>
        </w:tc>
        <w:tc>
          <w:tcPr>
            <w:tcW w:w="6912" w:type="dxa"/>
            <w:vAlign w:val="center"/>
          </w:tcPr>
          <w:p w:rsidR="00502F27" w:rsidRPr="0074345C" w:rsidRDefault="003260F8" w:rsidP="003260F8">
            <w:pPr>
              <w:spacing w:before="60" w:after="60"/>
              <w:rPr>
                <w:iCs/>
              </w:rPr>
            </w:pPr>
            <w:r w:rsidRPr="0074345C">
              <w:rPr>
                <w:iCs/>
              </w:rPr>
              <w:t>Sr. Ali Jazairy</w:t>
            </w:r>
          </w:p>
        </w:tc>
      </w:tr>
      <w:tr w:rsidR="006376E7" w:rsidRPr="0074345C" w:rsidTr="00E00028">
        <w:trPr>
          <w:trHeight w:val="1165"/>
        </w:trPr>
        <w:tc>
          <w:tcPr>
            <w:tcW w:w="2376" w:type="dxa"/>
            <w:shd w:val="clear" w:color="auto" w:fill="auto"/>
          </w:tcPr>
          <w:p w:rsidR="003260F8" w:rsidRPr="0074345C" w:rsidRDefault="003260F8" w:rsidP="00E00028">
            <w:pPr>
              <w:pStyle w:val="Heading3"/>
              <w:keepNext w:val="0"/>
              <w:spacing w:before="60"/>
            </w:pPr>
          </w:p>
          <w:p w:rsidR="00502F27" w:rsidRPr="0074345C" w:rsidDel="00196374" w:rsidRDefault="003260F8" w:rsidP="003260F8">
            <w:pPr>
              <w:pStyle w:val="Heading3"/>
              <w:keepNext w:val="0"/>
              <w:spacing w:before="60"/>
            </w:pPr>
            <w:r w:rsidRPr="0074345C">
              <w:t xml:space="preserve">Vínculos con los resultados previstos en el presupuesto por </w:t>
            </w:r>
            <w:r w:rsidR="00AC0CD4" w:rsidRPr="0074345C">
              <w:t>Programas</w:t>
            </w:r>
          </w:p>
        </w:tc>
        <w:tc>
          <w:tcPr>
            <w:tcW w:w="6912" w:type="dxa"/>
          </w:tcPr>
          <w:p w:rsidR="003260F8" w:rsidRPr="0074345C" w:rsidRDefault="003260F8" w:rsidP="00E00028">
            <w:pPr>
              <w:spacing w:before="60" w:after="60"/>
              <w:rPr>
                <w:i/>
                <w:iCs/>
              </w:rPr>
            </w:pPr>
          </w:p>
          <w:p w:rsidR="003260F8" w:rsidRPr="0074345C" w:rsidRDefault="003260F8" w:rsidP="003260F8">
            <w:pPr>
              <w:spacing w:before="60" w:after="60"/>
              <w:rPr>
                <w:i/>
                <w:iCs/>
              </w:rPr>
            </w:pPr>
            <w:r w:rsidRPr="0074345C">
              <w:rPr>
                <w:i/>
                <w:iCs/>
              </w:rPr>
              <w:t>Resultado previsto:  IV.2</w:t>
            </w:r>
          </w:p>
          <w:p w:rsidR="003260F8" w:rsidRPr="0074345C" w:rsidRDefault="003260F8" w:rsidP="003260F8">
            <w:pPr>
              <w:spacing w:before="60" w:after="60"/>
              <w:rPr>
                <w:iCs/>
              </w:rPr>
            </w:pPr>
            <w:r w:rsidRPr="0074345C">
              <w:rPr>
                <w:iCs/>
              </w:rPr>
              <w:t>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p>
          <w:p w:rsidR="003260F8" w:rsidRPr="0074345C" w:rsidRDefault="003260F8" w:rsidP="003260F8">
            <w:pPr>
              <w:spacing w:before="60" w:after="60"/>
              <w:rPr>
                <w:i/>
                <w:iCs/>
              </w:rPr>
            </w:pPr>
            <w:r w:rsidRPr="0074345C">
              <w:rPr>
                <w:i/>
                <w:iCs/>
              </w:rPr>
              <w:t>Resultado previsto VII.3</w:t>
            </w:r>
          </w:p>
          <w:p w:rsidR="00502F27" w:rsidRPr="0074345C" w:rsidDel="00196374" w:rsidRDefault="003260F8" w:rsidP="003260F8">
            <w:pPr>
              <w:spacing w:before="60" w:after="60"/>
              <w:rPr>
                <w:iCs/>
              </w:rPr>
            </w:pPr>
            <w:r w:rsidRPr="0074345C">
              <w:rPr>
                <w:iCs/>
              </w:rPr>
              <w:t>Las herramientas de P.I. se utilizan para la transferencia de tecnología por parte de países desarrollados a países en desarrollo, especialmente los países menos adelantados, para responder a los desafíos mundiales</w:t>
            </w:r>
            <w:r w:rsidRPr="0074345C">
              <w:rPr>
                <w:i/>
                <w:iCs/>
              </w:rPr>
              <w:t>.</w:t>
            </w:r>
          </w:p>
        </w:tc>
      </w:tr>
      <w:tr w:rsidR="006376E7" w:rsidRPr="0074345C" w:rsidTr="00E00028">
        <w:trPr>
          <w:trHeight w:val="420"/>
        </w:trPr>
        <w:tc>
          <w:tcPr>
            <w:tcW w:w="2376" w:type="dxa"/>
            <w:shd w:val="clear" w:color="auto" w:fill="auto"/>
          </w:tcPr>
          <w:p w:rsidR="003260F8" w:rsidRPr="0074345C" w:rsidRDefault="003260F8" w:rsidP="00E00028">
            <w:pPr>
              <w:pStyle w:val="Heading3"/>
              <w:keepNext w:val="0"/>
              <w:spacing w:before="60"/>
            </w:pPr>
          </w:p>
          <w:p w:rsidR="003260F8" w:rsidRPr="0074345C" w:rsidRDefault="003260F8" w:rsidP="003260F8">
            <w:pPr>
              <w:pStyle w:val="Heading3"/>
              <w:keepNext w:val="0"/>
              <w:spacing w:before="60"/>
            </w:pPr>
            <w:r w:rsidRPr="0074345C">
              <w:t>Progreso en la ejecución del proyecto</w:t>
            </w:r>
          </w:p>
          <w:p w:rsidR="00502F27" w:rsidRPr="0074345C" w:rsidRDefault="00502F27" w:rsidP="00E00028">
            <w:pPr>
              <w:spacing w:before="60" w:after="60"/>
            </w:pPr>
          </w:p>
          <w:p w:rsidR="00CD3311" w:rsidRPr="0074345C" w:rsidRDefault="00CD3311"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222954" w:rsidRPr="0074345C" w:rsidRDefault="00222954"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E00028">
            <w:pPr>
              <w:spacing w:before="60" w:after="60"/>
            </w:pPr>
          </w:p>
          <w:p w:rsidR="00CD3311" w:rsidRPr="0074345C" w:rsidRDefault="00CD3311" w:rsidP="00CD3311">
            <w:r w:rsidRPr="0074345C">
              <w:t xml:space="preserve"> </w:t>
            </w:r>
          </w:p>
        </w:tc>
        <w:tc>
          <w:tcPr>
            <w:tcW w:w="6912" w:type="dxa"/>
          </w:tcPr>
          <w:p w:rsidR="003260F8" w:rsidRPr="0074345C" w:rsidRDefault="003260F8" w:rsidP="00E00028">
            <w:pPr>
              <w:spacing w:before="60" w:after="60"/>
              <w:rPr>
                <w:iCs/>
              </w:rPr>
            </w:pPr>
          </w:p>
          <w:p w:rsidR="003260F8" w:rsidRPr="0074345C" w:rsidRDefault="004D64A6" w:rsidP="00E00028">
            <w:pPr>
              <w:spacing w:before="60" w:after="60"/>
              <w:rPr>
                <w:iCs/>
              </w:rPr>
            </w:pPr>
            <w:r w:rsidRPr="0074345C">
              <w:rPr>
                <w:iCs/>
              </w:rPr>
              <w:t xml:space="preserve">El </w:t>
            </w:r>
            <w:r w:rsidR="00193CE1" w:rsidRPr="0074345C">
              <w:rPr>
                <w:iCs/>
              </w:rPr>
              <w:t xml:space="preserve">proyecto </w:t>
            </w:r>
            <w:r w:rsidR="00D57A2B" w:rsidRPr="0074345C">
              <w:rPr>
                <w:iCs/>
              </w:rPr>
              <w:t>s</w:t>
            </w:r>
            <w:r w:rsidRPr="0074345C">
              <w:rPr>
                <w:iCs/>
              </w:rPr>
              <w:t xml:space="preserve">e está ejecutando con arreglo al nuevo calendario aprobado por el </w:t>
            </w:r>
            <w:r w:rsidR="009E13C2" w:rsidRPr="0074345C">
              <w:rPr>
                <w:iCs/>
              </w:rPr>
              <w:t>CDIP</w:t>
            </w:r>
            <w:r w:rsidR="00502F27" w:rsidRPr="0074345C">
              <w:rPr>
                <w:iCs/>
              </w:rPr>
              <w:t xml:space="preserve"> </w:t>
            </w:r>
            <w:r w:rsidRPr="0074345C">
              <w:t>en su décimo segunda sesión</w:t>
            </w:r>
            <w:r w:rsidRPr="0074345C">
              <w:rPr>
                <w:iCs/>
              </w:rPr>
              <w:t xml:space="preserve"> </w:t>
            </w:r>
            <w:r w:rsidR="00502F27" w:rsidRPr="0074345C">
              <w:rPr>
                <w:iCs/>
              </w:rPr>
              <w:t>(document</w:t>
            </w:r>
            <w:r w:rsidRPr="0074345C">
              <w:rPr>
                <w:iCs/>
              </w:rPr>
              <w:t>o</w:t>
            </w:r>
            <w:r w:rsidR="00502F27" w:rsidRPr="0074345C">
              <w:rPr>
                <w:iCs/>
              </w:rPr>
              <w:t xml:space="preserve"> </w:t>
            </w:r>
            <w:hyperlink r:id="rId36" w:history="1">
              <w:r w:rsidR="00502F27" w:rsidRPr="0074345C">
                <w:rPr>
                  <w:rStyle w:val="Hyperlink"/>
                  <w:iCs/>
                  <w:color w:val="auto"/>
                </w:rPr>
                <w:t>CDIP/12/2</w:t>
              </w:r>
            </w:hyperlink>
            <w:r w:rsidR="00502F27" w:rsidRPr="0074345C">
              <w:rPr>
                <w:rStyle w:val="Hyperlink"/>
                <w:iCs/>
                <w:color w:val="auto"/>
              </w:rPr>
              <w:t xml:space="preserve">, </w:t>
            </w:r>
            <w:r w:rsidR="009E13C2" w:rsidRPr="0074345C">
              <w:rPr>
                <w:rStyle w:val="Hyperlink"/>
                <w:iCs/>
                <w:color w:val="auto"/>
              </w:rPr>
              <w:t xml:space="preserve">Anexo </w:t>
            </w:r>
            <w:r w:rsidR="00502F27" w:rsidRPr="0074345C">
              <w:rPr>
                <w:rStyle w:val="Hyperlink"/>
                <w:iCs/>
                <w:color w:val="auto"/>
              </w:rPr>
              <w:t xml:space="preserve"> VII)</w:t>
            </w:r>
            <w:r w:rsidR="00502F27" w:rsidRPr="0074345C">
              <w:rPr>
                <w:iCs/>
              </w:rPr>
              <w:t>.</w:t>
            </w:r>
          </w:p>
          <w:p w:rsidR="003260F8" w:rsidRPr="0074345C" w:rsidRDefault="003260F8" w:rsidP="00E00028">
            <w:pPr>
              <w:spacing w:before="60" w:after="60"/>
              <w:rPr>
                <w:iCs/>
              </w:rPr>
            </w:pPr>
          </w:p>
          <w:p w:rsidR="00BD041E" w:rsidRPr="0074345C" w:rsidRDefault="002159B5" w:rsidP="003260F8">
            <w:pPr>
              <w:spacing w:before="60" w:after="60"/>
              <w:rPr>
                <w:iCs/>
              </w:rPr>
            </w:pPr>
            <w:r w:rsidRPr="0074345C">
              <w:rPr>
                <w:iCs/>
                <w:u w:val="single"/>
              </w:rPr>
              <w:t xml:space="preserve">Actividad </w:t>
            </w:r>
            <w:r w:rsidR="003260F8" w:rsidRPr="0074345C">
              <w:rPr>
                <w:iCs/>
                <w:u w:val="single"/>
              </w:rPr>
              <w:t>1</w:t>
            </w:r>
            <w:r w:rsidR="003260F8" w:rsidRPr="0074345C">
              <w:rPr>
                <w:iCs/>
              </w:rPr>
              <w:t>:</w:t>
            </w:r>
            <w:proofErr w:type="gramStart"/>
            <w:r w:rsidR="003260F8" w:rsidRPr="0074345C">
              <w:rPr>
                <w:iCs/>
              </w:rPr>
              <w:t>  el</w:t>
            </w:r>
            <w:proofErr w:type="gramEnd"/>
            <w:r w:rsidR="003260F8" w:rsidRPr="0074345C">
              <w:rPr>
                <w:iCs/>
              </w:rPr>
              <w:t xml:space="preserve"> estudio taxonómico-analítico de los proyectos de colaboración abierta y los modelos de P.I. concluyó en octubre de 2011 y se presentó en la sesión CDIP/8.  Las observaciones formuladas por los Estados miembros y los observadores  se incorporaron en el Estudio final antes de marzo de 2012 para su presentación en la CDIP/9: (</w:t>
            </w:r>
            <w:hyperlink r:id="rId37" w:history="1">
              <w:r w:rsidR="00BD041E" w:rsidRPr="0074345C">
                <w:rPr>
                  <w:rStyle w:val="Hyperlink"/>
                  <w:iCs/>
                  <w:color w:val="auto"/>
                </w:rPr>
                <w:t>http://www.wipo.int/edocs/mdocs/mdocs/es/cdip_8/cdip_8_inf_7.pdf</w:t>
              </w:r>
            </w:hyperlink>
          </w:p>
          <w:p w:rsidR="003260F8" w:rsidRPr="0074345C" w:rsidRDefault="003260F8" w:rsidP="003260F8">
            <w:pPr>
              <w:spacing w:before="60" w:after="60"/>
              <w:rPr>
                <w:iCs/>
              </w:rPr>
            </w:pPr>
            <w:r w:rsidRPr="0074345C">
              <w:rPr>
                <w:iCs/>
              </w:rPr>
              <w:t>).</w:t>
            </w:r>
          </w:p>
          <w:p w:rsidR="003260F8" w:rsidRPr="0074345C" w:rsidRDefault="003260F8" w:rsidP="00E00028">
            <w:pPr>
              <w:spacing w:before="60" w:after="60"/>
              <w:rPr>
                <w:iCs/>
              </w:rPr>
            </w:pPr>
          </w:p>
          <w:p w:rsidR="00E00971" w:rsidRPr="0074345C" w:rsidRDefault="003260F8" w:rsidP="003260F8">
            <w:pPr>
              <w:spacing w:before="60" w:after="60"/>
              <w:rPr>
                <w:iCs/>
              </w:rPr>
            </w:pPr>
            <w:r w:rsidRPr="0074345C">
              <w:rPr>
                <w:iCs/>
                <w:u w:val="single"/>
              </w:rPr>
              <w:t>Actividad 2</w:t>
            </w:r>
            <w:r w:rsidRPr="0074345C">
              <w:rPr>
                <w:iCs/>
              </w:rPr>
              <w:t>:</w:t>
            </w:r>
            <w:proofErr w:type="gramStart"/>
            <w:r w:rsidRPr="0074345C">
              <w:rPr>
                <w:iCs/>
              </w:rPr>
              <w:t>  se</w:t>
            </w:r>
            <w:proofErr w:type="gramEnd"/>
            <w:r w:rsidRPr="0074345C">
              <w:rPr>
                <w:iCs/>
              </w:rPr>
              <w:t xml:space="preserve"> organizaron dos reuniones de composición abierta con los Estados miembros.</w:t>
            </w:r>
            <w:r w:rsidR="00502F27" w:rsidRPr="0074345C">
              <w:rPr>
                <w:iCs/>
              </w:rPr>
              <w:t xml:space="preserve">  </w:t>
            </w:r>
            <w:r w:rsidRPr="0074345C">
              <w:rPr>
                <w:iCs/>
              </w:rPr>
              <w:t>El 11 de mayo de 2012 se celebró un</w:t>
            </w:r>
            <w:r w:rsidR="00E00971" w:rsidRPr="0074345C">
              <w:rPr>
                <w:iCs/>
              </w:rPr>
              <w:t xml:space="preserve">a sesión paralela informal del </w:t>
            </w:r>
            <w:r w:rsidRPr="0074345C">
              <w:rPr>
                <w:iCs/>
              </w:rPr>
              <w:t>CDIP/9 y una reunión formal de la OMPI el 18 de junio de 2012: (</w:t>
            </w:r>
            <w:hyperlink r:id="rId38" w:history="1">
              <w:r w:rsidR="00E00971" w:rsidRPr="0074345C">
                <w:rPr>
                  <w:rStyle w:val="Hyperlink"/>
                  <w:iCs/>
                  <w:color w:val="auto"/>
                </w:rPr>
                <w:t>http://www.wipo.int/meetings/es/details.jsp?meeting_id=26782</w:t>
              </w:r>
            </w:hyperlink>
            <w:r w:rsidR="00E00971" w:rsidRPr="0074345C">
              <w:rPr>
                <w:iCs/>
              </w:rPr>
              <w:t>)</w:t>
            </w:r>
          </w:p>
          <w:p w:rsidR="003260F8" w:rsidRPr="0074345C" w:rsidRDefault="003260F8" w:rsidP="003260F8">
            <w:pPr>
              <w:spacing w:before="60" w:after="60"/>
              <w:rPr>
                <w:rStyle w:val="Hyperlink"/>
                <w:iCs/>
                <w:color w:val="auto"/>
                <w:u w:val="none"/>
              </w:rPr>
            </w:pPr>
          </w:p>
          <w:p w:rsidR="003260F8" w:rsidRPr="0074345C" w:rsidRDefault="003260F8" w:rsidP="00E00028">
            <w:pPr>
              <w:pStyle w:val="Footer"/>
              <w:tabs>
                <w:tab w:val="clear" w:pos="4320"/>
                <w:tab w:val="clear" w:pos="8640"/>
              </w:tabs>
              <w:spacing w:before="60" w:after="60"/>
              <w:rPr>
                <w:iCs/>
              </w:rPr>
            </w:pPr>
          </w:p>
          <w:p w:rsidR="003260F8" w:rsidRPr="0074345C" w:rsidRDefault="002034F4" w:rsidP="00E00028">
            <w:r w:rsidRPr="0074345C">
              <w:rPr>
                <w:iCs/>
                <w:u w:val="single"/>
              </w:rPr>
              <w:t>Actividad</w:t>
            </w:r>
            <w:r w:rsidR="00502F27" w:rsidRPr="0074345C">
              <w:rPr>
                <w:iCs/>
                <w:u w:val="single"/>
              </w:rPr>
              <w:t xml:space="preserve"> 3</w:t>
            </w:r>
            <w:r w:rsidR="00502F27" w:rsidRPr="0074345C">
              <w:rPr>
                <w:iCs/>
              </w:rPr>
              <w:t>:</w:t>
            </w:r>
            <w:proofErr w:type="gramStart"/>
            <w:r w:rsidR="00502F27" w:rsidRPr="0074345C">
              <w:rPr>
                <w:iCs/>
              </w:rPr>
              <w:t>  </w:t>
            </w:r>
            <w:r w:rsidR="00BD793B" w:rsidRPr="0074345C">
              <w:rPr>
                <w:iCs/>
              </w:rPr>
              <w:t>el</w:t>
            </w:r>
            <w:proofErr w:type="gramEnd"/>
            <w:r w:rsidR="00BD793B" w:rsidRPr="0074345C">
              <w:rPr>
                <w:iCs/>
              </w:rPr>
              <w:t xml:space="preserve"> estudio </w:t>
            </w:r>
            <w:r w:rsidR="00CD3311" w:rsidRPr="0074345C">
              <w:rPr>
                <w:iCs/>
              </w:rPr>
              <w:t xml:space="preserve">detallado </w:t>
            </w:r>
            <w:r w:rsidR="00BD793B" w:rsidRPr="0074345C">
              <w:rPr>
                <w:iCs/>
              </w:rPr>
              <w:t xml:space="preserve">de evaluación para determinar las ventajas y desventajas de los proyectos en curso, delineando los modelos de P.I. que se utilizan en los entornos exitosos de colaboración abierta ha sido encomendado a un grupo de expertos, dirigido por la Prof. </w:t>
            </w:r>
            <w:r w:rsidR="00502F27" w:rsidRPr="0074345C">
              <w:t xml:space="preserve">Ellen </w:t>
            </w:r>
            <w:proofErr w:type="spellStart"/>
            <w:r w:rsidR="00502F27" w:rsidRPr="0074345C">
              <w:t>Enkel</w:t>
            </w:r>
            <w:proofErr w:type="spellEnd"/>
            <w:r w:rsidR="00502F27" w:rsidRPr="0074345C">
              <w:t xml:space="preserve">, </w:t>
            </w:r>
            <w:r w:rsidR="00BD793B" w:rsidRPr="0074345C">
              <w:t xml:space="preserve">Directora del Instituto de Gestión de la Innovación, </w:t>
            </w:r>
            <w:r w:rsidR="00502F27" w:rsidRPr="0074345C">
              <w:t xml:space="preserve">Dr. </w:t>
            </w:r>
            <w:proofErr w:type="spellStart"/>
            <w:r w:rsidR="00502F27" w:rsidRPr="0074345C">
              <w:t>Manfred</w:t>
            </w:r>
            <w:proofErr w:type="spellEnd"/>
            <w:r w:rsidR="00502F27" w:rsidRPr="0074345C">
              <w:t xml:space="preserve"> </w:t>
            </w:r>
            <w:proofErr w:type="spellStart"/>
            <w:r w:rsidR="00502F27" w:rsidRPr="0074345C">
              <w:t>Bischoff</w:t>
            </w:r>
            <w:proofErr w:type="spellEnd"/>
            <w:r w:rsidR="00BD793B" w:rsidRPr="0074345C">
              <w:t xml:space="preserve"> del Grupo A</w:t>
            </w:r>
            <w:r w:rsidR="00502F27" w:rsidRPr="0074345C">
              <w:t xml:space="preserve">irbus, </w:t>
            </w:r>
            <w:r w:rsidR="00BD793B" w:rsidRPr="0074345C">
              <w:t xml:space="preserve">catedrática de gestión de la innovación en la Universidad </w:t>
            </w:r>
            <w:r w:rsidR="00502F27" w:rsidRPr="0074345C">
              <w:t>Zeppelin</w:t>
            </w:r>
            <w:r w:rsidR="00BD793B" w:rsidRPr="0074345C">
              <w:t xml:space="preserve">, </w:t>
            </w:r>
            <w:proofErr w:type="spellStart"/>
            <w:r w:rsidR="00BD793B" w:rsidRPr="0074345C">
              <w:t>F</w:t>
            </w:r>
            <w:r w:rsidR="00502F27" w:rsidRPr="0074345C">
              <w:t>riedrichshafen</w:t>
            </w:r>
            <w:proofErr w:type="spellEnd"/>
            <w:r w:rsidR="00502F27" w:rsidRPr="0074345C">
              <w:t xml:space="preserve">, </w:t>
            </w:r>
            <w:r w:rsidR="00BD793B" w:rsidRPr="0074345C">
              <w:t>Alemania</w:t>
            </w:r>
            <w:r w:rsidR="00502F27" w:rsidRPr="0074345C">
              <w:t xml:space="preserve">. </w:t>
            </w:r>
            <w:r w:rsidR="00BD793B" w:rsidRPr="0074345C">
              <w:t xml:space="preserve">El borrador final del estudio se recibió en </w:t>
            </w:r>
            <w:r w:rsidRPr="0074345C">
              <w:t>julio de</w:t>
            </w:r>
            <w:r w:rsidR="00502F27" w:rsidRPr="0074345C">
              <w:t xml:space="preserve"> 2014</w:t>
            </w:r>
            <w:r w:rsidR="00BD793B" w:rsidRPr="0074345C">
              <w:t xml:space="preserve"> y </w:t>
            </w:r>
            <w:r w:rsidR="00A4402C" w:rsidRPr="0074345C">
              <w:t>se pondrá a disposición del CDIP, en su decimocuarta sesión</w:t>
            </w:r>
            <w:r w:rsidR="004137F8" w:rsidRPr="0074345C">
              <w:t>.</w:t>
            </w:r>
            <w:r w:rsidR="00502F27" w:rsidRPr="0074345C">
              <w:t xml:space="preserve">  </w:t>
            </w:r>
            <w:r w:rsidR="00BD793B" w:rsidRPr="0074345C">
              <w:t>El estudio consta de los siguientes elementos:</w:t>
            </w:r>
            <w:r w:rsidR="00502F27" w:rsidRPr="0074345C">
              <w:t xml:space="preserve">  </w:t>
            </w:r>
          </w:p>
          <w:p w:rsidR="003260F8" w:rsidRPr="0074345C" w:rsidRDefault="003260F8" w:rsidP="00E00028"/>
          <w:p w:rsidR="003260F8" w:rsidRPr="0074345C" w:rsidRDefault="003260F8" w:rsidP="003260F8">
            <w:pPr>
              <w:pStyle w:val="ListParagraph"/>
              <w:numPr>
                <w:ilvl w:val="0"/>
                <w:numId w:val="13"/>
              </w:numPr>
              <w:contextualSpacing w:val="0"/>
              <w:rPr>
                <w:lang w:val="es-ES"/>
              </w:rPr>
            </w:pPr>
            <w:r w:rsidRPr="0074345C">
              <w:rPr>
                <w:lang w:val="es-ES"/>
              </w:rPr>
              <w:t>una reseña sobre la evolución del concepto de colaboración abierta;</w:t>
            </w:r>
            <w:r w:rsidR="00502F27" w:rsidRPr="0074345C">
              <w:rPr>
                <w:lang w:val="es-ES"/>
              </w:rPr>
              <w:t xml:space="preserve">  </w:t>
            </w:r>
          </w:p>
          <w:p w:rsidR="003260F8" w:rsidRPr="0074345C" w:rsidRDefault="003260F8" w:rsidP="00E00028">
            <w:pPr>
              <w:pStyle w:val="ListParagraph"/>
              <w:ind w:left="0"/>
              <w:rPr>
                <w:lang w:val="es-ES"/>
              </w:rPr>
            </w:pPr>
          </w:p>
          <w:p w:rsidR="003260F8" w:rsidRPr="0074345C" w:rsidRDefault="003260F8" w:rsidP="003260F8">
            <w:pPr>
              <w:pStyle w:val="ListParagraph"/>
              <w:numPr>
                <w:ilvl w:val="0"/>
                <w:numId w:val="13"/>
              </w:numPr>
              <w:contextualSpacing w:val="0"/>
              <w:rPr>
                <w:lang w:val="es-ES"/>
              </w:rPr>
            </w:pPr>
            <w:r w:rsidRPr="0074345C">
              <w:rPr>
                <w:lang w:val="es-ES"/>
              </w:rPr>
              <w:t>una reseña de la innovación abierta desde que concepto fue creado hace una década;</w:t>
            </w:r>
            <w:r w:rsidR="00502F27" w:rsidRPr="0074345C">
              <w:rPr>
                <w:lang w:val="es-ES"/>
              </w:rPr>
              <w:t xml:space="preserve">  </w:t>
            </w:r>
          </w:p>
          <w:p w:rsidR="003260F8" w:rsidRPr="0074345C" w:rsidRDefault="003260F8" w:rsidP="00E00028">
            <w:pPr>
              <w:pStyle w:val="ListParagraph"/>
              <w:rPr>
                <w:lang w:val="es-ES"/>
              </w:rPr>
            </w:pPr>
          </w:p>
          <w:p w:rsidR="003260F8" w:rsidRPr="0074345C" w:rsidRDefault="003260F8" w:rsidP="003260F8">
            <w:pPr>
              <w:pStyle w:val="ListParagraph"/>
              <w:numPr>
                <w:ilvl w:val="0"/>
                <w:numId w:val="13"/>
              </w:numPr>
              <w:contextualSpacing w:val="0"/>
              <w:rPr>
                <w:lang w:val="es-ES"/>
              </w:rPr>
            </w:pPr>
            <w:r w:rsidRPr="0074345C">
              <w:rPr>
                <w:lang w:val="es-ES"/>
              </w:rPr>
              <w:t>una lista de las ventajas y desventajas de los proyectos en curso, así como las conclusiones prácticas de cada iniciativa representativa de colaboración abierta;</w:t>
            </w:r>
            <w:r w:rsidR="00502F27" w:rsidRPr="0074345C">
              <w:rPr>
                <w:lang w:val="es-ES"/>
              </w:rPr>
              <w:t xml:space="preserve">  </w:t>
            </w:r>
          </w:p>
          <w:p w:rsidR="003260F8" w:rsidRPr="0074345C" w:rsidRDefault="003260F8" w:rsidP="00E00028">
            <w:pPr>
              <w:pStyle w:val="ListParagraph"/>
              <w:rPr>
                <w:lang w:val="es-ES"/>
              </w:rPr>
            </w:pPr>
          </w:p>
          <w:p w:rsidR="003260F8" w:rsidRPr="0074345C" w:rsidRDefault="003260F8" w:rsidP="003260F8">
            <w:pPr>
              <w:pStyle w:val="ListParagraph"/>
              <w:numPr>
                <w:ilvl w:val="0"/>
                <w:numId w:val="13"/>
              </w:numPr>
              <w:contextualSpacing w:val="0"/>
              <w:rPr>
                <w:lang w:val="es-ES"/>
              </w:rPr>
            </w:pPr>
            <w:r w:rsidRPr="0074345C">
              <w:rPr>
                <w:lang w:val="es-ES"/>
              </w:rPr>
              <w:t>una lista de condiciones favorables intrínsecas y los modelos de P.I. eficaces utilizados en las iniciativas representativas de colaboración abierta;  y</w:t>
            </w:r>
            <w:r w:rsidR="00502F27" w:rsidRPr="0074345C">
              <w:rPr>
                <w:lang w:val="es-ES"/>
              </w:rPr>
              <w:t xml:space="preserve"> </w:t>
            </w:r>
          </w:p>
          <w:p w:rsidR="003260F8" w:rsidRPr="0074345C" w:rsidRDefault="003260F8" w:rsidP="00E00028">
            <w:pPr>
              <w:pStyle w:val="ListParagraph"/>
              <w:rPr>
                <w:lang w:val="es-ES"/>
              </w:rPr>
            </w:pPr>
          </w:p>
          <w:p w:rsidR="003260F8" w:rsidRPr="0074345C" w:rsidRDefault="003260F8" w:rsidP="003260F8">
            <w:pPr>
              <w:pStyle w:val="ListParagraph"/>
              <w:numPr>
                <w:ilvl w:val="0"/>
                <w:numId w:val="13"/>
              </w:numPr>
              <w:contextualSpacing w:val="0"/>
              <w:rPr>
                <w:lang w:val="es-ES"/>
              </w:rPr>
            </w:pPr>
            <w:r w:rsidRPr="0074345C">
              <w:rPr>
                <w:lang w:val="es-ES"/>
              </w:rPr>
              <w:t xml:space="preserve">una lista de recomendaciones sobre cómo pueden los </w:t>
            </w:r>
            <w:r w:rsidR="00AC0CD4" w:rsidRPr="0074345C">
              <w:rPr>
                <w:lang w:val="es-ES"/>
              </w:rPr>
              <w:t>Programas</w:t>
            </w:r>
            <w:r w:rsidRPr="0074345C">
              <w:rPr>
                <w:lang w:val="es-ES"/>
              </w:rPr>
              <w:t xml:space="preserve"> de la OMPI respaldar a los países en desarrollo y los PMA a la hora de enfrentar los desafíos que se les plantean en los procesos de innovación colectiva.</w:t>
            </w:r>
            <w:r w:rsidR="00502F27" w:rsidRPr="0074345C">
              <w:rPr>
                <w:lang w:val="es-ES"/>
              </w:rPr>
              <w:t xml:space="preserve">  </w:t>
            </w:r>
          </w:p>
          <w:p w:rsidR="003260F8" w:rsidRPr="0074345C" w:rsidRDefault="003260F8" w:rsidP="00E00028">
            <w:pPr>
              <w:pStyle w:val="ListParagraph"/>
              <w:ind w:left="0"/>
              <w:rPr>
                <w:lang w:val="es-ES"/>
              </w:rPr>
            </w:pPr>
          </w:p>
          <w:p w:rsidR="003260F8" w:rsidRPr="0074345C" w:rsidRDefault="00BD793B" w:rsidP="00E00028">
            <w:pPr>
              <w:pStyle w:val="ListParagraph"/>
              <w:ind w:left="0"/>
              <w:rPr>
                <w:lang w:val="es-ES"/>
              </w:rPr>
            </w:pPr>
            <w:r w:rsidRPr="0074345C">
              <w:rPr>
                <w:lang w:val="es-ES"/>
              </w:rPr>
              <w:t xml:space="preserve">El estudio podría </w:t>
            </w:r>
            <w:r w:rsidR="00FA5186" w:rsidRPr="0074345C">
              <w:rPr>
                <w:lang w:val="es-ES"/>
              </w:rPr>
              <w:t>aportar</w:t>
            </w:r>
            <w:r w:rsidRPr="0074345C">
              <w:rPr>
                <w:lang w:val="es-ES"/>
              </w:rPr>
              <w:t xml:space="preserve"> temas de reflexión para </w:t>
            </w:r>
            <w:r w:rsidR="00CD3311" w:rsidRPr="0074345C">
              <w:rPr>
                <w:lang w:val="es-ES"/>
              </w:rPr>
              <w:t xml:space="preserve">eventuales </w:t>
            </w:r>
            <w:r w:rsidRPr="0074345C">
              <w:rPr>
                <w:lang w:val="es-ES"/>
              </w:rPr>
              <w:t xml:space="preserve">seminarios </w:t>
            </w:r>
            <w:r w:rsidR="00F10CBE" w:rsidRPr="0074345C">
              <w:rPr>
                <w:lang w:val="es-ES"/>
              </w:rPr>
              <w:t>futuros de l</w:t>
            </w:r>
            <w:r w:rsidRPr="0074345C">
              <w:rPr>
                <w:lang w:val="es-ES"/>
              </w:rPr>
              <w:t>a OMPI sobre la colaboración abierta</w:t>
            </w:r>
            <w:r w:rsidR="00502F27" w:rsidRPr="0074345C">
              <w:rPr>
                <w:lang w:val="es-ES"/>
              </w:rPr>
              <w:t xml:space="preserve">, </w:t>
            </w:r>
            <w:r w:rsidR="00F10CBE" w:rsidRPr="0074345C">
              <w:rPr>
                <w:lang w:val="es-ES"/>
              </w:rPr>
              <w:t>y</w:t>
            </w:r>
            <w:r w:rsidRPr="0074345C">
              <w:rPr>
                <w:lang w:val="es-ES"/>
              </w:rPr>
              <w:t xml:space="preserve"> ser uno de los resultados del </w:t>
            </w:r>
            <w:r w:rsidR="00F10CBE" w:rsidRPr="0074345C">
              <w:rPr>
                <w:lang w:val="es-ES"/>
              </w:rPr>
              <w:t>pr</w:t>
            </w:r>
            <w:r w:rsidR="009E13C2" w:rsidRPr="0074345C">
              <w:rPr>
                <w:lang w:val="es-ES"/>
              </w:rPr>
              <w:t>oyecto</w:t>
            </w:r>
            <w:r w:rsidRPr="0074345C">
              <w:rPr>
                <w:lang w:val="es-ES"/>
              </w:rPr>
              <w:t xml:space="preserve"> que podrían incorporar</w:t>
            </w:r>
            <w:r w:rsidR="00FA5186" w:rsidRPr="0074345C">
              <w:rPr>
                <w:lang w:val="es-ES"/>
              </w:rPr>
              <w:t>se</w:t>
            </w:r>
            <w:r w:rsidRPr="0074345C">
              <w:rPr>
                <w:lang w:val="es-ES"/>
              </w:rPr>
              <w:t xml:space="preserve"> en los programas de la OMPI</w:t>
            </w:r>
            <w:r w:rsidR="00502F27" w:rsidRPr="0074345C">
              <w:rPr>
                <w:lang w:val="es-ES"/>
              </w:rPr>
              <w:t xml:space="preserve">. </w:t>
            </w:r>
          </w:p>
          <w:p w:rsidR="003260F8" w:rsidRPr="0074345C" w:rsidRDefault="003260F8" w:rsidP="00E00028"/>
          <w:p w:rsidR="003260F8" w:rsidRPr="0074345C" w:rsidRDefault="002034F4" w:rsidP="00E00028">
            <w:pPr>
              <w:tabs>
                <w:tab w:val="left" w:pos="6129"/>
              </w:tabs>
            </w:pPr>
            <w:r w:rsidRPr="0074345C">
              <w:rPr>
                <w:u w:val="single"/>
              </w:rPr>
              <w:t>Actividad</w:t>
            </w:r>
            <w:r w:rsidR="00502F27" w:rsidRPr="0074345C">
              <w:rPr>
                <w:u w:val="single"/>
              </w:rPr>
              <w:t xml:space="preserve"> 4</w:t>
            </w:r>
            <w:proofErr w:type="gramStart"/>
            <w:r w:rsidR="00502F27" w:rsidRPr="0074345C">
              <w:t xml:space="preserve">:  </w:t>
            </w:r>
            <w:r w:rsidR="00BD793B" w:rsidRPr="0074345C">
              <w:t>la</w:t>
            </w:r>
            <w:proofErr w:type="gramEnd"/>
            <w:r w:rsidR="00BD793B" w:rsidRPr="0074345C">
              <w:t xml:space="preserve"> </w:t>
            </w:r>
            <w:r w:rsidRPr="0074345C">
              <w:t>Reunión</w:t>
            </w:r>
            <w:r w:rsidR="00BD793B" w:rsidRPr="0074345C">
              <w:t xml:space="preserve"> de expertos</w:t>
            </w:r>
            <w:r w:rsidR="00293A68" w:rsidRPr="0074345C">
              <w:t>,</w:t>
            </w:r>
            <w:r w:rsidR="00BD793B" w:rsidRPr="0074345C">
              <w:t xml:space="preserve"> </w:t>
            </w:r>
            <w:r w:rsidR="00E00971" w:rsidRPr="0074345C">
              <w:t xml:space="preserve">convocada como </w:t>
            </w:r>
            <w:r w:rsidR="00F17914" w:rsidRPr="0074345C">
              <w:rPr>
                <w:i/>
              </w:rPr>
              <w:t>“</w:t>
            </w:r>
            <w:r w:rsidR="00293A68" w:rsidRPr="0074345C">
              <w:rPr>
                <w:i/>
              </w:rPr>
              <w:t>Conferencia de la OMPI sobre la Innovación Abierta: los Proyectos de Colaboración y el Futuro del Conocimiento</w:t>
            </w:r>
            <w:r w:rsidR="00E00971" w:rsidRPr="0074345C">
              <w:t>”</w:t>
            </w:r>
            <w:r w:rsidR="00293A68" w:rsidRPr="0074345C">
              <w:rPr>
                <w:i/>
              </w:rPr>
              <w:t>,</w:t>
            </w:r>
            <w:r w:rsidR="00502F27" w:rsidRPr="0074345C">
              <w:rPr>
                <w:i/>
              </w:rPr>
              <w:t xml:space="preserve"> </w:t>
            </w:r>
            <w:r w:rsidR="00F17914" w:rsidRPr="0074345C">
              <w:t xml:space="preserve">se celebró </w:t>
            </w:r>
            <w:r w:rsidR="00E00971" w:rsidRPr="0074345C">
              <w:t>exitosamente</w:t>
            </w:r>
            <w:r w:rsidR="00F17914" w:rsidRPr="0074345C">
              <w:t xml:space="preserve"> los días 22 y 23 de enero de </w:t>
            </w:r>
            <w:r w:rsidR="00502F27" w:rsidRPr="0074345C">
              <w:t xml:space="preserve">2014.  </w:t>
            </w:r>
            <w:r w:rsidR="00F17914" w:rsidRPr="0074345C">
              <w:t>Para más detalles, véase</w:t>
            </w:r>
            <w:r w:rsidR="00502F27" w:rsidRPr="0074345C">
              <w:t>:</w:t>
            </w:r>
          </w:p>
          <w:p w:rsidR="00293A68" w:rsidRPr="0074345C" w:rsidRDefault="003A2508" w:rsidP="00E00028">
            <w:pPr>
              <w:tabs>
                <w:tab w:val="left" w:pos="6129"/>
              </w:tabs>
            </w:pPr>
            <w:hyperlink r:id="rId39" w:history="1">
              <w:r w:rsidR="00293A68" w:rsidRPr="0074345C">
                <w:rPr>
                  <w:rStyle w:val="Hyperlink"/>
                  <w:color w:val="auto"/>
                </w:rPr>
                <w:t>http://www.wipo.int/meetings/es/details.jsp?meeting_id=31762</w:t>
              </w:r>
            </w:hyperlink>
          </w:p>
          <w:p w:rsidR="003260F8" w:rsidRPr="0074345C" w:rsidRDefault="00293A68" w:rsidP="00E00028">
            <w:pPr>
              <w:tabs>
                <w:tab w:val="left" w:pos="6129"/>
              </w:tabs>
            </w:pPr>
            <w:r w:rsidRPr="0074345C">
              <w:t xml:space="preserve"> </w:t>
            </w:r>
          </w:p>
          <w:p w:rsidR="00293A68" w:rsidRPr="0074345C" w:rsidRDefault="00293A68" w:rsidP="00E00028">
            <w:pPr>
              <w:tabs>
                <w:tab w:val="left" w:pos="6129"/>
              </w:tabs>
            </w:pPr>
          </w:p>
          <w:p w:rsidR="003260F8" w:rsidRPr="0074345C" w:rsidRDefault="00860760" w:rsidP="00E00028">
            <w:pPr>
              <w:tabs>
                <w:tab w:val="left" w:pos="6129"/>
              </w:tabs>
              <w:spacing w:before="60" w:after="60"/>
            </w:pPr>
            <w:r w:rsidRPr="0074345C">
              <w:t xml:space="preserve">En esta conferencia mundial participaron 17 oradores de alto nivel procedentes de países desarrollados y en desarrollo y se organizaron mesas redondas </w:t>
            </w:r>
            <w:r w:rsidR="00CD3311" w:rsidRPr="0074345C">
              <w:t>sobre l</w:t>
            </w:r>
            <w:r w:rsidRPr="0074345C">
              <w:t>a innovación abierta</w:t>
            </w:r>
            <w:r w:rsidR="00502F27" w:rsidRPr="0074345C">
              <w:t xml:space="preserve">. </w:t>
            </w:r>
            <w:r w:rsidRPr="0074345C">
              <w:t xml:space="preserve">Su objetivo era intercambiar </w:t>
            </w:r>
            <w:r w:rsidR="00B05496" w:rsidRPr="0074345C">
              <w:t>prácticas</w:t>
            </w:r>
            <w:r w:rsidRPr="0074345C">
              <w:t xml:space="preserve"> </w:t>
            </w:r>
            <w:r w:rsidR="00CD3311" w:rsidRPr="0074345C">
              <w:t xml:space="preserve">óptimas </w:t>
            </w:r>
            <w:r w:rsidRPr="0074345C">
              <w:t xml:space="preserve">sobre proyectos de </w:t>
            </w:r>
            <w:r w:rsidR="00B05496" w:rsidRPr="0074345C">
              <w:t>colaboración</w:t>
            </w:r>
            <w:r w:rsidRPr="0074345C">
              <w:t xml:space="preserve"> abierta para </w:t>
            </w:r>
            <w:r w:rsidR="00B05496" w:rsidRPr="0074345C">
              <w:t>empresas</w:t>
            </w:r>
            <w:r w:rsidRPr="0074345C">
              <w:t xml:space="preserve"> </w:t>
            </w:r>
            <w:r w:rsidR="00B05496" w:rsidRPr="0074345C">
              <w:t>públicas</w:t>
            </w:r>
            <w:r w:rsidRPr="0074345C">
              <w:t xml:space="preserve"> y privadas en diferentes sectores y esferas de </w:t>
            </w:r>
            <w:r w:rsidR="00B05496" w:rsidRPr="0074345C">
              <w:t>interés</w:t>
            </w:r>
            <w:r w:rsidR="00502F27" w:rsidRPr="0074345C">
              <w:t xml:space="preserve">.  </w:t>
            </w:r>
            <w:r w:rsidR="00622511" w:rsidRPr="0074345C">
              <w:t>Se aprovechó la experiencia de los expertos mundiales en la esfera de la innovación abierta en los medios académicos y la industria</w:t>
            </w:r>
            <w:r w:rsidR="00502F27" w:rsidRPr="0074345C">
              <w:t xml:space="preserve"> (</w:t>
            </w:r>
            <w:r w:rsidR="00622511" w:rsidRPr="0074345C">
              <w:t>incluida la cinematográfica</w:t>
            </w:r>
            <w:r w:rsidR="00502F27" w:rsidRPr="0074345C">
              <w:t xml:space="preserve">) </w:t>
            </w:r>
            <w:r w:rsidR="00622511" w:rsidRPr="0074345C">
              <w:t xml:space="preserve">y se examinaron las cuestiones importantes que </w:t>
            </w:r>
            <w:r w:rsidR="00222954" w:rsidRPr="0074345C">
              <w:t>deben examinarse</w:t>
            </w:r>
            <w:r w:rsidR="00622511" w:rsidRPr="0074345C">
              <w:t xml:space="preserve"> al aplicar </w:t>
            </w:r>
            <w:r w:rsidR="00193CE1" w:rsidRPr="0074345C">
              <w:t>conceptos</w:t>
            </w:r>
            <w:r w:rsidR="00622511" w:rsidRPr="0074345C">
              <w:t xml:space="preserve"> de innovación abierta, </w:t>
            </w:r>
            <w:r w:rsidR="00193CE1" w:rsidRPr="0074345C">
              <w:t>así</w:t>
            </w:r>
            <w:r w:rsidR="00622511" w:rsidRPr="0074345C">
              <w:t xml:space="preserve"> como las herramientas para iniciar </w:t>
            </w:r>
            <w:r w:rsidR="00193CE1" w:rsidRPr="0074345C">
              <w:t>colaboraciones</w:t>
            </w:r>
            <w:r w:rsidR="00622511" w:rsidRPr="0074345C">
              <w:t xml:space="preserve"> abiertas en los países en </w:t>
            </w:r>
            <w:r w:rsidR="00193CE1" w:rsidRPr="0074345C">
              <w:t>desarrollo</w:t>
            </w:r>
            <w:r w:rsidR="00502F27" w:rsidRPr="0074345C">
              <w:t xml:space="preserve">. </w:t>
            </w:r>
            <w:r w:rsidR="00622511" w:rsidRPr="0074345C">
              <w:t xml:space="preserve">Este evento </w:t>
            </w:r>
            <w:r w:rsidR="00222954" w:rsidRPr="0074345C">
              <w:t xml:space="preserve">también </w:t>
            </w:r>
            <w:r w:rsidR="00193CE1" w:rsidRPr="0074345C">
              <w:t>permitió constituir plataformas para redes de alto nivel con expertos destacados para el intercambio de experiencias sobre colaboraciones abiertas</w:t>
            </w:r>
            <w:r w:rsidR="00502F27" w:rsidRPr="0074345C">
              <w:t>.</w:t>
            </w:r>
          </w:p>
          <w:p w:rsidR="003260F8" w:rsidRPr="0074345C" w:rsidRDefault="003260F8" w:rsidP="00E00028">
            <w:pPr>
              <w:tabs>
                <w:tab w:val="left" w:pos="6129"/>
              </w:tabs>
              <w:spacing w:before="60" w:after="60"/>
            </w:pPr>
          </w:p>
          <w:p w:rsidR="003260F8" w:rsidRPr="0074345C" w:rsidRDefault="002034F4" w:rsidP="00E00028">
            <w:pPr>
              <w:spacing w:before="60" w:after="60"/>
            </w:pPr>
            <w:r w:rsidRPr="0074345C">
              <w:rPr>
                <w:u w:val="single"/>
              </w:rPr>
              <w:t>Actividad</w:t>
            </w:r>
            <w:r w:rsidR="00502F27" w:rsidRPr="0074345C">
              <w:rPr>
                <w:u w:val="single"/>
              </w:rPr>
              <w:t xml:space="preserve"> 5</w:t>
            </w:r>
            <w:r w:rsidR="00446C66" w:rsidRPr="0074345C">
              <w:t xml:space="preserve">: </w:t>
            </w:r>
            <w:r w:rsidR="008478D6" w:rsidRPr="0074345C">
              <w:t>Tras</w:t>
            </w:r>
            <w:r w:rsidR="004137F8" w:rsidRPr="0074345C">
              <w:t xml:space="preserve"> una licitación internacional</w:t>
            </w:r>
            <w:r w:rsidR="00502F27" w:rsidRPr="0074345C">
              <w:t xml:space="preserve">, </w:t>
            </w:r>
            <w:r w:rsidR="004137F8" w:rsidRPr="0074345C">
              <w:t xml:space="preserve">se encomendó un </w:t>
            </w:r>
            <w:r w:rsidR="001268F5" w:rsidRPr="0074345C">
              <w:t>estudio</w:t>
            </w:r>
            <w:r w:rsidR="004137F8" w:rsidRPr="0074345C">
              <w:t xml:space="preserve"> sobre los</w:t>
            </w:r>
            <w:r w:rsidR="00502F27" w:rsidRPr="0074345C">
              <w:t xml:space="preserve"> “</w:t>
            </w:r>
            <w:r w:rsidR="004137F8" w:rsidRPr="0074345C">
              <w:t>flujos mundiales de conocimiento</w:t>
            </w:r>
            <w:r w:rsidR="008478D6" w:rsidRPr="0074345C">
              <w:t xml:space="preserve">” </w:t>
            </w:r>
            <w:r w:rsidR="004137F8" w:rsidRPr="0074345C">
              <w:t xml:space="preserve">a un equipo de la </w:t>
            </w:r>
            <w:proofErr w:type="spellStart"/>
            <w:r w:rsidR="00502F27" w:rsidRPr="0074345C">
              <w:t>Community</w:t>
            </w:r>
            <w:proofErr w:type="spellEnd"/>
            <w:r w:rsidR="00502F27" w:rsidRPr="0074345C">
              <w:t xml:space="preserve"> </w:t>
            </w:r>
            <w:proofErr w:type="spellStart"/>
            <w:r w:rsidR="009E13C2" w:rsidRPr="0074345C">
              <w:t>S</w:t>
            </w:r>
            <w:r w:rsidR="004137F8" w:rsidRPr="0074345C">
              <w:t>ystems</w:t>
            </w:r>
            <w:proofErr w:type="spellEnd"/>
            <w:r w:rsidR="00502F27" w:rsidRPr="0074345C">
              <w:t xml:space="preserve"> </w:t>
            </w:r>
            <w:proofErr w:type="spellStart"/>
            <w:r w:rsidR="00502F27" w:rsidRPr="0074345C">
              <w:t>Foundation</w:t>
            </w:r>
            <w:proofErr w:type="spellEnd"/>
            <w:r w:rsidR="00502F27" w:rsidRPr="0074345C">
              <w:t xml:space="preserve"> (CSF), </w:t>
            </w:r>
            <w:r w:rsidR="004137F8" w:rsidRPr="0074345C">
              <w:t xml:space="preserve">Nueva </w:t>
            </w:r>
            <w:r w:rsidR="00502F27" w:rsidRPr="0074345C">
              <w:t xml:space="preserve">York, </w:t>
            </w:r>
            <w:r w:rsidR="004137F8" w:rsidRPr="0074345C">
              <w:t>EE.UU.</w:t>
            </w:r>
            <w:r w:rsidR="00222954" w:rsidRPr="0074345C">
              <w:t xml:space="preserve">, </w:t>
            </w:r>
            <w:r w:rsidR="008478D6" w:rsidRPr="0074345C">
              <w:t>para su integración en la plataforma interactiva. E</w:t>
            </w:r>
            <w:r w:rsidR="004137F8" w:rsidRPr="0074345C">
              <w:t xml:space="preserve">l borrador final del estudio se recibió </w:t>
            </w:r>
            <w:r w:rsidR="008478D6" w:rsidRPr="0074345C">
              <w:t xml:space="preserve">a mediados de </w:t>
            </w:r>
            <w:r w:rsidRPr="0074345C">
              <w:t>septiembre de</w:t>
            </w:r>
            <w:r w:rsidR="00502F27" w:rsidRPr="0074345C">
              <w:t xml:space="preserve"> 2014 </w:t>
            </w:r>
            <w:r w:rsidR="004137F8" w:rsidRPr="0074345C">
              <w:t xml:space="preserve">y se pondrá a disposición </w:t>
            </w:r>
            <w:r w:rsidR="00222954" w:rsidRPr="0074345C">
              <w:t xml:space="preserve">del CDIP, </w:t>
            </w:r>
            <w:r w:rsidR="004137F8" w:rsidRPr="0074345C">
              <w:t xml:space="preserve">durante </w:t>
            </w:r>
            <w:r w:rsidR="00222954" w:rsidRPr="0074345C">
              <w:t>su</w:t>
            </w:r>
            <w:r w:rsidR="008478D6" w:rsidRPr="0074345C">
              <w:t xml:space="preserve"> </w:t>
            </w:r>
            <w:r w:rsidR="00FA5186" w:rsidRPr="0074345C">
              <w:t>decimocuarta</w:t>
            </w:r>
            <w:r w:rsidR="008478D6" w:rsidRPr="0074345C">
              <w:t xml:space="preserve"> sesión</w:t>
            </w:r>
            <w:r w:rsidR="00502F27" w:rsidRPr="0074345C">
              <w:t xml:space="preserve">.  </w:t>
            </w:r>
          </w:p>
          <w:p w:rsidR="003260F8" w:rsidRPr="0074345C" w:rsidRDefault="003260F8" w:rsidP="00E00028">
            <w:pPr>
              <w:spacing w:before="60" w:after="60"/>
            </w:pPr>
          </w:p>
          <w:p w:rsidR="003260F8" w:rsidRPr="0074345C" w:rsidRDefault="00193CE1" w:rsidP="00E00028">
            <w:r w:rsidRPr="0074345C">
              <w:t xml:space="preserve">El estudio reseña algunos casos de intercambio de </w:t>
            </w:r>
            <w:r w:rsidR="00446C66" w:rsidRPr="0074345C">
              <w:t>conocimientos</w:t>
            </w:r>
            <w:r w:rsidRPr="0074345C">
              <w:t xml:space="preserve"> a </w:t>
            </w:r>
            <w:r w:rsidR="00446C66" w:rsidRPr="0074345C">
              <w:t>escala</w:t>
            </w:r>
            <w:r w:rsidRPr="0074345C">
              <w:t xml:space="preserve"> mundial </w:t>
            </w:r>
            <w:r w:rsidR="00EE168B" w:rsidRPr="0074345C">
              <w:t xml:space="preserve">e incluye un </w:t>
            </w:r>
            <w:r w:rsidR="00446C66" w:rsidRPr="0074345C">
              <w:t>compendio</w:t>
            </w:r>
            <w:r w:rsidR="00EE168B" w:rsidRPr="0074345C">
              <w:t xml:space="preserve"> de </w:t>
            </w:r>
            <w:r w:rsidR="00446C66" w:rsidRPr="0074345C">
              <w:t>imágenes</w:t>
            </w:r>
            <w:r w:rsidR="00EE168B" w:rsidRPr="0074345C">
              <w:t xml:space="preserve">, mapas, infografía de alta calidad, estudios de caso y entrevistas sobre los medios tradicionales de </w:t>
            </w:r>
            <w:r w:rsidR="00222954" w:rsidRPr="0074345C">
              <w:t>flujos</w:t>
            </w:r>
            <w:r w:rsidR="00EE168B" w:rsidRPr="0074345C">
              <w:t xml:space="preserve"> de conocimientos como la concesión de licencias (de</w:t>
            </w:r>
            <w:r w:rsidR="00502F27" w:rsidRPr="0074345C">
              <w:t xml:space="preserve"> </w:t>
            </w:r>
            <w:r w:rsidR="00EE168B" w:rsidRPr="0074345C">
              <w:t>patentes</w:t>
            </w:r>
            <w:r w:rsidR="00502F27" w:rsidRPr="0074345C">
              <w:t xml:space="preserve">, </w:t>
            </w:r>
            <w:r w:rsidRPr="0074345C">
              <w:t>marcas</w:t>
            </w:r>
            <w:r w:rsidR="00502F27" w:rsidRPr="0074345C">
              <w:t xml:space="preserve">, </w:t>
            </w:r>
            <w:r w:rsidRPr="0074345C">
              <w:t>derecho de autor</w:t>
            </w:r>
            <w:r w:rsidR="00502F27" w:rsidRPr="0074345C">
              <w:t xml:space="preserve">, </w:t>
            </w:r>
            <w:r w:rsidRPr="0074345C">
              <w:t xml:space="preserve">secretos </w:t>
            </w:r>
            <w:r w:rsidRPr="0074345C">
              <w:lastRenderedPageBreak/>
              <w:t>comerciales</w:t>
            </w:r>
            <w:r w:rsidR="00502F27" w:rsidRPr="0074345C">
              <w:t xml:space="preserve">), </w:t>
            </w:r>
            <w:r w:rsidR="00EE168B" w:rsidRPr="0074345C">
              <w:t xml:space="preserve">empresas mixtas, contratos de colaboración de I+D, </w:t>
            </w:r>
            <w:r w:rsidR="00502F27" w:rsidRPr="0074345C">
              <w:t>fran</w:t>
            </w:r>
            <w:r w:rsidR="00EE168B" w:rsidRPr="0074345C">
              <w:t>quicias</w:t>
            </w:r>
            <w:r w:rsidR="00502F27" w:rsidRPr="0074345C">
              <w:t xml:space="preserve">, </w:t>
            </w:r>
            <w:r w:rsidR="00EE168B" w:rsidRPr="0074345C">
              <w:t>solución de litigios</w:t>
            </w:r>
            <w:r w:rsidR="00502F27" w:rsidRPr="0074345C">
              <w:t xml:space="preserve">, </w:t>
            </w:r>
            <w:r w:rsidR="00EE168B" w:rsidRPr="0074345C">
              <w:t>consorcios de patentes</w:t>
            </w:r>
            <w:r w:rsidR="00502F27" w:rsidRPr="0074345C">
              <w:t>;</w:t>
            </w:r>
            <w:r w:rsidR="00EE168B" w:rsidRPr="0074345C">
              <w:t xml:space="preserve"> </w:t>
            </w:r>
            <w:r w:rsidR="00D57A2B" w:rsidRPr="0074345C">
              <w:t>así</w:t>
            </w:r>
            <w:r w:rsidR="00EE168B" w:rsidRPr="0074345C">
              <w:t xml:space="preserve"> como modalidades de transferencia del conocimiento mediante Internet como la “innovación social colaborativa” (</w:t>
            </w:r>
            <w:proofErr w:type="spellStart"/>
            <w:r w:rsidR="00EE168B" w:rsidRPr="0074345C">
              <w:t>crowdsourcing</w:t>
            </w:r>
            <w:proofErr w:type="spellEnd"/>
            <w:r w:rsidR="00EE168B" w:rsidRPr="0074345C">
              <w:t xml:space="preserve">), premios para incentivar la innovación, </w:t>
            </w:r>
            <w:r w:rsidRPr="0074345C">
              <w:t xml:space="preserve">proyectos </w:t>
            </w:r>
            <w:r w:rsidR="00EE168B" w:rsidRPr="0074345C">
              <w:t>de colaboración abierta y</w:t>
            </w:r>
            <w:r w:rsidR="00446C66" w:rsidRPr="0074345C">
              <w:t xml:space="preserve"> los recursos educativos abiertos</w:t>
            </w:r>
            <w:r w:rsidR="00502F27" w:rsidRPr="0074345C">
              <w:t xml:space="preserve">. </w:t>
            </w:r>
          </w:p>
          <w:p w:rsidR="003260F8" w:rsidRPr="0074345C" w:rsidRDefault="003260F8" w:rsidP="00E00028"/>
          <w:p w:rsidR="003260F8" w:rsidRPr="0074345C" w:rsidRDefault="00446C66" w:rsidP="00E00028">
            <w:pPr>
              <w:pStyle w:val="ListParagraph"/>
              <w:ind w:left="0"/>
              <w:rPr>
                <w:lang w:val="es-ES"/>
              </w:rPr>
            </w:pPr>
            <w:r w:rsidRPr="0074345C">
              <w:rPr>
                <w:lang w:val="es-ES"/>
              </w:rPr>
              <w:t xml:space="preserve">El estudio podría proporcionar temas de reflexión para </w:t>
            </w:r>
            <w:r w:rsidR="00222954" w:rsidRPr="0074345C">
              <w:rPr>
                <w:lang w:val="es-ES"/>
              </w:rPr>
              <w:t xml:space="preserve">los </w:t>
            </w:r>
            <w:r w:rsidRPr="0074345C">
              <w:rPr>
                <w:lang w:val="es-ES"/>
              </w:rPr>
              <w:t xml:space="preserve">seminarios que la OMPI podría organizar en el futuro sobre la colaboración abierta, que podría ser uno de los resultados del </w:t>
            </w:r>
            <w:r w:rsidR="00222954" w:rsidRPr="0074345C">
              <w:rPr>
                <w:lang w:val="es-ES"/>
              </w:rPr>
              <w:t>p</w:t>
            </w:r>
            <w:r w:rsidRPr="0074345C">
              <w:rPr>
                <w:lang w:val="es-ES"/>
              </w:rPr>
              <w:t>royecto que se podrían incorporar en los programas de la OMPI</w:t>
            </w:r>
            <w:r w:rsidR="00502F27" w:rsidRPr="0074345C">
              <w:rPr>
                <w:lang w:val="es-ES"/>
              </w:rPr>
              <w:t xml:space="preserve">. </w:t>
            </w:r>
          </w:p>
          <w:p w:rsidR="003260F8" w:rsidRPr="0074345C" w:rsidRDefault="003260F8" w:rsidP="00E00028"/>
          <w:p w:rsidR="00502F27" w:rsidRPr="0074345C" w:rsidRDefault="003260F8" w:rsidP="00094CFE">
            <w:pPr>
              <w:spacing w:before="60" w:after="60"/>
            </w:pPr>
            <w:r w:rsidRPr="0074345C">
              <w:rPr>
                <w:u w:val="single"/>
              </w:rPr>
              <w:t>Actividad 6</w:t>
            </w:r>
            <w:r w:rsidRPr="0074345C">
              <w:t xml:space="preserve">.  </w:t>
            </w:r>
            <w:r w:rsidR="00107936" w:rsidRPr="0074345C">
              <w:t xml:space="preserve">La </w:t>
            </w:r>
            <w:r w:rsidRPr="0074345C">
              <w:t xml:space="preserve">integración de los resultados de las actividades descritas </w:t>
            </w:r>
            <w:r w:rsidRPr="0074345C">
              <w:rPr>
                <w:i/>
              </w:rPr>
              <w:t>supra</w:t>
            </w:r>
            <w:r w:rsidRPr="0074345C">
              <w:t xml:space="preserve"> en </w:t>
            </w:r>
            <w:r w:rsidR="00107936" w:rsidRPr="0074345C">
              <w:t>l</w:t>
            </w:r>
            <w:r w:rsidRPr="0074345C">
              <w:t xml:space="preserve">os </w:t>
            </w:r>
            <w:r w:rsidR="00AC0CD4" w:rsidRPr="0074345C">
              <w:t>Programas</w:t>
            </w:r>
            <w:r w:rsidRPr="0074345C">
              <w:t xml:space="preserve"> de la OMPI solo puede empezar después de </w:t>
            </w:r>
            <w:r w:rsidR="00094CFE" w:rsidRPr="0074345C">
              <w:t>la finalización y la inauguración de la</w:t>
            </w:r>
            <w:r w:rsidRPr="0074345C">
              <w:t xml:space="preserve"> plataforma interactiva, y (como se acordó) solo comenzará después de su examen por el CDIP.</w:t>
            </w:r>
          </w:p>
          <w:p w:rsidR="00094CFE" w:rsidRPr="0074345C" w:rsidRDefault="00094CFE" w:rsidP="00094CFE">
            <w:pPr>
              <w:spacing w:before="60" w:after="60"/>
            </w:pPr>
          </w:p>
        </w:tc>
      </w:tr>
      <w:tr w:rsidR="006376E7" w:rsidRPr="0074345C" w:rsidTr="00E00028">
        <w:tc>
          <w:tcPr>
            <w:tcW w:w="2376" w:type="dxa"/>
            <w:shd w:val="clear" w:color="auto" w:fill="auto"/>
          </w:tcPr>
          <w:p w:rsidR="00502F27" w:rsidRPr="0074345C" w:rsidRDefault="003260F8" w:rsidP="003260F8">
            <w:pPr>
              <w:pStyle w:val="Heading3"/>
              <w:keepNext w:val="0"/>
              <w:spacing w:before="0" w:after="0"/>
            </w:pPr>
            <w:r w:rsidRPr="0074345C">
              <w:lastRenderedPageBreak/>
              <w:t>Ejemplos de logros y efectos y enseñanzas extraídas</w:t>
            </w:r>
          </w:p>
        </w:tc>
        <w:tc>
          <w:tcPr>
            <w:tcW w:w="6912" w:type="dxa"/>
            <w:vAlign w:val="center"/>
          </w:tcPr>
          <w:p w:rsidR="003260F8" w:rsidRPr="0074345C" w:rsidRDefault="00222954" w:rsidP="00E00028">
            <w:pPr>
              <w:rPr>
                <w:iCs/>
              </w:rPr>
            </w:pPr>
            <w:r w:rsidRPr="0074345C">
              <w:rPr>
                <w:iCs/>
              </w:rPr>
              <w:t xml:space="preserve">Se recibieron numerosas observaciones de los Estados Miembros acerca del </w:t>
            </w:r>
            <w:r w:rsidR="00A4402C" w:rsidRPr="0074345C">
              <w:rPr>
                <w:iCs/>
              </w:rPr>
              <w:t>E</w:t>
            </w:r>
            <w:r w:rsidR="00446C66" w:rsidRPr="0074345C">
              <w:rPr>
                <w:i/>
                <w:iCs/>
              </w:rPr>
              <w:t>studio taxonómico-analítico de los proyectos de colaboración abierta y los modelos de P.I.</w:t>
            </w:r>
            <w:r w:rsidR="00502F27" w:rsidRPr="0074345C">
              <w:rPr>
                <w:iCs/>
              </w:rPr>
              <w:t xml:space="preserve">, </w:t>
            </w:r>
            <w:r w:rsidR="00446C66" w:rsidRPr="0074345C">
              <w:rPr>
                <w:iCs/>
              </w:rPr>
              <w:t xml:space="preserve">que se incorporaron en la versión final del estudio. Las reuniones de composición abierta despertaron mucho interés entre los </w:t>
            </w:r>
            <w:r w:rsidR="00193CE1" w:rsidRPr="0074345C">
              <w:rPr>
                <w:iCs/>
              </w:rPr>
              <w:t>Estados Miembros</w:t>
            </w:r>
            <w:r w:rsidR="00502F27" w:rsidRPr="0074345C">
              <w:rPr>
                <w:iCs/>
              </w:rPr>
              <w:t>.</w:t>
            </w:r>
          </w:p>
          <w:p w:rsidR="003260F8" w:rsidRPr="0074345C" w:rsidRDefault="003260F8" w:rsidP="00E00028">
            <w:pPr>
              <w:rPr>
                <w:iCs/>
              </w:rPr>
            </w:pPr>
          </w:p>
          <w:p w:rsidR="003260F8" w:rsidRPr="0074345C" w:rsidRDefault="00A4402C" w:rsidP="00E00028">
            <w:pPr>
              <w:rPr>
                <w:iCs/>
              </w:rPr>
            </w:pPr>
            <w:r w:rsidRPr="0074345C">
              <w:rPr>
                <w:iCs/>
              </w:rPr>
              <w:t>Unos 200 participantes locales e internacionales asistieron a</w:t>
            </w:r>
            <w:r w:rsidR="00446C66" w:rsidRPr="0074345C">
              <w:rPr>
                <w:iCs/>
              </w:rPr>
              <w:t xml:space="preserve"> la </w:t>
            </w:r>
            <w:r w:rsidR="00446C66" w:rsidRPr="0074345C">
              <w:rPr>
                <w:i/>
              </w:rPr>
              <w:t>Conferencia de la OMPI sobre la innovación compartida: Proyectos de colaboración y futuro del conocimiento</w:t>
            </w:r>
            <w:r w:rsidR="00502F27" w:rsidRPr="0074345C">
              <w:rPr>
                <w:i/>
                <w:iCs/>
              </w:rPr>
              <w:t xml:space="preserve">, </w:t>
            </w:r>
            <w:r w:rsidR="00446C66" w:rsidRPr="0074345C">
              <w:rPr>
                <w:iCs/>
              </w:rPr>
              <w:t xml:space="preserve">celebrada los días 22 y 23 de </w:t>
            </w:r>
            <w:r w:rsidR="003431FC" w:rsidRPr="0074345C">
              <w:rPr>
                <w:iCs/>
              </w:rPr>
              <w:t>enero</w:t>
            </w:r>
            <w:r w:rsidR="00446C66" w:rsidRPr="0074345C">
              <w:rPr>
                <w:iCs/>
              </w:rPr>
              <w:t xml:space="preserve"> de </w:t>
            </w:r>
            <w:r w:rsidRPr="0074345C">
              <w:rPr>
                <w:iCs/>
              </w:rPr>
              <w:t>2014.</w:t>
            </w:r>
            <w:r w:rsidR="00446C66" w:rsidRPr="0074345C">
              <w:rPr>
                <w:iCs/>
              </w:rPr>
              <w:t xml:space="preserve"> </w:t>
            </w:r>
            <w:r w:rsidR="003431FC" w:rsidRPr="0074345C">
              <w:rPr>
                <w:iCs/>
              </w:rPr>
              <w:t xml:space="preserve">Se recibieron comentarios muy </w:t>
            </w:r>
            <w:r w:rsidR="008478D6" w:rsidRPr="0074345C">
              <w:rPr>
                <w:iCs/>
              </w:rPr>
              <w:t>positivo</w:t>
            </w:r>
            <w:r w:rsidR="003431FC" w:rsidRPr="0074345C">
              <w:rPr>
                <w:iCs/>
              </w:rPr>
              <w:t>s de los asistentes</w:t>
            </w:r>
            <w:r w:rsidR="008478D6" w:rsidRPr="0074345C">
              <w:rPr>
                <w:iCs/>
              </w:rPr>
              <w:t xml:space="preserve">, </w:t>
            </w:r>
            <w:r w:rsidR="003431FC" w:rsidRPr="0074345C">
              <w:rPr>
                <w:iCs/>
              </w:rPr>
              <w:t>la prensa y los medios de comunicación locales</w:t>
            </w:r>
            <w:r w:rsidR="00502F27" w:rsidRPr="0074345C">
              <w:rPr>
                <w:iCs/>
              </w:rPr>
              <w:t xml:space="preserve">. </w:t>
            </w:r>
            <w:r w:rsidR="003431FC" w:rsidRPr="0074345C">
              <w:rPr>
                <w:iCs/>
              </w:rPr>
              <w:t>Véase la cobertura del evento por la prensa en</w:t>
            </w:r>
            <w:r w:rsidR="00502F27" w:rsidRPr="0074345C">
              <w:rPr>
                <w:iCs/>
              </w:rPr>
              <w:t>:</w:t>
            </w:r>
          </w:p>
          <w:p w:rsidR="003260F8" w:rsidRPr="0074345C" w:rsidRDefault="003260F8" w:rsidP="00E00028">
            <w:pPr>
              <w:rPr>
                <w:iCs/>
              </w:rPr>
            </w:pPr>
          </w:p>
          <w:p w:rsidR="003260F8" w:rsidRPr="0074345C" w:rsidRDefault="003A2508" w:rsidP="00E00028">
            <w:pPr>
              <w:rPr>
                <w:iCs/>
              </w:rPr>
            </w:pPr>
            <w:hyperlink r:id="rId40" w:history="1">
              <w:r w:rsidR="00293A68" w:rsidRPr="0074345C">
                <w:rPr>
                  <w:rStyle w:val="Hyperlink"/>
                  <w:iCs/>
                  <w:color w:val="auto"/>
                </w:rPr>
                <w:t>http://www.wipo.int/pressroom/en/stories/collaborative_innovation.html</w:t>
              </w:r>
            </w:hyperlink>
          </w:p>
          <w:p w:rsidR="00502F27" w:rsidRPr="0074345C" w:rsidRDefault="00502F27" w:rsidP="00E00028">
            <w:pPr>
              <w:rPr>
                <w:iCs/>
              </w:rPr>
            </w:pPr>
          </w:p>
        </w:tc>
      </w:tr>
      <w:tr w:rsidR="006376E7" w:rsidRPr="0074345C" w:rsidTr="00E00028">
        <w:trPr>
          <w:trHeight w:val="902"/>
        </w:trPr>
        <w:tc>
          <w:tcPr>
            <w:tcW w:w="2376" w:type="dxa"/>
            <w:shd w:val="clear" w:color="auto" w:fill="auto"/>
          </w:tcPr>
          <w:p w:rsidR="003260F8" w:rsidRPr="0074345C" w:rsidRDefault="003260F8" w:rsidP="00E00028">
            <w:pPr>
              <w:pStyle w:val="Heading3"/>
              <w:keepNext w:val="0"/>
              <w:spacing w:before="0" w:after="0"/>
            </w:pPr>
          </w:p>
          <w:p w:rsidR="00502F27" w:rsidRPr="0074345C" w:rsidRDefault="003260F8" w:rsidP="003260F8">
            <w:pPr>
              <w:pStyle w:val="Heading3"/>
              <w:keepNext w:val="0"/>
              <w:spacing w:before="0" w:after="0"/>
            </w:pPr>
            <w:r w:rsidRPr="0074345C">
              <w:t>Riesgos y medidas paliativas</w:t>
            </w:r>
          </w:p>
        </w:tc>
        <w:tc>
          <w:tcPr>
            <w:tcW w:w="6912" w:type="dxa"/>
          </w:tcPr>
          <w:p w:rsidR="003260F8" w:rsidRPr="0074345C" w:rsidRDefault="003260F8" w:rsidP="00E00028">
            <w:pPr>
              <w:rPr>
                <w:iCs/>
              </w:rPr>
            </w:pPr>
          </w:p>
          <w:p w:rsidR="00502F27" w:rsidRPr="0074345C" w:rsidRDefault="003260F8" w:rsidP="003260F8">
            <w:pPr>
              <w:rPr>
                <w:iCs/>
              </w:rPr>
            </w:pPr>
            <w:r w:rsidRPr="0074345C">
              <w:rPr>
                <w:iCs/>
              </w:rPr>
              <w:t>Ninguna</w:t>
            </w:r>
          </w:p>
        </w:tc>
      </w:tr>
      <w:tr w:rsidR="006376E7" w:rsidRPr="0074345C" w:rsidTr="00E00028">
        <w:trPr>
          <w:trHeight w:val="901"/>
        </w:trPr>
        <w:tc>
          <w:tcPr>
            <w:tcW w:w="2376" w:type="dxa"/>
            <w:shd w:val="clear" w:color="auto" w:fill="auto"/>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Cuestiones que requieren atención inmediata</w:t>
            </w:r>
          </w:p>
          <w:p w:rsidR="00502F27" w:rsidRPr="0074345C" w:rsidRDefault="00502F27" w:rsidP="00E00028"/>
        </w:tc>
        <w:tc>
          <w:tcPr>
            <w:tcW w:w="6912" w:type="dxa"/>
          </w:tcPr>
          <w:p w:rsidR="003260F8" w:rsidRPr="0074345C" w:rsidRDefault="003260F8" w:rsidP="00E00028">
            <w:pPr>
              <w:rPr>
                <w:iCs/>
              </w:rPr>
            </w:pPr>
          </w:p>
          <w:p w:rsidR="00502F27" w:rsidRPr="0074345C" w:rsidRDefault="003260F8" w:rsidP="003260F8">
            <w:pPr>
              <w:rPr>
                <w:iCs/>
              </w:rPr>
            </w:pPr>
            <w:r w:rsidRPr="0074345C">
              <w:rPr>
                <w:iCs/>
              </w:rPr>
              <w:t>Ninguna</w:t>
            </w:r>
          </w:p>
        </w:tc>
      </w:tr>
      <w:tr w:rsidR="006376E7" w:rsidRPr="0074345C" w:rsidTr="00E00028">
        <w:trPr>
          <w:trHeight w:val="1081"/>
        </w:trPr>
        <w:tc>
          <w:tcPr>
            <w:tcW w:w="2376" w:type="dxa"/>
            <w:shd w:val="clear" w:color="auto" w:fill="auto"/>
          </w:tcPr>
          <w:p w:rsidR="003260F8" w:rsidRPr="0074345C" w:rsidRDefault="003260F8" w:rsidP="00E00028">
            <w:pPr>
              <w:pStyle w:val="Heading3"/>
              <w:keepNext w:val="0"/>
              <w:spacing w:before="0" w:after="0"/>
            </w:pPr>
          </w:p>
          <w:p w:rsidR="00502F27" w:rsidRPr="0074345C" w:rsidRDefault="003260F8" w:rsidP="003260F8">
            <w:pPr>
              <w:pStyle w:val="Heading3"/>
              <w:keepNext w:val="0"/>
              <w:spacing w:before="0" w:after="0"/>
            </w:pPr>
            <w:r w:rsidRPr="0074345C">
              <w:t>Siguientes pasos</w:t>
            </w:r>
          </w:p>
        </w:tc>
        <w:tc>
          <w:tcPr>
            <w:tcW w:w="6912" w:type="dxa"/>
          </w:tcPr>
          <w:p w:rsidR="003260F8" w:rsidRPr="0074345C" w:rsidRDefault="003260F8" w:rsidP="00E00028">
            <w:pPr>
              <w:rPr>
                <w:iCs/>
              </w:rPr>
            </w:pPr>
          </w:p>
          <w:p w:rsidR="00502F27" w:rsidRPr="0074345C" w:rsidRDefault="004137F8" w:rsidP="00A4402C">
            <w:pPr>
              <w:rPr>
                <w:iCs/>
              </w:rPr>
            </w:pPr>
            <w:r w:rsidRPr="0074345C">
              <w:rPr>
                <w:iCs/>
              </w:rPr>
              <w:t xml:space="preserve">Este </w:t>
            </w:r>
            <w:r w:rsidR="00193CE1" w:rsidRPr="0074345C">
              <w:rPr>
                <w:iCs/>
              </w:rPr>
              <w:t xml:space="preserve">proyecto </w:t>
            </w:r>
            <w:r w:rsidR="00A4402C" w:rsidRPr="0074345C">
              <w:rPr>
                <w:iCs/>
              </w:rPr>
              <w:t xml:space="preserve">se finalizará una vez que </w:t>
            </w:r>
            <w:r w:rsidRPr="0074345C">
              <w:rPr>
                <w:iCs/>
              </w:rPr>
              <w:t>se hayan incorporado todos los resultados del proyecto finalizado en el portal interactivo para el proyecto</w:t>
            </w:r>
            <w:r w:rsidR="00502F27" w:rsidRPr="0074345C">
              <w:rPr>
                <w:iCs/>
              </w:rPr>
              <w:t>.</w:t>
            </w:r>
          </w:p>
        </w:tc>
      </w:tr>
      <w:tr w:rsidR="006376E7" w:rsidRPr="0074345C" w:rsidTr="00E00028">
        <w:trPr>
          <w:trHeight w:val="530"/>
        </w:trPr>
        <w:tc>
          <w:tcPr>
            <w:tcW w:w="2376" w:type="dxa"/>
            <w:shd w:val="clear" w:color="auto" w:fill="auto"/>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Calendario de ejecución</w:t>
            </w:r>
          </w:p>
          <w:p w:rsidR="00502F27" w:rsidRPr="0074345C" w:rsidRDefault="00502F27" w:rsidP="00E00028"/>
        </w:tc>
        <w:tc>
          <w:tcPr>
            <w:tcW w:w="6912" w:type="dxa"/>
          </w:tcPr>
          <w:p w:rsidR="003260F8" w:rsidRPr="0074345C" w:rsidRDefault="003260F8" w:rsidP="00E00028">
            <w:pPr>
              <w:rPr>
                <w:iCs/>
              </w:rPr>
            </w:pPr>
          </w:p>
          <w:p w:rsidR="003260F8" w:rsidRPr="0074345C" w:rsidRDefault="004137F8" w:rsidP="00E00028">
            <w:pPr>
              <w:rPr>
                <w:rStyle w:val="Hyperlink"/>
                <w:iCs/>
                <w:color w:val="auto"/>
                <w:u w:val="none"/>
              </w:rPr>
            </w:pPr>
            <w:r w:rsidRPr="0074345C">
              <w:rPr>
                <w:iCs/>
              </w:rPr>
              <w:t xml:space="preserve">Se han ejecutado todas </w:t>
            </w:r>
            <w:r w:rsidR="003431FC" w:rsidRPr="0074345C">
              <w:rPr>
                <w:iCs/>
              </w:rPr>
              <w:t>las</w:t>
            </w:r>
            <w:r w:rsidRPr="0074345C">
              <w:rPr>
                <w:iCs/>
              </w:rPr>
              <w:t xml:space="preserve"> fas</w:t>
            </w:r>
            <w:r w:rsidR="00193CE1" w:rsidRPr="0074345C">
              <w:rPr>
                <w:iCs/>
              </w:rPr>
              <w:t>es del proyecto con arreglo al n</w:t>
            </w:r>
            <w:r w:rsidRPr="0074345C">
              <w:rPr>
                <w:iCs/>
              </w:rPr>
              <w:t xml:space="preserve">uevo calendario aprobado por el </w:t>
            </w:r>
            <w:r w:rsidR="009E13C2" w:rsidRPr="0074345C">
              <w:rPr>
                <w:iCs/>
              </w:rPr>
              <w:t>CDIP</w:t>
            </w:r>
            <w:r w:rsidR="00502F27" w:rsidRPr="0074345C">
              <w:rPr>
                <w:iCs/>
              </w:rPr>
              <w:t xml:space="preserve"> </w:t>
            </w:r>
            <w:r w:rsidR="00193CE1" w:rsidRPr="0074345C">
              <w:rPr>
                <w:iCs/>
              </w:rPr>
              <w:t xml:space="preserve">en su décimo segunda </w:t>
            </w:r>
            <w:r w:rsidR="003431FC" w:rsidRPr="0074345C">
              <w:rPr>
                <w:iCs/>
              </w:rPr>
              <w:t>sesión (documento</w:t>
            </w:r>
            <w:r w:rsidR="00502F27" w:rsidRPr="0074345C">
              <w:rPr>
                <w:iCs/>
              </w:rPr>
              <w:t xml:space="preserve"> </w:t>
            </w:r>
            <w:hyperlink r:id="rId41" w:history="1">
              <w:r w:rsidR="00502F27" w:rsidRPr="0074345C">
                <w:rPr>
                  <w:rStyle w:val="Hyperlink"/>
                  <w:iCs/>
                  <w:color w:val="auto"/>
                </w:rPr>
                <w:t xml:space="preserve">CDIP/12/2, </w:t>
              </w:r>
              <w:r w:rsidR="009E13C2" w:rsidRPr="0074345C">
                <w:rPr>
                  <w:rStyle w:val="Hyperlink"/>
                  <w:iCs/>
                  <w:color w:val="auto"/>
                </w:rPr>
                <w:t xml:space="preserve">Anexo </w:t>
              </w:r>
              <w:r w:rsidR="00502F27" w:rsidRPr="0074345C">
                <w:rPr>
                  <w:rStyle w:val="Hyperlink"/>
                  <w:iCs/>
                  <w:color w:val="auto"/>
                </w:rPr>
                <w:t xml:space="preserve"> VII</w:t>
              </w:r>
            </w:hyperlink>
            <w:r w:rsidR="00502F27" w:rsidRPr="0074345C">
              <w:rPr>
                <w:rStyle w:val="Hyperlink"/>
                <w:iCs/>
                <w:color w:val="auto"/>
                <w:u w:val="none"/>
              </w:rPr>
              <w:t xml:space="preserve">).  </w:t>
            </w:r>
            <w:r w:rsidR="003431FC" w:rsidRPr="0074345C">
              <w:rPr>
                <w:rStyle w:val="Hyperlink"/>
                <w:iCs/>
                <w:color w:val="auto"/>
                <w:u w:val="none"/>
              </w:rPr>
              <w:t>El Director del Proyecto está incorporando los resultados del proyecto en el p</w:t>
            </w:r>
            <w:r w:rsidR="00193CE1" w:rsidRPr="0074345C">
              <w:rPr>
                <w:rStyle w:val="Hyperlink"/>
                <w:iCs/>
                <w:color w:val="auto"/>
                <w:u w:val="none"/>
              </w:rPr>
              <w:t>ortal interactivo</w:t>
            </w:r>
            <w:r w:rsidR="003431FC" w:rsidRPr="0074345C">
              <w:rPr>
                <w:rStyle w:val="Hyperlink"/>
                <w:iCs/>
                <w:color w:val="auto"/>
                <w:u w:val="none"/>
              </w:rPr>
              <w:t>; esa labor no tendrá ninguna incidencia financiera</w:t>
            </w:r>
            <w:r w:rsidR="00502F27" w:rsidRPr="0074345C">
              <w:rPr>
                <w:rStyle w:val="Hyperlink"/>
                <w:iCs/>
                <w:color w:val="auto"/>
                <w:u w:val="none"/>
              </w:rPr>
              <w:t xml:space="preserve">.  </w:t>
            </w:r>
          </w:p>
          <w:p w:rsidR="00502F27" w:rsidRPr="0074345C" w:rsidRDefault="00502F27" w:rsidP="00E00028">
            <w:pPr>
              <w:rPr>
                <w:iCs/>
              </w:rPr>
            </w:pPr>
          </w:p>
        </w:tc>
      </w:tr>
      <w:tr w:rsidR="006376E7" w:rsidRPr="0074345C" w:rsidTr="00E00028">
        <w:trPr>
          <w:trHeight w:val="848"/>
        </w:trPr>
        <w:tc>
          <w:tcPr>
            <w:tcW w:w="2376" w:type="dxa"/>
            <w:shd w:val="clear" w:color="auto" w:fill="auto"/>
          </w:tcPr>
          <w:p w:rsidR="003260F8" w:rsidRPr="0074345C" w:rsidRDefault="003260F8" w:rsidP="00E00028">
            <w:pPr>
              <w:pStyle w:val="Heading3"/>
              <w:keepNext w:val="0"/>
              <w:spacing w:before="0" w:after="0"/>
            </w:pPr>
          </w:p>
          <w:p w:rsidR="003260F8" w:rsidRPr="0074345C" w:rsidRDefault="003260F8" w:rsidP="003260F8">
            <w:pPr>
              <w:pStyle w:val="Heading3"/>
              <w:keepNext w:val="0"/>
              <w:spacing w:before="0" w:after="0"/>
            </w:pPr>
            <w:r w:rsidRPr="0074345C">
              <w:t>Porcentaje de ejecución del proyecto</w:t>
            </w:r>
            <w:r w:rsidR="00502F27" w:rsidRPr="0074345C">
              <w:t xml:space="preserve"> </w:t>
            </w:r>
          </w:p>
          <w:p w:rsidR="00502F27" w:rsidRPr="0074345C" w:rsidRDefault="00502F27" w:rsidP="00E00028"/>
        </w:tc>
        <w:tc>
          <w:tcPr>
            <w:tcW w:w="6912" w:type="dxa"/>
          </w:tcPr>
          <w:p w:rsidR="003260F8" w:rsidRPr="0074345C" w:rsidRDefault="003260F8" w:rsidP="00E00028">
            <w:pPr>
              <w:rPr>
                <w:rFonts w:eastAsia="Times New Roman"/>
                <w:lang w:eastAsia="en-US"/>
              </w:rPr>
            </w:pPr>
          </w:p>
          <w:p w:rsidR="00502F27" w:rsidRPr="0074345C" w:rsidRDefault="003260F8" w:rsidP="003260F8">
            <w:pPr>
              <w:rPr>
                <w:iCs/>
              </w:rPr>
            </w:pPr>
            <w:r w:rsidRPr="0074345C">
              <w:rPr>
                <w:iCs/>
              </w:rPr>
              <w:t>Porcentaje de utilización del presupuesto a finales de agosto de 2014</w:t>
            </w:r>
            <w:proofErr w:type="gramStart"/>
            <w:r w:rsidRPr="0074345C">
              <w:rPr>
                <w:iCs/>
              </w:rPr>
              <w:t>:  27</w:t>
            </w:r>
            <w:proofErr w:type="gramEnd"/>
            <w:r w:rsidRPr="0074345C">
              <w:rPr>
                <w:iCs/>
              </w:rPr>
              <w:t>%.</w:t>
            </w:r>
          </w:p>
        </w:tc>
      </w:tr>
      <w:tr w:rsidR="006376E7" w:rsidRPr="0074345C" w:rsidTr="00E00028">
        <w:trPr>
          <w:trHeight w:val="848"/>
        </w:trPr>
        <w:tc>
          <w:tcPr>
            <w:tcW w:w="2376" w:type="dxa"/>
            <w:shd w:val="clear" w:color="auto" w:fill="auto"/>
          </w:tcPr>
          <w:p w:rsidR="003260F8" w:rsidRPr="0074345C" w:rsidRDefault="003260F8" w:rsidP="00E00028">
            <w:pPr>
              <w:pStyle w:val="Heading3"/>
              <w:keepNext w:val="0"/>
              <w:spacing w:before="0" w:after="0"/>
            </w:pPr>
          </w:p>
          <w:p w:rsidR="00502F27" w:rsidRPr="0074345C" w:rsidRDefault="003260F8" w:rsidP="003260F8">
            <w:pPr>
              <w:pStyle w:val="Heading3"/>
              <w:keepNext w:val="0"/>
              <w:spacing w:before="0" w:after="0"/>
            </w:pPr>
            <w:r w:rsidRPr="0074345C">
              <w:t>Informes previos</w:t>
            </w:r>
          </w:p>
        </w:tc>
        <w:tc>
          <w:tcPr>
            <w:tcW w:w="6912" w:type="dxa"/>
          </w:tcPr>
          <w:p w:rsidR="003260F8" w:rsidRPr="0074345C" w:rsidRDefault="003260F8" w:rsidP="00E00028">
            <w:pPr>
              <w:rPr>
                <w:iCs/>
              </w:rPr>
            </w:pPr>
          </w:p>
          <w:p w:rsidR="003260F8" w:rsidRPr="0074345C" w:rsidRDefault="003260F8" w:rsidP="003260F8">
            <w:pPr>
              <w:rPr>
                <w:iCs/>
              </w:rPr>
            </w:pPr>
            <w:r w:rsidRPr="0074345C">
              <w:rPr>
                <w:iCs/>
              </w:rPr>
              <w:t xml:space="preserve">El primer informe sobre la marcha del proyecto, contenido en el documento </w:t>
            </w:r>
            <w:hyperlink r:id="rId42" w:history="1">
              <w:r w:rsidR="00FA1113" w:rsidRPr="0074345C">
                <w:rPr>
                  <w:rStyle w:val="Hyperlink"/>
                  <w:iCs/>
                  <w:color w:val="auto"/>
                </w:rPr>
                <w:t>CDIP/8/2</w:t>
              </w:r>
            </w:hyperlink>
            <w:r w:rsidRPr="0074345C">
              <w:rPr>
                <w:iCs/>
              </w:rPr>
              <w:t>, Anexo  XVIII, se presentó en la octava sesión del CDIP, celebrada en noviembre de 2011.</w:t>
            </w:r>
            <w:r w:rsidR="00502F27" w:rsidRPr="0074345C">
              <w:rPr>
                <w:iCs/>
              </w:rPr>
              <w:t xml:space="preserve">  </w:t>
            </w:r>
            <w:r w:rsidRPr="0074345C">
              <w:rPr>
                <w:iCs/>
              </w:rPr>
              <w:t xml:space="preserve">El segundo informe, contenido en el documento </w:t>
            </w:r>
            <w:hyperlink r:id="rId43" w:history="1">
              <w:r w:rsidR="00FA1113" w:rsidRPr="0074345C">
                <w:rPr>
                  <w:rStyle w:val="Hyperlink"/>
                  <w:iCs/>
                  <w:color w:val="auto"/>
                </w:rPr>
                <w:t>CDIP/10/2</w:t>
              </w:r>
            </w:hyperlink>
            <w:r w:rsidRPr="0074345C">
              <w:rPr>
                <w:iCs/>
              </w:rPr>
              <w:t>, Anexo IX, se presentó en la décima sesión del CDIP de noviembre de 2012.</w:t>
            </w:r>
            <w:r w:rsidR="00502F27" w:rsidRPr="0074345C">
              <w:rPr>
                <w:iCs/>
              </w:rPr>
              <w:t xml:space="preserve">  </w:t>
            </w:r>
            <w:r w:rsidRPr="0074345C">
              <w:rPr>
                <w:iCs/>
              </w:rPr>
              <w:t xml:space="preserve">El </w:t>
            </w:r>
            <w:r w:rsidR="00094CFE" w:rsidRPr="0074345C">
              <w:rPr>
                <w:iCs/>
              </w:rPr>
              <w:t>tercer</w:t>
            </w:r>
            <w:r w:rsidRPr="0074345C">
              <w:rPr>
                <w:iCs/>
              </w:rPr>
              <w:t xml:space="preserve"> informe, contenido en el documento </w:t>
            </w:r>
            <w:hyperlink r:id="rId44" w:history="1">
              <w:r w:rsidR="00FA1113" w:rsidRPr="0074345C">
                <w:rPr>
                  <w:rStyle w:val="Hyperlink"/>
                  <w:iCs/>
                  <w:color w:val="auto"/>
                </w:rPr>
                <w:t>CDIP/12/2</w:t>
              </w:r>
            </w:hyperlink>
            <w:r w:rsidRPr="0074345C">
              <w:rPr>
                <w:iCs/>
              </w:rPr>
              <w:t xml:space="preserve">, </w:t>
            </w:r>
            <w:r w:rsidR="00094CFE" w:rsidRPr="0074345C">
              <w:rPr>
                <w:iCs/>
              </w:rPr>
              <w:t>fue presentado en la 12ª</w:t>
            </w:r>
            <w:r w:rsidRPr="0074345C">
              <w:rPr>
                <w:iCs/>
              </w:rPr>
              <w:t xml:space="preserve"> sesión del CDIP </w:t>
            </w:r>
            <w:r w:rsidR="00094CFE" w:rsidRPr="0074345C">
              <w:rPr>
                <w:iCs/>
              </w:rPr>
              <w:t>en</w:t>
            </w:r>
            <w:r w:rsidRPr="0074345C">
              <w:rPr>
                <w:iCs/>
              </w:rPr>
              <w:t xml:space="preserve"> noviembre de 201</w:t>
            </w:r>
            <w:r w:rsidR="00094CFE" w:rsidRPr="0074345C">
              <w:rPr>
                <w:iCs/>
              </w:rPr>
              <w:t>3</w:t>
            </w:r>
            <w:r w:rsidRPr="0074345C">
              <w:rPr>
                <w:iCs/>
              </w:rPr>
              <w:t>.</w:t>
            </w:r>
          </w:p>
          <w:p w:rsidR="00502F27" w:rsidRPr="0074345C" w:rsidRDefault="00502F27" w:rsidP="00E00028">
            <w:pPr>
              <w:rPr>
                <w:iCs/>
              </w:rPr>
            </w:pPr>
          </w:p>
        </w:tc>
      </w:tr>
    </w:tbl>
    <w:p w:rsidR="00502F27" w:rsidRPr="0074345C" w:rsidRDefault="00502F27" w:rsidP="00502F27">
      <w:pPr>
        <w:tabs>
          <w:tab w:val="left" w:pos="0"/>
        </w:tabs>
        <w:ind w:left="-142"/>
        <w:rPr>
          <w:rFonts w:eastAsia="Times New Roman"/>
          <w:lang w:eastAsia="en-US"/>
        </w:rPr>
      </w:pPr>
      <w:r w:rsidRPr="0074345C">
        <w:rPr>
          <w:rFonts w:eastAsia="Times New Roman"/>
          <w:szCs w:val="22"/>
          <w:lang w:eastAsia="en-US"/>
        </w:rPr>
        <w:br w:type="page"/>
      </w:r>
    </w:p>
    <w:tbl>
      <w:tblPr>
        <w:tblW w:w="9287" w:type="dxa"/>
        <w:tblLayout w:type="fixed"/>
        <w:tblLook w:val="01E0" w:firstRow="1" w:lastRow="1" w:firstColumn="1" w:lastColumn="1" w:noHBand="0" w:noVBand="0"/>
      </w:tblPr>
      <w:tblGrid>
        <w:gridCol w:w="9287"/>
      </w:tblGrid>
      <w:tr w:rsidR="006376E7" w:rsidRPr="0074345C" w:rsidTr="00E00028">
        <w:trPr>
          <w:trHeight w:val="494"/>
        </w:trPr>
        <w:tc>
          <w:tcPr>
            <w:tcW w:w="9287" w:type="dxa"/>
            <w:vAlign w:val="center"/>
          </w:tcPr>
          <w:p w:rsidR="00502F27" w:rsidRPr="0074345C" w:rsidRDefault="00502F27" w:rsidP="003260F8">
            <w:pPr>
              <w:ind w:left="-142"/>
              <w:rPr>
                <w:rFonts w:eastAsia="Times New Roman"/>
                <w:lang w:eastAsia="en-US"/>
              </w:rPr>
            </w:pPr>
            <w:r w:rsidRPr="0074345C">
              <w:rPr>
                <w:rFonts w:eastAsia="Times New Roman"/>
                <w:lang w:eastAsia="en-US"/>
              </w:rPr>
              <w:lastRenderedPageBreak/>
              <w:br w:type="page"/>
            </w:r>
            <w:r w:rsidRPr="0074345C">
              <w:rPr>
                <w:rFonts w:eastAsia="Times New Roman"/>
                <w:lang w:eastAsia="en-US"/>
              </w:rPr>
              <w:br w:type="page"/>
            </w:r>
            <w:r w:rsidRPr="0074345C">
              <w:rPr>
                <w:rFonts w:eastAsia="Times New Roman"/>
                <w:lang w:eastAsia="en-US"/>
              </w:rPr>
              <w:br w:type="page"/>
            </w:r>
            <w:r w:rsidRPr="0074345C">
              <w:rPr>
                <w:rFonts w:eastAsia="Times New Roman"/>
                <w:lang w:eastAsia="en-US"/>
              </w:rPr>
              <w:br w:type="page"/>
            </w:r>
            <w:r w:rsidR="003260F8" w:rsidRPr="0074345C">
              <w:rPr>
                <w:rFonts w:eastAsia="Times New Roman"/>
                <w:lang w:eastAsia="en-US"/>
              </w:rPr>
              <w:t>EVALUACIÓN INTERNA DEL PROYECTO</w:t>
            </w:r>
          </w:p>
        </w:tc>
      </w:tr>
    </w:tbl>
    <w:p w:rsidR="003260F8" w:rsidRPr="0074345C" w:rsidRDefault="003260F8" w:rsidP="003260F8">
      <w:pPr>
        <w:ind w:left="-142"/>
        <w:rPr>
          <w:rFonts w:eastAsia="Times New Roman"/>
          <w:lang w:eastAsia="en-US"/>
        </w:rPr>
      </w:pPr>
      <w:r w:rsidRPr="0074345C">
        <w:rPr>
          <w:rFonts w:eastAsia="Times New Roman"/>
          <w:lang w:eastAsia="en-US"/>
        </w:rPr>
        <w:t>Clave de los colores</w:t>
      </w:r>
    </w:p>
    <w:p w:rsidR="00502F27" w:rsidRPr="0074345C" w:rsidRDefault="00502F27" w:rsidP="00502F27">
      <w:pPr>
        <w:ind w:left="-142"/>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tcPr>
          <w:p w:rsidR="003260F8" w:rsidRPr="0074345C" w:rsidRDefault="003260F8" w:rsidP="00E00028">
            <w:pPr>
              <w:rPr>
                <w:rFonts w:eastAsia="Times New Roman"/>
                <w:lang w:eastAsia="en-US"/>
              </w:rPr>
            </w:pPr>
          </w:p>
          <w:p w:rsidR="00502F27" w:rsidRPr="0074345C" w:rsidRDefault="00502F27" w:rsidP="00E00028">
            <w:pPr>
              <w:rPr>
                <w:rFonts w:eastAsia="Times New Roman"/>
                <w:lang w:eastAsia="en-US"/>
              </w:rPr>
            </w:pPr>
            <w:r w:rsidRPr="0074345C">
              <w:rPr>
                <w:rFonts w:eastAsia="Times New Roman"/>
                <w:lang w:eastAsia="en-US"/>
              </w:rPr>
              <w:t>****</w:t>
            </w:r>
          </w:p>
        </w:tc>
        <w:tc>
          <w:tcPr>
            <w:tcW w:w="1677" w:type="dxa"/>
            <w:vAlign w:val="center"/>
          </w:tcPr>
          <w:p w:rsidR="00502F27" w:rsidRPr="0074345C" w:rsidRDefault="00502F27" w:rsidP="00E00028">
            <w:pPr>
              <w:rPr>
                <w:rFonts w:eastAsia="Times New Roman"/>
                <w:lang w:eastAsia="en-US"/>
              </w:rPr>
            </w:pPr>
            <w:r w:rsidRPr="0074345C">
              <w:rPr>
                <w:rFonts w:eastAsia="Times New Roman"/>
                <w:lang w:eastAsia="en-US"/>
              </w:rPr>
              <w:t>***</w:t>
            </w:r>
          </w:p>
        </w:tc>
        <w:tc>
          <w:tcPr>
            <w:tcW w:w="1797" w:type="dxa"/>
            <w:vAlign w:val="center"/>
          </w:tcPr>
          <w:p w:rsidR="00502F27" w:rsidRPr="0074345C" w:rsidRDefault="00502F27" w:rsidP="00E00028">
            <w:pPr>
              <w:rPr>
                <w:rFonts w:eastAsia="Times New Roman"/>
                <w:lang w:eastAsia="en-US"/>
              </w:rPr>
            </w:pPr>
            <w:r w:rsidRPr="0074345C">
              <w:rPr>
                <w:rFonts w:eastAsia="Times New Roman"/>
                <w:lang w:eastAsia="en-US"/>
              </w:rPr>
              <w:t>**</w:t>
            </w:r>
          </w:p>
        </w:tc>
        <w:tc>
          <w:tcPr>
            <w:tcW w:w="1895" w:type="dxa"/>
            <w:vAlign w:val="center"/>
          </w:tcPr>
          <w:p w:rsidR="00502F27" w:rsidRPr="0074345C" w:rsidRDefault="003260F8" w:rsidP="003260F8">
            <w:pPr>
              <w:rPr>
                <w:rFonts w:eastAsia="Times New Roman"/>
                <w:lang w:eastAsia="en-US"/>
              </w:rPr>
            </w:pPr>
            <w:r w:rsidRPr="0074345C">
              <w:rPr>
                <w:rFonts w:eastAsia="Times New Roman"/>
                <w:lang w:eastAsia="en-US"/>
              </w:rPr>
              <w:t>NA</w:t>
            </w:r>
          </w:p>
        </w:tc>
        <w:tc>
          <w:tcPr>
            <w:tcW w:w="2563" w:type="dxa"/>
            <w:vAlign w:val="center"/>
          </w:tcPr>
          <w:p w:rsidR="00502F27" w:rsidRPr="0074345C" w:rsidRDefault="003260F8" w:rsidP="003260F8">
            <w:pPr>
              <w:rPr>
                <w:rFonts w:eastAsia="Times New Roman"/>
                <w:lang w:eastAsia="en-US"/>
              </w:rPr>
            </w:pPr>
            <w:r w:rsidRPr="0074345C">
              <w:rPr>
                <w:rFonts w:eastAsia="Times New Roman"/>
                <w:lang w:eastAsia="en-US"/>
              </w:rPr>
              <w:t>SE/AD</w:t>
            </w:r>
          </w:p>
        </w:tc>
      </w:tr>
      <w:tr w:rsidR="00502F27" w:rsidRPr="0074345C" w:rsidTr="00E00028">
        <w:tc>
          <w:tcPr>
            <w:tcW w:w="1416" w:type="dxa"/>
          </w:tcPr>
          <w:p w:rsidR="00502F27" w:rsidRPr="0074345C" w:rsidRDefault="003260F8" w:rsidP="003260F8">
            <w:pPr>
              <w:rPr>
                <w:rFonts w:eastAsia="Times New Roman"/>
                <w:lang w:eastAsia="en-US"/>
              </w:rPr>
            </w:pPr>
            <w:r w:rsidRPr="0074345C">
              <w:rPr>
                <w:rFonts w:eastAsia="Times New Roman"/>
                <w:lang w:eastAsia="en-US"/>
              </w:rPr>
              <w:t>Plenamente logrado.</w:t>
            </w:r>
          </w:p>
        </w:tc>
        <w:tc>
          <w:tcPr>
            <w:tcW w:w="1677" w:type="dxa"/>
          </w:tcPr>
          <w:p w:rsidR="00502F27" w:rsidRPr="0074345C" w:rsidRDefault="003260F8" w:rsidP="003260F8">
            <w:pPr>
              <w:rPr>
                <w:rFonts w:eastAsia="Times New Roman"/>
                <w:lang w:eastAsia="en-US"/>
              </w:rPr>
            </w:pPr>
            <w:r w:rsidRPr="0074345C">
              <w:rPr>
                <w:rFonts w:eastAsia="Times New Roman"/>
                <w:lang w:eastAsia="en-US"/>
              </w:rPr>
              <w:t>Avance notable</w:t>
            </w:r>
          </w:p>
        </w:tc>
        <w:tc>
          <w:tcPr>
            <w:tcW w:w="1797" w:type="dxa"/>
          </w:tcPr>
          <w:p w:rsidR="00502F27" w:rsidRPr="0074345C" w:rsidRDefault="003260F8" w:rsidP="003260F8">
            <w:pPr>
              <w:rPr>
                <w:rFonts w:eastAsia="Times New Roman"/>
                <w:lang w:eastAsia="en-US"/>
              </w:rPr>
            </w:pPr>
            <w:r w:rsidRPr="0074345C">
              <w:rPr>
                <w:rFonts w:eastAsia="Times New Roman"/>
                <w:lang w:eastAsia="en-US"/>
              </w:rPr>
              <w:t>Avance</w:t>
            </w:r>
          </w:p>
        </w:tc>
        <w:tc>
          <w:tcPr>
            <w:tcW w:w="1895" w:type="dxa"/>
          </w:tcPr>
          <w:p w:rsidR="00502F27" w:rsidRPr="0074345C" w:rsidRDefault="003260F8" w:rsidP="003260F8">
            <w:pPr>
              <w:rPr>
                <w:rFonts w:eastAsia="Times New Roman"/>
                <w:lang w:eastAsia="en-US"/>
              </w:rPr>
            </w:pPr>
            <w:r w:rsidRPr="0074345C">
              <w:rPr>
                <w:rFonts w:eastAsia="Times New Roman"/>
                <w:lang w:eastAsia="en-US"/>
              </w:rPr>
              <w:t>Ningún avance</w:t>
            </w:r>
          </w:p>
        </w:tc>
        <w:tc>
          <w:tcPr>
            <w:tcW w:w="2563" w:type="dxa"/>
          </w:tcPr>
          <w:p w:rsidR="00502F27" w:rsidRPr="0074345C" w:rsidRDefault="00243288" w:rsidP="003260F8">
            <w:pPr>
              <w:rPr>
                <w:rFonts w:eastAsia="Times New Roman"/>
                <w:lang w:eastAsia="en-US"/>
              </w:rPr>
            </w:pPr>
            <w:r w:rsidRPr="0074345C">
              <w:rPr>
                <w:rFonts w:eastAsia="Times New Roman"/>
                <w:lang w:eastAsia="en-US"/>
              </w:rPr>
              <w:t>Sin evaluar</w:t>
            </w:r>
            <w:r w:rsidR="003260F8" w:rsidRPr="0074345C">
              <w:rPr>
                <w:rFonts w:eastAsia="Times New Roman"/>
                <w:lang w:eastAsia="en-US"/>
              </w:rPr>
              <w:t>/actividad discontinuada</w:t>
            </w:r>
          </w:p>
        </w:tc>
      </w:tr>
    </w:tbl>
    <w:p w:rsidR="00502F27" w:rsidRPr="0074345C" w:rsidRDefault="00502F27" w:rsidP="00502F27">
      <w:pPr>
        <w:rPr>
          <w:rFonts w:eastAsia="Times New Roman"/>
          <w:lang w:eastAsia="en-US"/>
        </w:rPr>
      </w:pPr>
    </w:p>
    <w:tbl>
      <w:tblPr>
        <w:tblW w:w="9470" w:type="dxa"/>
        <w:tblInd w:w="-34" w:type="dxa"/>
        <w:tblLayout w:type="fixed"/>
        <w:tblLook w:val="01E0" w:firstRow="1" w:lastRow="1" w:firstColumn="1" w:lastColumn="1" w:noHBand="0" w:noVBand="0"/>
      </w:tblPr>
      <w:tblGrid>
        <w:gridCol w:w="2410"/>
        <w:gridCol w:w="2694"/>
        <w:gridCol w:w="3402"/>
        <w:gridCol w:w="964"/>
      </w:tblGrid>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rFonts w:eastAsia="Times New Roman"/>
                <w:lang w:eastAsia="en-US"/>
              </w:rPr>
            </w:pPr>
            <w:r w:rsidRPr="0074345C">
              <w:rPr>
                <w:rFonts w:eastAsia="Times New Roman"/>
                <w:u w:val="single"/>
                <w:lang w:eastAsia="en-US"/>
              </w:rPr>
              <w:t>Productos del proyecto</w:t>
            </w:r>
            <w:r w:rsidRPr="0074345C">
              <w:rPr>
                <w:rFonts w:eastAsia="Times New Roman"/>
                <w:lang w:eastAsia="en-US"/>
              </w:rPr>
              <w:t xml:space="preserve"> (</w:t>
            </w:r>
            <w:r w:rsidRPr="0074345C">
              <w:rPr>
                <w:rFonts w:eastAsia="Times New Roman"/>
                <w:u w:val="single"/>
                <w:lang w:eastAsia="en-US"/>
              </w:rP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pPr>
              <w:spacing w:before="60" w:after="60"/>
              <w:rPr>
                <w:rFonts w:eastAsia="Times New Roman"/>
                <w:u w:val="single"/>
                <w:lang w:eastAsia="en-US"/>
              </w:rPr>
            </w:pPr>
            <w:r w:rsidRPr="0074345C">
              <w:rPr>
                <w:rFonts w:eastAsia="Times New Roman"/>
                <w:u w:val="single"/>
                <w:lang w:eastAsia="en-US"/>
              </w:rPr>
              <w:t>Indicadores de obtención de resultados</w:t>
            </w:r>
          </w:p>
          <w:p w:rsidR="00FA1113" w:rsidRPr="0074345C" w:rsidRDefault="00FA1113" w:rsidP="009C7A8E">
            <w:pPr>
              <w:spacing w:before="60" w:after="60"/>
              <w:rPr>
                <w:rFonts w:eastAsia="Times New Roman"/>
                <w:lang w:eastAsia="en-US"/>
              </w:rPr>
            </w:pPr>
            <w:r w:rsidRPr="0074345C">
              <w:rPr>
                <w:rFonts w:eastAsia="Times New Roman"/>
                <w:lang w:eastAsia="en-US"/>
              </w:rPr>
              <w:t>(</w:t>
            </w:r>
            <w:r w:rsidR="009C7A8E" w:rsidRPr="0074345C">
              <w:rPr>
                <w:rFonts w:eastAsia="Times New Roman"/>
                <w:lang w:eastAsia="en-US"/>
              </w:rPr>
              <w:t>Indicadores de producto</w:t>
            </w:r>
            <w:r w:rsidRPr="0074345C">
              <w:rPr>
                <w:rFonts w:eastAsia="Times New Roman"/>
                <w:lang w:eastAsia="en-US"/>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keepNext/>
              <w:spacing w:before="60" w:after="60"/>
              <w:outlineLvl w:val="2"/>
              <w:rPr>
                <w:bCs/>
                <w:szCs w:val="26"/>
                <w:u w:val="single"/>
                <w:lang w:eastAsia="en-US"/>
              </w:rPr>
            </w:pPr>
            <w:r w:rsidRPr="0074345C">
              <w:rPr>
                <w:bCs/>
                <w:szCs w:val="26"/>
                <w:u w:val="single"/>
                <w:lang w:eastAsia="en-US"/>
              </w:rPr>
              <w:t>Datos sobre el rendimiento</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keepNext/>
              <w:spacing w:before="60" w:after="60"/>
              <w:outlineLvl w:val="2"/>
              <w:rPr>
                <w:bCs/>
                <w:szCs w:val="26"/>
                <w:u w:val="single"/>
                <w:lang w:eastAsia="en-US"/>
              </w:rPr>
            </w:pPr>
            <w:r w:rsidRPr="0074345C">
              <w:rPr>
                <w:bCs/>
                <w:szCs w:val="26"/>
                <w:u w:val="single"/>
                <w:lang w:eastAsia="en-US"/>
              </w:rPr>
              <w:t>Clave de colores</w:t>
            </w:r>
          </w:p>
        </w:tc>
      </w:tr>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rPr>
                <w:rFonts w:eastAsia="Times New Roman"/>
                <w:bCs/>
                <w:lang w:eastAsia="en-US"/>
              </w:rPr>
            </w:pPr>
            <w:r w:rsidRPr="0074345C">
              <w:rPr>
                <w:rFonts w:eastAsia="Times New Roman"/>
                <w:bCs/>
                <w:lang w:eastAsia="en-US"/>
              </w:rPr>
              <w:t>1. Estudio taxonómico-analítico</w:t>
            </w:r>
          </w:p>
          <w:p w:rsidR="00502F27" w:rsidRPr="0074345C" w:rsidRDefault="00502F27" w:rsidP="00E00028">
            <w:pPr>
              <w:spacing w:before="60" w:after="60"/>
              <w:rPr>
                <w:rFonts w:eastAsia="Times New Roman"/>
                <w:lang w:eastAsia="en-US"/>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rPr>
                <w:rFonts w:eastAsia="Times New Roman"/>
                <w:lang w:eastAsia="en-US"/>
              </w:rPr>
            </w:pPr>
            <w:r w:rsidRPr="0074345C">
              <w:rPr>
                <w:rFonts w:eastAsia="Times New Roman"/>
                <w:lang w:eastAsia="en-US"/>
              </w:rPr>
              <w:t>El primer proyecto del estudio analítico se preparará en el plazo de seis meses a partir de la aprobación del proyecto.</w:t>
            </w:r>
          </w:p>
          <w:p w:rsidR="00502F27" w:rsidRPr="0074345C" w:rsidRDefault="00502F27" w:rsidP="00E00028">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rFonts w:eastAsia="Times New Roman"/>
                <w:lang w:eastAsia="en-US"/>
              </w:rPr>
            </w:pPr>
            <w:r w:rsidRPr="0074345C">
              <w:rPr>
                <w:rFonts w:eastAsia="Times New Roman"/>
                <w:lang w:eastAsia="en-US"/>
              </w:rPr>
              <w:t>El proyecto de estudio se completó en octubre de 2011, y se presentó en la octava sesión del CDIP.  Los comentarios de los Estados miembros y los observadores se incorporaron en la versión final del estudio en marzo de 2012.</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keepNext/>
              <w:spacing w:before="60" w:after="60"/>
              <w:outlineLvl w:val="2"/>
              <w:rPr>
                <w:bCs/>
                <w:szCs w:val="26"/>
                <w:lang w:eastAsia="en-US"/>
              </w:rPr>
            </w:pPr>
            <w:r w:rsidRPr="0074345C">
              <w:rPr>
                <w:bCs/>
                <w:szCs w:val="26"/>
                <w:lang w:eastAsia="en-US"/>
              </w:rPr>
              <w:t>****</w:t>
            </w:r>
          </w:p>
        </w:tc>
      </w:tr>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rFonts w:eastAsia="Times New Roman"/>
                <w:lang w:eastAsia="en-US"/>
              </w:rPr>
            </w:pPr>
            <w:r w:rsidRPr="0074345C">
              <w:rPr>
                <w:rFonts w:eastAsia="Times New Roman"/>
                <w:lang w:eastAsia="en-US"/>
              </w:rPr>
              <w:t>2.  Organización de reuniones de composición abierta con los Estados miembros</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F0180A" w:rsidP="003260F8">
            <w:pPr>
              <w:spacing w:before="60" w:after="60"/>
              <w:rPr>
                <w:rFonts w:eastAsia="Times New Roman"/>
                <w:lang w:eastAsia="en-US"/>
              </w:rPr>
            </w:pPr>
            <w:r w:rsidRPr="0074345C">
              <w:rPr>
                <w:rFonts w:eastAsia="Times New Roman"/>
                <w:lang w:eastAsia="en-US"/>
              </w:rPr>
              <w:t>R</w:t>
            </w:r>
            <w:r w:rsidR="003260F8" w:rsidRPr="0074345C">
              <w:rPr>
                <w:rFonts w:eastAsia="Times New Roman"/>
                <w:lang w:eastAsia="en-US"/>
              </w:rPr>
              <w:t xml:space="preserve">eunión </w:t>
            </w:r>
            <w:r w:rsidRPr="0074345C">
              <w:rPr>
                <w:rFonts w:eastAsia="Times New Roman"/>
                <w:lang w:eastAsia="en-US"/>
              </w:rPr>
              <w:t>o</w:t>
            </w:r>
            <w:r w:rsidR="003260F8" w:rsidRPr="0074345C">
              <w:rPr>
                <w:rFonts w:eastAsia="Times New Roman"/>
                <w:lang w:eastAsia="en-US"/>
              </w:rPr>
              <w:t>rganiza</w:t>
            </w:r>
            <w:r w:rsidRPr="0074345C">
              <w:rPr>
                <w:rFonts w:eastAsia="Times New Roman"/>
                <w:lang w:eastAsia="en-US"/>
              </w:rPr>
              <w:t>da</w:t>
            </w:r>
            <w:r w:rsidR="003260F8" w:rsidRPr="0074345C">
              <w:rPr>
                <w:rFonts w:eastAsia="Times New Roman"/>
                <w:lang w:eastAsia="en-US"/>
              </w:rPr>
              <w:t xml:space="preserve"> en el plazo de tres meses a partir de la finalización del estudio analítico;  el debate girará en torno a la esencia y las etapas lógicas en sentido amplio de los proyectos de colaboración abierta en materia de innovación, así como a sus resultados, aportes concretos y soluciones;</w:t>
            </w:r>
          </w:p>
          <w:p w:rsidR="003260F8" w:rsidRPr="0074345C" w:rsidRDefault="003260F8" w:rsidP="003260F8">
            <w:pPr>
              <w:spacing w:before="60" w:after="60"/>
              <w:rPr>
                <w:rFonts w:eastAsia="Times New Roman"/>
                <w:lang w:eastAsia="en-US"/>
              </w:rPr>
            </w:pPr>
            <w:r w:rsidRPr="0074345C">
              <w:rPr>
                <w:rFonts w:eastAsia="Times New Roman"/>
                <w:lang w:eastAsia="en-US"/>
              </w:rPr>
              <w:t>a)  consenso de los Estados miembros sobre el camino a seguir;</w:t>
            </w:r>
          </w:p>
          <w:p w:rsidR="003260F8" w:rsidRPr="0074345C" w:rsidRDefault="003260F8" w:rsidP="00E00028">
            <w:pPr>
              <w:spacing w:before="60" w:after="60"/>
              <w:rPr>
                <w:rFonts w:eastAsia="Times New Roman"/>
                <w:lang w:eastAsia="en-US"/>
              </w:rPr>
            </w:pPr>
          </w:p>
          <w:p w:rsidR="003260F8" w:rsidRPr="0074345C" w:rsidRDefault="003260F8" w:rsidP="003260F8">
            <w:pPr>
              <w:spacing w:before="60" w:after="60"/>
              <w:rPr>
                <w:rFonts w:eastAsia="Times New Roman"/>
                <w:lang w:eastAsia="en-US"/>
              </w:rPr>
            </w:pPr>
            <w:r w:rsidRPr="0074345C">
              <w:rPr>
                <w:rFonts w:eastAsia="Times New Roman"/>
                <w:lang w:eastAsia="en-US"/>
              </w:rPr>
              <w:t>b)  es positivo el 60% de las observaciones de los participantes sobre la marcha del proyecto (en los cuestionarios de evaluación).</w:t>
            </w:r>
          </w:p>
          <w:p w:rsidR="00502F27" w:rsidRPr="0074345C" w:rsidRDefault="00502F27" w:rsidP="00E00028">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keepNext/>
              <w:spacing w:before="60" w:after="60"/>
              <w:outlineLvl w:val="2"/>
              <w:rPr>
                <w:bCs/>
                <w:szCs w:val="26"/>
                <w:lang w:eastAsia="en-US"/>
              </w:rPr>
            </w:pPr>
            <w:r w:rsidRPr="0074345C">
              <w:rPr>
                <w:bCs/>
                <w:szCs w:val="26"/>
                <w:lang w:eastAsia="en-US"/>
              </w:rPr>
              <w:t>Se organizaron reuniones de composición abierta con los Estados miembros tres meses después de la finalización del estudio, en particular un acto paralelo informal en la novena sesión del CDIP, el 11 de mayo de 2012, y una reunión formal de la OMPI el 18 de junio de 2012.</w:t>
            </w:r>
            <w:r w:rsidR="00502F27" w:rsidRPr="0074345C">
              <w:rPr>
                <w:bCs/>
                <w:szCs w:val="26"/>
                <w:lang w:eastAsia="en-US"/>
              </w:rPr>
              <w:t xml:space="preserve">  </w:t>
            </w:r>
            <w:r w:rsidRPr="0074345C">
              <w:rPr>
                <w:bCs/>
                <w:szCs w:val="26"/>
                <w:lang w:eastAsia="en-US"/>
              </w:rPr>
              <w:t>En esta última participaron unas 20 personas, incluidos los delegados de siete Misiones Permanentes ante la Oficina de las Naciones Unidas en Ginebra, así como representantes de tres ONG.</w:t>
            </w:r>
            <w:r w:rsidR="00502F27" w:rsidRPr="0074345C">
              <w:rPr>
                <w:bCs/>
                <w:szCs w:val="26"/>
                <w:lang w:eastAsia="en-US"/>
              </w:rPr>
              <w:t xml:space="preserve">  </w:t>
            </w:r>
            <w:r w:rsidRPr="0074345C">
              <w:rPr>
                <w:bCs/>
                <w:szCs w:val="26"/>
                <w:lang w:eastAsia="en-US"/>
              </w:rPr>
              <w:t>Los delegados formularon observaciones favorables sobre el proyecto y acordaron el camino a seguir.</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keepNext/>
              <w:spacing w:before="60" w:after="60"/>
              <w:outlineLvl w:val="2"/>
              <w:rPr>
                <w:bCs/>
                <w:szCs w:val="26"/>
                <w:lang w:eastAsia="en-US"/>
              </w:rPr>
            </w:pPr>
            <w:r w:rsidRPr="0074345C">
              <w:rPr>
                <w:bCs/>
                <w:szCs w:val="26"/>
                <w:lang w:eastAsia="en-US"/>
              </w:rPr>
              <w:t>****</w:t>
            </w:r>
          </w:p>
        </w:tc>
      </w:tr>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rPr>
                <w:rFonts w:eastAsia="Times New Roman"/>
                <w:bCs/>
                <w:lang w:eastAsia="en-US"/>
              </w:rPr>
            </w:pPr>
            <w:r w:rsidRPr="0074345C">
              <w:rPr>
                <w:rFonts w:eastAsia="Times New Roman"/>
                <w:bCs/>
                <w:lang w:eastAsia="en-US"/>
              </w:rPr>
              <w:t>3.  Estudio de evaluación</w:t>
            </w:r>
          </w:p>
          <w:p w:rsidR="00502F27" w:rsidRPr="0074345C" w:rsidRDefault="00502F27" w:rsidP="00E00028">
            <w:pPr>
              <w:spacing w:before="60" w:after="60"/>
              <w:rPr>
                <w:rFonts w:eastAsia="Times New Roman"/>
                <w:lang w:eastAsia="en-US"/>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rPr>
                <w:rFonts w:eastAsia="Times New Roman"/>
                <w:lang w:eastAsia="en-US"/>
              </w:rPr>
            </w:pPr>
            <w:r w:rsidRPr="0074345C">
              <w:rPr>
                <w:rFonts w:eastAsia="Times New Roman"/>
                <w:lang w:eastAsia="en-US"/>
              </w:rPr>
              <w:t xml:space="preserve">Estudio detallado de evaluación </w:t>
            </w:r>
            <w:r w:rsidR="00F0180A" w:rsidRPr="0074345C">
              <w:rPr>
                <w:rFonts w:eastAsia="Times New Roman"/>
                <w:lang w:eastAsia="en-US"/>
              </w:rPr>
              <w:t>finalizado</w:t>
            </w:r>
            <w:r w:rsidRPr="0074345C">
              <w:rPr>
                <w:rFonts w:eastAsia="Times New Roman"/>
                <w:lang w:eastAsia="en-US"/>
              </w:rPr>
              <w:t xml:space="preserve"> en el plazo de seis meses a partir de la convocación de la reunión de expertos.</w:t>
            </w:r>
            <w:r w:rsidR="00502F27" w:rsidRPr="0074345C">
              <w:rPr>
                <w:rFonts w:eastAsia="Times New Roman"/>
                <w:lang w:eastAsia="en-US"/>
              </w:rPr>
              <w:t xml:space="preserve"> </w:t>
            </w:r>
            <w:r w:rsidRPr="0074345C">
              <w:rPr>
                <w:rFonts w:eastAsia="Times New Roman"/>
                <w:lang w:eastAsia="en-US"/>
              </w:rPr>
              <w:t xml:space="preserve">El objeto de esta actividad será </w:t>
            </w:r>
            <w:r w:rsidRPr="0074345C">
              <w:rPr>
                <w:rFonts w:eastAsia="Times New Roman"/>
                <w:lang w:eastAsia="en-US"/>
              </w:rPr>
              <w:lastRenderedPageBreak/>
              <w:t>estimar las ventajas y desventajas de los proyectos existentes y reconocer las conclusiones prácticas de cada iniciativa de colaboración abierta</w:t>
            </w:r>
          </w:p>
          <w:p w:rsidR="003260F8" w:rsidRPr="0074345C" w:rsidRDefault="003260F8" w:rsidP="00E00028">
            <w:pPr>
              <w:spacing w:before="60" w:after="60"/>
              <w:rPr>
                <w:rFonts w:eastAsia="Times New Roman"/>
                <w:lang w:eastAsia="en-US"/>
              </w:rPr>
            </w:pPr>
          </w:p>
          <w:p w:rsidR="00502F27" w:rsidRPr="0074345C" w:rsidRDefault="00502F27" w:rsidP="00E00028">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431FC" w:rsidP="00A4402C">
            <w:pPr>
              <w:keepNext/>
              <w:spacing w:before="60" w:after="60"/>
              <w:outlineLvl w:val="2"/>
              <w:rPr>
                <w:bCs/>
                <w:szCs w:val="26"/>
                <w:lang w:eastAsia="en-US"/>
              </w:rPr>
            </w:pPr>
            <w:r w:rsidRPr="0074345C">
              <w:rPr>
                <w:iCs/>
              </w:rPr>
              <w:lastRenderedPageBreak/>
              <w:t>El estudio de evaluación detallado ha sido encomendado a un grupo de expertos, dirigido por la Prof</w:t>
            </w:r>
            <w:r w:rsidR="006D57B3" w:rsidRPr="0074345C">
              <w:rPr>
                <w:iCs/>
              </w:rPr>
              <w:t>esora</w:t>
            </w:r>
            <w:r w:rsidRPr="0074345C">
              <w:rPr>
                <w:iCs/>
              </w:rPr>
              <w:t xml:space="preserve"> </w:t>
            </w:r>
            <w:r w:rsidRPr="0074345C">
              <w:t xml:space="preserve">Ellen </w:t>
            </w:r>
            <w:proofErr w:type="spellStart"/>
            <w:r w:rsidRPr="0074345C">
              <w:t>Enkel</w:t>
            </w:r>
            <w:proofErr w:type="spellEnd"/>
            <w:r w:rsidRPr="0074345C">
              <w:t xml:space="preserve">, Directora del Instituto de Gestión de la Innovación, Dr. </w:t>
            </w:r>
            <w:proofErr w:type="spellStart"/>
            <w:r w:rsidRPr="0074345C">
              <w:t>Manfred</w:t>
            </w:r>
            <w:proofErr w:type="spellEnd"/>
            <w:r w:rsidRPr="0074345C">
              <w:t xml:space="preserve"> </w:t>
            </w:r>
            <w:proofErr w:type="spellStart"/>
            <w:r w:rsidRPr="0074345C">
              <w:t>Bischoff</w:t>
            </w:r>
            <w:proofErr w:type="spellEnd"/>
            <w:r w:rsidR="006D57B3" w:rsidRPr="0074345C">
              <w:t>,</w:t>
            </w:r>
            <w:r w:rsidRPr="0074345C">
              <w:t xml:space="preserve"> del Grupo </w:t>
            </w:r>
            <w:r w:rsidRPr="0074345C">
              <w:lastRenderedPageBreak/>
              <w:t xml:space="preserve">Airbus, catedrática de gestión de la innovación en la Universidad Zeppelin, </w:t>
            </w:r>
            <w:proofErr w:type="spellStart"/>
            <w:r w:rsidRPr="0074345C">
              <w:t>Friedrichshafen</w:t>
            </w:r>
            <w:proofErr w:type="spellEnd"/>
            <w:r w:rsidRPr="0074345C">
              <w:t>, Alemania</w:t>
            </w:r>
            <w:r w:rsidR="00502F27" w:rsidRPr="0074345C">
              <w:rPr>
                <w:bCs/>
                <w:szCs w:val="26"/>
                <w:lang w:eastAsia="en-US"/>
              </w:rPr>
              <w:t xml:space="preserve">.  </w:t>
            </w:r>
            <w:r w:rsidR="006D57B3" w:rsidRPr="0074345C">
              <w:rPr>
                <w:bCs/>
                <w:szCs w:val="26"/>
                <w:lang w:eastAsia="en-US"/>
              </w:rPr>
              <w:t>El borrador final fue recibido en ju</w:t>
            </w:r>
            <w:r w:rsidR="002034F4" w:rsidRPr="0074345C">
              <w:rPr>
                <w:bCs/>
                <w:szCs w:val="26"/>
                <w:lang w:eastAsia="en-US"/>
              </w:rPr>
              <w:t>lio de</w:t>
            </w:r>
            <w:r w:rsidR="00502F27" w:rsidRPr="0074345C">
              <w:rPr>
                <w:bCs/>
                <w:szCs w:val="26"/>
                <w:lang w:eastAsia="en-US"/>
              </w:rPr>
              <w:t xml:space="preserve"> 2014 </w:t>
            </w:r>
            <w:r w:rsidR="006D57B3" w:rsidRPr="0074345C">
              <w:rPr>
                <w:bCs/>
                <w:szCs w:val="26"/>
                <w:lang w:eastAsia="en-US"/>
              </w:rPr>
              <w:t xml:space="preserve">y se pondrá a disposición </w:t>
            </w:r>
            <w:r w:rsidR="00A4402C" w:rsidRPr="0074345C">
              <w:rPr>
                <w:bCs/>
                <w:szCs w:val="26"/>
                <w:lang w:eastAsia="en-US"/>
              </w:rPr>
              <w:t xml:space="preserve">del CDIP, en su </w:t>
            </w:r>
            <w:r w:rsidR="00FA5186" w:rsidRPr="0074345C">
              <w:t>decimocuarta</w:t>
            </w:r>
            <w:r w:rsidR="006D57B3" w:rsidRPr="0074345C">
              <w:t xml:space="preserve"> sesión.</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keepNext/>
              <w:spacing w:before="60" w:after="60"/>
              <w:outlineLvl w:val="2"/>
              <w:rPr>
                <w:bCs/>
                <w:szCs w:val="26"/>
                <w:lang w:eastAsia="en-US"/>
              </w:rPr>
            </w:pPr>
            <w:r w:rsidRPr="0074345C">
              <w:rPr>
                <w:bCs/>
                <w:szCs w:val="26"/>
                <w:lang w:eastAsia="en-US"/>
              </w:rPr>
              <w:lastRenderedPageBreak/>
              <w:t>****</w:t>
            </w:r>
          </w:p>
        </w:tc>
      </w:tr>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rFonts w:eastAsia="Times New Roman"/>
                <w:lang w:eastAsia="en-US"/>
              </w:rPr>
            </w:pPr>
            <w:r w:rsidRPr="0074345C">
              <w:rPr>
                <w:rFonts w:eastAsia="Times New Roman"/>
                <w:lang w:eastAsia="en-US"/>
              </w:rPr>
              <w:lastRenderedPageBreak/>
              <w:t>4.  Organización de la reunión de expertos</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F0180A" w:rsidP="003260F8">
            <w:pPr>
              <w:spacing w:before="60" w:after="60"/>
              <w:rPr>
                <w:rFonts w:eastAsia="Times New Roman"/>
                <w:lang w:eastAsia="en-US"/>
              </w:rPr>
            </w:pPr>
            <w:r w:rsidRPr="0074345C">
              <w:rPr>
                <w:rFonts w:eastAsia="Times New Roman"/>
                <w:lang w:eastAsia="en-US"/>
              </w:rPr>
              <w:t>Reunión organizada</w:t>
            </w:r>
            <w:r w:rsidR="003260F8" w:rsidRPr="0074345C">
              <w:rPr>
                <w:rFonts w:eastAsia="Times New Roman"/>
                <w:lang w:eastAsia="en-US"/>
              </w:rPr>
              <w:t xml:space="preserve"> en un plazo de seis meses a partir de la organización de la reunión con los Estados miembros;  en los debates se pondrán de relieve las prácticas más difundidas en los proyectos de colaboración abierta para las organizaciones tanto públicas como privadas.</w:t>
            </w:r>
          </w:p>
          <w:p w:rsidR="003260F8" w:rsidRPr="0074345C" w:rsidRDefault="003260F8" w:rsidP="003260F8">
            <w:pPr>
              <w:spacing w:before="60" w:after="60"/>
              <w:rPr>
                <w:rFonts w:eastAsia="Times New Roman"/>
                <w:lang w:eastAsia="en-US"/>
              </w:rPr>
            </w:pPr>
            <w:r w:rsidRPr="0074345C">
              <w:rPr>
                <w:rFonts w:eastAsia="Times New Roman"/>
                <w:lang w:eastAsia="en-US"/>
              </w:rPr>
              <w:t>Fue favorable el 70% de las observaciones de los participantes sobre la utilidad de la reunión en el intercambio de experiencias</w:t>
            </w: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502F27" w:rsidRPr="0074345C" w:rsidRDefault="00502F27" w:rsidP="00E00028">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A4402C" w:rsidP="00E00028">
            <w:pPr>
              <w:spacing w:before="60" w:after="60"/>
              <w:rPr>
                <w:rFonts w:eastAsia="Times New Roman"/>
                <w:lang w:eastAsia="en-US"/>
              </w:rPr>
            </w:pPr>
            <w:r w:rsidRPr="0074345C">
              <w:t xml:space="preserve">La Reunión de expertos, convocada como </w:t>
            </w:r>
            <w:r w:rsidR="006D57B3" w:rsidRPr="0074345C">
              <w:rPr>
                <w:i/>
              </w:rPr>
              <w:t xml:space="preserve">“Conferencia de la OMPI sobre la innovación compartida: Proyectos de colaboración y futuro del conocimiento”  </w:t>
            </w:r>
            <w:r w:rsidR="006D57B3" w:rsidRPr="0074345C">
              <w:t>se celebró con éxito los días 22 y 23 de enero de 2014</w:t>
            </w:r>
            <w:r w:rsidR="00502F27" w:rsidRPr="0074345C">
              <w:rPr>
                <w:rFonts w:eastAsia="Times New Roman"/>
                <w:lang w:eastAsia="en-US"/>
              </w:rPr>
              <w:t xml:space="preserve">.  </w:t>
            </w:r>
            <w:r w:rsidR="006D57B3" w:rsidRPr="0074345C">
              <w:rPr>
                <w:rFonts w:eastAsia="Times New Roman"/>
                <w:lang w:eastAsia="en-US"/>
              </w:rPr>
              <w:t>Para mayor información, véase</w:t>
            </w:r>
            <w:r w:rsidR="00502F27" w:rsidRPr="0074345C">
              <w:rPr>
                <w:rFonts w:eastAsia="Times New Roman"/>
                <w:lang w:eastAsia="en-US"/>
              </w:rPr>
              <w:t>:</w:t>
            </w:r>
          </w:p>
          <w:p w:rsidR="003260F8" w:rsidRPr="0074345C" w:rsidRDefault="003A2508" w:rsidP="00E00028">
            <w:pPr>
              <w:spacing w:before="60" w:after="60"/>
              <w:rPr>
                <w:rFonts w:eastAsia="Times New Roman"/>
                <w:lang w:eastAsia="en-US"/>
              </w:rPr>
            </w:pPr>
            <w:hyperlink r:id="rId45" w:history="1">
              <w:r w:rsidR="00FA5186" w:rsidRPr="0074345C">
                <w:rPr>
                  <w:rStyle w:val="Hyperlink"/>
                  <w:rFonts w:eastAsia="Times New Roman"/>
                  <w:color w:val="auto"/>
                  <w:lang w:eastAsia="en-US"/>
                </w:rPr>
                <w:t>http://www.wipo.int/meetings/es/details.jsp?meeting_id=31762</w:t>
              </w:r>
            </w:hyperlink>
          </w:p>
          <w:p w:rsidR="00FA5186" w:rsidRPr="0074345C" w:rsidRDefault="00FA5186" w:rsidP="00E00028">
            <w:pPr>
              <w:spacing w:before="60" w:after="60"/>
              <w:rPr>
                <w:rFonts w:eastAsia="Times New Roman"/>
                <w:lang w:eastAsia="en-US"/>
              </w:rPr>
            </w:pPr>
          </w:p>
          <w:p w:rsidR="00FD23C9" w:rsidRPr="0074345C" w:rsidRDefault="00F10CBE" w:rsidP="00FD23C9">
            <w:pPr>
              <w:tabs>
                <w:tab w:val="left" w:pos="6129"/>
              </w:tabs>
              <w:spacing w:before="60" w:after="60"/>
            </w:pPr>
            <w:r w:rsidRPr="0074345C">
              <w:t>Participaron en es</w:t>
            </w:r>
            <w:r w:rsidR="00FD23C9" w:rsidRPr="0074345C">
              <w:t xml:space="preserve">a conferencia mundial </w:t>
            </w:r>
            <w:r w:rsidRPr="0074345C">
              <w:t>1</w:t>
            </w:r>
            <w:r w:rsidR="00FD23C9" w:rsidRPr="0074345C">
              <w:t>7 oradores de alto nivel procedentes de países desarrollados y en desarrollo</w:t>
            </w:r>
            <w:r w:rsidRPr="0074345C">
              <w:t>,</w:t>
            </w:r>
            <w:r w:rsidR="00FD23C9" w:rsidRPr="0074345C">
              <w:t xml:space="preserve"> y se organizaron mesas redondas </w:t>
            </w:r>
            <w:r w:rsidR="00A4402C" w:rsidRPr="0074345C">
              <w:t>sobre</w:t>
            </w:r>
            <w:r w:rsidR="00FD23C9" w:rsidRPr="0074345C">
              <w:t xml:space="preserve"> la innovación abierta. </w:t>
            </w:r>
          </w:p>
          <w:p w:rsidR="003260F8" w:rsidRPr="0074345C" w:rsidRDefault="00F10CBE" w:rsidP="00E00028">
            <w:pPr>
              <w:spacing w:before="60" w:after="60"/>
              <w:rPr>
                <w:rFonts w:eastAsia="Times New Roman"/>
                <w:iCs/>
                <w:lang w:eastAsia="en-US"/>
              </w:rPr>
            </w:pPr>
            <w:r w:rsidRPr="0074345C">
              <w:rPr>
                <w:iCs/>
              </w:rPr>
              <w:t>Un</w:t>
            </w:r>
            <w:r w:rsidR="00FD23C9" w:rsidRPr="0074345C">
              <w:rPr>
                <w:iCs/>
              </w:rPr>
              <w:t xml:space="preserve">os 200 participantes locales e internacionales </w:t>
            </w:r>
            <w:r w:rsidRPr="0074345C">
              <w:rPr>
                <w:iCs/>
              </w:rPr>
              <w:t xml:space="preserve">asistieron a la conferencia </w:t>
            </w:r>
            <w:r w:rsidR="00FD23C9" w:rsidRPr="0074345C">
              <w:rPr>
                <w:iCs/>
              </w:rPr>
              <w:t xml:space="preserve">y se recibieron comentarios muy positivos de los asistentes </w:t>
            </w:r>
            <w:r w:rsidR="008478D6" w:rsidRPr="0074345C">
              <w:rPr>
                <w:iCs/>
              </w:rPr>
              <w:t xml:space="preserve">y de la </w:t>
            </w:r>
            <w:r w:rsidR="00FD23C9" w:rsidRPr="0074345C">
              <w:rPr>
                <w:iCs/>
              </w:rPr>
              <w:t>prensa y los medios de comunicación locales. Véase la cobertura del evento por la prensa en</w:t>
            </w:r>
            <w:r w:rsidR="00502F27" w:rsidRPr="0074345C">
              <w:rPr>
                <w:rFonts w:eastAsia="Times New Roman"/>
                <w:iCs/>
                <w:lang w:eastAsia="en-US"/>
              </w:rPr>
              <w:t>:</w:t>
            </w:r>
          </w:p>
          <w:p w:rsidR="00FA5186" w:rsidRPr="0074345C" w:rsidRDefault="003A2508" w:rsidP="00E00028">
            <w:pPr>
              <w:spacing w:before="60" w:after="60"/>
            </w:pPr>
            <w:hyperlink r:id="rId46" w:history="1">
              <w:r w:rsidR="00FA5186" w:rsidRPr="0074345C">
                <w:rPr>
                  <w:rStyle w:val="Hyperlink"/>
                  <w:color w:val="auto"/>
                </w:rPr>
                <w:t>http://www.wipo.int/pressroom/es/stories/collaborative_innovation.html</w:t>
              </w:r>
            </w:hyperlink>
          </w:p>
          <w:p w:rsidR="00502F27" w:rsidRPr="0074345C" w:rsidRDefault="00502F27" w:rsidP="00E00028">
            <w:pPr>
              <w:spacing w:before="60" w:after="60"/>
              <w:rPr>
                <w:rFonts w:eastAsia="Times New Roman"/>
                <w:lang w:eastAsia="en-US"/>
              </w:rPr>
            </w:pPr>
            <w:r w:rsidRPr="0074345C">
              <w:rPr>
                <w:rFonts w:eastAsia="Times New Roman"/>
                <w:iCs/>
                <w:lang w:eastAsia="en-US"/>
              </w:rPr>
              <w:t xml:space="preserve"> </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keepNext/>
              <w:spacing w:before="60" w:after="60"/>
              <w:outlineLvl w:val="2"/>
              <w:rPr>
                <w:bCs/>
                <w:szCs w:val="26"/>
                <w:lang w:eastAsia="en-US"/>
              </w:rPr>
            </w:pPr>
            <w:r w:rsidRPr="0074345C">
              <w:rPr>
                <w:bCs/>
                <w:szCs w:val="26"/>
                <w:lang w:eastAsia="en-US"/>
              </w:rPr>
              <w:t>****</w:t>
            </w:r>
          </w:p>
        </w:tc>
      </w:tr>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rFonts w:eastAsia="Times New Roman"/>
                <w:lang w:eastAsia="en-US"/>
              </w:rPr>
            </w:pPr>
            <w:r w:rsidRPr="0074345C">
              <w:rPr>
                <w:rFonts w:eastAsia="Times New Roman"/>
                <w:lang w:eastAsia="en-US"/>
              </w:rPr>
              <w:t>5. Plataforma interactiva</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3260F8">
            <w:pPr>
              <w:spacing w:before="60" w:after="60"/>
              <w:rPr>
                <w:rFonts w:eastAsia="Times New Roman"/>
                <w:lang w:eastAsia="en-US"/>
              </w:rPr>
            </w:pPr>
            <w:r w:rsidRPr="0074345C">
              <w:rPr>
                <w:rFonts w:eastAsia="Times New Roman"/>
                <w:lang w:eastAsia="en-US"/>
              </w:rPr>
              <w:t>El portal digital estará en funcionamiento en el plazo de seis meses después de la finalización del estudio detallado de evaluación;</w:t>
            </w:r>
          </w:p>
          <w:p w:rsidR="003260F8" w:rsidRPr="0074345C" w:rsidRDefault="003260F8" w:rsidP="00040C95">
            <w:pPr>
              <w:rPr>
                <w:rFonts w:eastAsia="Times New Roman"/>
                <w:lang w:eastAsia="en-US"/>
              </w:rPr>
            </w:pPr>
          </w:p>
          <w:p w:rsidR="003260F8" w:rsidRPr="0074345C" w:rsidRDefault="003260F8" w:rsidP="003260F8">
            <w:pPr>
              <w:spacing w:before="60" w:after="60"/>
              <w:rPr>
                <w:rFonts w:eastAsia="Times New Roman"/>
                <w:lang w:eastAsia="en-US"/>
              </w:rPr>
            </w:pPr>
            <w:r w:rsidRPr="0074345C">
              <w:rPr>
                <w:rFonts w:eastAsia="Times New Roman"/>
                <w:lang w:eastAsia="en-US"/>
              </w:rPr>
              <w:t xml:space="preserve">a)  uso generalizado y </w:t>
            </w:r>
            <w:r w:rsidR="00040C95" w:rsidRPr="0074345C">
              <w:rPr>
                <w:rFonts w:eastAsia="Times New Roman"/>
                <w:lang w:eastAsia="en-US"/>
              </w:rPr>
              <w:lastRenderedPageBreak/>
              <w:t>regular del sitio w</w:t>
            </w:r>
            <w:r w:rsidRPr="0074345C">
              <w:rPr>
                <w:rFonts w:eastAsia="Times New Roman"/>
                <w:lang w:eastAsia="en-US"/>
              </w:rPr>
              <w:t>eb y el foro en Internet, en particular por los usuarios de los países en desarrollo;</w:t>
            </w:r>
            <w:r w:rsidR="00040C95" w:rsidRPr="0074345C">
              <w:rPr>
                <w:rFonts w:eastAsia="Times New Roman"/>
                <w:lang w:eastAsia="en-US"/>
              </w:rPr>
              <w:t xml:space="preserve">  y</w:t>
            </w:r>
          </w:p>
          <w:p w:rsidR="003260F8" w:rsidRPr="0074345C" w:rsidRDefault="003260F8" w:rsidP="00E00028">
            <w:pPr>
              <w:spacing w:before="60" w:after="60"/>
              <w:rPr>
                <w:rFonts w:eastAsia="Times New Roman"/>
                <w:lang w:eastAsia="en-US"/>
              </w:rPr>
            </w:pPr>
          </w:p>
          <w:p w:rsidR="003260F8" w:rsidRPr="0074345C" w:rsidRDefault="003260F8" w:rsidP="003260F8">
            <w:pPr>
              <w:spacing w:before="60" w:after="60"/>
              <w:rPr>
                <w:rFonts w:eastAsia="Times New Roman"/>
                <w:lang w:eastAsia="en-US"/>
              </w:rPr>
            </w:pPr>
            <w:r w:rsidRPr="0074345C">
              <w:rPr>
                <w:rFonts w:eastAsia="Times New Roman"/>
                <w:lang w:eastAsia="en-US"/>
              </w:rPr>
              <w:t>b)  es favorable el 55% de las observaciones de los usuarios acerca de la utilidad de la plataforma (en cuestionarios en Internet).</w:t>
            </w:r>
          </w:p>
          <w:p w:rsidR="00502F27" w:rsidRPr="0074345C" w:rsidRDefault="00502F27" w:rsidP="00E00028">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8478D6" w:rsidP="00E00028">
            <w:pPr>
              <w:spacing w:before="60" w:after="60"/>
              <w:rPr>
                <w:rFonts w:eastAsia="Times New Roman"/>
                <w:lang w:eastAsia="en-US"/>
              </w:rPr>
            </w:pPr>
            <w:r w:rsidRPr="0074345C">
              <w:t xml:space="preserve">Se encomendó un estudio </w:t>
            </w:r>
            <w:r w:rsidR="00FA5186" w:rsidRPr="0074345C">
              <w:t xml:space="preserve">a un equipo de la </w:t>
            </w:r>
            <w:proofErr w:type="spellStart"/>
            <w:r w:rsidR="00FA5186" w:rsidRPr="0074345C">
              <w:t>Community</w:t>
            </w:r>
            <w:proofErr w:type="spellEnd"/>
            <w:r w:rsidR="00FA5186" w:rsidRPr="0074345C">
              <w:t xml:space="preserve"> </w:t>
            </w:r>
            <w:proofErr w:type="spellStart"/>
            <w:r w:rsidR="00FA5186" w:rsidRPr="0074345C">
              <w:t>Systems</w:t>
            </w:r>
            <w:proofErr w:type="spellEnd"/>
            <w:r w:rsidR="00FA5186" w:rsidRPr="0074345C">
              <w:t xml:space="preserve"> </w:t>
            </w:r>
            <w:proofErr w:type="spellStart"/>
            <w:r w:rsidR="00FA5186" w:rsidRPr="0074345C">
              <w:t>Foundation</w:t>
            </w:r>
            <w:proofErr w:type="spellEnd"/>
            <w:r w:rsidR="00FA5186" w:rsidRPr="0074345C">
              <w:t xml:space="preserve"> (CSF), Nueva York, EE.UU, </w:t>
            </w:r>
            <w:r w:rsidRPr="0074345C">
              <w:t xml:space="preserve">sobre los </w:t>
            </w:r>
            <w:r w:rsidRPr="0074345C">
              <w:lastRenderedPageBreak/>
              <w:t>“flujos mundiales de conocimiento”, para su integraci</w:t>
            </w:r>
            <w:r w:rsidR="00FA5186" w:rsidRPr="0074345C">
              <w:t>ón en la plataforma interactiva</w:t>
            </w:r>
            <w:r w:rsidRPr="0074345C">
              <w:t xml:space="preserve">. El borrador final del estudio se recibió a mediados de septiembre de 2014 y </w:t>
            </w:r>
            <w:r w:rsidR="00A4402C" w:rsidRPr="0074345C">
              <w:t>se pondrá a disposición del CDIP, en su decimocuarta sesión</w:t>
            </w:r>
            <w:r w:rsidR="00502F27" w:rsidRPr="0074345C">
              <w:t xml:space="preserve">.  </w:t>
            </w:r>
          </w:p>
          <w:p w:rsidR="003260F8" w:rsidRPr="0074345C" w:rsidRDefault="003260F8" w:rsidP="00E00028">
            <w:pPr>
              <w:spacing w:before="60" w:after="60"/>
              <w:rPr>
                <w:rFonts w:eastAsia="Times New Roman"/>
                <w:lang w:eastAsia="en-US"/>
              </w:rPr>
            </w:pPr>
          </w:p>
          <w:p w:rsidR="00502F27" w:rsidRPr="0074345C" w:rsidRDefault="00502F27" w:rsidP="00E00028">
            <w:pPr>
              <w:spacing w:before="60" w:after="60"/>
              <w:rPr>
                <w:rFonts w:eastAsia="Times New Roman"/>
                <w:lang w:eastAsia="en-US"/>
              </w:rPr>
            </w:pP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keepNext/>
              <w:spacing w:before="60" w:after="60"/>
              <w:outlineLvl w:val="2"/>
              <w:rPr>
                <w:bCs/>
                <w:szCs w:val="26"/>
                <w:lang w:eastAsia="en-US"/>
              </w:rPr>
            </w:pPr>
            <w:r w:rsidRPr="0074345C">
              <w:rPr>
                <w:bCs/>
                <w:szCs w:val="26"/>
                <w:lang w:eastAsia="en-US"/>
              </w:rPr>
              <w:lastRenderedPageBreak/>
              <w:t>****</w:t>
            </w:r>
          </w:p>
        </w:tc>
      </w:tr>
      <w:tr w:rsidR="006376E7" w:rsidRPr="0074345C" w:rsidTr="009F2FA4">
        <w:trPr>
          <w:cantSplit/>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spacing w:before="60" w:after="60"/>
              <w:rPr>
                <w:rFonts w:eastAsia="Times New Roman"/>
                <w:lang w:eastAsia="en-US"/>
              </w:rPr>
            </w:pPr>
            <w:r w:rsidRPr="0074345C">
              <w:rPr>
                <w:rFonts w:eastAsia="Times New Roman"/>
                <w:lang w:eastAsia="en-US"/>
              </w:rPr>
              <w:lastRenderedPageBreak/>
              <w:t>6.  Respaldo a las actividades en curso en la OMPI que fomentan el intercambio de experiencias sobre las iniciativas de colaboración abierta</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3260F8">
            <w:pPr>
              <w:spacing w:before="60" w:after="60"/>
              <w:rPr>
                <w:rFonts w:eastAsia="Times New Roman"/>
                <w:lang w:eastAsia="en-US"/>
              </w:rPr>
            </w:pPr>
            <w:r w:rsidRPr="0074345C">
              <w:rPr>
                <w:rFonts w:eastAsia="Times New Roman"/>
                <w:lang w:eastAsia="en-US"/>
              </w:rPr>
              <w:t xml:space="preserve">Examen de las recomendaciones resultantes del proyecto para su incorporación en los </w:t>
            </w:r>
            <w:r w:rsidR="00AC0CD4" w:rsidRPr="0074345C">
              <w:rPr>
                <w:rFonts w:eastAsia="Times New Roman"/>
                <w:lang w:eastAsia="en-US"/>
              </w:rPr>
              <w:t>Programas</w:t>
            </w:r>
            <w:r w:rsidRPr="0074345C">
              <w:rPr>
                <w:rFonts w:eastAsia="Times New Roman"/>
                <w:lang w:eastAsia="en-US"/>
              </w:rPr>
              <w:t xml:space="preserve"> pertinentes de la OMPI, tras la aprobación por los Estados miembros, en el plazo de tres meses a partir de la inauguración de la plataforma interactiva.</w:t>
            </w:r>
          </w:p>
          <w:p w:rsidR="00502F27" w:rsidRPr="0074345C" w:rsidRDefault="00502F27" w:rsidP="00E00028">
            <w:pPr>
              <w:spacing w:before="60" w:after="60"/>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3260F8">
            <w:pPr>
              <w:spacing w:before="60" w:after="60"/>
              <w:rPr>
                <w:rFonts w:eastAsia="Times New Roman"/>
                <w:lang w:eastAsia="en-US"/>
              </w:rPr>
            </w:pPr>
            <w:r w:rsidRPr="0074345C">
              <w:rPr>
                <w:rFonts w:eastAsia="Times New Roman"/>
                <w:lang w:eastAsia="en-US"/>
              </w:rPr>
              <w:t>Es demasiado prematuro evaluar el rendimiento.</w:t>
            </w: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3260F8" w:rsidRPr="0074345C" w:rsidRDefault="003260F8" w:rsidP="00E00028">
            <w:pPr>
              <w:spacing w:before="60" w:after="60"/>
              <w:rPr>
                <w:rFonts w:eastAsia="Times New Roman"/>
                <w:lang w:eastAsia="en-US"/>
              </w:rPr>
            </w:pPr>
          </w:p>
          <w:p w:rsidR="00502F27" w:rsidRPr="0074345C" w:rsidRDefault="00502F27" w:rsidP="00E00028">
            <w:pPr>
              <w:spacing w:before="60" w:after="60"/>
              <w:rPr>
                <w:rFonts w:eastAsia="Times New Roman"/>
                <w:lang w:eastAsia="en-US"/>
              </w:rPr>
            </w:pP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keepNext/>
              <w:spacing w:before="60" w:after="60"/>
              <w:outlineLvl w:val="2"/>
              <w:rPr>
                <w:bCs/>
                <w:szCs w:val="26"/>
                <w:lang w:eastAsia="en-US"/>
              </w:rPr>
            </w:pPr>
            <w:r w:rsidRPr="0074345C">
              <w:rPr>
                <w:bCs/>
                <w:szCs w:val="26"/>
                <w:lang w:eastAsia="en-US"/>
              </w:rPr>
              <w:t>No está disponible.</w:t>
            </w:r>
          </w:p>
        </w:tc>
      </w:tr>
    </w:tbl>
    <w:p w:rsidR="003260F8" w:rsidRPr="0074345C" w:rsidRDefault="003260F8" w:rsidP="00502F27">
      <w:pPr>
        <w:rPr>
          <w:rFonts w:eastAsia="Times New Roman"/>
          <w:lang w:eastAsia="en-US"/>
        </w:rPr>
      </w:pPr>
    </w:p>
    <w:p w:rsidR="003260F8" w:rsidRPr="0074345C" w:rsidRDefault="00502F27" w:rsidP="00502F27">
      <w:pPr>
        <w:rPr>
          <w:rFonts w:eastAsia="Times New Roman"/>
          <w:lang w:eastAsia="en-US"/>
        </w:rPr>
      </w:pPr>
      <w:r w:rsidRPr="0074345C">
        <w:rPr>
          <w:rFonts w:eastAsia="Times New Roman"/>
          <w:lang w:eastAsia="en-US"/>
        </w:rPr>
        <w:br w:type="page"/>
      </w:r>
    </w:p>
    <w:p w:rsidR="00502F27" w:rsidRPr="0074345C" w:rsidRDefault="00502F27" w:rsidP="00502F27">
      <w:pPr>
        <w:rPr>
          <w:rFonts w:eastAsia="Times New Roman"/>
          <w:lang w:eastAsia="en-US"/>
        </w:rPr>
      </w:pPr>
    </w:p>
    <w:tbl>
      <w:tblPr>
        <w:tblW w:w="9470" w:type="dxa"/>
        <w:tblInd w:w="-34" w:type="dxa"/>
        <w:tblLayout w:type="fixed"/>
        <w:tblLook w:val="01E0" w:firstRow="1" w:lastRow="1" w:firstColumn="1" w:lastColumn="1" w:noHBand="0" w:noVBand="0"/>
      </w:tblPr>
      <w:tblGrid>
        <w:gridCol w:w="2410"/>
        <w:gridCol w:w="2694"/>
        <w:gridCol w:w="3402"/>
        <w:gridCol w:w="964"/>
      </w:tblGrid>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keepNext/>
              <w:spacing w:before="240" w:after="60"/>
              <w:outlineLvl w:val="2"/>
              <w:rPr>
                <w:bCs/>
                <w:szCs w:val="26"/>
                <w:u w:val="single"/>
                <w:lang w:eastAsia="en-US"/>
              </w:rPr>
            </w:pPr>
            <w:r w:rsidRPr="0074345C">
              <w:rPr>
                <w:bCs/>
                <w:szCs w:val="26"/>
                <w:u w:val="single"/>
                <w:lang w:eastAsia="en-US"/>
              </w:rPr>
              <w:t>Objetivos generales del Proyecto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Indicadores de cumplimiento de los objetivos(s)</w:t>
            </w:r>
            <w:r w:rsidR="00502F27" w:rsidRPr="0074345C">
              <w:rPr>
                <w:bCs/>
                <w:szCs w:val="26"/>
                <w:u w:val="single"/>
                <w:lang w:eastAsia="en-US"/>
              </w:rPr>
              <w:t xml:space="preserve"> </w:t>
            </w:r>
          </w:p>
          <w:p w:rsidR="00502F27" w:rsidRPr="0074345C" w:rsidRDefault="003260F8" w:rsidP="003260F8">
            <w:pPr>
              <w:rPr>
                <w:rFonts w:eastAsia="Times New Roman"/>
                <w:lang w:eastAsia="en-US"/>
              </w:rPr>
            </w:pPr>
            <w:r w:rsidRPr="0074345C">
              <w:rPr>
                <w:rFonts w:eastAsia="Times New Roman"/>
                <w:lang w:eastAsia="en-US"/>
              </w:rPr>
              <w:t>(Indicadores de resultado)</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keepNext/>
              <w:spacing w:before="240" w:after="60"/>
              <w:outlineLvl w:val="2"/>
              <w:rPr>
                <w:bCs/>
                <w:szCs w:val="26"/>
                <w:u w:val="single"/>
                <w:lang w:eastAsia="en-US"/>
              </w:rPr>
            </w:pPr>
            <w:r w:rsidRPr="0074345C">
              <w:rPr>
                <w:bCs/>
                <w:szCs w:val="26"/>
                <w:u w:val="single"/>
                <w:lang w:eastAsia="en-US"/>
              </w:rPr>
              <w:t>Datos sobre el rendimiento</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keepNext/>
              <w:spacing w:before="240" w:after="60"/>
              <w:outlineLvl w:val="2"/>
              <w:rPr>
                <w:bCs/>
                <w:szCs w:val="26"/>
                <w:u w:val="single"/>
                <w:lang w:eastAsia="en-US"/>
              </w:rPr>
            </w:pPr>
            <w:r w:rsidRPr="0074345C">
              <w:rPr>
                <w:bCs/>
                <w:szCs w:val="26"/>
                <w:u w:val="single"/>
                <w:lang w:eastAsia="en-US"/>
              </w:rPr>
              <w:t>Clave de colores</w:t>
            </w:r>
          </w:p>
        </w:tc>
      </w:tr>
      <w:tr w:rsidR="006376E7" w:rsidRPr="0074345C" w:rsidTr="009F2FA4">
        <w:trPr>
          <w:trHeight w:val="616"/>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502F27" w:rsidP="00E00028">
            <w:pPr>
              <w:rPr>
                <w:rFonts w:eastAsia="Times New Roman"/>
                <w:lang w:eastAsia="en-US"/>
              </w:rPr>
            </w:pPr>
            <w:r w:rsidRPr="0074345C">
              <w:rPr>
                <w:rFonts w:eastAsia="Times New Roman"/>
                <w:lang w:eastAsia="en-US"/>
              </w:rPr>
              <w:br w:type="page"/>
            </w:r>
          </w:p>
          <w:p w:rsidR="00502F27" w:rsidRPr="0074345C" w:rsidRDefault="003260F8" w:rsidP="003260F8">
            <w:pPr>
              <w:rPr>
                <w:rFonts w:eastAsia="Times New Roman"/>
                <w:lang w:eastAsia="en-US"/>
              </w:rPr>
            </w:pPr>
            <w:r w:rsidRPr="0074345C">
              <w:rPr>
                <w:rFonts w:eastAsia="Times New Roman"/>
                <w:lang w:eastAsia="en-US"/>
              </w:rPr>
              <w:t>Establecimiento de una plataforma interactiva para lograr un intercambio lo más amplio posible de experiencias sobre iniciativas de colaboración abierta y modelos de P.I.</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Mayor conciencia y comprensión de las experiencias/prácticas más difundidas, y utilización de los instrumentos de P.I. y el material de capacitación en la plataforma interactiva para la creación y aplicación de proyectos de colaboración abierta;  asimismo, la información recibida del Comité refleja en qué medida se entienden mejor estas cuestiones y se han logrado los objetivos del proyecto:</w:t>
            </w:r>
          </w:p>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a) número de usuarios del sitio Web y visitas por país/región;</w:t>
            </w:r>
          </w:p>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b) número de usuarios del foro en Internet que intercambian experiencias sobre entornos de colaboración abierta y modelos de P.I.;</w:t>
            </w:r>
          </w:p>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c) aumento de la demanda de la capacitación que imparte la OMPI en materia de innovación colectiva a partir del contenido del portal;  y</w:t>
            </w:r>
          </w:p>
          <w:p w:rsidR="003260F8" w:rsidRPr="0074345C" w:rsidRDefault="003260F8" w:rsidP="00E00028">
            <w:pPr>
              <w:rPr>
                <w:rFonts w:eastAsia="Times New Roman"/>
                <w:lang w:eastAsia="en-US"/>
              </w:rPr>
            </w:pPr>
          </w:p>
          <w:p w:rsidR="00502F27" w:rsidRPr="0074345C" w:rsidRDefault="003260F8" w:rsidP="003260F8">
            <w:pPr>
              <w:rPr>
                <w:rFonts w:eastAsia="Times New Roman"/>
                <w:lang w:eastAsia="en-US"/>
              </w:rPr>
            </w:pPr>
            <w:r w:rsidRPr="0074345C">
              <w:rPr>
                <w:rFonts w:eastAsia="Times New Roman"/>
                <w:lang w:eastAsia="en-US"/>
              </w:rPr>
              <w:t>d) aumento del número de proyectos conjuntos iniciados valiéndose de la innovación colectiva</w:t>
            </w:r>
            <w:r w:rsidR="00040C95" w:rsidRPr="0074345C">
              <w:rPr>
                <w:rFonts w:eastAsia="Times New Roman"/>
                <w:lang w:eastAsia="en-US"/>
              </w:rPr>
              <w:t>.</w:t>
            </w:r>
          </w:p>
          <w:p w:rsidR="00040C95" w:rsidRPr="0074345C" w:rsidRDefault="00040C95" w:rsidP="003260F8">
            <w:pPr>
              <w:rPr>
                <w:rFonts w:eastAsia="Times New Roman"/>
                <w:lang w:eastAsia="en-US"/>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Es demasiado prematuro evaluar el rendimiento.</w:t>
            </w: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3260F8" w:rsidRPr="0074345C" w:rsidRDefault="003260F8" w:rsidP="00E00028">
            <w:pPr>
              <w:rPr>
                <w:rFonts w:eastAsia="Times New Roman"/>
                <w:lang w:eastAsia="en-US"/>
              </w:rPr>
            </w:pPr>
          </w:p>
          <w:p w:rsidR="00502F27" w:rsidRPr="0074345C" w:rsidRDefault="00502F27" w:rsidP="00E00028">
            <w:pPr>
              <w:rPr>
                <w:rFonts w:eastAsia="Times New Roman"/>
                <w:lang w:eastAsia="en-US"/>
              </w:rPr>
            </w:pP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keepNext/>
              <w:outlineLvl w:val="2"/>
              <w:rPr>
                <w:bCs/>
                <w:szCs w:val="26"/>
                <w:lang w:eastAsia="en-US"/>
              </w:rPr>
            </w:pPr>
          </w:p>
          <w:p w:rsidR="00502F27" w:rsidRPr="0074345C" w:rsidRDefault="003260F8" w:rsidP="003260F8">
            <w:pPr>
              <w:keepNext/>
              <w:outlineLvl w:val="2"/>
              <w:rPr>
                <w:bCs/>
                <w:szCs w:val="26"/>
                <w:lang w:eastAsia="en-US"/>
              </w:rPr>
            </w:pPr>
            <w:r w:rsidRPr="0074345C">
              <w:rPr>
                <w:bCs/>
                <w:szCs w:val="26"/>
                <w:lang w:eastAsia="en-US"/>
              </w:rPr>
              <w:t>SE/AD</w:t>
            </w:r>
          </w:p>
        </w:tc>
      </w:tr>
    </w:tbl>
    <w:p w:rsidR="003260F8" w:rsidRPr="0074345C" w:rsidRDefault="003260F8" w:rsidP="00502F27"/>
    <w:p w:rsidR="00502F27" w:rsidRPr="0074345C" w:rsidRDefault="003260F8" w:rsidP="003260F8">
      <w:pPr>
        <w:ind w:left="5103" w:firstLine="567"/>
        <w:sectPr w:rsidR="00502F27" w:rsidRPr="0074345C" w:rsidSect="00E00028">
          <w:headerReference w:type="default" r:id="rId47"/>
          <w:headerReference w:type="first" r:id="rId48"/>
          <w:endnotePr>
            <w:numFmt w:val="decimal"/>
          </w:endnotePr>
          <w:pgSz w:w="11907" w:h="16840" w:code="9"/>
          <w:pgMar w:top="567" w:right="1134" w:bottom="1418" w:left="1418" w:header="510" w:footer="1021" w:gutter="0"/>
          <w:pgNumType w:start="1"/>
          <w:cols w:space="720"/>
          <w:titlePg/>
          <w:docGrid w:linePitch="299"/>
        </w:sectPr>
      </w:pPr>
      <w:r w:rsidRPr="0074345C">
        <w:t>[Sigue el Anexo IV]</w:t>
      </w:r>
    </w:p>
    <w:p w:rsidR="00502F27" w:rsidRPr="0074345C" w:rsidRDefault="008478D6" w:rsidP="00502F27">
      <w:pPr>
        <w:pStyle w:val="Heading1"/>
        <w:rPr>
          <w:b w:val="0"/>
          <w:i/>
          <w:szCs w:val="22"/>
        </w:rPr>
      </w:pPr>
      <w:r w:rsidRPr="0074345C">
        <w:rPr>
          <w:b w:val="0"/>
          <w:szCs w:val="22"/>
        </w:rPr>
        <w:lastRenderedPageBreak/>
        <w:t xml:space="preserve">informe </w:t>
      </w:r>
      <w:r w:rsidR="00A4402C" w:rsidRPr="0074345C">
        <w:rPr>
          <w:b w:val="0"/>
          <w:szCs w:val="22"/>
        </w:rPr>
        <w:t>sobre la marcha del proyecto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432"/>
        </w:trPr>
        <w:tc>
          <w:tcPr>
            <w:tcW w:w="9288" w:type="dxa"/>
            <w:gridSpan w:val="2"/>
            <w:shd w:val="clear" w:color="auto" w:fill="auto"/>
            <w:vAlign w:val="center"/>
          </w:tcPr>
          <w:p w:rsidR="00502F27" w:rsidRPr="0074345C" w:rsidRDefault="003260F8" w:rsidP="003260F8">
            <w:pPr>
              <w:pStyle w:val="Heading2"/>
              <w:rPr>
                <w:szCs w:val="22"/>
              </w:rPr>
            </w:pPr>
            <w:r w:rsidRPr="0074345C">
              <w:rPr>
                <w:szCs w:val="22"/>
              </w:rPr>
              <w:t>RESUMEN DEL PROYECTO</w:t>
            </w:r>
          </w:p>
        </w:tc>
      </w:tr>
      <w:tr w:rsidR="006376E7" w:rsidRPr="0074345C" w:rsidTr="00E00028">
        <w:trPr>
          <w:trHeight w:val="496"/>
        </w:trPr>
        <w:tc>
          <w:tcPr>
            <w:tcW w:w="2376" w:type="dxa"/>
            <w:shd w:val="clear" w:color="auto" w:fill="auto"/>
          </w:tcPr>
          <w:p w:rsidR="00502F27" w:rsidRPr="0074345C" w:rsidRDefault="003260F8" w:rsidP="003260F8">
            <w:pPr>
              <w:pStyle w:val="Heading3"/>
              <w:rPr>
                <w:szCs w:val="22"/>
              </w:rPr>
            </w:pPr>
            <w:r w:rsidRPr="0074345C">
              <w:rPr>
                <w:szCs w:val="22"/>
              </w:rPr>
              <w:t>Código del proyecto</w:t>
            </w:r>
          </w:p>
        </w:tc>
        <w:tc>
          <w:tcPr>
            <w:tcW w:w="6912" w:type="dxa"/>
            <w:shd w:val="clear" w:color="auto" w:fill="auto"/>
            <w:vAlign w:val="center"/>
          </w:tcPr>
          <w:p w:rsidR="00502F27" w:rsidRPr="0074345C" w:rsidRDefault="003260F8" w:rsidP="003260F8">
            <w:pPr>
              <w:rPr>
                <w:iCs/>
                <w:szCs w:val="22"/>
              </w:rPr>
            </w:pPr>
            <w:r w:rsidRPr="0074345C">
              <w:rPr>
                <w:iCs/>
                <w:szCs w:val="22"/>
              </w:rPr>
              <w:t>DA_1_2_4_10_11_1</w:t>
            </w:r>
          </w:p>
        </w:tc>
      </w:tr>
      <w:tr w:rsidR="006376E7" w:rsidRPr="0074345C" w:rsidTr="00E00028">
        <w:trPr>
          <w:trHeight w:val="404"/>
        </w:trPr>
        <w:tc>
          <w:tcPr>
            <w:tcW w:w="2376" w:type="dxa"/>
            <w:shd w:val="clear" w:color="auto" w:fill="auto"/>
          </w:tcPr>
          <w:p w:rsidR="003260F8" w:rsidRPr="0074345C" w:rsidRDefault="003260F8" w:rsidP="003260F8">
            <w:pPr>
              <w:pStyle w:val="Heading3"/>
              <w:rPr>
                <w:szCs w:val="22"/>
              </w:rPr>
            </w:pPr>
            <w:r w:rsidRPr="0074345C">
              <w:rPr>
                <w:szCs w:val="22"/>
              </w:rPr>
              <w:t>Título</w:t>
            </w:r>
          </w:p>
          <w:p w:rsidR="00502F27" w:rsidRPr="0074345C" w:rsidRDefault="00502F27" w:rsidP="00E00028">
            <w:pPr>
              <w:rPr>
                <w:szCs w:val="22"/>
              </w:rPr>
            </w:pPr>
          </w:p>
        </w:tc>
        <w:tc>
          <w:tcPr>
            <w:tcW w:w="6912" w:type="dxa"/>
            <w:shd w:val="clear" w:color="auto" w:fill="auto"/>
            <w:vAlign w:val="center"/>
          </w:tcPr>
          <w:p w:rsidR="003260F8" w:rsidRPr="0074345C" w:rsidRDefault="003260F8" w:rsidP="003260F8">
            <w:pPr>
              <w:rPr>
                <w:szCs w:val="22"/>
              </w:rPr>
            </w:pPr>
            <w:r w:rsidRPr="0074345C">
              <w:rPr>
                <w:szCs w:val="22"/>
              </w:rPr>
              <w:t>Fortalecimiento y desarrollo del sector audiovisual en Burkina Faso y en determinados países de África</w:t>
            </w:r>
          </w:p>
          <w:p w:rsidR="00502F27" w:rsidRPr="0074345C" w:rsidRDefault="00502F27" w:rsidP="00E00028">
            <w:pPr>
              <w:rPr>
                <w:i/>
                <w:szCs w:val="22"/>
              </w:rPr>
            </w:pPr>
          </w:p>
        </w:tc>
      </w:tr>
      <w:tr w:rsidR="006376E7" w:rsidRPr="0074345C" w:rsidTr="00E00028">
        <w:tc>
          <w:tcPr>
            <w:tcW w:w="2376" w:type="dxa"/>
            <w:shd w:val="clear" w:color="auto" w:fill="auto"/>
          </w:tcPr>
          <w:p w:rsidR="003260F8" w:rsidRPr="0074345C" w:rsidRDefault="003260F8" w:rsidP="003260F8">
            <w:pPr>
              <w:pStyle w:val="Heading3"/>
              <w:rPr>
                <w:szCs w:val="22"/>
              </w:rPr>
            </w:pPr>
            <w:r w:rsidRPr="0074345C">
              <w:rPr>
                <w:szCs w:val="22"/>
              </w:rPr>
              <w:t>Recomendación de la Agenda para el Desarrollo</w:t>
            </w:r>
          </w:p>
          <w:p w:rsidR="00502F27" w:rsidRPr="0074345C" w:rsidRDefault="00502F27" w:rsidP="00E00028">
            <w:pPr>
              <w:rPr>
                <w:szCs w:val="22"/>
              </w:rPr>
            </w:pPr>
          </w:p>
        </w:tc>
        <w:tc>
          <w:tcPr>
            <w:tcW w:w="6912" w:type="dxa"/>
            <w:shd w:val="clear" w:color="auto" w:fill="auto"/>
          </w:tcPr>
          <w:p w:rsidR="003260F8" w:rsidRPr="0074345C" w:rsidRDefault="003260F8" w:rsidP="00E00028">
            <w:pPr>
              <w:rPr>
                <w:i/>
                <w:szCs w:val="22"/>
              </w:rPr>
            </w:pPr>
          </w:p>
          <w:p w:rsidR="003260F8" w:rsidRPr="0074345C" w:rsidRDefault="003260F8" w:rsidP="003260F8">
            <w:pPr>
              <w:rPr>
                <w:i/>
                <w:szCs w:val="22"/>
              </w:rPr>
            </w:pPr>
            <w:r w:rsidRPr="0074345C">
              <w:rPr>
                <w:i/>
                <w:szCs w:val="22"/>
              </w:rPr>
              <w:t>Recomendación 1</w:t>
            </w:r>
          </w:p>
          <w:p w:rsidR="003260F8" w:rsidRPr="0074345C" w:rsidRDefault="003260F8" w:rsidP="003260F8">
            <w:pPr>
              <w:rPr>
                <w:szCs w:val="22"/>
              </w:rPr>
            </w:pPr>
            <w:r w:rsidRPr="0074345C">
              <w:rPr>
                <w:szCs w:val="22"/>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w:t>
            </w:r>
            <w:r w:rsidR="00040C95" w:rsidRPr="0074345C">
              <w:rPr>
                <w:szCs w:val="22"/>
              </w:rPr>
              <w:t>arrollo de los Estados miembros.  Las</w:t>
            </w:r>
            <w:r w:rsidRPr="0074345C">
              <w:rPr>
                <w:szCs w:val="22"/>
              </w:rPr>
              <w:t xml:space="preserve"> actividades deberán incluir su calendario de ejecución.</w:t>
            </w:r>
            <w:r w:rsidR="00502F27" w:rsidRPr="0074345C">
              <w:rPr>
                <w:szCs w:val="22"/>
              </w:rPr>
              <w:t xml:space="preserve">  </w:t>
            </w:r>
            <w:r w:rsidRPr="0074345C">
              <w:rPr>
                <w:szCs w:val="22"/>
              </w:rPr>
              <w:t xml:space="preserve">A este respecto, el diseño, los mecanismos de ejecución y los procesos de evaluación de los </w:t>
            </w:r>
            <w:r w:rsidR="009E13C2" w:rsidRPr="0074345C">
              <w:rPr>
                <w:szCs w:val="22"/>
              </w:rPr>
              <w:t>Programa</w:t>
            </w:r>
            <w:r w:rsidRPr="0074345C">
              <w:rPr>
                <w:szCs w:val="22"/>
              </w:rPr>
              <w:t>s de asistencia técnica deberán estar adaptados a cada país.</w:t>
            </w:r>
          </w:p>
          <w:p w:rsidR="003260F8" w:rsidRPr="0074345C" w:rsidRDefault="003260F8" w:rsidP="00E00028">
            <w:pPr>
              <w:rPr>
                <w:bCs/>
                <w:szCs w:val="22"/>
              </w:rPr>
            </w:pPr>
          </w:p>
          <w:p w:rsidR="003260F8" w:rsidRPr="0074345C" w:rsidRDefault="003260F8" w:rsidP="003260F8">
            <w:pPr>
              <w:rPr>
                <w:szCs w:val="22"/>
              </w:rPr>
            </w:pPr>
            <w:r w:rsidRPr="0074345C">
              <w:rPr>
                <w:i/>
                <w:szCs w:val="22"/>
              </w:rPr>
              <w:t>Recomendación 2</w:t>
            </w:r>
          </w:p>
          <w:p w:rsidR="003260F8" w:rsidRPr="0074345C" w:rsidRDefault="003260F8" w:rsidP="003260F8">
            <w:pPr>
              <w:rPr>
                <w:bCs/>
                <w:szCs w:val="22"/>
              </w:rPr>
            </w:pPr>
            <w:r w:rsidRPr="0074345C">
              <w:rPr>
                <w:bCs/>
                <w:szCs w:val="22"/>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p>
          <w:p w:rsidR="003260F8" w:rsidRPr="0074345C" w:rsidRDefault="003260F8" w:rsidP="00E00028">
            <w:pPr>
              <w:rPr>
                <w:szCs w:val="22"/>
              </w:rPr>
            </w:pPr>
          </w:p>
          <w:p w:rsidR="003260F8" w:rsidRPr="0074345C" w:rsidRDefault="003260F8" w:rsidP="003260F8">
            <w:pPr>
              <w:rPr>
                <w:rStyle w:val="Heading4Char"/>
                <w:szCs w:val="22"/>
              </w:rPr>
            </w:pPr>
            <w:r w:rsidRPr="0074345C">
              <w:rPr>
                <w:rStyle w:val="Heading4Char"/>
                <w:szCs w:val="22"/>
              </w:rPr>
              <w:t>Recomendación 4</w:t>
            </w:r>
          </w:p>
          <w:p w:rsidR="003260F8" w:rsidRPr="0074345C" w:rsidRDefault="003260F8" w:rsidP="003260F8">
            <w:pPr>
              <w:rPr>
                <w:szCs w:val="22"/>
              </w:rPr>
            </w:pPr>
            <w:r w:rsidRPr="0074345C">
              <w:rPr>
                <w:szCs w:val="22"/>
              </w:rPr>
              <w:t>Destacar, en particular, las necesidades de las Pymes y las instituciones de investigación científica, así como las industrias culturales, y asistir a los Estados miembros, cuando éstos lo soliciten, en el establecimiento de estrategias nacionales adecuadas en el campo de la P.I.</w:t>
            </w:r>
          </w:p>
          <w:p w:rsidR="003260F8" w:rsidRPr="0074345C" w:rsidRDefault="003260F8" w:rsidP="00E00028">
            <w:pPr>
              <w:rPr>
                <w:szCs w:val="22"/>
              </w:rPr>
            </w:pPr>
          </w:p>
          <w:p w:rsidR="003260F8" w:rsidRPr="0074345C" w:rsidRDefault="003260F8" w:rsidP="003260F8">
            <w:pPr>
              <w:rPr>
                <w:rStyle w:val="Heading4Char"/>
                <w:szCs w:val="22"/>
              </w:rPr>
            </w:pPr>
            <w:r w:rsidRPr="0074345C">
              <w:rPr>
                <w:rStyle w:val="Heading4Char"/>
                <w:szCs w:val="22"/>
              </w:rPr>
              <w:t>Recomendación 10</w:t>
            </w:r>
          </w:p>
          <w:p w:rsidR="003260F8" w:rsidRPr="0074345C" w:rsidRDefault="003260F8" w:rsidP="003260F8">
            <w:pPr>
              <w:rPr>
                <w:szCs w:val="22"/>
              </w:rPr>
            </w:pPr>
            <w:r w:rsidRPr="0074345C">
              <w:rPr>
                <w:szCs w:val="22"/>
              </w:rPr>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sidR="00502F27" w:rsidRPr="0074345C">
              <w:rPr>
                <w:szCs w:val="22"/>
              </w:rPr>
              <w:t xml:space="preserve">  </w:t>
            </w:r>
            <w:r w:rsidRPr="0074345C">
              <w:rPr>
                <w:szCs w:val="22"/>
              </w:rPr>
              <w:t>Este tipo de asistencia técnica debe beneficiar también a las organizaciones regionales y subregionales de P.I.</w:t>
            </w:r>
          </w:p>
          <w:p w:rsidR="003260F8" w:rsidRPr="0074345C" w:rsidRDefault="003260F8" w:rsidP="00E00028">
            <w:pPr>
              <w:rPr>
                <w:szCs w:val="22"/>
              </w:rPr>
            </w:pPr>
          </w:p>
          <w:p w:rsidR="003260F8" w:rsidRPr="0074345C" w:rsidRDefault="003260F8" w:rsidP="003260F8">
            <w:pPr>
              <w:rPr>
                <w:szCs w:val="22"/>
              </w:rPr>
            </w:pPr>
            <w:r w:rsidRPr="0074345C">
              <w:rPr>
                <w:i/>
                <w:szCs w:val="22"/>
              </w:rPr>
              <w:t>Recomendación 11</w:t>
            </w:r>
          </w:p>
          <w:p w:rsidR="003260F8" w:rsidRPr="0074345C" w:rsidRDefault="003260F8" w:rsidP="003260F8">
            <w:pPr>
              <w:rPr>
                <w:szCs w:val="22"/>
              </w:rPr>
            </w:pPr>
            <w:r w:rsidRPr="0074345C">
              <w:rPr>
                <w:szCs w:val="22"/>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rsidR="00502F27" w:rsidRPr="0074345C" w:rsidRDefault="00502F27" w:rsidP="00E00028">
            <w:pPr>
              <w:rPr>
                <w:i/>
                <w:szCs w:val="22"/>
              </w:rPr>
            </w:pPr>
          </w:p>
        </w:tc>
      </w:tr>
    </w:tbl>
    <w:p w:rsidR="00040C95" w:rsidRPr="0074345C" w:rsidRDefault="00040C95">
      <w:r w:rsidRPr="0074345C">
        <w:rPr>
          <w:bC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c>
          <w:tcPr>
            <w:tcW w:w="2376" w:type="dxa"/>
            <w:shd w:val="clear" w:color="auto" w:fill="auto"/>
          </w:tcPr>
          <w:p w:rsidR="003260F8" w:rsidRPr="0074345C" w:rsidRDefault="003260F8" w:rsidP="003260F8">
            <w:pPr>
              <w:pStyle w:val="Heading3"/>
              <w:rPr>
                <w:szCs w:val="22"/>
              </w:rPr>
            </w:pPr>
            <w:r w:rsidRPr="0074345C">
              <w:rPr>
                <w:szCs w:val="22"/>
              </w:rPr>
              <w:lastRenderedPageBreak/>
              <w:t>Presupuesto del proyecto</w:t>
            </w:r>
          </w:p>
          <w:p w:rsidR="00502F27" w:rsidRPr="0074345C" w:rsidRDefault="00502F27" w:rsidP="00E00028">
            <w:pPr>
              <w:rPr>
                <w:szCs w:val="22"/>
              </w:rPr>
            </w:pPr>
          </w:p>
        </w:tc>
        <w:tc>
          <w:tcPr>
            <w:tcW w:w="6912" w:type="dxa"/>
            <w:shd w:val="clear" w:color="auto" w:fill="auto"/>
          </w:tcPr>
          <w:p w:rsidR="003260F8" w:rsidRPr="0074345C" w:rsidRDefault="003260F8" w:rsidP="00E00028">
            <w:pPr>
              <w:rPr>
                <w:szCs w:val="22"/>
              </w:rPr>
            </w:pPr>
          </w:p>
          <w:p w:rsidR="003260F8" w:rsidRPr="0074345C" w:rsidRDefault="003260F8" w:rsidP="003260F8">
            <w:pPr>
              <w:rPr>
                <w:szCs w:val="22"/>
              </w:rPr>
            </w:pPr>
            <w:r w:rsidRPr="0074345C">
              <w:rPr>
                <w:szCs w:val="22"/>
              </w:rPr>
              <w:t>Gastos no relativos al personal :  436.000 francos suizos</w:t>
            </w:r>
          </w:p>
          <w:p w:rsidR="00502F27" w:rsidRPr="0074345C" w:rsidRDefault="003260F8" w:rsidP="003260F8">
            <w:pPr>
              <w:rPr>
                <w:szCs w:val="22"/>
              </w:rPr>
            </w:pPr>
            <w:r w:rsidRPr="0074345C">
              <w:rPr>
                <w:szCs w:val="22"/>
              </w:rPr>
              <w:t>Gastos de personal:  106.700 francos suizos</w:t>
            </w:r>
          </w:p>
        </w:tc>
      </w:tr>
      <w:tr w:rsidR="006376E7" w:rsidRPr="0074345C" w:rsidTr="00E00028">
        <w:tc>
          <w:tcPr>
            <w:tcW w:w="2376" w:type="dxa"/>
            <w:shd w:val="clear" w:color="auto" w:fill="auto"/>
          </w:tcPr>
          <w:p w:rsidR="003260F8" w:rsidRPr="0074345C" w:rsidRDefault="003260F8" w:rsidP="003260F8">
            <w:pPr>
              <w:pStyle w:val="Heading3"/>
              <w:rPr>
                <w:szCs w:val="22"/>
              </w:rPr>
            </w:pPr>
            <w:r w:rsidRPr="0074345C">
              <w:rPr>
                <w:szCs w:val="22"/>
              </w:rPr>
              <w:t>Fecha de inicio del proyecto</w:t>
            </w:r>
          </w:p>
          <w:p w:rsidR="00502F27" w:rsidRPr="0074345C" w:rsidRDefault="00502F27" w:rsidP="00E00028">
            <w:pPr>
              <w:rPr>
                <w:szCs w:val="22"/>
              </w:rPr>
            </w:pPr>
          </w:p>
        </w:tc>
        <w:tc>
          <w:tcPr>
            <w:tcW w:w="6912" w:type="dxa"/>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Febrero de 2013</w:t>
            </w:r>
          </w:p>
        </w:tc>
      </w:tr>
      <w:tr w:rsidR="006376E7" w:rsidRPr="0074345C" w:rsidTr="00E00028">
        <w:tc>
          <w:tcPr>
            <w:tcW w:w="2376" w:type="dxa"/>
            <w:shd w:val="clear" w:color="auto" w:fill="auto"/>
          </w:tcPr>
          <w:p w:rsidR="003260F8" w:rsidRPr="0074345C" w:rsidRDefault="003260F8" w:rsidP="003260F8">
            <w:pPr>
              <w:pStyle w:val="Heading3"/>
              <w:rPr>
                <w:szCs w:val="22"/>
              </w:rPr>
            </w:pPr>
            <w:r w:rsidRPr="0074345C">
              <w:rPr>
                <w:szCs w:val="22"/>
              </w:rPr>
              <w:t>Duración del proyecto</w:t>
            </w:r>
          </w:p>
          <w:p w:rsidR="00502F27" w:rsidRPr="0074345C" w:rsidRDefault="00502F27" w:rsidP="00E00028">
            <w:pPr>
              <w:rPr>
                <w:szCs w:val="22"/>
              </w:rPr>
            </w:pPr>
          </w:p>
        </w:tc>
        <w:tc>
          <w:tcPr>
            <w:tcW w:w="6912" w:type="dxa"/>
            <w:shd w:val="clear" w:color="auto" w:fill="auto"/>
          </w:tcPr>
          <w:p w:rsidR="003260F8" w:rsidRPr="0074345C" w:rsidRDefault="003260F8" w:rsidP="00E00028">
            <w:pPr>
              <w:rPr>
                <w:szCs w:val="22"/>
              </w:rPr>
            </w:pPr>
          </w:p>
          <w:p w:rsidR="003260F8" w:rsidRPr="0074345C" w:rsidRDefault="003260F8" w:rsidP="003260F8">
            <w:pPr>
              <w:rPr>
                <w:szCs w:val="22"/>
              </w:rPr>
            </w:pPr>
            <w:r w:rsidRPr="0074345C">
              <w:rPr>
                <w:szCs w:val="22"/>
              </w:rPr>
              <w:t>24 meses</w:t>
            </w:r>
            <w:r w:rsidR="00040C95" w:rsidRPr="0074345C">
              <w:rPr>
                <w:szCs w:val="22"/>
              </w:rPr>
              <w:t xml:space="preserve">. </w:t>
            </w:r>
            <w:r w:rsidR="00502F27" w:rsidRPr="0074345C">
              <w:rPr>
                <w:szCs w:val="22"/>
              </w:rPr>
              <w:t xml:space="preserve"> </w:t>
            </w:r>
            <w:r w:rsidR="00040C95" w:rsidRPr="0074345C">
              <w:rPr>
                <w:szCs w:val="22"/>
              </w:rPr>
              <w:t>Una prórroga de 6</w:t>
            </w:r>
            <w:r w:rsidR="00502F27" w:rsidRPr="0074345C">
              <w:rPr>
                <w:szCs w:val="22"/>
              </w:rPr>
              <w:t xml:space="preserve"> m</w:t>
            </w:r>
            <w:r w:rsidR="00040C95" w:rsidRPr="0074345C">
              <w:rPr>
                <w:szCs w:val="22"/>
              </w:rPr>
              <w:t xml:space="preserve">eses fue aprobada por el </w:t>
            </w:r>
            <w:r w:rsidR="00502F27" w:rsidRPr="0074345C">
              <w:rPr>
                <w:szCs w:val="22"/>
              </w:rPr>
              <w:t xml:space="preserve">CDIP </w:t>
            </w:r>
            <w:r w:rsidR="00040C95" w:rsidRPr="0074345C">
              <w:rPr>
                <w:szCs w:val="22"/>
              </w:rPr>
              <w:t>en su</w:t>
            </w:r>
            <w:r w:rsidR="00502F27" w:rsidRPr="0074345C">
              <w:rPr>
                <w:szCs w:val="22"/>
              </w:rPr>
              <w:t xml:space="preserve"> 12</w:t>
            </w:r>
            <w:r w:rsidR="00040C95" w:rsidRPr="0074345C">
              <w:rPr>
                <w:szCs w:val="22"/>
              </w:rPr>
              <w:t>ª</w:t>
            </w:r>
            <w:r w:rsidR="00502F27" w:rsidRPr="0074345C">
              <w:rPr>
                <w:szCs w:val="22"/>
              </w:rPr>
              <w:t xml:space="preserve"> sesi</w:t>
            </w:r>
            <w:r w:rsidR="00040C95" w:rsidRPr="0074345C">
              <w:rPr>
                <w:szCs w:val="22"/>
              </w:rPr>
              <w:t>ó</w:t>
            </w:r>
            <w:r w:rsidR="00502F27" w:rsidRPr="0074345C">
              <w:rPr>
                <w:szCs w:val="22"/>
              </w:rPr>
              <w:t xml:space="preserve">n </w:t>
            </w:r>
            <w:r w:rsidR="00040C95" w:rsidRPr="0074345C">
              <w:rPr>
                <w:szCs w:val="22"/>
              </w:rPr>
              <w:t>e</w:t>
            </w:r>
            <w:r w:rsidR="00502F27" w:rsidRPr="0074345C">
              <w:rPr>
                <w:szCs w:val="22"/>
              </w:rPr>
              <w:t xml:space="preserve">n </w:t>
            </w:r>
            <w:r w:rsidR="00040C95" w:rsidRPr="0074345C">
              <w:rPr>
                <w:szCs w:val="22"/>
              </w:rPr>
              <w:t>noviembre de</w:t>
            </w:r>
            <w:r w:rsidR="00502F27" w:rsidRPr="0074345C">
              <w:rPr>
                <w:szCs w:val="22"/>
              </w:rPr>
              <w:t xml:space="preserve"> 2013.</w:t>
            </w:r>
          </w:p>
          <w:p w:rsidR="00502F27" w:rsidRPr="0074345C" w:rsidRDefault="00502F27" w:rsidP="00E00028">
            <w:pPr>
              <w:rPr>
                <w:szCs w:val="22"/>
              </w:rPr>
            </w:pPr>
          </w:p>
        </w:tc>
      </w:tr>
      <w:tr w:rsidR="006376E7" w:rsidRPr="0074345C" w:rsidTr="00E00028">
        <w:tc>
          <w:tcPr>
            <w:tcW w:w="2376" w:type="dxa"/>
            <w:shd w:val="clear" w:color="auto" w:fill="auto"/>
          </w:tcPr>
          <w:p w:rsidR="00502F27" w:rsidRPr="0074345C" w:rsidRDefault="003260F8" w:rsidP="003260F8">
            <w:pPr>
              <w:pStyle w:val="Heading3"/>
              <w:rPr>
                <w:szCs w:val="22"/>
              </w:rPr>
            </w:pPr>
            <w:r w:rsidRPr="0074345C">
              <w:rPr>
                <w:szCs w:val="22"/>
              </w:rPr>
              <w:t xml:space="preserve">Principales sectores de la OMPI interesados y vínculos con los </w:t>
            </w:r>
            <w:r w:rsidR="00AC0CD4" w:rsidRPr="0074345C">
              <w:rPr>
                <w:szCs w:val="22"/>
              </w:rPr>
              <w:t>Programas</w:t>
            </w:r>
            <w:r w:rsidRPr="0074345C">
              <w:rPr>
                <w:szCs w:val="22"/>
              </w:rPr>
              <w:t xml:space="preserve"> de la Organización</w:t>
            </w:r>
          </w:p>
        </w:tc>
        <w:tc>
          <w:tcPr>
            <w:tcW w:w="6912" w:type="dxa"/>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Sector de Cultura e Industrias Creativas</w:t>
            </w:r>
          </w:p>
        </w:tc>
      </w:tr>
      <w:tr w:rsidR="00502F27" w:rsidRPr="0074345C" w:rsidTr="00E00028">
        <w:trPr>
          <w:trHeight w:val="2664"/>
        </w:trPr>
        <w:tc>
          <w:tcPr>
            <w:tcW w:w="2376" w:type="dxa"/>
            <w:shd w:val="clear" w:color="auto" w:fill="auto"/>
          </w:tcPr>
          <w:p w:rsidR="00502F27" w:rsidRPr="0074345C" w:rsidRDefault="003260F8" w:rsidP="003260F8">
            <w:pPr>
              <w:pStyle w:val="Heading3"/>
              <w:rPr>
                <w:szCs w:val="22"/>
              </w:rPr>
            </w:pPr>
            <w:r w:rsidRPr="0074345C">
              <w:rPr>
                <w:szCs w:val="22"/>
              </w:rPr>
              <w:t>Breve descripción del proyecto</w:t>
            </w:r>
          </w:p>
        </w:tc>
        <w:tc>
          <w:tcPr>
            <w:tcW w:w="6912" w:type="dxa"/>
            <w:shd w:val="clear" w:color="auto" w:fill="auto"/>
          </w:tcPr>
          <w:p w:rsidR="003260F8" w:rsidRPr="0074345C" w:rsidRDefault="003260F8" w:rsidP="00E00028">
            <w:pPr>
              <w:rPr>
                <w:szCs w:val="22"/>
              </w:rPr>
            </w:pPr>
          </w:p>
          <w:p w:rsidR="003260F8" w:rsidRPr="0074345C" w:rsidRDefault="00F911EE" w:rsidP="003260F8">
            <w:pPr>
              <w:rPr>
                <w:szCs w:val="22"/>
              </w:rPr>
            </w:pPr>
            <w:r w:rsidRPr="0074345C">
              <w:rPr>
                <w:szCs w:val="22"/>
              </w:rPr>
              <w:t xml:space="preserve">El </w:t>
            </w:r>
            <w:r w:rsidR="00A4402C" w:rsidRPr="0074345C">
              <w:rPr>
                <w:szCs w:val="22"/>
              </w:rPr>
              <w:t>p</w:t>
            </w:r>
            <w:r w:rsidR="009E13C2" w:rsidRPr="0074345C">
              <w:rPr>
                <w:szCs w:val="22"/>
              </w:rPr>
              <w:t>royecto</w:t>
            </w:r>
            <w:r w:rsidR="00502F27" w:rsidRPr="0074345C">
              <w:rPr>
                <w:szCs w:val="22"/>
              </w:rPr>
              <w:t xml:space="preserve"> </w:t>
            </w:r>
            <w:r w:rsidRPr="0074345C">
              <w:rPr>
                <w:szCs w:val="22"/>
              </w:rPr>
              <w:t xml:space="preserve">tiene por objeto facilitar la </w:t>
            </w:r>
            <w:r w:rsidR="006E588F" w:rsidRPr="0074345C">
              <w:rPr>
                <w:szCs w:val="22"/>
              </w:rPr>
              <w:t>creación</w:t>
            </w:r>
            <w:r w:rsidRPr="0074345C">
              <w:rPr>
                <w:szCs w:val="22"/>
              </w:rPr>
              <w:t xml:space="preserve"> de un marco duradero para el sector </w:t>
            </w:r>
            <w:r w:rsidR="00502F27" w:rsidRPr="0074345C">
              <w:rPr>
                <w:szCs w:val="22"/>
              </w:rPr>
              <w:t xml:space="preserve">audiovisual </w:t>
            </w:r>
            <w:r w:rsidRPr="0074345C">
              <w:rPr>
                <w:szCs w:val="22"/>
              </w:rPr>
              <w:t xml:space="preserve">en tres </w:t>
            </w:r>
            <w:r w:rsidR="002034F4" w:rsidRPr="0074345C">
              <w:rPr>
                <w:szCs w:val="22"/>
              </w:rPr>
              <w:t>países</w:t>
            </w:r>
            <w:r w:rsidRPr="0074345C">
              <w:rPr>
                <w:szCs w:val="22"/>
              </w:rPr>
              <w:t xml:space="preserve"> piloto </w:t>
            </w:r>
            <w:r w:rsidR="00502F27" w:rsidRPr="0074345C">
              <w:rPr>
                <w:szCs w:val="22"/>
              </w:rPr>
              <w:t xml:space="preserve">- Burkina Faso, Senegal </w:t>
            </w:r>
            <w:r w:rsidRPr="0074345C">
              <w:rPr>
                <w:szCs w:val="22"/>
              </w:rPr>
              <w:t>y</w:t>
            </w:r>
            <w:r w:rsidR="00502F27" w:rsidRPr="0074345C">
              <w:rPr>
                <w:szCs w:val="22"/>
              </w:rPr>
              <w:t xml:space="preserve"> Kenya, </w:t>
            </w:r>
            <w:r w:rsidRPr="0074345C">
              <w:rPr>
                <w:szCs w:val="22"/>
              </w:rPr>
              <w:t xml:space="preserve">mediante la mejora de </w:t>
            </w:r>
            <w:r w:rsidR="006E588F" w:rsidRPr="0074345C">
              <w:rPr>
                <w:szCs w:val="22"/>
              </w:rPr>
              <w:t>las estructuras profesionales, de los mercados y del entorno reglamentario</w:t>
            </w:r>
            <w:r w:rsidR="00502F27" w:rsidRPr="0074345C">
              <w:rPr>
                <w:szCs w:val="22"/>
              </w:rPr>
              <w:t xml:space="preserve">. </w:t>
            </w:r>
            <w:r w:rsidR="00040C95" w:rsidRPr="0074345C">
              <w:rPr>
                <w:szCs w:val="22"/>
              </w:rPr>
              <w:t xml:space="preserve"> También tiene por objeto</w:t>
            </w:r>
            <w:r w:rsidR="003260F8" w:rsidRPr="0074345C">
              <w:rPr>
                <w:szCs w:val="22"/>
              </w:rPr>
              <w:t xml:space="preserve"> mejorar la comprensión y </w:t>
            </w:r>
            <w:r w:rsidR="00040C95" w:rsidRPr="0074345C">
              <w:rPr>
                <w:szCs w:val="22"/>
              </w:rPr>
              <w:t xml:space="preserve">el </w:t>
            </w:r>
            <w:r w:rsidR="003260F8" w:rsidRPr="0074345C">
              <w:rPr>
                <w:szCs w:val="22"/>
              </w:rPr>
              <w:t>uso estratégico del sistema de P.I. para fomentar la producción, comercialización y distribución en el sector audiovisual africano.</w:t>
            </w:r>
            <w:r w:rsidR="00502F27" w:rsidRPr="0074345C">
              <w:rPr>
                <w:szCs w:val="22"/>
              </w:rPr>
              <w:t xml:space="preserve">  </w:t>
            </w:r>
            <w:r w:rsidR="006E588F" w:rsidRPr="0074345C">
              <w:rPr>
                <w:szCs w:val="22"/>
              </w:rPr>
              <w:t xml:space="preserve">El objetivo fundamental del </w:t>
            </w:r>
            <w:r w:rsidR="009E13C2" w:rsidRPr="0074345C">
              <w:rPr>
                <w:szCs w:val="22"/>
              </w:rPr>
              <w:t xml:space="preserve">proyecto </w:t>
            </w:r>
            <w:r w:rsidR="006E588F" w:rsidRPr="0074345C">
              <w:rPr>
                <w:szCs w:val="22"/>
              </w:rPr>
              <w:t>es promover la creatividad y las industrias creativas en determinados pa</w:t>
            </w:r>
            <w:r w:rsidR="002034F4" w:rsidRPr="0074345C">
              <w:rPr>
                <w:szCs w:val="22"/>
              </w:rPr>
              <w:t>íses</w:t>
            </w:r>
            <w:r w:rsidR="006E588F" w:rsidRPr="0074345C">
              <w:rPr>
                <w:szCs w:val="22"/>
              </w:rPr>
              <w:t xml:space="preserve"> </w:t>
            </w:r>
            <w:r w:rsidR="001D3128" w:rsidRPr="0074345C">
              <w:rPr>
                <w:szCs w:val="22"/>
              </w:rPr>
              <w:t>de África</w:t>
            </w:r>
            <w:r w:rsidR="00502F27" w:rsidRPr="0074345C">
              <w:rPr>
                <w:szCs w:val="22"/>
              </w:rPr>
              <w:t>.</w:t>
            </w:r>
          </w:p>
          <w:p w:rsidR="003260F8" w:rsidRPr="0074345C" w:rsidRDefault="003260F8" w:rsidP="00E00028">
            <w:pPr>
              <w:rPr>
                <w:szCs w:val="22"/>
              </w:rPr>
            </w:pPr>
          </w:p>
          <w:p w:rsidR="003260F8" w:rsidRPr="0074345C" w:rsidRDefault="006E588F" w:rsidP="00E00028">
            <w:pPr>
              <w:rPr>
                <w:szCs w:val="22"/>
              </w:rPr>
            </w:pPr>
            <w:r w:rsidRPr="0074345C">
              <w:rPr>
                <w:szCs w:val="22"/>
              </w:rPr>
              <w:t>El p</w:t>
            </w:r>
            <w:r w:rsidR="009E13C2" w:rsidRPr="0074345C">
              <w:rPr>
                <w:szCs w:val="22"/>
              </w:rPr>
              <w:t>royecto</w:t>
            </w:r>
            <w:r w:rsidRPr="0074345C">
              <w:rPr>
                <w:szCs w:val="22"/>
              </w:rPr>
              <w:t xml:space="preserve"> consta de dos componentes esenciales</w:t>
            </w:r>
            <w:r w:rsidR="00502F27" w:rsidRPr="0074345C">
              <w:rPr>
                <w:szCs w:val="22"/>
              </w:rPr>
              <w:t>.</w:t>
            </w:r>
            <w:r w:rsidRPr="0074345C">
              <w:rPr>
                <w:szCs w:val="22"/>
              </w:rPr>
              <w:t xml:space="preserve"> El primero se relaciona con el ámbito del desarrollo y la formación profesional. El segundo componente atañe al marco reglamentario y tiene por objeto aumentar la rentabilidad de las transacciones basadas en la P.I. en el sector audiovisual mediante prácticas pertinentes, capacidad </w:t>
            </w:r>
            <w:r w:rsidR="000357F9" w:rsidRPr="0074345C">
              <w:rPr>
                <w:szCs w:val="22"/>
              </w:rPr>
              <w:t xml:space="preserve">e infraestructura </w:t>
            </w:r>
            <w:r w:rsidRPr="0074345C">
              <w:rPr>
                <w:szCs w:val="22"/>
              </w:rPr>
              <w:t>institucional</w:t>
            </w:r>
            <w:r w:rsidR="00502F27" w:rsidRPr="0074345C">
              <w:rPr>
                <w:szCs w:val="22"/>
              </w:rPr>
              <w:t xml:space="preserve">. </w:t>
            </w:r>
          </w:p>
          <w:p w:rsidR="003260F8" w:rsidRPr="0074345C" w:rsidRDefault="003260F8" w:rsidP="00E00028">
            <w:pPr>
              <w:rPr>
                <w:szCs w:val="22"/>
              </w:rPr>
            </w:pPr>
          </w:p>
          <w:p w:rsidR="00502F27" w:rsidRPr="0074345C" w:rsidRDefault="003260F8" w:rsidP="003260F8">
            <w:pPr>
              <w:rPr>
                <w:szCs w:val="22"/>
              </w:rPr>
            </w:pPr>
            <w:r w:rsidRPr="0074345C">
              <w:rPr>
                <w:szCs w:val="22"/>
              </w:rPr>
              <w:t>Se trata de un proyecto piloto que se centra en un número limitado de países beneficiarios para velar por que se logren sinergias e intercambios de experiencias entre los sectores audiovisuales de algunos países de África, en rápida expansión.</w:t>
            </w:r>
          </w:p>
        </w:tc>
      </w:tr>
    </w:tbl>
    <w:p w:rsidR="00502F27" w:rsidRPr="0074345C" w:rsidRDefault="00502F27" w:rsidP="00502F27">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484"/>
        </w:trPr>
        <w:tc>
          <w:tcPr>
            <w:tcW w:w="2376" w:type="dxa"/>
            <w:shd w:val="clear" w:color="auto" w:fill="auto"/>
          </w:tcPr>
          <w:p w:rsidR="00502F27" w:rsidRPr="0074345C" w:rsidRDefault="00502F27" w:rsidP="003260F8">
            <w:pPr>
              <w:pStyle w:val="Heading3"/>
              <w:rPr>
                <w:szCs w:val="22"/>
              </w:rPr>
            </w:pPr>
            <w:r w:rsidRPr="0074345C">
              <w:rPr>
                <w:szCs w:val="22"/>
              </w:rPr>
              <w:lastRenderedPageBreak/>
              <w:br w:type="page"/>
            </w:r>
            <w:r w:rsidR="003260F8" w:rsidRPr="0074345C">
              <w:rPr>
                <w:szCs w:val="22"/>
              </w:rPr>
              <w:t>Director del Proyecto</w:t>
            </w:r>
          </w:p>
        </w:tc>
        <w:tc>
          <w:tcPr>
            <w:tcW w:w="6912" w:type="dxa"/>
            <w:vAlign w:val="center"/>
          </w:tcPr>
          <w:p w:rsidR="003260F8" w:rsidRPr="0074345C" w:rsidRDefault="003260F8" w:rsidP="00E00028">
            <w:pPr>
              <w:rPr>
                <w:iCs/>
                <w:szCs w:val="22"/>
              </w:rPr>
            </w:pPr>
          </w:p>
          <w:p w:rsidR="003260F8" w:rsidRPr="0074345C" w:rsidRDefault="003260F8" w:rsidP="003260F8">
            <w:pPr>
              <w:rPr>
                <w:iCs/>
                <w:szCs w:val="22"/>
              </w:rPr>
            </w:pPr>
            <w:r w:rsidRPr="0074345C">
              <w:rPr>
                <w:iCs/>
                <w:szCs w:val="22"/>
              </w:rPr>
              <w:t>Sra. Carole Croella</w:t>
            </w:r>
          </w:p>
          <w:p w:rsidR="00502F27" w:rsidRPr="0074345C" w:rsidRDefault="00502F27" w:rsidP="00E00028">
            <w:pPr>
              <w:rPr>
                <w:iCs/>
                <w:szCs w:val="22"/>
              </w:rPr>
            </w:pPr>
          </w:p>
        </w:tc>
      </w:tr>
      <w:tr w:rsidR="006376E7" w:rsidRPr="0074345C" w:rsidTr="00E00028">
        <w:trPr>
          <w:trHeight w:val="1165"/>
        </w:trPr>
        <w:tc>
          <w:tcPr>
            <w:tcW w:w="2376" w:type="dxa"/>
            <w:shd w:val="clear" w:color="auto" w:fill="auto"/>
          </w:tcPr>
          <w:p w:rsidR="003260F8" w:rsidRPr="0074345C" w:rsidRDefault="003260F8" w:rsidP="003260F8">
            <w:pPr>
              <w:pStyle w:val="Heading3"/>
              <w:rPr>
                <w:szCs w:val="22"/>
              </w:rPr>
            </w:pPr>
            <w:r w:rsidRPr="0074345C">
              <w:rPr>
                <w:szCs w:val="22"/>
              </w:rPr>
              <w:t xml:space="preserve">Vínculos con los resultados previstos en el presupuesto por </w:t>
            </w:r>
            <w:r w:rsidR="00AC0CD4" w:rsidRPr="0074345C">
              <w:rPr>
                <w:szCs w:val="22"/>
              </w:rPr>
              <w:t>Programas</w:t>
            </w:r>
            <w:r w:rsidR="00FA1113" w:rsidRPr="0074345C">
              <w:rPr>
                <w:szCs w:val="22"/>
              </w:rPr>
              <w:t xml:space="preserve"> 2012/13</w:t>
            </w:r>
          </w:p>
          <w:p w:rsidR="00502F27" w:rsidRPr="0074345C" w:rsidDel="00196374" w:rsidRDefault="00502F27" w:rsidP="00E00028"/>
        </w:tc>
        <w:tc>
          <w:tcPr>
            <w:tcW w:w="6912" w:type="dxa"/>
          </w:tcPr>
          <w:p w:rsidR="003260F8" w:rsidRPr="0074345C" w:rsidRDefault="003260F8" w:rsidP="00E00028">
            <w:pPr>
              <w:rPr>
                <w:iCs/>
                <w:szCs w:val="22"/>
              </w:rPr>
            </w:pPr>
          </w:p>
          <w:p w:rsidR="00502F27" w:rsidRPr="0074345C" w:rsidDel="00196374" w:rsidRDefault="009E13C2" w:rsidP="003260F8">
            <w:pPr>
              <w:rPr>
                <w:iCs/>
                <w:szCs w:val="22"/>
              </w:rPr>
            </w:pPr>
            <w:r w:rsidRPr="0074345C">
              <w:rPr>
                <w:iCs/>
                <w:szCs w:val="22"/>
              </w:rPr>
              <w:t xml:space="preserve">Programa </w:t>
            </w:r>
            <w:r w:rsidR="003260F8" w:rsidRPr="0074345C">
              <w:rPr>
                <w:iCs/>
                <w:szCs w:val="22"/>
              </w:rPr>
              <w:t>a 3</w:t>
            </w:r>
          </w:p>
        </w:tc>
      </w:tr>
      <w:tr w:rsidR="006376E7" w:rsidRPr="0074345C" w:rsidTr="00E00028">
        <w:trPr>
          <w:trHeight w:val="1735"/>
        </w:trPr>
        <w:tc>
          <w:tcPr>
            <w:tcW w:w="2376" w:type="dxa"/>
            <w:shd w:val="clear" w:color="auto" w:fill="auto"/>
          </w:tcPr>
          <w:p w:rsidR="003260F8" w:rsidRPr="0074345C" w:rsidRDefault="003260F8" w:rsidP="003260F8">
            <w:pPr>
              <w:pStyle w:val="Heading3"/>
              <w:rPr>
                <w:szCs w:val="22"/>
              </w:rPr>
            </w:pPr>
            <w:r w:rsidRPr="0074345C">
              <w:rPr>
                <w:szCs w:val="22"/>
              </w:rPr>
              <w:t>Progreso en la ejecución del proyecto</w:t>
            </w:r>
          </w:p>
          <w:p w:rsidR="00502F27" w:rsidRPr="0074345C" w:rsidRDefault="00502F27" w:rsidP="00E00028">
            <w:pPr>
              <w:rPr>
                <w:szCs w:val="22"/>
              </w:rPr>
            </w:pPr>
          </w:p>
        </w:tc>
        <w:tc>
          <w:tcPr>
            <w:tcW w:w="6912" w:type="dxa"/>
          </w:tcPr>
          <w:p w:rsidR="003260F8" w:rsidRPr="0074345C" w:rsidRDefault="003260F8" w:rsidP="00E00028">
            <w:pPr>
              <w:rPr>
                <w:szCs w:val="22"/>
                <w:u w:val="single"/>
              </w:rPr>
            </w:pPr>
          </w:p>
          <w:p w:rsidR="003260F8" w:rsidRPr="0074345C" w:rsidRDefault="001D3128" w:rsidP="00E00028">
            <w:pPr>
              <w:rPr>
                <w:szCs w:val="22"/>
                <w:u w:val="single"/>
              </w:rPr>
            </w:pPr>
            <w:r w:rsidRPr="0074345C">
              <w:rPr>
                <w:szCs w:val="22"/>
                <w:u w:val="single"/>
              </w:rPr>
              <w:t xml:space="preserve">Primera actividad del proyecto: documentos de antecedentes y estudios </w:t>
            </w:r>
          </w:p>
          <w:p w:rsidR="001D3128" w:rsidRPr="0074345C" w:rsidRDefault="001D3128" w:rsidP="00E00028">
            <w:pPr>
              <w:rPr>
                <w:szCs w:val="22"/>
              </w:rPr>
            </w:pPr>
          </w:p>
          <w:p w:rsidR="000357F9" w:rsidRPr="0074345C" w:rsidRDefault="001D3128" w:rsidP="00E00028">
            <w:pPr>
              <w:rPr>
                <w:szCs w:val="22"/>
              </w:rPr>
            </w:pPr>
            <w:r w:rsidRPr="0074345C">
              <w:rPr>
                <w:szCs w:val="22"/>
              </w:rPr>
              <w:t xml:space="preserve">Este componente del </w:t>
            </w:r>
            <w:r w:rsidR="009E13C2" w:rsidRPr="0074345C">
              <w:rPr>
                <w:szCs w:val="22"/>
              </w:rPr>
              <w:t>proyecto</w:t>
            </w:r>
            <w:r w:rsidRPr="0074345C">
              <w:rPr>
                <w:szCs w:val="22"/>
              </w:rPr>
              <w:t xml:space="preserve"> </w:t>
            </w:r>
            <w:r w:rsidR="000357F9" w:rsidRPr="0074345C">
              <w:rPr>
                <w:szCs w:val="22"/>
              </w:rPr>
              <w:t xml:space="preserve">concluyó al finalizarse </w:t>
            </w:r>
            <w:r w:rsidRPr="0074345C">
              <w:rPr>
                <w:szCs w:val="22"/>
              </w:rPr>
              <w:t xml:space="preserve">el </w:t>
            </w:r>
            <w:r w:rsidR="00193CE1" w:rsidRPr="0074345C">
              <w:rPr>
                <w:szCs w:val="22"/>
              </w:rPr>
              <w:t xml:space="preserve">estudio </w:t>
            </w:r>
            <w:r w:rsidRPr="0074345C">
              <w:rPr>
                <w:szCs w:val="22"/>
              </w:rPr>
              <w:t>sobre la</w:t>
            </w:r>
            <w:r w:rsidR="00502F27" w:rsidRPr="0074345C">
              <w:rPr>
                <w:szCs w:val="22"/>
              </w:rPr>
              <w:t xml:space="preserve"> “</w:t>
            </w:r>
            <w:r w:rsidRPr="0074345C">
              <w:rPr>
                <w:szCs w:val="22"/>
              </w:rPr>
              <w:t>Negociación de derechos y la gestión colectiva de derechos en el sector audiovisual</w:t>
            </w:r>
            <w:r w:rsidR="00502F27" w:rsidRPr="0074345C">
              <w:rPr>
                <w:szCs w:val="22"/>
              </w:rPr>
              <w:t xml:space="preserve">” </w:t>
            </w:r>
            <w:r w:rsidRPr="0074345C">
              <w:rPr>
                <w:szCs w:val="22"/>
              </w:rPr>
              <w:t>elaborado por la Sra</w:t>
            </w:r>
            <w:r w:rsidR="00502F27" w:rsidRPr="0074345C">
              <w:rPr>
                <w:szCs w:val="22"/>
              </w:rPr>
              <w:t xml:space="preserve">. </w:t>
            </w:r>
            <w:proofErr w:type="spellStart"/>
            <w:r w:rsidR="00502F27" w:rsidRPr="0074345C">
              <w:rPr>
                <w:szCs w:val="22"/>
              </w:rPr>
              <w:t>Koskinen-Olsson</w:t>
            </w:r>
            <w:proofErr w:type="spellEnd"/>
            <w:r w:rsidR="00502F27" w:rsidRPr="0074345C">
              <w:rPr>
                <w:szCs w:val="22"/>
              </w:rPr>
              <w:t xml:space="preserve">.  </w:t>
            </w:r>
            <w:r w:rsidRPr="0074345C">
              <w:rPr>
                <w:szCs w:val="22"/>
              </w:rPr>
              <w:t xml:space="preserve">El estudio describe el funcionamiento de la gestión de los derechos audiovisuales y expone las principales conclusiones en los </w:t>
            </w:r>
            <w:r w:rsidR="002034F4" w:rsidRPr="0074345C">
              <w:rPr>
                <w:szCs w:val="22"/>
              </w:rPr>
              <w:t>países</w:t>
            </w:r>
            <w:r w:rsidRPr="0074345C">
              <w:rPr>
                <w:szCs w:val="22"/>
              </w:rPr>
              <w:t xml:space="preserve"> beneficiarios sobre la base de los datos recibidos de esos</w:t>
            </w:r>
            <w:r w:rsidR="00502F27" w:rsidRPr="0074345C">
              <w:rPr>
                <w:szCs w:val="22"/>
              </w:rPr>
              <w:t xml:space="preserve"> </w:t>
            </w:r>
            <w:r w:rsidR="002034F4" w:rsidRPr="0074345C">
              <w:rPr>
                <w:szCs w:val="22"/>
              </w:rPr>
              <w:t>países</w:t>
            </w:r>
            <w:r w:rsidR="00502F27" w:rsidRPr="0074345C">
              <w:rPr>
                <w:szCs w:val="22"/>
              </w:rPr>
              <w:t xml:space="preserve">. </w:t>
            </w:r>
            <w:r w:rsidRPr="0074345C">
              <w:rPr>
                <w:szCs w:val="22"/>
              </w:rPr>
              <w:t>Se puede consultar el estudio y el resumen en</w:t>
            </w:r>
            <w:r w:rsidR="00502F27" w:rsidRPr="0074345C">
              <w:rPr>
                <w:szCs w:val="22"/>
              </w:rPr>
              <w:t xml:space="preserve">: </w:t>
            </w:r>
            <w:hyperlink r:id="rId49" w:history="1">
              <w:r w:rsidR="000357F9" w:rsidRPr="0074345C">
                <w:rPr>
                  <w:rStyle w:val="Hyperlink"/>
                  <w:color w:val="auto"/>
                  <w:szCs w:val="22"/>
                </w:rPr>
                <w:t>http://www.wipo.int/meetings/es/doc_details.jsp?doc_id=283200</w:t>
              </w:r>
            </w:hyperlink>
          </w:p>
          <w:p w:rsidR="003260F8" w:rsidRPr="0074345C" w:rsidRDefault="001D3128" w:rsidP="00E00028">
            <w:pPr>
              <w:rPr>
                <w:szCs w:val="22"/>
              </w:rPr>
            </w:pPr>
            <w:r w:rsidRPr="0074345C">
              <w:rPr>
                <w:szCs w:val="22"/>
              </w:rPr>
              <w:t xml:space="preserve">El </w:t>
            </w:r>
            <w:r w:rsidR="00193CE1" w:rsidRPr="0074345C">
              <w:rPr>
                <w:szCs w:val="22"/>
              </w:rPr>
              <w:t>estudio</w:t>
            </w:r>
            <w:r w:rsidRPr="0074345C">
              <w:rPr>
                <w:szCs w:val="22"/>
              </w:rPr>
              <w:t xml:space="preserve"> se presentará en la presente sesión del </w:t>
            </w:r>
            <w:r w:rsidR="009E13C2" w:rsidRPr="0074345C">
              <w:rPr>
                <w:szCs w:val="22"/>
              </w:rPr>
              <w:t>CDIP</w:t>
            </w:r>
            <w:r w:rsidR="00502F27" w:rsidRPr="0074345C">
              <w:rPr>
                <w:szCs w:val="22"/>
              </w:rPr>
              <w:t>.</w:t>
            </w:r>
          </w:p>
          <w:p w:rsidR="003260F8" w:rsidRPr="0074345C" w:rsidRDefault="003260F8" w:rsidP="00E00028">
            <w:pPr>
              <w:jc w:val="both"/>
              <w:rPr>
                <w:szCs w:val="22"/>
              </w:rPr>
            </w:pPr>
          </w:p>
          <w:p w:rsidR="003260F8" w:rsidRPr="0074345C" w:rsidRDefault="001D3128" w:rsidP="00E00028">
            <w:pPr>
              <w:rPr>
                <w:szCs w:val="22"/>
                <w:u w:val="single"/>
              </w:rPr>
            </w:pPr>
            <w:r w:rsidRPr="0074345C">
              <w:rPr>
                <w:szCs w:val="22"/>
                <w:u w:val="single"/>
              </w:rPr>
              <w:t>Segunda actividad del proyecto: seminarios de capacitación y desarrollo profesional</w:t>
            </w:r>
          </w:p>
          <w:p w:rsidR="003260F8" w:rsidRPr="0074345C" w:rsidRDefault="003260F8" w:rsidP="00E00028">
            <w:pPr>
              <w:rPr>
                <w:szCs w:val="22"/>
                <w:u w:val="single"/>
              </w:rPr>
            </w:pPr>
          </w:p>
          <w:p w:rsidR="003260F8" w:rsidRPr="0074345C" w:rsidRDefault="00EB779E" w:rsidP="00E00028">
            <w:pPr>
              <w:rPr>
                <w:szCs w:val="22"/>
              </w:rPr>
            </w:pPr>
            <w:r w:rsidRPr="0074345C">
              <w:rPr>
                <w:szCs w:val="22"/>
              </w:rPr>
              <w:t xml:space="preserve">Se designó a un funcionario a tiempo parcial en </w:t>
            </w:r>
            <w:r w:rsidR="002034F4" w:rsidRPr="0074345C">
              <w:rPr>
                <w:szCs w:val="22"/>
              </w:rPr>
              <w:t>noviembre de</w:t>
            </w:r>
            <w:r w:rsidR="00502F27" w:rsidRPr="0074345C">
              <w:rPr>
                <w:szCs w:val="22"/>
              </w:rPr>
              <w:t xml:space="preserve"> 2013 </w:t>
            </w:r>
            <w:r w:rsidRPr="0074345C">
              <w:rPr>
                <w:szCs w:val="22"/>
              </w:rPr>
              <w:t>para brindar apoyo administrativo a la gestión del p</w:t>
            </w:r>
            <w:r w:rsidR="009E13C2" w:rsidRPr="0074345C">
              <w:rPr>
                <w:szCs w:val="22"/>
              </w:rPr>
              <w:t xml:space="preserve">royecto </w:t>
            </w:r>
            <w:r w:rsidRPr="0074345C">
              <w:rPr>
                <w:szCs w:val="22"/>
              </w:rPr>
              <w:t xml:space="preserve">y la organización de los </w:t>
            </w:r>
            <w:r w:rsidR="00EB6DF9" w:rsidRPr="0074345C">
              <w:rPr>
                <w:szCs w:val="22"/>
              </w:rPr>
              <w:t>talleres de formación</w:t>
            </w:r>
            <w:r w:rsidR="00502F27" w:rsidRPr="0074345C">
              <w:rPr>
                <w:szCs w:val="22"/>
              </w:rPr>
              <w:t>.</w:t>
            </w:r>
            <w:r w:rsidR="0067694D" w:rsidRPr="0074345C">
              <w:rPr>
                <w:szCs w:val="22"/>
              </w:rPr>
              <w:t xml:space="preserve"> E</w:t>
            </w:r>
            <w:r w:rsidR="00870CE1" w:rsidRPr="0074345C">
              <w:rPr>
                <w:szCs w:val="22"/>
              </w:rPr>
              <w:t>sto permitió poner en marcha e componente de formación y des</w:t>
            </w:r>
            <w:r w:rsidR="0067694D" w:rsidRPr="0074345C">
              <w:rPr>
                <w:szCs w:val="22"/>
              </w:rPr>
              <w:t>a</w:t>
            </w:r>
            <w:r w:rsidR="00870CE1" w:rsidRPr="0074345C">
              <w:rPr>
                <w:szCs w:val="22"/>
              </w:rPr>
              <w:t>rrollo profesional</w:t>
            </w:r>
            <w:r w:rsidR="00502F27" w:rsidRPr="0074345C">
              <w:rPr>
                <w:szCs w:val="22"/>
              </w:rPr>
              <w:t xml:space="preserve">. </w:t>
            </w:r>
          </w:p>
          <w:p w:rsidR="003260F8" w:rsidRPr="0074345C" w:rsidRDefault="003260F8" w:rsidP="00E00028">
            <w:pPr>
              <w:rPr>
                <w:szCs w:val="22"/>
              </w:rPr>
            </w:pPr>
          </w:p>
          <w:p w:rsidR="003260F8" w:rsidRPr="0074345C" w:rsidRDefault="00EB779E" w:rsidP="00E00028">
            <w:pPr>
              <w:rPr>
                <w:szCs w:val="22"/>
              </w:rPr>
            </w:pPr>
            <w:r w:rsidRPr="0074345C">
              <w:rPr>
                <w:szCs w:val="22"/>
              </w:rPr>
              <w:t>Se celebraron</w:t>
            </w:r>
            <w:r w:rsidR="00781843" w:rsidRPr="0074345C">
              <w:rPr>
                <w:szCs w:val="22"/>
              </w:rPr>
              <w:t xml:space="preserve"> tres </w:t>
            </w:r>
            <w:r w:rsidR="00EB6DF9" w:rsidRPr="0074345C">
              <w:rPr>
                <w:szCs w:val="22"/>
              </w:rPr>
              <w:t>talleres de formación</w:t>
            </w:r>
            <w:r w:rsidR="00781843" w:rsidRPr="0074345C">
              <w:rPr>
                <w:szCs w:val="22"/>
              </w:rPr>
              <w:t xml:space="preserve"> </w:t>
            </w:r>
            <w:r w:rsidRPr="0074345C">
              <w:rPr>
                <w:szCs w:val="22"/>
              </w:rPr>
              <w:t xml:space="preserve">en </w:t>
            </w:r>
            <w:r w:rsidR="00502F27" w:rsidRPr="0074345C">
              <w:rPr>
                <w:szCs w:val="22"/>
              </w:rPr>
              <w:t>Nairobi</w:t>
            </w:r>
            <w:r w:rsidRPr="0074345C">
              <w:rPr>
                <w:szCs w:val="22"/>
              </w:rPr>
              <w:t>,</w:t>
            </w:r>
            <w:r w:rsidR="00502F27" w:rsidRPr="0074345C">
              <w:rPr>
                <w:szCs w:val="22"/>
              </w:rPr>
              <w:t xml:space="preserve"> Kenya</w:t>
            </w:r>
            <w:r w:rsidRPr="0074345C">
              <w:rPr>
                <w:szCs w:val="22"/>
              </w:rPr>
              <w:t xml:space="preserve">, los días 1 y 2 de abril de </w:t>
            </w:r>
            <w:r w:rsidR="00502F27" w:rsidRPr="0074345C">
              <w:rPr>
                <w:szCs w:val="22"/>
              </w:rPr>
              <w:t>2014</w:t>
            </w:r>
            <w:r w:rsidRPr="0074345C">
              <w:rPr>
                <w:szCs w:val="22"/>
              </w:rPr>
              <w:t>;</w:t>
            </w:r>
            <w:r w:rsidR="00502F27" w:rsidRPr="0074345C">
              <w:rPr>
                <w:szCs w:val="22"/>
              </w:rPr>
              <w:t xml:space="preserve"> </w:t>
            </w:r>
            <w:r w:rsidRPr="0074345C">
              <w:rPr>
                <w:szCs w:val="22"/>
              </w:rPr>
              <w:t>e</w:t>
            </w:r>
            <w:r w:rsidR="00502F27" w:rsidRPr="0074345C">
              <w:rPr>
                <w:szCs w:val="22"/>
              </w:rPr>
              <w:t xml:space="preserve">n </w:t>
            </w:r>
            <w:r w:rsidR="00FA5186" w:rsidRPr="0074345C">
              <w:rPr>
                <w:szCs w:val="22"/>
              </w:rPr>
              <w:t>Uagadugú, Burkina Faso</w:t>
            </w:r>
            <w:r w:rsidRPr="0074345C">
              <w:rPr>
                <w:szCs w:val="22"/>
              </w:rPr>
              <w:t xml:space="preserve">, los días 7 y 8 de </w:t>
            </w:r>
            <w:r w:rsidR="002034F4" w:rsidRPr="0074345C">
              <w:rPr>
                <w:szCs w:val="22"/>
              </w:rPr>
              <w:t>julio</w:t>
            </w:r>
            <w:r w:rsidRPr="0074345C">
              <w:rPr>
                <w:szCs w:val="22"/>
              </w:rPr>
              <w:t xml:space="preserve"> de 2014, y en </w:t>
            </w:r>
            <w:r w:rsidR="00502F27" w:rsidRPr="0074345C">
              <w:rPr>
                <w:szCs w:val="22"/>
              </w:rPr>
              <w:t>Dakar, Senegal</w:t>
            </w:r>
            <w:r w:rsidRPr="0074345C">
              <w:rPr>
                <w:szCs w:val="22"/>
              </w:rPr>
              <w:t xml:space="preserve">, los días 1 y 2 de </w:t>
            </w:r>
            <w:r w:rsidR="002034F4" w:rsidRPr="0074345C">
              <w:rPr>
                <w:szCs w:val="22"/>
              </w:rPr>
              <w:t>septiembre de</w:t>
            </w:r>
            <w:r w:rsidR="00502F27" w:rsidRPr="0074345C">
              <w:rPr>
                <w:szCs w:val="22"/>
              </w:rPr>
              <w:t xml:space="preserve"> 2014. </w:t>
            </w:r>
            <w:r w:rsidRPr="0074345C">
              <w:rPr>
                <w:szCs w:val="22"/>
              </w:rPr>
              <w:t xml:space="preserve">Cada </w:t>
            </w:r>
            <w:r w:rsidR="00502F27" w:rsidRPr="0074345C">
              <w:rPr>
                <w:szCs w:val="22"/>
              </w:rPr>
              <w:t>seminar</w:t>
            </w:r>
            <w:r w:rsidR="00762E5C" w:rsidRPr="0074345C">
              <w:rPr>
                <w:szCs w:val="22"/>
              </w:rPr>
              <w:t>io reunió</w:t>
            </w:r>
            <w:r w:rsidRPr="0074345C">
              <w:rPr>
                <w:szCs w:val="22"/>
              </w:rPr>
              <w:t xml:space="preserve"> a unos </w:t>
            </w:r>
            <w:r w:rsidR="00502F27" w:rsidRPr="0074345C">
              <w:rPr>
                <w:szCs w:val="22"/>
              </w:rPr>
              <w:t>50 participant</w:t>
            </w:r>
            <w:r w:rsidRPr="0074345C">
              <w:rPr>
                <w:szCs w:val="22"/>
              </w:rPr>
              <w:t>e</w:t>
            </w:r>
            <w:r w:rsidR="00502F27" w:rsidRPr="0074345C">
              <w:rPr>
                <w:szCs w:val="22"/>
              </w:rPr>
              <w:t xml:space="preserve">s. </w:t>
            </w:r>
            <w:r w:rsidRPr="0074345C">
              <w:rPr>
                <w:szCs w:val="22"/>
              </w:rPr>
              <w:t xml:space="preserve">La selección de los participantes para los seminarios se hizo en estrecha colaboración con los </w:t>
            </w:r>
            <w:r w:rsidR="000357F9" w:rsidRPr="0074345C">
              <w:rPr>
                <w:szCs w:val="22"/>
              </w:rPr>
              <w:t>coordinadores</w:t>
            </w:r>
            <w:r w:rsidRPr="0074345C">
              <w:rPr>
                <w:szCs w:val="22"/>
              </w:rPr>
              <w:t xml:space="preserve"> nacionales designados con cada país beneficiario</w:t>
            </w:r>
            <w:r w:rsidR="00502F27" w:rsidRPr="0074345C">
              <w:rPr>
                <w:szCs w:val="22"/>
              </w:rPr>
              <w:t>.</w:t>
            </w:r>
          </w:p>
          <w:p w:rsidR="003260F8" w:rsidRPr="0074345C" w:rsidRDefault="003260F8" w:rsidP="00E00028">
            <w:pPr>
              <w:rPr>
                <w:szCs w:val="22"/>
              </w:rPr>
            </w:pPr>
          </w:p>
          <w:p w:rsidR="003260F8" w:rsidRPr="0074345C" w:rsidRDefault="00EB779E" w:rsidP="00E00028">
            <w:pPr>
              <w:rPr>
                <w:i/>
                <w:szCs w:val="22"/>
              </w:rPr>
            </w:pPr>
            <w:r w:rsidRPr="0074345C">
              <w:rPr>
                <w:szCs w:val="22"/>
              </w:rPr>
              <w:t xml:space="preserve">La concepción del programa científico de los </w:t>
            </w:r>
            <w:r w:rsidR="000357F9" w:rsidRPr="0074345C">
              <w:rPr>
                <w:szCs w:val="22"/>
              </w:rPr>
              <w:t xml:space="preserve">talleres tenía por finalidad </w:t>
            </w:r>
            <w:r w:rsidRPr="0074345C">
              <w:rPr>
                <w:szCs w:val="22"/>
              </w:rPr>
              <w:t>conseguir el objetivo 1 del p</w:t>
            </w:r>
            <w:r w:rsidR="009E13C2" w:rsidRPr="0074345C">
              <w:rPr>
                <w:szCs w:val="22"/>
              </w:rPr>
              <w:t>royecto</w:t>
            </w:r>
            <w:r w:rsidRPr="0074345C">
              <w:rPr>
                <w:szCs w:val="22"/>
              </w:rPr>
              <w:t>, tal como se definió en el documento del p</w:t>
            </w:r>
            <w:r w:rsidR="009E13C2" w:rsidRPr="0074345C">
              <w:rPr>
                <w:szCs w:val="22"/>
              </w:rPr>
              <w:t>royecto</w:t>
            </w:r>
            <w:r w:rsidRPr="0074345C">
              <w:rPr>
                <w:szCs w:val="22"/>
              </w:rPr>
              <w:t xml:space="preserve"> (</w:t>
            </w:r>
            <w:r w:rsidR="00502F27" w:rsidRPr="0074345C">
              <w:rPr>
                <w:szCs w:val="22"/>
              </w:rPr>
              <w:t>document</w:t>
            </w:r>
            <w:r w:rsidRPr="0074345C">
              <w:rPr>
                <w:szCs w:val="22"/>
              </w:rPr>
              <w:t>o</w:t>
            </w:r>
            <w:r w:rsidR="00502F27" w:rsidRPr="0074345C">
              <w:rPr>
                <w:szCs w:val="22"/>
              </w:rPr>
              <w:t xml:space="preserve"> CDIP/9/13</w:t>
            </w:r>
            <w:r w:rsidRPr="0074345C">
              <w:rPr>
                <w:szCs w:val="22"/>
              </w:rPr>
              <w:t>)</w:t>
            </w:r>
            <w:r w:rsidR="00502F27" w:rsidRPr="0074345C">
              <w:rPr>
                <w:szCs w:val="22"/>
              </w:rPr>
              <w:t xml:space="preserve">, </w:t>
            </w:r>
            <w:r w:rsidRPr="0074345C">
              <w:rPr>
                <w:szCs w:val="22"/>
              </w:rPr>
              <w:t xml:space="preserve">a saber, </w:t>
            </w:r>
            <w:r w:rsidR="00502F27" w:rsidRPr="0074345C">
              <w:rPr>
                <w:szCs w:val="22"/>
              </w:rPr>
              <w:t>“</w:t>
            </w:r>
            <w:r w:rsidRPr="0074345C">
              <w:rPr>
                <w:i/>
                <w:szCs w:val="22"/>
              </w:rPr>
              <w:t>Mejorar la utilización del sistema de P.I. para la financiación, producción y distribución de obras audiovisuales</w:t>
            </w:r>
            <w:r w:rsidR="00502F27" w:rsidRPr="0074345C">
              <w:rPr>
                <w:i/>
                <w:szCs w:val="22"/>
              </w:rPr>
              <w:t xml:space="preserve">”. </w:t>
            </w:r>
          </w:p>
          <w:p w:rsidR="003260F8" w:rsidRPr="0074345C" w:rsidRDefault="003260F8" w:rsidP="00E00028">
            <w:pPr>
              <w:rPr>
                <w:i/>
                <w:szCs w:val="22"/>
              </w:rPr>
            </w:pPr>
          </w:p>
          <w:p w:rsidR="003260F8" w:rsidRPr="0074345C" w:rsidRDefault="00870CE1" w:rsidP="00E00028">
            <w:pPr>
              <w:rPr>
                <w:szCs w:val="22"/>
              </w:rPr>
            </w:pPr>
            <w:r w:rsidRPr="0074345C">
              <w:rPr>
                <w:szCs w:val="22"/>
              </w:rPr>
              <w:t xml:space="preserve">Todas las fases de la </w:t>
            </w:r>
            <w:r w:rsidR="00762E5C" w:rsidRPr="0074345C">
              <w:rPr>
                <w:szCs w:val="22"/>
              </w:rPr>
              <w:t>organización</w:t>
            </w:r>
            <w:r w:rsidRPr="0074345C">
              <w:rPr>
                <w:szCs w:val="22"/>
              </w:rPr>
              <w:t xml:space="preserve"> y </w:t>
            </w:r>
            <w:r w:rsidR="00762E5C" w:rsidRPr="0074345C">
              <w:rPr>
                <w:szCs w:val="22"/>
              </w:rPr>
              <w:t>realización</w:t>
            </w:r>
            <w:r w:rsidRPr="0074345C">
              <w:rPr>
                <w:szCs w:val="22"/>
              </w:rPr>
              <w:t xml:space="preserve"> de los programas de </w:t>
            </w:r>
            <w:r w:rsidR="00762E5C" w:rsidRPr="0074345C">
              <w:rPr>
                <w:szCs w:val="22"/>
              </w:rPr>
              <w:t>capacitación</w:t>
            </w:r>
            <w:r w:rsidRPr="0074345C">
              <w:rPr>
                <w:szCs w:val="22"/>
              </w:rPr>
              <w:t xml:space="preserve"> </w:t>
            </w:r>
            <w:r w:rsidR="00CA36D4" w:rsidRPr="0074345C">
              <w:rPr>
                <w:szCs w:val="22"/>
              </w:rPr>
              <w:t>requirieron</w:t>
            </w:r>
            <w:r w:rsidRPr="0074345C">
              <w:rPr>
                <w:szCs w:val="22"/>
              </w:rPr>
              <w:t xml:space="preserve"> una </w:t>
            </w:r>
            <w:r w:rsidR="00762E5C" w:rsidRPr="0074345C">
              <w:rPr>
                <w:szCs w:val="22"/>
              </w:rPr>
              <w:t>estrecha</w:t>
            </w:r>
            <w:r w:rsidRPr="0074345C">
              <w:rPr>
                <w:szCs w:val="22"/>
              </w:rPr>
              <w:t xml:space="preserve"> </w:t>
            </w:r>
            <w:r w:rsidR="00762E5C" w:rsidRPr="0074345C">
              <w:rPr>
                <w:szCs w:val="22"/>
              </w:rPr>
              <w:t>colaboración</w:t>
            </w:r>
            <w:r w:rsidRPr="0074345C">
              <w:rPr>
                <w:szCs w:val="22"/>
              </w:rPr>
              <w:t xml:space="preserve"> con las </w:t>
            </w:r>
            <w:r w:rsidR="00762E5C" w:rsidRPr="0074345C">
              <w:rPr>
                <w:szCs w:val="22"/>
              </w:rPr>
              <w:t>autoridades</w:t>
            </w:r>
            <w:r w:rsidRPr="0074345C">
              <w:rPr>
                <w:szCs w:val="22"/>
              </w:rPr>
              <w:t xml:space="preserve"> nacionales de los</w:t>
            </w:r>
            <w:r w:rsidR="00502F27" w:rsidRPr="0074345C">
              <w:rPr>
                <w:szCs w:val="22"/>
              </w:rPr>
              <w:t xml:space="preserve"> </w:t>
            </w:r>
            <w:r w:rsidR="002034F4" w:rsidRPr="0074345C">
              <w:rPr>
                <w:szCs w:val="22"/>
              </w:rPr>
              <w:t>países</w:t>
            </w:r>
            <w:r w:rsidR="00502F27" w:rsidRPr="0074345C">
              <w:rPr>
                <w:szCs w:val="22"/>
              </w:rPr>
              <w:t xml:space="preserve"> </w:t>
            </w:r>
            <w:r w:rsidR="00762E5C" w:rsidRPr="0074345C">
              <w:rPr>
                <w:szCs w:val="22"/>
              </w:rPr>
              <w:t>beneficiarios</w:t>
            </w:r>
            <w:r w:rsidRPr="0074345C">
              <w:rPr>
                <w:szCs w:val="22"/>
              </w:rPr>
              <w:t xml:space="preserve">, en particular </w:t>
            </w:r>
            <w:r w:rsidR="00CA36D4" w:rsidRPr="0074345C">
              <w:rPr>
                <w:szCs w:val="22"/>
              </w:rPr>
              <w:t xml:space="preserve">con los coordinadores </w:t>
            </w:r>
            <w:r w:rsidRPr="0074345C">
              <w:rPr>
                <w:szCs w:val="22"/>
              </w:rPr>
              <w:t>nacionales designados por cada país</w:t>
            </w:r>
            <w:r w:rsidR="00502F27" w:rsidRPr="0074345C">
              <w:rPr>
                <w:szCs w:val="22"/>
              </w:rPr>
              <w:t xml:space="preserve">, </w:t>
            </w:r>
            <w:r w:rsidRPr="0074345C">
              <w:rPr>
                <w:szCs w:val="22"/>
              </w:rPr>
              <w:t>las oficinas encargadas del d</w:t>
            </w:r>
            <w:r w:rsidR="00193CE1" w:rsidRPr="0074345C">
              <w:rPr>
                <w:szCs w:val="22"/>
              </w:rPr>
              <w:t>erecho de autor</w:t>
            </w:r>
            <w:r w:rsidRPr="0074345C">
              <w:rPr>
                <w:szCs w:val="22"/>
              </w:rPr>
              <w:t xml:space="preserve"> y los </w:t>
            </w:r>
            <w:r w:rsidR="00762E5C" w:rsidRPr="0074345C">
              <w:rPr>
                <w:szCs w:val="22"/>
              </w:rPr>
              <w:t>organismos</w:t>
            </w:r>
            <w:r w:rsidRPr="0074345C">
              <w:rPr>
                <w:szCs w:val="22"/>
              </w:rPr>
              <w:t xml:space="preserve"> nacionales encargados del sector a</w:t>
            </w:r>
            <w:r w:rsidR="00502F27" w:rsidRPr="0074345C">
              <w:rPr>
                <w:szCs w:val="22"/>
              </w:rPr>
              <w:t>udio</w:t>
            </w:r>
            <w:r w:rsidR="0067694D" w:rsidRPr="0074345C">
              <w:rPr>
                <w:szCs w:val="22"/>
              </w:rPr>
              <w:t>visual</w:t>
            </w:r>
            <w:r w:rsidR="00CA36D4" w:rsidRPr="0074345C">
              <w:rPr>
                <w:szCs w:val="22"/>
              </w:rPr>
              <w:t>,</w:t>
            </w:r>
            <w:r w:rsidR="0067694D" w:rsidRPr="0074345C">
              <w:rPr>
                <w:szCs w:val="22"/>
              </w:rPr>
              <w:t xml:space="preserve"> como la </w:t>
            </w:r>
            <w:r w:rsidR="00781843" w:rsidRPr="0074345C">
              <w:rPr>
                <w:szCs w:val="22"/>
              </w:rPr>
              <w:t xml:space="preserve">Comisión Cinematográfica de </w:t>
            </w:r>
            <w:r w:rsidR="00502F27" w:rsidRPr="0074345C">
              <w:rPr>
                <w:szCs w:val="22"/>
              </w:rPr>
              <w:t>Kenya</w:t>
            </w:r>
            <w:r w:rsidR="00CA36D4" w:rsidRPr="0074345C">
              <w:rPr>
                <w:szCs w:val="22"/>
              </w:rPr>
              <w:t>,</w:t>
            </w:r>
            <w:r w:rsidR="00502F27" w:rsidRPr="0074345C">
              <w:rPr>
                <w:szCs w:val="22"/>
              </w:rPr>
              <w:t xml:space="preserve"> </w:t>
            </w:r>
            <w:r w:rsidR="0067694D" w:rsidRPr="0074345C">
              <w:rPr>
                <w:szCs w:val="22"/>
              </w:rPr>
              <w:t>o los centros y direcciones cinematográficos en los otros países beneficiario</w:t>
            </w:r>
            <w:r w:rsidR="002034F4" w:rsidRPr="0074345C">
              <w:rPr>
                <w:szCs w:val="22"/>
              </w:rPr>
              <w:t>s</w:t>
            </w:r>
            <w:r w:rsidR="00502F27" w:rsidRPr="0074345C">
              <w:rPr>
                <w:szCs w:val="22"/>
              </w:rPr>
              <w:t xml:space="preserve">. </w:t>
            </w:r>
          </w:p>
          <w:p w:rsidR="003260F8" w:rsidRDefault="003260F8" w:rsidP="00E00028">
            <w:pPr>
              <w:rPr>
                <w:szCs w:val="22"/>
              </w:rPr>
            </w:pPr>
          </w:p>
          <w:p w:rsidR="0074345C" w:rsidRPr="0074345C" w:rsidRDefault="0074345C" w:rsidP="00E00028">
            <w:pPr>
              <w:rPr>
                <w:szCs w:val="22"/>
              </w:rPr>
            </w:pPr>
          </w:p>
          <w:p w:rsidR="003260F8" w:rsidRPr="0074345C" w:rsidRDefault="0067694D" w:rsidP="00E00028">
            <w:pPr>
              <w:rPr>
                <w:szCs w:val="22"/>
              </w:rPr>
            </w:pPr>
            <w:r w:rsidRPr="0074345C">
              <w:rPr>
                <w:szCs w:val="22"/>
              </w:rPr>
              <w:lastRenderedPageBreak/>
              <w:t xml:space="preserve">Para cada taller de </w:t>
            </w:r>
            <w:r w:rsidR="00762E5C" w:rsidRPr="0074345C">
              <w:rPr>
                <w:szCs w:val="22"/>
              </w:rPr>
              <w:t>capacitación</w:t>
            </w:r>
            <w:r w:rsidR="00502F27" w:rsidRPr="0074345C">
              <w:rPr>
                <w:szCs w:val="22"/>
              </w:rPr>
              <w:t xml:space="preserve">, </w:t>
            </w:r>
            <w:r w:rsidRPr="0074345C">
              <w:rPr>
                <w:szCs w:val="22"/>
              </w:rPr>
              <w:t xml:space="preserve">se </w:t>
            </w:r>
            <w:r w:rsidR="00CA36D4" w:rsidRPr="0074345C">
              <w:rPr>
                <w:szCs w:val="22"/>
              </w:rPr>
              <w:t>ha nombrado</w:t>
            </w:r>
            <w:r w:rsidRPr="0074345C">
              <w:rPr>
                <w:szCs w:val="22"/>
              </w:rPr>
              <w:t xml:space="preserve"> </w:t>
            </w:r>
            <w:r w:rsidR="00CA36D4" w:rsidRPr="0074345C">
              <w:rPr>
                <w:szCs w:val="22"/>
              </w:rPr>
              <w:t xml:space="preserve">a </w:t>
            </w:r>
            <w:r w:rsidRPr="0074345C">
              <w:rPr>
                <w:szCs w:val="22"/>
              </w:rPr>
              <w:t xml:space="preserve">expertos </w:t>
            </w:r>
            <w:r w:rsidR="00762E5C" w:rsidRPr="0074345C">
              <w:rPr>
                <w:szCs w:val="22"/>
              </w:rPr>
              <w:t>internacionales</w:t>
            </w:r>
            <w:r w:rsidRPr="0074345C">
              <w:rPr>
                <w:szCs w:val="22"/>
              </w:rPr>
              <w:t xml:space="preserve"> y africanos </w:t>
            </w:r>
            <w:r w:rsidR="00CA36D4" w:rsidRPr="0074345C">
              <w:rPr>
                <w:szCs w:val="22"/>
              </w:rPr>
              <w:t xml:space="preserve">en función de </w:t>
            </w:r>
            <w:r w:rsidR="00762E5C" w:rsidRPr="0074345C">
              <w:rPr>
                <w:szCs w:val="22"/>
              </w:rPr>
              <w:t>su experiencia</w:t>
            </w:r>
            <w:r w:rsidRPr="0074345C">
              <w:rPr>
                <w:szCs w:val="22"/>
              </w:rPr>
              <w:t xml:space="preserve"> profesional y su conocimiento de </w:t>
            </w:r>
            <w:r w:rsidR="00762E5C" w:rsidRPr="0074345C">
              <w:rPr>
                <w:szCs w:val="22"/>
              </w:rPr>
              <w:t>determinados</w:t>
            </w:r>
            <w:r w:rsidRPr="0074345C">
              <w:rPr>
                <w:szCs w:val="22"/>
              </w:rPr>
              <w:t xml:space="preserve"> aspectos del ámbito </w:t>
            </w:r>
            <w:r w:rsidR="00762E5C" w:rsidRPr="0074345C">
              <w:rPr>
                <w:szCs w:val="22"/>
              </w:rPr>
              <w:t>audiovisual</w:t>
            </w:r>
            <w:r w:rsidRPr="0074345C">
              <w:rPr>
                <w:szCs w:val="22"/>
              </w:rPr>
              <w:t xml:space="preserve"> </w:t>
            </w:r>
            <w:r w:rsidR="00762E5C" w:rsidRPr="0074345C">
              <w:rPr>
                <w:szCs w:val="22"/>
              </w:rPr>
              <w:t>africano</w:t>
            </w:r>
            <w:r w:rsidR="00502F27" w:rsidRPr="0074345C">
              <w:rPr>
                <w:szCs w:val="22"/>
              </w:rPr>
              <w:t xml:space="preserve">. </w:t>
            </w:r>
            <w:r w:rsidRPr="0074345C">
              <w:rPr>
                <w:szCs w:val="22"/>
              </w:rPr>
              <w:t>Algunos de estos expertos</w:t>
            </w:r>
            <w:r w:rsidR="00CA36D4" w:rsidRPr="0074345C">
              <w:rPr>
                <w:szCs w:val="22"/>
              </w:rPr>
              <w:t>,</w:t>
            </w:r>
            <w:r w:rsidRPr="0074345C">
              <w:rPr>
                <w:szCs w:val="22"/>
              </w:rPr>
              <w:t xml:space="preserve"> que </w:t>
            </w:r>
            <w:r w:rsidR="00762E5C" w:rsidRPr="0074345C">
              <w:rPr>
                <w:szCs w:val="22"/>
              </w:rPr>
              <w:t>también</w:t>
            </w:r>
            <w:r w:rsidRPr="0074345C">
              <w:rPr>
                <w:szCs w:val="22"/>
              </w:rPr>
              <w:t xml:space="preserve"> son autores de algunas publicaciones de la </w:t>
            </w:r>
            <w:r w:rsidR="00193CE1" w:rsidRPr="0074345C">
              <w:rPr>
                <w:szCs w:val="22"/>
              </w:rPr>
              <w:t xml:space="preserve">OMPI </w:t>
            </w:r>
            <w:r w:rsidRPr="0074345C">
              <w:rPr>
                <w:szCs w:val="22"/>
              </w:rPr>
              <w:t xml:space="preserve">sobre esa </w:t>
            </w:r>
            <w:r w:rsidR="00762E5C" w:rsidRPr="0074345C">
              <w:rPr>
                <w:szCs w:val="22"/>
              </w:rPr>
              <w:t>cuestión</w:t>
            </w:r>
            <w:r w:rsidRPr="0074345C">
              <w:rPr>
                <w:szCs w:val="22"/>
              </w:rPr>
              <w:t>, pu</w:t>
            </w:r>
            <w:r w:rsidR="000C1CD8" w:rsidRPr="0074345C">
              <w:rPr>
                <w:szCs w:val="22"/>
              </w:rPr>
              <w:t>d</w:t>
            </w:r>
            <w:r w:rsidRPr="0074345C">
              <w:rPr>
                <w:szCs w:val="22"/>
              </w:rPr>
              <w:t xml:space="preserve">ieron utilizar y poner en </w:t>
            </w:r>
            <w:r w:rsidR="00762E5C" w:rsidRPr="0074345C">
              <w:rPr>
                <w:szCs w:val="22"/>
              </w:rPr>
              <w:t>práctica</w:t>
            </w:r>
            <w:r w:rsidRPr="0074345C">
              <w:rPr>
                <w:szCs w:val="22"/>
              </w:rPr>
              <w:t xml:space="preserve"> las herramientas y metodologías </w:t>
            </w:r>
            <w:r w:rsidR="00762E5C" w:rsidRPr="0074345C">
              <w:rPr>
                <w:szCs w:val="22"/>
              </w:rPr>
              <w:t>existentes</w:t>
            </w:r>
            <w:r w:rsidRPr="0074345C">
              <w:rPr>
                <w:szCs w:val="22"/>
              </w:rPr>
              <w:t xml:space="preserve"> de la OMPI, lo que asegura una coherencia y continuidad en este sector</w:t>
            </w:r>
            <w:r w:rsidR="00502F27" w:rsidRPr="0074345C">
              <w:rPr>
                <w:szCs w:val="22"/>
              </w:rPr>
              <w:t xml:space="preserve">. </w:t>
            </w:r>
          </w:p>
          <w:p w:rsidR="00040C95" w:rsidRPr="0074345C" w:rsidRDefault="00040C95" w:rsidP="00E00028">
            <w:pPr>
              <w:rPr>
                <w:szCs w:val="22"/>
              </w:rPr>
            </w:pPr>
          </w:p>
          <w:p w:rsidR="003260F8" w:rsidRPr="0074345C" w:rsidRDefault="0067694D" w:rsidP="00E00028">
            <w:pPr>
              <w:rPr>
                <w:szCs w:val="22"/>
              </w:rPr>
            </w:pPr>
            <w:r w:rsidRPr="0074345C">
              <w:rPr>
                <w:szCs w:val="22"/>
              </w:rPr>
              <w:t xml:space="preserve">En los talleres, los expertos </w:t>
            </w:r>
            <w:r w:rsidR="000C1CD8" w:rsidRPr="0074345C">
              <w:rPr>
                <w:szCs w:val="22"/>
              </w:rPr>
              <w:t xml:space="preserve">proporcionaron a los participantes diversos materiales del programa y modelos de contrato que pueden ser </w:t>
            </w:r>
            <w:r w:rsidR="00762E5C" w:rsidRPr="0074345C">
              <w:rPr>
                <w:szCs w:val="22"/>
              </w:rPr>
              <w:t>adaptados</w:t>
            </w:r>
            <w:r w:rsidR="000C1CD8" w:rsidRPr="0074345C">
              <w:rPr>
                <w:szCs w:val="22"/>
              </w:rPr>
              <w:t xml:space="preserve"> y </w:t>
            </w:r>
            <w:r w:rsidR="00762E5C" w:rsidRPr="0074345C">
              <w:rPr>
                <w:szCs w:val="22"/>
              </w:rPr>
              <w:t>utilizados</w:t>
            </w:r>
            <w:r w:rsidR="000C1CD8" w:rsidRPr="0074345C">
              <w:rPr>
                <w:szCs w:val="22"/>
              </w:rPr>
              <w:t xml:space="preserve">  por lo</w:t>
            </w:r>
            <w:r w:rsidR="00762E5C" w:rsidRPr="0074345C">
              <w:rPr>
                <w:szCs w:val="22"/>
              </w:rPr>
              <w:t>s</w:t>
            </w:r>
            <w:r w:rsidR="000C1CD8" w:rsidRPr="0074345C">
              <w:rPr>
                <w:szCs w:val="22"/>
              </w:rPr>
              <w:t xml:space="preserve"> </w:t>
            </w:r>
            <w:r w:rsidR="00762E5C" w:rsidRPr="0074345C">
              <w:rPr>
                <w:szCs w:val="22"/>
              </w:rPr>
              <w:t>participantes</w:t>
            </w:r>
            <w:r w:rsidR="000C1CD8" w:rsidRPr="0074345C">
              <w:rPr>
                <w:szCs w:val="22"/>
              </w:rPr>
              <w:t xml:space="preserve"> en </w:t>
            </w:r>
            <w:r w:rsidR="00762E5C" w:rsidRPr="0074345C">
              <w:rPr>
                <w:szCs w:val="22"/>
              </w:rPr>
              <w:t>s</w:t>
            </w:r>
            <w:r w:rsidR="000C1CD8" w:rsidRPr="0074345C">
              <w:rPr>
                <w:szCs w:val="22"/>
              </w:rPr>
              <w:t xml:space="preserve">u </w:t>
            </w:r>
            <w:r w:rsidR="00762E5C" w:rsidRPr="0074345C">
              <w:rPr>
                <w:szCs w:val="22"/>
              </w:rPr>
              <w:t>práctica</w:t>
            </w:r>
            <w:r w:rsidR="000C1CD8" w:rsidRPr="0074345C">
              <w:rPr>
                <w:szCs w:val="22"/>
              </w:rPr>
              <w:t xml:space="preserve"> </w:t>
            </w:r>
            <w:r w:rsidR="00762E5C" w:rsidRPr="0074345C">
              <w:rPr>
                <w:szCs w:val="22"/>
              </w:rPr>
              <w:t>profesional</w:t>
            </w:r>
            <w:r w:rsidR="00502F27" w:rsidRPr="0074345C">
              <w:rPr>
                <w:szCs w:val="22"/>
              </w:rPr>
              <w:t xml:space="preserve">. </w:t>
            </w:r>
            <w:r w:rsidR="000C1CD8" w:rsidRPr="0074345C">
              <w:rPr>
                <w:szCs w:val="22"/>
              </w:rPr>
              <w:t xml:space="preserve">Se </w:t>
            </w:r>
            <w:r w:rsidR="00762E5C" w:rsidRPr="0074345C">
              <w:rPr>
                <w:szCs w:val="22"/>
              </w:rPr>
              <w:t>está</w:t>
            </w:r>
            <w:r w:rsidR="000C1CD8" w:rsidRPr="0074345C">
              <w:rPr>
                <w:szCs w:val="22"/>
              </w:rPr>
              <w:t xml:space="preserve"> reuniendo ese material para </w:t>
            </w:r>
            <w:r w:rsidR="00762E5C" w:rsidRPr="0074345C">
              <w:rPr>
                <w:szCs w:val="22"/>
              </w:rPr>
              <w:t>poderlo</w:t>
            </w:r>
            <w:r w:rsidR="000C1CD8" w:rsidRPr="0074345C">
              <w:rPr>
                <w:szCs w:val="22"/>
              </w:rPr>
              <w:t xml:space="preserve"> utilizar como base para la carpeta de </w:t>
            </w:r>
            <w:r w:rsidR="00762E5C" w:rsidRPr="0074345C">
              <w:rPr>
                <w:szCs w:val="22"/>
              </w:rPr>
              <w:t>capacitación</w:t>
            </w:r>
            <w:r w:rsidR="00CA36D4" w:rsidRPr="0074345C">
              <w:rPr>
                <w:szCs w:val="22"/>
              </w:rPr>
              <w:t>/</w:t>
            </w:r>
            <w:r w:rsidR="00781843" w:rsidRPr="0074345C">
              <w:rPr>
                <w:szCs w:val="22"/>
              </w:rPr>
              <w:t>programa</w:t>
            </w:r>
            <w:r w:rsidR="000C1CD8" w:rsidRPr="0074345C">
              <w:rPr>
                <w:szCs w:val="22"/>
              </w:rPr>
              <w:t xml:space="preserve"> de </w:t>
            </w:r>
            <w:r w:rsidR="00762E5C" w:rsidRPr="0074345C">
              <w:rPr>
                <w:szCs w:val="22"/>
              </w:rPr>
              <w:t>formación</w:t>
            </w:r>
            <w:r w:rsidR="000C1CD8" w:rsidRPr="0074345C">
              <w:rPr>
                <w:szCs w:val="22"/>
              </w:rPr>
              <w:t xml:space="preserve"> a distancia que elaborará </w:t>
            </w:r>
            <w:r w:rsidR="00540AEB" w:rsidRPr="0074345C">
              <w:rPr>
                <w:szCs w:val="22"/>
              </w:rPr>
              <w:t xml:space="preserve">la academia de la </w:t>
            </w:r>
            <w:r w:rsidR="00193CE1" w:rsidRPr="0074345C">
              <w:rPr>
                <w:szCs w:val="22"/>
              </w:rPr>
              <w:t>OMP</w:t>
            </w:r>
            <w:r w:rsidR="00CA36D4" w:rsidRPr="0074345C">
              <w:rPr>
                <w:szCs w:val="22"/>
              </w:rPr>
              <w:t>I.</w:t>
            </w:r>
          </w:p>
          <w:p w:rsidR="003260F8" w:rsidRPr="0074345C" w:rsidRDefault="003260F8" w:rsidP="00E00028">
            <w:pPr>
              <w:rPr>
                <w:szCs w:val="22"/>
              </w:rPr>
            </w:pPr>
          </w:p>
          <w:p w:rsidR="003260F8" w:rsidRPr="0074345C" w:rsidRDefault="00540AEB" w:rsidP="00E00028">
            <w:pPr>
              <w:rPr>
                <w:szCs w:val="22"/>
              </w:rPr>
            </w:pPr>
            <w:r w:rsidRPr="0074345C">
              <w:rPr>
                <w:szCs w:val="22"/>
              </w:rPr>
              <w:t xml:space="preserve">Se </w:t>
            </w:r>
            <w:r w:rsidR="00C41C5E" w:rsidRPr="0074345C">
              <w:rPr>
                <w:szCs w:val="22"/>
              </w:rPr>
              <w:t>ha iniciado</w:t>
            </w:r>
            <w:r w:rsidRPr="0074345C">
              <w:rPr>
                <w:szCs w:val="22"/>
              </w:rPr>
              <w:t xml:space="preserve"> </w:t>
            </w:r>
            <w:r w:rsidR="00C41C5E" w:rsidRPr="0074345C">
              <w:rPr>
                <w:szCs w:val="22"/>
              </w:rPr>
              <w:t xml:space="preserve">también </w:t>
            </w:r>
            <w:r w:rsidRPr="0074345C">
              <w:rPr>
                <w:szCs w:val="22"/>
              </w:rPr>
              <w:t xml:space="preserve">una </w:t>
            </w:r>
            <w:r w:rsidR="00762E5C" w:rsidRPr="0074345C">
              <w:rPr>
                <w:szCs w:val="22"/>
              </w:rPr>
              <w:t>colaboración</w:t>
            </w:r>
            <w:r w:rsidRPr="0074345C">
              <w:rPr>
                <w:szCs w:val="22"/>
              </w:rPr>
              <w:t xml:space="preserve"> con un asociado internacional </w:t>
            </w:r>
            <w:r w:rsidR="00762E5C" w:rsidRPr="0074345C">
              <w:rPr>
                <w:szCs w:val="22"/>
              </w:rPr>
              <w:t>externo</w:t>
            </w:r>
            <w:r w:rsidRPr="0074345C">
              <w:rPr>
                <w:szCs w:val="22"/>
              </w:rPr>
              <w:t xml:space="preserve"> para la </w:t>
            </w:r>
            <w:r w:rsidR="00762E5C" w:rsidRPr="0074345C">
              <w:rPr>
                <w:szCs w:val="22"/>
              </w:rPr>
              <w:t>ejecución</w:t>
            </w:r>
            <w:r w:rsidRPr="0074345C">
              <w:rPr>
                <w:szCs w:val="22"/>
              </w:rPr>
              <w:t xml:space="preserve"> del proyecto, con el fin de incluir en el proyecto a importantes </w:t>
            </w:r>
            <w:r w:rsidR="00781843" w:rsidRPr="0074345C">
              <w:rPr>
                <w:szCs w:val="22"/>
              </w:rPr>
              <w:t>asociados</w:t>
            </w:r>
            <w:r w:rsidRPr="0074345C">
              <w:rPr>
                <w:szCs w:val="22"/>
              </w:rPr>
              <w:t xml:space="preserve"> internacionales con experiencia </w:t>
            </w:r>
            <w:r w:rsidR="00762E5C" w:rsidRPr="0074345C">
              <w:rPr>
                <w:szCs w:val="22"/>
              </w:rPr>
              <w:t>práctica</w:t>
            </w:r>
            <w:r w:rsidRPr="0074345C">
              <w:rPr>
                <w:szCs w:val="22"/>
              </w:rPr>
              <w:t xml:space="preserve"> sobre ese tema</w:t>
            </w:r>
            <w:r w:rsidR="00502F27" w:rsidRPr="0074345C">
              <w:rPr>
                <w:szCs w:val="22"/>
              </w:rPr>
              <w:t xml:space="preserve">.  </w:t>
            </w:r>
            <w:r w:rsidRPr="0074345C">
              <w:rPr>
                <w:szCs w:val="22"/>
              </w:rPr>
              <w:t xml:space="preserve">Se asoció a la </w:t>
            </w:r>
            <w:r w:rsidR="00502F27" w:rsidRPr="0074345C">
              <w:rPr>
                <w:szCs w:val="22"/>
              </w:rPr>
              <w:t>“</w:t>
            </w:r>
            <w:proofErr w:type="spellStart"/>
            <w:r w:rsidR="00502F27" w:rsidRPr="0074345C">
              <w:rPr>
                <w:i/>
                <w:szCs w:val="22"/>
              </w:rPr>
              <w:t>Organisation</w:t>
            </w:r>
            <w:proofErr w:type="spellEnd"/>
            <w:r w:rsidR="00502F27" w:rsidRPr="0074345C">
              <w:rPr>
                <w:i/>
                <w:szCs w:val="22"/>
              </w:rPr>
              <w:t xml:space="preserve"> </w:t>
            </w:r>
            <w:proofErr w:type="spellStart"/>
            <w:r w:rsidR="00502F27" w:rsidRPr="0074345C">
              <w:rPr>
                <w:i/>
                <w:szCs w:val="22"/>
              </w:rPr>
              <w:t>Internationale</w:t>
            </w:r>
            <w:proofErr w:type="spellEnd"/>
            <w:r w:rsidR="00502F27" w:rsidRPr="0074345C">
              <w:rPr>
                <w:i/>
                <w:szCs w:val="22"/>
              </w:rPr>
              <w:t xml:space="preserve"> de la </w:t>
            </w:r>
            <w:proofErr w:type="spellStart"/>
            <w:r w:rsidR="00502F27" w:rsidRPr="0074345C">
              <w:rPr>
                <w:i/>
                <w:szCs w:val="22"/>
              </w:rPr>
              <w:t>Francophonie</w:t>
            </w:r>
            <w:proofErr w:type="spellEnd"/>
            <w:r w:rsidR="00502F27" w:rsidRPr="0074345C">
              <w:rPr>
                <w:szCs w:val="22"/>
              </w:rPr>
              <w:t xml:space="preserve">” </w:t>
            </w:r>
            <w:r w:rsidRPr="0074345C">
              <w:rPr>
                <w:szCs w:val="22"/>
              </w:rPr>
              <w:t xml:space="preserve">a la </w:t>
            </w:r>
            <w:r w:rsidR="00762E5C" w:rsidRPr="0074345C">
              <w:rPr>
                <w:szCs w:val="22"/>
              </w:rPr>
              <w:t>organización</w:t>
            </w:r>
            <w:r w:rsidRPr="0074345C">
              <w:rPr>
                <w:szCs w:val="22"/>
              </w:rPr>
              <w:t xml:space="preserve"> de los programas de los seminarios de </w:t>
            </w:r>
            <w:r w:rsidR="00781843" w:rsidRPr="0074345C">
              <w:rPr>
                <w:szCs w:val="22"/>
              </w:rPr>
              <w:t>Uagadugú</w:t>
            </w:r>
            <w:r w:rsidRPr="0074345C">
              <w:rPr>
                <w:szCs w:val="22"/>
              </w:rPr>
              <w:t xml:space="preserve"> y</w:t>
            </w:r>
            <w:r w:rsidR="00502F27" w:rsidRPr="0074345C">
              <w:rPr>
                <w:szCs w:val="22"/>
              </w:rPr>
              <w:t xml:space="preserve"> Dakar. </w:t>
            </w:r>
            <w:r w:rsidRPr="0074345C">
              <w:rPr>
                <w:szCs w:val="22"/>
              </w:rPr>
              <w:t xml:space="preserve">Esta </w:t>
            </w:r>
            <w:r w:rsidR="00762E5C" w:rsidRPr="0074345C">
              <w:rPr>
                <w:szCs w:val="22"/>
              </w:rPr>
              <w:t>cooperación</w:t>
            </w:r>
            <w:r w:rsidRPr="0074345C">
              <w:rPr>
                <w:szCs w:val="22"/>
              </w:rPr>
              <w:t xml:space="preserve"> ha resultado ser provechosa y ha contribuido a la mejora</w:t>
            </w:r>
            <w:r w:rsidR="00CA36D4" w:rsidRPr="0074345C">
              <w:rPr>
                <w:szCs w:val="22"/>
              </w:rPr>
              <w:t xml:space="preserve"> de</w:t>
            </w:r>
            <w:r w:rsidRPr="0074345C">
              <w:rPr>
                <w:szCs w:val="22"/>
              </w:rPr>
              <w:t xml:space="preserve"> los </w:t>
            </w:r>
            <w:r w:rsidR="00762E5C" w:rsidRPr="0074345C">
              <w:rPr>
                <w:szCs w:val="22"/>
              </w:rPr>
              <w:t>componentes</w:t>
            </w:r>
            <w:r w:rsidRPr="0074345C">
              <w:rPr>
                <w:szCs w:val="22"/>
              </w:rPr>
              <w:t xml:space="preserve"> sustantivos de la </w:t>
            </w:r>
            <w:r w:rsidR="00762E5C" w:rsidRPr="0074345C">
              <w:rPr>
                <w:szCs w:val="22"/>
              </w:rPr>
              <w:t>capacitación</w:t>
            </w:r>
            <w:r w:rsidR="00502F27" w:rsidRPr="0074345C">
              <w:rPr>
                <w:szCs w:val="22"/>
              </w:rPr>
              <w:t>.</w:t>
            </w:r>
          </w:p>
          <w:p w:rsidR="003260F8" w:rsidRPr="0074345C" w:rsidRDefault="003260F8" w:rsidP="00E00028">
            <w:pPr>
              <w:rPr>
                <w:szCs w:val="22"/>
              </w:rPr>
            </w:pPr>
          </w:p>
          <w:p w:rsidR="003260F8" w:rsidRPr="0074345C" w:rsidRDefault="00762E5C" w:rsidP="00E00028">
            <w:pPr>
              <w:rPr>
                <w:szCs w:val="22"/>
                <w:u w:val="single"/>
              </w:rPr>
            </w:pPr>
            <w:r w:rsidRPr="0074345C">
              <w:rPr>
                <w:szCs w:val="22"/>
                <w:u w:val="single"/>
              </w:rPr>
              <w:t>Tercera actividad del proyecto: Fortalecimiento de las instituciones y las competencias</w:t>
            </w:r>
            <w:r w:rsidR="00502F27" w:rsidRPr="0074345C">
              <w:rPr>
                <w:szCs w:val="22"/>
                <w:u w:val="single"/>
              </w:rPr>
              <w:t xml:space="preserve">.  </w:t>
            </w:r>
            <w:r w:rsidR="00C41C5E" w:rsidRPr="0074345C">
              <w:rPr>
                <w:szCs w:val="22"/>
                <w:u w:val="single"/>
              </w:rPr>
              <w:t>Capacitación en situ sobre la concesión de licencias</w:t>
            </w:r>
          </w:p>
          <w:p w:rsidR="003260F8" w:rsidRPr="0074345C" w:rsidRDefault="003260F8" w:rsidP="00E00028">
            <w:pPr>
              <w:rPr>
                <w:szCs w:val="22"/>
                <w:u w:val="single"/>
              </w:rPr>
            </w:pPr>
          </w:p>
          <w:p w:rsidR="003260F8" w:rsidRPr="0074345C" w:rsidRDefault="00540AEB" w:rsidP="00E00028">
            <w:pPr>
              <w:rPr>
                <w:szCs w:val="22"/>
              </w:rPr>
            </w:pPr>
            <w:r w:rsidRPr="0074345C">
              <w:rPr>
                <w:szCs w:val="22"/>
              </w:rPr>
              <w:t xml:space="preserve">La </w:t>
            </w:r>
            <w:r w:rsidR="00762E5C" w:rsidRPr="0074345C">
              <w:rPr>
                <w:szCs w:val="22"/>
              </w:rPr>
              <w:t>ejecución</w:t>
            </w:r>
            <w:r w:rsidRPr="0074345C">
              <w:rPr>
                <w:szCs w:val="22"/>
              </w:rPr>
              <w:t xml:space="preserve"> de este </w:t>
            </w:r>
            <w:r w:rsidR="00762E5C" w:rsidRPr="0074345C">
              <w:rPr>
                <w:szCs w:val="22"/>
              </w:rPr>
              <w:t>componente</w:t>
            </w:r>
            <w:r w:rsidRPr="0074345C">
              <w:rPr>
                <w:szCs w:val="22"/>
              </w:rPr>
              <w:t xml:space="preserve"> se iniciar</w:t>
            </w:r>
            <w:r w:rsidR="003C4A81" w:rsidRPr="0074345C">
              <w:rPr>
                <w:szCs w:val="22"/>
              </w:rPr>
              <w:t>á</w:t>
            </w:r>
            <w:r w:rsidRPr="0074345C">
              <w:rPr>
                <w:szCs w:val="22"/>
              </w:rPr>
              <w:t xml:space="preserve"> en el primer trimestre de </w:t>
            </w:r>
            <w:r w:rsidR="00502F27" w:rsidRPr="0074345C">
              <w:rPr>
                <w:szCs w:val="22"/>
              </w:rPr>
              <w:t xml:space="preserve">2015. </w:t>
            </w:r>
          </w:p>
          <w:p w:rsidR="003260F8" w:rsidRPr="0074345C" w:rsidRDefault="003260F8" w:rsidP="00E00028">
            <w:pPr>
              <w:rPr>
                <w:szCs w:val="22"/>
              </w:rPr>
            </w:pPr>
          </w:p>
          <w:p w:rsidR="00502F27" w:rsidRPr="0074345C" w:rsidRDefault="00502F27" w:rsidP="00E00028">
            <w:pPr>
              <w:rPr>
                <w:szCs w:val="22"/>
              </w:rPr>
            </w:pPr>
          </w:p>
        </w:tc>
      </w:tr>
      <w:tr w:rsidR="006376E7" w:rsidRPr="0074345C" w:rsidTr="00E00028">
        <w:trPr>
          <w:trHeight w:val="1212"/>
        </w:trPr>
        <w:tc>
          <w:tcPr>
            <w:tcW w:w="2376" w:type="dxa"/>
            <w:shd w:val="clear" w:color="auto" w:fill="auto"/>
          </w:tcPr>
          <w:p w:rsidR="00502F27" w:rsidRPr="0074345C" w:rsidRDefault="003260F8" w:rsidP="003260F8">
            <w:pPr>
              <w:pStyle w:val="Heading3"/>
              <w:rPr>
                <w:szCs w:val="22"/>
              </w:rPr>
            </w:pPr>
            <w:r w:rsidRPr="0074345C">
              <w:rPr>
                <w:szCs w:val="22"/>
              </w:rPr>
              <w:lastRenderedPageBreak/>
              <w:t>Ejemplos de logros y efectos y enseñanzas extraídas</w:t>
            </w:r>
          </w:p>
        </w:tc>
        <w:tc>
          <w:tcPr>
            <w:tcW w:w="6912" w:type="dxa"/>
            <w:vAlign w:val="center"/>
          </w:tcPr>
          <w:p w:rsidR="003260F8" w:rsidRPr="0074345C" w:rsidRDefault="003260F8" w:rsidP="00E00028">
            <w:pPr>
              <w:rPr>
                <w:iCs/>
                <w:szCs w:val="22"/>
              </w:rPr>
            </w:pPr>
          </w:p>
          <w:p w:rsidR="003260F8" w:rsidRPr="0074345C" w:rsidRDefault="00540AEB" w:rsidP="00E00028">
            <w:pPr>
              <w:rPr>
                <w:iCs/>
                <w:szCs w:val="22"/>
              </w:rPr>
            </w:pPr>
            <w:r w:rsidRPr="0074345C">
              <w:rPr>
                <w:iCs/>
                <w:szCs w:val="22"/>
              </w:rPr>
              <w:t>Si</w:t>
            </w:r>
            <w:r w:rsidR="00CA36D4" w:rsidRPr="0074345C">
              <w:rPr>
                <w:iCs/>
                <w:szCs w:val="22"/>
              </w:rPr>
              <w:t xml:space="preserve"> bien es aú</w:t>
            </w:r>
            <w:r w:rsidRPr="0074345C">
              <w:rPr>
                <w:iCs/>
                <w:szCs w:val="22"/>
              </w:rPr>
              <w:t xml:space="preserve">n </w:t>
            </w:r>
            <w:r w:rsidR="00762E5C" w:rsidRPr="0074345C">
              <w:rPr>
                <w:iCs/>
                <w:szCs w:val="22"/>
              </w:rPr>
              <w:t>prematuro</w:t>
            </w:r>
            <w:r w:rsidRPr="0074345C">
              <w:rPr>
                <w:iCs/>
                <w:szCs w:val="22"/>
              </w:rPr>
              <w:t xml:space="preserve"> evaluar l</w:t>
            </w:r>
            <w:r w:rsidR="00CA36D4" w:rsidRPr="0074345C">
              <w:rPr>
                <w:iCs/>
                <w:szCs w:val="22"/>
              </w:rPr>
              <w:t>os efectos</w:t>
            </w:r>
            <w:r w:rsidRPr="0074345C">
              <w:rPr>
                <w:iCs/>
                <w:szCs w:val="22"/>
              </w:rPr>
              <w:t xml:space="preserve"> del p</w:t>
            </w:r>
            <w:r w:rsidR="009E13C2" w:rsidRPr="0074345C">
              <w:rPr>
                <w:iCs/>
                <w:szCs w:val="22"/>
              </w:rPr>
              <w:t>royecto</w:t>
            </w:r>
            <w:r w:rsidRPr="0074345C">
              <w:rPr>
                <w:iCs/>
                <w:szCs w:val="22"/>
              </w:rPr>
              <w:t xml:space="preserve">, los comentarios </w:t>
            </w:r>
            <w:r w:rsidR="00762E5C" w:rsidRPr="0074345C">
              <w:rPr>
                <w:iCs/>
                <w:szCs w:val="22"/>
              </w:rPr>
              <w:t>iniciales</w:t>
            </w:r>
            <w:r w:rsidRPr="0074345C">
              <w:rPr>
                <w:iCs/>
                <w:szCs w:val="22"/>
              </w:rPr>
              <w:t xml:space="preserve"> recibidos de los participantes</w:t>
            </w:r>
            <w:r w:rsidR="00502F27" w:rsidRPr="0074345C">
              <w:rPr>
                <w:iCs/>
                <w:szCs w:val="22"/>
              </w:rPr>
              <w:t xml:space="preserve"> (</w:t>
            </w:r>
            <w:r w:rsidRPr="0074345C">
              <w:rPr>
                <w:iCs/>
                <w:szCs w:val="22"/>
              </w:rPr>
              <w:t xml:space="preserve">recabados </w:t>
            </w:r>
            <w:r w:rsidR="003C4A81" w:rsidRPr="0074345C">
              <w:rPr>
                <w:iCs/>
                <w:szCs w:val="22"/>
              </w:rPr>
              <w:t>mediante</w:t>
            </w:r>
            <w:r w:rsidRPr="0074345C">
              <w:rPr>
                <w:iCs/>
                <w:szCs w:val="22"/>
              </w:rPr>
              <w:t xml:space="preserve"> un cuestionario </w:t>
            </w:r>
            <w:r w:rsidR="00762E5C" w:rsidRPr="0074345C">
              <w:rPr>
                <w:iCs/>
                <w:szCs w:val="22"/>
              </w:rPr>
              <w:t>confidencial</w:t>
            </w:r>
            <w:r w:rsidRPr="0074345C">
              <w:rPr>
                <w:iCs/>
                <w:szCs w:val="22"/>
              </w:rPr>
              <w:t xml:space="preserve"> </w:t>
            </w:r>
            <w:r w:rsidR="00762E5C" w:rsidRPr="0074345C">
              <w:rPr>
                <w:iCs/>
                <w:szCs w:val="22"/>
              </w:rPr>
              <w:t>distribuido</w:t>
            </w:r>
            <w:r w:rsidRPr="0074345C">
              <w:rPr>
                <w:iCs/>
                <w:szCs w:val="22"/>
              </w:rPr>
              <w:t xml:space="preserve"> al final de ca</w:t>
            </w:r>
            <w:r w:rsidR="00762E5C" w:rsidRPr="0074345C">
              <w:rPr>
                <w:iCs/>
                <w:szCs w:val="22"/>
              </w:rPr>
              <w:t>d</w:t>
            </w:r>
            <w:r w:rsidRPr="0074345C">
              <w:rPr>
                <w:iCs/>
                <w:szCs w:val="22"/>
              </w:rPr>
              <w:t>a taller)</w:t>
            </w:r>
            <w:r w:rsidR="00502F27" w:rsidRPr="0074345C">
              <w:rPr>
                <w:iCs/>
                <w:szCs w:val="22"/>
              </w:rPr>
              <w:t xml:space="preserve"> </w:t>
            </w:r>
            <w:r w:rsidRPr="0074345C">
              <w:rPr>
                <w:iCs/>
                <w:szCs w:val="22"/>
              </w:rPr>
              <w:t>indica</w:t>
            </w:r>
            <w:r w:rsidR="003C4A81" w:rsidRPr="0074345C">
              <w:rPr>
                <w:iCs/>
                <w:szCs w:val="22"/>
              </w:rPr>
              <w:t>n</w:t>
            </w:r>
            <w:r w:rsidRPr="0074345C">
              <w:rPr>
                <w:iCs/>
                <w:szCs w:val="22"/>
              </w:rPr>
              <w:t xml:space="preserve"> que el </w:t>
            </w:r>
            <w:r w:rsidR="009E13C2" w:rsidRPr="0074345C">
              <w:rPr>
                <w:iCs/>
                <w:szCs w:val="22"/>
              </w:rPr>
              <w:t xml:space="preserve">proyecto </w:t>
            </w:r>
            <w:r w:rsidRPr="0074345C">
              <w:rPr>
                <w:iCs/>
                <w:szCs w:val="22"/>
              </w:rPr>
              <w:t xml:space="preserve">es sumamente oportuno y pertinente </w:t>
            </w:r>
            <w:r w:rsidR="00EB7F08" w:rsidRPr="0074345C">
              <w:rPr>
                <w:iCs/>
                <w:szCs w:val="22"/>
              </w:rPr>
              <w:t xml:space="preserve">para el sector </w:t>
            </w:r>
            <w:r w:rsidR="00502F27" w:rsidRPr="0074345C">
              <w:rPr>
                <w:iCs/>
                <w:szCs w:val="22"/>
              </w:rPr>
              <w:t>audiovisual</w:t>
            </w:r>
            <w:r w:rsidR="00EB7F08" w:rsidRPr="0074345C">
              <w:rPr>
                <w:iCs/>
                <w:szCs w:val="22"/>
              </w:rPr>
              <w:t xml:space="preserve">, y que contribuirá a ayudar a la industria cinematográfica a alzar el nivel de desarrollo profesional en </w:t>
            </w:r>
            <w:r w:rsidR="003C4A81" w:rsidRPr="0074345C">
              <w:rPr>
                <w:iCs/>
                <w:szCs w:val="22"/>
              </w:rPr>
              <w:t xml:space="preserve">lo que atañe al </w:t>
            </w:r>
            <w:r w:rsidR="00EB7F08" w:rsidRPr="0074345C">
              <w:rPr>
                <w:iCs/>
                <w:szCs w:val="22"/>
              </w:rPr>
              <w:t xml:space="preserve">uso </w:t>
            </w:r>
            <w:r w:rsidR="00762E5C" w:rsidRPr="0074345C">
              <w:rPr>
                <w:iCs/>
                <w:szCs w:val="22"/>
              </w:rPr>
              <w:t>estratégico</w:t>
            </w:r>
            <w:r w:rsidR="00EB7F08" w:rsidRPr="0074345C">
              <w:rPr>
                <w:iCs/>
                <w:szCs w:val="22"/>
              </w:rPr>
              <w:t xml:space="preserve"> </w:t>
            </w:r>
            <w:r w:rsidR="003C4A81" w:rsidRPr="0074345C">
              <w:rPr>
                <w:iCs/>
                <w:szCs w:val="22"/>
              </w:rPr>
              <w:t xml:space="preserve">que pueden hacer </w:t>
            </w:r>
            <w:r w:rsidR="00EB7F08" w:rsidRPr="0074345C">
              <w:rPr>
                <w:iCs/>
                <w:szCs w:val="22"/>
              </w:rPr>
              <w:t>de los marcos de</w:t>
            </w:r>
            <w:r w:rsidR="00502F27" w:rsidRPr="0074345C">
              <w:rPr>
                <w:szCs w:val="22"/>
              </w:rPr>
              <w:t xml:space="preserve"> </w:t>
            </w:r>
            <w:r w:rsidR="00193CE1" w:rsidRPr="0074345C">
              <w:rPr>
                <w:szCs w:val="22"/>
              </w:rPr>
              <w:t>derecho de autor</w:t>
            </w:r>
            <w:r w:rsidR="003C4A81" w:rsidRPr="0074345C">
              <w:rPr>
                <w:szCs w:val="22"/>
              </w:rPr>
              <w:t xml:space="preserve"> a nivel </w:t>
            </w:r>
            <w:r w:rsidR="003C4A81" w:rsidRPr="0074345C">
              <w:rPr>
                <w:iCs/>
                <w:szCs w:val="22"/>
              </w:rPr>
              <w:t>nacional e internacional</w:t>
            </w:r>
            <w:r w:rsidR="00EB7F08" w:rsidRPr="0074345C">
              <w:rPr>
                <w:szCs w:val="22"/>
              </w:rPr>
              <w:t>.</w:t>
            </w:r>
            <w:r w:rsidR="00502F27" w:rsidRPr="0074345C">
              <w:rPr>
                <w:szCs w:val="22"/>
              </w:rPr>
              <w:t xml:space="preserve"> </w:t>
            </w:r>
          </w:p>
          <w:p w:rsidR="003260F8" w:rsidRPr="0074345C" w:rsidRDefault="003260F8" w:rsidP="00E00028">
            <w:pPr>
              <w:rPr>
                <w:iCs/>
                <w:szCs w:val="22"/>
              </w:rPr>
            </w:pPr>
          </w:p>
          <w:p w:rsidR="003260F8" w:rsidRPr="0074345C" w:rsidRDefault="00EB7F08" w:rsidP="00E00028">
            <w:pPr>
              <w:rPr>
                <w:szCs w:val="22"/>
              </w:rPr>
            </w:pPr>
            <w:r w:rsidRPr="0074345C">
              <w:rPr>
                <w:iCs/>
                <w:szCs w:val="22"/>
              </w:rPr>
              <w:t xml:space="preserve">Cada taller de </w:t>
            </w:r>
            <w:r w:rsidR="00D1202E" w:rsidRPr="0074345C">
              <w:rPr>
                <w:iCs/>
                <w:szCs w:val="22"/>
              </w:rPr>
              <w:t>capacitación</w:t>
            </w:r>
            <w:r w:rsidRPr="0074345C">
              <w:rPr>
                <w:iCs/>
                <w:szCs w:val="22"/>
              </w:rPr>
              <w:t xml:space="preserve"> ha </w:t>
            </w:r>
            <w:r w:rsidR="00D1202E" w:rsidRPr="0074345C">
              <w:rPr>
                <w:iCs/>
                <w:szCs w:val="22"/>
              </w:rPr>
              <w:t>servido</w:t>
            </w:r>
            <w:r w:rsidRPr="0074345C">
              <w:rPr>
                <w:iCs/>
                <w:szCs w:val="22"/>
              </w:rPr>
              <w:t xml:space="preserve"> de pu</w:t>
            </w:r>
            <w:r w:rsidR="003C4A81" w:rsidRPr="0074345C">
              <w:rPr>
                <w:iCs/>
                <w:szCs w:val="22"/>
              </w:rPr>
              <w:t>n</w:t>
            </w:r>
            <w:r w:rsidRPr="0074345C">
              <w:rPr>
                <w:iCs/>
                <w:szCs w:val="22"/>
              </w:rPr>
              <w:t xml:space="preserve">to de </w:t>
            </w:r>
            <w:r w:rsidR="003C4A81" w:rsidRPr="0074345C">
              <w:rPr>
                <w:iCs/>
                <w:szCs w:val="22"/>
              </w:rPr>
              <w:t xml:space="preserve">partida para la </w:t>
            </w:r>
            <w:r w:rsidR="00D1202E" w:rsidRPr="0074345C">
              <w:rPr>
                <w:iCs/>
                <w:szCs w:val="22"/>
              </w:rPr>
              <w:t>promoción</w:t>
            </w:r>
            <w:r w:rsidR="003C4A81" w:rsidRPr="0074345C">
              <w:rPr>
                <w:iCs/>
                <w:szCs w:val="22"/>
              </w:rPr>
              <w:t xml:space="preserve"> de un </w:t>
            </w:r>
            <w:r w:rsidR="00D1202E" w:rsidRPr="0074345C">
              <w:rPr>
                <w:iCs/>
                <w:szCs w:val="22"/>
              </w:rPr>
              <w:t>diálogo</w:t>
            </w:r>
            <w:r w:rsidR="003C4A81" w:rsidRPr="0074345C">
              <w:rPr>
                <w:iCs/>
                <w:szCs w:val="22"/>
              </w:rPr>
              <w:t xml:space="preserve"> estructurado entre todos </w:t>
            </w:r>
            <w:r w:rsidR="00D1202E" w:rsidRPr="0074345C">
              <w:rPr>
                <w:iCs/>
                <w:szCs w:val="22"/>
              </w:rPr>
              <w:t>l</w:t>
            </w:r>
            <w:r w:rsidR="003C4A81" w:rsidRPr="0074345C">
              <w:rPr>
                <w:iCs/>
                <w:szCs w:val="22"/>
              </w:rPr>
              <w:t xml:space="preserve">os representantes de la cadena de valor </w:t>
            </w:r>
            <w:r w:rsidR="00502F27" w:rsidRPr="0074345C">
              <w:rPr>
                <w:iCs/>
                <w:szCs w:val="22"/>
              </w:rPr>
              <w:t>audiovisual (</w:t>
            </w:r>
            <w:r w:rsidR="003C4A81" w:rsidRPr="0074345C">
              <w:rPr>
                <w:iCs/>
                <w:szCs w:val="22"/>
              </w:rPr>
              <w:t>de</w:t>
            </w:r>
            <w:r w:rsidR="00CA36D4" w:rsidRPr="0074345C">
              <w:rPr>
                <w:iCs/>
                <w:szCs w:val="22"/>
              </w:rPr>
              <w:t>sde</w:t>
            </w:r>
            <w:r w:rsidR="003C4A81" w:rsidRPr="0074345C">
              <w:rPr>
                <w:iCs/>
                <w:szCs w:val="22"/>
              </w:rPr>
              <w:t xml:space="preserve"> los directores y actores, los distribuidores del </w:t>
            </w:r>
            <w:r w:rsidR="00D1202E" w:rsidRPr="0074345C">
              <w:rPr>
                <w:iCs/>
                <w:szCs w:val="22"/>
              </w:rPr>
              <w:t>productor</w:t>
            </w:r>
            <w:r w:rsidR="003C4A81" w:rsidRPr="0074345C">
              <w:rPr>
                <w:iCs/>
                <w:szCs w:val="22"/>
              </w:rPr>
              <w:t xml:space="preserve">, minoristas, plataformas </w:t>
            </w:r>
            <w:r w:rsidR="007F3D3A" w:rsidRPr="0074345C">
              <w:rPr>
                <w:iCs/>
                <w:szCs w:val="22"/>
              </w:rPr>
              <w:t xml:space="preserve">en </w:t>
            </w:r>
            <w:r w:rsidR="00D1202E" w:rsidRPr="0074345C">
              <w:rPr>
                <w:iCs/>
                <w:szCs w:val="22"/>
              </w:rPr>
              <w:t>línea</w:t>
            </w:r>
            <w:r w:rsidR="00502F27" w:rsidRPr="0074345C">
              <w:rPr>
                <w:iCs/>
                <w:szCs w:val="22"/>
              </w:rPr>
              <w:t xml:space="preserve">, </w:t>
            </w:r>
            <w:r w:rsidR="007F3D3A" w:rsidRPr="0074345C">
              <w:rPr>
                <w:iCs/>
                <w:szCs w:val="22"/>
              </w:rPr>
              <w:t xml:space="preserve">organismos de radiodifusión y </w:t>
            </w:r>
            <w:r w:rsidR="00D1202E" w:rsidRPr="0074345C">
              <w:rPr>
                <w:iCs/>
                <w:szCs w:val="22"/>
              </w:rPr>
              <w:t>representantes</w:t>
            </w:r>
            <w:r w:rsidR="007F3D3A" w:rsidRPr="0074345C">
              <w:rPr>
                <w:iCs/>
                <w:szCs w:val="22"/>
              </w:rPr>
              <w:t xml:space="preserve"> de los sectores bancario y </w:t>
            </w:r>
            <w:r w:rsidR="00D1202E" w:rsidRPr="0074345C">
              <w:rPr>
                <w:iCs/>
                <w:szCs w:val="22"/>
              </w:rPr>
              <w:t>financiero</w:t>
            </w:r>
            <w:r w:rsidR="00502F27" w:rsidRPr="0074345C">
              <w:rPr>
                <w:iCs/>
                <w:szCs w:val="22"/>
              </w:rPr>
              <w:t xml:space="preserve">). </w:t>
            </w:r>
            <w:r w:rsidR="007F3D3A" w:rsidRPr="0074345C">
              <w:rPr>
                <w:iCs/>
                <w:szCs w:val="22"/>
              </w:rPr>
              <w:t xml:space="preserve">Consideraron que los talleres </w:t>
            </w:r>
            <w:r w:rsidR="00D1202E" w:rsidRPr="0074345C">
              <w:rPr>
                <w:iCs/>
                <w:szCs w:val="22"/>
              </w:rPr>
              <w:t>constituían</w:t>
            </w:r>
            <w:r w:rsidR="007F3D3A" w:rsidRPr="0074345C">
              <w:rPr>
                <w:iCs/>
                <w:szCs w:val="22"/>
              </w:rPr>
              <w:t xml:space="preserve"> una oportunidad </w:t>
            </w:r>
            <w:r w:rsidR="00D1202E" w:rsidRPr="0074345C">
              <w:rPr>
                <w:iCs/>
                <w:szCs w:val="22"/>
              </w:rPr>
              <w:t>única</w:t>
            </w:r>
            <w:r w:rsidR="007F3D3A" w:rsidRPr="0074345C">
              <w:rPr>
                <w:iCs/>
                <w:szCs w:val="22"/>
              </w:rPr>
              <w:t xml:space="preserve"> para reunirse con </w:t>
            </w:r>
            <w:r w:rsidR="00D1202E" w:rsidRPr="0074345C">
              <w:rPr>
                <w:iCs/>
                <w:szCs w:val="22"/>
              </w:rPr>
              <w:t>representantes</w:t>
            </w:r>
            <w:r w:rsidR="007F3D3A" w:rsidRPr="0074345C">
              <w:rPr>
                <w:iCs/>
                <w:szCs w:val="22"/>
              </w:rPr>
              <w:t xml:space="preserve"> del </w:t>
            </w:r>
            <w:r w:rsidR="00D1202E" w:rsidRPr="0074345C">
              <w:rPr>
                <w:iCs/>
                <w:szCs w:val="22"/>
              </w:rPr>
              <w:t>Gobierno</w:t>
            </w:r>
            <w:r w:rsidR="007F3D3A" w:rsidRPr="0074345C">
              <w:rPr>
                <w:iCs/>
                <w:szCs w:val="22"/>
              </w:rPr>
              <w:t xml:space="preserve"> para abordar cuestiones como el apoyo del Gobierno</w:t>
            </w:r>
            <w:r w:rsidR="00502F27" w:rsidRPr="0074345C">
              <w:rPr>
                <w:szCs w:val="22"/>
              </w:rPr>
              <w:t xml:space="preserve">, </w:t>
            </w:r>
            <w:r w:rsidR="007F3D3A" w:rsidRPr="0074345C">
              <w:rPr>
                <w:szCs w:val="22"/>
              </w:rPr>
              <w:t xml:space="preserve">el uso de las normas de derecho de autor o la </w:t>
            </w:r>
            <w:r w:rsidR="00D1202E" w:rsidRPr="0074345C">
              <w:rPr>
                <w:szCs w:val="22"/>
              </w:rPr>
              <w:t>infraestructura</w:t>
            </w:r>
            <w:r w:rsidR="007F3D3A" w:rsidRPr="0074345C">
              <w:rPr>
                <w:szCs w:val="22"/>
              </w:rPr>
              <w:t xml:space="preserve"> de distribución basada en el respeto de los derechos.</w:t>
            </w:r>
            <w:r w:rsidR="00502F27" w:rsidRPr="0074345C">
              <w:rPr>
                <w:szCs w:val="22"/>
              </w:rPr>
              <w:t xml:space="preserve"> </w:t>
            </w:r>
          </w:p>
          <w:p w:rsidR="003260F8" w:rsidRPr="0074345C" w:rsidRDefault="003260F8" w:rsidP="00E00028">
            <w:pPr>
              <w:rPr>
                <w:szCs w:val="22"/>
              </w:rPr>
            </w:pPr>
          </w:p>
          <w:p w:rsidR="003260F8" w:rsidRPr="0074345C" w:rsidRDefault="007F3D3A" w:rsidP="00E00028">
            <w:pPr>
              <w:rPr>
                <w:szCs w:val="22"/>
              </w:rPr>
            </w:pPr>
            <w:r w:rsidRPr="0074345C">
              <w:rPr>
                <w:szCs w:val="22"/>
              </w:rPr>
              <w:t>El p</w:t>
            </w:r>
            <w:r w:rsidR="009E13C2" w:rsidRPr="0074345C">
              <w:rPr>
                <w:szCs w:val="22"/>
              </w:rPr>
              <w:t xml:space="preserve">royecto </w:t>
            </w:r>
            <w:r w:rsidR="00D1202E" w:rsidRPr="0074345C">
              <w:rPr>
                <w:szCs w:val="22"/>
              </w:rPr>
              <w:t>también</w:t>
            </w:r>
            <w:r w:rsidRPr="0074345C">
              <w:rPr>
                <w:szCs w:val="22"/>
              </w:rPr>
              <w:t xml:space="preserve"> ha resultado </w:t>
            </w:r>
            <w:r w:rsidR="00D1202E" w:rsidRPr="0074345C">
              <w:rPr>
                <w:szCs w:val="22"/>
              </w:rPr>
              <w:t>útil</w:t>
            </w:r>
            <w:r w:rsidRPr="0074345C">
              <w:rPr>
                <w:szCs w:val="22"/>
              </w:rPr>
              <w:t xml:space="preserve"> para la </w:t>
            </w:r>
            <w:r w:rsidR="00D1202E" w:rsidRPr="0074345C">
              <w:rPr>
                <w:szCs w:val="22"/>
              </w:rPr>
              <w:t>formulación</w:t>
            </w:r>
            <w:r w:rsidR="00876265" w:rsidRPr="0074345C">
              <w:rPr>
                <w:szCs w:val="22"/>
              </w:rPr>
              <w:t xml:space="preserve"> </w:t>
            </w:r>
            <w:r w:rsidRPr="0074345C">
              <w:rPr>
                <w:szCs w:val="22"/>
              </w:rPr>
              <w:t xml:space="preserve">de </w:t>
            </w:r>
            <w:r w:rsidR="00D1202E" w:rsidRPr="0074345C">
              <w:rPr>
                <w:szCs w:val="22"/>
              </w:rPr>
              <w:t>políticas</w:t>
            </w:r>
            <w:r w:rsidRPr="0074345C">
              <w:rPr>
                <w:szCs w:val="22"/>
              </w:rPr>
              <w:t xml:space="preserve"> a </w:t>
            </w:r>
            <w:r w:rsidR="00876265" w:rsidRPr="0074345C">
              <w:rPr>
                <w:szCs w:val="22"/>
              </w:rPr>
              <w:t>nivel</w:t>
            </w:r>
            <w:r w:rsidRPr="0074345C">
              <w:rPr>
                <w:szCs w:val="22"/>
              </w:rPr>
              <w:t xml:space="preserve"> nacional</w:t>
            </w:r>
            <w:r w:rsidR="00502F27" w:rsidRPr="0074345C">
              <w:rPr>
                <w:szCs w:val="22"/>
              </w:rPr>
              <w:t xml:space="preserve">. </w:t>
            </w:r>
            <w:r w:rsidRPr="0074345C">
              <w:rPr>
                <w:szCs w:val="22"/>
              </w:rPr>
              <w:t xml:space="preserve">En </w:t>
            </w:r>
            <w:r w:rsidR="00502F27" w:rsidRPr="0074345C">
              <w:rPr>
                <w:szCs w:val="22"/>
              </w:rPr>
              <w:t>Kenya,</w:t>
            </w:r>
            <w:r w:rsidR="00781843" w:rsidRPr="0074345C">
              <w:rPr>
                <w:szCs w:val="22"/>
              </w:rPr>
              <w:t xml:space="preserve"> la Comisión Cinematográfica presentó una </w:t>
            </w:r>
            <w:r w:rsidRPr="0074345C">
              <w:rPr>
                <w:szCs w:val="22"/>
              </w:rPr>
              <w:t>soli</w:t>
            </w:r>
            <w:r w:rsidR="002E3CC3" w:rsidRPr="0074345C">
              <w:rPr>
                <w:szCs w:val="22"/>
              </w:rPr>
              <w:t>ci</w:t>
            </w:r>
            <w:r w:rsidRPr="0074345C">
              <w:rPr>
                <w:szCs w:val="22"/>
              </w:rPr>
              <w:t>t</w:t>
            </w:r>
            <w:r w:rsidR="00781843" w:rsidRPr="0074345C">
              <w:rPr>
                <w:szCs w:val="22"/>
              </w:rPr>
              <w:t>ud</w:t>
            </w:r>
            <w:r w:rsidRPr="0074345C">
              <w:rPr>
                <w:szCs w:val="22"/>
              </w:rPr>
              <w:t xml:space="preserve"> oficial</w:t>
            </w:r>
            <w:r w:rsidR="00781843" w:rsidRPr="0074345C">
              <w:rPr>
                <w:szCs w:val="22"/>
              </w:rPr>
              <w:t xml:space="preserve"> </w:t>
            </w:r>
            <w:r w:rsidR="00333A3A" w:rsidRPr="0074345C">
              <w:rPr>
                <w:szCs w:val="22"/>
              </w:rPr>
              <w:t xml:space="preserve">para que en el marco del </w:t>
            </w:r>
            <w:r w:rsidRPr="0074345C">
              <w:rPr>
                <w:szCs w:val="22"/>
              </w:rPr>
              <w:t>p</w:t>
            </w:r>
            <w:r w:rsidR="009E13C2" w:rsidRPr="0074345C">
              <w:rPr>
                <w:szCs w:val="22"/>
              </w:rPr>
              <w:t xml:space="preserve">royecto </w:t>
            </w:r>
            <w:r w:rsidR="00333A3A" w:rsidRPr="0074345C">
              <w:rPr>
                <w:szCs w:val="22"/>
              </w:rPr>
              <w:t xml:space="preserve">se presentaran </w:t>
            </w:r>
            <w:r w:rsidR="00781843" w:rsidRPr="0074345C">
              <w:rPr>
                <w:szCs w:val="22"/>
              </w:rPr>
              <w:t xml:space="preserve"> </w:t>
            </w:r>
            <w:r w:rsidR="002E3CC3" w:rsidRPr="0074345C">
              <w:rPr>
                <w:szCs w:val="22"/>
              </w:rPr>
              <w:t xml:space="preserve">observaciones y asesoramiento sobre la elaboración de la </w:t>
            </w:r>
            <w:r w:rsidR="00D1202E" w:rsidRPr="0074345C">
              <w:rPr>
                <w:szCs w:val="22"/>
              </w:rPr>
              <w:t>política nacional cinematográ</w:t>
            </w:r>
            <w:r w:rsidR="002E3CC3" w:rsidRPr="0074345C">
              <w:rPr>
                <w:szCs w:val="22"/>
              </w:rPr>
              <w:t>fica</w:t>
            </w:r>
            <w:r w:rsidR="00502F27" w:rsidRPr="0074345C">
              <w:rPr>
                <w:szCs w:val="22"/>
              </w:rPr>
              <w:t xml:space="preserve">. </w:t>
            </w:r>
            <w:r w:rsidR="002E3CC3" w:rsidRPr="0074345C">
              <w:rPr>
                <w:szCs w:val="22"/>
              </w:rPr>
              <w:t xml:space="preserve">Esa </w:t>
            </w:r>
            <w:r w:rsidR="00D1202E" w:rsidRPr="0074345C">
              <w:rPr>
                <w:szCs w:val="22"/>
              </w:rPr>
              <w:t>política</w:t>
            </w:r>
            <w:r w:rsidR="002E3CC3" w:rsidRPr="0074345C">
              <w:rPr>
                <w:szCs w:val="22"/>
              </w:rPr>
              <w:t>, que se halla en sus fases finales</w:t>
            </w:r>
            <w:r w:rsidR="00781843" w:rsidRPr="0074345C">
              <w:rPr>
                <w:szCs w:val="22"/>
              </w:rPr>
              <w:t>,</w:t>
            </w:r>
            <w:r w:rsidR="002E3CC3" w:rsidRPr="0074345C">
              <w:rPr>
                <w:szCs w:val="22"/>
              </w:rPr>
              <w:t xml:space="preserve"> representa un paso </w:t>
            </w:r>
            <w:r w:rsidR="00D1202E" w:rsidRPr="0074345C">
              <w:rPr>
                <w:szCs w:val="22"/>
              </w:rPr>
              <w:t>adelante</w:t>
            </w:r>
            <w:r w:rsidR="002E3CC3" w:rsidRPr="0074345C">
              <w:rPr>
                <w:szCs w:val="22"/>
              </w:rPr>
              <w:t xml:space="preserve"> significativo</w:t>
            </w:r>
            <w:r w:rsidR="00876265" w:rsidRPr="0074345C">
              <w:rPr>
                <w:szCs w:val="22"/>
              </w:rPr>
              <w:t xml:space="preserve">, ya </w:t>
            </w:r>
            <w:r w:rsidR="002E3CC3" w:rsidRPr="0074345C">
              <w:rPr>
                <w:szCs w:val="22"/>
              </w:rPr>
              <w:t xml:space="preserve">que </w:t>
            </w:r>
            <w:r w:rsidR="00D1202E" w:rsidRPr="0074345C">
              <w:rPr>
                <w:szCs w:val="22"/>
              </w:rPr>
              <w:t>será</w:t>
            </w:r>
            <w:r w:rsidR="002E3CC3" w:rsidRPr="0074345C">
              <w:rPr>
                <w:szCs w:val="22"/>
              </w:rPr>
              <w:t xml:space="preserve"> la primera vez</w:t>
            </w:r>
            <w:r w:rsidR="00876265" w:rsidRPr="0074345C">
              <w:rPr>
                <w:szCs w:val="22"/>
              </w:rPr>
              <w:t xml:space="preserve"> </w:t>
            </w:r>
            <w:r w:rsidR="002E3CC3" w:rsidRPr="0074345C">
              <w:rPr>
                <w:szCs w:val="22"/>
              </w:rPr>
              <w:t xml:space="preserve">que la </w:t>
            </w:r>
            <w:r w:rsidR="00876265" w:rsidRPr="0074345C">
              <w:rPr>
                <w:szCs w:val="22"/>
              </w:rPr>
              <w:t xml:space="preserve">Asamblea </w:t>
            </w:r>
            <w:r w:rsidR="00D1202E" w:rsidRPr="0074345C">
              <w:rPr>
                <w:szCs w:val="22"/>
              </w:rPr>
              <w:t>legislativa</w:t>
            </w:r>
            <w:r w:rsidR="00876265" w:rsidRPr="0074345C">
              <w:rPr>
                <w:szCs w:val="22"/>
              </w:rPr>
              <w:t xml:space="preserve"> consagrará la </w:t>
            </w:r>
            <w:r w:rsidR="00D1202E" w:rsidRPr="0074345C">
              <w:rPr>
                <w:szCs w:val="22"/>
              </w:rPr>
              <w:t>cinematografía</w:t>
            </w:r>
            <w:r w:rsidR="00876265" w:rsidRPr="0074345C">
              <w:rPr>
                <w:szCs w:val="22"/>
              </w:rPr>
              <w:t xml:space="preserve"> como industria nacional</w:t>
            </w:r>
            <w:r w:rsidR="00333A3A" w:rsidRPr="0074345C">
              <w:rPr>
                <w:szCs w:val="22"/>
              </w:rPr>
              <w:t>,</w:t>
            </w:r>
            <w:r w:rsidR="00876265" w:rsidRPr="0074345C">
              <w:rPr>
                <w:szCs w:val="22"/>
              </w:rPr>
              <w:t xml:space="preserve"> </w:t>
            </w:r>
            <w:r w:rsidR="008106D2" w:rsidRPr="0074345C">
              <w:rPr>
                <w:szCs w:val="22"/>
              </w:rPr>
              <w:t xml:space="preserve">con un importante potencial </w:t>
            </w:r>
            <w:r w:rsidR="00781843" w:rsidRPr="0074345C">
              <w:rPr>
                <w:szCs w:val="22"/>
              </w:rPr>
              <w:t>para</w:t>
            </w:r>
            <w:r w:rsidR="008106D2" w:rsidRPr="0074345C">
              <w:rPr>
                <w:szCs w:val="22"/>
              </w:rPr>
              <w:t xml:space="preserve"> contribuir al </w:t>
            </w:r>
            <w:r w:rsidR="00D1202E" w:rsidRPr="0074345C">
              <w:rPr>
                <w:szCs w:val="22"/>
              </w:rPr>
              <w:t>crecimiento</w:t>
            </w:r>
            <w:r w:rsidR="008106D2" w:rsidRPr="0074345C">
              <w:rPr>
                <w:szCs w:val="22"/>
              </w:rPr>
              <w:t xml:space="preserve"> económico del país.</w:t>
            </w:r>
          </w:p>
          <w:p w:rsidR="00502F27" w:rsidRPr="0074345C" w:rsidRDefault="00502F27" w:rsidP="00E00028">
            <w:pPr>
              <w:rPr>
                <w:iCs/>
                <w:szCs w:val="22"/>
              </w:rPr>
            </w:pPr>
          </w:p>
        </w:tc>
      </w:tr>
      <w:tr w:rsidR="006376E7" w:rsidRPr="0074345C" w:rsidTr="00E00028">
        <w:trPr>
          <w:trHeight w:val="713"/>
        </w:trPr>
        <w:tc>
          <w:tcPr>
            <w:tcW w:w="2376" w:type="dxa"/>
            <w:shd w:val="clear" w:color="auto" w:fill="auto"/>
          </w:tcPr>
          <w:p w:rsidR="00502F27" w:rsidRPr="0074345C" w:rsidRDefault="003260F8" w:rsidP="003260F8">
            <w:pPr>
              <w:pStyle w:val="Heading3"/>
              <w:rPr>
                <w:szCs w:val="22"/>
              </w:rPr>
            </w:pPr>
            <w:r w:rsidRPr="0074345C">
              <w:rPr>
                <w:szCs w:val="22"/>
              </w:rPr>
              <w:t>Riesgos y medidas paliativas</w:t>
            </w:r>
          </w:p>
        </w:tc>
        <w:tc>
          <w:tcPr>
            <w:tcW w:w="6912" w:type="dxa"/>
          </w:tcPr>
          <w:p w:rsidR="003260F8" w:rsidRPr="0074345C" w:rsidRDefault="003260F8" w:rsidP="00E00028">
            <w:pPr>
              <w:rPr>
                <w:iCs/>
                <w:szCs w:val="22"/>
              </w:rPr>
            </w:pPr>
          </w:p>
          <w:p w:rsidR="003260F8" w:rsidRPr="0074345C" w:rsidRDefault="00333A3A" w:rsidP="00E00028">
            <w:pPr>
              <w:rPr>
                <w:iCs/>
                <w:szCs w:val="22"/>
              </w:rPr>
            </w:pPr>
            <w:r w:rsidRPr="0074345C">
              <w:rPr>
                <w:iCs/>
                <w:szCs w:val="22"/>
              </w:rPr>
              <w:t xml:space="preserve">En </w:t>
            </w:r>
            <w:r w:rsidR="00E651BB" w:rsidRPr="0074345C">
              <w:rPr>
                <w:iCs/>
                <w:szCs w:val="22"/>
              </w:rPr>
              <w:t>los países piloto, h</w:t>
            </w:r>
            <w:r w:rsidR="00D1202E" w:rsidRPr="0074345C">
              <w:rPr>
                <w:iCs/>
                <w:szCs w:val="22"/>
              </w:rPr>
              <w:t>a habido un nú</w:t>
            </w:r>
            <w:r w:rsidR="008106D2" w:rsidRPr="0074345C">
              <w:rPr>
                <w:iCs/>
                <w:szCs w:val="22"/>
              </w:rPr>
              <w:t xml:space="preserve">mero significativo de peticiones de </w:t>
            </w:r>
            <w:r w:rsidR="00D1202E" w:rsidRPr="0074345C">
              <w:rPr>
                <w:iCs/>
                <w:szCs w:val="22"/>
              </w:rPr>
              <w:t>participación</w:t>
            </w:r>
            <w:r w:rsidR="008106D2" w:rsidRPr="0074345C">
              <w:rPr>
                <w:iCs/>
                <w:szCs w:val="22"/>
              </w:rPr>
              <w:t xml:space="preserve"> en el programa</w:t>
            </w:r>
            <w:r w:rsidR="00502F27" w:rsidRPr="0074345C">
              <w:rPr>
                <w:iCs/>
                <w:szCs w:val="22"/>
              </w:rPr>
              <w:t xml:space="preserve">. </w:t>
            </w:r>
            <w:r w:rsidR="00781843" w:rsidRPr="0074345C">
              <w:rPr>
                <w:iCs/>
                <w:szCs w:val="22"/>
              </w:rPr>
              <w:t>U</w:t>
            </w:r>
            <w:r w:rsidR="008106D2" w:rsidRPr="0074345C">
              <w:rPr>
                <w:iCs/>
                <w:szCs w:val="22"/>
              </w:rPr>
              <w:t xml:space="preserve">no de los retos </w:t>
            </w:r>
            <w:r w:rsidR="00781843" w:rsidRPr="0074345C">
              <w:rPr>
                <w:iCs/>
                <w:szCs w:val="22"/>
              </w:rPr>
              <w:t xml:space="preserve">que plantea </w:t>
            </w:r>
            <w:r w:rsidR="008106D2" w:rsidRPr="0074345C">
              <w:rPr>
                <w:iCs/>
                <w:szCs w:val="22"/>
              </w:rPr>
              <w:t xml:space="preserve">este </w:t>
            </w:r>
            <w:r w:rsidR="009E13C2" w:rsidRPr="0074345C">
              <w:rPr>
                <w:iCs/>
                <w:szCs w:val="22"/>
              </w:rPr>
              <w:t>proyecto</w:t>
            </w:r>
            <w:r w:rsidR="008106D2" w:rsidRPr="0074345C">
              <w:rPr>
                <w:iCs/>
                <w:szCs w:val="22"/>
              </w:rPr>
              <w:t xml:space="preserve"> es</w:t>
            </w:r>
            <w:r w:rsidR="00781843" w:rsidRPr="0074345C">
              <w:rPr>
                <w:iCs/>
                <w:szCs w:val="22"/>
              </w:rPr>
              <w:t xml:space="preserve"> encontrar a </w:t>
            </w:r>
            <w:r w:rsidR="008106D2" w:rsidRPr="0074345C">
              <w:rPr>
                <w:iCs/>
                <w:szCs w:val="22"/>
              </w:rPr>
              <w:t xml:space="preserve">productores y </w:t>
            </w:r>
            <w:r w:rsidR="00D1202E" w:rsidRPr="0074345C">
              <w:rPr>
                <w:iCs/>
                <w:szCs w:val="22"/>
              </w:rPr>
              <w:t>distribuidores</w:t>
            </w:r>
            <w:r w:rsidR="008106D2" w:rsidRPr="0074345C">
              <w:rPr>
                <w:iCs/>
                <w:szCs w:val="22"/>
              </w:rPr>
              <w:t xml:space="preserve"> </w:t>
            </w:r>
            <w:r w:rsidR="00502F27" w:rsidRPr="0074345C">
              <w:rPr>
                <w:iCs/>
                <w:szCs w:val="22"/>
              </w:rPr>
              <w:t>audiovisual</w:t>
            </w:r>
            <w:r w:rsidR="00781843" w:rsidRPr="0074345C">
              <w:rPr>
                <w:iCs/>
                <w:szCs w:val="22"/>
              </w:rPr>
              <w:t>es</w:t>
            </w:r>
            <w:r w:rsidR="00502F27" w:rsidRPr="0074345C">
              <w:rPr>
                <w:iCs/>
                <w:szCs w:val="22"/>
              </w:rPr>
              <w:t xml:space="preserve"> </w:t>
            </w:r>
            <w:r w:rsidR="008106D2" w:rsidRPr="0074345C">
              <w:rPr>
                <w:iCs/>
                <w:szCs w:val="22"/>
              </w:rPr>
              <w:t xml:space="preserve"> o cinematográficos </w:t>
            </w:r>
            <w:r w:rsidR="00781843" w:rsidRPr="0074345C">
              <w:rPr>
                <w:iCs/>
                <w:szCs w:val="22"/>
              </w:rPr>
              <w:t>con</w:t>
            </w:r>
            <w:r w:rsidR="008106D2" w:rsidRPr="0074345C">
              <w:rPr>
                <w:iCs/>
                <w:szCs w:val="22"/>
              </w:rPr>
              <w:t xml:space="preserve"> capacidad empresarial efectiva </w:t>
            </w:r>
            <w:r w:rsidR="00781843" w:rsidRPr="0074345C">
              <w:rPr>
                <w:iCs/>
                <w:szCs w:val="22"/>
              </w:rPr>
              <w:t>para</w:t>
            </w:r>
            <w:r w:rsidR="008106D2" w:rsidRPr="0074345C">
              <w:rPr>
                <w:iCs/>
                <w:szCs w:val="22"/>
              </w:rPr>
              <w:t xml:space="preserve"> llevar a cabo proyectos </w:t>
            </w:r>
            <w:r w:rsidR="00502F27" w:rsidRPr="0074345C">
              <w:rPr>
                <w:iCs/>
                <w:szCs w:val="22"/>
              </w:rPr>
              <w:t>audiovisual</w:t>
            </w:r>
            <w:r w:rsidR="00781843" w:rsidRPr="0074345C">
              <w:rPr>
                <w:iCs/>
                <w:szCs w:val="22"/>
              </w:rPr>
              <w:t>es</w:t>
            </w:r>
            <w:r w:rsidR="00502F27" w:rsidRPr="0074345C">
              <w:rPr>
                <w:iCs/>
                <w:szCs w:val="22"/>
              </w:rPr>
              <w:t xml:space="preserve"> </w:t>
            </w:r>
            <w:r w:rsidR="008106D2" w:rsidRPr="0074345C">
              <w:rPr>
                <w:iCs/>
                <w:szCs w:val="22"/>
              </w:rPr>
              <w:t>complejos orientado</w:t>
            </w:r>
            <w:r w:rsidR="00781843" w:rsidRPr="0074345C">
              <w:rPr>
                <w:iCs/>
                <w:szCs w:val="22"/>
              </w:rPr>
              <w:t>s</w:t>
            </w:r>
            <w:r w:rsidR="008106D2" w:rsidRPr="0074345C">
              <w:rPr>
                <w:iCs/>
                <w:szCs w:val="22"/>
              </w:rPr>
              <w:t xml:space="preserve"> al mercado</w:t>
            </w:r>
            <w:r w:rsidR="00502F27" w:rsidRPr="0074345C">
              <w:rPr>
                <w:iCs/>
                <w:szCs w:val="22"/>
              </w:rPr>
              <w:t xml:space="preserve">. </w:t>
            </w:r>
          </w:p>
          <w:p w:rsidR="003260F8" w:rsidRPr="0074345C" w:rsidRDefault="003260F8" w:rsidP="00E00028">
            <w:pPr>
              <w:rPr>
                <w:iCs/>
                <w:szCs w:val="22"/>
              </w:rPr>
            </w:pPr>
          </w:p>
          <w:p w:rsidR="003260F8" w:rsidRPr="0074345C" w:rsidRDefault="00781843" w:rsidP="00E00028">
            <w:pPr>
              <w:rPr>
                <w:iCs/>
                <w:szCs w:val="22"/>
              </w:rPr>
            </w:pPr>
            <w:r w:rsidRPr="0074345C">
              <w:rPr>
                <w:iCs/>
                <w:szCs w:val="22"/>
              </w:rPr>
              <w:t>No ha sido fácil e</w:t>
            </w:r>
            <w:r w:rsidR="008106D2" w:rsidRPr="0074345C">
              <w:rPr>
                <w:iCs/>
                <w:szCs w:val="22"/>
              </w:rPr>
              <w:t xml:space="preserve">ntablar relaciones comerciales con los sectores </w:t>
            </w:r>
            <w:r w:rsidR="00D1202E" w:rsidRPr="0074345C">
              <w:rPr>
                <w:iCs/>
                <w:szCs w:val="22"/>
              </w:rPr>
              <w:t>financiero</w:t>
            </w:r>
            <w:r w:rsidR="008106D2" w:rsidRPr="0074345C">
              <w:rPr>
                <w:iCs/>
                <w:szCs w:val="22"/>
              </w:rPr>
              <w:t xml:space="preserve"> y bancario</w:t>
            </w:r>
            <w:r w:rsidRPr="0074345C">
              <w:rPr>
                <w:iCs/>
                <w:szCs w:val="22"/>
              </w:rPr>
              <w:t>,</w:t>
            </w:r>
            <w:r w:rsidR="008106D2" w:rsidRPr="0074345C">
              <w:rPr>
                <w:iCs/>
                <w:szCs w:val="22"/>
              </w:rPr>
              <w:t xml:space="preserve"> </w:t>
            </w:r>
            <w:r w:rsidRPr="0074345C">
              <w:rPr>
                <w:iCs/>
                <w:szCs w:val="22"/>
              </w:rPr>
              <w:t>dado</w:t>
            </w:r>
            <w:r w:rsidR="008106D2" w:rsidRPr="0074345C">
              <w:rPr>
                <w:iCs/>
                <w:szCs w:val="22"/>
              </w:rPr>
              <w:t xml:space="preserve"> que esos sectores no están </w:t>
            </w:r>
            <w:r w:rsidR="00D1202E" w:rsidRPr="0074345C">
              <w:rPr>
                <w:iCs/>
                <w:szCs w:val="22"/>
              </w:rPr>
              <w:t>familiarizados</w:t>
            </w:r>
            <w:r w:rsidR="008106D2" w:rsidRPr="0074345C">
              <w:rPr>
                <w:iCs/>
                <w:szCs w:val="22"/>
              </w:rPr>
              <w:t xml:space="preserve"> con la </w:t>
            </w:r>
            <w:r w:rsidR="00D1202E" w:rsidRPr="0074345C">
              <w:rPr>
                <w:iCs/>
                <w:szCs w:val="22"/>
              </w:rPr>
              <w:t>cinematografía</w:t>
            </w:r>
            <w:r w:rsidR="008106D2" w:rsidRPr="0074345C">
              <w:rPr>
                <w:iCs/>
                <w:szCs w:val="22"/>
              </w:rPr>
              <w:t xml:space="preserve"> y no hay </w:t>
            </w:r>
            <w:r w:rsidRPr="0074345C">
              <w:rPr>
                <w:iCs/>
                <w:szCs w:val="22"/>
              </w:rPr>
              <w:t xml:space="preserve">un historial previo de </w:t>
            </w:r>
            <w:r w:rsidR="00D1202E" w:rsidRPr="0074345C">
              <w:rPr>
                <w:iCs/>
                <w:szCs w:val="22"/>
              </w:rPr>
              <w:t>cooperación</w:t>
            </w:r>
            <w:r w:rsidR="008106D2" w:rsidRPr="0074345C">
              <w:rPr>
                <w:iCs/>
                <w:szCs w:val="22"/>
              </w:rPr>
              <w:t xml:space="preserve"> comercial. Se </w:t>
            </w:r>
            <w:r w:rsidR="00D1202E" w:rsidRPr="0074345C">
              <w:rPr>
                <w:iCs/>
                <w:szCs w:val="22"/>
              </w:rPr>
              <w:t>están</w:t>
            </w:r>
            <w:r w:rsidR="008106D2" w:rsidRPr="0074345C">
              <w:rPr>
                <w:iCs/>
                <w:szCs w:val="22"/>
              </w:rPr>
              <w:t xml:space="preserve"> celebrando </w:t>
            </w:r>
            <w:r w:rsidR="00D1202E" w:rsidRPr="0074345C">
              <w:rPr>
                <w:iCs/>
                <w:szCs w:val="22"/>
              </w:rPr>
              <w:t>reuniones</w:t>
            </w:r>
            <w:r w:rsidR="008106D2" w:rsidRPr="0074345C">
              <w:rPr>
                <w:iCs/>
                <w:szCs w:val="22"/>
              </w:rPr>
              <w:t xml:space="preserve"> de </w:t>
            </w:r>
            <w:r w:rsidR="00D1202E" w:rsidRPr="0074345C">
              <w:rPr>
                <w:iCs/>
                <w:szCs w:val="22"/>
              </w:rPr>
              <w:t>coordinación</w:t>
            </w:r>
            <w:r w:rsidR="008106D2" w:rsidRPr="0074345C">
              <w:rPr>
                <w:iCs/>
                <w:szCs w:val="22"/>
              </w:rPr>
              <w:t xml:space="preserve"> y </w:t>
            </w:r>
            <w:r w:rsidR="00E651BB" w:rsidRPr="0074345C">
              <w:rPr>
                <w:iCs/>
                <w:szCs w:val="22"/>
              </w:rPr>
              <w:t>contacto</w:t>
            </w:r>
            <w:r w:rsidR="008106D2" w:rsidRPr="0074345C">
              <w:rPr>
                <w:iCs/>
                <w:szCs w:val="22"/>
              </w:rPr>
              <w:t xml:space="preserve"> con las autoridades locales</w:t>
            </w:r>
            <w:r w:rsidRPr="0074345C">
              <w:rPr>
                <w:iCs/>
                <w:szCs w:val="22"/>
              </w:rPr>
              <w:t xml:space="preserve"> con el fin de lograr </w:t>
            </w:r>
            <w:r w:rsidR="008106D2" w:rsidRPr="0074345C">
              <w:rPr>
                <w:iCs/>
                <w:szCs w:val="22"/>
              </w:rPr>
              <w:t xml:space="preserve">que </w:t>
            </w:r>
            <w:r w:rsidRPr="0074345C">
              <w:rPr>
                <w:iCs/>
                <w:szCs w:val="22"/>
              </w:rPr>
              <w:t xml:space="preserve">esos importantes asociados </w:t>
            </w:r>
            <w:r w:rsidR="008106D2" w:rsidRPr="0074345C">
              <w:rPr>
                <w:iCs/>
                <w:szCs w:val="22"/>
              </w:rPr>
              <w:t>siga</w:t>
            </w:r>
            <w:r w:rsidR="009019AD" w:rsidRPr="0074345C">
              <w:rPr>
                <w:iCs/>
                <w:szCs w:val="22"/>
              </w:rPr>
              <w:t>n</w:t>
            </w:r>
            <w:r w:rsidR="008106D2" w:rsidRPr="0074345C">
              <w:rPr>
                <w:iCs/>
                <w:szCs w:val="22"/>
              </w:rPr>
              <w:t xml:space="preserve"> participa</w:t>
            </w:r>
            <w:r w:rsidR="009019AD" w:rsidRPr="0074345C">
              <w:rPr>
                <w:iCs/>
                <w:szCs w:val="22"/>
              </w:rPr>
              <w:t xml:space="preserve">ndo </w:t>
            </w:r>
            <w:r w:rsidR="00D1202E" w:rsidRPr="0074345C">
              <w:rPr>
                <w:iCs/>
                <w:szCs w:val="22"/>
              </w:rPr>
              <w:t>plenamente</w:t>
            </w:r>
            <w:r w:rsidR="009019AD" w:rsidRPr="0074345C">
              <w:rPr>
                <w:iCs/>
                <w:szCs w:val="22"/>
              </w:rPr>
              <w:t xml:space="preserve"> </w:t>
            </w:r>
            <w:r w:rsidR="008106D2" w:rsidRPr="0074345C">
              <w:rPr>
                <w:iCs/>
                <w:szCs w:val="22"/>
              </w:rPr>
              <w:t xml:space="preserve">en las actividades del </w:t>
            </w:r>
            <w:r w:rsidR="009E13C2" w:rsidRPr="0074345C">
              <w:rPr>
                <w:iCs/>
                <w:szCs w:val="22"/>
              </w:rPr>
              <w:t>proyecto</w:t>
            </w:r>
            <w:r w:rsidR="00502F27" w:rsidRPr="0074345C">
              <w:rPr>
                <w:iCs/>
                <w:szCs w:val="22"/>
              </w:rPr>
              <w:t>.</w:t>
            </w:r>
          </w:p>
          <w:p w:rsidR="003260F8" w:rsidRPr="0074345C" w:rsidRDefault="003260F8" w:rsidP="00E00028">
            <w:pPr>
              <w:rPr>
                <w:iCs/>
                <w:szCs w:val="22"/>
              </w:rPr>
            </w:pPr>
          </w:p>
          <w:p w:rsidR="003260F8" w:rsidRPr="0074345C" w:rsidRDefault="008106D2" w:rsidP="00E00028">
            <w:pPr>
              <w:suppressAutoHyphens/>
              <w:autoSpaceDN w:val="0"/>
              <w:textAlignment w:val="baseline"/>
              <w:rPr>
                <w:iCs/>
                <w:szCs w:val="22"/>
              </w:rPr>
            </w:pPr>
            <w:r w:rsidRPr="0074345C">
              <w:rPr>
                <w:iCs/>
                <w:szCs w:val="22"/>
              </w:rPr>
              <w:t xml:space="preserve">El </w:t>
            </w:r>
            <w:r w:rsidR="00D1202E" w:rsidRPr="0074345C">
              <w:rPr>
                <w:iCs/>
                <w:szCs w:val="22"/>
              </w:rPr>
              <w:t>éxito</w:t>
            </w:r>
            <w:r w:rsidRPr="0074345C">
              <w:rPr>
                <w:iCs/>
                <w:szCs w:val="22"/>
              </w:rPr>
              <w:t xml:space="preserve"> del proyecto </w:t>
            </w:r>
            <w:r w:rsidR="00D1202E" w:rsidRPr="0074345C">
              <w:rPr>
                <w:iCs/>
                <w:szCs w:val="22"/>
              </w:rPr>
              <w:t>también</w:t>
            </w:r>
            <w:r w:rsidRPr="0074345C">
              <w:rPr>
                <w:iCs/>
                <w:szCs w:val="22"/>
              </w:rPr>
              <w:t xml:space="preserve"> </w:t>
            </w:r>
            <w:r w:rsidR="009019AD" w:rsidRPr="0074345C">
              <w:rPr>
                <w:iCs/>
                <w:szCs w:val="22"/>
              </w:rPr>
              <w:t>depende de</w:t>
            </w:r>
            <w:r w:rsidRPr="0074345C">
              <w:rPr>
                <w:iCs/>
                <w:szCs w:val="22"/>
              </w:rPr>
              <w:t xml:space="preserve"> </w:t>
            </w:r>
            <w:r w:rsidR="009019AD" w:rsidRPr="0074345C">
              <w:rPr>
                <w:iCs/>
                <w:szCs w:val="22"/>
              </w:rPr>
              <w:t>la plena operatividad de</w:t>
            </w:r>
            <w:r w:rsidRPr="0074345C">
              <w:rPr>
                <w:iCs/>
                <w:szCs w:val="22"/>
              </w:rPr>
              <w:t xml:space="preserve"> los marcos </w:t>
            </w:r>
            <w:r w:rsidR="00D1202E" w:rsidRPr="0074345C">
              <w:rPr>
                <w:iCs/>
                <w:szCs w:val="22"/>
              </w:rPr>
              <w:t>jurídicos</w:t>
            </w:r>
            <w:r w:rsidRPr="0074345C">
              <w:rPr>
                <w:iCs/>
                <w:szCs w:val="22"/>
              </w:rPr>
              <w:t xml:space="preserve"> que </w:t>
            </w:r>
            <w:r w:rsidR="009019AD" w:rsidRPr="0074345C">
              <w:rPr>
                <w:iCs/>
                <w:szCs w:val="22"/>
              </w:rPr>
              <w:t>amparan e</w:t>
            </w:r>
            <w:r w:rsidRPr="0074345C">
              <w:rPr>
                <w:iCs/>
                <w:szCs w:val="22"/>
              </w:rPr>
              <w:t xml:space="preserve">l derecho de autor en cada </w:t>
            </w:r>
            <w:r w:rsidR="00D1202E" w:rsidRPr="0074345C">
              <w:rPr>
                <w:iCs/>
                <w:szCs w:val="22"/>
              </w:rPr>
              <w:t>país</w:t>
            </w:r>
            <w:r w:rsidRPr="0074345C">
              <w:rPr>
                <w:iCs/>
                <w:szCs w:val="22"/>
              </w:rPr>
              <w:t xml:space="preserve"> en un ento</w:t>
            </w:r>
            <w:r w:rsidR="009019AD" w:rsidRPr="0074345C">
              <w:rPr>
                <w:iCs/>
                <w:szCs w:val="22"/>
              </w:rPr>
              <w:t>r</w:t>
            </w:r>
            <w:r w:rsidRPr="0074345C">
              <w:rPr>
                <w:iCs/>
                <w:szCs w:val="22"/>
              </w:rPr>
              <w:t xml:space="preserve">no </w:t>
            </w:r>
            <w:r w:rsidR="00D1202E" w:rsidRPr="0074345C">
              <w:rPr>
                <w:iCs/>
                <w:szCs w:val="22"/>
              </w:rPr>
              <w:t>digital</w:t>
            </w:r>
            <w:r w:rsidR="009019AD" w:rsidRPr="0074345C">
              <w:rPr>
                <w:iCs/>
                <w:szCs w:val="22"/>
              </w:rPr>
              <w:t xml:space="preserve">, </w:t>
            </w:r>
            <w:r w:rsidRPr="0074345C">
              <w:rPr>
                <w:iCs/>
                <w:szCs w:val="22"/>
              </w:rPr>
              <w:t xml:space="preserve">y </w:t>
            </w:r>
            <w:r w:rsidR="00095C9A" w:rsidRPr="0074345C">
              <w:rPr>
                <w:iCs/>
                <w:szCs w:val="22"/>
              </w:rPr>
              <w:t xml:space="preserve">de </w:t>
            </w:r>
            <w:r w:rsidR="009019AD" w:rsidRPr="0074345C">
              <w:rPr>
                <w:iCs/>
                <w:szCs w:val="22"/>
              </w:rPr>
              <w:t xml:space="preserve">la adopción de </w:t>
            </w:r>
            <w:r w:rsidRPr="0074345C">
              <w:rPr>
                <w:iCs/>
                <w:szCs w:val="22"/>
              </w:rPr>
              <w:t xml:space="preserve">medidas eficaces </w:t>
            </w:r>
            <w:r w:rsidR="00095C9A" w:rsidRPr="0074345C">
              <w:rPr>
                <w:iCs/>
                <w:szCs w:val="22"/>
              </w:rPr>
              <w:t>que aseguren</w:t>
            </w:r>
            <w:r w:rsidRPr="0074345C">
              <w:rPr>
                <w:iCs/>
                <w:szCs w:val="22"/>
              </w:rPr>
              <w:t xml:space="preserve"> el respeto de la P.I.</w:t>
            </w:r>
            <w:r w:rsidR="00D1202E" w:rsidRPr="0074345C">
              <w:rPr>
                <w:iCs/>
                <w:szCs w:val="22"/>
              </w:rPr>
              <w:t xml:space="preserve"> </w:t>
            </w:r>
            <w:r w:rsidR="009019AD" w:rsidRPr="0074345C">
              <w:rPr>
                <w:iCs/>
                <w:szCs w:val="22"/>
              </w:rPr>
              <w:t>y</w:t>
            </w:r>
            <w:r w:rsidRPr="0074345C">
              <w:rPr>
                <w:iCs/>
                <w:szCs w:val="22"/>
              </w:rPr>
              <w:t xml:space="preserve"> </w:t>
            </w:r>
            <w:r w:rsidR="00095C9A" w:rsidRPr="0074345C">
              <w:rPr>
                <w:iCs/>
                <w:szCs w:val="22"/>
              </w:rPr>
              <w:t xml:space="preserve">contribuyan al desarrollo </w:t>
            </w:r>
            <w:r w:rsidRPr="0074345C">
              <w:rPr>
                <w:iCs/>
                <w:szCs w:val="22"/>
              </w:rPr>
              <w:t>de canales de distribución</w:t>
            </w:r>
            <w:r w:rsidR="009019AD" w:rsidRPr="0074345C">
              <w:rPr>
                <w:iCs/>
                <w:szCs w:val="22"/>
              </w:rPr>
              <w:t xml:space="preserve"> legítimos</w:t>
            </w:r>
            <w:r w:rsidRPr="0074345C">
              <w:rPr>
                <w:iCs/>
                <w:szCs w:val="22"/>
              </w:rPr>
              <w:t xml:space="preserve"> y de un mercado </w:t>
            </w:r>
            <w:r w:rsidR="00A224FD" w:rsidRPr="0074345C">
              <w:rPr>
                <w:iCs/>
                <w:szCs w:val="22"/>
              </w:rPr>
              <w:t>audiovisual</w:t>
            </w:r>
            <w:r w:rsidR="009019AD" w:rsidRPr="0074345C">
              <w:rPr>
                <w:iCs/>
                <w:szCs w:val="22"/>
              </w:rPr>
              <w:t xml:space="preserve"> legítimo</w:t>
            </w:r>
            <w:r w:rsidR="00A224FD" w:rsidRPr="0074345C">
              <w:rPr>
                <w:iCs/>
                <w:szCs w:val="22"/>
              </w:rPr>
              <w:t>.</w:t>
            </w:r>
            <w:r w:rsidR="00502F27" w:rsidRPr="0074345C">
              <w:rPr>
                <w:iCs/>
                <w:szCs w:val="22"/>
              </w:rPr>
              <w:t xml:space="preserve"> </w:t>
            </w:r>
          </w:p>
          <w:p w:rsidR="00502F27" w:rsidRPr="0074345C" w:rsidRDefault="00502F27" w:rsidP="00E00028">
            <w:pPr>
              <w:suppressAutoHyphens/>
              <w:autoSpaceDN w:val="0"/>
              <w:textAlignment w:val="baseline"/>
              <w:rPr>
                <w:szCs w:val="22"/>
              </w:rPr>
            </w:pPr>
          </w:p>
        </w:tc>
      </w:tr>
      <w:tr w:rsidR="006376E7" w:rsidRPr="0074345C" w:rsidTr="00E00028">
        <w:trPr>
          <w:trHeight w:val="901"/>
        </w:trPr>
        <w:tc>
          <w:tcPr>
            <w:tcW w:w="2376" w:type="dxa"/>
            <w:shd w:val="clear" w:color="auto" w:fill="auto"/>
          </w:tcPr>
          <w:p w:rsidR="00502F27" w:rsidRPr="0074345C" w:rsidRDefault="003260F8" w:rsidP="003260F8">
            <w:pPr>
              <w:pStyle w:val="Heading3"/>
              <w:rPr>
                <w:szCs w:val="22"/>
              </w:rPr>
            </w:pPr>
            <w:r w:rsidRPr="0074345C">
              <w:rPr>
                <w:szCs w:val="22"/>
              </w:rPr>
              <w:t xml:space="preserve">Cuestiones que requieren atención </w:t>
            </w:r>
            <w:r w:rsidRPr="0074345C">
              <w:rPr>
                <w:szCs w:val="22"/>
              </w:rPr>
              <w:lastRenderedPageBreak/>
              <w:t>inmediata</w:t>
            </w:r>
          </w:p>
        </w:tc>
        <w:tc>
          <w:tcPr>
            <w:tcW w:w="6912" w:type="dxa"/>
          </w:tcPr>
          <w:p w:rsidR="003260F8" w:rsidRPr="0074345C" w:rsidRDefault="003260F8" w:rsidP="00E00028">
            <w:pPr>
              <w:suppressAutoHyphens/>
              <w:autoSpaceDN w:val="0"/>
              <w:textAlignment w:val="baseline"/>
              <w:rPr>
                <w:iCs/>
                <w:szCs w:val="22"/>
              </w:rPr>
            </w:pPr>
          </w:p>
          <w:p w:rsidR="003260F8" w:rsidRPr="0074345C" w:rsidRDefault="008106D2" w:rsidP="00E00028">
            <w:pPr>
              <w:suppressAutoHyphens/>
              <w:autoSpaceDN w:val="0"/>
              <w:textAlignment w:val="baseline"/>
              <w:rPr>
                <w:iCs/>
                <w:szCs w:val="22"/>
              </w:rPr>
            </w:pPr>
            <w:r w:rsidRPr="0074345C">
              <w:rPr>
                <w:iCs/>
                <w:szCs w:val="22"/>
              </w:rPr>
              <w:t>En vista de</w:t>
            </w:r>
            <w:r w:rsidR="00603D5D" w:rsidRPr="0074345C">
              <w:rPr>
                <w:iCs/>
                <w:szCs w:val="22"/>
              </w:rPr>
              <w:t xml:space="preserve">l escaso nivel de </w:t>
            </w:r>
            <w:r w:rsidR="00095C9A" w:rsidRPr="0074345C">
              <w:rPr>
                <w:iCs/>
                <w:szCs w:val="22"/>
              </w:rPr>
              <w:t xml:space="preserve">información </w:t>
            </w:r>
            <w:r w:rsidR="00603D5D" w:rsidRPr="0074345C">
              <w:rPr>
                <w:iCs/>
                <w:szCs w:val="22"/>
              </w:rPr>
              <w:t xml:space="preserve"> y de </w:t>
            </w:r>
            <w:r w:rsidR="00095C9A" w:rsidRPr="0074345C">
              <w:rPr>
                <w:iCs/>
                <w:szCs w:val="22"/>
              </w:rPr>
              <w:t>utilización d</w:t>
            </w:r>
            <w:r w:rsidR="00603D5D" w:rsidRPr="0074345C">
              <w:rPr>
                <w:iCs/>
                <w:szCs w:val="22"/>
              </w:rPr>
              <w:t xml:space="preserve">el </w:t>
            </w:r>
            <w:r w:rsidR="00193CE1" w:rsidRPr="0074345C">
              <w:rPr>
                <w:iCs/>
                <w:szCs w:val="22"/>
              </w:rPr>
              <w:t>derecho de autor</w:t>
            </w:r>
            <w:r w:rsidR="00502F27" w:rsidRPr="0074345C">
              <w:rPr>
                <w:iCs/>
                <w:szCs w:val="22"/>
              </w:rPr>
              <w:t xml:space="preserve"> </w:t>
            </w:r>
            <w:r w:rsidR="00603D5D" w:rsidRPr="0074345C">
              <w:rPr>
                <w:iCs/>
                <w:szCs w:val="22"/>
              </w:rPr>
              <w:t>en el sector audiovisual</w:t>
            </w:r>
            <w:r w:rsidR="00502F27" w:rsidRPr="0074345C">
              <w:rPr>
                <w:iCs/>
                <w:szCs w:val="22"/>
              </w:rPr>
              <w:t xml:space="preserve">, </w:t>
            </w:r>
            <w:r w:rsidR="00603D5D" w:rsidRPr="0074345C">
              <w:rPr>
                <w:iCs/>
                <w:szCs w:val="22"/>
              </w:rPr>
              <w:t xml:space="preserve">los </w:t>
            </w:r>
            <w:r w:rsidR="002034F4" w:rsidRPr="0074345C">
              <w:rPr>
                <w:iCs/>
                <w:szCs w:val="22"/>
              </w:rPr>
              <w:t>países</w:t>
            </w:r>
            <w:r w:rsidR="00502F27" w:rsidRPr="0074345C">
              <w:rPr>
                <w:iCs/>
                <w:szCs w:val="22"/>
              </w:rPr>
              <w:t xml:space="preserve"> </w:t>
            </w:r>
            <w:r w:rsidR="00D1202E" w:rsidRPr="0074345C">
              <w:rPr>
                <w:iCs/>
                <w:szCs w:val="22"/>
              </w:rPr>
              <w:t>beneficiarios</w:t>
            </w:r>
            <w:r w:rsidR="00603D5D" w:rsidRPr="0074345C">
              <w:rPr>
                <w:iCs/>
                <w:szCs w:val="22"/>
              </w:rPr>
              <w:t xml:space="preserve"> </w:t>
            </w:r>
            <w:r w:rsidR="00D1202E" w:rsidRPr="0074345C">
              <w:rPr>
                <w:iCs/>
                <w:szCs w:val="22"/>
              </w:rPr>
              <w:t>también</w:t>
            </w:r>
            <w:r w:rsidR="00603D5D" w:rsidRPr="0074345C">
              <w:rPr>
                <w:iCs/>
                <w:szCs w:val="22"/>
              </w:rPr>
              <w:t xml:space="preserve"> </w:t>
            </w:r>
            <w:r w:rsidR="00603D5D" w:rsidRPr="0074345C">
              <w:rPr>
                <w:iCs/>
                <w:szCs w:val="22"/>
              </w:rPr>
              <w:lastRenderedPageBreak/>
              <w:t>ha</w:t>
            </w:r>
            <w:r w:rsidR="009019AD" w:rsidRPr="0074345C">
              <w:rPr>
                <w:iCs/>
                <w:szCs w:val="22"/>
              </w:rPr>
              <w:t>n</w:t>
            </w:r>
            <w:r w:rsidR="00603D5D" w:rsidRPr="0074345C">
              <w:rPr>
                <w:iCs/>
                <w:szCs w:val="22"/>
              </w:rPr>
              <w:t xml:space="preserve"> </w:t>
            </w:r>
            <w:r w:rsidR="00D1202E" w:rsidRPr="0074345C">
              <w:rPr>
                <w:iCs/>
                <w:szCs w:val="22"/>
              </w:rPr>
              <w:t>solicitado</w:t>
            </w:r>
            <w:r w:rsidR="00603D5D" w:rsidRPr="0074345C">
              <w:rPr>
                <w:iCs/>
                <w:szCs w:val="22"/>
              </w:rPr>
              <w:t xml:space="preserve"> </w:t>
            </w:r>
            <w:r w:rsidR="00095C9A" w:rsidRPr="0074345C">
              <w:rPr>
                <w:iCs/>
                <w:szCs w:val="22"/>
              </w:rPr>
              <w:t xml:space="preserve">un mayor número </w:t>
            </w:r>
            <w:r w:rsidR="00603D5D" w:rsidRPr="0074345C">
              <w:rPr>
                <w:iCs/>
                <w:szCs w:val="22"/>
              </w:rPr>
              <w:t>de ac</w:t>
            </w:r>
            <w:r w:rsidR="009E13C2" w:rsidRPr="0074345C">
              <w:rPr>
                <w:iCs/>
                <w:szCs w:val="22"/>
              </w:rPr>
              <w:t>tividades</w:t>
            </w:r>
            <w:r w:rsidR="00603D5D" w:rsidRPr="0074345C">
              <w:rPr>
                <w:iCs/>
                <w:szCs w:val="22"/>
              </w:rPr>
              <w:t xml:space="preserve"> </w:t>
            </w:r>
            <w:r w:rsidR="00095C9A" w:rsidRPr="0074345C">
              <w:rPr>
                <w:iCs/>
                <w:szCs w:val="22"/>
              </w:rPr>
              <w:t xml:space="preserve">para poder hacer frente a </w:t>
            </w:r>
            <w:r w:rsidR="00603D5D" w:rsidRPr="0074345C">
              <w:rPr>
                <w:iCs/>
                <w:szCs w:val="22"/>
              </w:rPr>
              <w:t>l</w:t>
            </w:r>
            <w:r w:rsidR="00D1202E" w:rsidRPr="0074345C">
              <w:rPr>
                <w:iCs/>
                <w:szCs w:val="22"/>
              </w:rPr>
              <w:t>a</w:t>
            </w:r>
            <w:r w:rsidR="00603D5D" w:rsidRPr="0074345C">
              <w:rPr>
                <w:iCs/>
                <w:szCs w:val="22"/>
              </w:rPr>
              <w:t xml:space="preserve">s </w:t>
            </w:r>
            <w:r w:rsidR="00D1202E" w:rsidRPr="0074345C">
              <w:rPr>
                <w:iCs/>
                <w:szCs w:val="22"/>
              </w:rPr>
              <w:t>necesidades</w:t>
            </w:r>
            <w:r w:rsidR="00603D5D" w:rsidRPr="0074345C">
              <w:rPr>
                <w:iCs/>
                <w:szCs w:val="22"/>
              </w:rPr>
              <w:t xml:space="preserve"> pr</w:t>
            </w:r>
            <w:r w:rsidR="009019AD" w:rsidRPr="0074345C">
              <w:rPr>
                <w:iCs/>
                <w:szCs w:val="22"/>
              </w:rPr>
              <w:t>á</w:t>
            </w:r>
            <w:r w:rsidR="00603D5D" w:rsidRPr="0074345C">
              <w:rPr>
                <w:iCs/>
                <w:szCs w:val="22"/>
              </w:rPr>
              <w:t xml:space="preserve">cticas de los sectores </w:t>
            </w:r>
            <w:r w:rsidR="00502F27" w:rsidRPr="0074345C">
              <w:rPr>
                <w:szCs w:val="22"/>
              </w:rPr>
              <w:t xml:space="preserve">audiovisual, </w:t>
            </w:r>
            <w:r w:rsidR="00D1202E" w:rsidRPr="0074345C">
              <w:rPr>
                <w:szCs w:val="22"/>
              </w:rPr>
              <w:t>financiero</w:t>
            </w:r>
            <w:r w:rsidR="00603D5D" w:rsidRPr="0074345C">
              <w:rPr>
                <w:szCs w:val="22"/>
              </w:rPr>
              <w:t xml:space="preserve"> y jurídico</w:t>
            </w:r>
            <w:r w:rsidR="004D4285" w:rsidRPr="0074345C">
              <w:rPr>
                <w:szCs w:val="22"/>
              </w:rPr>
              <w:t xml:space="preserve">, </w:t>
            </w:r>
            <w:r w:rsidR="00603D5D" w:rsidRPr="0074345C">
              <w:rPr>
                <w:szCs w:val="22"/>
              </w:rPr>
              <w:t>potenciar e</w:t>
            </w:r>
            <w:r w:rsidR="00D1202E" w:rsidRPr="0074345C">
              <w:rPr>
                <w:szCs w:val="22"/>
              </w:rPr>
              <w:t>l</w:t>
            </w:r>
            <w:r w:rsidR="00603D5D" w:rsidRPr="0074345C">
              <w:rPr>
                <w:szCs w:val="22"/>
              </w:rPr>
              <w:t xml:space="preserve"> aprendizaje de las </w:t>
            </w:r>
            <w:r w:rsidR="00D1202E" w:rsidRPr="0074345C">
              <w:rPr>
                <w:szCs w:val="22"/>
              </w:rPr>
              <w:t>normas</w:t>
            </w:r>
            <w:r w:rsidR="00603D5D" w:rsidRPr="0074345C">
              <w:rPr>
                <w:szCs w:val="22"/>
              </w:rPr>
              <w:t xml:space="preserve"> internacionales, </w:t>
            </w:r>
            <w:r w:rsidR="00095C9A" w:rsidRPr="0074345C">
              <w:rPr>
                <w:szCs w:val="22"/>
              </w:rPr>
              <w:t xml:space="preserve">asegurando </w:t>
            </w:r>
            <w:r w:rsidR="004D4285" w:rsidRPr="0074345C">
              <w:rPr>
                <w:szCs w:val="22"/>
              </w:rPr>
              <w:t xml:space="preserve">la capacidad suficiente para </w:t>
            </w:r>
            <w:r w:rsidR="00BD041E" w:rsidRPr="0074345C">
              <w:rPr>
                <w:szCs w:val="22"/>
              </w:rPr>
              <w:t>el</w:t>
            </w:r>
            <w:r w:rsidR="004D4285" w:rsidRPr="0074345C">
              <w:rPr>
                <w:szCs w:val="22"/>
              </w:rPr>
              <w:t xml:space="preserve"> desarrollo de </w:t>
            </w:r>
            <w:r w:rsidR="009019AD" w:rsidRPr="0074345C">
              <w:rPr>
                <w:szCs w:val="22"/>
              </w:rPr>
              <w:t>prá</w:t>
            </w:r>
            <w:r w:rsidR="00603D5D" w:rsidRPr="0074345C">
              <w:rPr>
                <w:szCs w:val="22"/>
              </w:rPr>
              <w:t xml:space="preserve">cticas </w:t>
            </w:r>
            <w:r w:rsidR="00D1202E" w:rsidRPr="0074345C">
              <w:rPr>
                <w:szCs w:val="22"/>
              </w:rPr>
              <w:t>óptimas</w:t>
            </w:r>
            <w:r w:rsidR="00603D5D" w:rsidRPr="0074345C">
              <w:rPr>
                <w:szCs w:val="22"/>
              </w:rPr>
              <w:t xml:space="preserve"> </w:t>
            </w:r>
            <w:r w:rsidR="00D1202E" w:rsidRPr="0074345C">
              <w:rPr>
                <w:szCs w:val="22"/>
              </w:rPr>
              <w:t>pertinentes</w:t>
            </w:r>
            <w:r w:rsidR="00603D5D" w:rsidRPr="0074345C">
              <w:rPr>
                <w:szCs w:val="22"/>
              </w:rPr>
              <w:t xml:space="preserve"> </w:t>
            </w:r>
            <w:r w:rsidR="004D4285" w:rsidRPr="0074345C">
              <w:rPr>
                <w:szCs w:val="22"/>
              </w:rPr>
              <w:t xml:space="preserve">para </w:t>
            </w:r>
            <w:r w:rsidR="00603D5D" w:rsidRPr="0074345C">
              <w:rPr>
                <w:szCs w:val="22"/>
              </w:rPr>
              <w:t xml:space="preserve">el </w:t>
            </w:r>
            <w:r w:rsidR="00D1202E" w:rsidRPr="0074345C">
              <w:rPr>
                <w:szCs w:val="22"/>
              </w:rPr>
              <w:t>sector</w:t>
            </w:r>
            <w:r w:rsidR="00603D5D" w:rsidRPr="0074345C">
              <w:rPr>
                <w:szCs w:val="22"/>
              </w:rPr>
              <w:t xml:space="preserve"> cinematográfico en el </w:t>
            </w:r>
            <w:r w:rsidR="00D1202E" w:rsidRPr="0074345C">
              <w:rPr>
                <w:szCs w:val="22"/>
              </w:rPr>
              <w:t>contexto</w:t>
            </w:r>
            <w:r w:rsidR="00603D5D" w:rsidRPr="0074345C">
              <w:rPr>
                <w:szCs w:val="22"/>
              </w:rPr>
              <w:t xml:space="preserve"> africano</w:t>
            </w:r>
            <w:r w:rsidR="00502F27" w:rsidRPr="0074345C">
              <w:rPr>
                <w:iCs/>
                <w:szCs w:val="22"/>
              </w:rPr>
              <w:t xml:space="preserve">. </w:t>
            </w:r>
          </w:p>
          <w:p w:rsidR="003260F8" w:rsidRPr="0074345C" w:rsidRDefault="003260F8" w:rsidP="00E00028">
            <w:pPr>
              <w:suppressAutoHyphens/>
              <w:autoSpaceDN w:val="0"/>
              <w:textAlignment w:val="baseline"/>
              <w:rPr>
                <w:szCs w:val="22"/>
              </w:rPr>
            </w:pPr>
          </w:p>
          <w:p w:rsidR="003260F8" w:rsidRPr="0074345C" w:rsidRDefault="00603D5D" w:rsidP="00E00028">
            <w:pPr>
              <w:suppressAutoHyphens/>
              <w:autoSpaceDN w:val="0"/>
              <w:textAlignment w:val="baseline"/>
              <w:rPr>
                <w:iCs/>
                <w:szCs w:val="22"/>
              </w:rPr>
            </w:pPr>
            <w:r w:rsidRPr="0074345C">
              <w:rPr>
                <w:iCs/>
                <w:szCs w:val="22"/>
              </w:rPr>
              <w:t xml:space="preserve">Con </w:t>
            </w:r>
            <w:r w:rsidR="00D1202E" w:rsidRPr="0074345C">
              <w:rPr>
                <w:iCs/>
                <w:szCs w:val="22"/>
              </w:rPr>
              <w:t>respecto</w:t>
            </w:r>
            <w:r w:rsidRPr="0074345C">
              <w:rPr>
                <w:iCs/>
                <w:szCs w:val="22"/>
              </w:rPr>
              <w:t xml:space="preserve"> a la segunda actividad del </w:t>
            </w:r>
            <w:r w:rsidR="00D1202E" w:rsidRPr="0074345C">
              <w:rPr>
                <w:iCs/>
                <w:szCs w:val="22"/>
              </w:rPr>
              <w:t>proyecto</w:t>
            </w:r>
            <w:r w:rsidR="00502F27" w:rsidRPr="0074345C">
              <w:rPr>
                <w:iCs/>
                <w:szCs w:val="22"/>
              </w:rPr>
              <w:t xml:space="preserve">, Kenya, Burkina Faso </w:t>
            </w:r>
            <w:r w:rsidRPr="0074345C">
              <w:rPr>
                <w:iCs/>
                <w:szCs w:val="22"/>
              </w:rPr>
              <w:t>y</w:t>
            </w:r>
            <w:r w:rsidR="00502F27" w:rsidRPr="0074345C">
              <w:rPr>
                <w:iCs/>
                <w:szCs w:val="22"/>
              </w:rPr>
              <w:t xml:space="preserve"> Senegal ha</w:t>
            </w:r>
            <w:r w:rsidRPr="0074345C">
              <w:rPr>
                <w:iCs/>
                <w:szCs w:val="22"/>
              </w:rPr>
              <w:t xml:space="preserve">n </w:t>
            </w:r>
            <w:r w:rsidR="00D1202E" w:rsidRPr="0074345C">
              <w:rPr>
                <w:iCs/>
                <w:szCs w:val="22"/>
              </w:rPr>
              <w:t>solicitado</w:t>
            </w:r>
            <w:r w:rsidRPr="0074345C">
              <w:rPr>
                <w:iCs/>
                <w:szCs w:val="22"/>
              </w:rPr>
              <w:t xml:space="preserve"> que se organicen talleres de seguimiento en</w:t>
            </w:r>
            <w:r w:rsidR="00502F27" w:rsidRPr="0074345C">
              <w:rPr>
                <w:iCs/>
                <w:szCs w:val="22"/>
              </w:rPr>
              <w:t xml:space="preserve"> 2015. </w:t>
            </w:r>
            <w:r w:rsidRPr="0074345C">
              <w:rPr>
                <w:iCs/>
                <w:szCs w:val="22"/>
              </w:rPr>
              <w:t xml:space="preserve">Esta </w:t>
            </w:r>
            <w:r w:rsidR="00D1202E" w:rsidRPr="0074345C">
              <w:rPr>
                <w:iCs/>
                <w:szCs w:val="22"/>
              </w:rPr>
              <w:t>solicitud</w:t>
            </w:r>
            <w:r w:rsidR="009019AD" w:rsidRPr="0074345C">
              <w:rPr>
                <w:iCs/>
                <w:szCs w:val="22"/>
              </w:rPr>
              <w:t xml:space="preserve"> se tendrá</w:t>
            </w:r>
            <w:r w:rsidRPr="0074345C">
              <w:rPr>
                <w:iCs/>
                <w:szCs w:val="22"/>
              </w:rPr>
              <w:t xml:space="preserve"> en cuenta al programar los </w:t>
            </w:r>
            <w:r w:rsidR="00EB6DF9" w:rsidRPr="0074345C">
              <w:rPr>
                <w:iCs/>
                <w:szCs w:val="22"/>
              </w:rPr>
              <w:t>talleres de formación</w:t>
            </w:r>
            <w:r w:rsidRPr="0074345C">
              <w:rPr>
                <w:iCs/>
                <w:szCs w:val="22"/>
              </w:rPr>
              <w:t xml:space="preserve"> relacionados con la tercera actividad del proyecto, ya que se pueden </w:t>
            </w:r>
            <w:r w:rsidR="00D1202E" w:rsidRPr="0074345C">
              <w:rPr>
                <w:iCs/>
                <w:szCs w:val="22"/>
              </w:rPr>
              <w:t>combinar</w:t>
            </w:r>
            <w:r w:rsidRPr="0074345C">
              <w:rPr>
                <w:iCs/>
                <w:szCs w:val="22"/>
              </w:rPr>
              <w:t xml:space="preserve"> los dos objetivos</w:t>
            </w:r>
            <w:r w:rsidR="00502F27" w:rsidRPr="0074345C">
              <w:rPr>
                <w:iCs/>
                <w:szCs w:val="22"/>
              </w:rPr>
              <w:t xml:space="preserve">. </w:t>
            </w:r>
          </w:p>
          <w:p w:rsidR="003260F8" w:rsidRPr="0074345C" w:rsidRDefault="003260F8" w:rsidP="00E00028">
            <w:pPr>
              <w:suppressAutoHyphens/>
              <w:autoSpaceDN w:val="0"/>
              <w:textAlignment w:val="baseline"/>
              <w:rPr>
                <w:iCs/>
                <w:szCs w:val="22"/>
              </w:rPr>
            </w:pPr>
          </w:p>
          <w:p w:rsidR="003260F8" w:rsidRPr="0074345C" w:rsidRDefault="00E328EB" w:rsidP="00E00028">
            <w:pPr>
              <w:rPr>
                <w:iCs/>
                <w:szCs w:val="22"/>
              </w:rPr>
            </w:pPr>
            <w:r w:rsidRPr="0074345C">
              <w:rPr>
                <w:iCs/>
                <w:szCs w:val="22"/>
              </w:rPr>
              <w:t>Se ha pedido que</w:t>
            </w:r>
            <w:r w:rsidR="009019AD" w:rsidRPr="0074345C">
              <w:rPr>
                <w:iCs/>
                <w:szCs w:val="22"/>
              </w:rPr>
              <w:t>,</w:t>
            </w:r>
            <w:r w:rsidRPr="0074345C">
              <w:rPr>
                <w:iCs/>
                <w:szCs w:val="22"/>
              </w:rPr>
              <w:t xml:space="preserve"> en el marco del </w:t>
            </w:r>
            <w:r w:rsidR="00D1202E" w:rsidRPr="0074345C">
              <w:rPr>
                <w:iCs/>
                <w:szCs w:val="22"/>
              </w:rPr>
              <w:t>proyecto</w:t>
            </w:r>
            <w:r w:rsidRPr="0074345C">
              <w:rPr>
                <w:iCs/>
                <w:szCs w:val="22"/>
              </w:rPr>
              <w:t xml:space="preserve">, se facilite la participación de los productores y </w:t>
            </w:r>
            <w:r w:rsidR="00D1202E" w:rsidRPr="0074345C">
              <w:rPr>
                <w:iCs/>
                <w:szCs w:val="22"/>
              </w:rPr>
              <w:t>distribuidores</w:t>
            </w:r>
            <w:r w:rsidRPr="0074345C">
              <w:rPr>
                <w:iCs/>
                <w:szCs w:val="22"/>
              </w:rPr>
              <w:t xml:space="preserve"> que actúan en los mercados internacionales de compra y venta de </w:t>
            </w:r>
            <w:r w:rsidR="00D1202E" w:rsidRPr="0074345C">
              <w:rPr>
                <w:iCs/>
                <w:szCs w:val="22"/>
              </w:rPr>
              <w:t>productos</w:t>
            </w:r>
            <w:r w:rsidRPr="0074345C">
              <w:rPr>
                <w:iCs/>
                <w:szCs w:val="22"/>
              </w:rPr>
              <w:t xml:space="preserve"> </w:t>
            </w:r>
            <w:r w:rsidR="00D1202E" w:rsidRPr="0074345C">
              <w:rPr>
                <w:iCs/>
                <w:szCs w:val="22"/>
              </w:rPr>
              <w:t>audiovisuales</w:t>
            </w:r>
            <w:r w:rsidRPr="0074345C">
              <w:rPr>
                <w:iCs/>
                <w:szCs w:val="22"/>
              </w:rPr>
              <w:t xml:space="preserve">, como DISCOP </w:t>
            </w:r>
            <w:r w:rsidR="00D1202E" w:rsidRPr="0074345C">
              <w:rPr>
                <w:iCs/>
                <w:szCs w:val="22"/>
              </w:rPr>
              <w:t>África</w:t>
            </w:r>
            <w:r w:rsidRPr="0074345C">
              <w:rPr>
                <w:iCs/>
                <w:szCs w:val="22"/>
              </w:rPr>
              <w:t xml:space="preserve">, </w:t>
            </w:r>
            <w:r w:rsidR="009019AD" w:rsidRPr="0074345C">
              <w:rPr>
                <w:iCs/>
                <w:szCs w:val="22"/>
              </w:rPr>
              <w:t xml:space="preserve">a fin de que </w:t>
            </w:r>
            <w:r w:rsidRPr="0074345C">
              <w:rPr>
                <w:iCs/>
                <w:szCs w:val="22"/>
              </w:rPr>
              <w:t>utilicen herramientas basadas en el d</w:t>
            </w:r>
            <w:r w:rsidR="00193CE1" w:rsidRPr="0074345C">
              <w:rPr>
                <w:iCs/>
                <w:szCs w:val="22"/>
              </w:rPr>
              <w:t>erecho de autor</w:t>
            </w:r>
            <w:r w:rsidR="00502F27" w:rsidRPr="0074345C">
              <w:rPr>
                <w:iCs/>
                <w:szCs w:val="22"/>
              </w:rPr>
              <w:t xml:space="preserve"> </w:t>
            </w:r>
            <w:r w:rsidRPr="0074345C">
              <w:rPr>
                <w:iCs/>
                <w:szCs w:val="22"/>
              </w:rPr>
              <w:t xml:space="preserve">al vender y </w:t>
            </w:r>
            <w:r w:rsidR="00D1202E" w:rsidRPr="0074345C">
              <w:rPr>
                <w:iCs/>
                <w:szCs w:val="22"/>
              </w:rPr>
              <w:t>exportar</w:t>
            </w:r>
            <w:r w:rsidRPr="0074345C">
              <w:rPr>
                <w:iCs/>
                <w:szCs w:val="22"/>
              </w:rPr>
              <w:t xml:space="preserve"> </w:t>
            </w:r>
            <w:r w:rsidR="00D1202E" w:rsidRPr="0074345C">
              <w:rPr>
                <w:iCs/>
                <w:szCs w:val="22"/>
              </w:rPr>
              <w:t>contenidos</w:t>
            </w:r>
            <w:r w:rsidRPr="0074345C">
              <w:rPr>
                <w:iCs/>
                <w:szCs w:val="22"/>
              </w:rPr>
              <w:t xml:space="preserve"> </w:t>
            </w:r>
            <w:r w:rsidR="00502F27" w:rsidRPr="0074345C">
              <w:rPr>
                <w:iCs/>
                <w:szCs w:val="22"/>
              </w:rPr>
              <w:t>audiovisual</w:t>
            </w:r>
            <w:r w:rsidRPr="0074345C">
              <w:rPr>
                <w:iCs/>
                <w:szCs w:val="22"/>
              </w:rPr>
              <w:t>es locales</w:t>
            </w:r>
            <w:r w:rsidR="00502F27" w:rsidRPr="0074345C">
              <w:rPr>
                <w:iCs/>
                <w:szCs w:val="22"/>
              </w:rPr>
              <w:t xml:space="preserve">. </w:t>
            </w:r>
          </w:p>
          <w:p w:rsidR="00502F27" w:rsidRPr="0074345C" w:rsidRDefault="00502F27" w:rsidP="00E00028">
            <w:pPr>
              <w:suppressAutoHyphens/>
              <w:autoSpaceDN w:val="0"/>
              <w:textAlignment w:val="baseline"/>
              <w:rPr>
                <w:iCs/>
                <w:szCs w:val="22"/>
              </w:rPr>
            </w:pPr>
            <w:r w:rsidRPr="0074345C">
              <w:rPr>
                <w:iCs/>
                <w:szCs w:val="22"/>
              </w:rPr>
              <w:br/>
            </w:r>
          </w:p>
        </w:tc>
      </w:tr>
      <w:tr w:rsidR="006376E7" w:rsidRPr="0074345C" w:rsidTr="00E00028">
        <w:trPr>
          <w:trHeight w:val="1081"/>
        </w:trPr>
        <w:tc>
          <w:tcPr>
            <w:tcW w:w="2376" w:type="dxa"/>
            <w:shd w:val="clear" w:color="auto" w:fill="auto"/>
          </w:tcPr>
          <w:p w:rsidR="00502F27" w:rsidRPr="0074345C" w:rsidRDefault="003260F8" w:rsidP="003260F8">
            <w:pPr>
              <w:pStyle w:val="Heading3"/>
              <w:rPr>
                <w:szCs w:val="22"/>
              </w:rPr>
            </w:pPr>
            <w:r w:rsidRPr="0074345C">
              <w:rPr>
                <w:szCs w:val="22"/>
              </w:rPr>
              <w:lastRenderedPageBreak/>
              <w:t>Siguientes pasos</w:t>
            </w:r>
          </w:p>
        </w:tc>
        <w:tc>
          <w:tcPr>
            <w:tcW w:w="6912" w:type="dxa"/>
          </w:tcPr>
          <w:p w:rsidR="003260F8" w:rsidRPr="0074345C" w:rsidRDefault="003260F8" w:rsidP="00E00028">
            <w:pPr>
              <w:rPr>
                <w:iCs/>
                <w:szCs w:val="22"/>
              </w:rPr>
            </w:pPr>
          </w:p>
          <w:p w:rsidR="003260F8" w:rsidRPr="0074345C" w:rsidRDefault="00E328EB" w:rsidP="00E00028">
            <w:pPr>
              <w:rPr>
                <w:iCs/>
                <w:szCs w:val="22"/>
              </w:rPr>
            </w:pPr>
            <w:r w:rsidRPr="0074345C">
              <w:rPr>
                <w:iCs/>
                <w:szCs w:val="22"/>
              </w:rPr>
              <w:t xml:space="preserve">De </w:t>
            </w:r>
            <w:r w:rsidR="002034F4" w:rsidRPr="0074345C">
              <w:rPr>
                <w:iCs/>
                <w:szCs w:val="22"/>
              </w:rPr>
              <w:t>octubre de</w:t>
            </w:r>
            <w:r w:rsidR="00502F27" w:rsidRPr="0074345C">
              <w:rPr>
                <w:iCs/>
                <w:szCs w:val="22"/>
              </w:rPr>
              <w:t xml:space="preserve"> 2014 </w:t>
            </w:r>
            <w:r w:rsidRPr="0074345C">
              <w:rPr>
                <w:iCs/>
                <w:szCs w:val="22"/>
              </w:rPr>
              <w:t xml:space="preserve">a </w:t>
            </w:r>
            <w:r w:rsidR="002034F4" w:rsidRPr="0074345C">
              <w:rPr>
                <w:iCs/>
                <w:szCs w:val="22"/>
              </w:rPr>
              <w:t>septiembre de</w:t>
            </w:r>
            <w:r w:rsidR="00502F27" w:rsidRPr="0074345C">
              <w:rPr>
                <w:iCs/>
                <w:szCs w:val="22"/>
              </w:rPr>
              <w:t xml:space="preserve"> 2015, </w:t>
            </w:r>
            <w:r w:rsidRPr="0074345C">
              <w:rPr>
                <w:iCs/>
                <w:szCs w:val="22"/>
              </w:rPr>
              <w:t>el</w:t>
            </w:r>
            <w:r w:rsidR="00502F27" w:rsidRPr="0074345C">
              <w:rPr>
                <w:iCs/>
                <w:szCs w:val="22"/>
              </w:rPr>
              <w:t xml:space="preserve"> </w:t>
            </w:r>
            <w:r w:rsidR="009E13C2" w:rsidRPr="0074345C">
              <w:rPr>
                <w:iCs/>
                <w:szCs w:val="22"/>
              </w:rPr>
              <w:t xml:space="preserve">proyecto </w:t>
            </w:r>
            <w:r w:rsidRPr="0074345C">
              <w:rPr>
                <w:iCs/>
                <w:szCs w:val="22"/>
              </w:rPr>
              <w:t xml:space="preserve">se centrará en las siguientes </w:t>
            </w:r>
            <w:r w:rsidR="009E13C2" w:rsidRPr="0074345C">
              <w:rPr>
                <w:iCs/>
                <w:szCs w:val="22"/>
              </w:rPr>
              <w:t xml:space="preserve">actividades </w:t>
            </w:r>
            <w:r w:rsidR="00502F27" w:rsidRPr="0074345C">
              <w:rPr>
                <w:iCs/>
                <w:szCs w:val="22"/>
              </w:rPr>
              <w:t>:</w:t>
            </w:r>
          </w:p>
          <w:p w:rsidR="003260F8" w:rsidRPr="0074345C" w:rsidRDefault="003260F8" w:rsidP="00E00028">
            <w:pPr>
              <w:rPr>
                <w:iCs/>
                <w:szCs w:val="22"/>
              </w:rPr>
            </w:pPr>
          </w:p>
          <w:p w:rsidR="003260F8" w:rsidRPr="0074345C" w:rsidRDefault="004D4285" w:rsidP="00E00028">
            <w:pPr>
              <w:numPr>
                <w:ilvl w:val="0"/>
                <w:numId w:val="30"/>
              </w:numPr>
              <w:rPr>
                <w:iCs/>
                <w:szCs w:val="22"/>
              </w:rPr>
            </w:pPr>
            <w:r w:rsidRPr="0074345C">
              <w:rPr>
                <w:iCs/>
                <w:szCs w:val="22"/>
              </w:rPr>
              <w:t>t</w:t>
            </w:r>
            <w:r w:rsidR="00E328EB" w:rsidRPr="0074345C">
              <w:rPr>
                <w:iCs/>
                <w:szCs w:val="22"/>
              </w:rPr>
              <w:t xml:space="preserve">aller de </w:t>
            </w:r>
            <w:r w:rsidRPr="0074345C">
              <w:rPr>
                <w:iCs/>
                <w:szCs w:val="22"/>
              </w:rPr>
              <w:t>formac</w:t>
            </w:r>
            <w:r w:rsidR="00D1202E" w:rsidRPr="0074345C">
              <w:rPr>
                <w:iCs/>
                <w:szCs w:val="22"/>
              </w:rPr>
              <w:t>ión</w:t>
            </w:r>
            <w:r w:rsidR="00E328EB" w:rsidRPr="0074345C">
              <w:rPr>
                <w:iCs/>
                <w:szCs w:val="22"/>
              </w:rPr>
              <w:t xml:space="preserve"> </w:t>
            </w:r>
            <w:r w:rsidR="00D1202E" w:rsidRPr="0074345C">
              <w:rPr>
                <w:iCs/>
                <w:szCs w:val="22"/>
              </w:rPr>
              <w:t>de seguimiento en todos los paí</w:t>
            </w:r>
            <w:r w:rsidR="00C41C5E" w:rsidRPr="0074345C">
              <w:rPr>
                <w:iCs/>
                <w:szCs w:val="22"/>
              </w:rPr>
              <w:t>ses piloto</w:t>
            </w:r>
            <w:r w:rsidR="00502F27" w:rsidRPr="0074345C">
              <w:rPr>
                <w:iCs/>
                <w:szCs w:val="22"/>
              </w:rPr>
              <w:t xml:space="preserve">. </w:t>
            </w:r>
            <w:r w:rsidR="00C41C5E" w:rsidRPr="0074345C">
              <w:rPr>
                <w:iCs/>
                <w:szCs w:val="22"/>
              </w:rPr>
              <w:t xml:space="preserve">Esto </w:t>
            </w:r>
            <w:r w:rsidR="00D1202E" w:rsidRPr="0074345C">
              <w:rPr>
                <w:iCs/>
                <w:szCs w:val="22"/>
              </w:rPr>
              <w:t>permitirá</w:t>
            </w:r>
            <w:r w:rsidR="00C41C5E" w:rsidRPr="0074345C">
              <w:rPr>
                <w:iCs/>
                <w:szCs w:val="22"/>
              </w:rPr>
              <w:t xml:space="preserve"> que la </w:t>
            </w:r>
            <w:r w:rsidR="009019AD" w:rsidRPr="0074345C">
              <w:rPr>
                <w:iCs/>
                <w:szCs w:val="22"/>
              </w:rPr>
              <w:t>capacitación p</w:t>
            </w:r>
            <w:r w:rsidR="00C41C5E" w:rsidRPr="0074345C">
              <w:rPr>
                <w:iCs/>
                <w:szCs w:val="22"/>
              </w:rPr>
              <w:t xml:space="preserve">ase del nivel </w:t>
            </w:r>
            <w:r w:rsidR="00D1202E" w:rsidRPr="0074345C">
              <w:rPr>
                <w:iCs/>
                <w:szCs w:val="22"/>
              </w:rPr>
              <w:t>teórico</w:t>
            </w:r>
            <w:r w:rsidR="00C41C5E" w:rsidRPr="0074345C">
              <w:rPr>
                <w:iCs/>
                <w:szCs w:val="22"/>
              </w:rPr>
              <w:t xml:space="preserve"> a</w:t>
            </w:r>
            <w:r w:rsidR="009019AD" w:rsidRPr="0074345C">
              <w:rPr>
                <w:iCs/>
                <w:szCs w:val="22"/>
              </w:rPr>
              <w:t>l práctico, usando</w:t>
            </w:r>
            <w:r w:rsidR="00C41C5E" w:rsidRPr="0074345C">
              <w:rPr>
                <w:iCs/>
                <w:szCs w:val="22"/>
              </w:rPr>
              <w:t xml:space="preserve"> herramientas comerciales </w:t>
            </w:r>
            <w:r w:rsidR="00D1202E" w:rsidRPr="0074345C">
              <w:rPr>
                <w:iCs/>
                <w:szCs w:val="22"/>
              </w:rPr>
              <w:t>más</w:t>
            </w:r>
            <w:r w:rsidR="00C41C5E" w:rsidRPr="0074345C">
              <w:rPr>
                <w:iCs/>
                <w:szCs w:val="22"/>
              </w:rPr>
              <w:t xml:space="preserve"> especificas y </w:t>
            </w:r>
            <w:r w:rsidR="00D1202E" w:rsidRPr="0074345C">
              <w:rPr>
                <w:iCs/>
                <w:szCs w:val="22"/>
              </w:rPr>
              <w:t>estudios</w:t>
            </w:r>
            <w:r w:rsidR="00C41C5E" w:rsidRPr="0074345C">
              <w:rPr>
                <w:iCs/>
                <w:szCs w:val="22"/>
              </w:rPr>
              <w:t xml:space="preserve"> de caso que permitan atender las necesidades de </w:t>
            </w:r>
            <w:r w:rsidR="009019AD" w:rsidRPr="0074345C">
              <w:rPr>
                <w:iCs/>
                <w:szCs w:val="22"/>
              </w:rPr>
              <w:t xml:space="preserve">las </w:t>
            </w:r>
            <w:r w:rsidR="00C41C5E" w:rsidRPr="0074345C">
              <w:rPr>
                <w:iCs/>
                <w:szCs w:val="22"/>
              </w:rPr>
              <w:t>industria</w:t>
            </w:r>
            <w:r w:rsidR="009019AD" w:rsidRPr="0074345C">
              <w:rPr>
                <w:iCs/>
                <w:szCs w:val="22"/>
              </w:rPr>
              <w:t>s</w:t>
            </w:r>
            <w:r w:rsidR="00C41C5E" w:rsidRPr="0074345C">
              <w:rPr>
                <w:iCs/>
                <w:szCs w:val="22"/>
              </w:rPr>
              <w:t xml:space="preserve"> cinematográfica</w:t>
            </w:r>
            <w:r w:rsidR="009019AD" w:rsidRPr="0074345C">
              <w:rPr>
                <w:iCs/>
                <w:szCs w:val="22"/>
              </w:rPr>
              <w:t>s</w:t>
            </w:r>
            <w:r w:rsidR="00C41C5E" w:rsidRPr="0074345C">
              <w:rPr>
                <w:iCs/>
                <w:szCs w:val="22"/>
              </w:rPr>
              <w:t xml:space="preserve"> local</w:t>
            </w:r>
            <w:r w:rsidR="009019AD" w:rsidRPr="0074345C">
              <w:rPr>
                <w:iCs/>
                <w:szCs w:val="22"/>
              </w:rPr>
              <w:t>es y desarrollar prácticas má</w:t>
            </w:r>
            <w:r w:rsidR="00C41C5E" w:rsidRPr="0074345C">
              <w:rPr>
                <w:iCs/>
                <w:szCs w:val="22"/>
              </w:rPr>
              <w:t xml:space="preserve">s adaptadas a la </w:t>
            </w:r>
            <w:r w:rsidR="00D1202E" w:rsidRPr="0074345C">
              <w:rPr>
                <w:iCs/>
                <w:szCs w:val="22"/>
              </w:rPr>
              <w:t>realidad</w:t>
            </w:r>
            <w:r w:rsidR="00C41C5E" w:rsidRPr="0074345C">
              <w:rPr>
                <w:iCs/>
                <w:szCs w:val="22"/>
              </w:rPr>
              <w:t xml:space="preserve"> de los países africanos</w:t>
            </w:r>
            <w:r w:rsidR="00502F27" w:rsidRPr="0074345C">
              <w:rPr>
                <w:iCs/>
                <w:szCs w:val="22"/>
              </w:rPr>
              <w:t>;</w:t>
            </w:r>
          </w:p>
          <w:p w:rsidR="003260F8" w:rsidRPr="0074345C" w:rsidRDefault="003260F8" w:rsidP="00E00028">
            <w:pPr>
              <w:ind w:left="720"/>
              <w:rPr>
                <w:iCs/>
                <w:szCs w:val="22"/>
              </w:rPr>
            </w:pPr>
          </w:p>
          <w:p w:rsidR="003260F8" w:rsidRPr="0074345C" w:rsidRDefault="004D4285" w:rsidP="00E00028">
            <w:pPr>
              <w:pStyle w:val="ListParagraph"/>
              <w:numPr>
                <w:ilvl w:val="0"/>
                <w:numId w:val="31"/>
              </w:numPr>
              <w:rPr>
                <w:szCs w:val="22"/>
                <w:lang w:val="es-ES"/>
              </w:rPr>
            </w:pPr>
            <w:r w:rsidRPr="0074345C">
              <w:rPr>
                <w:iCs/>
                <w:szCs w:val="22"/>
                <w:lang w:val="es-ES"/>
              </w:rPr>
              <w:t>Inicio de l</w:t>
            </w:r>
            <w:r w:rsidR="00C41C5E" w:rsidRPr="0074345C">
              <w:rPr>
                <w:iCs/>
                <w:szCs w:val="22"/>
                <w:lang w:val="es-ES"/>
              </w:rPr>
              <w:t xml:space="preserve">a fase de </w:t>
            </w:r>
            <w:r w:rsidR="00D1202E" w:rsidRPr="0074345C">
              <w:rPr>
                <w:iCs/>
                <w:szCs w:val="22"/>
                <w:lang w:val="es-ES"/>
              </w:rPr>
              <w:t>ejecución</w:t>
            </w:r>
            <w:r w:rsidR="00C41C5E" w:rsidRPr="0074345C">
              <w:rPr>
                <w:iCs/>
                <w:szCs w:val="22"/>
                <w:lang w:val="es-ES"/>
              </w:rPr>
              <w:t xml:space="preserve"> de la tercera </w:t>
            </w:r>
            <w:r w:rsidR="00D1202E" w:rsidRPr="0074345C">
              <w:rPr>
                <w:iCs/>
                <w:szCs w:val="22"/>
                <w:lang w:val="es-ES"/>
              </w:rPr>
              <w:t>actividad</w:t>
            </w:r>
            <w:r w:rsidR="00C41C5E" w:rsidRPr="0074345C">
              <w:rPr>
                <w:iCs/>
                <w:szCs w:val="22"/>
                <w:lang w:val="es-ES"/>
              </w:rPr>
              <w:t xml:space="preserve"> del proyecto</w:t>
            </w:r>
            <w:r w:rsidR="009019AD" w:rsidRPr="0074345C">
              <w:rPr>
                <w:iCs/>
                <w:szCs w:val="22"/>
                <w:lang w:val="es-ES"/>
              </w:rPr>
              <w:t>,</w:t>
            </w:r>
            <w:r w:rsidR="00C41C5E" w:rsidRPr="0074345C">
              <w:rPr>
                <w:iCs/>
                <w:szCs w:val="22"/>
                <w:lang w:val="es-ES"/>
              </w:rPr>
              <w:t xml:space="preserve"> </w:t>
            </w:r>
            <w:r w:rsidR="009019AD" w:rsidRPr="0074345C">
              <w:rPr>
                <w:iCs/>
                <w:szCs w:val="22"/>
                <w:lang w:val="es-ES"/>
              </w:rPr>
              <w:t xml:space="preserve">teniendo en cuenta </w:t>
            </w:r>
            <w:r w:rsidR="00C41C5E" w:rsidRPr="0074345C">
              <w:rPr>
                <w:iCs/>
                <w:szCs w:val="22"/>
                <w:lang w:val="es-ES"/>
              </w:rPr>
              <w:t xml:space="preserve">las recomendaciones formuladas en el estudio </w:t>
            </w:r>
            <w:r w:rsidR="00502F27" w:rsidRPr="0074345C">
              <w:rPr>
                <w:iCs/>
                <w:szCs w:val="22"/>
                <w:lang w:val="es-ES"/>
              </w:rPr>
              <w:t>“</w:t>
            </w:r>
            <w:r w:rsidR="00C41C5E" w:rsidRPr="0074345C">
              <w:rPr>
                <w:szCs w:val="22"/>
                <w:lang w:val="es-ES"/>
              </w:rPr>
              <w:t>Negociación de derechos y la gestión colectiva de derechos en el sector audiovisual”</w:t>
            </w:r>
            <w:r w:rsidR="00502F27" w:rsidRPr="0074345C">
              <w:rPr>
                <w:i/>
                <w:szCs w:val="22"/>
                <w:lang w:val="es-ES"/>
              </w:rPr>
              <w:t xml:space="preserve">. </w:t>
            </w:r>
            <w:r w:rsidR="00C41C5E" w:rsidRPr="0074345C">
              <w:rPr>
                <w:szCs w:val="22"/>
                <w:lang w:val="es-ES"/>
              </w:rPr>
              <w:t xml:space="preserve">Esto </w:t>
            </w:r>
            <w:r w:rsidR="00852D1D" w:rsidRPr="0074345C">
              <w:rPr>
                <w:szCs w:val="22"/>
                <w:lang w:val="es-ES"/>
              </w:rPr>
              <w:t xml:space="preserve">requerirá sesiones de </w:t>
            </w:r>
            <w:r w:rsidR="00D1202E" w:rsidRPr="0074345C">
              <w:rPr>
                <w:szCs w:val="22"/>
                <w:lang w:val="es-ES"/>
              </w:rPr>
              <w:t>capacitación</w:t>
            </w:r>
            <w:r w:rsidR="009019AD" w:rsidRPr="0074345C">
              <w:rPr>
                <w:szCs w:val="22"/>
                <w:lang w:val="es-ES"/>
              </w:rPr>
              <w:t xml:space="preserve">, incluidas las </w:t>
            </w:r>
            <w:r w:rsidR="00D1202E" w:rsidRPr="0074345C">
              <w:rPr>
                <w:szCs w:val="22"/>
                <w:lang w:val="es-ES"/>
              </w:rPr>
              <w:t xml:space="preserve">sesiones </w:t>
            </w:r>
            <w:r w:rsidR="00852D1D" w:rsidRPr="0074345C">
              <w:rPr>
                <w:szCs w:val="22"/>
                <w:lang w:val="es-ES"/>
              </w:rPr>
              <w:t>in situ</w:t>
            </w:r>
            <w:r w:rsidR="009019AD" w:rsidRPr="0074345C">
              <w:rPr>
                <w:szCs w:val="22"/>
                <w:lang w:val="es-ES"/>
              </w:rPr>
              <w:t>,</w:t>
            </w:r>
            <w:r w:rsidR="00852D1D" w:rsidRPr="0074345C">
              <w:rPr>
                <w:szCs w:val="22"/>
                <w:lang w:val="es-ES"/>
              </w:rPr>
              <w:t xml:space="preserve"> </w:t>
            </w:r>
            <w:r w:rsidRPr="0074345C">
              <w:rPr>
                <w:szCs w:val="22"/>
                <w:lang w:val="es-ES"/>
              </w:rPr>
              <w:t>para</w:t>
            </w:r>
            <w:r w:rsidR="00D1202E" w:rsidRPr="0074345C">
              <w:rPr>
                <w:szCs w:val="22"/>
                <w:lang w:val="es-ES"/>
              </w:rPr>
              <w:t xml:space="preserve"> </w:t>
            </w:r>
            <w:r w:rsidR="00852D1D" w:rsidRPr="0074345C">
              <w:rPr>
                <w:szCs w:val="22"/>
                <w:lang w:val="es-ES"/>
              </w:rPr>
              <w:t xml:space="preserve">desarrollar las aptitudes del sector en </w:t>
            </w:r>
            <w:r w:rsidR="00C40A6E" w:rsidRPr="0074345C">
              <w:rPr>
                <w:szCs w:val="22"/>
                <w:lang w:val="es-ES"/>
              </w:rPr>
              <w:t>aspectos</w:t>
            </w:r>
            <w:r w:rsidR="00852D1D" w:rsidRPr="0074345C">
              <w:rPr>
                <w:szCs w:val="22"/>
                <w:lang w:val="es-ES"/>
              </w:rPr>
              <w:t xml:space="preserve"> </w:t>
            </w:r>
            <w:r w:rsidR="00C40A6E" w:rsidRPr="0074345C">
              <w:rPr>
                <w:szCs w:val="22"/>
                <w:lang w:val="es-ES"/>
              </w:rPr>
              <w:t>como el</w:t>
            </w:r>
            <w:r w:rsidR="00852D1D" w:rsidRPr="0074345C">
              <w:rPr>
                <w:szCs w:val="22"/>
                <w:lang w:val="es-ES"/>
              </w:rPr>
              <w:t xml:space="preserve"> derecho</w:t>
            </w:r>
            <w:r w:rsidR="00193CE1" w:rsidRPr="0074345C">
              <w:rPr>
                <w:szCs w:val="22"/>
                <w:lang w:val="es-ES"/>
              </w:rPr>
              <w:t xml:space="preserve"> de autor</w:t>
            </w:r>
            <w:r w:rsidR="00502F27" w:rsidRPr="0074345C">
              <w:rPr>
                <w:szCs w:val="22"/>
                <w:lang w:val="es-ES"/>
              </w:rPr>
              <w:t xml:space="preserve"> </w:t>
            </w:r>
            <w:r w:rsidR="00852D1D" w:rsidRPr="0074345C">
              <w:rPr>
                <w:szCs w:val="22"/>
                <w:lang w:val="es-ES"/>
              </w:rPr>
              <w:t xml:space="preserve">y las </w:t>
            </w:r>
            <w:r w:rsidR="00D1202E" w:rsidRPr="0074345C">
              <w:rPr>
                <w:szCs w:val="22"/>
                <w:lang w:val="es-ES"/>
              </w:rPr>
              <w:t>negociaciones</w:t>
            </w:r>
            <w:r w:rsidR="00852D1D" w:rsidRPr="0074345C">
              <w:rPr>
                <w:szCs w:val="22"/>
                <w:lang w:val="es-ES"/>
              </w:rPr>
              <w:t xml:space="preserve"> </w:t>
            </w:r>
            <w:r w:rsidR="00C40A6E" w:rsidRPr="0074345C">
              <w:rPr>
                <w:szCs w:val="22"/>
                <w:lang w:val="es-ES"/>
              </w:rPr>
              <w:t xml:space="preserve">relativas a </w:t>
            </w:r>
            <w:r w:rsidR="00852D1D" w:rsidRPr="0074345C">
              <w:rPr>
                <w:szCs w:val="22"/>
                <w:lang w:val="es-ES"/>
              </w:rPr>
              <w:t xml:space="preserve">la concesión de </w:t>
            </w:r>
            <w:r w:rsidR="00C40A6E" w:rsidRPr="0074345C">
              <w:rPr>
                <w:szCs w:val="22"/>
                <w:lang w:val="es-ES"/>
              </w:rPr>
              <w:t>l</w:t>
            </w:r>
            <w:r w:rsidR="00D1202E" w:rsidRPr="0074345C">
              <w:rPr>
                <w:szCs w:val="22"/>
                <w:lang w:val="es-ES"/>
              </w:rPr>
              <w:t>icencia</w:t>
            </w:r>
            <w:r w:rsidR="00C40A6E" w:rsidRPr="0074345C">
              <w:rPr>
                <w:szCs w:val="22"/>
                <w:lang w:val="es-ES"/>
              </w:rPr>
              <w:t>s,</w:t>
            </w:r>
            <w:r w:rsidR="00852D1D" w:rsidRPr="0074345C">
              <w:rPr>
                <w:szCs w:val="22"/>
                <w:lang w:val="es-ES"/>
              </w:rPr>
              <w:t xml:space="preserve"> que ab</w:t>
            </w:r>
            <w:r w:rsidR="00C40A6E" w:rsidRPr="0074345C">
              <w:rPr>
                <w:szCs w:val="22"/>
                <w:lang w:val="es-ES"/>
              </w:rPr>
              <w:t xml:space="preserve">arquen en especial </w:t>
            </w:r>
            <w:r w:rsidR="00852D1D" w:rsidRPr="0074345C">
              <w:rPr>
                <w:szCs w:val="22"/>
                <w:lang w:val="es-ES"/>
              </w:rPr>
              <w:t xml:space="preserve">cuestiones como las herramientas y normas comerciales </w:t>
            </w:r>
            <w:r w:rsidR="00C40A6E" w:rsidRPr="0074345C">
              <w:rPr>
                <w:szCs w:val="22"/>
                <w:lang w:val="es-ES"/>
              </w:rPr>
              <w:t>que rigen</w:t>
            </w:r>
            <w:r w:rsidR="00852D1D" w:rsidRPr="0074345C">
              <w:rPr>
                <w:szCs w:val="22"/>
                <w:lang w:val="es-ES"/>
              </w:rPr>
              <w:t xml:space="preserve"> las relaciones </w:t>
            </w:r>
            <w:r w:rsidR="00D1202E" w:rsidRPr="0074345C">
              <w:rPr>
                <w:szCs w:val="22"/>
                <w:lang w:val="es-ES"/>
              </w:rPr>
              <w:t>contractuales</w:t>
            </w:r>
            <w:r w:rsidR="00852D1D" w:rsidRPr="0074345C">
              <w:rPr>
                <w:szCs w:val="22"/>
                <w:lang w:val="es-ES"/>
              </w:rPr>
              <w:t xml:space="preserve"> entre los colaboradores </w:t>
            </w:r>
            <w:r w:rsidR="00D1202E" w:rsidRPr="0074345C">
              <w:rPr>
                <w:szCs w:val="22"/>
                <w:lang w:val="es-ES"/>
              </w:rPr>
              <w:t>creativos</w:t>
            </w:r>
            <w:r w:rsidR="00852D1D" w:rsidRPr="0074345C">
              <w:rPr>
                <w:szCs w:val="22"/>
                <w:lang w:val="es-ES"/>
              </w:rPr>
              <w:t xml:space="preserve"> y </w:t>
            </w:r>
            <w:r w:rsidR="00D1202E" w:rsidRPr="0074345C">
              <w:rPr>
                <w:szCs w:val="22"/>
                <w:lang w:val="es-ES"/>
              </w:rPr>
              <w:t>los</w:t>
            </w:r>
            <w:r w:rsidR="00852D1D" w:rsidRPr="0074345C">
              <w:rPr>
                <w:szCs w:val="22"/>
                <w:lang w:val="es-ES"/>
              </w:rPr>
              <w:t xml:space="preserve"> </w:t>
            </w:r>
            <w:r w:rsidR="00C40A6E" w:rsidRPr="0074345C">
              <w:rPr>
                <w:szCs w:val="22"/>
                <w:lang w:val="es-ES"/>
              </w:rPr>
              <w:t>asociados financieros, y las prá</w:t>
            </w:r>
            <w:r w:rsidR="00852D1D" w:rsidRPr="0074345C">
              <w:rPr>
                <w:szCs w:val="22"/>
                <w:lang w:val="es-ES"/>
              </w:rPr>
              <w:t>cticas en materia de concesión de licencias para el entorno internet</w:t>
            </w:r>
            <w:r w:rsidR="00502F27" w:rsidRPr="0074345C">
              <w:rPr>
                <w:szCs w:val="22"/>
                <w:lang w:val="es-ES"/>
              </w:rPr>
              <w:t>;</w:t>
            </w:r>
            <w:r w:rsidR="00502F27" w:rsidRPr="0074345C">
              <w:rPr>
                <w:b/>
                <w:szCs w:val="22"/>
                <w:lang w:val="es-ES"/>
              </w:rPr>
              <w:t xml:space="preserve"> </w:t>
            </w:r>
          </w:p>
          <w:p w:rsidR="003260F8" w:rsidRPr="0074345C" w:rsidRDefault="003260F8" w:rsidP="00E00028">
            <w:pPr>
              <w:pStyle w:val="ListParagraph"/>
              <w:jc w:val="both"/>
              <w:rPr>
                <w:szCs w:val="22"/>
                <w:lang w:val="es-ES"/>
              </w:rPr>
            </w:pPr>
          </w:p>
          <w:p w:rsidR="003260F8" w:rsidRPr="0074345C" w:rsidRDefault="00852D1D" w:rsidP="00E00028">
            <w:pPr>
              <w:pStyle w:val="ListParagraph"/>
              <w:numPr>
                <w:ilvl w:val="0"/>
                <w:numId w:val="31"/>
              </w:numPr>
              <w:rPr>
                <w:szCs w:val="22"/>
                <w:lang w:val="es-ES"/>
              </w:rPr>
            </w:pPr>
            <w:r w:rsidRPr="0074345C">
              <w:rPr>
                <w:szCs w:val="22"/>
                <w:lang w:val="es-ES"/>
              </w:rPr>
              <w:t xml:space="preserve">el programa de aprendizaje a </w:t>
            </w:r>
            <w:r w:rsidR="00D1202E" w:rsidRPr="0074345C">
              <w:rPr>
                <w:szCs w:val="22"/>
                <w:lang w:val="es-ES"/>
              </w:rPr>
              <w:t>distancia</w:t>
            </w:r>
            <w:r w:rsidRPr="0074345C">
              <w:rPr>
                <w:szCs w:val="22"/>
                <w:lang w:val="es-ES"/>
              </w:rPr>
              <w:t xml:space="preserve"> se elaborará en base al </w:t>
            </w:r>
            <w:r w:rsidR="00D1202E" w:rsidRPr="0074345C">
              <w:rPr>
                <w:szCs w:val="22"/>
                <w:lang w:val="es-ES"/>
              </w:rPr>
              <w:t>contenido</w:t>
            </w:r>
            <w:r w:rsidRPr="0074345C">
              <w:rPr>
                <w:szCs w:val="22"/>
                <w:lang w:val="es-ES"/>
              </w:rPr>
              <w:t xml:space="preserve"> </w:t>
            </w:r>
            <w:r w:rsidR="00D1202E" w:rsidRPr="0074345C">
              <w:rPr>
                <w:szCs w:val="22"/>
                <w:lang w:val="es-ES"/>
              </w:rPr>
              <w:t>del programa de capacitación</w:t>
            </w:r>
            <w:r w:rsidR="00502F27" w:rsidRPr="0074345C">
              <w:rPr>
                <w:iCs/>
                <w:szCs w:val="22"/>
                <w:lang w:val="es-ES"/>
              </w:rPr>
              <w:t xml:space="preserve">. </w:t>
            </w:r>
          </w:p>
          <w:p w:rsidR="00502F27" w:rsidRPr="0074345C" w:rsidRDefault="00502F27" w:rsidP="00E00028">
            <w:pPr>
              <w:pStyle w:val="ListParagraph"/>
              <w:jc w:val="both"/>
              <w:rPr>
                <w:szCs w:val="22"/>
                <w:lang w:val="es-ES"/>
              </w:rPr>
            </w:pPr>
          </w:p>
        </w:tc>
      </w:tr>
      <w:tr w:rsidR="006376E7" w:rsidRPr="0074345C" w:rsidTr="00E00028">
        <w:trPr>
          <w:trHeight w:val="1407"/>
        </w:trPr>
        <w:tc>
          <w:tcPr>
            <w:tcW w:w="2376" w:type="dxa"/>
            <w:shd w:val="clear" w:color="auto" w:fill="auto"/>
          </w:tcPr>
          <w:p w:rsidR="00502F27" w:rsidRPr="0074345C" w:rsidRDefault="003260F8" w:rsidP="003260F8">
            <w:pPr>
              <w:pStyle w:val="Heading3"/>
              <w:rPr>
                <w:szCs w:val="22"/>
              </w:rPr>
            </w:pPr>
            <w:r w:rsidRPr="0074345C">
              <w:rPr>
                <w:szCs w:val="22"/>
              </w:rPr>
              <w:t>Calendario de ejecución</w:t>
            </w:r>
          </w:p>
        </w:tc>
        <w:tc>
          <w:tcPr>
            <w:tcW w:w="6912" w:type="dxa"/>
          </w:tcPr>
          <w:p w:rsidR="003260F8" w:rsidRPr="0074345C" w:rsidRDefault="003260F8" w:rsidP="00E00028">
            <w:pPr>
              <w:rPr>
                <w:iCs/>
                <w:szCs w:val="22"/>
              </w:rPr>
            </w:pPr>
          </w:p>
          <w:p w:rsidR="00502F27" w:rsidRPr="0074345C" w:rsidRDefault="00E328EB" w:rsidP="00E328EB">
            <w:pPr>
              <w:rPr>
                <w:iCs/>
                <w:szCs w:val="22"/>
              </w:rPr>
            </w:pPr>
            <w:r w:rsidRPr="0074345C">
              <w:rPr>
                <w:iCs/>
                <w:szCs w:val="22"/>
              </w:rPr>
              <w:t xml:space="preserve">La ejecución avanza con arreglo a los nuevos plazos del proyecto aprobados por el </w:t>
            </w:r>
            <w:r w:rsidR="009E13C2" w:rsidRPr="0074345C">
              <w:rPr>
                <w:iCs/>
                <w:szCs w:val="22"/>
              </w:rPr>
              <w:t>CDIP</w:t>
            </w:r>
            <w:r w:rsidRPr="0074345C">
              <w:rPr>
                <w:iCs/>
                <w:szCs w:val="22"/>
              </w:rPr>
              <w:t xml:space="preserve">, en su </w:t>
            </w:r>
            <w:r w:rsidR="00060026" w:rsidRPr="0074345C">
              <w:rPr>
                <w:iCs/>
                <w:szCs w:val="22"/>
              </w:rPr>
              <w:t>décimo</w:t>
            </w:r>
            <w:r w:rsidRPr="0074345C">
              <w:rPr>
                <w:iCs/>
                <w:szCs w:val="22"/>
              </w:rPr>
              <w:t xml:space="preserve"> segunda </w:t>
            </w:r>
            <w:r w:rsidR="00D1202E" w:rsidRPr="0074345C">
              <w:rPr>
                <w:iCs/>
                <w:szCs w:val="22"/>
              </w:rPr>
              <w:t>sesión</w:t>
            </w:r>
            <w:r w:rsidR="00502F27" w:rsidRPr="0074345C">
              <w:rPr>
                <w:iCs/>
                <w:szCs w:val="22"/>
              </w:rPr>
              <w:t xml:space="preserve">. </w:t>
            </w:r>
          </w:p>
        </w:tc>
      </w:tr>
      <w:tr w:rsidR="006376E7" w:rsidRPr="0074345C" w:rsidTr="00E00028">
        <w:trPr>
          <w:trHeight w:val="848"/>
        </w:trPr>
        <w:tc>
          <w:tcPr>
            <w:tcW w:w="2376" w:type="dxa"/>
            <w:shd w:val="clear" w:color="auto" w:fill="auto"/>
          </w:tcPr>
          <w:p w:rsidR="00502F27" w:rsidRPr="0074345C" w:rsidRDefault="003260F8" w:rsidP="003260F8">
            <w:pPr>
              <w:pStyle w:val="Heading3"/>
              <w:rPr>
                <w:szCs w:val="22"/>
              </w:rPr>
            </w:pPr>
            <w:r w:rsidRPr="0074345C">
              <w:rPr>
                <w:szCs w:val="22"/>
              </w:rPr>
              <w:lastRenderedPageBreak/>
              <w:t>Porcentaje de ejecución del proyecto</w:t>
            </w:r>
            <w:r w:rsidR="00502F27" w:rsidRPr="0074345C">
              <w:rPr>
                <w:szCs w:val="22"/>
              </w:rPr>
              <w:t xml:space="preserve"> </w:t>
            </w:r>
          </w:p>
        </w:tc>
        <w:tc>
          <w:tcPr>
            <w:tcW w:w="6912" w:type="dxa"/>
          </w:tcPr>
          <w:p w:rsidR="003260F8" w:rsidRPr="0074345C" w:rsidRDefault="003260F8" w:rsidP="00E00028">
            <w:pPr>
              <w:rPr>
                <w:iCs/>
                <w:szCs w:val="22"/>
              </w:rPr>
            </w:pPr>
          </w:p>
          <w:p w:rsidR="00502F27" w:rsidRPr="0074345C" w:rsidRDefault="003260F8" w:rsidP="003260F8">
            <w:pPr>
              <w:rPr>
                <w:iCs/>
                <w:szCs w:val="22"/>
              </w:rPr>
            </w:pPr>
            <w:r w:rsidRPr="0074345C">
              <w:rPr>
                <w:iCs/>
                <w:szCs w:val="22"/>
              </w:rPr>
              <w:t>Porcentaje de utilización del presupuesto a finales de agosto de 2014</w:t>
            </w:r>
            <w:proofErr w:type="gramStart"/>
            <w:r w:rsidRPr="0074345C">
              <w:rPr>
                <w:iCs/>
                <w:szCs w:val="22"/>
              </w:rPr>
              <w:t>:  29</w:t>
            </w:r>
            <w:proofErr w:type="gramEnd"/>
            <w:r w:rsidRPr="0074345C">
              <w:rPr>
                <w:iCs/>
                <w:szCs w:val="22"/>
              </w:rPr>
              <w:t>%.</w:t>
            </w:r>
          </w:p>
        </w:tc>
      </w:tr>
      <w:tr w:rsidR="00502F27" w:rsidRPr="0074345C" w:rsidTr="00E00028">
        <w:trPr>
          <w:trHeight w:val="848"/>
        </w:trPr>
        <w:tc>
          <w:tcPr>
            <w:tcW w:w="2376" w:type="dxa"/>
            <w:shd w:val="clear" w:color="auto" w:fill="auto"/>
          </w:tcPr>
          <w:p w:rsidR="00502F27" w:rsidRPr="0074345C" w:rsidRDefault="003260F8" w:rsidP="003260F8">
            <w:pPr>
              <w:pStyle w:val="Heading3"/>
              <w:rPr>
                <w:szCs w:val="22"/>
              </w:rPr>
            </w:pPr>
            <w:r w:rsidRPr="0074345C">
              <w:rPr>
                <w:szCs w:val="22"/>
              </w:rPr>
              <w:t>Informes previos</w:t>
            </w:r>
          </w:p>
        </w:tc>
        <w:tc>
          <w:tcPr>
            <w:tcW w:w="6912" w:type="dxa"/>
          </w:tcPr>
          <w:p w:rsidR="003260F8" w:rsidRPr="0074345C" w:rsidRDefault="003260F8" w:rsidP="00E00028">
            <w:pPr>
              <w:rPr>
                <w:iCs/>
                <w:szCs w:val="22"/>
              </w:rPr>
            </w:pPr>
          </w:p>
          <w:p w:rsidR="00502F27" w:rsidRPr="0074345C" w:rsidRDefault="003260F8" w:rsidP="00040C95">
            <w:pPr>
              <w:rPr>
                <w:iCs/>
                <w:szCs w:val="22"/>
              </w:rPr>
            </w:pPr>
            <w:r w:rsidRPr="0074345C">
              <w:rPr>
                <w:iCs/>
                <w:szCs w:val="22"/>
              </w:rPr>
              <w:t xml:space="preserve">El primer informe sobre la marcha del proyecto, contenido en el documento CDIP/12/2, Anexo XII, </w:t>
            </w:r>
            <w:r w:rsidR="00040C95" w:rsidRPr="0074345C">
              <w:rPr>
                <w:iCs/>
                <w:szCs w:val="22"/>
              </w:rPr>
              <w:t>fue presentado</w:t>
            </w:r>
            <w:r w:rsidRPr="0074345C">
              <w:rPr>
                <w:iCs/>
                <w:szCs w:val="22"/>
              </w:rPr>
              <w:t xml:space="preserve"> en la </w:t>
            </w:r>
            <w:r w:rsidR="00040C95" w:rsidRPr="0074345C">
              <w:rPr>
                <w:iCs/>
                <w:szCs w:val="22"/>
              </w:rPr>
              <w:t xml:space="preserve">12ª </w:t>
            </w:r>
            <w:r w:rsidRPr="0074345C">
              <w:rPr>
                <w:iCs/>
                <w:szCs w:val="22"/>
              </w:rPr>
              <w:t>sesión del CDIP</w:t>
            </w:r>
            <w:r w:rsidR="00040C95" w:rsidRPr="0074345C">
              <w:rPr>
                <w:iCs/>
                <w:szCs w:val="22"/>
              </w:rPr>
              <w:t>.</w:t>
            </w:r>
          </w:p>
        </w:tc>
      </w:tr>
    </w:tbl>
    <w:p w:rsidR="003260F8" w:rsidRPr="0074345C" w:rsidRDefault="003260F8" w:rsidP="00502F27">
      <w:pPr>
        <w:rPr>
          <w:szCs w:val="22"/>
        </w:rPr>
      </w:pPr>
    </w:p>
    <w:p w:rsidR="003260F8" w:rsidRPr="0074345C" w:rsidRDefault="003260F8" w:rsidP="00502F27">
      <w:pPr>
        <w:rPr>
          <w:szCs w:val="22"/>
        </w:rPr>
      </w:pPr>
    </w:p>
    <w:p w:rsidR="00502F27" w:rsidRPr="0074345C" w:rsidRDefault="00502F27" w:rsidP="00502F27">
      <w:r w:rsidRPr="0074345C">
        <w:br w:type="page"/>
      </w:r>
    </w:p>
    <w:tbl>
      <w:tblPr>
        <w:tblW w:w="0" w:type="auto"/>
        <w:tblLook w:val="01E0" w:firstRow="1" w:lastRow="1" w:firstColumn="1" w:lastColumn="1" w:noHBand="0" w:noVBand="0"/>
      </w:tblPr>
      <w:tblGrid>
        <w:gridCol w:w="9287"/>
      </w:tblGrid>
      <w:tr w:rsidR="00502F27" w:rsidRPr="0074345C" w:rsidTr="00E00028">
        <w:trPr>
          <w:trHeight w:val="494"/>
        </w:trPr>
        <w:tc>
          <w:tcPr>
            <w:tcW w:w="9287" w:type="dxa"/>
            <w:vAlign w:val="center"/>
          </w:tcPr>
          <w:p w:rsidR="003260F8" w:rsidRPr="0074345C" w:rsidRDefault="00502F27" w:rsidP="00E00028">
            <w:pPr>
              <w:rPr>
                <w:szCs w:val="22"/>
              </w:rPr>
            </w:pPr>
            <w:r w:rsidRPr="0074345C">
              <w:rPr>
                <w:szCs w:val="22"/>
              </w:rPr>
              <w:lastRenderedPageBreak/>
              <w:br w:type="page"/>
            </w:r>
          </w:p>
          <w:p w:rsidR="00502F27" w:rsidRPr="0074345C" w:rsidRDefault="003260F8" w:rsidP="003260F8">
            <w:pPr>
              <w:rPr>
                <w:szCs w:val="22"/>
              </w:rPr>
            </w:pPr>
            <w:r w:rsidRPr="0074345C">
              <w:rPr>
                <w:szCs w:val="22"/>
              </w:rPr>
              <w:t>EVALUACIÓN INTERNA DEL PROYECTO</w:t>
            </w:r>
          </w:p>
        </w:tc>
      </w:tr>
    </w:tbl>
    <w:p w:rsidR="003260F8" w:rsidRPr="0074345C" w:rsidRDefault="003260F8" w:rsidP="00502F27">
      <w:pPr>
        <w:rPr>
          <w:szCs w:val="22"/>
        </w:rPr>
      </w:pPr>
    </w:p>
    <w:p w:rsidR="003260F8" w:rsidRPr="0074345C" w:rsidRDefault="003260F8" w:rsidP="003260F8">
      <w:pPr>
        <w:rPr>
          <w:szCs w:val="22"/>
        </w:rPr>
      </w:pPr>
      <w:r w:rsidRPr="0074345C">
        <w:rPr>
          <w:szCs w:val="22"/>
        </w:rPr>
        <w:t>Clave de los colores</w:t>
      </w:r>
    </w:p>
    <w:p w:rsidR="00502F27" w:rsidRPr="0074345C" w:rsidRDefault="00502F27" w:rsidP="00502F27">
      <w:pPr>
        <w:rPr>
          <w:szCs w:val="22"/>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shd w:val="clear" w:color="auto" w:fill="auto"/>
            <w:vAlign w:val="center"/>
          </w:tcPr>
          <w:p w:rsidR="00502F27" w:rsidRPr="0074345C" w:rsidRDefault="00502F27" w:rsidP="00E00028">
            <w:pPr>
              <w:rPr>
                <w:szCs w:val="22"/>
              </w:rPr>
            </w:pPr>
            <w:r w:rsidRPr="0074345C">
              <w:rPr>
                <w:szCs w:val="22"/>
              </w:rPr>
              <w:t>****</w:t>
            </w:r>
          </w:p>
        </w:tc>
        <w:tc>
          <w:tcPr>
            <w:tcW w:w="1677" w:type="dxa"/>
            <w:shd w:val="clear" w:color="auto" w:fill="auto"/>
            <w:vAlign w:val="center"/>
          </w:tcPr>
          <w:p w:rsidR="00502F27" w:rsidRPr="0074345C" w:rsidRDefault="00502F27" w:rsidP="00E00028">
            <w:pPr>
              <w:rPr>
                <w:szCs w:val="22"/>
              </w:rPr>
            </w:pPr>
            <w:r w:rsidRPr="0074345C">
              <w:rPr>
                <w:szCs w:val="22"/>
              </w:rPr>
              <w:t>***</w:t>
            </w:r>
          </w:p>
        </w:tc>
        <w:tc>
          <w:tcPr>
            <w:tcW w:w="1797" w:type="dxa"/>
            <w:shd w:val="clear" w:color="auto" w:fill="auto"/>
            <w:vAlign w:val="center"/>
          </w:tcPr>
          <w:p w:rsidR="00502F27" w:rsidRPr="0074345C" w:rsidRDefault="00502F27" w:rsidP="00E00028">
            <w:pPr>
              <w:rPr>
                <w:szCs w:val="22"/>
              </w:rPr>
            </w:pPr>
            <w:r w:rsidRPr="0074345C">
              <w:rPr>
                <w:szCs w:val="22"/>
              </w:rPr>
              <w:t>**</w:t>
            </w:r>
          </w:p>
        </w:tc>
        <w:tc>
          <w:tcPr>
            <w:tcW w:w="1895" w:type="dxa"/>
            <w:shd w:val="clear" w:color="auto" w:fill="auto"/>
            <w:vAlign w:val="center"/>
          </w:tcPr>
          <w:p w:rsidR="00502F27" w:rsidRPr="0074345C" w:rsidRDefault="003260F8" w:rsidP="003260F8">
            <w:pPr>
              <w:rPr>
                <w:szCs w:val="22"/>
              </w:rPr>
            </w:pPr>
            <w:r w:rsidRPr="0074345C">
              <w:rPr>
                <w:szCs w:val="22"/>
              </w:rPr>
              <w:t>NA</w:t>
            </w:r>
          </w:p>
        </w:tc>
        <w:tc>
          <w:tcPr>
            <w:tcW w:w="2563" w:type="dxa"/>
            <w:shd w:val="clear" w:color="auto" w:fill="auto"/>
            <w:vAlign w:val="center"/>
          </w:tcPr>
          <w:p w:rsidR="00502F27" w:rsidRPr="0074345C" w:rsidRDefault="003260F8" w:rsidP="003260F8">
            <w:pPr>
              <w:rPr>
                <w:szCs w:val="22"/>
              </w:rPr>
            </w:pPr>
            <w:r w:rsidRPr="0074345C">
              <w:rPr>
                <w:szCs w:val="22"/>
              </w:rPr>
              <w:t>SE/AD</w:t>
            </w:r>
          </w:p>
        </w:tc>
      </w:tr>
      <w:tr w:rsidR="00502F27" w:rsidRPr="0074345C" w:rsidTr="00E00028">
        <w:tc>
          <w:tcPr>
            <w:tcW w:w="1416" w:type="dxa"/>
            <w:shd w:val="clear" w:color="auto" w:fill="auto"/>
          </w:tcPr>
          <w:p w:rsidR="00502F27" w:rsidRPr="0074345C" w:rsidRDefault="003260F8" w:rsidP="003260F8">
            <w:pPr>
              <w:rPr>
                <w:szCs w:val="22"/>
              </w:rPr>
            </w:pPr>
            <w:r w:rsidRPr="0074345C">
              <w:rPr>
                <w:szCs w:val="22"/>
              </w:rPr>
              <w:t>Plenamente logrado.</w:t>
            </w:r>
          </w:p>
        </w:tc>
        <w:tc>
          <w:tcPr>
            <w:tcW w:w="1677" w:type="dxa"/>
            <w:shd w:val="clear" w:color="auto" w:fill="auto"/>
          </w:tcPr>
          <w:p w:rsidR="00502F27" w:rsidRPr="0074345C" w:rsidRDefault="003260F8" w:rsidP="003260F8">
            <w:pPr>
              <w:rPr>
                <w:szCs w:val="22"/>
              </w:rPr>
            </w:pPr>
            <w:r w:rsidRPr="0074345C">
              <w:rPr>
                <w:szCs w:val="22"/>
              </w:rPr>
              <w:t>Avance notable</w:t>
            </w:r>
          </w:p>
        </w:tc>
        <w:tc>
          <w:tcPr>
            <w:tcW w:w="1797" w:type="dxa"/>
            <w:shd w:val="clear" w:color="auto" w:fill="auto"/>
          </w:tcPr>
          <w:p w:rsidR="00502F27" w:rsidRPr="0074345C" w:rsidRDefault="003260F8" w:rsidP="003260F8">
            <w:pPr>
              <w:rPr>
                <w:szCs w:val="22"/>
              </w:rPr>
            </w:pPr>
            <w:r w:rsidRPr="0074345C">
              <w:rPr>
                <w:szCs w:val="22"/>
              </w:rPr>
              <w:t>Avance</w:t>
            </w:r>
          </w:p>
        </w:tc>
        <w:tc>
          <w:tcPr>
            <w:tcW w:w="1895" w:type="dxa"/>
            <w:shd w:val="clear" w:color="auto" w:fill="auto"/>
          </w:tcPr>
          <w:p w:rsidR="00502F27" w:rsidRPr="0074345C" w:rsidRDefault="003260F8" w:rsidP="003260F8">
            <w:pPr>
              <w:rPr>
                <w:szCs w:val="22"/>
              </w:rPr>
            </w:pPr>
            <w:r w:rsidRPr="0074345C">
              <w:rPr>
                <w:szCs w:val="22"/>
              </w:rPr>
              <w:t>Ningún avance</w:t>
            </w:r>
          </w:p>
        </w:tc>
        <w:tc>
          <w:tcPr>
            <w:tcW w:w="2563" w:type="dxa"/>
            <w:shd w:val="clear" w:color="auto" w:fill="auto"/>
          </w:tcPr>
          <w:p w:rsidR="00502F27" w:rsidRPr="0074345C" w:rsidRDefault="003260F8" w:rsidP="003260F8">
            <w:pPr>
              <w:rPr>
                <w:szCs w:val="22"/>
              </w:rPr>
            </w:pPr>
            <w:r w:rsidRPr="0074345C">
              <w:rPr>
                <w:szCs w:val="22"/>
              </w:rPr>
              <w:t>Sin evaluar /actividad discontinuada</w:t>
            </w:r>
          </w:p>
        </w:tc>
      </w:tr>
    </w:tbl>
    <w:p w:rsidR="003260F8" w:rsidRPr="0074345C" w:rsidRDefault="003260F8" w:rsidP="00502F27">
      <w:pPr>
        <w:rPr>
          <w:szCs w:val="22"/>
        </w:rPr>
      </w:pPr>
    </w:p>
    <w:p w:rsidR="00502F27" w:rsidRPr="0074345C" w:rsidRDefault="00502F27" w:rsidP="00502F27">
      <w:pPr>
        <w:rPr>
          <w:szCs w:val="22"/>
        </w:rPr>
      </w:pPr>
    </w:p>
    <w:tbl>
      <w:tblPr>
        <w:tblW w:w="9470" w:type="dxa"/>
        <w:tblInd w:w="-34" w:type="dxa"/>
        <w:tblLayout w:type="fixed"/>
        <w:tblLook w:val="01E0" w:firstRow="1" w:lastRow="1" w:firstColumn="1" w:lastColumn="1" w:noHBand="0" w:noVBand="0"/>
      </w:tblPr>
      <w:tblGrid>
        <w:gridCol w:w="2410"/>
        <w:gridCol w:w="2694"/>
        <w:gridCol w:w="3402"/>
        <w:gridCol w:w="964"/>
      </w:tblGrid>
      <w:tr w:rsidR="006376E7" w:rsidRPr="0074345C" w:rsidTr="009F2FA4">
        <w:trPr>
          <w:trHeight w:val="509"/>
        </w:trPr>
        <w:tc>
          <w:tcPr>
            <w:tcW w:w="2410" w:type="dxa"/>
            <w:tcBorders>
              <w:top w:val="single" w:sz="2" w:space="0" w:color="000000"/>
              <w:left w:val="single" w:sz="2" w:space="0" w:color="000000"/>
              <w:right w:val="single" w:sz="6" w:space="0" w:color="000000"/>
            </w:tcBorders>
            <w:shd w:val="clear" w:color="auto" w:fill="auto"/>
          </w:tcPr>
          <w:p w:rsidR="003260F8" w:rsidRPr="0074345C" w:rsidRDefault="003260F8" w:rsidP="00E00028">
            <w:pPr>
              <w:rPr>
                <w:rStyle w:val="Heading3Char"/>
                <w:szCs w:val="22"/>
              </w:rPr>
            </w:pPr>
          </w:p>
          <w:p w:rsidR="004B4F57" w:rsidRPr="0074345C" w:rsidRDefault="003260F8" w:rsidP="003260F8">
            <w:pPr>
              <w:rPr>
                <w:bCs/>
                <w:szCs w:val="22"/>
                <w:u w:val="single"/>
              </w:rPr>
            </w:pPr>
            <w:r w:rsidRPr="0074345C">
              <w:rPr>
                <w:bCs/>
                <w:szCs w:val="22"/>
                <w:u w:val="single"/>
              </w:rPr>
              <w:t>Productos del proyecto</w:t>
            </w:r>
            <w:r w:rsidR="004B4F57" w:rsidRPr="0074345C">
              <w:rPr>
                <w:szCs w:val="22"/>
                <w:vertAlign w:val="superscript"/>
              </w:rPr>
              <w:footnoteReference w:id="3"/>
            </w:r>
          </w:p>
          <w:p w:rsidR="00502F27" w:rsidRPr="0074345C" w:rsidRDefault="003260F8" w:rsidP="003260F8">
            <w:pPr>
              <w:rPr>
                <w:bCs/>
                <w:szCs w:val="22"/>
              </w:rPr>
            </w:pPr>
            <w:r w:rsidRPr="0074345C">
              <w:rPr>
                <w:bCs/>
                <w:szCs w:val="22"/>
              </w:rPr>
              <w:t>(</w:t>
            </w:r>
            <w:r w:rsidRPr="0074345C">
              <w:rPr>
                <w:bCs/>
                <w:szCs w:val="22"/>
                <w:u w:val="single"/>
              </w:rPr>
              <w:t>Resultado previsto)</w:t>
            </w:r>
            <w:r w:rsidR="00502F27" w:rsidRPr="0074345C">
              <w:rPr>
                <w:bCs/>
                <w:szCs w:val="22"/>
              </w:rPr>
              <w:t xml:space="preserve"> </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3260F8" w:rsidRPr="0074345C" w:rsidRDefault="003260F8" w:rsidP="00E00028">
            <w:pPr>
              <w:rPr>
                <w:rStyle w:val="Heading3Char"/>
                <w:szCs w:val="22"/>
              </w:rPr>
            </w:pPr>
          </w:p>
          <w:p w:rsidR="003260F8" w:rsidRPr="0074345C" w:rsidRDefault="003260F8" w:rsidP="003260F8">
            <w:pPr>
              <w:rPr>
                <w:szCs w:val="22"/>
                <w:u w:val="single"/>
              </w:rPr>
            </w:pPr>
            <w:r w:rsidRPr="0074345C">
              <w:rPr>
                <w:szCs w:val="22"/>
                <w:u w:val="single"/>
              </w:rPr>
              <w:t>Indicadores de obtención de resultados</w:t>
            </w:r>
          </w:p>
          <w:p w:rsidR="00123116" w:rsidRPr="0074345C" w:rsidRDefault="00123116" w:rsidP="003260F8">
            <w:pPr>
              <w:rPr>
                <w:szCs w:val="22"/>
              </w:rPr>
            </w:pPr>
            <w:r w:rsidRPr="0074345C">
              <w:rPr>
                <w:szCs w:val="22"/>
              </w:rPr>
              <w:t>(</w:t>
            </w:r>
            <w:r w:rsidR="00040C95" w:rsidRPr="0074345C">
              <w:rPr>
                <w:szCs w:val="22"/>
              </w:rPr>
              <w:t>Indicadores de producto</w:t>
            </w:r>
            <w:r w:rsidRPr="0074345C">
              <w:rPr>
                <w:szCs w:val="22"/>
              </w:rPr>
              <w:t>)</w:t>
            </w:r>
          </w:p>
          <w:p w:rsidR="00502F27" w:rsidRPr="0074345C" w:rsidRDefault="00502F27" w:rsidP="00E00028">
            <w:pPr>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Datos sobre el rendimiento</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Clave de colores</w:t>
            </w:r>
          </w:p>
        </w:tc>
      </w:tr>
      <w:tr w:rsidR="006376E7" w:rsidRPr="0074345C" w:rsidTr="009F2FA4">
        <w:trPr>
          <w:trHeight w:val="509"/>
        </w:trPr>
        <w:tc>
          <w:tcPr>
            <w:tcW w:w="2410" w:type="dxa"/>
            <w:tcBorders>
              <w:top w:val="single" w:sz="2" w:space="0" w:color="000000"/>
              <w:left w:val="single" w:sz="2" w:space="0" w:color="000000"/>
              <w:right w:val="single" w:sz="6" w:space="0" w:color="000000"/>
            </w:tcBorders>
            <w:shd w:val="clear" w:color="auto" w:fill="auto"/>
          </w:tcPr>
          <w:p w:rsidR="003260F8" w:rsidRPr="0074345C" w:rsidRDefault="003260F8" w:rsidP="00E00028">
            <w:pPr>
              <w:rPr>
                <w:bCs/>
                <w:szCs w:val="22"/>
              </w:rPr>
            </w:pPr>
          </w:p>
          <w:p w:rsidR="00502F27" w:rsidRPr="0074345C" w:rsidRDefault="003260F8" w:rsidP="003260F8">
            <w:pPr>
              <w:rPr>
                <w:bCs/>
                <w:szCs w:val="22"/>
              </w:rPr>
            </w:pPr>
            <w:r w:rsidRPr="0074345C">
              <w:rPr>
                <w:bCs/>
                <w:szCs w:val="22"/>
              </w:rPr>
              <w:t>Documento de antecedentes</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Finalización y publicación del documento en los plazos establecidos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Documento de antecedentes sobre el proyecto de la OMPI</w:t>
            </w:r>
            <w:r w:rsidR="00502F27" w:rsidRPr="0074345C">
              <w:rPr>
                <w:szCs w:val="22"/>
              </w:rPr>
              <w:t xml:space="preserve"> </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502F27" w:rsidRPr="0074345C" w:rsidRDefault="00502F27" w:rsidP="00E00028">
            <w:pPr>
              <w:rPr>
                <w:szCs w:val="22"/>
              </w:rPr>
            </w:pPr>
            <w:r w:rsidRPr="0074345C">
              <w:rPr>
                <w:szCs w:val="22"/>
              </w:rPr>
              <w:t>****</w:t>
            </w:r>
          </w:p>
        </w:tc>
      </w:tr>
      <w:tr w:rsidR="006376E7" w:rsidRPr="0074345C" w:rsidTr="009F2FA4">
        <w:trPr>
          <w:trHeight w:val="509"/>
        </w:trPr>
        <w:tc>
          <w:tcPr>
            <w:tcW w:w="2410" w:type="dxa"/>
            <w:tcBorders>
              <w:top w:val="single" w:sz="2" w:space="0" w:color="000000"/>
              <w:left w:val="single" w:sz="2" w:space="0" w:color="000000"/>
              <w:right w:val="single" w:sz="6" w:space="0" w:color="000000"/>
            </w:tcBorders>
            <w:shd w:val="clear" w:color="auto" w:fill="auto"/>
          </w:tcPr>
          <w:p w:rsidR="003260F8" w:rsidRPr="0074345C" w:rsidRDefault="003260F8" w:rsidP="00E00028">
            <w:pPr>
              <w:rPr>
                <w:bCs/>
                <w:szCs w:val="22"/>
              </w:rPr>
            </w:pPr>
          </w:p>
          <w:p w:rsidR="003260F8" w:rsidRPr="0074345C" w:rsidRDefault="003260F8" w:rsidP="003260F8">
            <w:pPr>
              <w:rPr>
                <w:bCs/>
                <w:szCs w:val="22"/>
              </w:rPr>
            </w:pPr>
            <w:r w:rsidRPr="0074345C">
              <w:rPr>
                <w:bCs/>
                <w:szCs w:val="22"/>
              </w:rPr>
              <w:t>Creación de un grupo de expertos y designación de coordinadores</w:t>
            </w:r>
          </w:p>
          <w:p w:rsidR="00502F27" w:rsidRPr="0074345C" w:rsidRDefault="00502F27" w:rsidP="00E00028">
            <w:pPr>
              <w:rPr>
                <w:bCs/>
                <w:szCs w:val="22"/>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Designación de coordinadores y constitución de un grupo de expertos</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502F27" w:rsidRPr="0074345C" w:rsidRDefault="003260F8" w:rsidP="003260F8">
            <w:pPr>
              <w:rPr>
                <w:szCs w:val="22"/>
              </w:rPr>
            </w:pPr>
            <w:r w:rsidRPr="0074345C">
              <w:rPr>
                <w:szCs w:val="22"/>
              </w:rPr>
              <w:t>Se están finalizando las consultas sobre la constitución de un grupo de expertos</w:t>
            </w:r>
            <w:r w:rsidR="00502F27" w:rsidRPr="0074345C">
              <w:rPr>
                <w:szCs w:val="22"/>
              </w:rPr>
              <w:t xml:space="preserve"> </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502F27" w:rsidRPr="0074345C" w:rsidRDefault="00502F27" w:rsidP="00E00028">
            <w:pPr>
              <w:rPr>
                <w:szCs w:val="22"/>
              </w:rPr>
            </w:pPr>
            <w:r w:rsidRPr="0074345C">
              <w:rPr>
                <w:szCs w:val="22"/>
              </w:rPr>
              <w:t>***</w:t>
            </w:r>
          </w:p>
        </w:tc>
      </w:tr>
      <w:tr w:rsidR="006376E7" w:rsidRPr="0074345C" w:rsidTr="009F2FA4">
        <w:trPr>
          <w:trHeight w:val="509"/>
        </w:trPr>
        <w:tc>
          <w:tcPr>
            <w:tcW w:w="2410" w:type="dxa"/>
            <w:tcBorders>
              <w:top w:val="single" w:sz="2" w:space="0" w:color="000000"/>
              <w:left w:val="single" w:sz="2" w:space="0" w:color="000000"/>
              <w:right w:val="single" w:sz="6" w:space="0" w:color="000000"/>
            </w:tcBorders>
            <w:shd w:val="clear" w:color="auto" w:fill="auto"/>
            <w:vAlign w:val="center"/>
          </w:tcPr>
          <w:p w:rsidR="003260F8" w:rsidRPr="0074345C" w:rsidRDefault="003260F8" w:rsidP="00E00028">
            <w:pPr>
              <w:rPr>
                <w:bCs/>
                <w:szCs w:val="22"/>
              </w:rPr>
            </w:pPr>
          </w:p>
          <w:p w:rsidR="003260F8" w:rsidRPr="0074345C" w:rsidRDefault="003260F8" w:rsidP="003260F8">
            <w:pPr>
              <w:rPr>
                <w:bCs/>
                <w:szCs w:val="22"/>
              </w:rPr>
            </w:pPr>
            <w:r w:rsidRPr="0074345C">
              <w:rPr>
                <w:bCs/>
                <w:szCs w:val="22"/>
              </w:rPr>
              <w:t>Estudio sobre la negociación colectiva de derechos</w:t>
            </w:r>
          </w:p>
          <w:p w:rsidR="00502F27" w:rsidRPr="0074345C" w:rsidRDefault="00502F27" w:rsidP="00E00028">
            <w:pPr>
              <w:rPr>
                <w:bCs/>
                <w:szCs w:val="22"/>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3260F8" w:rsidRPr="0074345C" w:rsidRDefault="003260F8" w:rsidP="00E00028">
            <w:pPr>
              <w:rPr>
                <w:szCs w:val="22"/>
              </w:rPr>
            </w:pPr>
          </w:p>
          <w:p w:rsidR="00502F27" w:rsidRPr="0074345C" w:rsidRDefault="00603D5D" w:rsidP="00603D5D">
            <w:pPr>
              <w:rPr>
                <w:szCs w:val="22"/>
              </w:rPr>
            </w:pPr>
            <w:r w:rsidRPr="0074345C">
              <w:rPr>
                <w:szCs w:val="22"/>
              </w:rPr>
              <w:t>Estudio finalizado</w:t>
            </w:r>
            <w:r w:rsidR="00502F27" w:rsidRPr="0074345C">
              <w:rPr>
                <w:szCs w:val="22"/>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603D5D" w:rsidP="00603D5D">
            <w:pPr>
              <w:rPr>
                <w:szCs w:val="22"/>
              </w:rPr>
            </w:pPr>
            <w:r w:rsidRPr="0074345C">
              <w:rPr>
                <w:szCs w:val="22"/>
              </w:rPr>
              <w:t>Estudio sobre la negociación colectiva y la gestión colectiva de los derechos</w:t>
            </w:r>
            <w:r w:rsidR="00502F27" w:rsidRPr="0074345C">
              <w:rPr>
                <w:szCs w:val="22"/>
              </w:rPr>
              <w:t>.</w:t>
            </w:r>
          </w:p>
        </w:tc>
        <w:tc>
          <w:tcPr>
            <w:tcW w:w="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502F27" w:rsidP="00E00028">
            <w:pPr>
              <w:rPr>
                <w:szCs w:val="22"/>
              </w:rPr>
            </w:pPr>
            <w:r w:rsidRPr="0074345C">
              <w:rPr>
                <w:szCs w:val="22"/>
              </w:rPr>
              <w:t>***</w:t>
            </w:r>
          </w:p>
        </w:tc>
      </w:tr>
      <w:tr w:rsidR="006376E7" w:rsidRPr="0074345C" w:rsidTr="009F2FA4">
        <w:trPr>
          <w:trHeight w:val="509"/>
        </w:trPr>
        <w:tc>
          <w:tcPr>
            <w:tcW w:w="2410" w:type="dxa"/>
            <w:tcBorders>
              <w:top w:val="single" w:sz="2" w:space="0" w:color="000000"/>
              <w:left w:val="single" w:sz="2" w:space="0" w:color="000000"/>
              <w:right w:val="single" w:sz="6" w:space="0" w:color="000000"/>
            </w:tcBorders>
            <w:shd w:val="clear" w:color="auto" w:fill="auto"/>
          </w:tcPr>
          <w:p w:rsidR="003260F8" w:rsidRPr="0074345C" w:rsidRDefault="003260F8" w:rsidP="00E00028">
            <w:pPr>
              <w:rPr>
                <w:bCs/>
                <w:szCs w:val="22"/>
              </w:rPr>
            </w:pPr>
          </w:p>
          <w:p w:rsidR="00502F27" w:rsidRPr="0074345C" w:rsidRDefault="00502F27" w:rsidP="00603D5D">
            <w:pPr>
              <w:rPr>
                <w:bCs/>
                <w:szCs w:val="22"/>
              </w:rPr>
            </w:pPr>
            <w:r w:rsidRPr="0074345C">
              <w:rPr>
                <w:bCs/>
                <w:szCs w:val="22"/>
              </w:rPr>
              <w:t>T</w:t>
            </w:r>
            <w:r w:rsidR="00603D5D" w:rsidRPr="0074345C">
              <w:rPr>
                <w:bCs/>
                <w:szCs w:val="22"/>
              </w:rPr>
              <w:t xml:space="preserve">res </w:t>
            </w:r>
            <w:r w:rsidR="00EB6DF9" w:rsidRPr="0074345C">
              <w:rPr>
                <w:bCs/>
                <w:szCs w:val="22"/>
              </w:rPr>
              <w:t>talleres de formación</w:t>
            </w:r>
            <w:r w:rsidR="00603D5D" w:rsidRPr="0074345C">
              <w:rPr>
                <w:bCs/>
                <w:szCs w:val="22"/>
              </w:rPr>
              <w:t xml:space="preserve"> </w:t>
            </w: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3260F8" w:rsidRPr="0074345C" w:rsidRDefault="003260F8" w:rsidP="00E00028">
            <w:pPr>
              <w:rPr>
                <w:szCs w:val="22"/>
              </w:rPr>
            </w:pPr>
          </w:p>
          <w:p w:rsidR="00502F27" w:rsidRPr="0074345C" w:rsidRDefault="00502F27" w:rsidP="00603D5D">
            <w:pPr>
              <w:rPr>
                <w:szCs w:val="22"/>
              </w:rPr>
            </w:pPr>
            <w:r w:rsidRPr="0074345C">
              <w:rPr>
                <w:szCs w:val="22"/>
              </w:rPr>
              <w:t>Finaliz</w:t>
            </w:r>
            <w:r w:rsidR="00603D5D" w:rsidRPr="0074345C">
              <w:rPr>
                <w:szCs w:val="22"/>
              </w:rPr>
              <w:t>ados</w:t>
            </w:r>
            <w:r w:rsidRPr="0074345C">
              <w:rPr>
                <w:szCs w:val="22"/>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szCs w:val="22"/>
              </w:rPr>
            </w:pPr>
          </w:p>
          <w:p w:rsidR="003260F8" w:rsidRPr="0074345C" w:rsidRDefault="00EB6DF9" w:rsidP="00E00028">
            <w:pPr>
              <w:rPr>
                <w:szCs w:val="22"/>
              </w:rPr>
            </w:pPr>
            <w:r w:rsidRPr="0074345C">
              <w:rPr>
                <w:szCs w:val="22"/>
              </w:rPr>
              <w:t>Talleres de formación</w:t>
            </w:r>
            <w:r w:rsidR="00603D5D" w:rsidRPr="0074345C">
              <w:rPr>
                <w:szCs w:val="22"/>
              </w:rPr>
              <w:t xml:space="preserve"> organizados en </w:t>
            </w:r>
            <w:r w:rsidR="00502F27" w:rsidRPr="0074345C">
              <w:rPr>
                <w:szCs w:val="22"/>
              </w:rPr>
              <w:t xml:space="preserve">Kenya, Burkina Faso </w:t>
            </w:r>
            <w:r w:rsidR="00603D5D" w:rsidRPr="0074345C">
              <w:rPr>
                <w:szCs w:val="22"/>
              </w:rPr>
              <w:t xml:space="preserve">y </w:t>
            </w:r>
            <w:r w:rsidR="00502F27" w:rsidRPr="0074345C">
              <w:rPr>
                <w:szCs w:val="22"/>
              </w:rPr>
              <w:t>Senegal.</w:t>
            </w:r>
          </w:p>
          <w:p w:rsidR="003260F8" w:rsidRPr="0074345C" w:rsidRDefault="00502F27" w:rsidP="00E00028">
            <w:pPr>
              <w:rPr>
                <w:szCs w:val="22"/>
              </w:rPr>
            </w:pPr>
            <w:r w:rsidRPr="0074345C">
              <w:rPr>
                <w:szCs w:val="22"/>
              </w:rPr>
              <w:br/>
            </w:r>
            <w:r w:rsidR="00603D5D" w:rsidRPr="0074345C">
              <w:rPr>
                <w:szCs w:val="22"/>
              </w:rPr>
              <w:t>Se ha solicitado la organización de talleres de seguimiento</w:t>
            </w:r>
            <w:r w:rsidRPr="0074345C">
              <w:rPr>
                <w:szCs w:val="22"/>
              </w:rPr>
              <w:t xml:space="preserve">. </w:t>
            </w:r>
          </w:p>
          <w:p w:rsidR="00502F27" w:rsidRPr="0074345C" w:rsidRDefault="00502F27" w:rsidP="00E00028">
            <w:pPr>
              <w:rPr>
                <w:szCs w:val="22"/>
              </w:rPr>
            </w:pP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502F27" w:rsidP="00E00028">
            <w:pPr>
              <w:rPr>
                <w:szCs w:val="22"/>
              </w:rPr>
            </w:pPr>
            <w:r w:rsidRPr="0074345C">
              <w:rPr>
                <w:szCs w:val="22"/>
              </w:rPr>
              <w:t>***</w:t>
            </w:r>
          </w:p>
        </w:tc>
      </w:tr>
      <w:tr w:rsidR="006376E7" w:rsidRPr="0074345C" w:rsidTr="009F2FA4">
        <w:trPr>
          <w:trHeight w:val="509"/>
        </w:trPr>
        <w:tc>
          <w:tcPr>
            <w:tcW w:w="2410" w:type="dxa"/>
            <w:tcBorders>
              <w:top w:val="single" w:sz="2" w:space="0" w:color="000000"/>
              <w:left w:val="single" w:sz="2" w:space="0" w:color="000000"/>
              <w:right w:val="single" w:sz="6" w:space="0" w:color="000000"/>
            </w:tcBorders>
            <w:shd w:val="clear" w:color="auto" w:fill="auto"/>
            <w:vAlign w:val="center"/>
          </w:tcPr>
          <w:p w:rsidR="003260F8" w:rsidRPr="0074345C" w:rsidRDefault="003260F8" w:rsidP="00E00028">
            <w:pPr>
              <w:rPr>
                <w:bCs/>
                <w:szCs w:val="22"/>
              </w:rPr>
            </w:pPr>
          </w:p>
          <w:p w:rsidR="003260F8" w:rsidRPr="0074345C" w:rsidRDefault="003260F8" w:rsidP="003260F8">
            <w:pPr>
              <w:rPr>
                <w:bCs/>
                <w:szCs w:val="22"/>
              </w:rPr>
            </w:pPr>
            <w:r w:rsidRPr="0074345C">
              <w:rPr>
                <w:bCs/>
                <w:szCs w:val="22"/>
              </w:rPr>
              <w:t>Capacitación práctica sobre negociación colectiva de derechos</w:t>
            </w:r>
          </w:p>
          <w:p w:rsidR="00502F27" w:rsidRPr="0074345C" w:rsidRDefault="00502F27" w:rsidP="00E00028">
            <w:pPr>
              <w:rPr>
                <w:bCs/>
                <w:szCs w:val="22"/>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502F27" w:rsidRPr="0074345C" w:rsidRDefault="003260F8" w:rsidP="003260F8">
            <w:pPr>
              <w:rPr>
                <w:szCs w:val="22"/>
              </w:rPr>
            </w:pPr>
            <w:r w:rsidRPr="0074345C">
              <w:rPr>
                <w:szCs w:val="22"/>
              </w:rPr>
              <w:t>Por realizarse</w:t>
            </w:r>
            <w:r w:rsidR="00502F27" w:rsidRPr="0074345C">
              <w:rPr>
                <w:szCs w:val="22"/>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pPr>
              <w:rPr>
                <w:szCs w:val="22"/>
              </w:rPr>
            </w:pPr>
            <w:r w:rsidRPr="0074345C">
              <w:rPr>
                <w:szCs w:val="22"/>
              </w:rPr>
              <w:t>SE/AD</w:t>
            </w:r>
          </w:p>
        </w:tc>
        <w:tc>
          <w:tcPr>
            <w:tcW w:w="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pPr>
              <w:rPr>
                <w:szCs w:val="22"/>
              </w:rPr>
            </w:pPr>
            <w:r w:rsidRPr="0074345C">
              <w:rPr>
                <w:szCs w:val="22"/>
              </w:rPr>
              <w:t>SE/AD</w:t>
            </w:r>
          </w:p>
        </w:tc>
      </w:tr>
      <w:tr w:rsidR="006376E7" w:rsidRPr="0074345C" w:rsidTr="009F2FA4">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3260F8" w:rsidRPr="0074345C" w:rsidRDefault="003260F8" w:rsidP="003260F8">
            <w:pPr>
              <w:rPr>
                <w:bCs/>
                <w:szCs w:val="22"/>
              </w:rPr>
            </w:pPr>
            <w:r w:rsidRPr="0074345C">
              <w:rPr>
                <w:bCs/>
                <w:szCs w:val="22"/>
              </w:rPr>
              <w:t xml:space="preserve">Elaboración de un </w:t>
            </w:r>
            <w:r w:rsidR="009E13C2" w:rsidRPr="0074345C">
              <w:rPr>
                <w:bCs/>
                <w:szCs w:val="22"/>
              </w:rPr>
              <w:t xml:space="preserve">Programa </w:t>
            </w:r>
            <w:r w:rsidRPr="0074345C">
              <w:rPr>
                <w:bCs/>
                <w:szCs w:val="22"/>
              </w:rPr>
              <w:t>a de enseñanza a distancia</w:t>
            </w:r>
          </w:p>
          <w:p w:rsidR="00502F27" w:rsidRPr="0074345C" w:rsidRDefault="00502F27" w:rsidP="00E00028">
            <w:pPr>
              <w:rPr>
                <w:bCs/>
                <w:szCs w:val="22"/>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502F27" w:rsidRPr="0074345C" w:rsidRDefault="003260F8" w:rsidP="003260F8">
            <w:pPr>
              <w:rPr>
                <w:szCs w:val="22"/>
              </w:rPr>
            </w:pPr>
            <w:r w:rsidRPr="0074345C">
              <w:rPr>
                <w:szCs w:val="22"/>
              </w:rPr>
              <w:t>Pendiente de elaboración</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pPr>
              <w:rPr>
                <w:szCs w:val="22"/>
              </w:rPr>
            </w:pPr>
            <w:r w:rsidRPr="0074345C">
              <w:rPr>
                <w:szCs w:val="22"/>
              </w:rPr>
              <w:t>SE/AD</w:t>
            </w:r>
          </w:p>
        </w:tc>
        <w:tc>
          <w:tcPr>
            <w:tcW w:w="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pPr>
              <w:rPr>
                <w:szCs w:val="22"/>
              </w:rPr>
            </w:pPr>
            <w:r w:rsidRPr="0074345C">
              <w:rPr>
                <w:szCs w:val="22"/>
              </w:rPr>
              <w:t>SE/AD</w:t>
            </w:r>
          </w:p>
        </w:tc>
      </w:tr>
    </w:tbl>
    <w:p w:rsidR="003260F8" w:rsidRPr="0074345C" w:rsidRDefault="003260F8" w:rsidP="00502F27">
      <w:pPr>
        <w:rPr>
          <w:szCs w:val="22"/>
        </w:rPr>
      </w:pPr>
    </w:p>
    <w:p w:rsidR="003260F8" w:rsidRPr="0074345C" w:rsidRDefault="003260F8" w:rsidP="00502F27">
      <w:pPr>
        <w:rPr>
          <w:szCs w:val="22"/>
        </w:rPr>
      </w:pPr>
    </w:p>
    <w:p w:rsidR="003260F8" w:rsidRPr="0074345C" w:rsidRDefault="003260F8" w:rsidP="00502F27">
      <w:pPr>
        <w:rPr>
          <w:szCs w:val="22"/>
        </w:rPr>
      </w:pPr>
    </w:p>
    <w:p w:rsidR="00502F27" w:rsidRPr="0074345C" w:rsidRDefault="00502F27" w:rsidP="00502F27">
      <w:pPr>
        <w:rPr>
          <w:szCs w:val="22"/>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964"/>
      </w:tblGrid>
      <w:tr w:rsidR="006376E7" w:rsidRPr="0074345C" w:rsidTr="009F2FA4">
        <w:trPr>
          <w:trHeight w:val="616"/>
        </w:trPr>
        <w:tc>
          <w:tcPr>
            <w:tcW w:w="2410" w:type="dxa"/>
            <w:shd w:val="clear" w:color="auto" w:fill="auto"/>
          </w:tcPr>
          <w:p w:rsidR="00502F27" w:rsidRPr="0074345C" w:rsidRDefault="003260F8" w:rsidP="003260F8">
            <w:pPr>
              <w:pStyle w:val="Heading3"/>
              <w:rPr>
                <w:szCs w:val="22"/>
              </w:rPr>
            </w:pPr>
            <w:r w:rsidRPr="0074345C">
              <w:rPr>
                <w:szCs w:val="22"/>
              </w:rPr>
              <w:t>Objetivos del proyecto</w:t>
            </w:r>
          </w:p>
        </w:tc>
        <w:tc>
          <w:tcPr>
            <w:tcW w:w="2694" w:type="dxa"/>
            <w:shd w:val="clear" w:color="auto" w:fill="auto"/>
          </w:tcPr>
          <w:p w:rsidR="003260F8" w:rsidRPr="0074345C" w:rsidRDefault="003260F8" w:rsidP="00E00028">
            <w:pPr>
              <w:autoSpaceDE w:val="0"/>
              <w:autoSpaceDN w:val="0"/>
              <w:adjustRightInd w:val="0"/>
              <w:rPr>
                <w:bCs/>
                <w:szCs w:val="22"/>
                <w:u w:val="single"/>
              </w:rPr>
            </w:pPr>
          </w:p>
          <w:p w:rsidR="003260F8" w:rsidRPr="0074345C" w:rsidRDefault="003260F8" w:rsidP="003260F8">
            <w:pPr>
              <w:autoSpaceDE w:val="0"/>
              <w:autoSpaceDN w:val="0"/>
              <w:adjustRightInd w:val="0"/>
              <w:rPr>
                <w:bCs/>
                <w:szCs w:val="22"/>
                <w:u w:val="single"/>
              </w:rPr>
            </w:pPr>
            <w:r w:rsidRPr="0074345C">
              <w:rPr>
                <w:bCs/>
                <w:szCs w:val="22"/>
                <w:u w:val="single"/>
              </w:rPr>
              <w:t>Indicadores de cumplimiento de los objetivos</w:t>
            </w:r>
          </w:p>
          <w:p w:rsidR="003260F8" w:rsidRPr="0074345C" w:rsidRDefault="003260F8" w:rsidP="003260F8">
            <w:pPr>
              <w:autoSpaceDE w:val="0"/>
              <w:autoSpaceDN w:val="0"/>
              <w:adjustRightInd w:val="0"/>
              <w:rPr>
                <w:bCs/>
                <w:szCs w:val="22"/>
                <w:u w:val="single"/>
              </w:rPr>
            </w:pPr>
            <w:r w:rsidRPr="0074345C">
              <w:rPr>
                <w:bCs/>
                <w:szCs w:val="22"/>
                <w:u w:val="single"/>
              </w:rPr>
              <w:t>(Indicadores de resultado)</w:t>
            </w:r>
          </w:p>
          <w:p w:rsidR="00502F27" w:rsidRPr="0074345C" w:rsidRDefault="00502F27" w:rsidP="00E00028">
            <w:pPr>
              <w:rPr>
                <w:szCs w:val="22"/>
              </w:rPr>
            </w:pPr>
          </w:p>
        </w:tc>
        <w:tc>
          <w:tcPr>
            <w:tcW w:w="3402" w:type="dxa"/>
            <w:shd w:val="clear" w:color="auto" w:fill="auto"/>
          </w:tcPr>
          <w:p w:rsidR="00502F27" w:rsidRPr="0074345C" w:rsidRDefault="003260F8" w:rsidP="003260F8">
            <w:pPr>
              <w:pStyle w:val="Heading3"/>
              <w:rPr>
                <w:szCs w:val="22"/>
              </w:rPr>
            </w:pPr>
            <w:r w:rsidRPr="0074345C">
              <w:rPr>
                <w:szCs w:val="22"/>
              </w:rPr>
              <w:t>Datos sobre el rendimiento</w:t>
            </w:r>
          </w:p>
        </w:tc>
        <w:tc>
          <w:tcPr>
            <w:tcW w:w="964" w:type="dxa"/>
            <w:shd w:val="clear" w:color="auto" w:fill="auto"/>
          </w:tcPr>
          <w:p w:rsidR="00502F27" w:rsidRPr="0074345C" w:rsidRDefault="003260F8" w:rsidP="003260F8">
            <w:pPr>
              <w:pStyle w:val="Heading3"/>
              <w:rPr>
                <w:szCs w:val="22"/>
              </w:rPr>
            </w:pPr>
            <w:r w:rsidRPr="0074345C">
              <w:rPr>
                <w:szCs w:val="22"/>
              </w:rPr>
              <w:t>Clave de colores</w:t>
            </w:r>
          </w:p>
        </w:tc>
      </w:tr>
      <w:tr w:rsidR="006376E7" w:rsidRPr="0074345C" w:rsidTr="009F2FA4">
        <w:trPr>
          <w:trHeight w:val="616"/>
        </w:trPr>
        <w:tc>
          <w:tcPr>
            <w:tcW w:w="2410" w:type="dxa"/>
            <w:shd w:val="clear" w:color="auto" w:fill="auto"/>
          </w:tcPr>
          <w:p w:rsidR="003260F8" w:rsidRPr="0074345C" w:rsidRDefault="003260F8" w:rsidP="00E00028">
            <w:pPr>
              <w:rPr>
                <w:szCs w:val="22"/>
              </w:rPr>
            </w:pPr>
          </w:p>
          <w:p w:rsidR="003260F8" w:rsidRPr="0074345C" w:rsidRDefault="00D1202E" w:rsidP="00E00028">
            <w:pPr>
              <w:rPr>
                <w:szCs w:val="22"/>
              </w:rPr>
            </w:pPr>
            <w:r w:rsidRPr="0074345C">
              <w:rPr>
                <w:szCs w:val="22"/>
              </w:rPr>
              <w:t xml:space="preserve">Contribuir a que se haga mayor uso del sistema de P.I. para la financiación, producción y distribución de obras audiovisuales </w:t>
            </w:r>
          </w:p>
          <w:p w:rsidR="00502F27" w:rsidRPr="0074345C" w:rsidRDefault="00502F27" w:rsidP="00E00028">
            <w:pPr>
              <w:pStyle w:val="Heading3"/>
              <w:rPr>
                <w:szCs w:val="22"/>
              </w:rPr>
            </w:pPr>
          </w:p>
        </w:tc>
        <w:tc>
          <w:tcPr>
            <w:tcW w:w="2694" w:type="dxa"/>
            <w:shd w:val="clear" w:color="auto" w:fill="auto"/>
          </w:tcPr>
          <w:p w:rsidR="003260F8" w:rsidRPr="0074345C" w:rsidRDefault="003260F8" w:rsidP="00E00028">
            <w:pPr>
              <w:rPr>
                <w:bCs/>
                <w:szCs w:val="22"/>
              </w:rPr>
            </w:pPr>
          </w:p>
          <w:p w:rsidR="003260F8" w:rsidRPr="0074345C" w:rsidRDefault="00A224FD" w:rsidP="00A224FD">
            <w:pPr>
              <w:rPr>
                <w:bCs/>
                <w:szCs w:val="22"/>
              </w:rPr>
            </w:pPr>
            <w:r w:rsidRPr="0074345C">
              <w:rPr>
                <w:bCs/>
                <w:szCs w:val="22"/>
              </w:rPr>
              <w:t>Los participantes hacen un uso más intenso de las competencias adquiridas para la financiación, producción y distribución de obras audiovisuales (por confirmar mediante un cuestionario de evaluación que se enviará a los participantes aproximadamente seis meses después de que haya concluido la capacitación)</w:t>
            </w:r>
            <w:r w:rsidR="00502F27" w:rsidRPr="0074345C">
              <w:rPr>
                <w:bCs/>
                <w:szCs w:val="22"/>
              </w:rPr>
              <w:t>.</w:t>
            </w:r>
          </w:p>
          <w:p w:rsidR="003260F8" w:rsidRPr="0074345C" w:rsidRDefault="003260F8" w:rsidP="00E00028">
            <w:pPr>
              <w:rPr>
                <w:bCs/>
                <w:szCs w:val="22"/>
              </w:rPr>
            </w:pPr>
          </w:p>
          <w:p w:rsidR="00A224FD" w:rsidRPr="0074345C" w:rsidRDefault="00A224FD" w:rsidP="00A224FD">
            <w:pPr>
              <w:rPr>
                <w:bCs/>
                <w:szCs w:val="22"/>
              </w:rPr>
            </w:pPr>
            <w:r w:rsidRPr="0074345C">
              <w:rPr>
                <w:bCs/>
                <w:szCs w:val="22"/>
              </w:rPr>
              <w:t xml:space="preserve">Aumento </w:t>
            </w:r>
            <w:r w:rsidR="00C40A6E" w:rsidRPr="0074345C">
              <w:rPr>
                <w:bCs/>
                <w:szCs w:val="22"/>
              </w:rPr>
              <w:t>del</w:t>
            </w:r>
            <w:r w:rsidRPr="0074345C">
              <w:rPr>
                <w:bCs/>
                <w:szCs w:val="22"/>
              </w:rPr>
              <w:t xml:space="preserve"> número de transacciones relacionadas con la P.I. en el sector audiovisual, en el ámbito de la producción y la distribución.</w:t>
            </w:r>
          </w:p>
          <w:p w:rsidR="003260F8" w:rsidRPr="0074345C" w:rsidRDefault="00A224FD" w:rsidP="00E00028">
            <w:pPr>
              <w:rPr>
                <w:bCs/>
                <w:szCs w:val="22"/>
              </w:rPr>
            </w:pPr>
            <w:r w:rsidRPr="0074345C">
              <w:rPr>
                <w:bCs/>
                <w:szCs w:val="22"/>
              </w:rPr>
              <w:t xml:space="preserve">(La referencia de base se determinará en el documento de antecedentes.) </w:t>
            </w:r>
          </w:p>
          <w:p w:rsidR="00A224FD" w:rsidRPr="0074345C" w:rsidRDefault="00A224FD" w:rsidP="00E00028">
            <w:pPr>
              <w:rPr>
                <w:bCs/>
                <w:szCs w:val="22"/>
              </w:rPr>
            </w:pPr>
          </w:p>
          <w:p w:rsidR="00A224FD" w:rsidRPr="0074345C" w:rsidRDefault="00A224FD" w:rsidP="00A224FD">
            <w:pPr>
              <w:rPr>
                <w:bCs/>
                <w:szCs w:val="22"/>
              </w:rPr>
            </w:pPr>
            <w:r w:rsidRPr="0074345C">
              <w:rPr>
                <w:bCs/>
                <w:szCs w:val="22"/>
              </w:rPr>
              <w:t>Aumento de los canales legítimos de venta de derechos sobre películas africanas.</w:t>
            </w:r>
          </w:p>
          <w:p w:rsidR="00A224FD" w:rsidRPr="0074345C" w:rsidRDefault="00A224FD" w:rsidP="00A224FD">
            <w:pPr>
              <w:rPr>
                <w:bCs/>
                <w:szCs w:val="22"/>
              </w:rPr>
            </w:pPr>
            <w:r w:rsidRPr="0074345C">
              <w:rPr>
                <w:bCs/>
                <w:szCs w:val="22"/>
              </w:rPr>
              <w:t>(La referencia de base se determinará en el documento de antecedentes.)</w:t>
            </w:r>
          </w:p>
          <w:p w:rsidR="003260F8" w:rsidRPr="0074345C" w:rsidRDefault="00A224FD" w:rsidP="00E00028">
            <w:pPr>
              <w:rPr>
                <w:bCs/>
                <w:szCs w:val="22"/>
              </w:rPr>
            </w:pPr>
            <w:r w:rsidRPr="0074345C">
              <w:rPr>
                <w:bCs/>
                <w:szCs w:val="22"/>
              </w:rPr>
              <w:t xml:space="preserve"> </w:t>
            </w:r>
          </w:p>
          <w:p w:rsidR="00502F27" w:rsidRPr="0074345C" w:rsidRDefault="00502F27" w:rsidP="00E00028">
            <w:pPr>
              <w:autoSpaceDE w:val="0"/>
              <w:autoSpaceDN w:val="0"/>
              <w:adjustRightInd w:val="0"/>
              <w:rPr>
                <w:bCs/>
                <w:szCs w:val="22"/>
                <w:u w:val="single"/>
              </w:rPr>
            </w:pPr>
          </w:p>
        </w:tc>
        <w:tc>
          <w:tcPr>
            <w:tcW w:w="3402" w:type="dxa"/>
            <w:shd w:val="clear" w:color="auto" w:fill="auto"/>
          </w:tcPr>
          <w:p w:rsidR="003260F8" w:rsidRPr="0074345C" w:rsidRDefault="003260F8" w:rsidP="00E00028">
            <w:pPr>
              <w:rPr>
                <w:szCs w:val="22"/>
              </w:rPr>
            </w:pPr>
          </w:p>
          <w:p w:rsidR="003260F8" w:rsidRPr="0074345C" w:rsidRDefault="003260F8" w:rsidP="003260F8">
            <w:pPr>
              <w:rPr>
                <w:szCs w:val="22"/>
              </w:rPr>
            </w:pPr>
            <w:r w:rsidRPr="0074345C">
              <w:rPr>
                <w:szCs w:val="22"/>
              </w:rPr>
              <w:t>Es demasiado pronto para suministrar materiales.</w:t>
            </w: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3260F8">
            <w:pPr>
              <w:rPr>
                <w:szCs w:val="22"/>
              </w:rPr>
            </w:pPr>
            <w:r w:rsidRPr="0074345C">
              <w:rPr>
                <w:szCs w:val="22"/>
              </w:rPr>
              <w:t>Es demasiado pronto para suministrar materiales.</w:t>
            </w: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3260F8">
            <w:pPr>
              <w:rPr>
                <w:szCs w:val="22"/>
              </w:rPr>
            </w:pPr>
            <w:r w:rsidRPr="0074345C">
              <w:rPr>
                <w:szCs w:val="22"/>
              </w:rPr>
              <w:t>Es demasiado pronto para suministrar materiales.</w:t>
            </w:r>
          </w:p>
          <w:p w:rsidR="003260F8" w:rsidRPr="0074345C" w:rsidRDefault="003260F8" w:rsidP="00E00028">
            <w:pPr>
              <w:rPr>
                <w:szCs w:val="22"/>
              </w:rPr>
            </w:pPr>
          </w:p>
          <w:p w:rsidR="00502F27" w:rsidRPr="0074345C" w:rsidRDefault="00502F27" w:rsidP="00E00028">
            <w:pPr>
              <w:pStyle w:val="Heading3"/>
              <w:rPr>
                <w:bCs w:val="0"/>
                <w:szCs w:val="22"/>
              </w:rPr>
            </w:pPr>
          </w:p>
        </w:tc>
        <w:tc>
          <w:tcPr>
            <w:tcW w:w="964" w:type="dxa"/>
            <w:shd w:val="clear" w:color="auto" w:fill="auto"/>
          </w:tcPr>
          <w:p w:rsidR="00502F27" w:rsidRPr="0074345C" w:rsidRDefault="003260F8" w:rsidP="003260F8">
            <w:pPr>
              <w:pStyle w:val="Heading3"/>
              <w:rPr>
                <w:bCs w:val="0"/>
                <w:szCs w:val="22"/>
                <w:u w:val="none"/>
              </w:rPr>
            </w:pPr>
            <w:r w:rsidRPr="0074345C">
              <w:rPr>
                <w:bCs w:val="0"/>
                <w:szCs w:val="22"/>
                <w:u w:val="none"/>
              </w:rPr>
              <w:t>SE/AD</w:t>
            </w:r>
          </w:p>
        </w:tc>
      </w:tr>
      <w:tr w:rsidR="00502F27" w:rsidRPr="0074345C" w:rsidTr="009F2FA4">
        <w:trPr>
          <w:trHeight w:val="616"/>
        </w:trPr>
        <w:tc>
          <w:tcPr>
            <w:tcW w:w="2410" w:type="dxa"/>
            <w:shd w:val="clear" w:color="auto" w:fill="auto"/>
          </w:tcPr>
          <w:p w:rsidR="003260F8" w:rsidRPr="0074345C" w:rsidRDefault="003260F8" w:rsidP="00E00028">
            <w:pPr>
              <w:rPr>
                <w:szCs w:val="22"/>
              </w:rPr>
            </w:pPr>
          </w:p>
          <w:p w:rsidR="00502F27" w:rsidRPr="0074345C" w:rsidRDefault="00D1202E" w:rsidP="00D1202E">
            <w:pPr>
              <w:rPr>
                <w:szCs w:val="22"/>
              </w:rPr>
            </w:pPr>
            <w:r w:rsidRPr="0074345C">
              <w:rPr>
                <w:szCs w:val="22"/>
              </w:rPr>
              <w:t xml:space="preserve">Fomentar el desarrollo de una infraestructura eficaz en el contexto de las transacciones </w:t>
            </w:r>
            <w:r w:rsidRPr="0074345C">
              <w:rPr>
                <w:szCs w:val="22"/>
              </w:rPr>
              <w:lastRenderedPageBreak/>
              <w:t xml:space="preserve">basadas en derechos de P.I., la concesión de licencias y las competencias conexas para mejorar la rentabilidad financiera de los creadores del ámbito audiovisual y de la industria en su conjunto </w:t>
            </w:r>
          </w:p>
        </w:tc>
        <w:tc>
          <w:tcPr>
            <w:tcW w:w="2694" w:type="dxa"/>
            <w:shd w:val="clear" w:color="auto" w:fill="auto"/>
          </w:tcPr>
          <w:p w:rsidR="003260F8" w:rsidRPr="0074345C" w:rsidRDefault="003260F8" w:rsidP="00E00028">
            <w:pPr>
              <w:rPr>
                <w:bCs/>
                <w:szCs w:val="22"/>
              </w:rPr>
            </w:pPr>
          </w:p>
          <w:p w:rsidR="00A224FD" w:rsidRPr="0074345C" w:rsidRDefault="00D1202E" w:rsidP="00A224FD">
            <w:pPr>
              <w:rPr>
                <w:bCs/>
                <w:szCs w:val="22"/>
              </w:rPr>
            </w:pPr>
            <w:r w:rsidRPr="0074345C">
              <w:rPr>
                <w:bCs/>
                <w:szCs w:val="22"/>
              </w:rPr>
              <w:t xml:space="preserve">Aumento </w:t>
            </w:r>
            <w:r w:rsidR="00E631C1" w:rsidRPr="0074345C">
              <w:rPr>
                <w:bCs/>
                <w:szCs w:val="22"/>
              </w:rPr>
              <w:t>d</w:t>
            </w:r>
            <w:r w:rsidRPr="0074345C">
              <w:rPr>
                <w:bCs/>
                <w:szCs w:val="22"/>
              </w:rPr>
              <w:t xml:space="preserve">el número de transacciones basadas en P.I. para la concesión en licencia de derechos audiovisuales mediante </w:t>
            </w:r>
            <w:r w:rsidRPr="0074345C">
              <w:rPr>
                <w:bCs/>
                <w:szCs w:val="22"/>
              </w:rPr>
              <w:lastRenderedPageBreak/>
              <w:t>negociación colectiva y concesión de licencias colectivas y aplicación de directrices</w:t>
            </w:r>
            <w:r w:rsidR="00502F27" w:rsidRPr="0074345C">
              <w:rPr>
                <w:bCs/>
                <w:szCs w:val="22"/>
              </w:rPr>
              <w:t xml:space="preserve">.  </w:t>
            </w:r>
            <w:r w:rsidR="00A224FD" w:rsidRPr="0074345C">
              <w:rPr>
                <w:bCs/>
                <w:szCs w:val="22"/>
              </w:rPr>
              <w:t>(La referencia de base se determinará en el estudio.)</w:t>
            </w:r>
          </w:p>
          <w:p w:rsidR="00A224FD" w:rsidRPr="0074345C" w:rsidRDefault="00A224FD" w:rsidP="00A224FD">
            <w:pPr>
              <w:rPr>
                <w:bCs/>
                <w:szCs w:val="22"/>
              </w:rPr>
            </w:pPr>
          </w:p>
          <w:p w:rsidR="003260F8" w:rsidRPr="0074345C" w:rsidRDefault="00A224FD" w:rsidP="00E00028">
            <w:pPr>
              <w:rPr>
                <w:bCs/>
                <w:szCs w:val="22"/>
              </w:rPr>
            </w:pPr>
            <w:r w:rsidRPr="0074345C">
              <w:rPr>
                <w:bCs/>
                <w:szCs w:val="22"/>
              </w:rPr>
              <w:t>Aumento y desarrollo de una infraestructura de concesión de licencias sobre derechos audiovisuales que sea compatible con las normas internacionales, en particular, mediante organismos de gestión colectiva</w:t>
            </w:r>
            <w:r w:rsidR="00502F27" w:rsidRPr="0074345C">
              <w:rPr>
                <w:bCs/>
                <w:szCs w:val="22"/>
              </w:rPr>
              <w:t>.  (</w:t>
            </w:r>
            <w:r w:rsidRPr="0074345C">
              <w:rPr>
                <w:bCs/>
                <w:szCs w:val="22"/>
              </w:rPr>
              <w:t>La referencia de base se determinará en el estudio</w:t>
            </w:r>
            <w:r w:rsidR="00502F27" w:rsidRPr="0074345C">
              <w:rPr>
                <w:bCs/>
                <w:szCs w:val="22"/>
              </w:rPr>
              <w:t>).</w:t>
            </w:r>
          </w:p>
          <w:p w:rsidR="003260F8" w:rsidRPr="0074345C" w:rsidRDefault="003260F8" w:rsidP="00E00028">
            <w:pPr>
              <w:rPr>
                <w:bCs/>
                <w:szCs w:val="22"/>
              </w:rPr>
            </w:pPr>
          </w:p>
          <w:p w:rsidR="00A224FD" w:rsidRPr="0074345C" w:rsidRDefault="00A224FD" w:rsidP="00A224FD">
            <w:pPr>
              <w:rPr>
                <w:bCs/>
                <w:szCs w:val="22"/>
              </w:rPr>
            </w:pPr>
            <w:r w:rsidRPr="0074345C">
              <w:rPr>
                <w:bCs/>
                <w:szCs w:val="22"/>
              </w:rPr>
              <w:t xml:space="preserve">Puesta en marcha progresiva de instrumentos y normas comerciales </w:t>
            </w:r>
            <w:proofErr w:type="gramStart"/>
            <w:r w:rsidR="00875AE7" w:rsidRPr="0074345C">
              <w:rPr>
                <w:bCs/>
                <w:szCs w:val="22"/>
              </w:rPr>
              <w:t>adecuados</w:t>
            </w:r>
            <w:proofErr w:type="gramEnd"/>
            <w:r w:rsidRPr="0074345C">
              <w:rPr>
                <w:bCs/>
                <w:szCs w:val="22"/>
              </w:rPr>
              <w:t xml:space="preserve"> para la gestión de las obras audiovisuales compatibles con las normas internacionales.</w:t>
            </w:r>
          </w:p>
          <w:p w:rsidR="00502F27" w:rsidRPr="0074345C" w:rsidRDefault="00A224FD" w:rsidP="00A224FD">
            <w:pPr>
              <w:rPr>
                <w:bCs/>
                <w:szCs w:val="22"/>
              </w:rPr>
            </w:pPr>
            <w:r w:rsidRPr="0074345C">
              <w:rPr>
                <w:bCs/>
                <w:szCs w:val="22"/>
              </w:rPr>
              <w:t>(La referencia de base se determinará en el documento de antecedentes.)</w:t>
            </w:r>
          </w:p>
        </w:tc>
        <w:tc>
          <w:tcPr>
            <w:tcW w:w="3402" w:type="dxa"/>
            <w:shd w:val="clear" w:color="auto" w:fill="auto"/>
          </w:tcPr>
          <w:p w:rsidR="003260F8" w:rsidRPr="0074345C" w:rsidRDefault="003260F8" w:rsidP="00E00028">
            <w:pPr>
              <w:rPr>
                <w:szCs w:val="22"/>
              </w:rPr>
            </w:pPr>
          </w:p>
          <w:p w:rsidR="003260F8" w:rsidRPr="0074345C" w:rsidRDefault="003260F8" w:rsidP="003260F8">
            <w:pPr>
              <w:rPr>
                <w:szCs w:val="22"/>
              </w:rPr>
            </w:pPr>
            <w:r w:rsidRPr="0074345C">
              <w:rPr>
                <w:szCs w:val="22"/>
              </w:rPr>
              <w:t>Es demasiado pronto para suministrar materiales.</w:t>
            </w: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3260F8">
            <w:pPr>
              <w:rPr>
                <w:szCs w:val="22"/>
              </w:rPr>
            </w:pPr>
            <w:r w:rsidRPr="0074345C">
              <w:rPr>
                <w:szCs w:val="22"/>
              </w:rPr>
              <w:t>Es demasiado pronto para suministrar materiales.</w:t>
            </w:r>
          </w:p>
          <w:p w:rsidR="00502F27" w:rsidRPr="0074345C" w:rsidRDefault="00502F27" w:rsidP="00E00028">
            <w:pPr>
              <w:rPr>
                <w:szCs w:val="22"/>
              </w:rPr>
            </w:pPr>
          </w:p>
        </w:tc>
        <w:tc>
          <w:tcPr>
            <w:tcW w:w="964" w:type="dxa"/>
            <w:shd w:val="clear" w:color="auto" w:fill="auto"/>
          </w:tcPr>
          <w:p w:rsidR="00502F27" w:rsidRPr="0074345C" w:rsidRDefault="003260F8" w:rsidP="003260F8">
            <w:pPr>
              <w:pStyle w:val="Heading3"/>
              <w:rPr>
                <w:szCs w:val="22"/>
                <w:u w:val="none"/>
              </w:rPr>
            </w:pPr>
            <w:r w:rsidRPr="0074345C">
              <w:rPr>
                <w:szCs w:val="22"/>
                <w:u w:val="none"/>
              </w:rPr>
              <w:lastRenderedPageBreak/>
              <w:t>No está disponible.</w:t>
            </w:r>
          </w:p>
        </w:tc>
      </w:tr>
    </w:tbl>
    <w:p w:rsidR="003260F8" w:rsidRPr="0074345C" w:rsidRDefault="003260F8" w:rsidP="00502F27">
      <w:pPr>
        <w:ind w:left="5103" w:firstLine="567"/>
      </w:pPr>
    </w:p>
    <w:p w:rsidR="003260F8" w:rsidRPr="0074345C" w:rsidRDefault="003260F8" w:rsidP="00502F27"/>
    <w:p w:rsidR="00502F27" w:rsidRPr="0074345C" w:rsidRDefault="003260F8" w:rsidP="003260F8">
      <w:pPr>
        <w:tabs>
          <w:tab w:val="left" w:pos="3225"/>
        </w:tabs>
        <w:ind w:left="2445" w:firstLine="3225"/>
        <w:sectPr w:rsidR="00502F27" w:rsidRPr="0074345C" w:rsidSect="00E00028">
          <w:headerReference w:type="default" r:id="rId50"/>
          <w:headerReference w:type="first" r:id="rId51"/>
          <w:endnotePr>
            <w:numFmt w:val="decimal"/>
          </w:endnotePr>
          <w:pgSz w:w="11907" w:h="16840" w:code="9"/>
          <w:pgMar w:top="567" w:right="1134" w:bottom="1418" w:left="1418" w:header="510" w:footer="1021" w:gutter="0"/>
          <w:pgNumType w:start="1"/>
          <w:cols w:space="720"/>
          <w:titlePg/>
          <w:docGrid w:linePitch="299"/>
        </w:sectPr>
      </w:pPr>
      <w:r w:rsidRPr="0074345C">
        <w:t>[Sigue el Anexo V]</w:t>
      </w:r>
    </w:p>
    <w:p w:rsidR="003260F8" w:rsidRPr="0074345C" w:rsidRDefault="003260F8" w:rsidP="00502F27">
      <w:pPr>
        <w:tabs>
          <w:tab w:val="left" w:pos="3225"/>
        </w:tabs>
      </w:pPr>
    </w:p>
    <w:p w:rsidR="00502F27" w:rsidRPr="0074345C" w:rsidRDefault="00502F27" w:rsidP="00502F27"/>
    <w:tbl>
      <w:tblPr>
        <w:tblpPr w:leftFromText="180" w:rightFromText="180" w:vertAnchor="text" w:horzAnchor="margin" w:tblpY="15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564"/>
        </w:trPr>
        <w:tc>
          <w:tcPr>
            <w:tcW w:w="9288" w:type="dxa"/>
            <w:gridSpan w:val="2"/>
            <w:shd w:val="clear" w:color="auto" w:fill="auto"/>
          </w:tcPr>
          <w:p w:rsidR="00502F27" w:rsidRPr="0074345C" w:rsidRDefault="003260F8" w:rsidP="003260F8">
            <w:pPr>
              <w:pStyle w:val="Heading2"/>
              <w:rPr>
                <w:rFonts w:eastAsia="Times New Roman"/>
                <w:iCs w:val="0"/>
                <w:lang w:eastAsia="en-US"/>
              </w:rPr>
            </w:pPr>
            <w:r w:rsidRPr="0074345C">
              <w:rPr>
                <w:rFonts w:eastAsia="Times New Roman"/>
                <w:iCs w:val="0"/>
                <w:lang w:eastAsia="en-US"/>
              </w:rPr>
              <w:t>RESUMEN DEL PROYECTO</w:t>
            </w:r>
          </w:p>
        </w:tc>
      </w:tr>
      <w:tr w:rsidR="006376E7" w:rsidRPr="0074345C" w:rsidTr="00E00028">
        <w:trPr>
          <w:trHeight w:val="404"/>
        </w:trPr>
        <w:tc>
          <w:tcPr>
            <w:tcW w:w="2376" w:type="dxa"/>
            <w:shd w:val="clear" w:color="auto" w:fill="auto"/>
          </w:tcPr>
          <w:p w:rsidR="00502F27" w:rsidRPr="0074345C" w:rsidRDefault="003260F8" w:rsidP="003260F8">
            <w:pPr>
              <w:keepNext/>
              <w:spacing w:before="240" w:after="60"/>
              <w:outlineLvl w:val="2"/>
            </w:pPr>
            <w:r w:rsidRPr="0074345C">
              <w:rPr>
                <w:u w:val="single"/>
              </w:rPr>
              <w:t>Código del proyecto</w:t>
            </w:r>
          </w:p>
        </w:tc>
        <w:tc>
          <w:tcPr>
            <w:tcW w:w="6912" w:type="dxa"/>
            <w:shd w:val="clear" w:color="auto" w:fill="auto"/>
            <w:vAlign w:val="center"/>
          </w:tcPr>
          <w:p w:rsidR="00502F27" w:rsidRPr="0074345C" w:rsidRDefault="00502F27" w:rsidP="00E00028">
            <w:r w:rsidRPr="0074345C">
              <w:t>DA-1-10-11-13-19-25-32-01</w:t>
            </w:r>
          </w:p>
        </w:tc>
      </w:tr>
      <w:tr w:rsidR="006376E7" w:rsidRPr="0074345C" w:rsidTr="00E00028">
        <w:trPr>
          <w:trHeight w:val="404"/>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Título</w:t>
            </w:r>
          </w:p>
          <w:p w:rsidR="00502F27" w:rsidRPr="0074345C" w:rsidRDefault="00502F27" w:rsidP="00E00028">
            <w:pPr>
              <w:rPr>
                <w:rFonts w:eastAsia="Times New Roman"/>
                <w:lang w:eastAsia="en-US"/>
              </w:rPr>
            </w:pPr>
          </w:p>
        </w:tc>
        <w:tc>
          <w:tcPr>
            <w:tcW w:w="6912" w:type="dxa"/>
            <w:shd w:val="clear" w:color="auto" w:fill="auto"/>
            <w:vAlign w:val="center"/>
          </w:tcPr>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Cs/>
                <w:lang w:eastAsia="en-US"/>
              </w:rPr>
              <w:t>Proyecto relativo a la intensificación de la Cooperación Sur-Sur en materia de P.I. y desarrollo entre los países en desarrollo y los PMA.</w:t>
            </w:r>
          </w:p>
          <w:p w:rsidR="00502F27" w:rsidRPr="0074345C" w:rsidRDefault="00502F27" w:rsidP="00E00028">
            <w:pPr>
              <w:rPr>
                <w:rFonts w:eastAsia="Times New Roman"/>
                <w:lang w:eastAsia="en-US"/>
              </w:rPr>
            </w:pPr>
          </w:p>
        </w:tc>
      </w:tr>
      <w:tr w:rsidR="006376E7" w:rsidRPr="0074345C" w:rsidTr="00E00028">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Recomendación de la Agenda para el Desarrollo</w:t>
            </w:r>
          </w:p>
          <w:p w:rsidR="00502F27" w:rsidRPr="0074345C" w:rsidRDefault="00502F27" w:rsidP="00E00028">
            <w:pPr>
              <w:rPr>
                <w:rFonts w:eastAsia="Times New Roman"/>
                <w:lang w:eastAsia="en-US"/>
              </w:rPr>
            </w:pPr>
          </w:p>
        </w:tc>
        <w:tc>
          <w:tcPr>
            <w:tcW w:w="6912" w:type="dxa"/>
            <w:shd w:val="clear" w:color="auto" w:fill="auto"/>
          </w:tcPr>
          <w:p w:rsidR="003260F8" w:rsidRPr="0074345C" w:rsidRDefault="003260F8" w:rsidP="00E00028">
            <w:pPr>
              <w:rPr>
                <w:rFonts w:eastAsia="Times New Roman"/>
                <w:i/>
                <w:lang w:eastAsia="en-US"/>
              </w:rPr>
            </w:pPr>
          </w:p>
          <w:p w:rsidR="003260F8" w:rsidRPr="0074345C" w:rsidRDefault="00502F27" w:rsidP="00E00028">
            <w:pPr>
              <w:rPr>
                <w:rFonts w:eastAsia="Times New Roman"/>
                <w:iCs/>
                <w:lang w:eastAsia="en-US"/>
              </w:rPr>
            </w:pPr>
            <w:r w:rsidRPr="0074345C">
              <w:rPr>
                <w:rFonts w:eastAsia="Times New Roman"/>
                <w:iCs/>
                <w:lang w:eastAsia="en-US"/>
              </w:rPr>
              <w:t xml:space="preserve">1, 10, 11, 13, 19, 25 </w:t>
            </w:r>
            <w:r w:rsidR="00C05E5A" w:rsidRPr="0074345C">
              <w:rPr>
                <w:rFonts w:eastAsia="Times New Roman"/>
                <w:iCs/>
                <w:lang w:eastAsia="en-US"/>
              </w:rPr>
              <w:t xml:space="preserve">y </w:t>
            </w:r>
            <w:r w:rsidRPr="0074345C">
              <w:rPr>
                <w:rFonts w:eastAsia="Times New Roman"/>
                <w:iCs/>
                <w:lang w:eastAsia="en-US"/>
              </w:rPr>
              <w:t>32:</w:t>
            </w:r>
          </w:p>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
                <w:iCs/>
                <w:lang w:eastAsia="en-US"/>
              </w:rPr>
              <w:t>Recomendación</w:t>
            </w:r>
            <w:r w:rsidRPr="0074345C">
              <w:rPr>
                <w:rFonts w:eastAsia="Times New Roman"/>
                <w:iCs/>
                <w:lang w:eastAsia="en-US"/>
              </w:rPr>
              <w:t xml:space="preserve"> 1.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w:t>
            </w:r>
            <w:r w:rsidR="00C05E5A" w:rsidRPr="0074345C">
              <w:rPr>
                <w:rFonts w:eastAsia="Times New Roman"/>
                <w:iCs/>
                <w:lang w:eastAsia="en-US"/>
              </w:rPr>
              <w:t>.  L</w:t>
            </w:r>
            <w:r w:rsidRPr="0074345C">
              <w:rPr>
                <w:rFonts w:eastAsia="Times New Roman"/>
                <w:iCs/>
                <w:lang w:eastAsia="en-US"/>
              </w:rPr>
              <w:t xml:space="preserve">as actividades deberán incluir su calendario de ejecución.  A este respecto, el diseño, los mecanismos de ejecución y los procesos de evaluación de los </w:t>
            </w:r>
            <w:r w:rsidR="00AC0CD4" w:rsidRPr="0074345C">
              <w:rPr>
                <w:rFonts w:eastAsia="Times New Roman"/>
                <w:iCs/>
                <w:lang w:eastAsia="en-US"/>
              </w:rPr>
              <w:t>Programas</w:t>
            </w:r>
            <w:r w:rsidRPr="0074345C">
              <w:rPr>
                <w:rFonts w:eastAsia="Times New Roman"/>
                <w:iCs/>
                <w:lang w:eastAsia="en-US"/>
              </w:rPr>
              <w:t xml:space="preserve"> de asistencia técnica deberán estar adaptados a cada país.</w:t>
            </w:r>
          </w:p>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
                <w:iCs/>
                <w:lang w:eastAsia="en-US"/>
              </w:rPr>
              <w:t>Recomendación 10:</w:t>
            </w:r>
            <w:r w:rsidRPr="0074345C">
              <w:rPr>
                <w:rFonts w:eastAsia="Times New Roman"/>
                <w:iCs/>
                <w:lang w:eastAsia="en-US"/>
              </w:rPr>
              <w:t xml:space="preserve">   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sidR="00502F27" w:rsidRPr="0074345C">
              <w:rPr>
                <w:rFonts w:eastAsia="Times New Roman"/>
                <w:iCs/>
                <w:lang w:eastAsia="en-US"/>
              </w:rPr>
              <w:t xml:space="preserve">  </w:t>
            </w:r>
            <w:r w:rsidRPr="0074345C">
              <w:rPr>
                <w:rFonts w:eastAsia="Times New Roman"/>
                <w:iCs/>
                <w:lang w:eastAsia="en-US"/>
              </w:rPr>
              <w:t>Este tipo de asistencia técnica debe beneficiar también a las organizaciones regionales y subregionales de P.I.</w:t>
            </w:r>
          </w:p>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
                <w:iCs/>
                <w:lang w:eastAsia="en-US"/>
              </w:rPr>
              <w:t>Recomendación 11:</w:t>
            </w:r>
            <w:r w:rsidRPr="0074345C">
              <w:rPr>
                <w:rFonts w:eastAsia="Times New Roman"/>
                <w:iCs/>
                <w:lang w:eastAsia="en-US"/>
              </w:rPr>
              <w:t xml:space="preserve">   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
                <w:iCs/>
                <w:lang w:eastAsia="en-US"/>
              </w:rPr>
              <w:t>Recomendación 13:</w:t>
            </w:r>
            <w:r w:rsidRPr="0074345C">
              <w:rPr>
                <w:rFonts w:eastAsia="Times New Roman"/>
                <w:iCs/>
                <w:lang w:eastAsia="en-US"/>
              </w:rPr>
              <w:t xml:space="preserve">   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
                <w:iCs/>
                <w:lang w:eastAsia="en-US"/>
              </w:rPr>
              <w:t xml:space="preserve">Recomendación 19:  </w:t>
            </w:r>
            <w:r w:rsidRPr="0074345C">
              <w:rPr>
                <w:rFonts w:eastAsia="Times New Roman"/>
                <w:iCs/>
                <w:lang w:eastAsia="en-US"/>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
                <w:iCs/>
                <w:lang w:eastAsia="en-US"/>
              </w:rPr>
              <w:t>Recomendación 25:</w:t>
            </w:r>
            <w:r w:rsidRPr="0074345C">
              <w:rPr>
                <w:rFonts w:eastAsia="Times New Roman"/>
                <w:iCs/>
                <w:lang w:eastAsia="en-US"/>
              </w:rPr>
              <w:t xml:space="preserve">   Estudiar qué políticas e iniciativas relacionadas con la P.I. son necesarias para fomentar la transferencia y difusión de tecnología en pro de los países en desarrollo, y adoptar las medidas adecuadas para que los países en </w:t>
            </w:r>
            <w:r w:rsidRPr="0074345C">
              <w:rPr>
                <w:rFonts w:eastAsia="Times New Roman"/>
                <w:iCs/>
                <w:lang w:eastAsia="en-US"/>
              </w:rPr>
              <w:lastRenderedPageBreak/>
              <w:t>desarrollo puedan comprender plenamente las distintas disposiciones relativas a las flexibilidades previstas en los acuerdos internacionales y beneficiarse de las mismas, según corresponda.</w:t>
            </w:r>
          </w:p>
          <w:p w:rsidR="003260F8" w:rsidRPr="0074345C" w:rsidRDefault="003260F8" w:rsidP="00E00028">
            <w:pPr>
              <w:rPr>
                <w:rFonts w:eastAsia="Times New Roman"/>
                <w:bCs/>
                <w:i/>
                <w:iCs/>
                <w:lang w:eastAsia="en-US"/>
              </w:rPr>
            </w:pPr>
          </w:p>
          <w:p w:rsidR="003260F8" w:rsidRPr="0074345C" w:rsidRDefault="003260F8" w:rsidP="003260F8">
            <w:pPr>
              <w:rPr>
                <w:rFonts w:eastAsia="Times New Roman"/>
                <w:iCs/>
                <w:lang w:eastAsia="en-US"/>
              </w:rPr>
            </w:pPr>
            <w:r w:rsidRPr="0074345C">
              <w:rPr>
                <w:rFonts w:eastAsia="Times New Roman"/>
                <w:i/>
                <w:iCs/>
                <w:lang w:eastAsia="en-US"/>
              </w:rPr>
              <w:t>Recomendación 32</w:t>
            </w:r>
            <w:proofErr w:type="gramStart"/>
            <w:r w:rsidRPr="0074345C">
              <w:rPr>
                <w:rFonts w:eastAsia="Times New Roman"/>
                <w:i/>
                <w:iCs/>
                <w:lang w:eastAsia="en-US"/>
              </w:rPr>
              <w:t>:</w:t>
            </w:r>
            <w:r w:rsidRPr="0074345C">
              <w:rPr>
                <w:rFonts w:eastAsia="Times New Roman"/>
                <w:iCs/>
                <w:lang w:eastAsia="en-US"/>
              </w:rPr>
              <w:t xml:space="preserve">  Contar</w:t>
            </w:r>
            <w:proofErr w:type="gramEnd"/>
            <w:r w:rsidRPr="0074345C">
              <w:rPr>
                <w:rFonts w:eastAsia="Times New Roman"/>
                <w:iCs/>
                <w:lang w:eastAsia="en-US"/>
              </w:rPr>
              <w:t xml:space="preserve"> con la posibilidad de intercambiar, en el seno de la OMPI, las experiencias e información, en los ámbitos nacional y regional, sobre la relación existente entre los derechos de P.I. y las políticas de competencia.</w:t>
            </w:r>
          </w:p>
          <w:p w:rsidR="00502F27" w:rsidRPr="0074345C" w:rsidRDefault="00502F27" w:rsidP="00E00028">
            <w:pPr>
              <w:rPr>
                <w:rFonts w:eastAsia="Times New Roman"/>
                <w:i/>
                <w:lang w:eastAsia="en-US"/>
              </w:rPr>
            </w:pPr>
          </w:p>
        </w:tc>
      </w:tr>
      <w:tr w:rsidR="006376E7" w:rsidRPr="0074345C" w:rsidTr="00E00028">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lastRenderedPageBreak/>
              <w:t>Presupuesto del proyecto</w:t>
            </w:r>
          </w:p>
          <w:p w:rsidR="00502F27" w:rsidRPr="0074345C" w:rsidRDefault="00502F27" w:rsidP="00E00028">
            <w:pPr>
              <w:rPr>
                <w:rFonts w:eastAsia="Times New Roman"/>
                <w:lang w:eastAsia="en-US"/>
              </w:rPr>
            </w:pPr>
          </w:p>
        </w:tc>
        <w:tc>
          <w:tcPr>
            <w:tcW w:w="6912" w:type="dxa"/>
            <w:shd w:val="clear" w:color="auto" w:fill="auto"/>
          </w:tcPr>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Gastos no relativos al personal: 755.460 francos suizos.</w:t>
            </w:r>
          </w:p>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 xml:space="preserve">Gastos </w:t>
            </w:r>
            <w:r w:rsidR="00C05E5A" w:rsidRPr="0074345C">
              <w:rPr>
                <w:rFonts w:eastAsia="Times New Roman"/>
                <w:lang w:eastAsia="en-US"/>
              </w:rPr>
              <w:t>de</w:t>
            </w:r>
            <w:r w:rsidRPr="0074345C">
              <w:rPr>
                <w:rFonts w:eastAsia="Times New Roman"/>
                <w:lang w:eastAsia="en-US"/>
              </w:rPr>
              <w:t xml:space="preserve"> personal: 202.000 francos suizos.</w:t>
            </w:r>
          </w:p>
          <w:p w:rsidR="00502F27" w:rsidRPr="0074345C" w:rsidRDefault="00502F27" w:rsidP="00E00028">
            <w:pPr>
              <w:rPr>
                <w:rFonts w:eastAsia="Times New Roman"/>
                <w:lang w:eastAsia="en-US"/>
              </w:rPr>
            </w:pPr>
          </w:p>
        </w:tc>
      </w:tr>
      <w:tr w:rsidR="006376E7" w:rsidRPr="0074345C" w:rsidTr="00E00028">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Fecha de inicio del proyecto</w:t>
            </w:r>
          </w:p>
          <w:p w:rsidR="00502F27" w:rsidRPr="0074345C" w:rsidRDefault="00502F27" w:rsidP="00E00028">
            <w:pPr>
              <w:rPr>
                <w:rFonts w:eastAsia="Times New Roman"/>
                <w:lang w:eastAsia="en-US"/>
              </w:rPr>
            </w:pPr>
          </w:p>
        </w:tc>
        <w:tc>
          <w:tcPr>
            <w:tcW w:w="6912" w:type="dxa"/>
            <w:shd w:val="clear" w:color="auto" w:fill="auto"/>
          </w:tcPr>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Abril de 2012</w:t>
            </w:r>
          </w:p>
          <w:p w:rsidR="00502F27" w:rsidRPr="0074345C" w:rsidRDefault="00502F27" w:rsidP="00E00028">
            <w:pPr>
              <w:rPr>
                <w:rFonts w:eastAsia="Times New Roman"/>
                <w:lang w:eastAsia="en-US"/>
              </w:rPr>
            </w:pPr>
          </w:p>
        </w:tc>
      </w:tr>
      <w:tr w:rsidR="006376E7" w:rsidRPr="0074345C" w:rsidTr="00E00028">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Duración del proyecto</w:t>
            </w:r>
          </w:p>
          <w:p w:rsidR="00502F27" w:rsidRPr="0074345C" w:rsidRDefault="00502F27" w:rsidP="00E00028">
            <w:pPr>
              <w:rPr>
                <w:rFonts w:eastAsia="Times New Roman"/>
                <w:lang w:eastAsia="en-US"/>
              </w:rPr>
            </w:pPr>
          </w:p>
        </w:tc>
        <w:tc>
          <w:tcPr>
            <w:tcW w:w="6912" w:type="dxa"/>
            <w:shd w:val="clear" w:color="auto" w:fill="auto"/>
          </w:tcPr>
          <w:p w:rsidR="003260F8" w:rsidRPr="0074345C" w:rsidRDefault="003260F8" w:rsidP="00E00028">
            <w:pPr>
              <w:rPr>
                <w:rFonts w:eastAsia="Times New Roman"/>
                <w:lang w:eastAsia="en-US"/>
              </w:rPr>
            </w:pPr>
          </w:p>
          <w:p w:rsidR="007116D2" w:rsidRPr="0074345C" w:rsidRDefault="003260F8" w:rsidP="003260F8">
            <w:pPr>
              <w:rPr>
                <w:rFonts w:eastAsia="Times New Roman"/>
                <w:lang w:eastAsia="en-US"/>
              </w:rPr>
            </w:pPr>
            <w:r w:rsidRPr="0074345C">
              <w:rPr>
                <w:rFonts w:eastAsia="Times New Roman"/>
                <w:lang w:eastAsia="en-US"/>
              </w:rPr>
              <w:t>24 meses (primera etapa)</w:t>
            </w:r>
            <w:r w:rsidR="00C05E5A" w:rsidRPr="0074345C">
              <w:rPr>
                <w:rFonts w:eastAsia="Times New Roman"/>
                <w:lang w:eastAsia="en-US"/>
              </w:rPr>
              <w:t>.</w:t>
            </w:r>
            <w:r w:rsidR="00502F27" w:rsidRPr="0074345C">
              <w:rPr>
                <w:rFonts w:eastAsia="Times New Roman"/>
                <w:lang w:eastAsia="en-US"/>
              </w:rPr>
              <w:t xml:space="preserve">  </w:t>
            </w:r>
            <w:r w:rsidR="00C05E5A" w:rsidRPr="0074345C">
              <w:rPr>
                <w:rFonts w:eastAsia="Times New Roman"/>
                <w:lang w:eastAsia="en-US"/>
              </w:rPr>
              <w:t>El proyecto fue prorrogado por un período adicional de un año, por decisión adoptada por el CDIP en su 13ª sesión</w:t>
            </w:r>
            <w:r w:rsidR="00502F27" w:rsidRPr="0074345C">
              <w:rPr>
                <w:rFonts w:eastAsia="Times New Roman"/>
                <w:lang w:eastAsia="en-US"/>
              </w:rPr>
              <w:t xml:space="preserve"> (</w:t>
            </w:r>
            <w:r w:rsidR="00C05E5A" w:rsidRPr="0074345C">
              <w:rPr>
                <w:rFonts w:eastAsia="Times New Roman"/>
                <w:lang w:eastAsia="en-US"/>
              </w:rPr>
              <w:t>véase el párrafo</w:t>
            </w:r>
            <w:r w:rsidR="00502F27" w:rsidRPr="0074345C">
              <w:rPr>
                <w:rFonts w:eastAsia="Times New Roman"/>
                <w:lang w:eastAsia="en-US"/>
              </w:rPr>
              <w:t xml:space="preserve"> 7 </w:t>
            </w:r>
            <w:r w:rsidR="00C05E5A" w:rsidRPr="0074345C">
              <w:rPr>
                <w:rFonts w:eastAsia="Times New Roman"/>
                <w:lang w:eastAsia="en-US"/>
              </w:rPr>
              <w:t>del Resumen de la Presidencia en</w:t>
            </w:r>
            <w:r w:rsidR="00502F27" w:rsidRPr="0074345C">
              <w:rPr>
                <w:rFonts w:eastAsia="Times New Roman"/>
                <w:lang w:eastAsia="en-US"/>
              </w:rPr>
              <w:t xml:space="preserve"> (</w:t>
            </w:r>
            <w:hyperlink r:id="rId52" w:history="1">
              <w:r w:rsidR="007116D2" w:rsidRPr="0074345C">
                <w:rPr>
                  <w:rStyle w:val="Hyperlink"/>
                  <w:rFonts w:eastAsia="Times New Roman"/>
                  <w:color w:val="auto"/>
                  <w:lang w:eastAsia="en-US"/>
                </w:rPr>
                <w:t>http://www.wipo.int/edocs/mdocs/mdocs/es/cdip_13/cdip_13_summary.pdf</w:t>
              </w:r>
            </w:hyperlink>
            <w:r w:rsidR="007116D2" w:rsidRPr="0074345C">
              <w:rPr>
                <w:rFonts w:eastAsia="Times New Roman"/>
                <w:lang w:eastAsia="en-US"/>
              </w:rPr>
              <w:t>)</w:t>
            </w:r>
          </w:p>
          <w:p w:rsidR="00502F27" w:rsidRPr="0074345C" w:rsidRDefault="00502F27" w:rsidP="007116D2">
            <w:pPr>
              <w:rPr>
                <w:rFonts w:eastAsia="Times New Roman"/>
                <w:lang w:eastAsia="en-US"/>
              </w:rPr>
            </w:pPr>
          </w:p>
        </w:tc>
      </w:tr>
      <w:tr w:rsidR="006376E7" w:rsidRPr="0074345C" w:rsidTr="00E00028">
        <w:tc>
          <w:tcPr>
            <w:tcW w:w="2376" w:type="dxa"/>
            <w:tcBorders>
              <w:bottom w:val="single" w:sz="4" w:space="0" w:color="auto"/>
            </w:tcBorders>
            <w:shd w:val="clear" w:color="auto" w:fill="auto"/>
          </w:tcPr>
          <w:p w:rsidR="00502F27" w:rsidRPr="0074345C" w:rsidRDefault="003260F8" w:rsidP="003260F8">
            <w:pPr>
              <w:keepNext/>
              <w:spacing w:before="240" w:after="60"/>
              <w:outlineLvl w:val="2"/>
              <w:rPr>
                <w:bCs/>
                <w:szCs w:val="26"/>
                <w:u w:val="single"/>
                <w:lang w:eastAsia="en-US"/>
              </w:rPr>
            </w:pPr>
            <w:r w:rsidRPr="0074345C">
              <w:rPr>
                <w:bCs/>
                <w:szCs w:val="26"/>
                <w:u w:val="single"/>
                <w:lang w:eastAsia="en-US"/>
              </w:rPr>
              <w:t xml:space="preserve">Principales sectores de la OMPI interesados y vínculos con los </w:t>
            </w:r>
            <w:r w:rsidR="00AC0CD4" w:rsidRPr="0074345C">
              <w:rPr>
                <w:bCs/>
                <w:szCs w:val="26"/>
                <w:u w:val="single"/>
                <w:lang w:eastAsia="en-US"/>
              </w:rPr>
              <w:t>Programas</w:t>
            </w:r>
            <w:r w:rsidRPr="0074345C">
              <w:rPr>
                <w:bCs/>
                <w:szCs w:val="26"/>
                <w:u w:val="single"/>
                <w:lang w:eastAsia="en-US"/>
              </w:rPr>
              <w:t xml:space="preserve"> de la Organización</w:t>
            </w:r>
          </w:p>
        </w:tc>
        <w:tc>
          <w:tcPr>
            <w:tcW w:w="6912" w:type="dxa"/>
            <w:tcBorders>
              <w:bottom w:val="single" w:sz="4" w:space="0" w:color="auto"/>
            </w:tcBorders>
            <w:shd w:val="clear" w:color="auto" w:fill="auto"/>
          </w:tcPr>
          <w:p w:rsidR="003260F8" w:rsidRPr="0074345C" w:rsidRDefault="003260F8" w:rsidP="00E00028">
            <w:pPr>
              <w:rPr>
                <w:rFonts w:eastAsia="Times New Roman"/>
                <w:lang w:eastAsia="en-US"/>
              </w:rPr>
            </w:pPr>
          </w:p>
          <w:p w:rsidR="003260F8" w:rsidRPr="0074345C" w:rsidRDefault="00603D5D" w:rsidP="00E00028">
            <w:pPr>
              <w:rPr>
                <w:rFonts w:eastAsia="Times New Roman"/>
                <w:lang w:eastAsia="en-US"/>
              </w:rPr>
            </w:pPr>
            <w:r w:rsidRPr="0074345C">
              <w:rPr>
                <w:rFonts w:eastAsia="Times New Roman"/>
                <w:lang w:eastAsia="en-US"/>
              </w:rPr>
              <w:t xml:space="preserve">Sectores clave: </w:t>
            </w:r>
            <w:r w:rsidR="00333227" w:rsidRPr="0074345C">
              <w:rPr>
                <w:rFonts w:eastAsia="Times New Roman"/>
                <w:lang w:eastAsia="en-US"/>
              </w:rPr>
              <w:t>S</w:t>
            </w:r>
            <w:r w:rsidRPr="0074345C">
              <w:rPr>
                <w:rFonts w:eastAsia="Times New Roman"/>
                <w:lang w:eastAsia="en-US"/>
              </w:rPr>
              <w:t>ector de</w:t>
            </w:r>
            <w:r w:rsidR="00333227" w:rsidRPr="0074345C">
              <w:rPr>
                <w:rFonts w:eastAsia="Times New Roman"/>
                <w:lang w:eastAsia="en-US"/>
              </w:rPr>
              <w:t xml:space="preserve"> D</w:t>
            </w:r>
            <w:r w:rsidR="00A224FD" w:rsidRPr="0074345C">
              <w:rPr>
                <w:rFonts w:eastAsia="Times New Roman"/>
                <w:lang w:eastAsia="en-US"/>
              </w:rPr>
              <w:t>esarrollo</w:t>
            </w:r>
            <w:r w:rsidR="00502F27" w:rsidRPr="0074345C">
              <w:rPr>
                <w:rFonts w:eastAsia="Times New Roman"/>
                <w:lang w:eastAsia="en-US"/>
              </w:rPr>
              <w:t xml:space="preserve"> (</w:t>
            </w:r>
            <w:r w:rsidR="009E13C2" w:rsidRPr="0074345C">
              <w:rPr>
                <w:rFonts w:eastAsia="Times New Roman"/>
                <w:lang w:eastAsia="en-US"/>
              </w:rPr>
              <w:t>Prog</w:t>
            </w:r>
            <w:r w:rsidRPr="0074345C">
              <w:rPr>
                <w:rFonts w:eastAsia="Times New Roman"/>
                <w:lang w:eastAsia="en-US"/>
              </w:rPr>
              <w:t>rama</w:t>
            </w:r>
            <w:r w:rsidR="00502F27" w:rsidRPr="0074345C">
              <w:rPr>
                <w:rFonts w:eastAsia="Times New Roman"/>
                <w:lang w:eastAsia="en-US"/>
              </w:rPr>
              <w:t xml:space="preserve"> 9), </w:t>
            </w:r>
            <w:r w:rsidR="00A224FD" w:rsidRPr="0074345C">
              <w:t xml:space="preserve"> </w:t>
            </w:r>
            <w:r w:rsidR="00A224FD" w:rsidRPr="0074345C">
              <w:rPr>
                <w:rFonts w:eastAsia="Times New Roman"/>
                <w:lang w:eastAsia="en-US"/>
              </w:rPr>
              <w:t xml:space="preserve">Sector de la Infraestructura Mundial </w:t>
            </w:r>
            <w:r w:rsidR="00502F27" w:rsidRPr="0074345C">
              <w:rPr>
                <w:rFonts w:eastAsia="Times New Roman"/>
                <w:lang w:eastAsia="en-US"/>
              </w:rPr>
              <w:t>(</w:t>
            </w:r>
            <w:r w:rsidRPr="0074345C">
              <w:rPr>
                <w:rFonts w:eastAsia="Times New Roman"/>
                <w:lang w:eastAsia="en-US"/>
              </w:rPr>
              <w:t>Programa</w:t>
            </w:r>
            <w:r w:rsidR="00502F27" w:rsidRPr="0074345C">
              <w:rPr>
                <w:rFonts w:eastAsia="Times New Roman"/>
                <w:lang w:eastAsia="en-US"/>
              </w:rPr>
              <w:t xml:space="preserve"> 14).</w:t>
            </w:r>
          </w:p>
          <w:p w:rsidR="003260F8" w:rsidRPr="0074345C" w:rsidRDefault="003260F8" w:rsidP="00E00028">
            <w:pPr>
              <w:rPr>
                <w:rFonts w:eastAsia="Times New Roman"/>
                <w:lang w:eastAsia="en-US"/>
              </w:rPr>
            </w:pPr>
          </w:p>
          <w:p w:rsidR="003260F8" w:rsidRPr="0074345C" w:rsidRDefault="003260F8" w:rsidP="003260F8">
            <w:pPr>
              <w:rPr>
                <w:rFonts w:eastAsia="Times New Roman"/>
                <w:iCs/>
                <w:lang w:eastAsia="en-US"/>
              </w:rPr>
            </w:pPr>
            <w:r w:rsidRPr="0074345C">
              <w:rPr>
                <w:rFonts w:eastAsia="Times New Roman"/>
                <w:iCs/>
                <w:lang w:eastAsia="en-US"/>
              </w:rPr>
              <w:t xml:space="preserve">Vínculos con los </w:t>
            </w:r>
            <w:r w:rsidR="00AC0CD4" w:rsidRPr="0074345C">
              <w:rPr>
                <w:rFonts w:eastAsia="Times New Roman"/>
                <w:iCs/>
                <w:lang w:eastAsia="en-US"/>
              </w:rPr>
              <w:t>Programas</w:t>
            </w:r>
            <w:r w:rsidRPr="0074345C">
              <w:rPr>
                <w:rFonts w:eastAsia="Times New Roman"/>
                <w:iCs/>
                <w:lang w:eastAsia="en-US"/>
              </w:rPr>
              <w:t xml:space="preserve"> 1, 2, 3, 4, 5, 6, 7, 8, 11, 15, 16, 18, 30 de la OMPI.</w:t>
            </w:r>
          </w:p>
          <w:p w:rsidR="003260F8" w:rsidRPr="0074345C" w:rsidRDefault="003260F8" w:rsidP="00E00028">
            <w:pPr>
              <w:rPr>
                <w:rFonts w:eastAsia="Times New Roman"/>
                <w:iCs/>
                <w:lang w:eastAsia="en-US"/>
              </w:rPr>
            </w:pPr>
          </w:p>
          <w:p w:rsidR="003260F8" w:rsidRPr="0074345C" w:rsidRDefault="003260F8" w:rsidP="003260F8">
            <w:pPr>
              <w:rPr>
                <w:rFonts w:eastAsia="Times New Roman"/>
                <w:iCs/>
                <w:lang w:eastAsia="en-US"/>
              </w:rPr>
            </w:pPr>
            <w:r w:rsidRPr="0074345C">
              <w:rPr>
                <w:rFonts w:eastAsia="Times New Roman"/>
                <w:iCs/>
                <w:lang w:eastAsia="en-US"/>
              </w:rPr>
              <w:t>Vínculos con los proyectos de la Agenda para el Desarrollo</w:t>
            </w:r>
            <w:proofErr w:type="gramStart"/>
            <w:r w:rsidRPr="0074345C">
              <w:rPr>
                <w:rFonts w:eastAsia="Times New Roman"/>
                <w:iCs/>
                <w:lang w:eastAsia="en-US"/>
              </w:rPr>
              <w:t>:  DA</w:t>
            </w:r>
            <w:proofErr w:type="gramEnd"/>
            <w:r w:rsidRPr="0074345C">
              <w:rPr>
                <w:rFonts w:eastAsia="Times New Roman"/>
                <w:iCs/>
                <w:lang w:eastAsia="en-US"/>
              </w:rPr>
              <w:t>_05_01, DA_08_01, DA_09_01, DA_10_05, DA_7_23_32_01 and DA_35_37_01, DA_19_25_26_28_01.</w:t>
            </w:r>
          </w:p>
          <w:p w:rsidR="00502F27" w:rsidRPr="0074345C" w:rsidRDefault="00502F27" w:rsidP="00E00028">
            <w:pPr>
              <w:rPr>
                <w:rFonts w:eastAsia="Times New Roman"/>
                <w:lang w:eastAsia="en-US"/>
              </w:rPr>
            </w:pPr>
          </w:p>
        </w:tc>
      </w:tr>
      <w:tr w:rsidR="006376E7" w:rsidRPr="0074345C" w:rsidTr="00E00028">
        <w:trPr>
          <w:trHeight w:val="2664"/>
        </w:trPr>
        <w:tc>
          <w:tcPr>
            <w:tcW w:w="2376" w:type="dxa"/>
            <w:tcBorders>
              <w:bottom w:val="single" w:sz="4" w:space="0" w:color="auto"/>
            </w:tcBorders>
            <w:shd w:val="clear" w:color="auto" w:fill="auto"/>
          </w:tcPr>
          <w:p w:rsidR="00502F27" w:rsidRPr="0074345C" w:rsidRDefault="003260F8" w:rsidP="003260F8">
            <w:pPr>
              <w:keepNext/>
              <w:spacing w:before="240" w:after="60"/>
              <w:outlineLvl w:val="2"/>
              <w:rPr>
                <w:bCs/>
                <w:szCs w:val="26"/>
                <w:u w:val="single"/>
                <w:lang w:eastAsia="en-US"/>
              </w:rPr>
            </w:pPr>
            <w:r w:rsidRPr="0074345C">
              <w:rPr>
                <w:bCs/>
                <w:szCs w:val="26"/>
                <w:u w:val="single"/>
                <w:lang w:eastAsia="en-US"/>
              </w:rPr>
              <w:t>Breve descripción del proyecto</w:t>
            </w:r>
          </w:p>
        </w:tc>
        <w:tc>
          <w:tcPr>
            <w:tcW w:w="6912" w:type="dxa"/>
            <w:tcBorders>
              <w:bottom w:val="single" w:sz="4" w:space="0" w:color="auto"/>
            </w:tcBorders>
            <w:shd w:val="clear" w:color="auto" w:fill="auto"/>
          </w:tcPr>
          <w:p w:rsidR="003260F8" w:rsidRPr="0074345C" w:rsidRDefault="003260F8" w:rsidP="00E00028">
            <w:pPr>
              <w:rPr>
                <w:rFonts w:eastAsia="Times New Roman"/>
                <w:iCs/>
                <w:lang w:eastAsia="en-US"/>
              </w:rPr>
            </w:pPr>
          </w:p>
          <w:p w:rsidR="003260F8" w:rsidRPr="0074345C" w:rsidRDefault="003260F8" w:rsidP="003260F8">
            <w:pPr>
              <w:rPr>
                <w:rFonts w:eastAsia="Times New Roman"/>
                <w:lang w:eastAsia="en-US"/>
              </w:rPr>
            </w:pPr>
            <w:r w:rsidRPr="0074345C">
              <w:rPr>
                <w:rFonts w:eastAsia="Times New Roman"/>
                <w:lang w:eastAsia="en-US"/>
              </w:rPr>
              <w:t xml:space="preserve">Este </w:t>
            </w:r>
            <w:r w:rsidR="00193CE1" w:rsidRPr="0074345C">
              <w:rPr>
                <w:rFonts w:eastAsia="Times New Roman"/>
                <w:lang w:eastAsia="en-US"/>
              </w:rPr>
              <w:t xml:space="preserve">proyectos </w:t>
            </w:r>
            <w:r w:rsidRPr="0074345C">
              <w:rPr>
                <w:rFonts w:eastAsia="Times New Roman"/>
                <w:lang w:eastAsia="en-US"/>
              </w:rPr>
              <w:t>e refiere a la optimización de los resultados de la aplicación de ciertas recomendaciones de la Agenda de la OMPI para el Desarrollo.</w:t>
            </w:r>
            <w:r w:rsidR="00502F27" w:rsidRPr="0074345C">
              <w:rPr>
                <w:rFonts w:eastAsia="Times New Roman"/>
                <w:lang w:eastAsia="en-US"/>
              </w:rPr>
              <w:t xml:space="preserve">  </w:t>
            </w:r>
            <w:r w:rsidRPr="0074345C">
              <w:rPr>
                <w:rFonts w:eastAsia="Times New Roman"/>
                <w:lang w:eastAsia="en-US"/>
              </w:rPr>
              <w:t xml:space="preserve">Para ello, en este </w:t>
            </w:r>
            <w:r w:rsidR="00193CE1" w:rsidRPr="0074345C">
              <w:rPr>
                <w:rFonts w:eastAsia="Times New Roman"/>
                <w:lang w:eastAsia="en-US"/>
              </w:rPr>
              <w:t xml:space="preserve">proyectos </w:t>
            </w:r>
            <w:r w:rsidRPr="0074345C">
              <w:rPr>
                <w:rFonts w:eastAsia="Times New Roman"/>
                <w:lang w:eastAsia="en-US"/>
              </w:rPr>
              <w:t>e completan y consolidan, por una parte, los proyectos que ya han sido elaborados para las recomendaciones 10, 19, 25 y 32, y por otra parte, se ponen en práctica las recomendaciones 1, 11 y 13.</w:t>
            </w:r>
            <w:r w:rsidR="00502F27" w:rsidRPr="0074345C">
              <w:rPr>
                <w:rFonts w:eastAsia="Times New Roman"/>
                <w:lang w:eastAsia="en-US"/>
              </w:rPr>
              <w:t xml:space="preserve"> </w:t>
            </w:r>
          </w:p>
          <w:p w:rsidR="003260F8" w:rsidRPr="0074345C" w:rsidRDefault="003260F8" w:rsidP="00E00028">
            <w:pPr>
              <w:rPr>
                <w:rFonts w:eastAsia="Times New Roman"/>
                <w:iCs/>
                <w:lang w:eastAsia="en-US"/>
              </w:rPr>
            </w:pPr>
          </w:p>
          <w:p w:rsidR="003260F8" w:rsidRPr="0074345C" w:rsidRDefault="00333227" w:rsidP="00333227">
            <w:pPr>
              <w:rPr>
                <w:rFonts w:eastAsia="Times New Roman"/>
                <w:iCs/>
                <w:lang w:eastAsia="en-US"/>
              </w:rPr>
            </w:pPr>
            <w:r w:rsidRPr="0074345C">
              <w:rPr>
                <w:rFonts w:eastAsia="Times New Roman"/>
                <w:iCs/>
                <w:lang w:eastAsia="en-US"/>
              </w:rPr>
              <w:t>Con vistas a alcanzar estos objetivos, el presente proyecto tiene por objeto desarrollar los medios para canalizar los esfuerzos desplegados por los diferentes actores para promover la cooperación Sur-Sur en el ámbito de la propiedad intelectual.</w:t>
            </w:r>
            <w:r w:rsidRPr="0074345C">
              <w:t xml:space="preserve"> E</w:t>
            </w:r>
            <w:r w:rsidRPr="0074345C">
              <w:rPr>
                <w:rFonts w:eastAsia="Times New Roman"/>
                <w:iCs/>
                <w:lang w:eastAsia="en-US"/>
              </w:rPr>
              <w:t>l proyecto tiene por finalidad lograr resultados concretos en las siguientes esferas tanto en los países en desarrollo como en los PMA</w:t>
            </w:r>
            <w:r w:rsidR="00502F27" w:rsidRPr="0074345C">
              <w:rPr>
                <w:rFonts w:eastAsia="Times New Roman"/>
                <w:iCs/>
                <w:lang w:eastAsia="en-US"/>
              </w:rPr>
              <w:t>:</w:t>
            </w:r>
          </w:p>
          <w:p w:rsidR="003260F8" w:rsidRPr="0074345C" w:rsidRDefault="003260F8" w:rsidP="00E00028">
            <w:pPr>
              <w:rPr>
                <w:rFonts w:eastAsia="Times New Roman"/>
                <w:iCs/>
                <w:lang w:eastAsia="en-US"/>
              </w:rPr>
            </w:pPr>
          </w:p>
          <w:p w:rsidR="003260F8" w:rsidRPr="0074345C" w:rsidRDefault="003260F8" w:rsidP="003260F8">
            <w:pPr>
              <w:numPr>
                <w:ilvl w:val="0"/>
                <w:numId w:val="16"/>
              </w:numPr>
              <w:tabs>
                <w:tab w:val="clear" w:pos="567"/>
                <w:tab w:val="num" w:pos="1026"/>
              </w:tabs>
              <w:ind w:left="459"/>
              <w:rPr>
                <w:rFonts w:eastAsia="Times New Roman"/>
                <w:iCs/>
                <w:lang w:eastAsia="en-US"/>
              </w:rPr>
            </w:pPr>
            <w:r w:rsidRPr="0074345C">
              <w:rPr>
                <w:rFonts w:eastAsia="Times New Roman"/>
                <w:iCs/>
                <w:lang w:eastAsia="en-US"/>
              </w:rPr>
              <w:t>la promoción de la asistencia técnica y jurídica en materia de P.I. orientada a potenciar el desarrollo (recomendaciones 1 y 13);</w:t>
            </w:r>
          </w:p>
          <w:p w:rsidR="003260F8" w:rsidRPr="0074345C" w:rsidRDefault="003260F8" w:rsidP="003260F8">
            <w:pPr>
              <w:numPr>
                <w:ilvl w:val="0"/>
                <w:numId w:val="16"/>
              </w:numPr>
              <w:tabs>
                <w:tab w:val="clear" w:pos="567"/>
                <w:tab w:val="num" w:pos="1026"/>
              </w:tabs>
              <w:ind w:left="459"/>
              <w:rPr>
                <w:rFonts w:eastAsia="Times New Roman"/>
                <w:iCs/>
                <w:lang w:eastAsia="en-US"/>
              </w:rPr>
            </w:pPr>
            <w:r w:rsidRPr="0074345C">
              <w:rPr>
                <w:rFonts w:eastAsia="Times New Roman"/>
                <w:iCs/>
                <w:lang w:eastAsia="en-US"/>
              </w:rPr>
              <w:lastRenderedPageBreak/>
              <w:t>el fortalecimiento de las capacidades institucionales en materia de P.I. (recomendación 10);</w:t>
            </w:r>
            <w:r w:rsidR="00502F27" w:rsidRPr="0074345C">
              <w:rPr>
                <w:rFonts w:eastAsia="Times New Roman"/>
                <w:iCs/>
                <w:lang w:eastAsia="en-US"/>
              </w:rPr>
              <w:t xml:space="preserve"> </w:t>
            </w:r>
          </w:p>
          <w:p w:rsidR="003260F8" w:rsidRPr="0074345C" w:rsidRDefault="003260F8" w:rsidP="003260F8">
            <w:pPr>
              <w:numPr>
                <w:ilvl w:val="0"/>
                <w:numId w:val="16"/>
              </w:numPr>
              <w:tabs>
                <w:tab w:val="clear" w:pos="567"/>
                <w:tab w:val="num" w:pos="1026"/>
              </w:tabs>
              <w:ind w:left="459"/>
              <w:rPr>
                <w:rFonts w:eastAsia="Times New Roman"/>
                <w:iCs/>
                <w:lang w:eastAsia="en-US"/>
              </w:rPr>
            </w:pPr>
            <w:r w:rsidRPr="0074345C">
              <w:rPr>
                <w:rFonts w:eastAsia="Times New Roman"/>
                <w:iCs/>
                <w:lang w:eastAsia="en-US"/>
              </w:rPr>
              <w:t>el fortalecimiento de las capacidades nacionales en materia de protección de la innovación (recomendación 11);</w:t>
            </w:r>
          </w:p>
          <w:p w:rsidR="003260F8" w:rsidRPr="0074345C" w:rsidRDefault="003260F8" w:rsidP="003260F8">
            <w:pPr>
              <w:numPr>
                <w:ilvl w:val="0"/>
                <w:numId w:val="16"/>
              </w:numPr>
              <w:tabs>
                <w:tab w:val="clear" w:pos="567"/>
                <w:tab w:val="num" w:pos="1026"/>
              </w:tabs>
              <w:ind w:left="459"/>
              <w:rPr>
                <w:rFonts w:eastAsia="Times New Roman"/>
                <w:iCs/>
                <w:lang w:eastAsia="en-US"/>
              </w:rPr>
            </w:pPr>
            <w:r w:rsidRPr="0074345C">
              <w:rPr>
                <w:rFonts w:eastAsia="Times New Roman"/>
                <w:iCs/>
                <w:lang w:eastAsia="en-US"/>
              </w:rPr>
              <w:t>la facilitación del acceso y la divulgación de la información y la tecnología, así como la utilización de las flexibilidades previstas en materia de P.I. (recomendaciones 19 y 25);  y</w:t>
            </w:r>
          </w:p>
          <w:p w:rsidR="003260F8" w:rsidRPr="0074345C" w:rsidRDefault="003260F8" w:rsidP="003260F8">
            <w:pPr>
              <w:numPr>
                <w:ilvl w:val="0"/>
                <w:numId w:val="16"/>
              </w:numPr>
              <w:tabs>
                <w:tab w:val="clear" w:pos="567"/>
                <w:tab w:val="num" w:pos="1026"/>
              </w:tabs>
              <w:ind w:left="459"/>
              <w:rPr>
                <w:rFonts w:eastAsia="Times New Roman"/>
                <w:iCs/>
                <w:lang w:eastAsia="en-US"/>
              </w:rPr>
            </w:pPr>
            <w:r w:rsidRPr="0074345C">
              <w:rPr>
                <w:rFonts w:eastAsia="Times New Roman"/>
                <w:iCs/>
                <w:lang w:eastAsia="en-US"/>
              </w:rPr>
              <w:t>una mejor comprensión del vínculo entre la P.I. y las políticas relativas a la competencia (recomendación 32).</w:t>
            </w:r>
          </w:p>
          <w:p w:rsidR="00502F27" w:rsidRPr="0074345C" w:rsidRDefault="00502F27" w:rsidP="00E00028">
            <w:pPr>
              <w:rPr>
                <w:rFonts w:eastAsia="Times New Roman"/>
                <w:lang w:eastAsia="en-US"/>
              </w:rPr>
            </w:pP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484"/>
        </w:trPr>
        <w:tc>
          <w:tcPr>
            <w:tcW w:w="2376" w:type="dxa"/>
            <w:tcBorders>
              <w:top w:val="single" w:sz="4" w:space="0" w:color="auto"/>
              <w:right w:val="single" w:sz="6" w:space="0" w:color="auto"/>
            </w:tcBorders>
            <w:shd w:val="clear" w:color="auto" w:fill="auto"/>
          </w:tcPr>
          <w:p w:rsidR="00502F27" w:rsidRPr="0074345C" w:rsidRDefault="003260F8" w:rsidP="003260F8">
            <w:pPr>
              <w:keepNext/>
              <w:spacing w:before="240" w:after="60"/>
              <w:outlineLvl w:val="2"/>
              <w:rPr>
                <w:bCs/>
                <w:szCs w:val="26"/>
                <w:u w:val="single"/>
                <w:lang w:eastAsia="en-US"/>
              </w:rPr>
            </w:pPr>
            <w:r w:rsidRPr="0074345C">
              <w:rPr>
                <w:bCs/>
                <w:szCs w:val="26"/>
                <w:u w:val="single"/>
                <w:lang w:eastAsia="en-US"/>
              </w:rPr>
              <w:lastRenderedPageBreak/>
              <w:t>Director del Proyecto</w:t>
            </w:r>
          </w:p>
        </w:tc>
        <w:tc>
          <w:tcPr>
            <w:tcW w:w="6912" w:type="dxa"/>
            <w:tcBorders>
              <w:top w:val="single" w:sz="4" w:space="0" w:color="auto"/>
              <w:left w:val="single" w:sz="6" w:space="0" w:color="auto"/>
            </w:tcBorders>
            <w:vAlign w:val="center"/>
          </w:tcPr>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Sr. Alejandro Roca Campaña</w:t>
            </w:r>
          </w:p>
          <w:p w:rsidR="00502F27" w:rsidRPr="0074345C" w:rsidRDefault="00502F27" w:rsidP="00E00028">
            <w:pPr>
              <w:rPr>
                <w:rFonts w:eastAsia="Times New Roman"/>
                <w:iCs/>
                <w:lang w:eastAsia="en-US"/>
              </w:rPr>
            </w:pPr>
          </w:p>
        </w:tc>
      </w:tr>
      <w:tr w:rsidR="006376E7" w:rsidRPr="0074345C" w:rsidTr="00E00028">
        <w:trPr>
          <w:trHeight w:val="1165"/>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 xml:space="preserve">Vínculos con los resultados previstos en el presupuesto por </w:t>
            </w:r>
            <w:r w:rsidR="00AC0CD4" w:rsidRPr="0074345C">
              <w:rPr>
                <w:bCs/>
                <w:szCs w:val="26"/>
                <w:u w:val="single"/>
                <w:lang w:eastAsia="en-US"/>
              </w:rPr>
              <w:t>Programas</w:t>
            </w:r>
            <w:r w:rsidR="004B4F57" w:rsidRPr="0074345C">
              <w:rPr>
                <w:bCs/>
                <w:szCs w:val="26"/>
                <w:u w:val="single"/>
                <w:lang w:eastAsia="en-US"/>
              </w:rPr>
              <w:t xml:space="preserve"> 2012/13</w:t>
            </w:r>
          </w:p>
          <w:p w:rsidR="00502F27" w:rsidRPr="0074345C" w:rsidDel="00196374" w:rsidRDefault="00502F27" w:rsidP="00E00028">
            <w:pPr>
              <w:rPr>
                <w:bCs/>
                <w:szCs w:val="26"/>
                <w:u w:val="single"/>
                <w:lang w:eastAsia="en-US"/>
              </w:rPr>
            </w:pPr>
          </w:p>
        </w:tc>
        <w:tc>
          <w:tcPr>
            <w:tcW w:w="6912" w:type="dxa"/>
          </w:tcPr>
          <w:p w:rsidR="003260F8" w:rsidRPr="0074345C" w:rsidRDefault="003260F8" w:rsidP="00E00028">
            <w:pPr>
              <w:rPr>
                <w:rFonts w:eastAsia="Times New Roman"/>
                <w:iCs/>
                <w:lang w:eastAsia="en-US"/>
              </w:rPr>
            </w:pPr>
          </w:p>
          <w:p w:rsidR="003260F8" w:rsidRPr="0074345C" w:rsidRDefault="003260F8" w:rsidP="003260F8">
            <w:pPr>
              <w:autoSpaceDE w:val="0"/>
              <w:autoSpaceDN w:val="0"/>
              <w:adjustRightInd w:val="0"/>
              <w:rPr>
                <w:rFonts w:eastAsia="Times New Roman"/>
                <w:i/>
                <w:iCs/>
                <w:lang w:eastAsia="en-US"/>
              </w:rPr>
            </w:pPr>
            <w:r w:rsidRPr="0074345C">
              <w:rPr>
                <w:rFonts w:eastAsia="Times New Roman"/>
                <w:i/>
                <w:iCs/>
                <w:lang w:eastAsia="en-US"/>
              </w:rPr>
              <w:t>Resultado previsto III. 6</w:t>
            </w:r>
            <w:r w:rsidR="00502F27" w:rsidRPr="0074345C">
              <w:rPr>
                <w:rFonts w:eastAsia="Times New Roman"/>
                <w:i/>
                <w:iCs/>
                <w:lang w:eastAsia="en-US"/>
              </w:rPr>
              <w:t xml:space="preserve"> </w:t>
            </w:r>
          </w:p>
          <w:p w:rsidR="00502F27" w:rsidRPr="0074345C" w:rsidDel="00196374" w:rsidRDefault="003260F8" w:rsidP="003260F8">
            <w:pPr>
              <w:rPr>
                <w:rFonts w:eastAsia="Times New Roman"/>
                <w:iCs/>
                <w:lang w:eastAsia="en-US"/>
              </w:rPr>
            </w:pPr>
            <w:r w:rsidRPr="0074345C">
              <w:rPr>
                <w:rFonts w:eastAsia="Times New Roman"/>
                <w:iCs/>
                <w:lang w:eastAsia="en-US"/>
              </w:rPr>
              <w:t xml:space="preserve">Los principios de la Agenda para el Desarrollo siguen incorporándose en los </w:t>
            </w:r>
            <w:r w:rsidR="00AC0CD4" w:rsidRPr="0074345C">
              <w:rPr>
                <w:rFonts w:eastAsia="Times New Roman"/>
                <w:iCs/>
                <w:lang w:eastAsia="en-US"/>
              </w:rPr>
              <w:t>Programas</w:t>
            </w:r>
            <w:r w:rsidRPr="0074345C">
              <w:rPr>
                <w:rFonts w:eastAsia="Times New Roman"/>
                <w:iCs/>
                <w:lang w:eastAsia="en-US"/>
              </w:rPr>
              <w:t xml:space="preserve"> y actividades de la Organización.</w:t>
            </w:r>
          </w:p>
        </w:tc>
      </w:tr>
      <w:tr w:rsidR="006376E7" w:rsidRPr="0074345C" w:rsidTr="00E00028">
        <w:trPr>
          <w:trHeight w:val="1409"/>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Progreso en la ejecución del proyecto</w:t>
            </w:r>
          </w:p>
          <w:p w:rsidR="003260F8" w:rsidRPr="0074345C" w:rsidRDefault="003260F8" w:rsidP="00E00028">
            <w:pPr>
              <w:rPr>
                <w:rFonts w:eastAsia="Times New Roman"/>
                <w:lang w:eastAsia="en-US"/>
              </w:rPr>
            </w:pPr>
          </w:p>
          <w:p w:rsidR="00502F27" w:rsidRPr="0074345C" w:rsidRDefault="00502F27" w:rsidP="00E00028">
            <w:pPr>
              <w:rPr>
                <w:rFonts w:eastAsia="Times New Roman"/>
                <w:i/>
                <w:lang w:eastAsia="en-US"/>
              </w:rPr>
            </w:pPr>
          </w:p>
        </w:tc>
        <w:tc>
          <w:tcPr>
            <w:tcW w:w="6912" w:type="dxa"/>
          </w:tcPr>
          <w:p w:rsidR="003260F8" w:rsidRPr="0074345C" w:rsidRDefault="003260F8" w:rsidP="00E00028">
            <w:pPr>
              <w:rPr>
                <w:rFonts w:eastAsia="Times New Roman"/>
                <w:lang w:eastAsia="en-US"/>
              </w:rPr>
            </w:pPr>
          </w:p>
          <w:p w:rsidR="003260F8" w:rsidRPr="0074345C" w:rsidRDefault="00333227" w:rsidP="00E00028">
            <w:pPr>
              <w:rPr>
                <w:rFonts w:eastAsia="Times New Roman"/>
                <w:iCs/>
                <w:lang w:eastAsia="en-US"/>
              </w:rPr>
            </w:pPr>
            <w:r w:rsidRPr="0074345C">
              <w:rPr>
                <w:rFonts w:eastAsia="Times New Roman"/>
                <w:lang w:eastAsia="en-US"/>
              </w:rPr>
              <w:t>Con arreglo a los resultados previstos mencionados supra y las recomendaciones 1, 10, 11, 13, 19, 25 y 32 de la Agenda para el Desarrollo de la OMPI, el proyecto tiene por objeto afianzar la cooperación entre los países en desarrollo and PMA, mediante la determinación de los medios para canalizar los esfuerzos de cooperación Sur-Sur en el ámbito de la propiedad intelectual y el desarrollo, con miras a potenciar la capacidad de los países en desarrollo y los PMA de compartir sus conocimientos y experiencias con objeto de dar un mayor impulso a la asistencia técnica y jurídica en el ámbito de la propiedad intelectual orientada al desarrollo</w:t>
            </w:r>
            <w:r w:rsidR="00502F27" w:rsidRPr="0074345C">
              <w:rPr>
                <w:rFonts w:eastAsia="Times New Roman"/>
                <w:lang w:eastAsia="en-US"/>
              </w:rPr>
              <w:t xml:space="preserve">.  </w:t>
            </w:r>
            <w:r w:rsidRPr="0074345C">
              <w:rPr>
                <w:rFonts w:eastAsia="Times New Roman"/>
                <w:lang w:eastAsia="en-US"/>
              </w:rPr>
              <w:t>Teniendo en cuenta la estrategia de ejecución del proyecto y las actividades reseñadas en el informe de situación (</w:t>
            </w:r>
            <w:r w:rsidRPr="0074345C">
              <w:rPr>
                <w:rFonts w:eastAsia="Times New Roman"/>
                <w:iCs/>
                <w:lang w:eastAsia="en-US"/>
              </w:rPr>
              <w:t>CDIP/12/2)</w:t>
            </w:r>
            <w:r w:rsidRPr="0074345C">
              <w:rPr>
                <w:rFonts w:eastAsia="Times New Roman"/>
                <w:lang w:eastAsia="en-US"/>
              </w:rPr>
              <w:t>, se han registrado los siguientes avances en el periodo objeto de examen</w:t>
            </w:r>
            <w:r w:rsidR="00502F27" w:rsidRPr="0074345C">
              <w:rPr>
                <w:rFonts w:eastAsia="Times New Roman"/>
                <w:iCs/>
                <w:lang w:eastAsia="en-US"/>
              </w:rPr>
              <w:t xml:space="preserve">:  </w:t>
            </w:r>
          </w:p>
          <w:p w:rsidR="003260F8" w:rsidRPr="0074345C" w:rsidRDefault="003260F8" w:rsidP="00E00028">
            <w:pPr>
              <w:rPr>
                <w:rFonts w:eastAsia="Times New Roman"/>
                <w:iCs/>
                <w:lang w:eastAsia="en-US"/>
              </w:rPr>
            </w:pPr>
          </w:p>
          <w:p w:rsidR="003260F8" w:rsidRPr="0074345C" w:rsidRDefault="005348F1" w:rsidP="00E00028">
            <w:pPr>
              <w:numPr>
                <w:ilvl w:val="0"/>
                <w:numId w:val="14"/>
              </w:numPr>
              <w:rPr>
                <w:rFonts w:eastAsia="Times New Roman"/>
                <w:lang w:eastAsia="en-US"/>
              </w:rPr>
            </w:pPr>
            <w:r w:rsidRPr="0074345C">
              <w:rPr>
                <w:rFonts w:eastAsia="Times New Roman"/>
                <w:szCs w:val="22"/>
                <w:lang w:eastAsia="en-US"/>
              </w:rPr>
              <w:t xml:space="preserve">El 22 de noviembre de 2013, la </w:t>
            </w:r>
            <w:r w:rsidR="002034F4" w:rsidRPr="0074345C">
              <w:rPr>
                <w:rFonts w:eastAsia="Times New Roman"/>
                <w:szCs w:val="22"/>
                <w:lang w:eastAsia="en-US"/>
              </w:rPr>
              <w:t xml:space="preserve">Secretaría </w:t>
            </w:r>
            <w:r w:rsidR="00502F27" w:rsidRPr="0074345C">
              <w:rPr>
                <w:rFonts w:eastAsia="Times New Roman"/>
                <w:szCs w:val="22"/>
                <w:lang w:eastAsia="en-US"/>
              </w:rPr>
              <w:t>conv</w:t>
            </w:r>
            <w:r w:rsidRPr="0074345C">
              <w:rPr>
                <w:rFonts w:eastAsia="Times New Roman"/>
                <w:szCs w:val="22"/>
                <w:lang w:eastAsia="en-US"/>
              </w:rPr>
              <w:t>ocó en Ginebra</w:t>
            </w:r>
            <w:r w:rsidR="00502F27" w:rsidRPr="0074345C">
              <w:rPr>
                <w:rFonts w:eastAsia="Times New Roman"/>
                <w:szCs w:val="22"/>
                <w:lang w:eastAsia="en-US"/>
              </w:rPr>
              <w:t xml:space="preserve">, </w:t>
            </w:r>
            <w:r w:rsidR="007116D2" w:rsidRPr="0074345C">
              <w:rPr>
                <w:rFonts w:eastAsia="Times New Roman"/>
                <w:szCs w:val="22"/>
                <w:lang w:eastAsia="en-US"/>
              </w:rPr>
              <w:t>en paralelo a</w:t>
            </w:r>
            <w:r w:rsidR="009312E0" w:rsidRPr="0074345C">
              <w:rPr>
                <w:rFonts w:eastAsia="Times New Roman"/>
                <w:szCs w:val="22"/>
                <w:lang w:eastAsia="en-US"/>
              </w:rPr>
              <w:t xml:space="preserve"> l</w:t>
            </w:r>
            <w:r w:rsidRPr="0074345C">
              <w:rPr>
                <w:rFonts w:eastAsia="Times New Roman"/>
                <w:szCs w:val="22"/>
                <w:lang w:eastAsia="en-US"/>
              </w:rPr>
              <w:t xml:space="preserve">a décimo segunda sesión del </w:t>
            </w:r>
            <w:r w:rsidR="00502F27" w:rsidRPr="0074345C">
              <w:rPr>
                <w:rFonts w:eastAsia="Times New Roman"/>
                <w:szCs w:val="22"/>
                <w:lang w:eastAsia="en-US"/>
              </w:rPr>
              <w:t>CDIP</w:t>
            </w:r>
            <w:r w:rsidRPr="0074345C">
              <w:rPr>
                <w:rFonts w:eastAsia="Times New Roman"/>
                <w:szCs w:val="22"/>
                <w:lang w:eastAsia="en-US"/>
              </w:rPr>
              <w:t>, como se acordó con los Coordinadores de grupo</w:t>
            </w:r>
            <w:r w:rsidR="00502F27" w:rsidRPr="0074345C">
              <w:rPr>
                <w:rFonts w:eastAsia="Times New Roman"/>
                <w:szCs w:val="22"/>
                <w:lang w:eastAsia="en-US"/>
              </w:rPr>
              <w:t xml:space="preserve">, </w:t>
            </w:r>
            <w:r w:rsidRPr="0074345C">
              <w:rPr>
                <w:rFonts w:eastAsia="Times New Roman"/>
                <w:szCs w:val="22"/>
                <w:lang w:eastAsia="en-US"/>
              </w:rPr>
              <w:t xml:space="preserve">la </w:t>
            </w:r>
            <w:r w:rsidRPr="0074345C">
              <w:rPr>
                <w:rFonts w:eastAsia="Times New Roman"/>
                <w:i/>
                <w:szCs w:val="22"/>
                <w:lang w:eastAsia="en-US"/>
              </w:rPr>
              <w:t>Segunda Conferencia Anual sobre Cooperación Sur-Sur sobre P.I. y Desarrollo</w:t>
            </w:r>
            <w:r w:rsidR="00502F27" w:rsidRPr="0074345C">
              <w:rPr>
                <w:rFonts w:eastAsia="Times New Roman"/>
                <w:szCs w:val="22"/>
                <w:lang w:eastAsia="en-US"/>
              </w:rPr>
              <w:t xml:space="preserve">.  </w:t>
            </w:r>
            <w:r w:rsidRPr="0074345C">
              <w:rPr>
                <w:rFonts w:eastAsia="Times New Roman"/>
                <w:szCs w:val="22"/>
                <w:lang w:eastAsia="en-US"/>
              </w:rPr>
              <w:t>Abierta a la participación de responsables de políticas, funcionarios gubernamentales  y representantes de Oficinas de P.I. de países en desarrollo</w:t>
            </w:r>
            <w:r w:rsidR="00502F27" w:rsidRPr="0074345C">
              <w:rPr>
                <w:rFonts w:eastAsia="Times New Roman"/>
                <w:szCs w:val="22"/>
                <w:lang w:eastAsia="en-US"/>
              </w:rPr>
              <w:t xml:space="preserve">, </w:t>
            </w:r>
            <w:r w:rsidRPr="0074345C">
              <w:rPr>
                <w:rFonts w:eastAsia="Times New Roman"/>
                <w:szCs w:val="22"/>
                <w:lang w:eastAsia="en-US"/>
              </w:rPr>
              <w:t>PMA y</w:t>
            </w:r>
            <w:r w:rsidR="007116D2" w:rsidRPr="0074345C">
              <w:rPr>
                <w:rFonts w:eastAsia="Times New Roman"/>
                <w:szCs w:val="22"/>
                <w:lang w:eastAsia="en-US"/>
              </w:rPr>
              <w:t xml:space="preserve"> otros</w:t>
            </w:r>
            <w:r w:rsidRPr="0074345C">
              <w:rPr>
                <w:rFonts w:eastAsia="Times New Roman"/>
                <w:szCs w:val="22"/>
                <w:lang w:eastAsia="en-US"/>
              </w:rPr>
              <w:t xml:space="preserve"> </w:t>
            </w:r>
            <w:r w:rsidR="00193CE1" w:rsidRPr="0074345C">
              <w:rPr>
                <w:rFonts w:eastAsia="Times New Roman"/>
                <w:szCs w:val="22"/>
                <w:lang w:eastAsia="en-US"/>
              </w:rPr>
              <w:t>Estados Miembros</w:t>
            </w:r>
            <w:r w:rsidRPr="0074345C">
              <w:rPr>
                <w:rFonts w:eastAsia="Times New Roman"/>
                <w:szCs w:val="22"/>
                <w:lang w:eastAsia="en-US"/>
              </w:rPr>
              <w:t xml:space="preserve"> interesados</w:t>
            </w:r>
            <w:r w:rsidR="00502F27" w:rsidRPr="0074345C">
              <w:rPr>
                <w:rFonts w:eastAsia="Times New Roman"/>
                <w:szCs w:val="22"/>
                <w:lang w:eastAsia="en-US"/>
              </w:rPr>
              <w:t xml:space="preserve">, </w:t>
            </w:r>
            <w:r w:rsidRPr="0074345C">
              <w:rPr>
                <w:rFonts w:eastAsia="Times New Roman"/>
                <w:szCs w:val="22"/>
                <w:lang w:eastAsia="en-US"/>
              </w:rPr>
              <w:t>incluidos los representantes de la organizaciones gubernamentales y no gubernamentales regionales e internacionales, la Conferencia permitió</w:t>
            </w:r>
            <w:r w:rsidR="00502F27" w:rsidRPr="0074345C">
              <w:rPr>
                <w:rFonts w:eastAsia="Times New Roman"/>
                <w:szCs w:val="22"/>
                <w:lang w:eastAsia="en-US"/>
              </w:rPr>
              <w:t xml:space="preserve"> a) </w:t>
            </w:r>
            <w:r w:rsidRPr="0074345C">
              <w:rPr>
                <w:rFonts w:eastAsia="Times New Roman"/>
                <w:szCs w:val="22"/>
                <w:lang w:eastAsia="en-US"/>
              </w:rPr>
              <w:t xml:space="preserve">examinar los resultados de la </w:t>
            </w:r>
            <w:r w:rsidRPr="0074345C">
              <w:rPr>
                <w:rFonts w:eastAsia="Times New Roman"/>
                <w:i/>
                <w:szCs w:val="22"/>
                <w:lang w:eastAsia="en-US"/>
              </w:rPr>
              <w:t>Segunda Reunión Interregional de la OMPI sobre la Cooperación Sur-Sur en materia de Patentes, Marcas, Indicaciones Geográficas, Dibujos y Modelos Industriales y Observancia</w:t>
            </w:r>
            <w:r w:rsidRPr="0074345C">
              <w:rPr>
                <w:rFonts w:eastAsia="Times New Roman"/>
                <w:szCs w:val="22"/>
                <w:lang w:eastAsia="en-US"/>
              </w:rPr>
              <w:t xml:space="preserve"> celebrada en El Cairo, República Árabe de Egipto, del 6 al 8 de mayo de 2013, y </w:t>
            </w:r>
            <w:r w:rsidR="00502F27" w:rsidRPr="0074345C">
              <w:rPr>
                <w:szCs w:val="22"/>
              </w:rPr>
              <w:t xml:space="preserve">b) </w:t>
            </w:r>
            <w:r w:rsidR="003272C2" w:rsidRPr="0074345C">
              <w:rPr>
                <w:szCs w:val="22"/>
              </w:rPr>
              <w:t xml:space="preserve">debatir sobre el futuro del proyecto sobre la cooperación </w:t>
            </w:r>
            <w:r w:rsidR="00502F27" w:rsidRPr="0074345C">
              <w:rPr>
                <w:szCs w:val="22"/>
              </w:rPr>
              <w:t>S</w:t>
            </w:r>
            <w:r w:rsidR="003272C2" w:rsidRPr="0074345C">
              <w:rPr>
                <w:szCs w:val="22"/>
              </w:rPr>
              <w:t>ur</w:t>
            </w:r>
            <w:r w:rsidR="00502F27" w:rsidRPr="0074345C">
              <w:rPr>
                <w:szCs w:val="22"/>
              </w:rPr>
              <w:t>-S</w:t>
            </w:r>
            <w:r w:rsidR="003272C2" w:rsidRPr="0074345C">
              <w:rPr>
                <w:szCs w:val="22"/>
              </w:rPr>
              <w:t>ur</w:t>
            </w:r>
            <w:r w:rsidR="00502F27" w:rsidRPr="0074345C">
              <w:rPr>
                <w:szCs w:val="22"/>
              </w:rPr>
              <w:t xml:space="preserve">.  </w:t>
            </w:r>
            <w:r w:rsidR="003272C2" w:rsidRPr="0074345C">
              <w:rPr>
                <w:szCs w:val="22"/>
              </w:rPr>
              <w:t>La Conferencia</w:t>
            </w:r>
            <w:r w:rsidR="007116D2" w:rsidRPr="0074345C">
              <w:rPr>
                <w:szCs w:val="22"/>
              </w:rPr>
              <w:t xml:space="preserve"> contó con la asistencia de 1</w:t>
            </w:r>
            <w:r w:rsidR="00502F27" w:rsidRPr="0074345C">
              <w:rPr>
                <w:szCs w:val="22"/>
              </w:rPr>
              <w:t>19 participant</w:t>
            </w:r>
            <w:r w:rsidR="003272C2" w:rsidRPr="0074345C">
              <w:rPr>
                <w:szCs w:val="22"/>
              </w:rPr>
              <w:t>e</w:t>
            </w:r>
            <w:r w:rsidR="00502F27" w:rsidRPr="0074345C">
              <w:rPr>
                <w:szCs w:val="22"/>
              </w:rPr>
              <w:t xml:space="preserve">s, </w:t>
            </w:r>
            <w:r w:rsidR="003272C2" w:rsidRPr="0074345C">
              <w:rPr>
                <w:szCs w:val="22"/>
              </w:rPr>
              <w:t xml:space="preserve">entre </w:t>
            </w:r>
            <w:r w:rsidR="00972C15" w:rsidRPr="0074345C">
              <w:rPr>
                <w:szCs w:val="22"/>
              </w:rPr>
              <w:t>los</w:t>
            </w:r>
            <w:r w:rsidR="003272C2" w:rsidRPr="0074345C">
              <w:rPr>
                <w:szCs w:val="22"/>
              </w:rPr>
              <w:t xml:space="preserve"> </w:t>
            </w:r>
            <w:r w:rsidR="00972C15" w:rsidRPr="0074345C">
              <w:rPr>
                <w:szCs w:val="22"/>
              </w:rPr>
              <w:t>cuales</w:t>
            </w:r>
            <w:r w:rsidR="003272C2" w:rsidRPr="0074345C">
              <w:rPr>
                <w:szCs w:val="22"/>
              </w:rPr>
              <w:t xml:space="preserve"> </w:t>
            </w:r>
            <w:r w:rsidR="00972C15" w:rsidRPr="0074345C">
              <w:rPr>
                <w:szCs w:val="22"/>
              </w:rPr>
              <w:t>había</w:t>
            </w:r>
            <w:r w:rsidR="003272C2" w:rsidRPr="0074345C">
              <w:rPr>
                <w:szCs w:val="22"/>
              </w:rPr>
              <w:t xml:space="preserve"> 7</w:t>
            </w:r>
            <w:r w:rsidR="00502F27" w:rsidRPr="0074345C">
              <w:rPr>
                <w:szCs w:val="22"/>
              </w:rPr>
              <w:t>5 representa</w:t>
            </w:r>
            <w:r w:rsidR="003272C2" w:rsidRPr="0074345C">
              <w:rPr>
                <w:szCs w:val="22"/>
              </w:rPr>
              <w:t xml:space="preserve">ntes de </w:t>
            </w:r>
            <w:r w:rsidR="00502F27" w:rsidRPr="0074345C">
              <w:rPr>
                <w:szCs w:val="22"/>
              </w:rPr>
              <w:t xml:space="preserve">48 </w:t>
            </w:r>
            <w:r w:rsidR="002034F4" w:rsidRPr="0074345C">
              <w:rPr>
                <w:szCs w:val="22"/>
              </w:rPr>
              <w:t>países</w:t>
            </w:r>
            <w:r w:rsidR="00502F27" w:rsidRPr="0074345C">
              <w:rPr>
                <w:szCs w:val="22"/>
              </w:rPr>
              <w:t xml:space="preserve"> </w:t>
            </w:r>
            <w:r w:rsidR="003272C2" w:rsidRPr="0074345C">
              <w:rPr>
                <w:szCs w:val="22"/>
              </w:rPr>
              <w:t>en desarrollo y PMA</w:t>
            </w:r>
            <w:r w:rsidR="00502F27" w:rsidRPr="0074345C">
              <w:rPr>
                <w:szCs w:val="22"/>
              </w:rPr>
              <w:t>, 20 representa</w:t>
            </w:r>
            <w:r w:rsidR="003272C2" w:rsidRPr="0074345C">
              <w:rPr>
                <w:szCs w:val="22"/>
              </w:rPr>
              <w:t xml:space="preserve">ntes de 12 </w:t>
            </w:r>
            <w:r w:rsidR="002034F4" w:rsidRPr="0074345C">
              <w:rPr>
                <w:szCs w:val="22"/>
              </w:rPr>
              <w:t>países</w:t>
            </w:r>
            <w:r w:rsidR="003272C2" w:rsidRPr="0074345C">
              <w:rPr>
                <w:szCs w:val="22"/>
              </w:rPr>
              <w:t xml:space="preserve"> desarrollados</w:t>
            </w:r>
            <w:r w:rsidR="00502F27" w:rsidRPr="0074345C">
              <w:rPr>
                <w:szCs w:val="22"/>
              </w:rPr>
              <w:t xml:space="preserve">, 13 </w:t>
            </w:r>
            <w:r w:rsidR="00972C15" w:rsidRPr="0074345C">
              <w:rPr>
                <w:szCs w:val="22"/>
              </w:rPr>
              <w:t>representantes</w:t>
            </w:r>
            <w:r w:rsidR="003272C2" w:rsidRPr="0074345C">
              <w:rPr>
                <w:szCs w:val="22"/>
              </w:rPr>
              <w:t xml:space="preserve"> de </w:t>
            </w:r>
            <w:r w:rsidR="000723D2" w:rsidRPr="0074345C">
              <w:rPr>
                <w:szCs w:val="22"/>
              </w:rPr>
              <w:t>7</w:t>
            </w:r>
            <w:r w:rsidR="003272C2" w:rsidRPr="0074345C">
              <w:rPr>
                <w:szCs w:val="22"/>
              </w:rPr>
              <w:t xml:space="preserve"> organizaciones gubernamentales </w:t>
            </w:r>
            <w:r w:rsidR="00972C15" w:rsidRPr="0074345C">
              <w:rPr>
                <w:szCs w:val="22"/>
              </w:rPr>
              <w:t>internacionales</w:t>
            </w:r>
            <w:r w:rsidR="00502F27" w:rsidRPr="0074345C">
              <w:rPr>
                <w:szCs w:val="22"/>
              </w:rPr>
              <w:t xml:space="preserve">, </w:t>
            </w:r>
            <w:r w:rsidR="003272C2" w:rsidRPr="0074345C">
              <w:rPr>
                <w:szCs w:val="22"/>
              </w:rPr>
              <w:t xml:space="preserve">y </w:t>
            </w:r>
            <w:r w:rsidR="000723D2" w:rsidRPr="0074345C">
              <w:rPr>
                <w:szCs w:val="22"/>
              </w:rPr>
              <w:t xml:space="preserve">7 </w:t>
            </w:r>
            <w:r w:rsidR="00502F27" w:rsidRPr="0074345C">
              <w:rPr>
                <w:szCs w:val="22"/>
              </w:rPr>
              <w:lastRenderedPageBreak/>
              <w:t>representa</w:t>
            </w:r>
            <w:r w:rsidR="003272C2" w:rsidRPr="0074345C">
              <w:rPr>
                <w:szCs w:val="22"/>
              </w:rPr>
              <w:t xml:space="preserve">ntes de </w:t>
            </w:r>
            <w:r w:rsidR="000723D2" w:rsidRPr="0074345C">
              <w:rPr>
                <w:szCs w:val="22"/>
              </w:rPr>
              <w:t>6</w:t>
            </w:r>
            <w:r w:rsidR="003272C2" w:rsidRPr="0074345C">
              <w:rPr>
                <w:szCs w:val="22"/>
              </w:rPr>
              <w:t xml:space="preserve"> </w:t>
            </w:r>
            <w:r w:rsidR="00B46E3A" w:rsidRPr="0074345C">
              <w:rPr>
                <w:szCs w:val="22"/>
              </w:rPr>
              <w:t>organizaciones no gubernamentales</w:t>
            </w:r>
            <w:r w:rsidR="00502F27" w:rsidRPr="0074345C">
              <w:rPr>
                <w:szCs w:val="22"/>
              </w:rPr>
              <w:t xml:space="preserve">. </w:t>
            </w:r>
            <w:r w:rsidR="003272C2" w:rsidRPr="0074345C">
              <w:rPr>
                <w:szCs w:val="22"/>
              </w:rPr>
              <w:t>Los comentarios recibidos conf</w:t>
            </w:r>
            <w:r w:rsidR="00972C15" w:rsidRPr="0074345C">
              <w:rPr>
                <w:szCs w:val="22"/>
              </w:rPr>
              <w:t>irmaron</w:t>
            </w:r>
            <w:r w:rsidR="003272C2" w:rsidRPr="0074345C">
              <w:rPr>
                <w:szCs w:val="22"/>
              </w:rPr>
              <w:t xml:space="preserve"> que la conferencia cumplió en gran medida las expectativas y sus objetivos previstos</w:t>
            </w:r>
            <w:r w:rsidR="00502F27" w:rsidRPr="0074345C">
              <w:rPr>
                <w:szCs w:val="22"/>
              </w:rPr>
              <w:t xml:space="preserve"> (</w:t>
            </w:r>
            <w:r w:rsidR="00972C15" w:rsidRPr="0074345C">
              <w:rPr>
                <w:szCs w:val="22"/>
              </w:rPr>
              <w:t>más</w:t>
            </w:r>
            <w:r w:rsidR="003272C2" w:rsidRPr="0074345C">
              <w:rPr>
                <w:szCs w:val="22"/>
              </w:rPr>
              <w:t xml:space="preserve"> del 92% de los </w:t>
            </w:r>
            <w:r w:rsidR="00972C15" w:rsidRPr="0074345C">
              <w:rPr>
                <w:szCs w:val="22"/>
              </w:rPr>
              <w:t>entrevistados</w:t>
            </w:r>
            <w:r w:rsidR="003272C2" w:rsidRPr="0074345C">
              <w:rPr>
                <w:szCs w:val="22"/>
              </w:rPr>
              <w:t xml:space="preserve"> calificaron la conferencia de buena, muy buena o excelente</w:t>
            </w:r>
            <w:r w:rsidR="00502F27" w:rsidRPr="0074345C">
              <w:rPr>
                <w:szCs w:val="22"/>
              </w:rPr>
              <w:t xml:space="preserve">).  </w:t>
            </w:r>
            <w:r w:rsidR="003272C2" w:rsidRPr="0074345C">
              <w:rPr>
                <w:szCs w:val="22"/>
              </w:rPr>
              <w:t xml:space="preserve">Transmitida en directo por internet para asegurar el acceso a un </w:t>
            </w:r>
            <w:r w:rsidR="00972C15" w:rsidRPr="0074345C">
              <w:rPr>
                <w:szCs w:val="22"/>
              </w:rPr>
              <w:t>público</w:t>
            </w:r>
            <w:r w:rsidR="003272C2" w:rsidRPr="0074345C">
              <w:rPr>
                <w:szCs w:val="22"/>
              </w:rPr>
              <w:t xml:space="preserve"> </w:t>
            </w:r>
            <w:r w:rsidR="00972C15" w:rsidRPr="0074345C">
              <w:rPr>
                <w:szCs w:val="22"/>
              </w:rPr>
              <w:t>más</w:t>
            </w:r>
            <w:r w:rsidR="003272C2" w:rsidRPr="0074345C">
              <w:rPr>
                <w:szCs w:val="22"/>
              </w:rPr>
              <w:t xml:space="preserve"> amplio</w:t>
            </w:r>
            <w:r w:rsidR="00502F27" w:rsidRPr="0074345C">
              <w:rPr>
                <w:szCs w:val="22"/>
              </w:rPr>
              <w:t xml:space="preserve">, </w:t>
            </w:r>
            <w:r w:rsidR="003272C2" w:rsidRPr="0074345C">
              <w:rPr>
                <w:szCs w:val="22"/>
              </w:rPr>
              <w:t xml:space="preserve">la </w:t>
            </w:r>
            <w:r w:rsidR="00972C15" w:rsidRPr="0074345C">
              <w:rPr>
                <w:szCs w:val="22"/>
              </w:rPr>
              <w:t>conferencia</w:t>
            </w:r>
            <w:r w:rsidR="003272C2" w:rsidRPr="0074345C">
              <w:rPr>
                <w:szCs w:val="22"/>
              </w:rPr>
              <w:t xml:space="preserve"> </w:t>
            </w:r>
            <w:r w:rsidR="00972C15" w:rsidRPr="0074345C">
              <w:rPr>
                <w:szCs w:val="22"/>
              </w:rPr>
              <w:t>sirvió</w:t>
            </w:r>
            <w:r w:rsidR="003272C2" w:rsidRPr="0074345C">
              <w:rPr>
                <w:szCs w:val="22"/>
              </w:rPr>
              <w:t xml:space="preserve"> de plataforma para sensibilizar sobre el valor de la </w:t>
            </w:r>
            <w:r w:rsidR="00972C15" w:rsidRPr="0074345C">
              <w:rPr>
                <w:szCs w:val="22"/>
              </w:rPr>
              <w:t>cooperación</w:t>
            </w:r>
            <w:r w:rsidR="003272C2" w:rsidRPr="0074345C">
              <w:rPr>
                <w:szCs w:val="22"/>
              </w:rPr>
              <w:t xml:space="preserve"> Sur</w:t>
            </w:r>
            <w:r w:rsidR="00502F27" w:rsidRPr="0074345C">
              <w:rPr>
                <w:szCs w:val="22"/>
              </w:rPr>
              <w:t>-S</w:t>
            </w:r>
            <w:r w:rsidR="003272C2" w:rsidRPr="0074345C">
              <w:rPr>
                <w:szCs w:val="22"/>
              </w:rPr>
              <w:t xml:space="preserve">ur en la esfera de la P.I. sobre la base de los resultados de la </w:t>
            </w:r>
            <w:r w:rsidR="003272C2" w:rsidRPr="0074345C">
              <w:rPr>
                <w:rFonts w:eastAsia="Times New Roman"/>
                <w:i/>
                <w:szCs w:val="22"/>
                <w:lang w:eastAsia="en-US"/>
              </w:rPr>
              <w:t xml:space="preserve">Segunda Reunión Interregional de la OMPI sobre la Cooperación Sur-Sur, y </w:t>
            </w:r>
            <w:r w:rsidR="003272C2" w:rsidRPr="0074345C">
              <w:rPr>
                <w:szCs w:val="22"/>
              </w:rPr>
              <w:t xml:space="preserve">ofreció a los </w:t>
            </w:r>
            <w:r w:rsidR="00193CE1" w:rsidRPr="0074345C">
              <w:rPr>
                <w:szCs w:val="22"/>
              </w:rPr>
              <w:t>Estados Miembros</w:t>
            </w:r>
            <w:r w:rsidR="00502F27" w:rsidRPr="0074345C">
              <w:rPr>
                <w:szCs w:val="22"/>
              </w:rPr>
              <w:t xml:space="preserve"> </w:t>
            </w:r>
            <w:r w:rsidR="003272C2" w:rsidRPr="0074345C">
              <w:rPr>
                <w:szCs w:val="22"/>
              </w:rPr>
              <w:t>la oportunidad de intercambiar opiniones e ideas sobre cómo hacer avanzar el proceso</w:t>
            </w:r>
            <w:r w:rsidR="00502F27" w:rsidRPr="0074345C">
              <w:rPr>
                <w:szCs w:val="22"/>
              </w:rPr>
              <w:t xml:space="preserve">. </w:t>
            </w:r>
            <w:r w:rsidR="003272C2" w:rsidRPr="0074345C">
              <w:rPr>
                <w:szCs w:val="22"/>
              </w:rPr>
              <w:t xml:space="preserve">Las presentaciones, las </w:t>
            </w:r>
            <w:r w:rsidR="00972C15" w:rsidRPr="0074345C">
              <w:rPr>
                <w:szCs w:val="22"/>
              </w:rPr>
              <w:t>grabaciones</w:t>
            </w:r>
            <w:r w:rsidR="003272C2" w:rsidRPr="0074345C">
              <w:rPr>
                <w:szCs w:val="22"/>
              </w:rPr>
              <w:t xml:space="preserve"> video, el informe detallado y el informe resumido de la conferencia se pueden </w:t>
            </w:r>
            <w:r w:rsidR="00972C15" w:rsidRPr="0074345C">
              <w:rPr>
                <w:szCs w:val="22"/>
              </w:rPr>
              <w:t>consultar</w:t>
            </w:r>
            <w:r w:rsidR="003272C2" w:rsidRPr="0074345C">
              <w:rPr>
                <w:szCs w:val="22"/>
              </w:rPr>
              <w:t xml:space="preserve"> en el </w:t>
            </w:r>
            <w:r w:rsidR="00972C15" w:rsidRPr="0074345C">
              <w:rPr>
                <w:szCs w:val="22"/>
              </w:rPr>
              <w:t xml:space="preserve">sitio web de la </w:t>
            </w:r>
            <w:r w:rsidR="00193CE1" w:rsidRPr="0074345C">
              <w:rPr>
                <w:szCs w:val="22"/>
              </w:rPr>
              <w:t>OMPI</w:t>
            </w:r>
            <w:r w:rsidR="00972C15" w:rsidRPr="0074345C">
              <w:rPr>
                <w:szCs w:val="22"/>
              </w:rPr>
              <w:t xml:space="preserve"> en:</w:t>
            </w:r>
            <w:r w:rsidR="00502F27" w:rsidRPr="0074345C">
              <w:rPr>
                <w:szCs w:val="22"/>
              </w:rPr>
              <w:t xml:space="preserve"> (</w:t>
            </w:r>
            <w:hyperlink r:id="rId53" w:history="1">
              <w:r w:rsidR="007116D2" w:rsidRPr="0074345C">
                <w:rPr>
                  <w:rStyle w:val="Hyperlink"/>
                  <w:color w:val="auto"/>
                  <w:szCs w:val="22"/>
                </w:rPr>
                <w:t>http://www.wipo.int/meetings/es/details.jsp?meeting_id=30462</w:t>
              </w:r>
            </w:hyperlink>
            <w:r w:rsidR="007116D2" w:rsidRPr="0074345C">
              <w:rPr>
                <w:szCs w:val="22"/>
              </w:rPr>
              <w:t>).</w:t>
            </w:r>
          </w:p>
          <w:p w:rsidR="007116D2" w:rsidRPr="0074345C" w:rsidRDefault="007116D2" w:rsidP="007116D2">
            <w:pPr>
              <w:rPr>
                <w:rFonts w:eastAsia="Times New Roman"/>
                <w:lang w:eastAsia="en-US"/>
              </w:rPr>
            </w:pPr>
          </w:p>
          <w:p w:rsidR="003260F8" w:rsidRPr="0074345C" w:rsidRDefault="003260F8" w:rsidP="00E00028">
            <w:pPr>
              <w:rPr>
                <w:rFonts w:eastAsia="Times New Roman"/>
                <w:lang w:eastAsia="en-US"/>
              </w:rPr>
            </w:pPr>
          </w:p>
          <w:p w:rsidR="003260F8" w:rsidRPr="0074345C" w:rsidRDefault="00972C15" w:rsidP="00972C15">
            <w:pPr>
              <w:pStyle w:val="ListParagraph"/>
              <w:numPr>
                <w:ilvl w:val="0"/>
                <w:numId w:val="14"/>
              </w:numPr>
              <w:contextualSpacing w:val="0"/>
              <w:rPr>
                <w:lang w:val="es-ES"/>
              </w:rPr>
            </w:pPr>
            <w:r w:rsidRPr="0074345C">
              <w:rPr>
                <w:lang w:val="es-ES"/>
              </w:rPr>
              <w:t>Durante el período objeto de examen</w:t>
            </w:r>
            <w:r w:rsidR="00502F27" w:rsidRPr="0074345C">
              <w:rPr>
                <w:lang w:val="es-ES"/>
              </w:rPr>
              <w:t xml:space="preserve">, </w:t>
            </w:r>
            <w:r w:rsidRPr="0074345C">
              <w:rPr>
                <w:lang w:val="es-ES"/>
              </w:rPr>
              <w:t>l</w:t>
            </w:r>
            <w:r w:rsidR="002034F4" w:rsidRPr="0074345C">
              <w:rPr>
                <w:lang w:val="es-ES"/>
              </w:rPr>
              <w:t xml:space="preserve">a Secretaría </w:t>
            </w:r>
            <w:r w:rsidRPr="0074345C">
              <w:rPr>
                <w:lang w:val="es-ES"/>
              </w:rPr>
              <w:t xml:space="preserve">siguió desarrollando la plataforma y las herramientas </w:t>
            </w:r>
            <w:r w:rsidR="009312E0" w:rsidRPr="0074345C">
              <w:rPr>
                <w:lang w:val="es-ES"/>
              </w:rPr>
              <w:t>web de</w:t>
            </w:r>
            <w:r w:rsidRPr="0074345C">
              <w:rPr>
                <w:lang w:val="es-ES"/>
              </w:rPr>
              <w:t xml:space="preserve"> cooperación Sur-Sur</w:t>
            </w:r>
            <w:r w:rsidR="00502F27" w:rsidRPr="0074345C">
              <w:rPr>
                <w:lang w:val="es-ES"/>
              </w:rPr>
              <w:t xml:space="preserve">, </w:t>
            </w:r>
            <w:r w:rsidRPr="0074345C">
              <w:rPr>
                <w:lang w:val="es-ES"/>
              </w:rPr>
              <w:t>en particular mediante la introducción de funcionalidades Sur</w:t>
            </w:r>
            <w:r w:rsidR="00502F27" w:rsidRPr="0074345C">
              <w:rPr>
                <w:lang w:val="es-ES"/>
              </w:rPr>
              <w:t>-S</w:t>
            </w:r>
            <w:r w:rsidRPr="0074345C">
              <w:rPr>
                <w:lang w:val="es-ES"/>
              </w:rPr>
              <w:t>ur en la base de datos de asistencia técnica en materia de P.I</w:t>
            </w:r>
            <w:proofErr w:type="gramStart"/>
            <w:r w:rsidRPr="0074345C">
              <w:rPr>
                <w:lang w:val="es-ES"/>
              </w:rPr>
              <w:t>.(</w:t>
            </w:r>
            <w:proofErr w:type="gramEnd"/>
            <w:r w:rsidRPr="0074345C">
              <w:rPr>
                <w:lang w:val="es-ES"/>
              </w:rPr>
              <w:t xml:space="preserve">IP-TAD), la base de datos de vinculación para atender las necesidades de desarrollo en materia de P.I.(IP-DMD) y la lista de consultores de la </w:t>
            </w:r>
            <w:r w:rsidR="00193CE1" w:rsidRPr="0074345C">
              <w:rPr>
                <w:lang w:val="es-ES"/>
              </w:rPr>
              <w:t xml:space="preserve">OMPI </w:t>
            </w:r>
            <w:r w:rsidRPr="0074345C">
              <w:rPr>
                <w:lang w:val="es-ES"/>
              </w:rPr>
              <w:t>(ROC)</w:t>
            </w:r>
            <w:r w:rsidR="00502F27" w:rsidRPr="0074345C">
              <w:rPr>
                <w:lang w:val="es-ES"/>
              </w:rPr>
              <w:t xml:space="preserve">.  </w:t>
            </w:r>
            <w:r w:rsidR="00611EA6" w:rsidRPr="0074345C">
              <w:rPr>
                <w:lang w:val="es-ES"/>
              </w:rPr>
              <w:t xml:space="preserve">En colaboración con la </w:t>
            </w:r>
            <w:r w:rsidRPr="0074345C">
              <w:rPr>
                <w:lang w:val="es-ES"/>
              </w:rPr>
              <w:t xml:space="preserve">División de Proyectos Especiales, </w:t>
            </w:r>
            <w:r w:rsidR="00611EA6" w:rsidRPr="0074345C">
              <w:rPr>
                <w:lang w:val="es-ES"/>
              </w:rPr>
              <w:t>encargada del desarrollo y mantenimiento de las bases de datos antes mencionadas</w:t>
            </w:r>
            <w:r w:rsidR="009312E0" w:rsidRPr="0074345C">
              <w:rPr>
                <w:lang w:val="es-ES"/>
              </w:rPr>
              <w:t>,</w:t>
            </w:r>
            <w:r w:rsidR="00611EA6" w:rsidRPr="0074345C">
              <w:rPr>
                <w:lang w:val="es-ES"/>
              </w:rPr>
              <w:t xml:space="preserve"> y la División de Comunicaciones</w:t>
            </w:r>
            <w:r w:rsidR="00502F27" w:rsidRPr="0074345C">
              <w:rPr>
                <w:lang w:val="es-ES"/>
              </w:rPr>
              <w:t xml:space="preserve">, </w:t>
            </w:r>
            <w:r w:rsidR="009312E0" w:rsidRPr="0074345C">
              <w:rPr>
                <w:lang w:val="es-ES"/>
              </w:rPr>
              <w:t>se creó, en el marco del p</w:t>
            </w:r>
            <w:r w:rsidR="009E13C2" w:rsidRPr="0074345C">
              <w:rPr>
                <w:lang w:val="es-ES"/>
              </w:rPr>
              <w:t>royecto</w:t>
            </w:r>
            <w:r w:rsidR="009312E0" w:rsidRPr="0074345C">
              <w:rPr>
                <w:lang w:val="es-ES"/>
              </w:rPr>
              <w:t xml:space="preserve">, </w:t>
            </w:r>
            <w:r w:rsidR="00611EA6" w:rsidRPr="0074345C">
              <w:rPr>
                <w:lang w:val="es-ES"/>
              </w:rPr>
              <w:t xml:space="preserve">una página web específica de la OMPI que ofrece un servicio de ventanilla única para todas las actividades de cooperación Sur–Sur de la OMPI, en la esfera de la P.I., con </w:t>
            </w:r>
            <w:r w:rsidR="0071265D" w:rsidRPr="0074345C">
              <w:rPr>
                <w:lang w:val="es-ES"/>
              </w:rPr>
              <w:t xml:space="preserve">la </w:t>
            </w:r>
            <w:r w:rsidR="00611EA6" w:rsidRPr="0074345C">
              <w:rPr>
                <w:lang w:val="es-ES"/>
              </w:rPr>
              <w:t xml:space="preserve">información, </w:t>
            </w:r>
            <w:r w:rsidR="0071265D" w:rsidRPr="0074345C">
              <w:rPr>
                <w:lang w:val="es-ES"/>
              </w:rPr>
              <w:t xml:space="preserve">las </w:t>
            </w:r>
            <w:r w:rsidR="00611EA6" w:rsidRPr="0074345C">
              <w:rPr>
                <w:lang w:val="es-ES"/>
              </w:rPr>
              <w:t xml:space="preserve">herramientas y </w:t>
            </w:r>
            <w:r w:rsidR="0071265D" w:rsidRPr="0074345C">
              <w:rPr>
                <w:lang w:val="es-ES"/>
              </w:rPr>
              <w:t xml:space="preserve">los </w:t>
            </w:r>
            <w:r w:rsidR="00611EA6" w:rsidRPr="0074345C">
              <w:rPr>
                <w:lang w:val="es-ES"/>
              </w:rPr>
              <w:t>recursos pertinentes accesibles por internet siguientes</w:t>
            </w:r>
            <w:r w:rsidR="00502F27" w:rsidRPr="0074345C">
              <w:rPr>
                <w:lang w:val="es-ES"/>
              </w:rPr>
              <w:t xml:space="preserve">:  a) </w:t>
            </w:r>
            <w:r w:rsidR="007F756E" w:rsidRPr="0074345C">
              <w:rPr>
                <w:lang w:val="es-ES"/>
              </w:rPr>
              <w:t>una base de datos Sur–Sur en materia de P.I. que destaca las actividades de</w:t>
            </w:r>
            <w:r w:rsidR="00502F27" w:rsidRPr="0074345C">
              <w:rPr>
                <w:lang w:val="es-ES"/>
              </w:rPr>
              <w:t xml:space="preserve"> </w:t>
            </w:r>
            <w:r w:rsidR="00611EA6" w:rsidRPr="0074345C">
              <w:rPr>
                <w:lang w:val="es-ES"/>
              </w:rPr>
              <w:t>asistencia técnica</w:t>
            </w:r>
            <w:r w:rsidR="00502F27" w:rsidRPr="0074345C">
              <w:rPr>
                <w:lang w:val="es-ES"/>
              </w:rPr>
              <w:t xml:space="preserve"> </w:t>
            </w:r>
            <w:r w:rsidR="007F756E" w:rsidRPr="0074345C">
              <w:rPr>
                <w:lang w:val="es-ES"/>
              </w:rPr>
              <w:t xml:space="preserve">y de fortalecimiento de la capacidad realizadas </w:t>
            </w:r>
            <w:r w:rsidR="00502F27" w:rsidRPr="0074345C">
              <w:rPr>
                <w:lang w:val="es-ES"/>
              </w:rPr>
              <w:t xml:space="preserve"> </w:t>
            </w:r>
            <w:r w:rsidR="007F756E" w:rsidRPr="0074345C">
              <w:rPr>
                <w:lang w:val="es-ES"/>
              </w:rPr>
              <w:t xml:space="preserve">con el respaldo de la OMPI con un componente </w:t>
            </w:r>
            <w:r w:rsidR="00611EA6" w:rsidRPr="0074345C">
              <w:rPr>
                <w:lang w:val="es-ES"/>
              </w:rPr>
              <w:t>Sur–Sur</w:t>
            </w:r>
            <w:r w:rsidR="007F756E" w:rsidRPr="0074345C">
              <w:rPr>
                <w:lang w:val="es-ES"/>
              </w:rPr>
              <w:t>;</w:t>
            </w:r>
            <w:r w:rsidR="00502F27" w:rsidRPr="0074345C">
              <w:rPr>
                <w:lang w:val="es-ES"/>
              </w:rPr>
              <w:t xml:space="preserve">  b) </w:t>
            </w:r>
            <w:r w:rsidR="007F756E" w:rsidRPr="0074345C">
              <w:rPr>
                <w:lang w:val="es-ES"/>
              </w:rPr>
              <w:t xml:space="preserve">una lista de consultores </w:t>
            </w:r>
            <w:r w:rsidR="00611EA6" w:rsidRPr="0074345C">
              <w:rPr>
                <w:lang w:val="es-ES"/>
              </w:rPr>
              <w:t xml:space="preserve">Sur–Sur </w:t>
            </w:r>
            <w:r w:rsidR="007F756E" w:rsidRPr="0074345C">
              <w:rPr>
                <w:lang w:val="es-ES"/>
              </w:rPr>
              <w:t xml:space="preserve">con información sobre los consultores y especialistas procedentes de </w:t>
            </w:r>
            <w:r w:rsidR="00611EA6" w:rsidRPr="0074345C">
              <w:rPr>
                <w:lang w:val="es-ES"/>
              </w:rPr>
              <w:t>países en desarrollo</w:t>
            </w:r>
            <w:r w:rsidR="00502F27" w:rsidRPr="0074345C">
              <w:rPr>
                <w:lang w:val="es-ES"/>
              </w:rPr>
              <w:t xml:space="preserve">, </w:t>
            </w:r>
            <w:r w:rsidR="00611EA6" w:rsidRPr="0074345C">
              <w:rPr>
                <w:lang w:val="es-ES"/>
              </w:rPr>
              <w:t>PMA</w:t>
            </w:r>
            <w:r w:rsidR="007F756E" w:rsidRPr="0074345C">
              <w:rPr>
                <w:lang w:val="es-ES"/>
              </w:rPr>
              <w:t xml:space="preserve"> y pa</w:t>
            </w:r>
            <w:r w:rsidR="002034F4" w:rsidRPr="0074345C">
              <w:rPr>
                <w:lang w:val="es-ES"/>
              </w:rPr>
              <w:t>íses</w:t>
            </w:r>
            <w:r w:rsidR="00502F27" w:rsidRPr="0074345C">
              <w:rPr>
                <w:lang w:val="es-ES"/>
              </w:rPr>
              <w:t xml:space="preserve"> </w:t>
            </w:r>
            <w:r w:rsidR="007F756E" w:rsidRPr="0074345C">
              <w:rPr>
                <w:lang w:val="es-ES"/>
              </w:rPr>
              <w:t xml:space="preserve">en transición con el fin de poner de relieve los conocimientos especializados existentes en el </w:t>
            </w:r>
            <w:r w:rsidR="00502F27" w:rsidRPr="0074345C">
              <w:rPr>
                <w:lang w:val="es-ES"/>
              </w:rPr>
              <w:t>S</w:t>
            </w:r>
            <w:r w:rsidR="007F756E" w:rsidRPr="0074345C">
              <w:rPr>
                <w:lang w:val="es-ES"/>
              </w:rPr>
              <w:t>ur</w:t>
            </w:r>
            <w:r w:rsidR="00502F27" w:rsidRPr="0074345C">
              <w:rPr>
                <w:lang w:val="es-ES"/>
              </w:rPr>
              <w:t xml:space="preserve">;  c) </w:t>
            </w:r>
            <w:r w:rsidR="007F756E" w:rsidRPr="0074345C">
              <w:rPr>
                <w:lang w:val="es-ES"/>
              </w:rPr>
              <w:t xml:space="preserve">incorporación de funcionalidades </w:t>
            </w:r>
            <w:r w:rsidR="00611EA6" w:rsidRPr="0074345C">
              <w:rPr>
                <w:lang w:val="es-ES"/>
              </w:rPr>
              <w:t xml:space="preserve">Sur–Sur </w:t>
            </w:r>
            <w:r w:rsidR="007F756E" w:rsidRPr="0074345C">
              <w:rPr>
                <w:lang w:val="es-ES"/>
              </w:rPr>
              <w:t xml:space="preserve">en el </w:t>
            </w:r>
            <w:r w:rsidR="00502F27" w:rsidRPr="0074345C">
              <w:rPr>
                <w:lang w:val="es-ES"/>
              </w:rPr>
              <w:t xml:space="preserve">IP-DMD </w:t>
            </w:r>
            <w:r w:rsidR="007F756E" w:rsidRPr="0074345C">
              <w:rPr>
                <w:lang w:val="es-ES"/>
              </w:rPr>
              <w:t xml:space="preserve">para hacer coincidir mejor las necesidades y las ofertas de los </w:t>
            </w:r>
            <w:r w:rsidR="00611EA6" w:rsidRPr="0074345C">
              <w:rPr>
                <w:lang w:val="es-ES"/>
              </w:rPr>
              <w:t>países en desarrollo</w:t>
            </w:r>
            <w:r w:rsidR="00502F27" w:rsidRPr="0074345C">
              <w:rPr>
                <w:lang w:val="es-ES"/>
              </w:rPr>
              <w:t xml:space="preserve"> and </w:t>
            </w:r>
            <w:r w:rsidR="00611EA6" w:rsidRPr="0074345C">
              <w:rPr>
                <w:lang w:val="es-ES"/>
              </w:rPr>
              <w:t>PMA</w:t>
            </w:r>
            <w:r w:rsidR="00502F27" w:rsidRPr="0074345C">
              <w:rPr>
                <w:lang w:val="es-ES"/>
              </w:rPr>
              <w:t xml:space="preserve">;  d) </w:t>
            </w:r>
            <w:r w:rsidR="007F756E" w:rsidRPr="0074345C">
              <w:rPr>
                <w:lang w:val="es-ES"/>
              </w:rPr>
              <w:t xml:space="preserve">información sobre las iniciativas </w:t>
            </w:r>
            <w:r w:rsidR="00611EA6" w:rsidRPr="0074345C">
              <w:rPr>
                <w:lang w:val="es-ES"/>
              </w:rPr>
              <w:t xml:space="preserve">Sur–Sur </w:t>
            </w:r>
            <w:r w:rsidR="007F756E" w:rsidRPr="0074345C">
              <w:rPr>
                <w:lang w:val="es-ES"/>
              </w:rPr>
              <w:t xml:space="preserve">nacionales y </w:t>
            </w:r>
            <w:r w:rsidR="00EF0462" w:rsidRPr="0074345C">
              <w:rPr>
                <w:lang w:val="es-ES"/>
              </w:rPr>
              <w:t>regionales</w:t>
            </w:r>
            <w:r w:rsidR="007F756E" w:rsidRPr="0074345C">
              <w:rPr>
                <w:lang w:val="es-ES"/>
              </w:rPr>
              <w:t xml:space="preserve"> en la esfera de la P.I. recabada </w:t>
            </w:r>
            <w:r w:rsidR="00EF0462" w:rsidRPr="0074345C">
              <w:rPr>
                <w:lang w:val="es-ES"/>
              </w:rPr>
              <w:t>mediante</w:t>
            </w:r>
            <w:r w:rsidR="007F756E" w:rsidRPr="0074345C">
              <w:rPr>
                <w:lang w:val="es-ES"/>
              </w:rPr>
              <w:t xml:space="preserve"> un cuestionario enviado a los E</w:t>
            </w:r>
            <w:r w:rsidR="00193CE1" w:rsidRPr="0074345C">
              <w:rPr>
                <w:lang w:val="es-ES"/>
              </w:rPr>
              <w:t>stados Miembros</w:t>
            </w:r>
            <w:r w:rsidR="00502F27" w:rsidRPr="0074345C">
              <w:rPr>
                <w:lang w:val="es-ES"/>
              </w:rPr>
              <w:t xml:space="preserve"> </w:t>
            </w:r>
            <w:r w:rsidR="007F756E" w:rsidRPr="0074345C">
              <w:rPr>
                <w:lang w:val="es-ES"/>
              </w:rPr>
              <w:t>con ese fin</w:t>
            </w:r>
            <w:r w:rsidR="00502F27" w:rsidRPr="0074345C">
              <w:rPr>
                <w:lang w:val="es-ES"/>
              </w:rPr>
              <w:t xml:space="preserve">; </w:t>
            </w:r>
            <w:r w:rsidR="007F756E" w:rsidRPr="0074345C">
              <w:rPr>
                <w:lang w:val="es-ES"/>
              </w:rPr>
              <w:t>y</w:t>
            </w:r>
            <w:r w:rsidR="00502F27" w:rsidRPr="0074345C">
              <w:rPr>
                <w:lang w:val="es-ES"/>
              </w:rPr>
              <w:t xml:space="preserve"> e) </w:t>
            </w:r>
            <w:r w:rsidR="00EF0462" w:rsidRPr="0074345C">
              <w:rPr>
                <w:lang w:val="es-ES"/>
              </w:rPr>
              <w:t xml:space="preserve">información sobre el marco de </w:t>
            </w:r>
            <w:r w:rsidR="00A916B9" w:rsidRPr="0074345C">
              <w:rPr>
                <w:lang w:val="es-ES"/>
              </w:rPr>
              <w:t xml:space="preserve">Cooperación Sur–Sur </w:t>
            </w:r>
            <w:r w:rsidR="00EF0462" w:rsidRPr="0074345C">
              <w:rPr>
                <w:lang w:val="es-ES"/>
              </w:rPr>
              <w:t xml:space="preserve">de las Naciones Unidas </w:t>
            </w:r>
            <w:r w:rsidR="0071265D" w:rsidRPr="0074345C">
              <w:rPr>
                <w:lang w:val="es-ES"/>
              </w:rPr>
              <w:t>y sobre</w:t>
            </w:r>
            <w:r w:rsidR="00EF0462" w:rsidRPr="0074345C">
              <w:rPr>
                <w:lang w:val="es-ES"/>
              </w:rPr>
              <w:t xml:space="preserve"> la colaboración de la OMPI con la Oficina de las Naciones Unidas para la Cooperación Sur-Sur (UNOSSC). </w:t>
            </w:r>
            <w:r w:rsidR="00611EA6" w:rsidRPr="0074345C">
              <w:rPr>
                <w:lang w:val="es-ES"/>
              </w:rPr>
              <w:t xml:space="preserve">La plataforma </w:t>
            </w:r>
            <w:r w:rsidR="00A916B9" w:rsidRPr="0074345C">
              <w:rPr>
                <w:lang w:val="es-ES"/>
              </w:rPr>
              <w:t>web</w:t>
            </w:r>
            <w:r w:rsidR="00502F27" w:rsidRPr="0074345C">
              <w:rPr>
                <w:lang w:val="es-ES"/>
              </w:rPr>
              <w:t xml:space="preserve"> (</w:t>
            </w:r>
            <w:r w:rsidR="00A916B9" w:rsidRPr="0074345C">
              <w:rPr>
                <w:lang w:val="es-ES"/>
              </w:rPr>
              <w:t>http://www.wipo.int/cooperation/es/south_south/</w:t>
            </w:r>
            <w:r w:rsidR="00502F27" w:rsidRPr="0074345C">
              <w:rPr>
                <w:lang w:val="es-ES"/>
              </w:rPr>
              <w:t xml:space="preserve">) </w:t>
            </w:r>
            <w:r w:rsidR="00611EA6" w:rsidRPr="0074345C">
              <w:rPr>
                <w:lang w:val="es-ES"/>
              </w:rPr>
              <w:t>fue inaugurada oficialmente en un evento paralelo</w:t>
            </w:r>
            <w:r w:rsidR="00A916B9" w:rsidRPr="0074345C">
              <w:rPr>
                <w:lang w:val="es-ES"/>
              </w:rPr>
              <w:t xml:space="preserve"> organizado en el marco de la dé</w:t>
            </w:r>
            <w:r w:rsidR="00611EA6" w:rsidRPr="0074345C">
              <w:rPr>
                <w:lang w:val="es-ES"/>
              </w:rPr>
              <w:t xml:space="preserve">cima tercera sesión del </w:t>
            </w:r>
            <w:r w:rsidR="00502F27" w:rsidRPr="0074345C">
              <w:rPr>
                <w:lang w:val="es-ES"/>
              </w:rPr>
              <w:t>CDIP</w:t>
            </w:r>
            <w:r w:rsidR="00611EA6" w:rsidRPr="0074345C">
              <w:rPr>
                <w:lang w:val="es-ES"/>
              </w:rPr>
              <w:t xml:space="preserve">, el 21 de mayo de </w:t>
            </w:r>
            <w:r w:rsidR="00502F27" w:rsidRPr="0074345C">
              <w:rPr>
                <w:lang w:val="es-ES"/>
              </w:rPr>
              <w:t xml:space="preserve">2014. </w:t>
            </w:r>
          </w:p>
          <w:p w:rsidR="003260F8" w:rsidRPr="0074345C" w:rsidRDefault="003260F8" w:rsidP="00E00028">
            <w:pPr>
              <w:rPr>
                <w:rFonts w:eastAsia="Times New Roman"/>
                <w:lang w:eastAsia="en-US"/>
              </w:rPr>
            </w:pPr>
          </w:p>
          <w:p w:rsidR="003260F8" w:rsidRPr="0074345C" w:rsidRDefault="00EF0462" w:rsidP="00E00028">
            <w:pPr>
              <w:numPr>
                <w:ilvl w:val="0"/>
                <w:numId w:val="5"/>
              </w:numPr>
              <w:rPr>
                <w:rFonts w:eastAsia="Times New Roman"/>
                <w:lang w:eastAsia="en-US"/>
              </w:rPr>
            </w:pPr>
            <w:r w:rsidRPr="0074345C">
              <w:rPr>
                <w:rFonts w:eastAsia="Times New Roman"/>
                <w:lang w:eastAsia="en-US"/>
              </w:rPr>
              <w:t xml:space="preserve">Seguimiento de las actividades en materia de cooperación Sur–Sur en todo el sistema de las Naciones Unidas y la coordinación con </w:t>
            </w:r>
            <w:r w:rsidR="00FD0EDD" w:rsidRPr="0074345C">
              <w:rPr>
                <w:rFonts w:eastAsia="Times New Roman"/>
                <w:lang w:eastAsia="en-US"/>
              </w:rPr>
              <w:t xml:space="preserve">la </w:t>
            </w:r>
            <w:r w:rsidR="00502F27" w:rsidRPr="0074345C">
              <w:rPr>
                <w:rFonts w:eastAsia="Times New Roman"/>
                <w:lang w:eastAsia="en-US"/>
              </w:rPr>
              <w:t>UNOSSC</w:t>
            </w:r>
            <w:proofErr w:type="gramStart"/>
            <w:r w:rsidR="00502F27" w:rsidRPr="0074345C">
              <w:rPr>
                <w:rFonts w:eastAsia="Times New Roman"/>
                <w:lang w:eastAsia="en-US"/>
              </w:rPr>
              <w:t xml:space="preserve">:  </w:t>
            </w:r>
            <w:r w:rsidRPr="0074345C">
              <w:rPr>
                <w:rFonts w:eastAsia="Times New Roman"/>
                <w:lang w:eastAsia="en-US"/>
              </w:rPr>
              <w:t>el</w:t>
            </w:r>
            <w:proofErr w:type="gramEnd"/>
            <w:r w:rsidRPr="0074345C">
              <w:rPr>
                <w:rFonts w:eastAsia="Times New Roman"/>
                <w:lang w:eastAsia="en-US"/>
              </w:rPr>
              <w:t xml:space="preserve"> compromiso de la </w:t>
            </w:r>
            <w:r w:rsidR="00193CE1" w:rsidRPr="0074345C">
              <w:rPr>
                <w:rFonts w:eastAsia="Times New Roman"/>
                <w:lang w:eastAsia="en-US"/>
              </w:rPr>
              <w:t>OMPI</w:t>
            </w:r>
            <w:r w:rsidRPr="0074345C">
              <w:rPr>
                <w:rFonts w:eastAsia="Times New Roman"/>
                <w:lang w:eastAsia="en-US"/>
              </w:rPr>
              <w:t xml:space="preserve"> con las actividades de c</w:t>
            </w:r>
            <w:r w:rsidR="00611EA6" w:rsidRPr="0074345C">
              <w:rPr>
                <w:rFonts w:eastAsia="Times New Roman"/>
                <w:lang w:eastAsia="en-US"/>
              </w:rPr>
              <w:t xml:space="preserve">ooperación Sur–Sur </w:t>
            </w:r>
            <w:r w:rsidRPr="0074345C">
              <w:rPr>
                <w:rFonts w:eastAsia="Times New Roman"/>
                <w:lang w:eastAsia="en-US"/>
              </w:rPr>
              <w:t>e</w:t>
            </w:r>
            <w:r w:rsidR="00FD0EDD" w:rsidRPr="0074345C">
              <w:rPr>
                <w:rFonts w:eastAsia="Times New Roman"/>
                <w:lang w:eastAsia="en-US"/>
              </w:rPr>
              <w:t>n</w:t>
            </w:r>
            <w:r w:rsidRPr="0074345C">
              <w:rPr>
                <w:rFonts w:eastAsia="Times New Roman"/>
                <w:lang w:eastAsia="en-US"/>
              </w:rPr>
              <w:t xml:space="preserve"> el sistema de las Naciones Unidas se afianzó gracias a su participación en la Exposición </w:t>
            </w:r>
            <w:r w:rsidRPr="0074345C">
              <w:rPr>
                <w:rFonts w:eastAsia="Times New Roman"/>
                <w:lang w:eastAsia="en-US"/>
              </w:rPr>
              <w:lastRenderedPageBreak/>
              <w:t xml:space="preserve">Mundial sobre el Desarrollo Sur-Sur de 2013 (GSSD), organizada por el Programa de Naciones Unidas para el Medio Ambiente, (PNUMA) en </w:t>
            </w:r>
            <w:r w:rsidR="00502F27" w:rsidRPr="0074345C">
              <w:rPr>
                <w:rFonts w:eastAsia="Times New Roman"/>
                <w:lang w:eastAsia="en-US"/>
              </w:rPr>
              <w:t xml:space="preserve">Nairobi </w:t>
            </w:r>
            <w:r w:rsidRPr="0074345C">
              <w:rPr>
                <w:rFonts w:eastAsia="Times New Roman"/>
                <w:lang w:eastAsia="en-US"/>
              </w:rPr>
              <w:t xml:space="preserve">del 28 de </w:t>
            </w:r>
            <w:r w:rsidR="002034F4" w:rsidRPr="0074345C">
              <w:rPr>
                <w:rFonts w:eastAsia="Times New Roman"/>
                <w:lang w:eastAsia="en-US"/>
              </w:rPr>
              <w:t xml:space="preserve">octubre </w:t>
            </w:r>
            <w:r w:rsidRPr="0074345C">
              <w:rPr>
                <w:rFonts w:eastAsia="Times New Roman"/>
                <w:lang w:eastAsia="en-US"/>
              </w:rPr>
              <w:t>al 1º de noviembre de</w:t>
            </w:r>
            <w:r w:rsidR="00502F27" w:rsidRPr="0074345C">
              <w:rPr>
                <w:rFonts w:eastAsia="Times New Roman"/>
                <w:lang w:eastAsia="en-US"/>
              </w:rPr>
              <w:t xml:space="preserve"> 2013.  </w:t>
            </w:r>
            <w:r w:rsidR="0015217E" w:rsidRPr="0074345C">
              <w:rPr>
                <w:rFonts w:eastAsia="Times New Roman"/>
                <w:lang w:eastAsia="en-US"/>
              </w:rPr>
              <w:t>A la e</w:t>
            </w:r>
            <w:r w:rsidR="00502F27" w:rsidRPr="0074345C">
              <w:rPr>
                <w:rFonts w:eastAsia="Times New Roman"/>
                <w:lang w:eastAsia="en-US"/>
              </w:rPr>
              <w:t>xpo</w:t>
            </w:r>
            <w:r w:rsidR="0015217E" w:rsidRPr="0074345C">
              <w:rPr>
                <w:rFonts w:eastAsia="Times New Roman"/>
                <w:lang w:eastAsia="en-US"/>
              </w:rPr>
              <w:t xml:space="preserve">sición asistieron responsables de </w:t>
            </w:r>
            <w:r w:rsidR="0074140A" w:rsidRPr="0074345C">
              <w:rPr>
                <w:rFonts w:eastAsia="Times New Roman"/>
                <w:lang w:eastAsia="en-US"/>
              </w:rPr>
              <w:t>la formulación de políticas</w:t>
            </w:r>
            <w:r w:rsidR="00502F27" w:rsidRPr="0074345C">
              <w:rPr>
                <w:szCs w:val="22"/>
              </w:rPr>
              <w:t xml:space="preserve">, </w:t>
            </w:r>
            <w:r w:rsidR="0074140A" w:rsidRPr="0074345C">
              <w:rPr>
                <w:szCs w:val="22"/>
              </w:rPr>
              <w:t>funcionarios</w:t>
            </w:r>
            <w:r w:rsidR="0015217E" w:rsidRPr="0074345C">
              <w:rPr>
                <w:szCs w:val="22"/>
              </w:rPr>
              <w:t xml:space="preserve"> gubernamentales</w:t>
            </w:r>
            <w:r w:rsidR="00502F27" w:rsidRPr="0074345C">
              <w:rPr>
                <w:szCs w:val="22"/>
              </w:rPr>
              <w:t>, representa</w:t>
            </w:r>
            <w:r w:rsidR="0015217E" w:rsidRPr="0074345C">
              <w:rPr>
                <w:szCs w:val="22"/>
              </w:rPr>
              <w:t xml:space="preserve">ntes de las </w:t>
            </w:r>
            <w:r w:rsidR="0074140A" w:rsidRPr="0074345C">
              <w:rPr>
                <w:szCs w:val="22"/>
              </w:rPr>
              <w:t>organizaciones</w:t>
            </w:r>
            <w:r w:rsidR="0015217E" w:rsidRPr="0074345C">
              <w:rPr>
                <w:szCs w:val="22"/>
              </w:rPr>
              <w:t xml:space="preserve"> </w:t>
            </w:r>
            <w:r w:rsidR="0074140A" w:rsidRPr="0074345C">
              <w:rPr>
                <w:szCs w:val="22"/>
              </w:rPr>
              <w:t>gubernamentales</w:t>
            </w:r>
            <w:r w:rsidR="0015217E" w:rsidRPr="0074345C">
              <w:rPr>
                <w:szCs w:val="22"/>
              </w:rPr>
              <w:t xml:space="preserve"> y no </w:t>
            </w:r>
            <w:r w:rsidR="0074140A" w:rsidRPr="0074345C">
              <w:rPr>
                <w:szCs w:val="22"/>
              </w:rPr>
              <w:t>gubernamentales</w:t>
            </w:r>
            <w:r w:rsidR="0015217E" w:rsidRPr="0074345C">
              <w:rPr>
                <w:szCs w:val="22"/>
              </w:rPr>
              <w:t xml:space="preserve"> internacionales, </w:t>
            </w:r>
            <w:r w:rsidR="0071265D" w:rsidRPr="0074345C">
              <w:rPr>
                <w:szCs w:val="22"/>
              </w:rPr>
              <w:t>representantes d</w:t>
            </w:r>
            <w:r w:rsidR="0015217E" w:rsidRPr="0074345C">
              <w:rPr>
                <w:szCs w:val="22"/>
              </w:rPr>
              <w:t xml:space="preserve">el sector privado y </w:t>
            </w:r>
            <w:r w:rsidR="0071265D" w:rsidRPr="0074345C">
              <w:rPr>
                <w:szCs w:val="22"/>
              </w:rPr>
              <w:t xml:space="preserve">de </w:t>
            </w:r>
            <w:r w:rsidR="0015217E" w:rsidRPr="0074345C">
              <w:rPr>
                <w:szCs w:val="22"/>
              </w:rPr>
              <w:t xml:space="preserve">la sociedad civil para intercambiar </w:t>
            </w:r>
            <w:r w:rsidR="0074140A" w:rsidRPr="0074345C">
              <w:rPr>
                <w:szCs w:val="22"/>
              </w:rPr>
              <w:t>prácticas</w:t>
            </w:r>
            <w:r w:rsidR="0071265D" w:rsidRPr="0074345C">
              <w:rPr>
                <w:szCs w:val="22"/>
              </w:rPr>
              <w:t xml:space="preserve"> óptimas</w:t>
            </w:r>
            <w:r w:rsidR="0015217E" w:rsidRPr="0074345C">
              <w:rPr>
                <w:szCs w:val="22"/>
              </w:rPr>
              <w:t xml:space="preserve"> y poner de relieve las asociaciones </w:t>
            </w:r>
            <w:r w:rsidR="00611EA6" w:rsidRPr="0074345C">
              <w:rPr>
                <w:szCs w:val="22"/>
              </w:rPr>
              <w:t xml:space="preserve">Sur–Sur </w:t>
            </w:r>
            <w:r w:rsidR="0015217E" w:rsidRPr="0074345C">
              <w:rPr>
                <w:szCs w:val="22"/>
              </w:rPr>
              <w:t>y</w:t>
            </w:r>
            <w:r w:rsidR="00502F27" w:rsidRPr="0074345C">
              <w:rPr>
                <w:szCs w:val="22"/>
              </w:rPr>
              <w:t xml:space="preserve"> triangular</w:t>
            </w:r>
            <w:r w:rsidR="0015217E" w:rsidRPr="0074345C">
              <w:rPr>
                <w:szCs w:val="22"/>
              </w:rPr>
              <w:t>es exitosas</w:t>
            </w:r>
            <w:r w:rsidR="00A916B9" w:rsidRPr="0074345C">
              <w:rPr>
                <w:szCs w:val="22"/>
              </w:rPr>
              <w:t xml:space="preserve">, así como </w:t>
            </w:r>
            <w:r w:rsidR="00CC6E0D" w:rsidRPr="0074345C">
              <w:rPr>
                <w:szCs w:val="22"/>
              </w:rPr>
              <w:t xml:space="preserve">las </w:t>
            </w:r>
            <w:r w:rsidR="0074140A" w:rsidRPr="0074345C">
              <w:rPr>
                <w:szCs w:val="22"/>
              </w:rPr>
              <w:t>soluciones</w:t>
            </w:r>
            <w:r w:rsidR="00CC6E0D" w:rsidRPr="0074345C">
              <w:rPr>
                <w:szCs w:val="22"/>
              </w:rPr>
              <w:t xml:space="preserve"> para los desafíos del desarrollo en torno al tema de</w:t>
            </w:r>
            <w:r w:rsidR="00502F27" w:rsidRPr="0074345C">
              <w:rPr>
                <w:szCs w:val="22"/>
              </w:rPr>
              <w:t xml:space="preserve"> “</w:t>
            </w:r>
            <w:r w:rsidR="00CC6E0D" w:rsidRPr="0074345C">
              <w:rPr>
                <w:i/>
                <w:szCs w:val="22"/>
              </w:rPr>
              <w:t xml:space="preserve">creación de economías verdes </w:t>
            </w:r>
            <w:r w:rsidR="0074140A" w:rsidRPr="0074345C">
              <w:rPr>
                <w:i/>
                <w:szCs w:val="22"/>
              </w:rPr>
              <w:t>incluyentes: cooperación</w:t>
            </w:r>
            <w:r w:rsidR="00611EA6" w:rsidRPr="0074345C">
              <w:rPr>
                <w:i/>
                <w:szCs w:val="22"/>
              </w:rPr>
              <w:t xml:space="preserve"> Sur–Sur </w:t>
            </w:r>
            <w:r w:rsidR="00CC6E0D" w:rsidRPr="0074345C">
              <w:rPr>
                <w:i/>
                <w:szCs w:val="22"/>
              </w:rPr>
              <w:t>para el desarrollo sostenible y la eliminación de la pobreza</w:t>
            </w:r>
            <w:r w:rsidR="00502F27" w:rsidRPr="0074345C">
              <w:rPr>
                <w:szCs w:val="22"/>
              </w:rPr>
              <w:t xml:space="preserve">”.  </w:t>
            </w:r>
            <w:r w:rsidR="00CC6E0D" w:rsidRPr="0074345C">
              <w:rPr>
                <w:szCs w:val="22"/>
              </w:rPr>
              <w:t xml:space="preserve">La </w:t>
            </w:r>
            <w:r w:rsidR="00193CE1" w:rsidRPr="0074345C">
              <w:rPr>
                <w:szCs w:val="22"/>
              </w:rPr>
              <w:t>OMPI</w:t>
            </w:r>
            <w:r w:rsidR="00502F27" w:rsidRPr="0074345C">
              <w:rPr>
                <w:szCs w:val="22"/>
              </w:rPr>
              <w:t xml:space="preserve"> particip</w:t>
            </w:r>
            <w:r w:rsidR="00CC6E0D" w:rsidRPr="0074345C">
              <w:rPr>
                <w:szCs w:val="22"/>
              </w:rPr>
              <w:t xml:space="preserve">ó en un </w:t>
            </w:r>
            <w:r w:rsidR="00CC6E0D" w:rsidRPr="0074345C">
              <w:rPr>
                <w:i/>
                <w:szCs w:val="22"/>
              </w:rPr>
              <w:t xml:space="preserve">Foro de desarrollo de alto nivel para la </w:t>
            </w:r>
            <w:r w:rsidR="0074140A" w:rsidRPr="0074345C">
              <w:rPr>
                <w:i/>
                <w:szCs w:val="22"/>
              </w:rPr>
              <w:t>cooperación</w:t>
            </w:r>
            <w:r w:rsidR="00CC6E0D" w:rsidRPr="0074345C">
              <w:rPr>
                <w:i/>
                <w:szCs w:val="22"/>
              </w:rPr>
              <w:t xml:space="preserve"> al desarrollo</w:t>
            </w:r>
            <w:r w:rsidR="00CC6E0D" w:rsidRPr="0074345C">
              <w:rPr>
                <w:szCs w:val="22"/>
              </w:rPr>
              <w:t xml:space="preserve"> </w:t>
            </w:r>
            <w:r w:rsidR="0071265D" w:rsidRPr="0074345C">
              <w:rPr>
                <w:szCs w:val="22"/>
              </w:rPr>
              <w:t>que tenía por finalidad</w:t>
            </w:r>
            <w:r w:rsidR="0074140A" w:rsidRPr="0074345C">
              <w:rPr>
                <w:szCs w:val="22"/>
              </w:rPr>
              <w:t xml:space="preserve"> permitir el intercambio de experiencias entre los </w:t>
            </w:r>
            <w:r w:rsidR="0071265D" w:rsidRPr="0074345C">
              <w:rPr>
                <w:szCs w:val="22"/>
              </w:rPr>
              <w:t>agentes d</w:t>
            </w:r>
            <w:r w:rsidR="0074140A" w:rsidRPr="0074345C">
              <w:rPr>
                <w:szCs w:val="22"/>
              </w:rPr>
              <w:t>e la c</w:t>
            </w:r>
            <w:r w:rsidR="00611EA6" w:rsidRPr="0074345C">
              <w:rPr>
                <w:rFonts w:eastAsia="Times New Roman"/>
                <w:lang w:eastAsia="en-US"/>
              </w:rPr>
              <w:t xml:space="preserve">ooperación Sur–Sur </w:t>
            </w:r>
            <w:r w:rsidR="0074140A" w:rsidRPr="0074345C">
              <w:rPr>
                <w:rFonts w:eastAsia="Times New Roman"/>
                <w:lang w:eastAsia="en-US"/>
              </w:rPr>
              <w:t>a nivel nacional, regional e internacional</w:t>
            </w:r>
            <w:r w:rsidR="00502F27" w:rsidRPr="0074345C">
              <w:rPr>
                <w:rFonts w:eastAsia="Times New Roman"/>
                <w:lang w:eastAsia="en-US"/>
              </w:rPr>
              <w:t xml:space="preserve"> </w:t>
            </w:r>
            <w:r w:rsidR="0074140A" w:rsidRPr="0074345C">
              <w:rPr>
                <w:rFonts w:eastAsia="Times New Roman"/>
                <w:lang w:eastAsia="en-US"/>
              </w:rPr>
              <w:t>sobre la gestión de la cooperación S</w:t>
            </w:r>
            <w:r w:rsidR="00611EA6" w:rsidRPr="0074345C">
              <w:rPr>
                <w:szCs w:val="22"/>
              </w:rPr>
              <w:t xml:space="preserve">ur–Sur </w:t>
            </w:r>
            <w:r w:rsidR="0074140A" w:rsidRPr="0074345C">
              <w:rPr>
                <w:szCs w:val="22"/>
              </w:rPr>
              <w:t>y</w:t>
            </w:r>
            <w:r w:rsidR="00502F27" w:rsidRPr="0074345C">
              <w:rPr>
                <w:szCs w:val="22"/>
              </w:rPr>
              <w:t xml:space="preserve"> triangular</w:t>
            </w:r>
            <w:r w:rsidR="0074140A" w:rsidRPr="0074345C">
              <w:rPr>
                <w:szCs w:val="22"/>
              </w:rPr>
              <w:t xml:space="preserve">, y </w:t>
            </w:r>
            <w:r w:rsidR="00502F27" w:rsidRPr="0074345C">
              <w:rPr>
                <w:szCs w:val="22"/>
              </w:rPr>
              <w:t xml:space="preserve"> </w:t>
            </w:r>
            <w:r w:rsidR="0074140A" w:rsidRPr="0074345C">
              <w:rPr>
                <w:szCs w:val="22"/>
              </w:rPr>
              <w:t>examinar nuevas maneras de facilitar dichas asociaciones</w:t>
            </w:r>
            <w:r w:rsidR="00502F27" w:rsidRPr="0074345C">
              <w:rPr>
                <w:szCs w:val="22"/>
              </w:rPr>
              <w:t xml:space="preserve">. </w:t>
            </w:r>
            <w:r w:rsidR="0074140A" w:rsidRPr="0074345C">
              <w:rPr>
                <w:szCs w:val="22"/>
              </w:rPr>
              <w:t xml:space="preserve">También participó en la Mesa Redonda sobre el </w:t>
            </w:r>
            <w:r w:rsidR="0074140A" w:rsidRPr="0074345C">
              <w:rPr>
                <w:rStyle w:val="Emphasis"/>
                <w:b w:val="0"/>
                <w:i/>
              </w:rPr>
              <w:t>Sistema Mundial de Intercambio de Activos y Tecnología Sur-Sur</w:t>
            </w:r>
            <w:r w:rsidR="00502F27" w:rsidRPr="0074345C">
              <w:rPr>
                <w:rFonts w:eastAsia="Times New Roman"/>
                <w:lang w:eastAsia="en-US"/>
              </w:rPr>
              <w:t xml:space="preserve">, </w:t>
            </w:r>
            <w:r w:rsidR="004765E6" w:rsidRPr="0074345C">
              <w:rPr>
                <w:rFonts w:eastAsia="Times New Roman"/>
                <w:lang w:eastAsia="en-US"/>
              </w:rPr>
              <w:t>durante</w:t>
            </w:r>
            <w:r w:rsidR="0074140A" w:rsidRPr="0074345C">
              <w:rPr>
                <w:rFonts w:eastAsia="Times New Roman"/>
                <w:lang w:eastAsia="en-US"/>
              </w:rPr>
              <w:t xml:space="preserve"> la cual </w:t>
            </w:r>
            <w:r w:rsidR="0071265D" w:rsidRPr="0074345C">
              <w:rPr>
                <w:rFonts w:eastAsia="Times New Roman"/>
                <w:lang w:eastAsia="en-US"/>
              </w:rPr>
              <w:t xml:space="preserve">se </w:t>
            </w:r>
            <w:r w:rsidR="0010188F" w:rsidRPr="0074345C">
              <w:rPr>
                <w:rFonts w:eastAsia="Times New Roman"/>
                <w:lang w:eastAsia="en-US"/>
              </w:rPr>
              <w:t xml:space="preserve">presentó </w:t>
            </w:r>
            <w:r w:rsidR="0074140A" w:rsidRPr="0074345C">
              <w:rPr>
                <w:rFonts w:eastAsia="Times New Roman"/>
                <w:lang w:eastAsia="en-US"/>
              </w:rPr>
              <w:t xml:space="preserve">la plataforma WIPO GREEN </w:t>
            </w:r>
            <w:r w:rsidR="0010188F" w:rsidRPr="0074345C">
              <w:rPr>
                <w:rFonts w:eastAsia="Times New Roman"/>
                <w:lang w:eastAsia="en-US"/>
              </w:rPr>
              <w:t xml:space="preserve">y </w:t>
            </w:r>
            <w:r w:rsidR="0071265D" w:rsidRPr="0074345C">
              <w:rPr>
                <w:rFonts w:eastAsia="Times New Roman"/>
                <w:lang w:eastAsia="en-US"/>
              </w:rPr>
              <w:t xml:space="preserve">se formalizó </w:t>
            </w:r>
            <w:r w:rsidR="0010188F" w:rsidRPr="0074345C">
              <w:rPr>
                <w:rFonts w:eastAsia="Times New Roman"/>
                <w:lang w:eastAsia="en-US"/>
              </w:rPr>
              <w:t xml:space="preserve">la </w:t>
            </w:r>
            <w:r w:rsidR="004765E6" w:rsidRPr="0074345C">
              <w:rPr>
                <w:rFonts w:eastAsia="Times New Roman"/>
                <w:lang w:eastAsia="en-US"/>
              </w:rPr>
              <w:t>relación</w:t>
            </w:r>
            <w:r w:rsidR="0010188F" w:rsidRPr="0074345C">
              <w:rPr>
                <w:rFonts w:eastAsia="Times New Roman"/>
                <w:lang w:eastAsia="en-US"/>
              </w:rPr>
              <w:t xml:space="preserve"> </w:t>
            </w:r>
            <w:r w:rsidR="004765E6" w:rsidRPr="0074345C">
              <w:rPr>
                <w:rFonts w:eastAsia="Times New Roman"/>
                <w:lang w:eastAsia="en-US"/>
              </w:rPr>
              <w:t>institucional</w:t>
            </w:r>
            <w:r w:rsidR="0010188F" w:rsidRPr="0074345C">
              <w:rPr>
                <w:rFonts w:eastAsia="Times New Roman"/>
                <w:lang w:eastAsia="en-US"/>
              </w:rPr>
              <w:t xml:space="preserve"> entre las dos instituciones </w:t>
            </w:r>
            <w:r w:rsidR="00EE3E96" w:rsidRPr="0074345C">
              <w:rPr>
                <w:rFonts w:eastAsia="Times New Roman"/>
                <w:lang w:eastAsia="en-US"/>
              </w:rPr>
              <w:t>mediante</w:t>
            </w:r>
            <w:r w:rsidR="0010188F" w:rsidRPr="0074345C">
              <w:rPr>
                <w:rFonts w:eastAsia="Times New Roman"/>
                <w:lang w:eastAsia="en-US"/>
              </w:rPr>
              <w:t xml:space="preserve"> un intercambio de </w:t>
            </w:r>
            <w:r w:rsidR="004765E6" w:rsidRPr="0074345C">
              <w:rPr>
                <w:rFonts w:eastAsia="Times New Roman"/>
                <w:lang w:eastAsia="en-US"/>
              </w:rPr>
              <w:t xml:space="preserve">cartas en las </w:t>
            </w:r>
            <w:r w:rsidR="0010188F" w:rsidRPr="0074345C">
              <w:rPr>
                <w:rFonts w:eastAsia="Times New Roman"/>
                <w:lang w:eastAsia="en-US"/>
              </w:rPr>
              <w:t xml:space="preserve">que se destacaba </w:t>
            </w:r>
            <w:r w:rsidR="00EE3E96" w:rsidRPr="0074345C">
              <w:rPr>
                <w:rFonts w:eastAsia="Times New Roman"/>
                <w:lang w:eastAsia="en-US"/>
              </w:rPr>
              <w:t>la voluntad</w:t>
            </w:r>
            <w:r w:rsidR="0010188F" w:rsidRPr="0074345C">
              <w:rPr>
                <w:rFonts w:eastAsia="Times New Roman"/>
                <w:lang w:eastAsia="en-US"/>
              </w:rPr>
              <w:t xml:space="preserve"> común de colaborar en esferas como el intercambio de </w:t>
            </w:r>
            <w:r w:rsidR="004765E6" w:rsidRPr="0074345C">
              <w:rPr>
                <w:rFonts w:eastAsia="Times New Roman"/>
                <w:lang w:eastAsia="en-US"/>
              </w:rPr>
              <w:t>contenidos</w:t>
            </w:r>
            <w:r w:rsidR="0010188F" w:rsidRPr="0074345C">
              <w:rPr>
                <w:rFonts w:eastAsia="Times New Roman"/>
                <w:lang w:eastAsia="en-US"/>
              </w:rPr>
              <w:t xml:space="preserve"> de bases de datos</w:t>
            </w:r>
            <w:r w:rsidR="004765E6" w:rsidRPr="0074345C">
              <w:rPr>
                <w:rFonts w:eastAsia="Times New Roman"/>
                <w:lang w:eastAsia="en-US"/>
              </w:rPr>
              <w:t xml:space="preserve"> </w:t>
            </w:r>
            <w:r w:rsidR="0010188F" w:rsidRPr="0074345C">
              <w:rPr>
                <w:rFonts w:eastAsia="Times New Roman"/>
                <w:lang w:eastAsia="en-US"/>
              </w:rPr>
              <w:t xml:space="preserve">para la promoción de la </w:t>
            </w:r>
            <w:r w:rsidR="004765E6" w:rsidRPr="0074345C">
              <w:rPr>
                <w:rFonts w:eastAsia="Times New Roman"/>
                <w:lang w:eastAsia="en-US"/>
              </w:rPr>
              <w:t>trasferencia</w:t>
            </w:r>
            <w:r w:rsidR="0010188F" w:rsidRPr="0074345C">
              <w:rPr>
                <w:rFonts w:eastAsia="Times New Roman"/>
                <w:lang w:eastAsia="en-US"/>
              </w:rPr>
              <w:t xml:space="preserve"> de tecnologías verdes y los servicios de apoyo, la puesta en </w:t>
            </w:r>
            <w:r w:rsidR="004765E6" w:rsidRPr="0074345C">
              <w:rPr>
                <w:rFonts w:eastAsia="Times New Roman"/>
                <w:lang w:eastAsia="en-US"/>
              </w:rPr>
              <w:t>común</w:t>
            </w:r>
            <w:r w:rsidR="00EE3E96" w:rsidRPr="0074345C">
              <w:rPr>
                <w:rFonts w:eastAsia="Times New Roman"/>
                <w:lang w:eastAsia="en-US"/>
              </w:rPr>
              <w:t xml:space="preserve"> de soluciones </w:t>
            </w:r>
            <w:r w:rsidR="0010188F" w:rsidRPr="0074345C">
              <w:rPr>
                <w:rFonts w:eastAsia="Times New Roman"/>
                <w:lang w:eastAsia="en-US"/>
              </w:rPr>
              <w:t xml:space="preserve">y </w:t>
            </w:r>
            <w:r w:rsidR="004765E6" w:rsidRPr="0074345C">
              <w:rPr>
                <w:rFonts w:eastAsia="Times New Roman"/>
                <w:lang w:eastAsia="en-US"/>
              </w:rPr>
              <w:t>prácticas</w:t>
            </w:r>
            <w:r w:rsidR="00EE3E96" w:rsidRPr="0074345C">
              <w:rPr>
                <w:rFonts w:eastAsia="Times New Roman"/>
                <w:lang w:eastAsia="en-US"/>
              </w:rPr>
              <w:t xml:space="preserve"> óptimas</w:t>
            </w:r>
            <w:r w:rsidR="0010188F" w:rsidRPr="0074345C">
              <w:rPr>
                <w:rFonts w:eastAsia="Times New Roman"/>
                <w:lang w:eastAsia="en-US"/>
              </w:rPr>
              <w:t>, y el asesoramiento</w:t>
            </w:r>
            <w:r w:rsidR="00EE3E96" w:rsidRPr="0074345C">
              <w:rPr>
                <w:rFonts w:eastAsia="Times New Roman"/>
                <w:lang w:eastAsia="en-US"/>
              </w:rPr>
              <w:t xml:space="preserve"> especializado</w:t>
            </w:r>
            <w:r w:rsidR="0010188F" w:rsidRPr="0074345C">
              <w:rPr>
                <w:rFonts w:eastAsia="Times New Roman"/>
                <w:lang w:eastAsia="en-US"/>
              </w:rPr>
              <w:t xml:space="preserve"> sobre propiedad intelectual relacionada con las tecnologías verdes</w:t>
            </w:r>
            <w:r w:rsidR="00502F27" w:rsidRPr="0074345C">
              <w:rPr>
                <w:rFonts w:eastAsia="Times New Roman"/>
                <w:lang w:eastAsia="en-US"/>
              </w:rPr>
              <w:t>.</w:t>
            </w:r>
          </w:p>
          <w:p w:rsidR="00EE3E96" w:rsidRPr="0074345C" w:rsidRDefault="00EE3E96" w:rsidP="00EE3E96">
            <w:pPr>
              <w:rPr>
                <w:rFonts w:eastAsia="Times New Roman"/>
                <w:lang w:eastAsia="en-US"/>
              </w:rPr>
            </w:pPr>
          </w:p>
          <w:p w:rsidR="003260F8" w:rsidRPr="0074345C" w:rsidRDefault="00A916B9" w:rsidP="00EE3E96">
            <w:pPr>
              <w:numPr>
                <w:ilvl w:val="0"/>
                <w:numId w:val="5"/>
              </w:numPr>
              <w:rPr>
                <w:rFonts w:eastAsia="Times New Roman"/>
                <w:lang w:eastAsia="en-US"/>
              </w:rPr>
            </w:pPr>
            <w:r w:rsidRPr="0074345C">
              <w:rPr>
                <w:rFonts w:eastAsia="Times New Roman"/>
                <w:lang w:eastAsia="en-US"/>
              </w:rPr>
              <w:t xml:space="preserve">Conforme al </w:t>
            </w:r>
            <w:r w:rsidR="0010188F" w:rsidRPr="0074345C">
              <w:rPr>
                <w:rFonts w:eastAsia="Times New Roman"/>
                <w:lang w:eastAsia="en-US"/>
              </w:rPr>
              <w:t xml:space="preserve">calendario </w:t>
            </w:r>
            <w:r w:rsidRPr="0074345C">
              <w:rPr>
                <w:rFonts w:eastAsia="Times New Roman"/>
                <w:lang w:eastAsia="en-US"/>
              </w:rPr>
              <w:t>previsto</w:t>
            </w:r>
            <w:r w:rsidR="0010188F" w:rsidRPr="0074345C">
              <w:rPr>
                <w:rFonts w:eastAsia="Times New Roman"/>
                <w:lang w:eastAsia="en-US"/>
              </w:rPr>
              <w:t xml:space="preserve">, </w:t>
            </w:r>
            <w:r w:rsidR="00EE3E96" w:rsidRPr="0074345C">
              <w:rPr>
                <w:rFonts w:eastAsia="Times New Roman"/>
                <w:lang w:eastAsia="en-US"/>
              </w:rPr>
              <w:t>el proyecto fue evaluado por dos evaluadores externos entre enero y marzo de 2014, e</w:t>
            </w:r>
            <w:r w:rsidR="0010188F" w:rsidRPr="0074345C">
              <w:rPr>
                <w:rFonts w:eastAsia="Times New Roman"/>
                <w:lang w:eastAsia="en-US"/>
              </w:rPr>
              <w:t>n coordinación con la División de Coordinación de la Agenda para el Desarrollo (DACD)</w:t>
            </w:r>
            <w:r w:rsidR="00502F27" w:rsidRPr="0074345C">
              <w:rPr>
                <w:rFonts w:eastAsia="Times New Roman"/>
                <w:lang w:eastAsia="en-US"/>
              </w:rPr>
              <w:t xml:space="preserve">.  </w:t>
            </w:r>
            <w:r w:rsidR="0010188F" w:rsidRPr="0074345C">
              <w:rPr>
                <w:rFonts w:eastAsia="Times New Roman"/>
                <w:lang w:eastAsia="en-US"/>
              </w:rPr>
              <w:t xml:space="preserve">El informe de </w:t>
            </w:r>
            <w:r w:rsidR="00DD1550" w:rsidRPr="0074345C">
              <w:rPr>
                <w:rFonts w:eastAsia="Times New Roman"/>
                <w:lang w:eastAsia="en-US"/>
              </w:rPr>
              <w:t>evaluación</w:t>
            </w:r>
            <w:r w:rsidR="00EE3E96" w:rsidRPr="0074345C">
              <w:rPr>
                <w:rFonts w:eastAsia="Times New Roman"/>
                <w:lang w:eastAsia="en-US"/>
              </w:rPr>
              <w:t xml:space="preserve"> independiente </w:t>
            </w:r>
            <w:r w:rsidRPr="0074345C">
              <w:rPr>
                <w:rFonts w:eastAsia="Times New Roman"/>
                <w:lang w:eastAsia="en-US"/>
              </w:rPr>
              <w:t xml:space="preserve">final </w:t>
            </w:r>
            <w:r w:rsidR="0010188F" w:rsidRPr="0074345C">
              <w:rPr>
                <w:rFonts w:eastAsia="Times New Roman"/>
                <w:lang w:eastAsia="en-US"/>
              </w:rPr>
              <w:t xml:space="preserve">que se presentó a los </w:t>
            </w:r>
            <w:r w:rsidR="00193CE1" w:rsidRPr="0074345C">
              <w:rPr>
                <w:rFonts w:eastAsia="Times New Roman"/>
                <w:lang w:eastAsia="en-US"/>
              </w:rPr>
              <w:t>Estados Miembros</w:t>
            </w:r>
            <w:r w:rsidR="00502F27" w:rsidRPr="0074345C">
              <w:rPr>
                <w:rFonts w:eastAsia="Times New Roman"/>
                <w:lang w:eastAsia="en-US"/>
              </w:rPr>
              <w:t xml:space="preserve"> </w:t>
            </w:r>
            <w:r w:rsidR="0010188F" w:rsidRPr="0074345C">
              <w:rPr>
                <w:rFonts w:eastAsia="Times New Roman"/>
                <w:lang w:eastAsia="en-US"/>
              </w:rPr>
              <w:t>en la d</w:t>
            </w:r>
            <w:r w:rsidRPr="0074345C">
              <w:rPr>
                <w:rFonts w:eastAsia="Times New Roman"/>
                <w:lang w:eastAsia="en-US"/>
              </w:rPr>
              <w:t>é</w:t>
            </w:r>
            <w:r w:rsidR="0010188F" w:rsidRPr="0074345C">
              <w:rPr>
                <w:rFonts w:eastAsia="Times New Roman"/>
                <w:lang w:eastAsia="en-US"/>
              </w:rPr>
              <w:t>cima terc</w:t>
            </w:r>
            <w:r w:rsidRPr="0074345C">
              <w:rPr>
                <w:rFonts w:eastAsia="Times New Roman"/>
                <w:lang w:eastAsia="en-US"/>
              </w:rPr>
              <w:t>er</w:t>
            </w:r>
            <w:r w:rsidR="0010188F" w:rsidRPr="0074345C">
              <w:rPr>
                <w:rFonts w:eastAsia="Times New Roman"/>
                <w:lang w:eastAsia="en-US"/>
              </w:rPr>
              <w:t xml:space="preserve">a </w:t>
            </w:r>
            <w:r w:rsidR="00DD1550" w:rsidRPr="0074345C">
              <w:rPr>
                <w:rFonts w:eastAsia="Times New Roman"/>
                <w:lang w:eastAsia="en-US"/>
              </w:rPr>
              <w:t>sesión</w:t>
            </w:r>
            <w:r w:rsidR="0010188F" w:rsidRPr="0074345C">
              <w:rPr>
                <w:rFonts w:eastAsia="Times New Roman"/>
                <w:lang w:eastAsia="en-US"/>
              </w:rPr>
              <w:t xml:space="preserve"> del CDIP contiene varias </w:t>
            </w:r>
            <w:r w:rsidR="00B46E3A" w:rsidRPr="0074345C">
              <w:rPr>
                <w:rFonts w:eastAsia="Times New Roman"/>
                <w:lang w:eastAsia="en-US"/>
              </w:rPr>
              <w:t>recomendaciones</w:t>
            </w:r>
            <w:r w:rsidR="0010188F" w:rsidRPr="0074345C">
              <w:rPr>
                <w:rFonts w:eastAsia="Times New Roman"/>
                <w:lang w:eastAsia="en-US"/>
              </w:rPr>
              <w:t xml:space="preserve">, incluida la </w:t>
            </w:r>
            <w:r w:rsidRPr="0074345C">
              <w:rPr>
                <w:rFonts w:eastAsia="Times New Roman"/>
                <w:lang w:eastAsia="en-US"/>
              </w:rPr>
              <w:t xml:space="preserve">que fue </w:t>
            </w:r>
            <w:r w:rsidR="0010188F" w:rsidRPr="0074345C">
              <w:rPr>
                <w:rFonts w:eastAsia="Times New Roman"/>
                <w:lang w:eastAsia="en-US"/>
              </w:rPr>
              <w:t xml:space="preserve">aprobada </w:t>
            </w:r>
            <w:r w:rsidR="00DD1550" w:rsidRPr="0074345C">
              <w:rPr>
                <w:rFonts w:eastAsia="Times New Roman"/>
                <w:lang w:eastAsia="en-US"/>
              </w:rPr>
              <w:t>por</w:t>
            </w:r>
            <w:r w:rsidR="0010188F" w:rsidRPr="0074345C">
              <w:rPr>
                <w:rFonts w:eastAsia="Times New Roman"/>
                <w:lang w:eastAsia="en-US"/>
              </w:rPr>
              <w:t xml:space="preserve"> los Es</w:t>
            </w:r>
            <w:r w:rsidR="00193CE1" w:rsidRPr="0074345C">
              <w:rPr>
                <w:rFonts w:eastAsia="Times New Roman"/>
                <w:lang w:eastAsia="en-US"/>
              </w:rPr>
              <w:t>tados Miembros</w:t>
            </w:r>
            <w:r w:rsidR="0010188F" w:rsidRPr="0074345C">
              <w:rPr>
                <w:rFonts w:eastAsia="Times New Roman"/>
                <w:lang w:eastAsia="en-US"/>
              </w:rPr>
              <w:t xml:space="preserve"> de pro</w:t>
            </w:r>
            <w:r w:rsidRPr="0074345C">
              <w:rPr>
                <w:rFonts w:eastAsia="Times New Roman"/>
                <w:lang w:eastAsia="en-US"/>
              </w:rPr>
              <w:t>longar</w:t>
            </w:r>
            <w:r w:rsidR="0010188F" w:rsidRPr="0074345C">
              <w:rPr>
                <w:rFonts w:eastAsia="Times New Roman"/>
                <w:lang w:eastAsia="en-US"/>
              </w:rPr>
              <w:t xml:space="preserve"> el proyecto </w:t>
            </w:r>
            <w:r w:rsidRPr="0074345C">
              <w:rPr>
                <w:rFonts w:eastAsia="Times New Roman"/>
                <w:lang w:eastAsia="en-US"/>
              </w:rPr>
              <w:t>por</w:t>
            </w:r>
            <w:r w:rsidR="0010188F" w:rsidRPr="0074345C">
              <w:rPr>
                <w:rFonts w:eastAsia="Times New Roman"/>
                <w:lang w:eastAsia="en-US"/>
              </w:rPr>
              <w:t xml:space="preserve"> un año con el fin, entre otras co</w:t>
            </w:r>
            <w:r w:rsidR="00EE3E96" w:rsidRPr="0074345C">
              <w:rPr>
                <w:rFonts w:eastAsia="Times New Roman"/>
                <w:lang w:eastAsia="en-US"/>
              </w:rPr>
              <w:t>s</w:t>
            </w:r>
            <w:r w:rsidR="0010188F" w:rsidRPr="0074345C">
              <w:rPr>
                <w:rFonts w:eastAsia="Times New Roman"/>
                <w:lang w:eastAsia="en-US"/>
              </w:rPr>
              <w:t xml:space="preserve">as, de </w:t>
            </w:r>
            <w:r w:rsidRPr="0074345C">
              <w:rPr>
                <w:rFonts w:eastAsia="Times New Roman"/>
                <w:lang w:eastAsia="en-US"/>
              </w:rPr>
              <w:t>perfeccionar</w:t>
            </w:r>
            <w:r w:rsidR="0010188F" w:rsidRPr="0074345C">
              <w:rPr>
                <w:rFonts w:eastAsia="Times New Roman"/>
                <w:lang w:eastAsia="en-US"/>
              </w:rPr>
              <w:t xml:space="preserve"> todas las herramientas basadas en </w:t>
            </w:r>
            <w:r w:rsidR="004765E6" w:rsidRPr="0074345C">
              <w:rPr>
                <w:rFonts w:eastAsia="Times New Roman"/>
                <w:lang w:eastAsia="en-US"/>
              </w:rPr>
              <w:t>internet,</w:t>
            </w:r>
            <w:r w:rsidR="0010188F" w:rsidRPr="0074345C">
              <w:rPr>
                <w:rFonts w:eastAsia="Times New Roman"/>
                <w:lang w:eastAsia="en-US"/>
              </w:rPr>
              <w:t xml:space="preserve"> promoverlas entre los usuarios y mantenerlas </w:t>
            </w:r>
            <w:r w:rsidR="00DD1550" w:rsidRPr="0074345C">
              <w:rPr>
                <w:rFonts w:eastAsia="Times New Roman"/>
                <w:lang w:eastAsia="en-US"/>
              </w:rPr>
              <w:t>gracias</w:t>
            </w:r>
            <w:r w:rsidR="0010188F" w:rsidRPr="0074345C">
              <w:rPr>
                <w:rFonts w:eastAsia="Times New Roman"/>
                <w:lang w:eastAsia="en-US"/>
              </w:rPr>
              <w:t xml:space="preserve"> a la recogida de </w:t>
            </w:r>
            <w:r w:rsidR="00DD1550" w:rsidRPr="0074345C">
              <w:rPr>
                <w:rFonts w:eastAsia="Times New Roman"/>
                <w:lang w:eastAsia="en-US"/>
              </w:rPr>
              <w:t>información</w:t>
            </w:r>
            <w:r w:rsidR="0010188F" w:rsidRPr="0074345C">
              <w:rPr>
                <w:rFonts w:eastAsia="Times New Roman"/>
                <w:lang w:eastAsia="en-US"/>
              </w:rPr>
              <w:t xml:space="preserve"> </w:t>
            </w:r>
            <w:r w:rsidR="00DD1550" w:rsidRPr="0074345C">
              <w:rPr>
                <w:rFonts w:eastAsia="Times New Roman"/>
                <w:lang w:eastAsia="en-US"/>
              </w:rPr>
              <w:t>adicional</w:t>
            </w:r>
            <w:r w:rsidR="00502F27" w:rsidRPr="0074345C">
              <w:rPr>
                <w:rFonts w:eastAsia="Times New Roman"/>
                <w:lang w:eastAsia="en-US"/>
              </w:rPr>
              <w:t xml:space="preserve">. </w:t>
            </w:r>
            <w:r w:rsidR="0010188F" w:rsidRPr="0074345C">
              <w:rPr>
                <w:rFonts w:eastAsia="Times New Roman"/>
                <w:lang w:eastAsia="en-US"/>
              </w:rPr>
              <w:t xml:space="preserve">El informe de </w:t>
            </w:r>
            <w:r w:rsidR="00DD1550" w:rsidRPr="0074345C">
              <w:rPr>
                <w:rFonts w:eastAsia="Times New Roman"/>
                <w:lang w:eastAsia="en-US"/>
              </w:rPr>
              <w:t>evaluación</w:t>
            </w:r>
            <w:r w:rsidR="0010188F" w:rsidRPr="0074345C">
              <w:rPr>
                <w:rFonts w:eastAsia="Times New Roman"/>
                <w:lang w:eastAsia="en-US"/>
              </w:rPr>
              <w:t xml:space="preserve"> complet</w:t>
            </w:r>
            <w:r w:rsidR="00875AE7" w:rsidRPr="0074345C">
              <w:rPr>
                <w:rFonts w:eastAsia="Times New Roman"/>
                <w:lang w:eastAsia="en-US"/>
              </w:rPr>
              <w:t>o</w:t>
            </w:r>
            <w:r w:rsidR="0010188F" w:rsidRPr="0074345C">
              <w:rPr>
                <w:rFonts w:eastAsia="Times New Roman"/>
                <w:lang w:eastAsia="en-US"/>
              </w:rPr>
              <w:t xml:space="preserve"> se puede consultar en</w:t>
            </w:r>
            <w:r w:rsidR="00502F27" w:rsidRPr="0074345C">
              <w:rPr>
                <w:rFonts w:eastAsia="Times New Roman"/>
                <w:lang w:eastAsia="en-US"/>
              </w:rPr>
              <w:t>: (</w:t>
            </w:r>
            <w:hyperlink r:id="rId54" w:history="1">
              <w:r w:rsidR="00EE3E96" w:rsidRPr="0074345C">
                <w:rPr>
                  <w:rStyle w:val="Hyperlink"/>
                  <w:rFonts w:eastAsia="Times New Roman"/>
                  <w:color w:val="auto"/>
                  <w:lang w:eastAsia="en-US"/>
                </w:rPr>
                <w:t>http://www.wipo.int/meetings/es/doc_details.jsp?doc_id=268822</w:t>
              </w:r>
            </w:hyperlink>
            <w:r w:rsidR="00502F27" w:rsidRPr="0074345C">
              <w:rPr>
                <w:rStyle w:val="Hyperlink"/>
                <w:rFonts w:eastAsia="Times New Roman"/>
                <w:color w:val="auto"/>
                <w:lang w:eastAsia="en-US"/>
              </w:rPr>
              <w:t>)</w:t>
            </w:r>
            <w:r w:rsidR="00EE3E96" w:rsidRPr="0074345C">
              <w:rPr>
                <w:rStyle w:val="Hyperlink"/>
                <w:rFonts w:eastAsia="Times New Roman"/>
                <w:color w:val="auto"/>
                <w:lang w:eastAsia="en-US"/>
              </w:rPr>
              <w:t>.</w:t>
            </w:r>
          </w:p>
          <w:p w:rsidR="003260F8" w:rsidRPr="0074345C" w:rsidRDefault="003260F8" w:rsidP="00E00028">
            <w:pPr>
              <w:pStyle w:val="ListParagraph"/>
              <w:rPr>
                <w:lang w:val="es-ES"/>
              </w:rPr>
            </w:pPr>
          </w:p>
          <w:p w:rsidR="003260F8" w:rsidRPr="0074345C" w:rsidRDefault="00502F27" w:rsidP="00E00028">
            <w:pPr>
              <w:numPr>
                <w:ilvl w:val="0"/>
                <w:numId w:val="5"/>
              </w:numPr>
              <w:rPr>
                <w:rFonts w:eastAsia="Times New Roman"/>
                <w:lang w:eastAsia="en-US"/>
              </w:rPr>
            </w:pPr>
            <w:r w:rsidRPr="0074345C">
              <w:rPr>
                <w:rFonts w:eastAsia="Times New Roman"/>
                <w:lang w:eastAsia="en-US"/>
              </w:rPr>
              <w:t>Dur</w:t>
            </w:r>
            <w:r w:rsidR="0010188F" w:rsidRPr="0074345C">
              <w:rPr>
                <w:rFonts w:eastAsia="Times New Roman"/>
                <w:lang w:eastAsia="en-US"/>
              </w:rPr>
              <w:t xml:space="preserve">ante el periodo </w:t>
            </w:r>
            <w:r w:rsidR="00DD1550" w:rsidRPr="0074345C">
              <w:rPr>
                <w:rFonts w:eastAsia="Times New Roman"/>
                <w:lang w:eastAsia="en-US"/>
              </w:rPr>
              <w:t>o</w:t>
            </w:r>
            <w:r w:rsidR="0010188F" w:rsidRPr="0074345C">
              <w:rPr>
                <w:rFonts w:eastAsia="Times New Roman"/>
                <w:lang w:eastAsia="en-US"/>
              </w:rPr>
              <w:t xml:space="preserve">bjeto de examen </w:t>
            </w:r>
            <w:r w:rsidR="00DD1550" w:rsidRPr="0074345C">
              <w:rPr>
                <w:rFonts w:eastAsia="Times New Roman"/>
                <w:lang w:eastAsia="en-US"/>
              </w:rPr>
              <w:t xml:space="preserve">y </w:t>
            </w:r>
            <w:r w:rsidR="00EE3E96" w:rsidRPr="0074345C">
              <w:rPr>
                <w:rFonts w:eastAsia="Times New Roman"/>
                <w:lang w:eastAsia="en-US"/>
              </w:rPr>
              <w:t xml:space="preserve">teniendo en cuenta </w:t>
            </w:r>
            <w:r w:rsidR="00DD1550" w:rsidRPr="0074345C">
              <w:rPr>
                <w:rFonts w:eastAsia="Times New Roman"/>
                <w:lang w:eastAsia="en-US"/>
              </w:rPr>
              <w:t xml:space="preserve">las recomendaciones que figuran en el informe de evaluación del </w:t>
            </w:r>
            <w:r w:rsidR="009E13C2" w:rsidRPr="0074345C">
              <w:rPr>
                <w:rFonts w:eastAsia="Times New Roman"/>
                <w:lang w:eastAsia="en-US"/>
              </w:rPr>
              <w:t>proyecto</w:t>
            </w:r>
            <w:r w:rsidR="00DD1550" w:rsidRPr="0074345C">
              <w:rPr>
                <w:rFonts w:eastAsia="Times New Roman"/>
                <w:lang w:eastAsia="en-US"/>
              </w:rPr>
              <w:t xml:space="preserve"> y la necesidad, e</w:t>
            </w:r>
            <w:r w:rsidRPr="0074345C">
              <w:rPr>
                <w:rFonts w:eastAsia="Times New Roman"/>
                <w:lang w:eastAsia="en-US"/>
              </w:rPr>
              <w:t xml:space="preserve">n particular, </w:t>
            </w:r>
            <w:r w:rsidR="00DD1550" w:rsidRPr="0074345C">
              <w:rPr>
                <w:rFonts w:eastAsia="Times New Roman"/>
                <w:lang w:eastAsia="en-US"/>
              </w:rPr>
              <w:t xml:space="preserve">de </w:t>
            </w:r>
            <w:r w:rsidR="00A916B9" w:rsidRPr="0074345C">
              <w:rPr>
                <w:rFonts w:eastAsia="Times New Roman"/>
                <w:lang w:eastAsia="en-US"/>
              </w:rPr>
              <w:t>perfeccionar</w:t>
            </w:r>
            <w:r w:rsidR="00DD1550" w:rsidRPr="0074345C">
              <w:rPr>
                <w:rFonts w:eastAsia="Times New Roman"/>
                <w:lang w:eastAsia="en-US"/>
              </w:rPr>
              <w:t xml:space="preserve"> las herramientas basadas en internet en función de los comentarios de los usuarios, y promover la plataforma </w:t>
            </w:r>
            <w:r w:rsidR="00A916B9" w:rsidRPr="0074345C">
              <w:rPr>
                <w:rFonts w:eastAsia="Times New Roman"/>
                <w:lang w:eastAsia="en-US"/>
              </w:rPr>
              <w:t>web</w:t>
            </w:r>
            <w:r w:rsidR="00DD1550" w:rsidRPr="0074345C">
              <w:rPr>
                <w:rFonts w:eastAsia="Times New Roman"/>
                <w:lang w:eastAsia="en-US"/>
              </w:rPr>
              <w:t xml:space="preserve"> </w:t>
            </w:r>
            <w:r w:rsidR="00611EA6" w:rsidRPr="0074345C">
              <w:rPr>
                <w:rFonts w:eastAsia="Times New Roman"/>
                <w:lang w:eastAsia="en-US"/>
              </w:rPr>
              <w:t>Sur–Sur</w:t>
            </w:r>
            <w:r w:rsidR="00DD1550" w:rsidRPr="0074345C">
              <w:rPr>
                <w:rFonts w:eastAsia="Times New Roman"/>
                <w:lang w:eastAsia="en-US"/>
              </w:rPr>
              <w:t xml:space="preserve"> entre los</w:t>
            </w:r>
            <w:r w:rsidRPr="0074345C">
              <w:rPr>
                <w:rFonts w:eastAsia="Times New Roman"/>
                <w:lang w:eastAsia="en-US"/>
              </w:rPr>
              <w:t xml:space="preserve"> </w:t>
            </w:r>
            <w:r w:rsidR="002164FF" w:rsidRPr="0074345C">
              <w:rPr>
                <w:rFonts w:eastAsia="Times New Roman"/>
                <w:lang w:eastAsia="en-US"/>
              </w:rPr>
              <w:t>usuarios</w:t>
            </w:r>
            <w:r w:rsidRPr="0074345C">
              <w:rPr>
                <w:rFonts w:eastAsia="Times New Roman"/>
                <w:lang w:eastAsia="en-US"/>
              </w:rPr>
              <w:t xml:space="preserve">, </w:t>
            </w:r>
            <w:r w:rsidR="00DD1550" w:rsidRPr="0074345C">
              <w:rPr>
                <w:rFonts w:eastAsia="Times New Roman"/>
                <w:lang w:eastAsia="en-US"/>
              </w:rPr>
              <w:t>l</w:t>
            </w:r>
            <w:r w:rsidR="002034F4" w:rsidRPr="0074345C">
              <w:rPr>
                <w:rFonts w:eastAsia="Times New Roman"/>
                <w:lang w:eastAsia="en-US"/>
              </w:rPr>
              <w:t xml:space="preserve">a Secretaría </w:t>
            </w:r>
            <w:r w:rsidRPr="0074345C">
              <w:rPr>
                <w:rFonts w:eastAsia="Times New Roman"/>
                <w:lang w:eastAsia="en-US"/>
              </w:rPr>
              <w:t>prep</w:t>
            </w:r>
            <w:r w:rsidR="00DD1550" w:rsidRPr="0074345C">
              <w:rPr>
                <w:rFonts w:eastAsia="Times New Roman"/>
                <w:lang w:eastAsia="en-US"/>
              </w:rPr>
              <w:t>aró una encuesta electrónica</w:t>
            </w:r>
            <w:r w:rsidR="00EE3E96" w:rsidRPr="0074345C">
              <w:rPr>
                <w:rFonts w:eastAsia="Times New Roman"/>
                <w:lang w:eastAsia="en-US"/>
              </w:rPr>
              <w:t>,</w:t>
            </w:r>
            <w:r w:rsidR="00A916B9" w:rsidRPr="0074345C">
              <w:rPr>
                <w:rFonts w:eastAsia="Times New Roman"/>
                <w:lang w:eastAsia="en-US"/>
              </w:rPr>
              <w:t xml:space="preserve"> disponible en inglé</w:t>
            </w:r>
            <w:r w:rsidR="00DD1550" w:rsidRPr="0074345C">
              <w:rPr>
                <w:rFonts w:eastAsia="Times New Roman"/>
                <w:lang w:eastAsia="en-US"/>
              </w:rPr>
              <w:t>s</w:t>
            </w:r>
            <w:r w:rsidR="00A916B9" w:rsidRPr="0074345C">
              <w:rPr>
                <w:rFonts w:eastAsia="Times New Roman"/>
                <w:lang w:eastAsia="en-US"/>
              </w:rPr>
              <w:t>,</w:t>
            </w:r>
            <w:r w:rsidR="00DD1550" w:rsidRPr="0074345C">
              <w:rPr>
                <w:rFonts w:eastAsia="Times New Roman"/>
                <w:lang w:eastAsia="en-US"/>
              </w:rPr>
              <w:t xml:space="preserve"> francés y español, para recabar comentarios de los u</w:t>
            </w:r>
            <w:r w:rsidR="002164FF" w:rsidRPr="0074345C">
              <w:rPr>
                <w:rFonts w:eastAsia="Times New Roman"/>
                <w:lang w:eastAsia="en-US"/>
              </w:rPr>
              <w:t>suarios</w:t>
            </w:r>
            <w:r w:rsidR="00DD1550" w:rsidRPr="0074345C">
              <w:rPr>
                <w:rFonts w:eastAsia="Times New Roman"/>
                <w:lang w:eastAsia="en-US"/>
              </w:rPr>
              <w:t xml:space="preserve"> de la plataforma </w:t>
            </w:r>
            <w:r w:rsidR="00611EA6" w:rsidRPr="0074345C">
              <w:rPr>
                <w:rFonts w:eastAsia="Times New Roman"/>
                <w:lang w:eastAsia="en-US"/>
              </w:rPr>
              <w:t>Sur–Sur</w:t>
            </w:r>
            <w:r w:rsidR="00DD1550" w:rsidRPr="0074345C">
              <w:rPr>
                <w:rFonts w:eastAsia="Times New Roman"/>
                <w:lang w:eastAsia="en-US"/>
              </w:rPr>
              <w:t xml:space="preserve"> y ayudar a determinar las posibles deficiencias y/o las necesidades de contenido adicional,  las </w:t>
            </w:r>
            <w:r w:rsidR="004765E6" w:rsidRPr="0074345C">
              <w:rPr>
                <w:rFonts w:eastAsia="Times New Roman"/>
                <w:lang w:eastAsia="en-US"/>
              </w:rPr>
              <w:t>características</w:t>
            </w:r>
            <w:r w:rsidR="00DD1550" w:rsidRPr="0074345C">
              <w:rPr>
                <w:rFonts w:eastAsia="Times New Roman"/>
                <w:lang w:eastAsia="en-US"/>
              </w:rPr>
              <w:t xml:space="preserve"> y los recursos en internet relacionados con la c</w:t>
            </w:r>
            <w:r w:rsidR="00611EA6" w:rsidRPr="0074345C">
              <w:rPr>
                <w:rFonts w:eastAsia="Times New Roman"/>
                <w:lang w:eastAsia="en-US"/>
              </w:rPr>
              <w:t>ooperación Sur–Sur</w:t>
            </w:r>
            <w:r w:rsidR="00DD1550" w:rsidRPr="0074345C">
              <w:rPr>
                <w:rFonts w:eastAsia="Times New Roman"/>
                <w:lang w:eastAsia="en-US"/>
              </w:rPr>
              <w:t xml:space="preserve"> en el </w:t>
            </w:r>
            <w:r w:rsidR="004765E6" w:rsidRPr="0074345C">
              <w:rPr>
                <w:rFonts w:eastAsia="Times New Roman"/>
                <w:lang w:eastAsia="en-US"/>
              </w:rPr>
              <w:t>ámbito</w:t>
            </w:r>
            <w:r w:rsidR="00DD1550" w:rsidRPr="0074345C">
              <w:rPr>
                <w:rFonts w:eastAsia="Times New Roman"/>
                <w:lang w:eastAsia="en-US"/>
              </w:rPr>
              <w:t xml:space="preserve"> de la P.I.  Con el fin de potenciar la sensibilización y la difusión de información, la </w:t>
            </w:r>
            <w:r w:rsidR="002034F4" w:rsidRPr="0074345C">
              <w:rPr>
                <w:rFonts w:eastAsia="Times New Roman"/>
                <w:lang w:eastAsia="en-US"/>
              </w:rPr>
              <w:t xml:space="preserve">Secretaría </w:t>
            </w:r>
            <w:r w:rsidR="00DD1550" w:rsidRPr="0074345C">
              <w:rPr>
                <w:rFonts w:eastAsia="Times New Roman"/>
                <w:lang w:eastAsia="en-US"/>
              </w:rPr>
              <w:t xml:space="preserve">también organizó, como se indicó en la sección 2 supra, un </w:t>
            </w:r>
            <w:r w:rsidR="004765E6" w:rsidRPr="0074345C">
              <w:rPr>
                <w:rFonts w:eastAsia="Times New Roman"/>
                <w:lang w:eastAsia="en-US"/>
              </w:rPr>
              <w:t>evento</w:t>
            </w:r>
            <w:r w:rsidR="00DD1550" w:rsidRPr="0074345C">
              <w:rPr>
                <w:rFonts w:eastAsia="Times New Roman"/>
                <w:lang w:eastAsia="en-US"/>
              </w:rPr>
              <w:t xml:space="preserve"> par</w:t>
            </w:r>
            <w:r w:rsidR="004765E6" w:rsidRPr="0074345C">
              <w:rPr>
                <w:rFonts w:eastAsia="Times New Roman"/>
                <w:lang w:eastAsia="en-US"/>
              </w:rPr>
              <w:t>alelo</w:t>
            </w:r>
            <w:r w:rsidR="00DD1550" w:rsidRPr="0074345C">
              <w:rPr>
                <w:rFonts w:eastAsia="Times New Roman"/>
                <w:lang w:eastAsia="en-US"/>
              </w:rPr>
              <w:t xml:space="preserve"> </w:t>
            </w:r>
            <w:r w:rsidR="00DD1550" w:rsidRPr="0074345C">
              <w:rPr>
                <w:rFonts w:eastAsia="Times New Roman"/>
                <w:lang w:eastAsia="en-US"/>
              </w:rPr>
              <w:lastRenderedPageBreak/>
              <w:t xml:space="preserve">durante la décima tercera sesión del </w:t>
            </w:r>
            <w:r w:rsidRPr="0074345C">
              <w:rPr>
                <w:rFonts w:eastAsia="Times New Roman"/>
                <w:lang w:eastAsia="en-US"/>
              </w:rPr>
              <w:t>CDIP</w:t>
            </w:r>
            <w:r w:rsidR="00DD1550" w:rsidRPr="0074345C">
              <w:rPr>
                <w:rFonts w:eastAsia="Times New Roman"/>
                <w:lang w:eastAsia="en-US"/>
              </w:rPr>
              <w:t xml:space="preserve"> para lanzar oficialmente la plataforma </w:t>
            </w:r>
            <w:r w:rsidR="00A916B9" w:rsidRPr="0074345C">
              <w:rPr>
                <w:rFonts w:eastAsia="Times New Roman"/>
                <w:lang w:eastAsia="en-US"/>
              </w:rPr>
              <w:t>web</w:t>
            </w:r>
            <w:r w:rsidR="00DD1550" w:rsidRPr="0074345C">
              <w:rPr>
                <w:rFonts w:eastAsia="Times New Roman"/>
                <w:lang w:eastAsia="en-US"/>
              </w:rPr>
              <w:t xml:space="preserve"> y presentar su principal estructura, contenidos y herramientas</w:t>
            </w:r>
            <w:r w:rsidRPr="0074345C">
              <w:rPr>
                <w:rFonts w:eastAsia="Times New Roman"/>
                <w:lang w:eastAsia="en-US"/>
              </w:rPr>
              <w:t xml:space="preserve">. </w:t>
            </w:r>
            <w:r w:rsidR="00DD1550" w:rsidRPr="0074345C">
              <w:rPr>
                <w:rFonts w:eastAsia="Times New Roman"/>
                <w:lang w:eastAsia="en-US"/>
              </w:rPr>
              <w:t xml:space="preserve">Por último, aunque no menos importante, la </w:t>
            </w:r>
            <w:r w:rsidR="002034F4" w:rsidRPr="0074345C">
              <w:rPr>
                <w:rFonts w:eastAsia="Times New Roman"/>
                <w:lang w:eastAsia="en-US"/>
              </w:rPr>
              <w:t xml:space="preserve">Secretaría </w:t>
            </w:r>
            <w:r w:rsidR="00DD1550" w:rsidRPr="0074345C">
              <w:rPr>
                <w:rFonts w:eastAsia="Times New Roman"/>
                <w:lang w:eastAsia="en-US"/>
              </w:rPr>
              <w:t>siguió recabando, analizando y compilando información  recibida de los E</w:t>
            </w:r>
            <w:r w:rsidR="00193CE1" w:rsidRPr="0074345C">
              <w:rPr>
                <w:rFonts w:eastAsia="Times New Roman"/>
                <w:lang w:eastAsia="en-US"/>
              </w:rPr>
              <w:t>stados Miembros</w:t>
            </w:r>
            <w:r w:rsidRPr="0074345C">
              <w:rPr>
                <w:rFonts w:eastAsia="Times New Roman"/>
                <w:lang w:eastAsia="en-US"/>
              </w:rPr>
              <w:t xml:space="preserve"> </w:t>
            </w:r>
            <w:r w:rsidR="00DD1550" w:rsidRPr="0074345C">
              <w:rPr>
                <w:rFonts w:eastAsia="Times New Roman"/>
                <w:lang w:eastAsia="en-US"/>
              </w:rPr>
              <w:t xml:space="preserve">acerca de las iniciativas nacionales y </w:t>
            </w:r>
            <w:r w:rsidRPr="0074345C">
              <w:rPr>
                <w:rFonts w:eastAsia="Times New Roman"/>
                <w:lang w:eastAsia="en-US"/>
              </w:rPr>
              <w:t>regional</w:t>
            </w:r>
            <w:r w:rsidR="00DD1550" w:rsidRPr="0074345C">
              <w:rPr>
                <w:rFonts w:eastAsia="Times New Roman"/>
                <w:lang w:eastAsia="en-US"/>
              </w:rPr>
              <w:t>es</w:t>
            </w:r>
            <w:r w:rsidRPr="0074345C">
              <w:rPr>
                <w:rFonts w:eastAsia="Times New Roman"/>
                <w:lang w:eastAsia="en-US"/>
              </w:rPr>
              <w:t xml:space="preserve"> </w:t>
            </w:r>
            <w:r w:rsidR="00611EA6" w:rsidRPr="0074345C">
              <w:rPr>
                <w:rFonts w:eastAsia="Times New Roman"/>
                <w:lang w:eastAsia="en-US"/>
              </w:rPr>
              <w:t xml:space="preserve">Sur–Sur </w:t>
            </w:r>
            <w:r w:rsidR="00DD1550" w:rsidRPr="0074345C">
              <w:rPr>
                <w:rFonts w:eastAsia="Times New Roman"/>
                <w:lang w:eastAsia="en-US"/>
              </w:rPr>
              <w:t xml:space="preserve">en el ámbito de la P.I. con el objeto de colocarlas en la plataforma </w:t>
            </w:r>
            <w:r w:rsidR="004765E6" w:rsidRPr="0074345C">
              <w:rPr>
                <w:rFonts w:eastAsia="Times New Roman"/>
                <w:lang w:eastAsia="en-US"/>
              </w:rPr>
              <w:t xml:space="preserve">de internet </w:t>
            </w:r>
            <w:r w:rsidR="00611EA6" w:rsidRPr="0074345C">
              <w:rPr>
                <w:rFonts w:eastAsia="Times New Roman"/>
                <w:lang w:eastAsia="en-US"/>
              </w:rPr>
              <w:t>Sur–Sur</w:t>
            </w:r>
            <w:r w:rsidRPr="0074345C">
              <w:rPr>
                <w:rFonts w:eastAsia="Times New Roman"/>
                <w:lang w:eastAsia="en-US"/>
              </w:rPr>
              <w:t>.</w:t>
            </w:r>
          </w:p>
          <w:p w:rsidR="00502F27" w:rsidRPr="0074345C" w:rsidRDefault="00502F27" w:rsidP="00E00028">
            <w:pPr>
              <w:tabs>
                <w:tab w:val="left" w:pos="567"/>
              </w:tabs>
              <w:rPr>
                <w:rFonts w:eastAsia="Times New Roman"/>
                <w:lang w:eastAsia="en-US"/>
              </w:rPr>
            </w:pPr>
          </w:p>
        </w:tc>
      </w:tr>
      <w:tr w:rsidR="006376E7" w:rsidRPr="0074345C" w:rsidTr="00E00028">
        <w:trPr>
          <w:cantSplit/>
          <w:trHeight w:val="3252"/>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lastRenderedPageBreak/>
              <w:t>Ejemplos de logros y efectos y enseñanzas extraídas</w:t>
            </w:r>
          </w:p>
          <w:p w:rsidR="003260F8" w:rsidRPr="0074345C" w:rsidRDefault="003260F8" w:rsidP="00E00028">
            <w:pPr>
              <w:rPr>
                <w:rFonts w:eastAsia="Times New Roman"/>
                <w:lang w:eastAsia="en-US"/>
              </w:rPr>
            </w:pPr>
          </w:p>
          <w:p w:rsidR="00502F27" w:rsidRPr="0074345C" w:rsidRDefault="00502F27" w:rsidP="00E00028">
            <w:pPr>
              <w:rPr>
                <w:rFonts w:eastAsia="Times New Roman"/>
                <w:i/>
                <w:lang w:eastAsia="en-US"/>
              </w:rPr>
            </w:pPr>
          </w:p>
        </w:tc>
        <w:tc>
          <w:tcPr>
            <w:tcW w:w="6912" w:type="dxa"/>
            <w:vAlign w:val="center"/>
          </w:tcPr>
          <w:p w:rsidR="00502F27" w:rsidRPr="0074345C" w:rsidRDefault="004765E6" w:rsidP="00EE3E96">
            <w:pPr>
              <w:widowControl w:val="0"/>
              <w:rPr>
                <w:rFonts w:eastAsia="Times New Roman"/>
                <w:lang w:eastAsia="en-US"/>
              </w:rPr>
            </w:pPr>
            <w:r w:rsidRPr="0074345C">
              <w:rPr>
                <w:rFonts w:eastAsia="Times New Roman"/>
                <w:lang w:eastAsia="en-US"/>
              </w:rPr>
              <w:t xml:space="preserve">En </w:t>
            </w:r>
            <w:r w:rsidR="00A916B9" w:rsidRPr="0074345C">
              <w:rPr>
                <w:rFonts w:eastAsia="Times New Roman"/>
                <w:lang w:eastAsia="en-US"/>
              </w:rPr>
              <w:t>lo tocante a</w:t>
            </w:r>
            <w:r w:rsidRPr="0074345C">
              <w:rPr>
                <w:rFonts w:eastAsia="Times New Roman"/>
                <w:lang w:eastAsia="en-US"/>
              </w:rPr>
              <w:t>l informe independiente de evaluación del</w:t>
            </w:r>
            <w:r w:rsidR="00502F27" w:rsidRPr="0074345C">
              <w:rPr>
                <w:rFonts w:eastAsia="Times New Roman"/>
                <w:lang w:eastAsia="en-US"/>
              </w:rPr>
              <w:t xml:space="preserve"> </w:t>
            </w:r>
            <w:r w:rsidR="009E13C2" w:rsidRPr="0074345C">
              <w:rPr>
                <w:rFonts w:eastAsia="Times New Roman"/>
                <w:lang w:eastAsia="en-US"/>
              </w:rPr>
              <w:t xml:space="preserve">proyecto </w:t>
            </w:r>
            <w:r w:rsidR="00502F27" w:rsidRPr="0074345C">
              <w:rPr>
                <w:rFonts w:eastAsia="Times New Roman"/>
                <w:lang w:eastAsia="en-US"/>
              </w:rPr>
              <w:t xml:space="preserve"> </w:t>
            </w:r>
            <w:r w:rsidRPr="0074345C">
              <w:rPr>
                <w:rFonts w:eastAsia="Times New Roman"/>
                <w:lang w:eastAsia="en-US"/>
              </w:rPr>
              <w:t>y las conclusiones que figuran en él</w:t>
            </w:r>
            <w:r w:rsidR="00502F27" w:rsidRPr="0074345C">
              <w:rPr>
                <w:rFonts w:eastAsia="Times New Roman"/>
                <w:lang w:eastAsia="en-US"/>
              </w:rPr>
              <w:t xml:space="preserve">, </w:t>
            </w:r>
            <w:r w:rsidR="00EE3E96" w:rsidRPr="0074345C">
              <w:rPr>
                <w:rFonts w:eastAsia="Times New Roman"/>
                <w:lang w:eastAsia="en-US"/>
              </w:rPr>
              <w:t xml:space="preserve">hay indicios que demuestran que </w:t>
            </w:r>
            <w:r w:rsidR="00A916B9" w:rsidRPr="0074345C">
              <w:rPr>
                <w:rFonts w:eastAsia="Times New Roman"/>
                <w:lang w:eastAsia="en-US"/>
              </w:rPr>
              <w:t>e</w:t>
            </w:r>
            <w:r w:rsidRPr="0074345C">
              <w:rPr>
                <w:rFonts w:eastAsia="Times New Roman"/>
                <w:lang w:eastAsia="en-US"/>
              </w:rPr>
              <w:t>l p</w:t>
            </w:r>
            <w:r w:rsidR="009E13C2" w:rsidRPr="0074345C">
              <w:rPr>
                <w:rFonts w:eastAsia="Times New Roman"/>
                <w:lang w:eastAsia="en-US"/>
              </w:rPr>
              <w:t xml:space="preserve">royecto </w:t>
            </w:r>
            <w:r w:rsidRPr="0074345C">
              <w:rPr>
                <w:rFonts w:eastAsia="Times New Roman"/>
                <w:lang w:eastAsia="en-US"/>
              </w:rPr>
              <w:t xml:space="preserve">fue muy pertinente para los </w:t>
            </w:r>
            <w:r w:rsidR="00193CE1" w:rsidRPr="0074345C">
              <w:rPr>
                <w:rFonts w:eastAsia="Times New Roman"/>
                <w:lang w:eastAsia="en-US"/>
              </w:rPr>
              <w:t>Estados Miembros</w:t>
            </w:r>
            <w:r w:rsidR="00502F27" w:rsidRPr="0074345C">
              <w:rPr>
                <w:rFonts w:eastAsia="Times New Roman"/>
                <w:lang w:eastAsia="en-US"/>
              </w:rPr>
              <w:t xml:space="preserve"> </w:t>
            </w:r>
            <w:r w:rsidRPr="0074345C">
              <w:rPr>
                <w:rFonts w:eastAsia="Times New Roman"/>
                <w:lang w:eastAsia="en-US"/>
              </w:rPr>
              <w:t>y los beneficiarios directos, y que tuvo efectos catalizadores y contribuyó a que la</w:t>
            </w:r>
            <w:r w:rsidR="002034F4" w:rsidRPr="0074345C">
              <w:rPr>
                <w:rFonts w:eastAsia="Times New Roman"/>
                <w:lang w:eastAsia="en-US"/>
              </w:rPr>
              <w:t xml:space="preserve"> Secretaría </w:t>
            </w:r>
            <w:r w:rsidRPr="0074345C">
              <w:rPr>
                <w:rFonts w:eastAsia="Times New Roman"/>
                <w:lang w:eastAsia="en-US"/>
              </w:rPr>
              <w:t>y los</w:t>
            </w:r>
            <w:r w:rsidR="00502F27" w:rsidRPr="0074345C">
              <w:rPr>
                <w:rFonts w:eastAsia="Times New Roman"/>
                <w:lang w:eastAsia="en-US"/>
              </w:rPr>
              <w:t xml:space="preserve"> </w:t>
            </w:r>
            <w:r w:rsidR="00193CE1" w:rsidRPr="0074345C">
              <w:rPr>
                <w:rFonts w:eastAsia="Times New Roman"/>
                <w:lang w:eastAsia="en-US"/>
              </w:rPr>
              <w:t>Estados Miembros</w:t>
            </w:r>
            <w:r w:rsidR="00502F27" w:rsidRPr="0074345C">
              <w:rPr>
                <w:rFonts w:eastAsia="Times New Roman"/>
                <w:lang w:eastAsia="en-US"/>
              </w:rPr>
              <w:t xml:space="preserve"> </w:t>
            </w:r>
            <w:r w:rsidRPr="0074345C">
              <w:rPr>
                <w:rFonts w:eastAsia="Times New Roman"/>
                <w:lang w:eastAsia="en-US"/>
              </w:rPr>
              <w:t>tuvieran conciencia de</w:t>
            </w:r>
            <w:r w:rsidR="00A916B9" w:rsidRPr="0074345C">
              <w:rPr>
                <w:rFonts w:eastAsia="Times New Roman"/>
                <w:lang w:eastAsia="en-US"/>
              </w:rPr>
              <w:t>l  valor añadido que supone la c</w:t>
            </w:r>
            <w:r w:rsidRPr="0074345C">
              <w:rPr>
                <w:rFonts w:eastAsia="Times New Roman"/>
                <w:lang w:eastAsia="en-US"/>
              </w:rPr>
              <w:t xml:space="preserve">ooperación Sur–Sur en </w:t>
            </w:r>
            <w:r w:rsidR="00A916B9" w:rsidRPr="0074345C">
              <w:rPr>
                <w:rFonts w:eastAsia="Times New Roman"/>
                <w:lang w:eastAsia="en-US"/>
              </w:rPr>
              <w:t xml:space="preserve">el ámbito de </w:t>
            </w:r>
            <w:r w:rsidRPr="0074345C">
              <w:rPr>
                <w:rFonts w:eastAsia="Times New Roman"/>
                <w:lang w:eastAsia="en-US"/>
              </w:rPr>
              <w:t>la P.I.</w:t>
            </w:r>
            <w:r w:rsidR="00502F27" w:rsidRPr="0074345C">
              <w:rPr>
                <w:rFonts w:eastAsia="Times New Roman"/>
                <w:lang w:eastAsia="en-US"/>
              </w:rPr>
              <w:t xml:space="preserve">  </w:t>
            </w:r>
            <w:r w:rsidRPr="0074345C">
              <w:rPr>
                <w:rFonts w:eastAsia="Times New Roman"/>
                <w:lang w:eastAsia="en-US"/>
              </w:rPr>
              <w:t xml:space="preserve">Las encuestas realizadas en el marco del </w:t>
            </w:r>
            <w:r w:rsidR="009E13C2" w:rsidRPr="0074345C">
              <w:rPr>
                <w:rFonts w:eastAsia="Times New Roman"/>
                <w:lang w:eastAsia="en-US"/>
              </w:rPr>
              <w:t>proyecto</w:t>
            </w:r>
            <w:r w:rsidR="00A916B9" w:rsidRPr="0074345C">
              <w:rPr>
                <w:rFonts w:eastAsia="Times New Roman"/>
                <w:lang w:eastAsia="en-US"/>
              </w:rPr>
              <w:t xml:space="preserve">, </w:t>
            </w:r>
            <w:r w:rsidRPr="0074345C">
              <w:rPr>
                <w:rFonts w:eastAsia="Times New Roman"/>
                <w:lang w:eastAsia="en-US"/>
              </w:rPr>
              <w:t>que fueron validadas por los evaluadores mediante entrevistas detalladas con determinados participantes</w:t>
            </w:r>
            <w:r w:rsidR="00A916B9" w:rsidRPr="0074345C">
              <w:rPr>
                <w:rFonts w:eastAsia="Times New Roman"/>
                <w:lang w:eastAsia="en-US"/>
              </w:rPr>
              <w:t>,</w:t>
            </w:r>
            <w:r w:rsidR="00502F27" w:rsidRPr="0074345C">
              <w:rPr>
                <w:rFonts w:eastAsia="Times New Roman"/>
                <w:lang w:eastAsia="en-US"/>
              </w:rPr>
              <w:t xml:space="preserve"> </w:t>
            </w:r>
            <w:r w:rsidRPr="0074345C">
              <w:rPr>
                <w:rFonts w:eastAsia="Times New Roman"/>
                <w:lang w:eastAsia="en-US"/>
              </w:rPr>
              <w:t xml:space="preserve">confirmó la importancia de las reuniones interregionales y las </w:t>
            </w:r>
            <w:r w:rsidR="00CB6D81" w:rsidRPr="0074345C">
              <w:rPr>
                <w:rFonts w:eastAsia="Times New Roman"/>
                <w:lang w:eastAsia="en-US"/>
              </w:rPr>
              <w:t>conferencias</w:t>
            </w:r>
            <w:r w:rsidRPr="0074345C">
              <w:rPr>
                <w:rFonts w:eastAsia="Times New Roman"/>
                <w:lang w:eastAsia="en-US"/>
              </w:rPr>
              <w:t xml:space="preserve"> anuales sobre la cooperación Sur–Sur y el importante valor </w:t>
            </w:r>
            <w:r w:rsidR="00CB6D81" w:rsidRPr="0074345C">
              <w:rPr>
                <w:rFonts w:eastAsia="Times New Roman"/>
                <w:lang w:eastAsia="en-US"/>
              </w:rPr>
              <w:t>añadido</w:t>
            </w:r>
            <w:r w:rsidRPr="0074345C">
              <w:rPr>
                <w:rFonts w:eastAsia="Times New Roman"/>
                <w:lang w:eastAsia="en-US"/>
              </w:rPr>
              <w:t xml:space="preserve"> que pueden </w:t>
            </w:r>
            <w:r w:rsidR="00A916B9" w:rsidRPr="0074345C">
              <w:rPr>
                <w:rFonts w:eastAsia="Times New Roman"/>
                <w:lang w:eastAsia="en-US"/>
              </w:rPr>
              <w:t>suponer</w:t>
            </w:r>
            <w:r w:rsidRPr="0074345C">
              <w:rPr>
                <w:rFonts w:eastAsia="Times New Roman"/>
                <w:lang w:eastAsia="en-US"/>
              </w:rPr>
              <w:t xml:space="preserve"> las herramientas </w:t>
            </w:r>
            <w:r w:rsidR="00CB6D81" w:rsidRPr="0074345C">
              <w:rPr>
                <w:rFonts w:eastAsia="Times New Roman"/>
                <w:lang w:eastAsia="en-US"/>
              </w:rPr>
              <w:t>basadas en internet para el intercambio de información y el acceso al conocimiento</w:t>
            </w:r>
            <w:r w:rsidR="00502F27" w:rsidRPr="0074345C">
              <w:rPr>
                <w:rFonts w:eastAsia="Times New Roman"/>
                <w:lang w:eastAsia="en-US"/>
              </w:rPr>
              <w:t xml:space="preserve">. </w:t>
            </w:r>
          </w:p>
        </w:tc>
      </w:tr>
      <w:tr w:rsidR="006376E7" w:rsidRPr="0074345C" w:rsidTr="00E00028">
        <w:trPr>
          <w:trHeight w:val="713"/>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Riesgos y medidas paliativas</w:t>
            </w:r>
          </w:p>
          <w:p w:rsidR="003260F8" w:rsidRPr="0074345C" w:rsidRDefault="003260F8" w:rsidP="00E00028">
            <w:pPr>
              <w:rPr>
                <w:rFonts w:eastAsia="Times New Roman"/>
                <w:lang w:eastAsia="en-US"/>
              </w:rPr>
            </w:pPr>
          </w:p>
          <w:p w:rsidR="00502F27" w:rsidRPr="0074345C" w:rsidRDefault="00502F27" w:rsidP="00E00028">
            <w:pPr>
              <w:rPr>
                <w:rFonts w:eastAsia="Times New Roman"/>
                <w:i/>
                <w:lang w:eastAsia="en-US"/>
              </w:rPr>
            </w:pPr>
          </w:p>
        </w:tc>
        <w:tc>
          <w:tcPr>
            <w:tcW w:w="6912" w:type="dxa"/>
          </w:tcPr>
          <w:p w:rsidR="003260F8" w:rsidRPr="0074345C" w:rsidRDefault="003260F8" w:rsidP="00E00028">
            <w:pPr>
              <w:rPr>
                <w:rFonts w:eastAsia="Times New Roman"/>
                <w:lang w:eastAsia="en-US"/>
              </w:rPr>
            </w:pPr>
          </w:p>
          <w:p w:rsidR="003260F8" w:rsidRPr="0074345C" w:rsidRDefault="002164FF" w:rsidP="00E00028">
            <w:pPr>
              <w:rPr>
                <w:rFonts w:eastAsia="Times New Roman"/>
                <w:lang w:eastAsia="en-US"/>
              </w:rPr>
            </w:pPr>
            <w:r w:rsidRPr="0074345C">
              <w:rPr>
                <w:rFonts w:eastAsia="Times New Roman"/>
                <w:lang w:eastAsia="en-US"/>
              </w:rPr>
              <w:t>Riesgo</w:t>
            </w:r>
            <w:r w:rsidR="00CB6D81" w:rsidRPr="0074345C">
              <w:rPr>
                <w:rFonts w:eastAsia="Times New Roman"/>
                <w:lang w:eastAsia="en-US"/>
              </w:rPr>
              <w:t>: utilización insuficiente de la plataforma</w:t>
            </w:r>
            <w:r w:rsidR="007225B4" w:rsidRPr="0074345C">
              <w:rPr>
                <w:rFonts w:eastAsia="Times New Roman"/>
                <w:lang w:eastAsia="en-US"/>
              </w:rPr>
              <w:t xml:space="preserve"> web Sur-Sur</w:t>
            </w:r>
            <w:r w:rsidR="00CB6D81" w:rsidRPr="0074345C">
              <w:rPr>
                <w:rFonts w:eastAsia="Times New Roman"/>
                <w:lang w:eastAsia="en-US"/>
              </w:rPr>
              <w:t xml:space="preserve">, </w:t>
            </w:r>
            <w:r w:rsidR="007225B4" w:rsidRPr="0074345C">
              <w:rPr>
                <w:rFonts w:eastAsia="Times New Roman"/>
                <w:lang w:eastAsia="en-US"/>
              </w:rPr>
              <w:t xml:space="preserve">de las </w:t>
            </w:r>
            <w:r w:rsidR="00CB6D81" w:rsidRPr="0074345C">
              <w:rPr>
                <w:rFonts w:eastAsia="Times New Roman"/>
                <w:lang w:eastAsia="en-US"/>
              </w:rPr>
              <w:t>herramientas y base</w:t>
            </w:r>
            <w:r w:rsidR="007225B4" w:rsidRPr="0074345C">
              <w:rPr>
                <w:rFonts w:eastAsia="Times New Roman"/>
                <w:lang w:eastAsia="en-US"/>
              </w:rPr>
              <w:t>s</w:t>
            </w:r>
            <w:r w:rsidR="00CB6D81" w:rsidRPr="0074345C">
              <w:rPr>
                <w:rFonts w:eastAsia="Times New Roman"/>
                <w:lang w:eastAsia="en-US"/>
              </w:rPr>
              <w:t xml:space="preserve"> de datos por internet sobre la cooperación S</w:t>
            </w:r>
            <w:r w:rsidR="00611EA6" w:rsidRPr="0074345C">
              <w:rPr>
                <w:rFonts w:eastAsia="Times New Roman"/>
                <w:lang w:eastAsia="en-US"/>
              </w:rPr>
              <w:t>ur–Sur</w:t>
            </w:r>
            <w:r w:rsidR="00502F27" w:rsidRPr="0074345C">
              <w:rPr>
                <w:rFonts w:eastAsia="Times New Roman"/>
                <w:lang w:eastAsia="en-US"/>
              </w:rPr>
              <w:t xml:space="preserve">. </w:t>
            </w:r>
          </w:p>
          <w:p w:rsidR="003260F8" w:rsidRPr="0074345C" w:rsidRDefault="003260F8" w:rsidP="00E00028">
            <w:pPr>
              <w:rPr>
                <w:rFonts w:eastAsia="Times New Roman"/>
                <w:lang w:eastAsia="en-US"/>
              </w:rPr>
            </w:pPr>
          </w:p>
          <w:p w:rsidR="003260F8" w:rsidRPr="0074345C" w:rsidRDefault="00CB6D81" w:rsidP="00E00028">
            <w:pPr>
              <w:rPr>
                <w:rFonts w:eastAsia="Times New Roman"/>
                <w:lang w:eastAsia="en-US"/>
              </w:rPr>
            </w:pPr>
            <w:r w:rsidRPr="0074345C">
              <w:rPr>
                <w:rFonts w:eastAsia="Times New Roman"/>
                <w:lang w:eastAsia="en-US"/>
              </w:rPr>
              <w:t>Medidas paliativas</w:t>
            </w:r>
            <w:r w:rsidR="00502F27" w:rsidRPr="0074345C">
              <w:rPr>
                <w:rFonts w:eastAsia="Times New Roman"/>
                <w:lang w:eastAsia="en-US"/>
              </w:rPr>
              <w:t xml:space="preserve">: </w:t>
            </w:r>
            <w:r w:rsidRPr="0074345C">
              <w:rPr>
                <w:rFonts w:eastAsia="Times New Roman"/>
                <w:lang w:eastAsia="en-US"/>
              </w:rPr>
              <w:t>este</w:t>
            </w:r>
            <w:r w:rsidR="00502F27" w:rsidRPr="0074345C">
              <w:rPr>
                <w:rFonts w:eastAsia="Times New Roman"/>
                <w:lang w:eastAsia="en-US"/>
              </w:rPr>
              <w:t xml:space="preserve"> </w:t>
            </w:r>
            <w:r w:rsidR="002164FF" w:rsidRPr="0074345C">
              <w:rPr>
                <w:rFonts w:eastAsia="Times New Roman"/>
                <w:lang w:eastAsia="en-US"/>
              </w:rPr>
              <w:t>riesgo</w:t>
            </w:r>
            <w:r w:rsidR="00502F27" w:rsidRPr="0074345C">
              <w:rPr>
                <w:rFonts w:eastAsia="Times New Roman"/>
                <w:lang w:eastAsia="en-US"/>
              </w:rPr>
              <w:t xml:space="preserve"> </w:t>
            </w:r>
            <w:r w:rsidRPr="0074345C">
              <w:rPr>
                <w:rFonts w:eastAsia="Times New Roman"/>
                <w:lang w:eastAsia="en-US"/>
              </w:rPr>
              <w:t xml:space="preserve">se atenuará mediante el aumento de </w:t>
            </w:r>
            <w:r w:rsidR="00F23313" w:rsidRPr="0074345C">
              <w:rPr>
                <w:rFonts w:eastAsia="Times New Roman"/>
                <w:lang w:eastAsia="en-US"/>
              </w:rPr>
              <w:t>las actividades de divulgación y sensibilización acerca de la nueva plataforma y herramientas de internet entre las partes interesadas pertinentes</w:t>
            </w:r>
            <w:r w:rsidR="00502F27" w:rsidRPr="0074345C">
              <w:rPr>
                <w:rFonts w:eastAsia="Times New Roman"/>
                <w:lang w:eastAsia="en-US"/>
              </w:rPr>
              <w:t xml:space="preserve">.  </w:t>
            </w:r>
          </w:p>
          <w:p w:rsidR="00502F27" w:rsidRPr="0074345C" w:rsidRDefault="00502F27" w:rsidP="00E00028">
            <w:pPr>
              <w:rPr>
                <w:rFonts w:eastAsia="Times New Roman"/>
                <w:iCs/>
                <w:lang w:eastAsia="en-US"/>
              </w:rPr>
            </w:pPr>
          </w:p>
        </w:tc>
      </w:tr>
      <w:tr w:rsidR="006376E7" w:rsidRPr="0074345C" w:rsidTr="00E00028">
        <w:trPr>
          <w:trHeight w:val="901"/>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Cuestiones que requieren atención inmediata</w:t>
            </w:r>
          </w:p>
          <w:p w:rsidR="00502F27" w:rsidRPr="0074345C" w:rsidRDefault="00502F27" w:rsidP="00E00028">
            <w:pPr>
              <w:rPr>
                <w:rFonts w:eastAsia="Times New Roman"/>
                <w:lang w:eastAsia="en-US"/>
              </w:rPr>
            </w:pPr>
          </w:p>
        </w:tc>
        <w:tc>
          <w:tcPr>
            <w:tcW w:w="6912" w:type="dxa"/>
          </w:tcPr>
          <w:p w:rsidR="003260F8" w:rsidRPr="0074345C" w:rsidRDefault="003260F8" w:rsidP="00E00028">
            <w:pPr>
              <w:rPr>
                <w:rFonts w:eastAsia="Times New Roman"/>
                <w:iCs/>
                <w:lang w:eastAsia="en-US"/>
              </w:rPr>
            </w:pPr>
          </w:p>
          <w:p w:rsidR="00502F27" w:rsidRPr="0074345C" w:rsidRDefault="003260F8" w:rsidP="003260F8">
            <w:pPr>
              <w:rPr>
                <w:rFonts w:eastAsia="Times New Roman"/>
                <w:iCs/>
                <w:lang w:eastAsia="en-US"/>
              </w:rPr>
            </w:pPr>
            <w:r w:rsidRPr="0074345C">
              <w:rPr>
                <w:rFonts w:eastAsia="Times New Roman"/>
                <w:iCs/>
                <w:lang w:eastAsia="en-US"/>
              </w:rPr>
              <w:t>No está disponible.</w:t>
            </w:r>
          </w:p>
        </w:tc>
      </w:tr>
      <w:tr w:rsidR="006376E7" w:rsidRPr="0074345C" w:rsidTr="00E00028">
        <w:trPr>
          <w:trHeight w:val="700"/>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Siguientes pasos</w:t>
            </w:r>
          </w:p>
          <w:p w:rsidR="003260F8" w:rsidRPr="0074345C" w:rsidRDefault="003260F8" w:rsidP="00E00028">
            <w:pPr>
              <w:rPr>
                <w:rFonts w:eastAsia="Times New Roman"/>
                <w:lang w:eastAsia="en-US"/>
              </w:rPr>
            </w:pPr>
          </w:p>
          <w:p w:rsidR="00502F27" w:rsidRPr="0074345C" w:rsidRDefault="00502F27" w:rsidP="00E00028">
            <w:pPr>
              <w:rPr>
                <w:rFonts w:eastAsia="Times New Roman"/>
                <w:i/>
                <w:lang w:eastAsia="en-US"/>
              </w:rPr>
            </w:pPr>
          </w:p>
        </w:tc>
        <w:tc>
          <w:tcPr>
            <w:tcW w:w="6912" w:type="dxa"/>
          </w:tcPr>
          <w:p w:rsidR="003260F8" w:rsidRPr="0074345C" w:rsidRDefault="003260F8" w:rsidP="00E00028">
            <w:pPr>
              <w:rPr>
                <w:rFonts w:eastAsia="Times New Roman"/>
                <w:iCs/>
                <w:lang w:eastAsia="en-US"/>
              </w:rPr>
            </w:pPr>
          </w:p>
          <w:p w:rsidR="003260F8" w:rsidRPr="0074345C" w:rsidRDefault="00F23313" w:rsidP="00E00028">
            <w:pPr>
              <w:rPr>
                <w:rFonts w:eastAsia="Times New Roman"/>
                <w:lang w:eastAsia="en-US"/>
              </w:rPr>
            </w:pPr>
            <w:r w:rsidRPr="0074345C">
              <w:rPr>
                <w:rFonts w:eastAsia="Times New Roman"/>
                <w:lang w:eastAsia="en-US"/>
              </w:rPr>
              <w:t xml:space="preserve">Con arreglo a las </w:t>
            </w:r>
            <w:r w:rsidR="00B46E3A" w:rsidRPr="0074345C">
              <w:rPr>
                <w:rFonts w:eastAsia="Times New Roman"/>
                <w:lang w:eastAsia="en-US"/>
              </w:rPr>
              <w:t>recomendaciones</w:t>
            </w:r>
            <w:r w:rsidRPr="0074345C">
              <w:rPr>
                <w:rFonts w:eastAsia="Times New Roman"/>
                <w:lang w:eastAsia="en-US"/>
              </w:rPr>
              <w:t xml:space="preserve"> que figuran en el informe de evaluación final  del </w:t>
            </w:r>
            <w:r w:rsidR="009E13C2" w:rsidRPr="0074345C">
              <w:rPr>
                <w:rFonts w:eastAsia="Times New Roman"/>
                <w:lang w:eastAsia="en-US"/>
              </w:rPr>
              <w:t>proyecto</w:t>
            </w:r>
            <w:r w:rsidRPr="0074345C">
              <w:rPr>
                <w:rFonts w:eastAsia="Times New Roman"/>
                <w:lang w:eastAsia="en-US"/>
              </w:rPr>
              <w:t xml:space="preserve"> aprobado por los </w:t>
            </w:r>
            <w:r w:rsidR="00193CE1" w:rsidRPr="0074345C">
              <w:rPr>
                <w:rFonts w:eastAsia="Times New Roman"/>
                <w:lang w:eastAsia="en-US"/>
              </w:rPr>
              <w:t>Estados Miembros</w:t>
            </w:r>
            <w:r w:rsidR="00502F27" w:rsidRPr="0074345C">
              <w:rPr>
                <w:rFonts w:eastAsia="Times New Roman"/>
                <w:lang w:eastAsia="en-US"/>
              </w:rPr>
              <w:t xml:space="preserve"> </w:t>
            </w:r>
            <w:r w:rsidRPr="0074345C">
              <w:rPr>
                <w:rFonts w:eastAsia="Times New Roman"/>
                <w:lang w:eastAsia="en-US"/>
              </w:rPr>
              <w:t xml:space="preserve">en la </w:t>
            </w:r>
            <w:r w:rsidR="00060026" w:rsidRPr="0074345C">
              <w:rPr>
                <w:rFonts w:eastAsia="Times New Roman"/>
                <w:lang w:eastAsia="en-US"/>
              </w:rPr>
              <w:t>décimo</w:t>
            </w:r>
            <w:r w:rsidRPr="0074345C">
              <w:rPr>
                <w:rFonts w:eastAsia="Times New Roman"/>
                <w:lang w:eastAsia="en-US"/>
              </w:rPr>
              <w:t xml:space="preserve"> terca sesión del C</w:t>
            </w:r>
            <w:r w:rsidR="00502F27" w:rsidRPr="0074345C">
              <w:rPr>
                <w:rFonts w:eastAsia="Times New Roman"/>
                <w:lang w:eastAsia="en-US"/>
              </w:rPr>
              <w:t>DIP</w:t>
            </w:r>
            <w:r w:rsidRPr="0074345C">
              <w:rPr>
                <w:rFonts w:eastAsia="Times New Roman"/>
                <w:lang w:eastAsia="en-US"/>
              </w:rPr>
              <w:t xml:space="preserve">, las </w:t>
            </w:r>
            <w:r w:rsidR="009E13C2" w:rsidRPr="0074345C">
              <w:rPr>
                <w:rFonts w:eastAsia="Times New Roman"/>
                <w:lang w:eastAsia="en-US"/>
              </w:rPr>
              <w:t>actividades</w:t>
            </w:r>
            <w:r w:rsidRPr="0074345C">
              <w:rPr>
                <w:rFonts w:eastAsia="Times New Roman"/>
                <w:lang w:eastAsia="en-US"/>
              </w:rPr>
              <w:t xml:space="preserve"> que se realizaran en los próximos meses serán las siguientes</w:t>
            </w:r>
            <w:r w:rsidR="00502F27" w:rsidRPr="0074345C">
              <w:rPr>
                <w:rFonts w:eastAsia="Times New Roman"/>
                <w:lang w:eastAsia="en-US"/>
              </w:rPr>
              <w:t xml:space="preserve">: </w:t>
            </w:r>
          </w:p>
          <w:p w:rsidR="003260F8" w:rsidRPr="0074345C" w:rsidRDefault="003260F8" w:rsidP="00E00028">
            <w:pPr>
              <w:rPr>
                <w:rFonts w:eastAsia="Times New Roman"/>
                <w:lang w:eastAsia="en-US"/>
              </w:rPr>
            </w:pPr>
          </w:p>
          <w:p w:rsidR="003260F8" w:rsidRPr="0074345C" w:rsidRDefault="00F23313" w:rsidP="00E00028">
            <w:pPr>
              <w:numPr>
                <w:ilvl w:val="0"/>
                <w:numId w:val="15"/>
              </w:numPr>
              <w:rPr>
                <w:rFonts w:eastAsia="Times New Roman"/>
                <w:lang w:eastAsia="en-US"/>
              </w:rPr>
            </w:pPr>
            <w:r w:rsidRPr="0074345C">
              <w:rPr>
                <w:rFonts w:eastAsia="Times New Roman"/>
                <w:lang w:eastAsia="en-US"/>
              </w:rPr>
              <w:t>Perfeccionar las herramientas de internet teniendo en cuenta los comentarios de los usuarios</w:t>
            </w:r>
            <w:r w:rsidR="00502F27" w:rsidRPr="0074345C">
              <w:rPr>
                <w:rFonts w:eastAsia="Times New Roman"/>
                <w:lang w:eastAsia="en-US"/>
              </w:rPr>
              <w:t xml:space="preserve">, </w:t>
            </w:r>
            <w:r w:rsidRPr="0074345C">
              <w:rPr>
                <w:rFonts w:eastAsia="Times New Roman"/>
                <w:lang w:eastAsia="en-US"/>
              </w:rPr>
              <w:t>promoverlas entre los posibles</w:t>
            </w:r>
            <w:r w:rsidR="00502F27" w:rsidRPr="0074345C">
              <w:rPr>
                <w:rFonts w:eastAsia="Times New Roman"/>
                <w:lang w:eastAsia="en-US"/>
              </w:rPr>
              <w:t xml:space="preserve"> </w:t>
            </w:r>
            <w:r w:rsidR="002164FF" w:rsidRPr="0074345C">
              <w:rPr>
                <w:rFonts w:eastAsia="Times New Roman"/>
                <w:lang w:eastAsia="en-US"/>
              </w:rPr>
              <w:t>usuarios</w:t>
            </w:r>
            <w:r w:rsidR="00502F27" w:rsidRPr="0074345C">
              <w:rPr>
                <w:rFonts w:eastAsia="Times New Roman"/>
                <w:lang w:eastAsia="en-US"/>
              </w:rPr>
              <w:t xml:space="preserve"> </w:t>
            </w:r>
            <w:r w:rsidRPr="0074345C">
              <w:rPr>
                <w:rFonts w:eastAsia="Times New Roman"/>
                <w:lang w:eastAsia="en-US"/>
              </w:rPr>
              <w:t>y mantenerlas, incluso mediante la recolección de información</w:t>
            </w:r>
            <w:r w:rsidR="00502F27" w:rsidRPr="0074345C">
              <w:rPr>
                <w:rFonts w:eastAsia="Times New Roman"/>
                <w:lang w:eastAsia="en-US"/>
              </w:rPr>
              <w:t xml:space="preserve">;  </w:t>
            </w:r>
          </w:p>
          <w:p w:rsidR="003260F8" w:rsidRPr="0074345C" w:rsidRDefault="003260F8" w:rsidP="00E00028">
            <w:pPr>
              <w:rPr>
                <w:rFonts w:eastAsia="Times New Roman"/>
                <w:lang w:eastAsia="en-US"/>
              </w:rPr>
            </w:pPr>
          </w:p>
          <w:p w:rsidR="003260F8" w:rsidRPr="0074345C" w:rsidRDefault="00F23313" w:rsidP="00E00028">
            <w:pPr>
              <w:numPr>
                <w:ilvl w:val="0"/>
                <w:numId w:val="15"/>
              </w:numPr>
              <w:rPr>
                <w:rFonts w:eastAsia="Times New Roman"/>
                <w:lang w:eastAsia="en-US"/>
              </w:rPr>
            </w:pPr>
            <w:r w:rsidRPr="0074345C">
              <w:rPr>
                <w:rFonts w:eastAsia="Times New Roman"/>
                <w:lang w:eastAsia="en-US"/>
              </w:rPr>
              <w:t>Hacer un</w:t>
            </w:r>
            <w:r w:rsidR="007225B4" w:rsidRPr="0074345C">
              <w:rPr>
                <w:rFonts w:eastAsia="Times New Roman"/>
                <w:lang w:eastAsia="en-US"/>
              </w:rPr>
              <w:t xml:space="preserve">a cartografía </w:t>
            </w:r>
            <w:r w:rsidRPr="0074345C">
              <w:rPr>
                <w:rFonts w:eastAsia="Times New Roman"/>
                <w:lang w:eastAsia="en-US"/>
              </w:rPr>
              <w:t xml:space="preserve">de las actividades de cooperación </w:t>
            </w:r>
            <w:r w:rsidR="00611EA6" w:rsidRPr="0074345C">
              <w:rPr>
                <w:rFonts w:eastAsia="Times New Roman"/>
                <w:lang w:eastAsia="en-US"/>
              </w:rPr>
              <w:t xml:space="preserve">Sur–Sur </w:t>
            </w:r>
            <w:r w:rsidRPr="0074345C">
              <w:rPr>
                <w:rFonts w:eastAsia="Times New Roman"/>
                <w:lang w:eastAsia="en-US"/>
              </w:rPr>
              <w:t xml:space="preserve">existentes en la </w:t>
            </w:r>
            <w:r w:rsidR="00193CE1" w:rsidRPr="0074345C">
              <w:rPr>
                <w:rFonts w:eastAsia="Times New Roman"/>
                <w:lang w:eastAsia="en-US"/>
              </w:rPr>
              <w:t>OMPI</w:t>
            </w:r>
            <w:r w:rsidR="00502F27" w:rsidRPr="0074345C">
              <w:rPr>
                <w:rFonts w:eastAsia="Times New Roman"/>
                <w:lang w:eastAsia="en-US"/>
              </w:rPr>
              <w:t xml:space="preserve">, </w:t>
            </w:r>
            <w:r w:rsidR="007225B4" w:rsidRPr="0074345C">
              <w:rPr>
                <w:rFonts w:eastAsia="Times New Roman"/>
                <w:lang w:eastAsia="en-US"/>
              </w:rPr>
              <w:t>estudiando las prácticas ó</w:t>
            </w:r>
            <w:r w:rsidRPr="0074345C">
              <w:rPr>
                <w:rFonts w:eastAsia="Times New Roman"/>
                <w:lang w:eastAsia="en-US"/>
              </w:rPr>
              <w:t>ptimas en otras organizaciones de las Naciones Unidas</w:t>
            </w:r>
            <w:r w:rsidR="00502F27" w:rsidRPr="0074345C">
              <w:rPr>
                <w:rFonts w:eastAsia="Times New Roman"/>
                <w:lang w:eastAsia="en-US"/>
              </w:rPr>
              <w:t xml:space="preserve">; </w:t>
            </w:r>
          </w:p>
          <w:p w:rsidR="003260F8" w:rsidRPr="0074345C" w:rsidRDefault="003260F8" w:rsidP="00E00028">
            <w:pPr>
              <w:rPr>
                <w:rFonts w:eastAsia="Times New Roman"/>
                <w:lang w:eastAsia="en-US"/>
              </w:rPr>
            </w:pPr>
          </w:p>
          <w:p w:rsidR="003260F8" w:rsidRPr="0074345C" w:rsidRDefault="002034F4" w:rsidP="00E00028">
            <w:pPr>
              <w:numPr>
                <w:ilvl w:val="0"/>
                <w:numId w:val="15"/>
              </w:numPr>
              <w:rPr>
                <w:rFonts w:eastAsia="Times New Roman"/>
                <w:iCs/>
                <w:lang w:eastAsia="en-US"/>
              </w:rPr>
            </w:pPr>
            <w:r w:rsidRPr="0074345C">
              <w:rPr>
                <w:rFonts w:eastAsia="Times New Roman"/>
                <w:lang w:eastAsia="en-US"/>
              </w:rPr>
              <w:t xml:space="preserve">La Secretaría </w:t>
            </w:r>
            <w:r w:rsidR="00F23313" w:rsidRPr="0074345C">
              <w:rPr>
                <w:rFonts w:eastAsia="Times New Roman"/>
                <w:lang w:eastAsia="en-US"/>
              </w:rPr>
              <w:t>también mantendrá su seguimiento de las actividades en el ámbito de la c</w:t>
            </w:r>
            <w:r w:rsidR="00611EA6" w:rsidRPr="0074345C">
              <w:rPr>
                <w:rFonts w:eastAsia="Times New Roman"/>
                <w:lang w:eastAsia="en-US"/>
              </w:rPr>
              <w:t>ooperación Sur–Sur</w:t>
            </w:r>
            <w:r w:rsidR="00F23313" w:rsidRPr="0074345C">
              <w:rPr>
                <w:rFonts w:eastAsia="Times New Roman"/>
                <w:lang w:eastAsia="en-US"/>
              </w:rPr>
              <w:t xml:space="preserve"> en todo el sistema de las Naciones Unidas y coordinará con la U</w:t>
            </w:r>
            <w:r w:rsidR="00502F27" w:rsidRPr="0074345C">
              <w:rPr>
                <w:rFonts w:eastAsia="Times New Roman"/>
                <w:lang w:eastAsia="en-US"/>
              </w:rPr>
              <w:t xml:space="preserve">NOSSC </w:t>
            </w:r>
            <w:r w:rsidR="00F23313" w:rsidRPr="0074345C">
              <w:rPr>
                <w:rFonts w:eastAsia="Times New Roman"/>
                <w:lang w:eastAsia="en-US"/>
              </w:rPr>
              <w:t xml:space="preserve">para asegurar la continuidad de los vínculos que se entablaron durante el </w:t>
            </w:r>
            <w:r w:rsidR="009E13C2" w:rsidRPr="0074345C">
              <w:rPr>
                <w:rFonts w:eastAsia="Times New Roman"/>
                <w:lang w:eastAsia="en-US"/>
              </w:rPr>
              <w:t xml:space="preserve">proyecto </w:t>
            </w:r>
            <w:r w:rsidR="00502F27" w:rsidRPr="0074345C">
              <w:rPr>
                <w:rFonts w:eastAsia="Times New Roman"/>
                <w:lang w:eastAsia="en-US"/>
              </w:rPr>
              <w:t>;</w:t>
            </w:r>
          </w:p>
          <w:p w:rsidR="003260F8" w:rsidRPr="0074345C" w:rsidRDefault="003260F8" w:rsidP="00E00028">
            <w:pPr>
              <w:pStyle w:val="ListParagraph"/>
              <w:rPr>
                <w:iCs/>
                <w:lang w:val="es-ES"/>
              </w:rPr>
            </w:pPr>
          </w:p>
          <w:p w:rsidR="003260F8" w:rsidRPr="0074345C" w:rsidRDefault="00C855F1" w:rsidP="00C855F1">
            <w:pPr>
              <w:numPr>
                <w:ilvl w:val="0"/>
                <w:numId w:val="15"/>
              </w:numPr>
              <w:rPr>
                <w:iCs/>
              </w:rPr>
            </w:pPr>
            <w:r w:rsidRPr="0074345C">
              <w:rPr>
                <w:rFonts w:eastAsia="Times New Roman"/>
                <w:iCs/>
                <w:lang w:eastAsia="en-US"/>
              </w:rPr>
              <w:t xml:space="preserve">Habida cuenta de las </w:t>
            </w:r>
            <w:r w:rsidR="00B46E3A" w:rsidRPr="0074345C">
              <w:rPr>
                <w:rFonts w:eastAsia="Times New Roman"/>
                <w:iCs/>
                <w:lang w:eastAsia="en-US"/>
              </w:rPr>
              <w:t>recomendaciones</w:t>
            </w:r>
            <w:r w:rsidR="00502F27" w:rsidRPr="0074345C">
              <w:rPr>
                <w:rFonts w:eastAsia="Times New Roman"/>
                <w:iCs/>
                <w:lang w:eastAsia="en-US"/>
              </w:rPr>
              <w:t xml:space="preserve"> </w:t>
            </w:r>
            <w:r w:rsidRPr="0074345C">
              <w:rPr>
                <w:rFonts w:eastAsia="Times New Roman"/>
                <w:iCs/>
                <w:lang w:eastAsia="en-US"/>
              </w:rPr>
              <w:t>del informe de evaluación</w:t>
            </w:r>
            <w:r w:rsidR="00502F27" w:rsidRPr="0074345C">
              <w:rPr>
                <w:rFonts w:eastAsia="Times New Roman"/>
                <w:iCs/>
                <w:lang w:eastAsia="en-US"/>
              </w:rPr>
              <w:t xml:space="preserve">, </w:t>
            </w:r>
            <w:r w:rsidRPr="0074345C">
              <w:rPr>
                <w:rFonts w:eastAsia="Times New Roman"/>
                <w:iCs/>
                <w:lang w:eastAsia="en-US"/>
              </w:rPr>
              <w:t>l</w:t>
            </w:r>
            <w:r w:rsidR="002034F4" w:rsidRPr="0074345C">
              <w:rPr>
                <w:rFonts w:eastAsia="Times New Roman"/>
                <w:iCs/>
                <w:lang w:eastAsia="en-US"/>
              </w:rPr>
              <w:t xml:space="preserve">a Secretaría </w:t>
            </w:r>
            <w:r w:rsidRPr="0074345C">
              <w:rPr>
                <w:rFonts w:eastAsia="Times New Roman"/>
                <w:iCs/>
                <w:lang w:eastAsia="en-US"/>
              </w:rPr>
              <w:t>también preparar</w:t>
            </w:r>
            <w:r w:rsidR="007225B4" w:rsidRPr="0074345C">
              <w:rPr>
                <w:rFonts w:eastAsia="Times New Roman"/>
                <w:iCs/>
                <w:lang w:eastAsia="en-US"/>
              </w:rPr>
              <w:t>á</w:t>
            </w:r>
            <w:r w:rsidRPr="0074345C">
              <w:rPr>
                <w:rFonts w:eastAsia="Times New Roman"/>
                <w:iCs/>
                <w:lang w:eastAsia="en-US"/>
              </w:rPr>
              <w:t xml:space="preserve"> un proyecto de hoja de ruta para la integración de la c</w:t>
            </w:r>
            <w:r w:rsidR="00611EA6" w:rsidRPr="0074345C">
              <w:rPr>
                <w:rFonts w:eastAsia="Times New Roman"/>
                <w:iCs/>
                <w:lang w:eastAsia="en-US"/>
              </w:rPr>
              <w:t>ooperación Sur–Sur</w:t>
            </w:r>
            <w:r w:rsidRPr="0074345C">
              <w:rPr>
                <w:rFonts w:eastAsia="Times New Roman"/>
                <w:iCs/>
                <w:lang w:eastAsia="en-US"/>
              </w:rPr>
              <w:t xml:space="preserve"> como estrategia </w:t>
            </w:r>
            <w:r w:rsidR="00611EA6" w:rsidRPr="0074345C">
              <w:rPr>
                <w:rFonts w:eastAsia="Times New Roman"/>
                <w:iCs/>
                <w:lang w:eastAsia="en-US"/>
              </w:rPr>
              <w:t xml:space="preserve"> </w:t>
            </w:r>
            <w:r w:rsidRPr="0074345C">
              <w:rPr>
                <w:rFonts w:eastAsia="Times New Roman"/>
                <w:iCs/>
                <w:lang w:eastAsia="en-US"/>
              </w:rPr>
              <w:t xml:space="preserve">de ejecución para complementar los </w:t>
            </w:r>
            <w:r w:rsidR="0014268C" w:rsidRPr="0074345C">
              <w:rPr>
                <w:rFonts w:eastAsia="Times New Roman"/>
                <w:iCs/>
                <w:lang w:eastAsia="en-US"/>
              </w:rPr>
              <w:t>enfoques</w:t>
            </w:r>
            <w:r w:rsidRPr="0074345C">
              <w:rPr>
                <w:rFonts w:eastAsia="Times New Roman"/>
                <w:iCs/>
                <w:lang w:eastAsia="en-US"/>
              </w:rPr>
              <w:t xml:space="preserve"> actuales en la O</w:t>
            </w:r>
            <w:r w:rsidR="00193CE1" w:rsidRPr="0074345C">
              <w:rPr>
                <w:rFonts w:eastAsia="Times New Roman"/>
                <w:iCs/>
                <w:lang w:eastAsia="en-US"/>
              </w:rPr>
              <w:t xml:space="preserve">MPI </w:t>
            </w:r>
            <w:r w:rsidRPr="0074345C">
              <w:rPr>
                <w:rFonts w:eastAsia="Times New Roman"/>
                <w:iCs/>
                <w:lang w:eastAsia="en-US"/>
              </w:rPr>
              <w:t xml:space="preserve">para su consideración </w:t>
            </w:r>
            <w:r w:rsidR="0014268C" w:rsidRPr="0074345C">
              <w:rPr>
                <w:rFonts w:eastAsia="Times New Roman"/>
                <w:iCs/>
                <w:lang w:eastAsia="en-US"/>
              </w:rPr>
              <w:t>por</w:t>
            </w:r>
            <w:r w:rsidRPr="0074345C">
              <w:rPr>
                <w:rFonts w:eastAsia="Times New Roman"/>
                <w:iCs/>
                <w:lang w:eastAsia="en-US"/>
              </w:rPr>
              <w:t xml:space="preserve"> los </w:t>
            </w:r>
            <w:r w:rsidR="00193CE1" w:rsidRPr="0074345C">
              <w:rPr>
                <w:rFonts w:eastAsia="Times New Roman"/>
                <w:iCs/>
                <w:lang w:eastAsia="en-US"/>
              </w:rPr>
              <w:t>Estados Miembros</w:t>
            </w:r>
            <w:r w:rsidR="00502F27" w:rsidRPr="0074345C">
              <w:rPr>
                <w:rFonts w:eastAsia="Times New Roman"/>
                <w:iCs/>
                <w:lang w:eastAsia="en-US"/>
              </w:rPr>
              <w:t>.</w:t>
            </w:r>
          </w:p>
          <w:p w:rsidR="00502F27" w:rsidRPr="0074345C" w:rsidRDefault="00502F27" w:rsidP="00E00028">
            <w:pPr>
              <w:rPr>
                <w:rFonts w:eastAsia="Times New Roman"/>
                <w:iCs/>
                <w:lang w:eastAsia="en-US"/>
              </w:rPr>
            </w:pPr>
          </w:p>
        </w:tc>
      </w:tr>
      <w:tr w:rsidR="006376E7" w:rsidRPr="0074345C" w:rsidTr="00E00028">
        <w:trPr>
          <w:trHeight w:val="1407"/>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lastRenderedPageBreak/>
              <w:t>Calendario de ejecución</w:t>
            </w:r>
          </w:p>
          <w:p w:rsidR="003260F8" w:rsidRPr="0074345C" w:rsidRDefault="003260F8" w:rsidP="00E00028">
            <w:pPr>
              <w:rPr>
                <w:rFonts w:eastAsia="Times New Roman"/>
                <w:lang w:eastAsia="en-US"/>
              </w:rPr>
            </w:pPr>
          </w:p>
          <w:p w:rsidR="00502F27" w:rsidRPr="0074345C" w:rsidRDefault="00502F27" w:rsidP="00E00028">
            <w:pPr>
              <w:rPr>
                <w:rFonts w:eastAsia="Times New Roman"/>
                <w:i/>
                <w:lang w:eastAsia="en-US"/>
              </w:rPr>
            </w:pPr>
          </w:p>
        </w:tc>
        <w:tc>
          <w:tcPr>
            <w:tcW w:w="6912" w:type="dxa"/>
          </w:tcPr>
          <w:p w:rsidR="003260F8" w:rsidRPr="0074345C" w:rsidRDefault="003260F8" w:rsidP="00E00028">
            <w:pPr>
              <w:rPr>
                <w:rFonts w:eastAsia="Times New Roman"/>
                <w:iCs/>
                <w:lang w:eastAsia="en-US"/>
              </w:rPr>
            </w:pPr>
          </w:p>
          <w:p w:rsidR="00502F27" w:rsidRPr="0074345C" w:rsidRDefault="00C855F1" w:rsidP="00C855F1">
            <w:pPr>
              <w:rPr>
                <w:rFonts w:eastAsia="Times New Roman"/>
                <w:iCs/>
                <w:lang w:eastAsia="en-US"/>
              </w:rPr>
            </w:pPr>
            <w:r w:rsidRPr="0074345C">
              <w:t xml:space="preserve">La evaluación del </w:t>
            </w:r>
            <w:r w:rsidR="009E13C2" w:rsidRPr="0074345C">
              <w:t>proyecto</w:t>
            </w:r>
            <w:r w:rsidRPr="0074345C">
              <w:t xml:space="preserve"> se llevó a cabo en el plazo previsto</w:t>
            </w:r>
            <w:r w:rsidR="00502F27" w:rsidRPr="0074345C">
              <w:t xml:space="preserve">. </w:t>
            </w:r>
            <w:r w:rsidRPr="0074345C">
              <w:t xml:space="preserve">Según la decisión adoptada por los </w:t>
            </w:r>
            <w:r w:rsidR="00193CE1" w:rsidRPr="0074345C">
              <w:t>Estados Miembros</w:t>
            </w:r>
            <w:r w:rsidR="00502F27" w:rsidRPr="0074345C">
              <w:t xml:space="preserve"> </w:t>
            </w:r>
            <w:r w:rsidRPr="0074345C">
              <w:t>en la décimo tercera sesión del C</w:t>
            </w:r>
            <w:r w:rsidR="00502F27" w:rsidRPr="0074345C">
              <w:t>DIP</w:t>
            </w:r>
            <w:r w:rsidRPr="0074345C">
              <w:t xml:space="preserve">, el </w:t>
            </w:r>
            <w:r w:rsidR="009E13C2" w:rsidRPr="0074345C">
              <w:t xml:space="preserve">Comité </w:t>
            </w:r>
            <w:r w:rsidR="00502F27" w:rsidRPr="0074345C">
              <w:t>a</w:t>
            </w:r>
            <w:r w:rsidRPr="0074345C">
              <w:t xml:space="preserve">cordó prolongar el proyecto por un año para posibilitar la terminación de las </w:t>
            </w:r>
            <w:r w:rsidR="009E13C2" w:rsidRPr="0074345C">
              <w:t xml:space="preserve">actividades </w:t>
            </w:r>
            <w:r w:rsidRPr="0074345C">
              <w:t>pendientes dentro del presupuesto restante del proyecto.</w:t>
            </w:r>
          </w:p>
        </w:tc>
      </w:tr>
      <w:tr w:rsidR="006376E7" w:rsidRPr="0074345C" w:rsidTr="00E00028">
        <w:trPr>
          <w:trHeight w:val="848"/>
        </w:trPr>
        <w:tc>
          <w:tcPr>
            <w:tcW w:w="2376" w:type="dxa"/>
            <w:shd w:val="clear" w:color="auto" w:fill="auto"/>
          </w:tcPr>
          <w:p w:rsidR="003260F8" w:rsidRPr="0074345C" w:rsidRDefault="003260F8" w:rsidP="003260F8">
            <w:pPr>
              <w:keepNext/>
              <w:spacing w:before="240" w:after="60"/>
              <w:outlineLvl w:val="2"/>
              <w:rPr>
                <w:bCs/>
                <w:szCs w:val="26"/>
                <w:u w:val="single"/>
                <w:lang w:eastAsia="en-US"/>
              </w:rPr>
            </w:pPr>
            <w:r w:rsidRPr="0074345C">
              <w:rPr>
                <w:bCs/>
                <w:szCs w:val="26"/>
                <w:u w:val="single"/>
                <w:lang w:eastAsia="en-US"/>
              </w:rPr>
              <w:t>Porcentaje de ejecución del proyecto</w:t>
            </w:r>
            <w:r w:rsidR="00502F27" w:rsidRPr="0074345C">
              <w:rPr>
                <w:bCs/>
                <w:szCs w:val="26"/>
                <w:u w:val="single"/>
                <w:lang w:eastAsia="en-US"/>
              </w:rPr>
              <w:t xml:space="preserve"> </w:t>
            </w:r>
          </w:p>
          <w:p w:rsidR="00502F27" w:rsidRPr="0074345C" w:rsidRDefault="00502F27" w:rsidP="00E00028">
            <w:pPr>
              <w:rPr>
                <w:rFonts w:eastAsia="Times New Roman"/>
                <w:i/>
                <w:lang w:eastAsia="en-US"/>
              </w:rPr>
            </w:pPr>
          </w:p>
        </w:tc>
        <w:tc>
          <w:tcPr>
            <w:tcW w:w="6912" w:type="dxa"/>
          </w:tcPr>
          <w:p w:rsidR="003260F8" w:rsidRPr="0074345C" w:rsidRDefault="003260F8" w:rsidP="00E00028"/>
          <w:p w:rsidR="00502F27" w:rsidRPr="0074345C" w:rsidRDefault="003260F8" w:rsidP="003260F8">
            <w:pPr>
              <w:rPr>
                <w:rFonts w:eastAsia="Times New Roman"/>
                <w:iCs/>
                <w:lang w:eastAsia="en-US"/>
              </w:rPr>
            </w:pPr>
            <w:r w:rsidRPr="0074345C">
              <w:rPr>
                <w:rFonts w:eastAsia="Times New Roman"/>
                <w:iCs/>
                <w:lang w:eastAsia="en-US"/>
              </w:rPr>
              <w:t>Porcentaje de utilización del presupuesto a finales de agosto de 2014</w:t>
            </w:r>
            <w:proofErr w:type="gramStart"/>
            <w:r w:rsidRPr="0074345C">
              <w:rPr>
                <w:rFonts w:eastAsia="Times New Roman"/>
                <w:iCs/>
                <w:lang w:eastAsia="en-US"/>
              </w:rPr>
              <w:t>:  74</w:t>
            </w:r>
            <w:proofErr w:type="gramEnd"/>
            <w:r w:rsidRPr="0074345C">
              <w:rPr>
                <w:rFonts w:eastAsia="Times New Roman"/>
                <w:iCs/>
                <w:lang w:eastAsia="en-US"/>
              </w:rPr>
              <w:t>%.</w:t>
            </w:r>
          </w:p>
        </w:tc>
      </w:tr>
      <w:tr w:rsidR="00502F27" w:rsidRPr="0074345C" w:rsidTr="00E00028">
        <w:trPr>
          <w:trHeight w:val="848"/>
        </w:trPr>
        <w:tc>
          <w:tcPr>
            <w:tcW w:w="2376" w:type="dxa"/>
            <w:shd w:val="clear" w:color="auto" w:fill="auto"/>
          </w:tcPr>
          <w:p w:rsidR="00502F27" w:rsidRPr="0074345C" w:rsidRDefault="003260F8" w:rsidP="003260F8">
            <w:pPr>
              <w:keepNext/>
              <w:spacing w:before="240" w:after="60"/>
              <w:outlineLvl w:val="2"/>
              <w:rPr>
                <w:bCs/>
                <w:szCs w:val="26"/>
                <w:u w:val="single"/>
                <w:lang w:eastAsia="en-US"/>
              </w:rPr>
            </w:pPr>
            <w:r w:rsidRPr="0074345C">
              <w:rPr>
                <w:bCs/>
                <w:szCs w:val="26"/>
                <w:u w:val="single"/>
                <w:lang w:eastAsia="en-US"/>
              </w:rPr>
              <w:t>Informes previos</w:t>
            </w:r>
          </w:p>
        </w:tc>
        <w:tc>
          <w:tcPr>
            <w:tcW w:w="6912" w:type="dxa"/>
          </w:tcPr>
          <w:p w:rsidR="003260F8" w:rsidRPr="0074345C" w:rsidRDefault="003260F8" w:rsidP="00E00028">
            <w:pPr>
              <w:rPr>
                <w:rFonts w:eastAsia="Times New Roman"/>
                <w:iCs/>
                <w:lang w:eastAsia="en-US"/>
              </w:rPr>
            </w:pPr>
          </w:p>
          <w:p w:rsidR="003260F8" w:rsidRPr="0074345C" w:rsidRDefault="0069127C" w:rsidP="00E00028">
            <w:r w:rsidRPr="0074345C">
              <w:t>Los informes sobre la marcha de</w:t>
            </w:r>
            <w:r w:rsidR="0014268C" w:rsidRPr="0074345C">
              <w:t>l</w:t>
            </w:r>
            <w:r w:rsidRPr="0074345C">
              <w:t xml:space="preserve"> p</w:t>
            </w:r>
            <w:r w:rsidR="009E13C2" w:rsidRPr="0074345C">
              <w:t>royecto</w:t>
            </w:r>
            <w:r w:rsidR="00502F27" w:rsidRPr="0074345C">
              <w:t xml:space="preserve">, </w:t>
            </w:r>
            <w:r w:rsidR="0014268C" w:rsidRPr="0074345C">
              <w:t xml:space="preserve">que figuran </w:t>
            </w:r>
            <w:r w:rsidRPr="0074345C">
              <w:t xml:space="preserve">en los </w:t>
            </w:r>
            <w:r w:rsidR="009E13C2" w:rsidRPr="0074345C">
              <w:t xml:space="preserve">documentos </w:t>
            </w:r>
            <w:r w:rsidR="00502F27" w:rsidRPr="0074345C">
              <w:t xml:space="preserve"> </w:t>
            </w:r>
            <w:r w:rsidR="00502F27" w:rsidRPr="0074345C">
              <w:rPr>
                <w:iCs/>
              </w:rPr>
              <w:t xml:space="preserve">CDIP/10/2, </w:t>
            </w:r>
            <w:r w:rsidR="009E13C2" w:rsidRPr="0074345C">
              <w:rPr>
                <w:iCs/>
              </w:rPr>
              <w:t xml:space="preserve">Anexo </w:t>
            </w:r>
            <w:r w:rsidR="00502F27" w:rsidRPr="0074345C">
              <w:rPr>
                <w:iCs/>
              </w:rPr>
              <w:t xml:space="preserve"> XI </w:t>
            </w:r>
            <w:r w:rsidRPr="0074345C">
              <w:rPr>
                <w:iCs/>
              </w:rPr>
              <w:t>y</w:t>
            </w:r>
            <w:r w:rsidR="00502F27" w:rsidRPr="0074345C">
              <w:rPr>
                <w:iCs/>
              </w:rPr>
              <w:t xml:space="preserve"> CDIP/12/2, </w:t>
            </w:r>
            <w:r w:rsidR="009E13C2" w:rsidRPr="0074345C">
              <w:rPr>
                <w:iCs/>
              </w:rPr>
              <w:t xml:space="preserve">Anexo </w:t>
            </w:r>
            <w:r w:rsidR="00502F27" w:rsidRPr="0074345C">
              <w:rPr>
                <w:iCs/>
              </w:rPr>
              <w:t xml:space="preserve"> IX, </w:t>
            </w:r>
            <w:r w:rsidRPr="0074345C">
              <w:rPr>
                <w:iCs/>
              </w:rPr>
              <w:t xml:space="preserve">se presentaron al </w:t>
            </w:r>
            <w:r w:rsidR="009E13C2" w:rsidRPr="0074345C">
              <w:rPr>
                <w:iCs/>
              </w:rPr>
              <w:t xml:space="preserve"> Comité </w:t>
            </w:r>
            <w:r w:rsidRPr="0074345C">
              <w:rPr>
                <w:iCs/>
              </w:rPr>
              <w:t xml:space="preserve">en sus sesiones decima y </w:t>
            </w:r>
            <w:r w:rsidR="00060026" w:rsidRPr="0074345C">
              <w:rPr>
                <w:iCs/>
              </w:rPr>
              <w:t>décimo</w:t>
            </w:r>
            <w:r w:rsidRPr="0074345C">
              <w:rPr>
                <w:iCs/>
              </w:rPr>
              <w:t xml:space="preserve"> segunda, respectivamente</w:t>
            </w:r>
            <w:r w:rsidR="00502F27" w:rsidRPr="0074345C">
              <w:rPr>
                <w:iCs/>
              </w:rPr>
              <w:t>.</w:t>
            </w:r>
          </w:p>
          <w:p w:rsidR="003260F8" w:rsidRPr="0074345C" w:rsidRDefault="003260F8" w:rsidP="00E00028">
            <w:pPr>
              <w:rPr>
                <w:rFonts w:eastAsia="Times New Roman"/>
                <w:iCs/>
                <w:lang w:eastAsia="en-US"/>
              </w:rPr>
            </w:pPr>
          </w:p>
          <w:p w:rsidR="003260F8" w:rsidRPr="0074345C" w:rsidRDefault="0069127C" w:rsidP="00E00028">
            <w:pPr>
              <w:rPr>
                <w:rFonts w:eastAsia="Times New Roman"/>
                <w:iCs/>
                <w:lang w:eastAsia="en-US"/>
              </w:rPr>
            </w:pPr>
            <w:r w:rsidRPr="0074345C">
              <w:rPr>
                <w:rFonts w:eastAsia="Times New Roman"/>
                <w:iCs/>
                <w:lang w:eastAsia="en-US"/>
              </w:rPr>
              <w:t>El informe de evaluación de este p</w:t>
            </w:r>
            <w:r w:rsidR="009E13C2" w:rsidRPr="0074345C">
              <w:rPr>
                <w:rFonts w:eastAsia="Times New Roman"/>
                <w:iCs/>
                <w:lang w:eastAsia="en-US"/>
              </w:rPr>
              <w:t>royecto</w:t>
            </w:r>
            <w:r w:rsidR="00502F27" w:rsidRPr="0074345C">
              <w:rPr>
                <w:rFonts w:eastAsia="Times New Roman"/>
                <w:iCs/>
                <w:lang w:eastAsia="en-US"/>
              </w:rPr>
              <w:t xml:space="preserve">, </w:t>
            </w:r>
            <w:r w:rsidRPr="0074345C">
              <w:rPr>
                <w:rFonts w:eastAsia="Times New Roman"/>
                <w:iCs/>
                <w:lang w:eastAsia="en-US"/>
              </w:rPr>
              <w:t>que figura en el d</w:t>
            </w:r>
            <w:r w:rsidR="00502F27" w:rsidRPr="0074345C">
              <w:rPr>
                <w:rFonts w:eastAsia="Times New Roman"/>
                <w:iCs/>
                <w:lang w:eastAsia="en-US"/>
              </w:rPr>
              <w:t>ocument</w:t>
            </w:r>
            <w:r w:rsidRPr="0074345C">
              <w:rPr>
                <w:rFonts w:eastAsia="Times New Roman"/>
                <w:iCs/>
                <w:lang w:eastAsia="en-US"/>
              </w:rPr>
              <w:t>o</w:t>
            </w:r>
            <w:r w:rsidR="00502F27" w:rsidRPr="0074345C">
              <w:rPr>
                <w:rFonts w:eastAsia="Times New Roman"/>
                <w:iCs/>
                <w:lang w:eastAsia="en-US"/>
              </w:rPr>
              <w:t xml:space="preserve"> CDIP/13/4, </w:t>
            </w:r>
            <w:r w:rsidRPr="0074345C">
              <w:rPr>
                <w:rFonts w:eastAsia="Times New Roman"/>
                <w:iCs/>
                <w:lang w:eastAsia="en-US"/>
              </w:rPr>
              <w:t xml:space="preserve">se presentó al </w:t>
            </w:r>
            <w:r w:rsidR="009E13C2" w:rsidRPr="0074345C">
              <w:rPr>
                <w:rFonts w:eastAsia="Times New Roman"/>
                <w:iCs/>
                <w:lang w:eastAsia="en-US"/>
              </w:rPr>
              <w:t>Comité</w:t>
            </w:r>
            <w:r w:rsidRPr="0074345C">
              <w:rPr>
                <w:rFonts w:eastAsia="Times New Roman"/>
                <w:iCs/>
                <w:lang w:eastAsia="en-US"/>
              </w:rPr>
              <w:t xml:space="preserve"> en su décima tercera sesión</w:t>
            </w:r>
            <w:r w:rsidR="00502F27" w:rsidRPr="0074345C">
              <w:rPr>
                <w:rFonts w:eastAsia="Times New Roman"/>
                <w:iCs/>
                <w:lang w:eastAsia="en-US"/>
              </w:rPr>
              <w:t>.</w:t>
            </w:r>
          </w:p>
          <w:p w:rsidR="003260F8" w:rsidRPr="0074345C" w:rsidRDefault="003260F8" w:rsidP="00E00028">
            <w:pPr>
              <w:rPr>
                <w:rFonts w:eastAsia="Times New Roman"/>
                <w:iCs/>
                <w:lang w:eastAsia="en-US"/>
              </w:rPr>
            </w:pPr>
          </w:p>
          <w:p w:rsidR="00502F27" w:rsidRPr="0074345C" w:rsidRDefault="00502F27" w:rsidP="00E00028">
            <w:pPr>
              <w:rPr>
                <w:rFonts w:eastAsia="Times New Roman"/>
                <w:iCs/>
                <w:lang w:eastAsia="en-US"/>
              </w:rPr>
            </w:pPr>
          </w:p>
        </w:tc>
      </w:tr>
    </w:tbl>
    <w:p w:rsidR="003260F8" w:rsidRPr="0074345C" w:rsidRDefault="003260F8" w:rsidP="00502F27">
      <w:pPr>
        <w:rPr>
          <w:rFonts w:eastAsia="Times New Roman"/>
          <w:lang w:eastAsia="en-US"/>
        </w:rPr>
      </w:pPr>
    </w:p>
    <w:p w:rsidR="00502F27" w:rsidRPr="0074345C" w:rsidRDefault="00502F27" w:rsidP="00502F27">
      <w:r w:rsidRPr="0074345C">
        <w:br w:type="page"/>
      </w:r>
    </w:p>
    <w:tbl>
      <w:tblPr>
        <w:tblW w:w="0" w:type="auto"/>
        <w:tblLook w:val="01E0" w:firstRow="1" w:lastRow="1" w:firstColumn="1" w:lastColumn="1" w:noHBand="0" w:noVBand="0"/>
      </w:tblPr>
      <w:tblGrid>
        <w:gridCol w:w="9287"/>
      </w:tblGrid>
      <w:tr w:rsidR="006376E7" w:rsidRPr="0074345C" w:rsidTr="00E00028">
        <w:trPr>
          <w:trHeight w:val="494"/>
        </w:trPr>
        <w:tc>
          <w:tcPr>
            <w:tcW w:w="9287" w:type="dxa"/>
            <w:vAlign w:val="center"/>
          </w:tcPr>
          <w:p w:rsidR="00502F27" w:rsidRPr="0074345C" w:rsidRDefault="00502F27" w:rsidP="003260F8">
            <w:pPr>
              <w:rPr>
                <w:rFonts w:eastAsia="Times New Roman"/>
                <w:lang w:eastAsia="en-US"/>
              </w:rPr>
            </w:pPr>
            <w:r w:rsidRPr="0074345C">
              <w:rPr>
                <w:rFonts w:eastAsia="Times New Roman"/>
                <w:lang w:eastAsia="en-US"/>
              </w:rPr>
              <w:lastRenderedPageBreak/>
              <w:br w:type="page"/>
            </w:r>
            <w:r w:rsidR="003260F8" w:rsidRPr="0074345C">
              <w:rPr>
                <w:rFonts w:eastAsia="Times New Roman"/>
                <w:lang w:eastAsia="en-US"/>
              </w:rPr>
              <w:t>EVALUACIÓN INTERNA DEL PROYECTO</w:t>
            </w:r>
          </w:p>
        </w:tc>
      </w:tr>
    </w:tbl>
    <w:p w:rsidR="003260F8" w:rsidRPr="0074345C" w:rsidRDefault="003260F8" w:rsidP="003260F8">
      <w:pPr>
        <w:rPr>
          <w:rFonts w:eastAsia="Times New Roman"/>
          <w:lang w:eastAsia="en-US"/>
        </w:rPr>
      </w:pPr>
      <w:r w:rsidRPr="0074345C">
        <w:rPr>
          <w:rFonts w:eastAsia="Times New Roman"/>
          <w:lang w:eastAsia="en-US"/>
        </w:rPr>
        <w:t>Clave de los colores</w:t>
      </w:r>
    </w:p>
    <w:p w:rsidR="00502F27" w:rsidRPr="0074345C" w:rsidRDefault="00502F27" w:rsidP="00502F27">
      <w:pPr>
        <w:rPr>
          <w:rFonts w:eastAsia="Times New Roman"/>
          <w:lang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shd w:val="clear" w:color="auto" w:fill="auto"/>
            <w:vAlign w:val="center"/>
          </w:tcPr>
          <w:p w:rsidR="00502F27" w:rsidRPr="0074345C" w:rsidRDefault="00502F27" w:rsidP="00E00028">
            <w:pPr>
              <w:rPr>
                <w:rFonts w:eastAsia="Times New Roman"/>
                <w:lang w:eastAsia="en-US"/>
              </w:rPr>
            </w:pPr>
            <w:r w:rsidRPr="0074345C">
              <w:rPr>
                <w:rFonts w:eastAsia="Times New Roman"/>
                <w:lang w:eastAsia="en-US"/>
              </w:rPr>
              <w:t>****</w:t>
            </w:r>
          </w:p>
        </w:tc>
        <w:tc>
          <w:tcPr>
            <w:tcW w:w="1677" w:type="dxa"/>
            <w:shd w:val="clear" w:color="auto" w:fill="auto"/>
            <w:vAlign w:val="center"/>
          </w:tcPr>
          <w:p w:rsidR="00502F27" w:rsidRPr="0074345C" w:rsidRDefault="00502F27" w:rsidP="00E00028">
            <w:pPr>
              <w:rPr>
                <w:rFonts w:eastAsia="Times New Roman"/>
                <w:lang w:eastAsia="en-US"/>
              </w:rPr>
            </w:pPr>
            <w:r w:rsidRPr="0074345C">
              <w:rPr>
                <w:rFonts w:eastAsia="Times New Roman"/>
                <w:lang w:eastAsia="en-US"/>
              </w:rPr>
              <w:t>***</w:t>
            </w:r>
          </w:p>
        </w:tc>
        <w:tc>
          <w:tcPr>
            <w:tcW w:w="1797" w:type="dxa"/>
            <w:shd w:val="clear" w:color="auto" w:fill="auto"/>
            <w:vAlign w:val="center"/>
          </w:tcPr>
          <w:p w:rsidR="00502F27" w:rsidRPr="0074345C" w:rsidRDefault="00502F27" w:rsidP="00E00028">
            <w:pPr>
              <w:rPr>
                <w:rFonts w:eastAsia="Times New Roman"/>
                <w:lang w:eastAsia="en-US"/>
              </w:rPr>
            </w:pPr>
            <w:r w:rsidRPr="0074345C">
              <w:rPr>
                <w:rFonts w:eastAsia="Times New Roman"/>
                <w:lang w:eastAsia="en-US"/>
              </w:rPr>
              <w:t>**</w:t>
            </w:r>
          </w:p>
        </w:tc>
        <w:tc>
          <w:tcPr>
            <w:tcW w:w="1895" w:type="dxa"/>
            <w:shd w:val="clear" w:color="auto" w:fill="auto"/>
            <w:vAlign w:val="center"/>
          </w:tcPr>
          <w:p w:rsidR="00502F27" w:rsidRPr="0074345C" w:rsidRDefault="003260F8" w:rsidP="003260F8">
            <w:pPr>
              <w:rPr>
                <w:rFonts w:eastAsia="Times New Roman"/>
                <w:lang w:eastAsia="en-US"/>
              </w:rPr>
            </w:pPr>
            <w:r w:rsidRPr="0074345C">
              <w:rPr>
                <w:rFonts w:eastAsia="Times New Roman"/>
                <w:lang w:eastAsia="en-US"/>
              </w:rPr>
              <w:t>NA</w:t>
            </w:r>
          </w:p>
        </w:tc>
        <w:tc>
          <w:tcPr>
            <w:tcW w:w="2563" w:type="dxa"/>
            <w:shd w:val="clear" w:color="auto" w:fill="auto"/>
            <w:vAlign w:val="center"/>
          </w:tcPr>
          <w:p w:rsidR="00502F27" w:rsidRPr="0074345C" w:rsidRDefault="003260F8" w:rsidP="003260F8">
            <w:pPr>
              <w:rPr>
                <w:rFonts w:eastAsia="Times New Roman"/>
                <w:lang w:eastAsia="en-US"/>
              </w:rPr>
            </w:pPr>
            <w:r w:rsidRPr="0074345C">
              <w:rPr>
                <w:rFonts w:eastAsia="Times New Roman"/>
                <w:lang w:eastAsia="en-US"/>
              </w:rPr>
              <w:t>SE/AD</w:t>
            </w:r>
          </w:p>
        </w:tc>
      </w:tr>
      <w:tr w:rsidR="00502F27" w:rsidRPr="0074345C" w:rsidTr="00E00028">
        <w:tc>
          <w:tcPr>
            <w:tcW w:w="1416" w:type="dxa"/>
            <w:shd w:val="clear" w:color="auto" w:fill="auto"/>
          </w:tcPr>
          <w:p w:rsidR="00502F27" w:rsidRPr="0074345C" w:rsidRDefault="003260F8" w:rsidP="003260F8">
            <w:pPr>
              <w:rPr>
                <w:rFonts w:eastAsia="Times New Roman"/>
                <w:lang w:eastAsia="en-US"/>
              </w:rPr>
            </w:pPr>
            <w:r w:rsidRPr="0074345C">
              <w:rPr>
                <w:rFonts w:eastAsia="Times New Roman"/>
                <w:lang w:eastAsia="en-US"/>
              </w:rPr>
              <w:t>Plenamente logrado.</w:t>
            </w:r>
          </w:p>
        </w:tc>
        <w:tc>
          <w:tcPr>
            <w:tcW w:w="1677" w:type="dxa"/>
            <w:shd w:val="clear" w:color="auto" w:fill="auto"/>
          </w:tcPr>
          <w:p w:rsidR="00502F27" w:rsidRPr="0074345C" w:rsidRDefault="003260F8" w:rsidP="003260F8">
            <w:pPr>
              <w:rPr>
                <w:rFonts w:eastAsia="Times New Roman"/>
                <w:lang w:eastAsia="en-US"/>
              </w:rPr>
            </w:pPr>
            <w:r w:rsidRPr="0074345C">
              <w:rPr>
                <w:rFonts w:eastAsia="Times New Roman"/>
                <w:lang w:eastAsia="en-US"/>
              </w:rPr>
              <w:t>Avance notable</w:t>
            </w:r>
          </w:p>
        </w:tc>
        <w:tc>
          <w:tcPr>
            <w:tcW w:w="1797" w:type="dxa"/>
            <w:shd w:val="clear" w:color="auto" w:fill="auto"/>
          </w:tcPr>
          <w:p w:rsidR="00502F27" w:rsidRPr="0074345C" w:rsidRDefault="003260F8" w:rsidP="003260F8">
            <w:pPr>
              <w:rPr>
                <w:rFonts w:eastAsia="Times New Roman"/>
                <w:lang w:eastAsia="en-US"/>
              </w:rPr>
            </w:pPr>
            <w:r w:rsidRPr="0074345C">
              <w:rPr>
                <w:rFonts w:eastAsia="Times New Roman"/>
                <w:lang w:eastAsia="en-US"/>
              </w:rPr>
              <w:t>Avance</w:t>
            </w:r>
          </w:p>
        </w:tc>
        <w:tc>
          <w:tcPr>
            <w:tcW w:w="1895" w:type="dxa"/>
            <w:shd w:val="clear" w:color="auto" w:fill="auto"/>
          </w:tcPr>
          <w:p w:rsidR="00502F27" w:rsidRPr="0074345C" w:rsidRDefault="003260F8" w:rsidP="003260F8">
            <w:pPr>
              <w:rPr>
                <w:rFonts w:eastAsia="Times New Roman"/>
                <w:lang w:eastAsia="en-US"/>
              </w:rPr>
            </w:pPr>
            <w:r w:rsidRPr="0074345C">
              <w:rPr>
                <w:rFonts w:eastAsia="Times New Roman"/>
                <w:lang w:eastAsia="en-US"/>
              </w:rPr>
              <w:t>Ningún avance</w:t>
            </w:r>
          </w:p>
        </w:tc>
        <w:tc>
          <w:tcPr>
            <w:tcW w:w="2563" w:type="dxa"/>
            <w:shd w:val="clear" w:color="auto" w:fill="auto"/>
          </w:tcPr>
          <w:p w:rsidR="00502F27" w:rsidRPr="0074345C" w:rsidRDefault="003260F8" w:rsidP="003260F8">
            <w:pPr>
              <w:rPr>
                <w:rFonts w:eastAsia="Times New Roman"/>
                <w:lang w:eastAsia="en-US"/>
              </w:rPr>
            </w:pPr>
            <w:r w:rsidRPr="0074345C">
              <w:rPr>
                <w:rFonts w:eastAsia="Times New Roman"/>
                <w:lang w:eastAsia="en-US"/>
              </w:rPr>
              <w:t>Sin evaluar /actividad discontinuada</w:t>
            </w:r>
          </w:p>
        </w:tc>
      </w:tr>
    </w:tbl>
    <w:p w:rsidR="00502F27" w:rsidRPr="0074345C" w:rsidRDefault="00502F27" w:rsidP="00502F27">
      <w:pPr>
        <w:rPr>
          <w:rFonts w:eastAsia="Times New Roman"/>
          <w:lang w:eastAsia="en-US"/>
        </w:rPr>
      </w:pPr>
    </w:p>
    <w:tbl>
      <w:tblPr>
        <w:tblW w:w="947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64"/>
      </w:tblGrid>
      <w:tr w:rsidR="006376E7" w:rsidRPr="0074345C" w:rsidTr="009F2FA4">
        <w:trPr>
          <w:trHeight w:val="616"/>
          <w:tblHeader/>
        </w:trPr>
        <w:tc>
          <w:tcPr>
            <w:tcW w:w="2410" w:type="dxa"/>
            <w:shd w:val="clear" w:color="auto" w:fill="auto"/>
          </w:tcPr>
          <w:p w:rsidR="004B4F57" w:rsidRPr="0074345C" w:rsidRDefault="003260F8" w:rsidP="003260F8">
            <w:pPr>
              <w:rPr>
                <w:rFonts w:eastAsia="Times New Roman"/>
                <w:u w:val="single"/>
                <w:lang w:eastAsia="en-US"/>
              </w:rPr>
            </w:pPr>
            <w:r w:rsidRPr="0074345C">
              <w:rPr>
                <w:rFonts w:eastAsia="Times New Roman"/>
                <w:u w:val="single"/>
                <w:lang w:eastAsia="en-US"/>
              </w:rPr>
              <w:t>Productos del proyecto</w:t>
            </w:r>
            <w:r w:rsidR="004B4F57" w:rsidRPr="0074345C">
              <w:rPr>
                <w:rFonts w:eastAsia="Times New Roman"/>
                <w:vertAlign w:val="superscript"/>
                <w:lang w:eastAsia="en-US"/>
              </w:rPr>
              <w:footnoteReference w:id="4"/>
            </w:r>
          </w:p>
          <w:p w:rsidR="00502F27" w:rsidRPr="0074345C" w:rsidRDefault="003260F8" w:rsidP="003260F8">
            <w:pPr>
              <w:rPr>
                <w:rFonts w:eastAsia="Times New Roman"/>
                <w:lang w:eastAsia="en-US"/>
              </w:rPr>
            </w:pPr>
            <w:r w:rsidRPr="0074345C">
              <w:rPr>
                <w:rFonts w:eastAsia="Times New Roman"/>
                <w:lang w:eastAsia="en-US"/>
              </w:rPr>
              <w:t>(</w:t>
            </w:r>
            <w:r w:rsidRPr="0074345C">
              <w:rPr>
                <w:rFonts w:eastAsia="Times New Roman"/>
                <w:u w:val="single"/>
                <w:lang w:eastAsia="en-US"/>
              </w:rPr>
              <w:t>Resultado previsto)</w:t>
            </w:r>
          </w:p>
        </w:tc>
        <w:tc>
          <w:tcPr>
            <w:tcW w:w="2694" w:type="dxa"/>
            <w:shd w:val="clear" w:color="auto" w:fill="auto"/>
          </w:tcPr>
          <w:p w:rsidR="003260F8" w:rsidRPr="0074345C" w:rsidRDefault="003260F8" w:rsidP="003260F8">
            <w:pPr>
              <w:rPr>
                <w:rFonts w:eastAsia="Times New Roman"/>
                <w:u w:val="single"/>
                <w:lang w:eastAsia="en-US"/>
              </w:rPr>
            </w:pPr>
            <w:r w:rsidRPr="0074345C">
              <w:rPr>
                <w:rFonts w:eastAsia="Times New Roman"/>
                <w:u w:val="single"/>
                <w:lang w:eastAsia="en-US"/>
              </w:rPr>
              <w:t>Indicadores de obtención de resultados</w:t>
            </w:r>
          </w:p>
          <w:p w:rsidR="004B4F57" w:rsidRPr="0074345C" w:rsidRDefault="004B4F57" w:rsidP="003260F8">
            <w:pPr>
              <w:rPr>
                <w:rFonts w:eastAsia="Times New Roman"/>
                <w:lang w:eastAsia="en-US"/>
              </w:rPr>
            </w:pPr>
            <w:r w:rsidRPr="0074345C">
              <w:rPr>
                <w:rFonts w:eastAsia="Times New Roman"/>
                <w:lang w:eastAsia="en-US"/>
              </w:rPr>
              <w:t>(</w:t>
            </w:r>
            <w:r w:rsidR="00C05E5A" w:rsidRPr="0074345C">
              <w:rPr>
                <w:rFonts w:eastAsia="Times New Roman"/>
                <w:lang w:eastAsia="en-US"/>
              </w:rPr>
              <w:t>Indicadores de producto</w:t>
            </w:r>
            <w:r w:rsidRPr="0074345C">
              <w:rPr>
                <w:rFonts w:eastAsia="Times New Roman"/>
                <w:lang w:eastAsia="en-US"/>
              </w:rPr>
              <w:t>)</w:t>
            </w:r>
          </w:p>
          <w:p w:rsidR="00502F27" w:rsidRPr="0074345C" w:rsidRDefault="00502F27" w:rsidP="00E00028">
            <w:pPr>
              <w:rPr>
                <w:rFonts w:eastAsia="Times New Roman"/>
                <w:lang w:eastAsia="en-US"/>
              </w:rPr>
            </w:pPr>
          </w:p>
        </w:tc>
        <w:tc>
          <w:tcPr>
            <w:tcW w:w="3402" w:type="dxa"/>
            <w:shd w:val="clear" w:color="auto" w:fill="auto"/>
          </w:tcPr>
          <w:p w:rsidR="00502F27" w:rsidRPr="0074345C" w:rsidRDefault="003260F8" w:rsidP="003260F8">
            <w:pPr>
              <w:keepNext/>
              <w:spacing w:after="60"/>
              <w:outlineLvl w:val="2"/>
              <w:rPr>
                <w:bCs/>
                <w:szCs w:val="26"/>
                <w:u w:val="single"/>
                <w:lang w:eastAsia="en-US"/>
              </w:rPr>
            </w:pPr>
            <w:r w:rsidRPr="0074345C">
              <w:rPr>
                <w:bCs/>
                <w:szCs w:val="26"/>
                <w:u w:val="single"/>
                <w:lang w:eastAsia="en-US"/>
              </w:rPr>
              <w:t>Datos sobre el rendimiento</w:t>
            </w:r>
          </w:p>
        </w:tc>
        <w:tc>
          <w:tcPr>
            <w:tcW w:w="964" w:type="dxa"/>
            <w:shd w:val="clear" w:color="auto" w:fill="auto"/>
          </w:tcPr>
          <w:p w:rsidR="00502F27" w:rsidRPr="0074345C" w:rsidRDefault="003260F8" w:rsidP="003260F8">
            <w:pPr>
              <w:keepNext/>
              <w:spacing w:after="60"/>
              <w:outlineLvl w:val="2"/>
              <w:rPr>
                <w:bCs/>
                <w:szCs w:val="26"/>
                <w:u w:val="single"/>
                <w:lang w:eastAsia="en-US"/>
              </w:rPr>
            </w:pPr>
            <w:r w:rsidRPr="0074345C">
              <w:rPr>
                <w:bCs/>
                <w:szCs w:val="26"/>
                <w:u w:val="single"/>
                <w:lang w:eastAsia="en-US"/>
              </w:rPr>
              <w:t>Clave de colores</w:t>
            </w:r>
          </w:p>
        </w:tc>
      </w:tr>
      <w:tr w:rsidR="006376E7" w:rsidRPr="0074345C" w:rsidTr="009F2FA4">
        <w:trPr>
          <w:trHeight w:val="509"/>
        </w:trPr>
        <w:tc>
          <w:tcPr>
            <w:tcW w:w="2410" w:type="dxa"/>
            <w:shd w:val="clear" w:color="auto" w:fill="auto"/>
          </w:tcPr>
          <w:p w:rsidR="003260F8" w:rsidRPr="0074345C" w:rsidRDefault="003260F8" w:rsidP="00E00028">
            <w:pPr>
              <w:rPr>
                <w:rFonts w:eastAsia="Times New Roman"/>
                <w:szCs w:val="22"/>
                <w:lang w:eastAsia="en-US"/>
              </w:rPr>
            </w:pPr>
          </w:p>
          <w:p w:rsidR="00502F27" w:rsidRPr="0074345C" w:rsidRDefault="003260F8" w:rsidP="003260F8">
            <w:pPr>
              <w:rPr>
                <w:rFonts w:eastAsia="Times New Roman"/>
                <w:bCs/>
                <w:lang w:eastAsia="en-US"/>
              </w:rPr>
            </w:pPr>
            <w:r w:rsidRPr="0074345C">
              <w:rPr>
                <w:rFonts w:eastAsia="Times New Roman"/>
                <w:bCs/>
                <w:lang w:eastAsia="en-US"/>
              </w:rPr>
              <w:t>Conferencias y reuniones interregionales anuales.</w:t>
            </w:r>
          </w:p>
        </w:tc>
        <w:tc>
          <w:tcPr>
            <w:tcW w:w="2694" w:type="dxa"/>
            <w:shd w:val="clear" w:color="auto" w:fill="auto"/>
          </w:tcPr>
          <w:p w:rsidR="003260F8" w:rsidRPr="0074345C" w:rsidRDefault="003260F8" w:rsidP="00E00028">
            <w:pPr>
              <w:rPr>
                <w:rFonts w:eastAsia="Times New Roman"/>
                <w:szCs w:val="22"/>
                <w:lang w:eastAsia="en-US"/>
              </w:rPr>
            </w:pPr>
          </w:p>
          <w:p w:rsidR="003260F8" w:rsidRPr="0074345C" w:rsidRDefault="003260F8" w:rsidP="003260F8">
            <w:pPr>
              <w:rPr>
                <w:rFonts w:eastAsia="Times New Roman"/>
                <w:szCs w:val="22"/>
                <w:lang w:eastAsia="en-US"/>
              </w:rPr>
            </w:pPr>
            <w:r w:rsidRPr="0074345C">
              <w:rPr>
                <w:rFonts w:eastAsia="Times New Roman"/>
                <w:szCs w:val="22"/>
                <w:lang w:eastAsia="en-US"/>
              </w:rPr>
              <w:t>Nivel de asistencia.</w:t>
            </w:r>
          </w:p>
          <w:p w:rsidR="003260F8" w:rsidRPr="0074345C" w:rsidRDefault="003260F8" w:rsidP="003260F8">
            <w:pPr>
              <w:rPr>
                <w:rFonts w:eastAsia="Times New Roman"/>
                <w:szCs w:val="22"/>
                <w:lang w:eastAsia="en-US"/>
              </w:rPr>
            </w:pPr>
            <w:r w:rsidRPr="0074345C">
              <w:rPr>
                <w:rFonts w:eastAsia="Times New Roman"/>
                <w:szCs w:val="22"/>
                <w:lang w:eastAsia="en-US"/>
              </w:rPr>
              <w:t>Observaciones de los participantes recogidas mediante un cuestionario</w:t>
            </w:r>
          </w:p>
          <w:p w:rsidR="00502F27" w:rsidRPr="0074345C" w:rsidRDefault="00502F27" w:rsidP="00E00028">
            <w:pPr>
              <w:rPr>
                <w:rFonts w:eastAsia="Times New Roman"/>
                <w:lang w:eastAsia="en-US"/>
              </w:rPr>
            </w:pPr>
          </w:p>
        </w:tc>
        <w:tc>
          <w:tcPr>
            <w:tcW w:w="3402" w:type="dxa"/>
            <w:shd w:val="clear" w:color="auto" w:fill="auto"/>
          </w:tcPr>
          <w:p w:rsidR="003260F8" w:rsidRPr="0074345C" w:rsidRDefault="003260F8" w:rsidP="00E00028">
            <w:pPr>
              <w:rPr>
                <w:rFonts w:eastAsia="Times New Roman"/>
                <w:lang w:eastAsia="en-US"/>
              </w:rPr>
            </w:pPr>
          </w:p>
          <w:p w:rsidR="003260F8" w:rsidRPr="0074345C" w:rsidRDefault="000723D2" w:rsidP="00E00028">
            <w:pPr>
              <w:rPr>
                <w:rFonts w:eastAsia="Times New Roman"/>
                <w:lang w:eastAsia="en-US"/>
              </w:rPr>
            </w:pPr>
            <w:r w:rsidRPr="0074345C">
              <w:rPr>
                <w:rFonts w:eastAsia="Times New Roman"/>
                <w:lang w:eastAsia="en-US"/>
              </w:rPr>
              <w:t xml:space="preserve">Más de 100 participantes asistieron a la </w:t>
            </w:r>
            <w:r w:rsidRPr="0074345C">
              <w:rPr>
                <w:rFonts w:eastAsia="Times New Roman"/>
                <w:i/>
                <w:szCs w:val="22"/>
                <w:lang w:eastAsia="en-US"/>
              </w:rPr>
              <w:t>Segunda Conferencia Anual sobre Cooperación Sur-Sur sobre P.I. y Desarrollo</w:t>
            </w:r>
            <w:r w:rsidR="00502F27" w:rsidRPr="0074345C">
              <w:rPr>
                <w:rFonts w:eastAsia="Times New Roman"/>
                <w:lang w:eastAsia="en-US"/>
              </w:rPr>
              <w:t xml:space="preserve">, </w:t>
            </w:r>
            <w:r w:rsidRPr="0074345C">
              <w:rPr>
                <w:rFonts w:eastAsia="Times New Roman"/>
                <w:lang w:eastAsia="en-US"/>
              </w:rPr>
              <w:t xml:space="preserve">entre los cuales había </w:t>
            </w:r>
            <w:r w:rsidR="00502F27" w:rsidRPr="0074345C">
              <w:rPr>
                <w:szCs w:val="22"/>
              </w:rPr>
              <w:t xml:space="preserve">75 </w:t>
            </w:r>
            <w:r w:rsidRPr="0074345C">
              <w:rPr>
                <w:szCs w:val="22"/>
              </w:rPr>
              <w:t xml:space="preserve">representantes de </w:t>
            </w:r>
            <w:r w:rsidR="00502F27" w:rsidRPr="0074345C">
              <w:rPr>
                <w:szCs w:val="22"/>
              </w:rPr>
              <w:t xml:space="preserve">48 </w:t>
            </w:r>
            <w:r w:rsidR="00611EA6" w:rsidRPr="0074345C">
              <w:rPr>
                <w:szCs w:val="22"/>
              </w:rPr>
              <w:t>países en desarrollo</w:t>
            </w:r>
            <w:r w:rsidR="00502F27" w:rsidRPr="0074345C">
              <w:rPr>
                <w:szCs w:val="22"/>
              </w:rPr>
              <w:t xml:space="preserve"> </w:t>
            </w:r>
            <w:r w:rsidRPr="0074345C">
              <w:rPr>
                <w:szCs w:val="22"/>
              </w:rPr>
              <w:t xml:space="preserve">y </w:t>
            </w:r>
            <w:r w:rsidR="00611EA6" w:rsidRPr="0074345C">
              <w:rPr>
                <w:szCs w:val="22"/>
              </w:rPr>
              <w:t>PMA</w:t>
            </w:r>
            <w:r w:rsidR="00502F27" w:rsidRPr="0074345C">
              <w:rPr>
                <w:szCs w:val="22"/>
              </w:rPr>
              <w:t>, 20 representa</w:t>
            </w:r>
            <w:r w:rsidRPr="0074345C">
              <w:rPr>
                <w:szCs w:val="22"/>
              </w:rPr>
              <w:t xml:space="preserve">ntes de </w:t>
            </w:r>
            <w:r w:rsidR="00502F27" w:rsidRPr="0074345C">
              <w:rPr>
                <w:szCs w:val="22"/>
              </w:rPr>
              <w:t xml:space="preserve">12 </w:t>
            </w:r>
            <w:r w:rsidR="002034F4" w:rsidRPr="0074345C">
              <w:rPr>
                <w:szCs w:val="22"/>
              </w:rPr>
              <w:t>países</w:t>
            </w:r>
            <w:r w:rsidRPr="0074345C">
              <w:rPr>
                <w:szCs w:val="22"/>
              </w:rPr>
              <w:t xml:space="preserve"> desarrollados</w:t>
            </w:r>
            <w:r w:rsidR="0074345C">
              <w:rPr>
                <w:szCs w:val="22"/>
              </w:rPr>
              <w:t>, 13 </w:t>
            </w:r>
            <w:r w:rsidR="00502F27" w:rsidRPr="0074345C">
              <w:rPr>
                <w:szCs w:val="22"/>
              </w:rPr>
              <w:t>representa</w:t>
            </w:r>
            <w:r w:rsidRPr="0074345C">
              <w:rPr>
                <w:szCs w:val="22"/>
              </w:rPr>
              <w:t xml:space="preserve">ntes de </w:t>
            </w:r>
            <w:r w:rsidR="0074345C">
              <w:rPr>
                <w:szCs w:val="22"/>
              </w:rPr>
              <w:t>7 </w:t>
            </w:r>
            <w:r w:rsidRPr="0074345C">
              <w:rPr>
                <w:szCs w:val="22"/>
              </w:rPr>
              <w:t>organizaciones intergubernamentales y</w:t>
            </w:r>
            <w:r w:rsidR="00502F27" w:rsidRPr="0074345C">
              <w:rPr>
                <w:szCs w:val="22"/>
              </w:rPr>
              <w:t xml:space="preserve"> 7 representa</w:t>
            </w:r>
            <w:r w:rsidRPr="0074345C">
              <w:rPr>
                <w:szCs w:val="22"/>
              </w:rPr>
              <w:t xml:space="preserve">ntes de </w:t>
            </w:r>
            <w:r w:rsidR="00502F27" w:rsidRPr="0074345C">
              <w:rPr>
                <w:szCs w:val="22"/>
              </w:rPr>
              <w:t xml:space="preserve">6 </w:t>
            </w:r>
            <w:r w:rsidRPr="0074345C">
              <w:rPr>
                <w:szCs w:val="22"/>
              </w:rPr>
              <w:t>ONG</w:t>
            </w:r>
            <w:r w:rsidR="00502F27" w:rsidRPr="0074345C">
              <w:rPr>
                <w:szCs w:val="22"/>
              </w:rPr>
              <w:t>.</w:t>
            </w:r>
          </w:p>
          <w:p w:rsidR="003260F8" w:rsidRPr="0074345C" w:rsidRDefault="003260F8" w:rsidP="00E00028">
            <w:pPr>
              <w:rPr>
                <w:rFonts w:eastAsia="Times New Roman"/>
                <w:lang w:eastAsia="en-US"/>
              </w:rPr>
            </w:pPr>
          </w:p>
          <w:p w:rsidR="003260F8" w:rsidRPr="0074345C" w:rsidRDefault="000723D2" w:rsidP="00E00028">
            <w:pPr>
              <w:rPr>
                <w:szCs w:val="22"/>
              </w:rPr>
            </w:pPr>
            <w:r w:rsidRPr="0074345C">
              <w:rPr>
                <w:szCs w:val="22"/>
              </w:rPr>
              <w:t xml:space="preserve">Los comentarios recibidos confirmaron que la conferencia cumplió en gran medida las expectativas y sus objetivos previstos (más del 92% de los entrevistados calificaron la conferencia de buena, muy buena o excelente).  </w:t>
            </w:r>
            <w:r w:rsidR="005A1A79" w:rsidRPr="0074345C">
              <w:rPr>
                <w:szCs w:val="22"/>
              </w:rPr>
              <w:t>La Conferencia fue t</w:t>
            </w:r>
            <w:r w:rsidRPr="0074345C">
              <w:rPr>
                <w:szCs w:val="22"/>
              </w:rPr>
              <w:t>ransmitida en directo por internet para asegurar el acceso a un público más amplio</w:t>
            </w:r>
            <w:r w:rsidR="005A1A79" w:rsidRPr="0074345C">
              <w:rPr>
                <w:szCs w:val="22"/>
              </w:rPr>
              <w:t xml:space="preserve"> y todos los documentos de la reunión, incluidas las</w:t>
            </w:r>
            <w:r w:rsidRPr="0074345C">
              <w:rPr>
                <w:szCs w:val="22"/>
              </w:rPr>
              <w:t xml:space="preserve"> presentaciones, el informe </w:t>
            </w:r>
            <w:r w:rsidR="005A1A79" w:rsidRPr="0074345C">
              <w:rPr>
                <w:szCs w:val="22"/>
              </w:rPr>
              <w:t xml:space="preserve">completo </w:t>
            </w:r>
            <w:r w:rsidRPr="0074345C">
              <w:rPr>
                <w:szCs w:val="22"/>
              </w:rPr>
              <w:t xml:space="preserve">y el informe resumido </w:t>
            </w:r>
            <w:r w:rsidR="005A1A79" w:rsidRPr="0074345C">
              <w:rPr>
                <w:szCs w:val="22"/>
              </w:rPr>
              <w:t xml:space="preserve">de la conferencia están disponibles en la página web sobre las reuniones de la </w:t>
            </w:r>
            <w:r w:rsidRPr="0074345C">
              <w:rPr>
                <w:szCs w:val="22"/>
              </w:rPr>
              <w:t>OMPI</w:t>
            </w:r>
            <w:r w:rsidR="00502F27" w:rsidRPr="0074345C">
              <w:rPr>
                <w:szCs w:val="22"/>
              </w:rPr>
              <w:t xml:space="preserve">. </w:t>
            </w:r>
          </w:p>
          <w:p w:rsidR="00502F27" w:rsidRPr="0074345C" w:rsidRDefault="00502F27" w:rsidP="00E00028">
            <w:pPr>
              <w:rPr>
                <w:rFonts w:eastAsia="Times New Roman"/>
                <w:lang w:eastAsia="en-US"/>
              </w:rPr>
            </w:pPr>
          </w:p>
        </w:tc>
        <w:tc>
          <w:tcPr>
            <w:tcW w:w="964" w:type="dxa"/>
            <w:shd w:val="clear" w:color="auto" w:fill="auto"/>
          </w:tcPr>
          <w:p w:rsidR="003260F8" w:rsidRPr="0074345C" w:rsidRDefault="003260F8" w:rsidP="00E00028">
            <w:pPr>
              <w:rPr>
                <w:rFonts w:eastAsia="Times New Roman"/>
                <w:lang w:eastAsia="en-US"/>
              </w:rPr>
            </w:pPr>
          </w:p>
          <w:p w:rsidR="00502F27" w:rsidRPr="0074345C" w:rsidRDefault="00502F27" w:rsidP="00E00028">
            <w:pPr>
              <w:rPr>
                <w:rFonts w:eastAsia="Times New Roman"/>
                <w:lang w:eastAsia="en-US"/>
              </w:rPr>
            </w:pPr>
            <w:r w:rsidRPr="0074345C">
              <w:rPr>
                <w:rFonts w:eastAsia="Times New Roman"/>
                <w:lang w:eastAsia="en-US"/>
              </w:rPr>
              <w:t>****</w:t>
            </w:r>
          </w:p>
        </w:tc>
      </w:tr>
    </w:tbl>
    <w:p w:rsidR="00502F27" w:rsidRPr="0074345C" w:rsidRDefault="00502F27" w:rsidP="00502F27">
      <w:r w:rsidRPr="0074345C">
        <w:br w:type="page"/>
      </w: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6376E7" w:rsidRPr="0074345C" w:rsidTr="00E00028">
        <w:trPr>
          <w:trHeight w:val="509"/>
        </w:trPr>
        <w:tc>
          <w:tcPr>
            <w:tcW w:w="2410" w:type="dxa"/>
            <w:shd w:val="clear" w:color="auto" w:fill="auto"/>
          </w:tcPr>
          <w:p w:rsidR="003260F8" w:rsidRPr="0074345C" w:rsidRDefault="003260F8" w:rsidP="00E00028">
            <w:pPr>
              <w:rPr>
                <w:rFonts w:eastAsia="Times New Roman"/>
                <w:szCs w:val="22"/>
                <w:lang w:eastAsia="en-US"/>
              </w:rPr>
            </w:pPr>
          </w:p>
          <w:p w:rsidR="00502F27" w:rsidRPr="0074345C" w:rsidRDefault="003260F8" w:rsidP="003260F8">
            <w:pPr>
              <w:rPr>
                <w:rFonts w:eastAsia="Times New Roman"/>
                <w:bCs/>
                <w:lang w:eastAsia="en-US"/>
              </w:rPr>
            </w:pPr>
            <w:r w:rsidRPr="0074345C">
              <w:rPr>
                <w:rFonts w:eastAsia="Times New Roman"/>
                <w:bCs/>
                <w:lang w:eastAsia="en-US"/>
              </w:rPr>
              <w:t>Formación y fortalecimiento de las capacidades en materia de Cooperación Sur-Sur.</w:t>
            </w:r>
          </w:p>
        </w:tc>
        <w:tc>
          <w:tcPr>
            <w:tcW w:w="2694" w:type="dxa"/>
            <w:shd w:val="clear" w:color="auto" w:fill="auto"/>
          </w:tcPr>
          <w:p w:rsidR="003260F8" w:rsidRPr="0074345C" w:rsidRDefault="003260F8" w:rsidP="00E00028">
            <w:pPr>
              <w:autoSpaceDE w:val="0"/>
              <w:autoSpaceDN w:val="0"/>
              <w:adjustRightInd w:val="0"/>
              <w:rPr>
                <w:rFonts w:eastAsia="Times New Roman"/>
                <w:szCs w:val="22"/>
                <w:lang w:eastAsia="en-US"/>
              </w:rPr>
            </w:pPr>
          </w:p>
          <w:p w:rsidR="003260F8" w:rsidRPr="0074345C" w:rsidRDefault="003260F8" w:rsidP="003260F8">
            <w:pPr>
              <w:autoSpaceDE w:val="0"/>
              <w:autoSpaceDN w:val="0"/>
              <w:adjustRightInd w:val="0"/>
              <w:rPr>
                <w:rFonts w:eastAsia="Times New Roman"/>
                <w:szCs w:val="22"/>
                <w:lang w:eastAsia="en-US"/>
              </w:rPr>
            </w:pPr>
            <w:r w:rsidRPr="0074345C">
              <w:rPr>
                <w:rFonts w:eastAsia="Times New Roman"/>
                <w:szCs w:val="22"/>
                <w:lang w:eastAsia="en-US"/>
              </w:rPr>
              <w:t>Puesta en marcha de nuevas funcionalidades en el marco de la Base de Datos de Asistencia Técnica en materia de Propiedad Intelectual (IP-TAD) y de la Base de datos destinada a responder con los recursos disponibles a las necesidades de desarrollo relacionadas con la P.I.</w:t>
            </w:r>
            <w:r w:rsidR="00502F27" w:rsidRPr="0074345C">
              <w:rPr>
                <w:rFonts w:eastAsia="Times New Roman"/>
                <w:szCs w:val="22"/>
                <w:lang w:eastAsia="en-US"/>
              </w:rPr>
              <w:t xml:space="preserve"> </w:t>
            </w:r>
          </w:p>
          <w:p w:rsidR="003260F8" w:rsidRPr="0074345C" w:rsidRDefault="003260F8" w:rsidP="003260F8">
            <w:pPr>
              <w:autoSpaceDE w:val="0"/>
              <w:autoSpaceDN w:val="0"/>
              <w:adjustRightInd w:val="0"/>
              <w:rPr>
                <w:rFonts w:eastAsia="Times New Roman"/>
                <w:szCs w:val="22"/>
                <w:lang w:eastAsia="en-US"/>
              </w:rPr>
            </w:pPr>
            <w:r w:rsidRPr="0074345C">
              <w:rPr>
                <w:rFonts w:eastAsia="Times New Roman"/>
                <w:szCs w:val="22"/>
                <w:lang w:eastAsia="en-US"/>
              </w:rPr>
              <w:t>Estadísticas sobre la utilización del mecanismo que permite hacer coincidir las necesidades y las ofertas de los países en desarrollo y de los PMA así como sobre el número de visitas y/o misiones que se llevaron entre tales países.</w:t>
            </w:r>
          </w:p>
          <w:p w:rsidR="00502F27" w:rsidRPr="0074345C" w:rsidRDefault="00502F27" w:rsidP="00E00028">
            <w:pPr>
              <w:autoSpaceDE w:val="0"/>
              <w:autoSpaceDN w:val="0"/>
              <w:adjustRightInd w:val="0"/>
              <w:rPr>
                <w:rFonts w:eastAsia="Times New Roman"/>
                <w:lang w:eastAsia="en-US"/>
              </w:rPr>
            </w:pPr>
          </w:p>
        </w:tc>
        <w:tc>
          <w:tcPr>
            <w:tcW w:w="3402" w:type="dxa"/>
            <w:shd w:val="clear" w:color="auto" w:fill="auto"/>
          </w:tcPr>
          <w:p w:rsidR="003260F8" w:rsidRPr="0074345C" w:rsidRDefault="003260F8" w:rsidP="00E00028">
            <w:pPr>
              <w:rPr>
                <w:rFonts w:eastAsia="Times New Roman"/>
                <w:lang w:eastAsia="en-US"/>
              </w:rPr>
            </w:pPr>
          </w:p>
          <w:p w:rsidR="003260F8" w:rsidRPr="0074345C" w:rsidRDefault="005A1A79" w:rsidP="00E00028">
            <w:pPr>
              <w:rPr>
                <w:rFonts w:eastAsia="Times New Roman"/>
                <w:lang w:eastAsia="en-US"/>
              </w:rPr>
            </w:pPr>
            <w:r w:rsidRPr="0074345C">
              <w:rPr>
                <w:rFonts w:eastAsia="Times New Roman"/>
                <w:lang w:eastAsia="en-US"/>
              </w:rPr>
              <w:t>Se han elaborado e implantado las funcionalidades S</w:t>
            </w:r>
            <w:r w:rsidR="00611EA6" w:rsidRPr="0074345C">
              <w:rPr>
                <w:rFonts w:eastAsia="Times New Roman"/>
                <w:lang w:eastAsia="en-US"/>
              </w:rPr>
              <w:t xml:space="preserve">ur–Sur </w:t>
            </w:r>
            <w:r w:rsidRPr="0074345C">
              <w:rPr>
                <w:rFonts w:eastAsia="Times New Roman"/>
                <w:lang w:eastAsia="en-US"/>
              </w:rPr>
              <w:t xml:space="preserve">en las bases de datos </w:t>
            </w:r>
            <w:r w:rsidR="00502F27" w:rsidRPr="0074345C">
              <w:rPr>
                <w:rFonts w:eastAsia="Times New Roman"/>
                <w:lang w:eastAsia="en-US"/>
              </w:rPr>
              <w:t xml:space="preserve">IP-TAD </w:t>
            </w:r>
            <w:r w:rsidRPr="0074345C">
              <w:rPr>
                <w:rFonts w:eastAsia="Times New Roman"/>
                <w:lang w:eastAsia="en-US"/>
              </w:rPr>
              <w:t xml:space="preserve">e </w:t>
            </w:r>
            <w:r w:rsidR="00502F27" w:rsidRPr="0074345C">
              <w:rPr>
                <w:rFonts w:eastAsia="Times New Roman"/>
                <w:lang w:eastAsia="en-US"/>
              </w:rPr>
              <w:t xml:space="preserve">  IP-DMD</w:t>
            </w:r>
            <w:r w:rsidRPr="0074345C">
              <w:rPr>
                <w:rFonts w:eastAsia="Times New Roman"/>
                <w:lang w:eastAsia="en-US"/>
              </w:rPr>
              <w:t xml:space="preserve">, y se han integrado en la plataforma web </w:t>
            </w:r>
            <w:r w:rsidR="00611EA6" w:rsidRPr="0074345C">
              <w:rPr>
                <w:rFonts w:eastAsia="Times New Roman"/>
                <w:lang w:eastAsia="en-US"/>
              </w:rPr>
              <w:t>Sur–Sur</w:t>
            </w:r>
            <w:r w:rsidRPr="0074345C">
              <w:rPr>
                <w:rFonts w:eastAsia="Times New Roman"/>
                <w:lang w:eastAsia="en-US"/>
              </w:rPr>
              <w:t>:</w:t>
            </w:r>
            <w:r w:rsidR="00502F27" w:rsidRPr="0074345C">
              <w:rPr>
                <w:rFonts w:eastAsia="Times New Roman"/>
                <w:lang w:eastAsia="en-US"/>
              </w:rPr>
              <w:t xml:space="preserve"> (</w:t>
            </w:r>
            <w:r w:rsidRPr="0074345C">
              <w:rPr>
                <w:rFonts w:eastAsia="Times New Roman"/>
                <w:lang w:eastAsia="en-US"/>
              </w:rPr>
              <w:t>http://www.wipo.int/cooperation/es/south_south/</w:t>
            </w:r>
            <w:r w:rsidR="00502F27" w:rsidRPr="0074345C">
              <w:rPr>
                <w:rStyle w:val="Hyperlink"/>
                <w:rFonts w:eastAsia="Times New Roman"/>
                <w:color w:val="auto"/>
                <w:lang w:eastAsia="en-US"/>
              </w:rPr>
              <w:t>)</w:t>
            </w:r>
            <w:r w:rsidR="00502F27" w:rsidRPr="0074345C">
              <w:rPr>
                <w:rStyle w:val="Hyperlink"/>
                <w:rFonts w:eastAsia="Times New Roman"/>
                <w:color w:val="auto"/>
                <w:u w:val="none"/>
                <w:lang w:eastAsia="en-US"/>
              </w:rPr>
              <w:t>.</w:t>
            </w:r>
          </w:p>
          <w:p w:rsidR="003260F8" w:rsidRPr="0074345C" w:rsidRDefault="003260F8" w:rsidP="00E00028">
            <w:pPr>
              <w:rPr>
                <w:rFonts w:eastAsia="Times New Roman"/>
                <w:lang w:eastAsia="en-US"/>
              </w:rPr>
            </w:pPr>
          </w:p>
          <w:p w:rsidR="003260F8" w:rsidRPr="0074345C" w:rsidRDefault="005A1A79" w:rsidP="00E00028">
            <w:pPr>
              <w:rPr>
                <w:rFonts w:eastAsia="Times New Roman"/>
                <w:lang w:eastAsia="en-US"/>
              </w:rPr>
            </w:pPr>
            <w:r w:rsidRPr="0074345C">
              <w:rPr>
                <w:rFonts w:eastAsia="Times New Roman"/>
                <w:lang w:eastAsia="en-US"/>
              </w:rPr>
              <w:t>Debido a la implantación tardía de las herramientas basadas en internet</w:t>
            </w:r>
            <w:r w:rsidR="00502F27" w:rsidRPr="0074345C">
              <w:rPr>
                <w:rFonts w:eastAsia="Times New Roman"/>
                <w:lang w:eastAsia="en-US"/>
              </w:rPr>
              <w:t xml:space="preserve">, </w:t>
            </w:r>
            <w:r w:rsidRPr="0074345C">
              <w:rPr>
                <w:rFonts w:eastAsia="Times New Roman"/>
                <w:lang w:eastAsia="en-US"/>
              </w:rPr>
              <w:t>no se dispone actualmente de datos estadísticos</w:t>
            </w:r>
            <w:r w:rsidR="00502F27" w:rsidRPr="0074345C">
              <w:rPr>
                <w:rFonts w:eastAsia="Times New Roman"/>
                <w:lang w:eastAsia="en-US"/>
              </w:rPr>
              <w:t xml:space="preserve">.  </w:t>
            </w:r>
          </w:p>
          <w:p w:rsidR="00502F27" w:rsidRPr="0074345C" w:rsidRDefault="00502F27" w:rsidP="00E00028">
            <w:pPr>
              <w:rPr>
                <w:rFonts w:eastAsia="Times New Roman"/>
                <w:lang w:eastAsia="en-US"/>
              </w:rPr>
            </w:pPr>
          </w:p>
        </w:tc>
        <w:tc>
          <w:tcPr>
            <w:tcW w:w="850" w:type="dxa"/>
            <w:shd w:val="clear" w:color="auto" w:fill="auto"/>
          </w:tcPr>
          <w:p w:rsidR="003260F8" w:rsidRPr="0074345C" w:rsidRDefault="003260F8" w:rsidP="00E00028">
            <w:pPr>
              <w:rPr>
                <w:rFonts w:eastAsia="Times New Roman"/>
                <w:lang w:eastAsia="en-US"/>
              </w:rPr>
            </w:pPr>
          </w:p>
          <w:p w:rsidR="00502F27" w:rsidRPr="0074345C" w:rsidRDefault="00502F27" w:rsidP="00E00028">
            <w:pPr>
              <w:rPr>
                <w:rFonts w:eastAsia="Times New Roman"/>
                <w:lang w:eastAsia="en-US"/>
              </w:rPr>
            </w:pPr>
            <w:r w:rsidRPr="0074345C">
              <w:rPr>
                <w:rFonts w:eastAsia="Times New Roman"/>
                <w:lang w:eastAsia="en-US"/>
              </w:rPr>
              <w:t>***</w:t>
            </w:r>
          </w:p>
        </w:tc>
      </w:tr>
      <w:tr w:rsidR="006376E7" w:rsidRPr="0074345C" w:rsidTr="00E00028">
        <w:trPr>
          <w:trHeight w:val="509"/>
        </w:trPr>
        <w:tc>
          <w:tcPr>
            <w:tcW w:w="2410" w:type="dxa"/>
            <w:shd w:val="clear" w:color="auto" w:fill="auto"/>
          </w:tcPr>
          <w:p w:rsidR="003260F8" w:rsidRPr="0074345C" w:rsidRDefault="003260F8" w:rsidP="00E00028">
            <w:pPr>
              <w:rPr>
                <w:rFonts w:eastAsia="Times New Roman"/>
                <w:bCs/>
                <w:szCs w:val="22"/>
                <w:lang w:eastAsia="en-US"/>
              </w:rPr>
            </w:pPr>
          </w:p>
          <w:p w:rsidR="00502F27" w:rsidRPr="0074345C" w:rsidRDefault="003260F8" w:rsidP="003260F8">
            <w:pPr>
              <w:rPr>
                <w:rFonts w:eastAsia="Times New Roman"/>
                <w:szCs w:val="22"/>
                <w:lang w:eastAsia="en-US"/>
              </w:rPr>
            </w:pPr>
            <w:r w:rsidRPr="0074345C">
              <w:rPr>
                <w:rFonts w:eastAsia="Times New Roman"/>
                <w:szCs w:val="22"/>
                <w:lang w:eastAsia="en-US"/>
              </w:rPr>
              <w:t>Incrementar el empleo de recursos humanos y experiencias procedentes de los países en desarrollo y PMA, en el marco de las actividades de la OMPI de asistencia técnica y fortalecimiento de capacidades.</w:t>
            </w:r>
          </w:p>
        </w:tc>
        <w:tc>
          <w:tcPr>
            <w:tcW w:w="2694" w:type="dxa"/>
            <w:shd w:val="clear" w:color="auto" w:fill="auto"/>
          </w:tcPr>
          <w:p w:rsidR="003260F8" w:rsidRPr="0074345C" w:rsidRDefault="003260F8" w:rsidP="00E00028">
            <w:pPr>
              <w:autoSpaceDE w:val="0"/>
              <w:autoSpaceDN w:val="0"/>
              <w:adjustRightInd w:val="0"/>
              <w:rPr>
                <w:rFonts w:eastAsia="Times New Roman"/>
                <w:szCs w:val="22"/>
                <w:lang w:eastAsia="en-US"/>
              </w:rPr>
            </w:pPr>
          </w:p>
          <w:p w:rsidR="003260F8" w:rsidRPr="0074345C" w:rsidRDefault="003260F8" w:rsidP="003260F8">
            <w:pPr>
              <w:autoSpaceDE w:val="0"/>
              <w:autoSpaceDN w:val="0"/>
              <w:adjustRightInd w:val="0"/>
              <w:rPr>
                <w:rFonts w:eastAsia="Times New Roman"/>
                <w:szCs w:val="22"/>
                <w:lang w:eastAsia="en-US"/>
              </w:rPr>
            </w:pPr>
            <w:r w:rsidRPr="0074345C">
              <w:rPr>
                <w:rFonts w:eastAsia="Times New Roman"/>
                <w:szCs w:val="22"/>
                <w:lang w:eastAsia="en-US"/>
              </w:rPr>
              <w:t>Informes y exámenes periódicos anuales de la lista de consultores de la OMPI a fin de determinar el aumento de la utilización, por parte de los países en desarrollo y de los PMA, de los servicios prestados por los consultores.</w:t>
            </w:r>
          </w:p>
          <w:p w:rsidR="00502F27" w:rsidRPr="0074345C" w:rsidRDefault="00502F27" w:rsidP="00E00028">
            <w:pPr>
              <w:autoSpaceDE w:val="0"/>
              <w:autoSpaceDN w:val="0"/>
              <w:adjustRightInd w:val="0"/>
              <w:rPr>
                <w:rFonts w:eastAsia="Times New Roman"/>
                <w:szCs w:val="22"/>
                <w:lang w:eastAsia="en-US"/>
              </w:rPr>
            </w:pPr>
          </w:p>
        </w:tc>
        <w:tc>
          <w:tcPr>
            <w:tcW w:w="3402" w:type="dxa"/>
            <w:shd w:val="clear" w:color="auto" w:fill="auto"/>
          </w:tcPr>
          <w:p w:rsidR="003260F8" w:rsidRPr="0074345C" w:rsidRDefault="003260F8" w:rsidP="00E00028">
            <w:pPr>
              <w:rPr>
                <w:rFonts w:eastAsia="Times New Roman"/>
                <w:lang w:eastAsia="en-US"/>
              </w:rPr>
            </w:pPr>
          </w:p>
          <w:p w:rsidR="003260F8" w:rsidRPr="0074345C" w:rsidRDefault="005A1A79" w:rsidP="00E00028">
            <w:pPr>
              <w:rPr>
                <w:rFonts w:eastAsia="Times New Roman"/>
                <w:lang w:eastAsia="en-US"/>
              </w:rPr>
            </w:pPr>
            <w:r w:rsidRPr="0074345C">
              <w:rPr>
                <w:rFonts w:eastAsia="Times New Roman"/>
                <w:lang w:eastAsia="en-US"/>
              </w:rPr>
              <w:t xml:space="preserve">La lista de consultores </w:t>
            </w:r>
            <w:r w:rsidR="00611EA6" w:rsidRPr="0074345C">
              <w:rPr>
                <w:rFonts w:eastAsia="Times New Roman"/>
                <w:lang w:eastAsia="en-US"/>
              </w:rPr>
              <w:t xml:space="preserve">Sur–Sur </w:t>
            </w:r>
            <w:r w:rsidRPr="0074345C">
              <w:rPr>
                <w:rFonts w:eastAsia="Times New Roman"/>
                <w:lang w:eastAsia="en-US"/>
              </w:rPr>
              <w:t xml:space="preserve">que presenta a expertos y especialistas de </w:t>
            </w:r>
            <w:r w:rsidR="00611EA6" w:rsidRPr="0074345C">
              <w:rPr>
                <w:rFonts w:eastAsia="Times New Roman"/>
                <w:lang w:eastAsia="en-US"/>
              </w:rPr>
              <w:t>países en desarrollo</w:t>
            </w:r>
            <w:r w:rsidR="00502F27" w:rsidRPr="0074345C">
              <w:rPr>
                <w:rFonts w:eastAsia="Times New Roman"/>
                <w:lang w:eastAsia="en-US"/>
              </w:rPr>
              <w:t xml:space="preserve">, </w:t>
            </w:r>
            <w:r w:rsidR="00611EA6" w:rsidRPr="0074345C">
              <w:rPr>
                <w:rFonts w:eastAsia="Times New Roman"/>
                <w:lang w:eastAsia="en-US"/>
              </w:rPr>
              <w:t>PMA</w:t>
            </w:r>
            <w:r w:rsidR="00502F27" w:rsidRPr="0074345C">
              <w:rPr>
                <w:rFonts w:eastAsia="Times New Roman"/>
                <w:lang w:eastAsia="en-US"/>
              </w:rPr>
              <w:t xml:space="preserve"> </w:t>
            </w:r>
            <w:r w:rsidRPr="0074345C">
              <w:rPr>
                <w:rFonts w:eastAsia="Times New Roman"/>
                <w:lang w:eastAsia="en-US"/>
              </w:rPr>
              <w:t xml:space="preserve">y </w:t>
            </w:r>
            <w:r w:rsidR="002034F4" w:rsidRPr="0074345C">
              <w:rPr>
                <w:rFonts w:eastAsia="Times New Roman"/>
                <w:lang w:eastAsia="en-US"/>
              </w:rPr>
              <w:t>países</w:t>
            </w:r>
            <w:r w:rsidRPr="0074345C">
              <w:rPr>
                <w:rFonts w:eastAsia="Times New Roman"/>
                <w:lang w:eastAsia="en-US"/>
              </w:rPr>
              <w:t xml:space="preserve"> e</w:t>
            </w:r>
            <w:r w:rsidR="00502F27" w:rsidRPr="0074345C">
              <w:rPr>
                <w:rFonts w:eastAsia="Times New Roman"/>
                <w:lang w:eastAsia="en-US"/>
              </w:rPr>
              <w:t xml:space="preserve">n </w:t>
            </w:r>
            <w:r w:rsidRPr="0074345C">
              <w:rPr>
                <w:rFonts w:eastAsia="Times New Roman"/>
                <w:lang w:eastAsia="en-US"/>
              </w:rPr>
              <w:t>transición se ha terminado e incluido como recurso adicional en la página web Sur–Sur</w:t>
            </w:r>
            <w:r w:rsidR="00502F27" w:rsidRPr="0074345C">
              <w:rPr>
                <w:rFonts w:eastAsia="Times New Roman"/>
                <w:lang w:eastAsia="en-US"/>
              </w:rPr>
              <w:t xml:space="preserve">.  </w:t>
            </w:r>
          </w:p>
          <w:p w:rsidR="003260F8" w:rsidRPr="0074345C" w:rsidRDefault="003260F8" w:rsidP="00E00028">
            <w:pPr>
              <w:rPr>
                <w:rFonts w:eastAsia="Times New Roman"/>
                <w:lang w:eastAsia="en-US"/>
              </w:rPr>
            </w:pPr>
          </w:p>
          <w:p w:rsidR="003260F8" w:rsidRPr="0074345C" w:rsidRDefault="00875AE7" w:rsidP="00E00028">
            <w:pPr>
              <w:rPr>
                <w:rFonts w:eastAsia="Times New Roman"/>
                <w:lang w:eastAsia="en-US"/>
              </w:rPr>
            </w:pPr>
            <w:r w:rsidRPr="0074345C">
              <w:rPr>
                <w:rFonts w:eastAsia="Times New Roman"/>
                <w:lang w:eastAsia="en-US"/>
              </w:rPr>
              <w:t>Debido a la implantación tardía de las herramientas basadas en internet, no se dispone actualmente de datos estadísticos</w:t>
            </w:r>
            <w:r w:rsidR="00502F27" w:rsidRPr="0074345C">
              <w:rPr>
                <w:rFonts w:eastAsia="Times New Roman"/>
                <w:lang w:eastAsia="en-US"/>
              </w:rPr>
              <w:t xml:space="preserve">. </w:t>
            </w:r>
          </w:p>
          <w:p w:rsidR="00502F27" w:rsidRPr="0074345C" w:rsidRDefault="00502F27" w:rsidP="00E00028">
            <w:pPr>
              <w:rPr>
                <w:rFonts w:eastAsia="Times New Roman"/>
                <w:lang w:eastAsia="en-US"/>
              </w:rPr>
            </w:pPr>
          </w:p>
        </w:tc>
        <w:tc>
          <w:tcPr>
            <w:tcW w:w="850" w:type="dxa"/>
            <w:shd w:val="clear" w:color="auto" w:fill="auto"/>
          </w:tcPr>
          <w:p w:rsidR="003260F8" w:rsidRPr="0074345C" w:rsidRDefault="003260F8" w:rsidP="00E00028">
            <w:pPr>
              <w:rPr>
                <w:rFonts w:eastAsia="Times New Roman"/>
                <w:lang w:eastAsia="en-US"/>
              </w:rPr>
            </w:pPr>
          </w:p>
          <w:p w:rsidR="00502F27" w:rsidRPr="0074345C" w:rsidRDefault="00502F27" w:rsidP="00E00028">
            <w:pPr>
              <w:rPr>
                <w:rFonts w:eastAsia="Times New Roman"/>
                <w:lang w:eastAsia="en-US"/>
              </w:rPr>
            </w:pPr>
            <w:r w:rsidRPr="0074345C">
              <w:rPr>
                <w:rFonts w:eastAsia="Times New Roman"/>
                <w:lang w:eastAsia="en-US"/>
              </w:rPr>
              <w:t>***</w:t>
            </w:r>
          </w:p>
        </w:tc>
      </w:tr>
      <w:tr w:rsidR="006376E7" w:rsidRPr="0074345C" w:rsidTr="00E00028">
        <w:trPr>
          <w:trHeight w:val="509"/>
        </w:trPr>
        <w:tc>
          <w:tcPr>
            <w:tcW w:w="2410" w:type="dxa"/>
            <w:shd w:val="clear" w:color="auto" w:fill="auto"/>
          </w:tcPr>
          <w:p w:rsidR="003260F8" w:rsidRPr="0074345C" w:rsidRDefault="003260F8" w:rsidP="00E00028">
            <w:pPr>
              <w:rPr>
                <w:rFonts w:eastAsia="Times New Roman"/>
                <w:szCs w:val="22"/>
                <w:lang w:eastAsia="en-US"/>
              </w:rPr>
            </w:pPr>
          </w:p>
          <w:p w:rsidR="003260F8" w:rsidRPr="0074345C" w:rsidRDefault="003260F8" w:rsidP="003260F8">
            <w:pPr>
              <w:rPr>
                <w:rFonts w:eastAsia="Times New Roman"/>
                <w:szCs w:val="22"/>
                <w:lang w:eastAsia="en-US"/>
              </w:rPr>
            </w:pPr>
            <w:r w:rsidRPr="0074345C">
              <w:rPr>
                <w:rFonts w:eastAsia="Times New Roman"/>
                <w:szCs w:val="22"/>
                <w:lang w:eastAsia="en-US"/>
              </w:rPr>
              <w:t>Página web de la OMPI sobre cooperación  Sur-Sur y portal interactivo en Internet y red virtual.</w:t>
            </w:r>
          </w:p>
          <w:p w:rsidR="00502F27" w:rsidRPr="0074345C" w:rsidRDefault="00502F27" w:rsidP="00E00028">
            <w:pPr>
              <w:rPr>
                <w:rFonts w:eastAsia="Times New Roman"/>
                <w:szCs w:val="22"/>
                <w:lang w:eastAsia="en-US"/>
              </w:rPr>
            </w:pPr>
          </w:p>
        </w:tc>
        <w:tc>
          <w:tcPr>
            <w:tcW w:w="2694" w:type="dxa"/>
            <w:shd w:val="clear" w:color="auto" w:fill="auto"/>
          </w:tcPr>
          <w:p w:rsidR="003260F8" w:rsidRPr="0074345C" w:rsidRDefault="003260F8" w:rsidP="00E00028">
            <w:pPr>
              <w:autoSpaceDE w:val="0"/>
              <w:autoSpaceDN w:val="0"/>
              <w:adjustRightInd w:val="0"/>
              <w:rPr>
                <w:rFonts w:eastAsia="Times New Roman"/>
                <w:szCs w:val="22"/>
                <w:lang w:eastAsia="en-US"/>
              </w:rPr>
            </w:pPr>
          </w:p>
          <w:p w:rsidR="003260F8" w:rsidRPr="0074345C" w:rsidRDefault="003260F8" w:rsidP="003260F8">
            <w:pPr>
              <w:autoSpaceDE w:val="0"/>
              <w:autoSpaceDN w:val="0"/>
              <w:adjustRightInd w:val="0"/>
              <w:rPr>
                <w:rFonts w:eastAsia="Times New Roman"/>
                <w:szCs w:val="22"/>
                <w:lang w:eastAsia="en-US"/>
              </w:rPr>
            </w:pPr>
            <w:r w:rsidRPr="0074345C">
              <w:rPr>
                <w:rFonts w:eastAsia="Times New Roman"/>
                <w:szCs w:val="22"/>
                <w:lang w:eastAsia="en-US"/>
              </w:rPr>
              <w:t>Portal interactivo en Internet y red virtual en funcionamiento.</w:t>
            </w:r>
            <w:r w:rsidR="00502F27" w:rsidRPr="0074345C">
              <w:rPr>
                <w:rFonts w:eastAsia="Times New Roman"/>
                <w:szCs w:val="22"/>
                <w:lang w:eastAsia="en-US"/>
              </w:rPr>
              <w:t xml:space="preserve"> </w:t>
            </w:r>
          </w:p>
          <w:p w:rsidR="003260F8" w:rsidRPr="0074345C" w:rsidRDefault="003260F8" w:rsidP="00E00028">
            <w:pPr>
              <w:autoSpaceDE w:val="0"/>
              <w:autoSpaceDN w:val="0"/>
              <w:adjustRightInd w:val="0"/>
              <w:rPr>
                <w:rFonts w:eastAsia="Times New Roman"/>
                <w:szCs w:val="22"/>
                <w:lang w:eastAsia="en-US"/>
              </w:rPr>
            </w:pPr>
          </w:p>
          <w:p w:rsidR="00502F27" w:rsidRPr="0074345C" w:rsidRDefault="003260F8" w:rsidP="003260F8">
            <w:pPr>
              <w:rPr>
                <w:rFonts w:eastAsia="Times New Roman"/>
                <w:szCs w:val="22"/>
                <w:lang w:eastAsia="en-US"/>
              </w:rPr>
            </w:pPr>
            <w:r w:rsidRPr="0074345C">
              <w:rPr>
                <w:rFonts w:eastAsia="Times New Roman"/>
                <w:szCs w:val="22"/>
                <w:lang w:eastAsia="en-US"/>
              </w:rPr>
              <w:t xml:space="preserve">Comentarios de los usuarios y estadísticas sobre el uso de la página web y la red virtual así como evaluación cualitativa, que se pedirá a los participantes que lleven a cabo, y resultados en forma de </w:t>
            </w:r>
            <w:r w:rsidRPr="0074345C">
              <w:rPr>
                <w:rFonts w:eastAsia="Times New Roman"/>
                <w:szCs w:val="22"/>
                <w:lang w:eastAsia="en-US"/>
              </w:rPr>
              <w:lastRenderedPageBreak/>
              <w:t>interacción colaborativa.</w:t>
            </w:r>
          </w:p>
        </w:tc>
        <w:tc>
          <w:tcPr>
            <w:tcW w:w="3402" w:type="dxa"/>
            <w:shd w:val="clear" w:color="auto" w:fill="auto"/>
          </w:tcPr>
          <w:p w:rsidR="003260F8" w:rsidRPr="0074345C" w:rsidRDefault="003260F8" w:rsidP="00E00028">
            <w:pPr>
              <w:rPr>
                <w:rFonts w:eastAsia="Times New Roman"/>
                <w:lang w:eastAsia="en-US"/>
              </w:rPr>
            </w:pPr>
          </w:p>
          <w:p w:rsidR="003260F8" w:rsidRPr="0074345C" w:rsidRDefault="00247D03" w:rsidP="00E00028">
            <w:pPr>
              <w:rPr>
                <w:rFonts w:eastAsia="Times New Roman"/>
                <w:lang w:eastAsia="en-US"/>
              </w:rPr>
            </w:pPr>
            <w:r w:rsidRPr="0074345C">
              <w:rPr>
                <w:rFonts w:eastAsia="Times New Roman"/>
                <w:lang w:eastAsia="en-US"/>
              </w:rPr>
              <w:t xml:space="preserve">La página web Sur–Sur fue terminada </w:t>
            </w:r>
            <w:r w:rsidR="009E13C2" w:rsidRPr="0074345C">
              <w:rPr>
                <w:rFonts w:eastAsia="Times New Roman"/>
                <w:lang w:eastAsia="en-US"/>
              </w:rPr>
              <w:t>al final de</w:t>
            </w:r>
            <w:r w:rsidR="00502F27" w:rsidRPr="0074345C">
              <w:rPr>
                <w:rFonts w:eastAsia="Times New Roman"/>
                <w:lang w:eastAsia="en-US"/>
              </w:rPr>
              <w:t xml:space="preserve"> 2013 </w:t>
            </w:r>
            <w:r w:rsidRPr="0074345C">
              <w:rPr>
                <w:rFonts w:eastAsia="Times New Roman"/>
                <w:lang w:eastAsia="en-US"/>
              </w:rPr>
              <w:t xml:space="preserve">y lanzada oficialmente en un evento paralelo a la </w:t>
            </w:r>
            <w:r w:rsidR="00060026" w:rsidRPr="0074345C">
              <w:rPr>
                <w:rFonts w:eastAsia="Times New Roman"/>
                <w:lang w:eastAsia="en-US"/>
              </w:rPr>
              <w:t>décimo</w:t>
            </w:r>
            <w:r w:rsidRPr="0074345C">
              <w:rPr>
                <w:rFonts w:eastAsia="Times New Roman"/>
                <w:lang w:eastAsia="en-US"/>
              </w:rPr>
              <w:t xml:space="preserve"> tercera sesión del </w:t>
            </w:r>
            <w:r w:rsidR="00502F27" w:rsidRPr="0074345C">
              <w:rPr>
                <w:rFonts w:eastAsia="Times New Roman"/>
                <w:lang w:eastAsia="en-US"/>
              </w:rPr>
              <w:t>CDIP</w:t>
            </w:r>
            <w:r w:rsidRPr="0074345C">
              <w:rPr>
                <w:rFonts w:eastAsia="Times New Roman"/>
                <w:lang w:eastAsia="en-US"/>
              </w:rPr>
              <w:t xml:space="preserve">, el 21 de mayo de </w:t>
            </w:r>
            <w:r w:rsidR="00502F27" w:rsidRPr="0074345C">
              <w:rPr>
                <w:rFonts w:eastAsia="Times New Roman"/>
                <w:lang w:eastAsia="en-US"/>
              </w:rPr>
              <w:t xml:space="preserve">2014. </w:t>
            </w:r>
            <w:r w:rsidRPr="0074345C">
              <w:rPr>
                <w:rFonts w:eastAsia="Times New Roman"/>
                <w:lang w:eastAsia="en-US"/>
              </w:rPr>
              <w:t>La plataforma se puede consultar en</w:t>
            </w:r>
            <w:r w:rsidR="00502F27" w:rsidRPr="0074345C">
              <w:rPr>
                <w:rFonts w:eastAsia="Times New Roman"/>
                <w:lang w:eastAsia="en-US"/>
              </w:rPr>
              <w:t>: (</w:t>
            </w:r>
            <w:r w:rsidRPr="0074345C">
              <w:rPr>
                <w:rFonts w:eastAsia="Times New Roman"/>
                <w:lang w:eastAsia="en-US"/>
              </w:rPr>
              <w:t>http://www.wipo.int/cooperation/es/south_south/</w:t>
            </w:r>
            <w:r w:rsidR="00502F27" w:rsidRPr="0074345C">
              <w:rPr>
                <w:rStyle w:val="Hyperlink"/>
                <w:rFonts w:eastAsia="Times New Roman"/>
                <w:color w:val="auto"/>
                <w:lang w:eastAsia="en-US"/>
              </w:rPr>
              <w:t>)</w:t>
            </w:r>
            <w:r w:rsidR="00502F27" w:rsidRPr="0074345C">
              <w:rPr>
                <w:rFonts w:eastAsia="Times New Roman"/>
                <w:lang w:eastAsia="en-US"/>
              </w:rPr>
              <w:t xml:space="preserve">. </w:t>
            </w:r>
          </w:p>
          <w:p w:rsidR="003260F8" w:rsidRPr="0074345C" w:rsidRDefault="003260F8" w:rsidP="00E00028">
            <w:pPr>
              <w:rPr>
                <w:rFonts w:eastAsia="Times New Roman"/>
                <w:lang w:eastAsia="en-US"/>
              </w:rPr>
            </w:pPr>
          </w:p>
          <w:p w:rsidR="003260F8" w:rsidRPr="0074345C" w:rsidRDefault="00875AE7" w:rsidP="00E00028">
            <w:pPr>
              <w:rPr>
                <w:rFonts w:eastAsia="Times New Roman"/>
                <w:lang w:eastAsia="en-US"/>
              </w:rPr>
            </w:pPr>
            <w:r w:rsidRPr="0074345C">
              <w:rPr>
                <w:rFonts w:eastAsia="Times New Roman"/>
                <w:lang w:eastAsia="en-US"/>
              </w:rPr>
              <w:t xml:space="preserve">Debido a la implantación tardía de las herramientas basadas en internet, no se dispone </w:t>
            </w:r>
            <w:r w:rsidRPr="0074345C">
              <w:rPr>
                <w:rFonts w:eastAsia="Times New Roman"/>
                <w:lang w:eastAsia="en-US"/>
              </w:rPr>
              <w:lastRenderedPageBreak/>
              <w:t>actualmente de datos estadísticos</w:t>
            </w:r>
            <w:r w:rsidR="00502F27" w:rsidRPr="0074345C">
              <w:rPr>
                <w:rFonts w:eastAsia="Times New Roman"/>
                <w:lang w:eastAsia="en-US"/>
              </w:rPr>
              <w:t xml:space="preserve">. </w:t>
            </w:r>
          </w:p>
          <w:p w:rsidR="00502F27" w:rsidRPr="0074345C" w:rsidRDefault="00502F27" w:rsidP="00E00028">
            <w:pPr>
              <w:rPr>
                <w:rFonts w:eastAsia="Times New Roman"/>
                <w:lang w:eastAsia="en-US"/>
              </w:rPr>
            </w:pPr>
          </w:p>
        </w:tc>
        <w:tc>
          <w:tcPr>
            <w:tcW w:w="850" w:type="dxa"/>
            <w:shd w:val="clear" w:color="auto" w:fill="auto"/>
          </w:tcPr>
          <w:p w:rsidR="003260F8" w:rsidRPr="0074345C" w:rsidRDefault="003260F8" w:rsidP="00E00028">
            <w:pPr>
              <w:rPr>
                <w:rFonts w:eastAsia="Times New Roman"/>
                <w:lang w:eastAsia="en-US"/>
              </w:rPr>
            </w:pPr>
          </w:p>
          <w:p w:rsidR="00502F27" w:rsidRPr="0074345C" w:rsidRDefault="00502F27" w:rsidP="00E00028">
            <w:pPr>
              <w:rPr>
                <w:rFonts w:eastAsia="Times New Roman"/>
                <w:lang w:eastAsia="en-US"/>
              </w:rPr>
            </w:pPr>
            <w:r w:rsidRPr="0074345C">
              <w:rPr>
                <w:rFonts w:eastAsia="Times New Roman"/>
                <w:lang w:eastAsia="en-US"/>
              </w:rPr>
              <w:t>***</w:t>
            </w:r>
          </w:p>
        </w:tc>
      </w:tr>
      <w:tr w:rsidR="006376E7" w:rsidRPr="0074345C" w:rsidTr="00E00028">
        <w:trPr>
          <w:trHeight w:val="509"/>
        </w:trPr>
        <w:tc>
          <w:tcPr>
            <w:tcW w:w="2410" w:type="dxa"/>
            <w:shd w:val="clear" w:color="auto" w:fill="auto"/>
          </w:tcPr>
          <w:p w:rsidR="003260F8" w:rsidRPr="0074345C" w:rsidRDefault="003260F8" w:rsidP="00E00028">
            <w:pPr>
              <w:rPr>
                <w:rFonts w:eastAsia="Times New Roman"/>
                <w:szCs w:val="22"/>
                <w:lang w:eastAsia="en-US"/>
              </w:rPr>
            </w:pPr>
          </w:p>
          <w:p w:rsidR="00502F27" w:rsidRPr="0074345C" w:rsidRDefault="003260F8" w:rsidP="003260F8">
            <w:pPr>
              <w:rPr>
                <w:rFonts w:eastAsia="Times New Roman"/>
                <w:szCs w:val="22"/>
                <w:lang w:eastAsia="en-US"/>
              </w:rPr>
            </w:pPr>
            <w:r w:rsidRPr="0074345C">
              <w:rPr>
                <w:rFonts w:eastAsia="Times New Roman"/>
                <w:szCs w:val="22"/>
                <w:lang w:eastAsia="en-US"/>
              </w:rPr>
              <w:t>Coordinador encargado de la cooperación Sur-Sur.</w:t>
            </w:r>
          </w:p>
        </w:tc>
        <w:tc>
          <w:tcPr>
            <w:tcW w:w="2694" w:type="dxa"/>
            <w:shd w:val="clear" w:color="auto" w:fill="auto"/>
          </w:tcPr>
          <w:p w:rsidR="003260F8" w:rsidRPr="0074345C" w:rsidRDefault="003260F8" w:rsidP="00E00028">
            <w:pPr>
              <w:rPr>
                <w:rFonts w:eastAsia="Times New Roman"/>
                <w:szCs w:val="22"/>
                <w:lang w:eastAsia="en-US"/>
              </w:rPr>
            </w:pPr>
          </w:p>
          <w:p w:rsidR="003260F8" w:rsidRPr="0074345C" w:rsidRDefault="003260F8" w:rsidP="003260F8">
            <w:pPr>
              <w:rPr>
                <w:rFonts w:eastAsia="Times New Roman"/>
                <w:szCs w:val="22"/>
                <w:lang w:eastAsia="en-US"/>
              </w:rPr>
            </w:pPr>
            <w:r w:rsidRPr="0074345C">
              <w:rPr>
                <w:rFonts w:eastAsia="Times New Roman"/>
                <w:szCs w:val="22"/>
                <w:lang w:eastAsia="en-US"/>
              </w:rPr>
              <w:t>Nombramiento de un Coordinador encargado de las actividades relativas a la Cooperación Sur-Sur en el ámbito de la Secretaría de la OMPI:</w:t>
            </w:r>
          </w:p>
          <w:p w:rsidR="003260F8" w:rsidRPr="0074345C" w:rsidRDefault="003260F8" w:rsidP="00E00028">
            <w:pPr>
              <w:rPr>
                <w:rFonts w:eastAsia="Times New Roman"/>
                <w:szCs w:val="22"/>
                <w:lang w:eastAsia="en-US"/>
              </w:rPr>
            </w:pPr>
          </w:p>
          <w:p w:rsidR="003260F8" w:rsidRPr="0074345C" w:rsidRDefault="003260F8" w:rsidP="00E00028">
            <w:pPr>
              <w:keepNext/>
              <w:rPr>
                <w:rFonts w:eastAsia="Times New Roman"/>
                <w:szCs w:val="22"/>
                <w:lang w:eastAsia="en-US"/>
              </w:rPr>
            </w:pPr>
          </w:p>
          <w:p w:rsidR="003260F8" w:rsidRPr="0074345C" w:rsidRDefault="003260F8" w:rsidP="003260F8">
            <w:pPr>
              <w:keepNext/>
              <w:rPr>
                <w:rFonts w:eastAsia="Times New Roman"/>
                <w:szCs w:val="22"/>
                <w:lang w:eastAsia="en-US"/>
              </w:rPr>
            </w:pPr>
            <w:r w:rsidRPr="0074345C">
              <w:rPr>
                <w:rFonts w:eastAsia="Times New Roman"/>
                <w:szCs w:val="22"/>
                <w:lang w:eastAsia="en-US"/>
              </w:rPr>
              <w:t>El Coordinador deberá presentar informes periódicos a los Estados miembros.</w:t>
            </w:r>
            <w:r w:rsidR="00502F27" w:rsidRPr="0074345C">
              <w:rPr>
                <w:rFonts w:eastAsia="Times New Roman"/>
                <w:szCs w:val="22"/>
                <w:lang w:eastAsia="en-US"/>
              </w:rPr>
              <w:t xml:space="preserve">  </w:t>
            </w:r>
          </w:p>
          <w:p w:rsidR="00502F27" w:rsidRPr="0074345C" w:rsidRDefault="00502F27" w:rsidP="00E00028">
            <w:pPr>
              <w:autoSpaceDE w:val="0"/>
              <w:autoSpaceDN w:val="0"/>
              <w:adjustRightInd w:val="0"/>
              <w:rPr>
                <w:rFonts w:eastAsia="Times New Roman"/>
                <w:szCs w:val="22"/>
                <w:lang w:eastAsia="en-US"/>
              </w:rPr>
            </w:pPr>
          </w:p>
        </w:tc>
        <w:tc>
          <w:tcPr>
            <w:tcW w:w="3402" w:type="dxa"/>
            <w:shd w:val="clear" w:color="auto" w:fill="auto"/>
          </w:tcPr>
          <w:p w:rsidR="003260F8" w:rsidRPr="0074345C" w:rsidRDefault="003260F8" w:rsidP="00E00028">
            <w:pPr>
              <w:rPr>
                <w:rFonts w:eastAsia="Times New Roman"/>
                <w:lang w:eastAsia="en-US"/>
              </w:rPr>
            </w:pPr>
          </w:p>
          <w:p w:rsidR="003260F8" w:rsidRPr="0074345C" w:rsidRDefault="003260F8" w:rsidP="003260F8">
            <w:pPr>
              <w:rPr>
                <w:rFonts w:eastAsia="Times New Roman"/>
                <w:lang w:eastAsia="en-US"/>
              </w:rPr>
            </w:pPr>
            <w:r w:rsidRPr="0074345C">
              <w:rPr>
                <w:rFonts w:eastAsia="Times New Roman"/>
                <w:lang w:eastAsia="en-US"/>
              </w:rPr>
              <w:t>El Director del proyecto es nombrado como Coordinador encargado de la cooperación Sur-Sur</w:t>
            </w:r>
            <w:r w:rsidRPr="0074345C">
              <w:rPr>
                <w:rFonts w:eastAsia="Times New Roman"/>
                <w:i/>
                <w:lang w:eastAsia="en-US"/>
              </w:rPr>
              <w:t xml:space="preserve"> de facto</w:t>
            </w:r>
            <w:r w:rsidRPr="0074345C">
              <w:rPr>
                <w:rFonts w:eastAsia="Times New Roman"/>
                <w:lang w:eastAsia="en-US"/>
              </w:rPr>
              <w:t xml:space="preserve"> debido a que el </w:t>
            </w:r>
            <w:r w:rsidR="00193CE1" w:rsidRPr="0074345C">
              <w:rPr>
                <w:rFonts w:eastAsia="Times New Roman"/>
                <w:lang w:eastAsia="en-US"/>
              </w:rPr>
              <w:t xml:space="preserve">proyectos </w:t>
            </w:r>
            <w:r w:rsidRPr="0074345C">
              <w:rPr>
                <w:rFonts w:eastAsia="Times New Roman"/>
                <w:lang w:eastAsia="en-US"/>
              </w:rPr>
              <w:t>e debe ejecutar en un plazo establecido.</w:t>
            </w:r>
            <w:r w:rsidR="00502F27" w:rsidRPr="0074345C">
              <w:rPr>
                <w:rFonts w:eastAsia="Times New Roman"/>
                <w:lang w:eastAsia="en-US"/>
              </w:rPr>
              <w:t xml:space="preserve"> </w:t>
            </w:r>
          </w:p>
          <w:p w:rsidR="003260F8" w:rsidRPr="0074345C" w:rsidRDefault="003260F8" w:rsidP="00E00028">
            <w:pPr>
              <w:rPr>
                <w:rFonts w:eastAsia="Times New Roman"/>
                <w:lang w:eastAsia="en-US"/>
              </w:rPr>
            </w:pPr>
          </w:p>
          <w:p w:rsidR="00502F27" w:rsidRPr="0074345C" w:rsidRDefault="00955BC8" w:rsidP="0014268C">
            <w:pPr>
              <w:rPr>
                <w:rFonts w:eastAsia="Times New Roman"/>
                <w:lang w:eastAsia="en-US"/>
              </w:rPr>
            </w:pPr>
            <w:r w:rsidRPr="0074345C">
              <w:rPr>
                <w:rFonts w:eastAsia="Times New Roman"/>
                <w:lang w:eastAsia="en-US"/>
              </w:rPr>
              <w:t>Las a</w:t>
            </w:r>
            <w:r w:rsidR="009E13C2" w:rsidRPr="0074345C">
              <w:rPr>
                <w:rFonts w:eastAsia="Times New Roman"/>
                <w:lang w:eastAsia="en-US"/>
              </w:rPr>
              <w:t xml:space="preserve">ctividades </w:t>
            </w:r>
            <w:r w:rsidRPr="0074345C">
              <w:rPr>
                <w:rFonts w:eastAsia="Times New Roman"/>
                <w:lang w:eastAsia="en-US"/>
              </w:rPr>
              <w:t xml:space="preserve">realizadas por la </w:t>
            </w:r>
            <w:r w:rsidR="00193CE1" w:rsidRPr="0074345C">
              <w:rPr>
                <w:rFonts w:eastAsia="Times New Roman"/>
                <w:lang w:eastAsia="en-US"/>
              </w:rPr>
              <w:t xml:space="preserve">OMPI </w:t>
            </w:r>
            <w:r w:rsidRPr="0074345C">
              <w:rPr>
                <w:rFonts w:eastAsia="Times New Roman"/>
                <w:lang w:eastAsia="en-US"/>
              </w:rPr>
              <w:t xml:space="preserve">en </w:t>
            </w:r>
            <w:r w:rsidR="0015217E" w:rsidRPr="0074345C">
              <w:rPr>
                <w:rFonts w:eastAsia="Times New Roman"/>
                <w:lang w:eastAsia="en-US"/>
              </w:rPr>
              <w:t>colaboración</w:t>
            </w:r>
            <w:r w:rsidRPr="0074345C">
              <w:rPr>
                <w:rFonts w:eastAsia="Times New Roman"/>
                <w:lang w:eastAsia="en-US"/>
              </w:rPr>
              <w:t xml:space="preserve"> con la </w:t>
            </w:r>
            <w:r w:rsidR="00502F27" w:rsidRPr="0074345C">
              <w:rPr>
                <w:rFonts w:eastAsia="Times New Roman"/>
                <w:lang w:eastAsia="en-US"/>
              </w:rPr>
              <w:t xml:space="preserve">UNOSSC </w:t>
            </w:r>
            <w:r w:rsidRPr="0074345C">
              <w:rPr>
                <w:rFonts w:eastAsia="Times New Roman"/>
                <w:lang w:eastAsia="en-US"/>
              </w:rPr>
              <w:t xml:space="preserve">se reseñan en los informes </w:t>
            </w:r>
            <w:r w:rsidR="0014268C" w:rsidRPr="0074345C">
              <w:rPr>
                <w:rFonts w:eastAsia="Times New Roman"/>
                <w:lang w:eastAsia="en-US"/>
              </w:rPr>
              <w:t xml:space="preserve">de situación </w:t>
            </w:r>
            <w:r w:rsidR="0015217E" w:rsidRPr="0074345C">
              <w:rPr>
                <w:rFonts w:eastAsia="Times New Roman"/>
                <w:lang w:eastAsia="en-US"/>
              </w:rPr>
              <w:t>(</w:t>
            </w:r>
            <w:r w:rsidR="00502F27" w:rsidRPr="0074345C">
              <w:rPr>
                <w:rFonts w:eastAsia="Times New Roman"/>
                <w:lang w:eastAsia="en-US"/>
              </w:rPr>
              <w:t>CDIP/10/2, CDIP/12/2</w:t>
            </w:r>
            <w:r w:rsidR="0015217E" w:rsidRPr="0074345C">
              <w:rPr>
                <w:rFonts w:eastAsia="Times New Roman"/>
                <w:lang w:eastAsia="en-US"/>
              </w:rPr>
              <w:t>)</w:t>
            </w:r>
            <w:r w:rsidR="00502F27" w:rsidRPr="0074345C">
              <w:rPr>
                <w:rFonts w:eastAsia="Times New Roman"/>
                <w:lang w:eastAsia="en-US"/>
              </w:rPr>
              <w:t xml:space="preserve">, </w:t>
            </w:r>
            <w:r w:rsidR="0015217E" w:rsidRPr="0074345C">
              <w:rPr>
                <w:rFonts w:eastAsia="Times New Roman"/>
                <w:lang w:eastAsia="en-US"/>
              </w:rPr>
              <w:t>y en el presente informe</w:t>
            </w:r>
            <w:r w:rsidR="00502F27" w:rsidRPr="0074345C">
              <w:rPr>
                <w:rFonts w:eastAsia="Times New Roman"/>
                <w:lang w:eastAsia="en-US"/>
              </w:rPr>
              <w:t xml:space="preserve">. </w:t>
            </w:r>
          </w:p>
        </w:tc>
        <w:tc>
          <w:tcPr>
            <w:tcW w:w="850" w:type="dxa"/>
            <w:shd w:val="clear" w:color="auto" w:fill="auto"/>
          </w:tcPr>
          <w:p w:rsidR="003260F8" w:rsidRPr="0074345C" w:rsidRDefault="003260F8" w:rsidP="00E00028">
            <w:pPr>
              <w:rPr>
                <w:rFonts w:eastAsia="Times New Roman"/>
                <w:lang w:eastAsia="en-US"/>
              </w:rPr>
            </w:pPr>
          </w:p>
          <w:p w:rsidR="00502F27" w:rsidRPr="0074345C" w:rsidRDefault="00502F27" w:rsidP="00E00028">
            <w:pPr>
              <w:rPr>
                <w:rFonts w:eastAsia="Times New Roman"/>
                <w:lang w:eastAsia="en-US"/>
              </w:rPr>
            </w:pPr>
            <w:r w:rsidRPr="0074345C">
              <w:rPr>
                <w:rFonts w:eastAsia="Times New Roman"/>
                <w:lang w:eastAsia="en-US"/>
              </w:rPr>
              <w:t>***</w:t>
            </w:r>
          </w:p>
        </w:tc>
      </w:tr>
    </w:tbl>
    <w:p w:rsidR="00502F27" w:rsidRPr="0074345C" w:rsidRDefault="00502F27" w:rsidP="00502F27">
      <w:pPr>
        <w:rPr>
          <w:rFonts w:eastAsia="Times New Roman"/>
          <w:lang w:eastAsia="en-US"/>
        </w:rPr>
      </w:pPr>
    </w:p>
    <w:p w:rsidR="00C05E5A" w:rsidRPr="0074345C" w:rsidRDefault="00C05E5A">
      <w:r w:rsidRPr="0074345C">
        <w:br w:type="page"/>
      </w:r>
    </w:p>
    <w:tbl>
      <w:tblPr>
        <w:tblW w:w="947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64"/>
      </w:tblGrid>
      <w:tr w:rsidR="006376E7" w:rsidRPr="0074345C" w:rsidTr="009F2FA4">
        <w:trPr>
          <w:trHeight w:val="616"/>
          <w:tblHeader/>
        </w:trPr>
        <w:tc>
          <w:tcPr>
            <w:tcW w:w="2410" w:type="dxa"/>
            <w:shd w:val="clear" w:color="auto" w:fill="auto"/>
          </w:tcPr>
          <w:p w:rsidR="00502F27" w:rsidRPr="0074345C" w:rsidRDefault="003260F8" w:rsidP="003260F8">
            <w:pPr>
              <w:rPr>
                <w:u w:val="single"/>
              </w:rPr>
            </w:pPr>
            <w:r w:rsidRPr="0074345C">
              <w:rPr>
                <w:u w:val="single"/>
              </w:rPr>
              <w:lastRenderedPageBreak/>
              <w:t>Objetivos del proyecto</w:t>
            </w:r>
          </w:p>
        </w:tc>
        <w:tc>
          <w:tcPr>
            <w:tcW w:w="2694" w:type="dxa"/>
            <w:shd w:val="clear" w:color="auto" w:fill="auto"/>
          </w:tcPr>
          <w:p w:rsidR="003260F8" w:rsidRPr="0074345C" w:rsidRDefault="003260F8" w:rsidP="003260F8">
            <w:pPr>
              <w:rPr>
                <w:u w:val="single"/>
              </w:rPr>
            </w:pPr>
            <w:r w:rsidRPr="0074345C">
              <w:rPr>
                <w:u w:val="single"/>
              </w:rPr>
              <w:t>Indicadores de cumplimiento de los objetivos(s)</w:t>
            </w:r>
          </w:p>
          <w:p w:rsidR="003260F8" w:rsidRPr="0074345C" w:rsidRDefault="003260F8" w:rsidP="003260F8">
            <w:pPr>
              <w:rPr>
                <w:u w:val="single"/>
              </w:rPr>
            </w:pPr>
            <w:r w:rsidRPr="0074345C">
              <w:rPr>
                <w:u w:val="single"/>
              </w:rPr>
              <w:t>(Indicadores de resultado)</w:t>
            </w:r>
          </w:p>
          <w:p w:rsidR="00502F27" w:rsidRPr="0074345C" w:rsidRDefault="00502F27" w:rsidP="00E00028">
            <w:pPr>
              <w:rPr>
                <w:u w:val="single"/>
              </w:rPr>
            </w:pPr>
          </w:p>
        </w:tc>
        <w:tc>
          <w:tcPr>
            <w:tcW w:w="3402" w:type="dxa"/>
            <w:shd w:val="clear" w:color="auto" w:fill="auto"/>
          </w:tcPr>
          <w:p w:rsidR="00502F27" w:rsidRPr="0074345C" w:rsidRDefault="003260F8" w:rsidP="003260F8">
            <w:pPr>
              <w:rPr>
                <w:u w:val="single"/>
              </w:rPr>
            </w:pPr>
            <w:r w:rsidRPr="0074345C">
              <w:rPr>
                <w:u w:val="single"/>
              </w:rPr>
              <w:t>Datos sobre el rendimiento</w:t>
            </w:r>
          </w:p>
        </w:tc>
        <w:tc>
          <w:tcPr>
            <w:tcW w:w="964" w:type="dxa"/>
            <w:shd w:val="clear" w:color="auto" w:fill="auto"/>
          </w:tcPr>
          <w:p w:rsidR="00502F27" w:rsidRPr="0074345C" w:rsidRDefault="003260F8" w:rsidP="003260F8">
            <w:pPr>
              <w:rPr>
                <w:u w:val="single"/>
              </w:rPr>
            </w:pPr>
            <w:r w:rsidRPr="0074345C">
              <w:rPr>
                <w:u w:val="single"/>
              </w:rPr>
              <w:t>Clave de colores</w:t>
            </w:r>
          </w:p>
        </w:tc>
      </w:tr>
      <w:tr w:rsidR="006376E7" w:rsidRPr="0074345C" w:rsidTr="009F2FA4">
        <w:trPr>
          <w:trHeight w:val="509"/>
        </w:trPr>
        <w:tc>
          <w:tcPr>
            <w:tcW w:w="2410" w:type="dxa"/>
            <w:shd w:val="clear" w:color="auto" w:fill="auto"/>
          </w:tcPr>
          <w:p w:rsidR="003260F8" w:rsidRPr="0074345C" w:rsidRDefault="003260F8" w:rsidP="00E00028">
            <w:pPr>
              <w:rPr>
                <w:szCs w:val="22"/>
              </w:rPr>
            </w:pPr>
          </w:p>
          <w:p w:rsidR="003260F8" w:rsidRPr="0074345C" w:rsidRDefault="003260F8" w:rsidP="003260F8">
            <w:pPr>
              <w:rPr>
                <w:szCs w:val="22"/>
              </w:rPr>
            </w:pPr>
            <w:r w:rsidRPr="0074345C">
              <w:rPr>
                <w:szCs w:val="22"/>
              </w:rPr>
              <w:t>Una mejor comprensión de la P.I. y su contribución potencial al desarrollo en los países en desarrollo y los PMA;</w:t>
            </w: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3260F8">
            <w:pPr>
              <w:rPr>
                <w:szCs w:val="22"/>
              </w:rPr>
            </w:pPr>
            <w:r w:rsidRPr="0074345C">
              <w:rPr>
                <w:szCs w:val="22"/>
              </w:rPr>
              <w:t>Determinar con precisión las prioridades y necesidades especiales de los países en desarrollo y de los PMA en el ámbito de la P.I. y el desarrollo, incluidas las actividades normativas en el ámbito nacional, regional e internacional;</w:t>
            </w:r>
          </w:p>
          <w:p w:rsidR="003260F8" w:rsidRPr="0074345C" w:rsidRDefault="003260F8" w:rsidP="00E00028">
            <w:pPr>
              <w:rPr>
                <w:szCs w:val="22"/>
              </w:rPr>
            </w:pPr>
          </w:p>
          <w:p w:rsidR="003260F8" w:rsidRPr="0074345C" w:rsidRDefault="003260F8" w:rsidP="003260F8">
            <w:pPr>
              <w:rPr>
                <w:szCs w:val="22"/>
              </w:rPr>
            </w:pPr>
            <w:r w:rsidRPr="0074345C">
              <w:rPr>
                <w:szCs w:val="22"/>
              </w:rPr>
              <w:t>Establecer procesos de toma de decisiones en materia de políticas de P.I., a nivel nacional y regional en la esfera del Sur, que sean más fundamentados y tengan en cuenta su propio contexto socioeconómico;</w:t>
            </w:r>
          </w:p>
          <w:p w:rsidR="003260F8" w:rsidRPr="0074345C" w:rsidRDefault="003260F8" w:rsidP="00E00028">
            <w:pPr>
              <w:rPr>
                <w:szCs w:val="22"/>
              </w:rPr>
            </w:pPr>
          </w:p>
          <w:p w:rsidR="003260F8" w:rsidRPr="0074345C" w:rsidRDefault="003260F8" w:rsidP="003260F8">
            <w:pPr>
              <w:rPr>
                <w:szCs w:val="22"/>
              </w:rPr>
            </w:pPr>
            <w:r w:rsidRPr="0074345C">
              <w:rPr>
                <w:szCs w:val="22"/>
              </w:rPr>
              <w:t>Mejorar la protección de las creaciones y fomentar la innovación en los países en desarrollo y los PMA;</w:t>
            </w:r>
            <w:r w:rsidR="00502F27" w:rsidRPr="0074345C">
              <w:rPr>
                <w:szCs w:val="22"/>
              </w:rPr>
              <w:t xml:space="preserve"> </w:t>
            </w:r>
          </w:p>
          <w:p w:rsidR="003260F8" w:rsidRPr="0074345C" w:rsidRDefault="003260F8" w:rsidP="00E00028">
            <w:pPr>
              <w:rPr>
                <w:szCs w:val="22"/>
              </w:rPr>
            </w:pPr>
          </w:p>
          <w:p w:rsidR="003260F8" w:rsidRPr="0074345C" w:rsidRDefault="003260F8" w:rsidP="00E00028">
            <w:pPr>
              <w:rPr>
                <w:szCs w:val="22"/>
              </w:rPr>
            </w:pPr>
          </w:p>
          <w:p w:rsidR="003260F8" w:rsidRPr="0074345C" w:rsidRDefault="003260F8" w:rsidP="003260F8">
            <w:pPr>
              <w:rPr>
                <w:szCs w:val="22"/>
              </w:rPr>
            </w:pPr>
            <w:r w:rsidRPr="0074345C">
              <w:rPr>
                <w:szCs w:val="22"/>
              </w:rPr>
              <w:t>Promocionar la transferencia y difusión de la tecnología;</w:t>
            </w:r>
          </w:p>
          <w:p w:rsidR="003260F8" w:rsidRPr="0074345C" w:rsidRDefault="003260F8" w:rsidP="00E00028">
            <w:pPr>
              <w:rPr>
                <w:szCs w:val="22"/>
              </w:rPr>
            </w:pPr>
          </w:p>
          <w:p w:rsidR="003260F8" w:rsidRPr="0074345C" w:rsidRDefault="003260F8" w:rsidP="003260F8">
            <w:pPr>
              <w:rPr>
                <w:szCs w:val="22"/>
              </w:rPr>
            </w:pPr>
            <w:r w:rsidRPr="0074345C">
              <w:rPr>
                <w:szCs w:val="22"/>
              </w:rPr>
              <w:lastRenderedPageBreak/>
              <w:t>Mejorar la infraestructura y fortalecer las capacidades de los países en desarrollo y de los PMA para hacer un uso más eficaz de la P.I. en pro del desarrollo, teniendo en cuenta las condiciones socio-económicas imperantes en cada país, y sus diferentes niveles de desarrollo, y</w:t>
            </w:r>
            <w:r w:rsidR="00502F27" w:rsidRPr="0074345C">
              <w:rPr>
                <w:szCs w:val="22"/>
              </w:rPr>
              <w:t xml:space="preserve"> </w:t>
            </w:r>
          </w:p>
          <w:p w:rsidR="003260F8" w:rsidRPr="0074345C" w:rsidRDefault="003260F8" w:rsidP="00E00028">
            <w:pPr>
              <w:rPr>
                <w:szCs w:val="22"/>
              </w:rPr>
            </w:pPr>
          </w:p>
          <w:p w:rsidR="003260F8" w:rsidRPr="0074345C" w:rsidRDefault="003260F8" w:rsidP="003260F8">
            <w:pPr>
              <w:rPr>
                <w:szCs w:val="22"/>
              </w:rPr>
            </w:pPr>
            <w:r w:rsidRPr="0074345C">
              <w:rPr>
                <w:szCs w:val="22"/>
              </w:rPr>
              <w:t>Fortalecer las capacidades de los países en desarrollo y de los PMA de modo tal que puedan compartir sus conocimientos y experiencia en el ámbito de la P.I. y el desarrollo.</w:t>
            </w:r>
          </w:p>
          <w:p w:rsidR="00502F27" w:rsidRPr="0074345C" w:rsidRDefault="00502F27" w:rsidP="00E00028"/>
        </w:tc>
        <w:tc>
          <w:tcPr>
            <w:tcW w:w="2694" w:type="dxa"/>
            <w:shd w:val="clear" w:color="auto" w:fill="auto"/>
          </w:tcPr>
          <w:p w:rsidR="003260F8" w:rsidRPr="0074345C" w:rsidRDefault="003260F8" w:rsidP="00E00028">
            <w:pPr>
              <w:autoSpaceDE w:val="0"/>
              <w:autoSpaceDN w:val="0"/>
              <w:adjustRightInd w:val="0"/>
              <w:rPr>
                <w:szCs w:val="22"/>
              </w:rPr>
            </w:pPr>
          </w:p>
          <w:p w:rsidR="003260F8" w:rsidRPr="0074345C" w:rsidRDefault="0095061B" w:rsidP="00E00028">
            <w:pPr>
              <w:autoSpaceDE w:val="0"/>
              <w:autoSpaceDN w:val="0"/>
              <w:adjustRightInd w:val="0"/>
              <w:rPr>
                <w:szCs w:val="22"/>
              </w:rPr>
            </w:pPr>
            <w:r w:rsidRPr="0074345C">
              <w:rPr>
                <w:szCs w:val="22"/>
              </w:rPr>
              <w:t xml:space="preserve">Repercusiones en las prácticas de los Estados miembros, en particular las relativas a la concepción de las políticas y legislaciones nacionales en materia de P.I., y su aplicación, así como en la utilización de las flexibilidades previstas en relación con la P.I. </w:t>
            </w:r>
            <w:r w:rsidR="00502F27" w:rsidRPr="0074345C">
              <w:rPr>
                <w:szCs w:val="22"/>
              </w:rPr>
              <w:t>(</w:t>
            </w:r>
            <w:r w:rsidR="006B1E5C" w:rsidRPr="0074345C">
              <w:rPr>
                <w:szCs w:val="22"/>
              </w:rPr>
              <w:t>cuestionario de la encuesta</w:t>
            </w:r>
            <w:r w:rsidR="00502F27" w:rsidRPr="0074345C">
              <w:rPr>
                <w:szCs w:val="22"/>
              </w:rPr>
              <w:t>).</w:t>
            </w:r>
          </w:p>
          <w:p w:rsidR="003260F8" w:rsidRPr="0074345C" w:rsidRDefault="003260F8" w:rsidP="00E00028">
            <w:pPr>
              <w:autoSpaceDE w:val="0"/>
              <w:autoSpaceDN w:val="0"/>
              <w:adjustRightInd w:val="0"/>
              <w:rPr>
                <w:szCs w:val="22"/>
              </w:rPr>
            </w:pPr>
          </w:p>
          <w:p w:rsidR="003260F8" w:rsidRPr="0074345C" w:rsidRDefault="003260F8" w:rsidP="003260F8">
            <w:pPr>
              <w:autoSpaceDE w:val="0"/>
              <w:autoSpaceDN w:val="0"/>
              <w:adjustRightInd w:val="0"/>
              <w:rPr>
                <w:szCs w:val="22"/>
              </w:rPr>
            </w:pPr>
            <w:r w:rsidRPr="0074345C">
              <w:rPr>
                <w:szCs w:val="22"/>
              </w:rPr>
              <w:t>Estadísticas sobre la utilización del mecanismo de vinculación.</w:t>
            </w: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3260F8">
            <w:pPr>
              <w:autoSpaceDE w:val="0"/>
              <w:autoSpaceDN w:val="0"/>
              <w:adjustRightInd w:val="0"/>
              <w:rPr>
                <w:szCs w:val="22"/>
              </w:rPr>
            </w:pPr>
            <w:r w:rsidRPr="0074345C">
              <w:rPr>
                <w:szCs w:val="22"/>
              </w:rPr>
              <w:t>Estadísticas y comentarios respecto del uso de la página web.</w:t>
            </w: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3260F8">
            <w:pPr>
              <w:autoSpaceDE w:val="0"/>
              <w:autoSpaceDN w:val="0"/>
              <w:adjustRightInd w:val="0"/>
              <w:rPr>
                <w:szCs w:val="22"/>
              </w:rPr>
            </w:pPr>
            <w:r w:rsidRPr="0074345C">
              <w:rPr>
                <w:szCs w:val="22"/>
              </w:rPr>
              <w:t>Estadísticas y comentarios sobre la utilización de la red virtual.</w:t>
            </w: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E00028">
            <w:pPr>
              <w:autoSpaceDE w:val="0"/>
              <w:autoSpaceDN w:val="0"/>
              <w:adjustRightInd w:val="0"/>
              <w:rPr>
                <w:szCs w:val="22"/>
              </w:rPr>
            </w:pPr>
          </w:p>
          <w:p w:rsidR="003260F8" w:rsidRPr="0074345C" w:rsidRDefault="003260F8" w:rsidP="003260F8">
            <w:pPr>
              <w:autoSpaceDE w:val="0"/>
              <w:autoSpaceDN w:val="0"/>
              <w:adjustRightInd w:val="0"/>
              <w:rPr>
                <w:szCs w:val="22"/>
              </w:rPr>
            </w:pPr>
            <w:r w:rsidRPr="0074345C">
              <w:rPr>
                <w:szCs w:val="22"/>
              </w:rPr>
              <w:t>Estadísticas sobre la utilización, por parte de los países en desarrollo y de los PMA, de los servicios prestados por los consultores</w:t>
            </w:r>
          </w:p>
          <w:p w:rsidR="00502F27" w:rsidRPr="0074345C" w:rsidRDefault="00502F27" w:rsidP="00E00028"/>
        </w:tc>
        <w:tc>
          <w:tcPr>
            <w:tcW w:w="3402" w:type="dxa"/>
            <w:shd w:val="clear" w:color="auto" w:fill="auto"/>
          </w:tcPr>
          <w:p w:rsidR="006B1E5C" w:rsidRPr="0074345C" w:rsidRDefault="006B1E5C" w:rsidP="00E00028">
            <w:r w:rsidRPr="0074345C">
              <w:lastRenderedPageBreak/>
              <w:t>Para obtener una evaluación exhaustiva de l</w:t>
            </w:r>
            <w:r w:rsidR="0014268C" w:rsidRPr="0074345C">
              <w:t>os efectos</w:t>
            </w:r>
            <w:r w:rsidRPr="0074345C">
              <w:t>, pertinen</w:t>
            </w:r>
            <w:r w:rsidR="00E631C1" w:rsidRPr="0074345C">
              <w:t xml:space="preserve">cia </w:t>
            </w:r>
            <w:r w:rsidRPr="0074345C">
              <w:t xml:space="preserve">y eficacia del proyecto, sírvanse referirse al informe de </w:t>
            </w:r>
            <w:r w:rsidR="00E631C1" w:rsidRPr="0074345C">
              <w:t>evaluación</w:t>
            </w:r>
            <w:r w:rsidRPr="0074345C">
              <w:t xml:space="preserve"> final del </w:t>
            </w:r>
            <w:r w:rsidR="009E13C2" w:rsidRPr="0074345C">
              <w:t>proyecto</w:t>
            </w:r>
            <w:r w:rsidRPr="0074345C">
              <w:t>:</w:t>
            </w:r>
          </w:p>
          <w:p w:rsidR="003260F8" w:rsidRPr="0074345C" w:rsidRDefault="003A2508" w:rsidP="00E00028">
            <w:hyperlink r:id="rId55" w:history="1">
              <w:r w:rsidR="0014268C" w:rsidRPr="0074345C">
                <w:t xml:space="preserve"> </w:t>
              </w:r>
              <w:r w:rsidR="0014268C" w:rsidRPr="0074345C">
                <w:rPr>
                  <w:rStyle w:val="Hyperlink"/>
                  <w:rFonts w:eastAsia="Times New Roman"/>
                  <w:color w:val="auto"/>
                  <w:lang w:eastAsia="en-US"/>
                </w:rPr>
                <w:t>http://www.wipo.int/meetings/es/doc_details.jsp?doc_id=268822</w:t>
              </w:r>
            </w:hyperlink>
            <w:r w:rsidR="00502F27" w:rsidRPr="0074345C">
              <w:rPr>
                <w:rFonts w:eastAsia="Times New Roman"/>
                <w:lang w:eastAsia="en-US"/>
              </w:rPr>
              <w:t>.</w:t>
            </w:r>
            <w:r w:rsidR="00502F27" w:rsidRPr="0074345C">
              <w:t xml:space="preserve">    </w:t>
            </w:r>
          </w:p>
          <w:p w:rsidR="003260F8" w:rsidRPr="0074345C" w:rsidRDefault="003260F8" w:rsidP="00E00028"/>
          <w:p w:rsidR="006B1E5C" w:rsidRPr="0074345C" w:rsidRDefault="006B1E5C" w:rsidP="006B1E5C">
            <w:r w:rsidRPr="0074345C">
              <w:t>En una etapa ulterior de ejecución del proyecto se pondrán a disposición las estadísticas pertinentes sobre las herramientas basadas en internet.</w:t>
            </w:r>
          </w:p>
          <w:p w:rsidR="003260F8" w:rsidRPr="0074345C" w:rsidRDefault="003260F8" w:rsidP="006B1E5C"/>
          <w:p w:rsidR="00502F27" w:rsidRPr="0074345C" w:rsidRDefault="00502F27" w:rsidP="00E00028"/>
        </w:tc>
        <w:tc>
          <w:tcPr>
            <w:tcW w:w="964" w:type="dxa"/>
            <w:shd w:val="clear" w:color="auto" w:fill="auto"/>
          </w:tcPr>
          <w:p w:rsidR="003260F8" w:rsidRPr="0074345C" w:rsidRDefault="003260F8" w:rsidP="00E00028"/>
          <w:p w:rsidR="00502F27" w:rsidRPr="0074345C" w:rsidRDefault="00502F27" w:rsidP="00E00028">
            <w:r w:rsidRPr="0074345C">
              <w:t>***</w:t>
            </w:r>
          </w:p>
        </w:tc>
      </w:tr>
    </w:tbl>
    <w:p w:rsidR="003260F8" w:rsidRPr="0074345C" w:rsidRDefault="003260F8" w:rsidP="00502F27">
      <w:pPr>
        <w:pStyle w:val="Endofdocument"/>
        <w:ind w:left="0"/>
        <w:jc w:val="left"/>
        <w:rPr>
          <w:rFonts w:ascii="Arial" w:hAnsi="Arial" w:cs="Arial"/>
          <w:sz w:val="22"/>
          <w:szCs w:val="22"/>
          <w:lang w:val="es-ES"/>
        </w:rPr>
      </w:pPr>
    </w:p>
    <w:p w:rsidR="003260F8" w:rsidRPr="0074345C" w:rsidRDefault="003260F8" w:rsidP="00502F27">
      <w:pPr>
        <w:pStyle w:val="Endofdocument"/>
        <w:ind w:left="0"/>
        <w:jc w:val="left"/>
        <w:rPr>
          <w:rFonts w:ascii="Arial" w:hAnsi="Arial" w:cs="Arial"/>
          <w:sz w:val="22"/>
          <w:szCs w:val="22"/>
          <w:lang w:val="es-ES"/>
        </w:rPr>
      </w:pPr>
    </w:p>
    <w:p w:rsidR="003260F8" w:rsidRPr="0074345C" w:rsidRDefault="003260F8" w:rsidP="00502F27">
      <w:pPr>
        <w:tabs>
          <w:tab w:val="left" w:pos="3225"/>
        </w:tabs>
      </w:pPr>
    </w:p>
    <w:p w:rsidR="00502F27" w:rsidRPr="0074345C" w:rsidRDefault="003260F8" w:rsidP="003260F8">
      <w:pPr>
        <w:tabs>
          <w:tab w:val="left" w:pos="3225"/>
        </w:tabs>
        <w:ind w:left="2445" w:firstLine="3225"/>
        <w:sectPr w:rsidR="00502F27" w:rsidRPr="0074345C" w:rsidSect="00E00028">
          <w:headerReference w:type="default" r:id="rId56"/>
          <w:headerReference w:type="first" r:id="rId57"/>
          <w:endnotePr>
            <w:numFmt w:val="decimal"/>
          </w:endnotePr>
          <w:pgSz w:w="11907" w:h="16840" w:code="9"/>
          <w:pgMar w:top="567" w:right="1134" w:bottom="1418" w:left="1418" w:header="510" w:footer="1021" w:gutter="0"/>
          <w:pgNumType w:start="1"/>
          <w:cols w:space="720"/>
          <w:titlePg/>
          <w:docGrid w:linePitch="299"/>
        </w:sectPr>
      </w:pPr>
      <w:r w:rsidRPr="0074345C">
        <w:t>[Sigue el Anexo VI]</w:t>
      </w:r>
    </w:p>
    <w:p w:rsidR="003260F8" w:rsidRPr="0074345C" w:rsidRDefault="003260F8" w:rsidP="00502F27">
      <w:pPr>
        <w:tabs>
          <w:tab w:val="left" w:pos="3225"/>
        </w:tabs>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6376E7" w:rsidRPr="0074345C" w:rsidTr="00E00028">
        <w:trPr>
          <w:trHeight w:val="432"/>
        </w:trPr>
        <w:tc>
          <w:tcPr>
            <w:tcW w:w="9288" w:type="dxa"/>
            <w:gridSpan w:val="2"/>
            <w:shd w:val="clear" w:color="auto" w:fill="auto"/>
            <w:vAlign w:val="center"/>
          </w:tcPr>
          <w:p w:rsidR="00502F27" w:rsidRPr="0074345C" w:rsidRDefault="003260F8" w:rsidP="003260F8">
            <w:pPr>
              <w:pStyle w:val="Heading2"/>
            </w:pPr>
            <w:r w:rsidRPr="0074345C">
              <w:t>RESUMEN DEL PROYECTO</w:t>
            </w:r>
          </w:p>
        </w:tc>
      </w:tr>
      <w:tr w:rsidR="006376E7" w:rsidRPr="0074345C" w:rsidTr="00E00028">
        <w:trPr>
          <w:trHeight w:val="496"/>
        </w:trPr>
        <w:tc>
          <w:tcPr>
            <w:tcW w:w="2088" w:type="dxa"/>
            <w:shd w:val="clear" w:color="auto" w:fill="auto"/>
          </w:tcPr>
          <w:p w:rsidR="00502F27" w:rsidRPr="0074345C" w:rsidRDefault="003260F8" w:rsidP="003260F8">
            <w:pPr>
              <w:pStyle w:val="Heading3"/>
            </w:pPr>
            <w:r w:rsidRPr="0074345C">
              <w:t>Código del proyecto</w:t>
            </w:r>
          </w:p>
        </w:tc>
        <w:tc>
          <w:tcPr>
            <w:tcW w:w="7200" w:type="dxa"/>
            <w:shd w:val="clear" w:color="auto" w:fill="auto"/>
            <w:vAlign w:val="center"/>
          </w:tcPr>
          <w:p w:rsidR="003260F8" w:rsidRPr="0074345C" w:rsidRDefault="003260F8" w:rsidP="00E00028">
            <w:pPr>
              <w:rPr>
                <w:rFonts w:eastAsia="Malgun Gothic"/>
                <w:i/>
                <w:kern w:val="2"/>
                <w:lang w:eastAsia="ko-KR"/>
              </w:rPr>
            </w:pPr>
          </w:p>
          <w:p w:rsidR="003260F8" w:rsidRPr="0074345C" w:rsidRDefault="003260F8" w:rsidP="003260F8">
            <w:pPr>
              <w:rPr>
                <w:rFonts w:eastAsia="Malgun Gothic"/>
                <w:kern w:val="2"/>
                <w:lang w:eastAsia="ko-KR"/>
              </w:rPr>
            </w:pPr>
            <w:r w:rsidRPr="0074345C">
              <w:rPr>
                <w:rFonts w:eastAsia="Malgun Gothic"/>
                <w:kern w:val="2"/>
                <w:lang w:eastAsia="ko-KR"/>
              </w:rPr>
              <w:t>DA_4_10_02</w:t>
            </w:r>
          </w:p>
          <w:p w:rsidR="00502F27" w:rsidRPr="0074345C" w:rsidRDefault="00502F27" w:rsidP="00E00028">
            <w:pPr>
              <w:rPr>
                <w:i/>
              </w:rPr>
            </w:pPr>
          </w:p>
        </w:tc>
      </w:tr>
      <w:tr w:rsidR="006376E7" w:rsidRPr="0074345C" w:rsidTr="00E00028">
        <w:trPr>
          <w:trHeight w:val="404"/>
        </w:trPr>
        <w:tc>
          <w:tcPr>
            <w:tcW w:w="2088" w:type="dxa"/>
            <w:shd w:val="clear" w:color="auto" w:fill="auto"/>
          </w:tcPr>
          <w:p w:rsidR="003260F8" w:rsidRPr="0074345C" w:rsidRDefault="003260F8" w:rsidP="003260F8">
            <w:pPr>
              <w:pStyle w:val="Heading3"/>
            </w:pPr>
            <w:r w:rsidRPr="0074345C">
              <w:t>Título</w:t>
            </w:r>
          </w:p>
          <w:p w:rsidR="00502F27" w:rsidRPr="0074345C" w:rsidRDefault="00502F27" w:rsidP="00E00028"/>
        </w:tc>
        <w:tc>
          <w:tcPr>
            <w:tcW w:w="7200" w:type="dxa"/>
            <w:shd w:val="clear" w:color="auto" w:fill="auto"/>
            <w:vAlign w:val="center"/>
          </w:tcPr>
          <w:p w:rsidR="003260F8" w:rsidRPr="0074345C" w:rsidRDefault="003260F8" w:rsidP="00E00028">
            <w:pPr>
              <w:rPr>
                <w:rFonts w:eastAsia="Malgun Gothic"/>
                <w:kern w:val="2"/>
                <w:lang w:eastAsia="ko-KR"/>
              </w:rPr>
            </w:pPr>
          </w:p>
          <w:p w:rsidR="00502F27" w:rsidRPr="0074345C" w:rsidRDefault="00C05E5A" w:rsidP="003260F8">
            <w:pPr>
              <w:rPr>
                <w:rFonts w:eastAsia="Malgun Gothic"/>
                <w:kern w:val="2"/>
                <w:lang w:eastAsia="ko-KR"/>
              </w:rPr>
            </w:pPr>
            <w:r w:rsidRPr="0074345C">
              <w:rPr>
                <w:rFonts w:eastAsia="Malgun Gothic"/>
                <w:kern w:val="2"/>
                <w:lang w:eastAsia="ko-KR"/>
              </w:rPr>
              <w:t>Proyecto piloto sobre la propiedad intelectual (P.I.) y la gestión de diseños para fomentar las actividades comerciales en los países en desarrollo y los países menos adelantados (PMA)</w:t>
            </w:r>
          </w:p>
        </w:tc>
      </w:tr>
      <w:tr w:rsidR="006376E7" w:rsidRPr="0074345C" w:rsidTr="00E00028">
        <w:tc>
          <w:tcPr>
            <w:tcW w:w="2088" w:type="dxa"/>
            <w:shd w:val="clear" w:color="auto" w:fill="auto"/>
          </w:tcPr>
          <w:p w:rsidR="003260F8" w:rsidRPr="0074345C" w:rsidRDefault="003260F8" w:rsidP="003260F8">
            <w:pPr>
              <w:pStyle w:val="Heading3"/>
            </w:pPr>
            <w:r w:rsidRPr="0074345C">
              <w:t>Recomendación de la Agenda para el Desarrollo</w:t>
            </w:r>
          </w:p>
          <w:p w:rsidR="00502F27" w:rsidRPr="0074345C" w:rsidRDefault="00502F27" w:rsidP="00E00028"/>
        </w:tc>
        <w:tc>
          <w:tcPr>
            <w:tcW w:w="7200" w:type="dxa"/>
            <w:shd w:val="clear" w:color="auto" w:fill="auto"/>
          </w:tcPr>
          <w:p w:rsidR="003260F8" w:rsidRPr="0074345C" w:rsidRDefault="003260F8" w:rsidP="00E00028">
            <w:pPr>
              <w:rPr>
                <w:i/>
              </w:rPr>
            </w:pPr>
          </w:p>
          <w:p w:rsidR="003260F8" w:rsidRPr="0074345C" w:rsidRDefault="003260F8" w:rsidP="003260F8">
            <w:pPr>
              <w:rPr>
                <w:rFonts w:eastAsia="Malgun Gothic"/>
                <w:kern w:val="2"/>
                <w:lang w:eastAsia="ko-KR"/>
              </w:rPr>
            </w:pPr>
            <w:r w:rsidRPr="0074345C">
              <w:rPr>
                <w:rFonts w:eastAsia="Malgun Gothic"/>
                <w:i/>
                <w:kern w:val="2"/>
                <w:lang w:eastAsia="ko-KR"/>
              </w:rPr>
              <w:t>Recomendación 4</w:t>
            </w:r>
            <w:proofErr w:type="gramStart"/>
            <w:r w:rsidRPr="0074345C">
              <w:rPr>
                <w:rFonts w:eastAsia="Malgun Gothic"/>
                <w:i/>
                <w:kern w:val="2"/>
                <w:lang w:eastAsia="ko-KR"/>
              </w:rPr>
              <w:t>:</w:t>
            </w:r>
            <w:r w:rsidRPr="0074345C">
              <w:rPr>
                <w:rFonts w:eastAsia="Malgun Gothic"/>
                <w:kern w:val="2"/>
                <w:lang w:eastAsia="ko-KR"/>
              </w:rPr>
              <w:t xml:space="preserve">  Destacar</w:t>
            </w:r>
            <w:proofErr w:type="gramEnd"/>
            <w:r w:rsidRPr="0074345C">
              <w:rPr>
                <w:rFonts w:eastAsia="Malgun Gothic"/>
                <w:kern w:val="2"/>
                <w:lang w:eastAsia="ko-KR"/>
              </w:rPr>
              <w:t>, en particular, las necesidades de las Pymes y las instituciones de investigación científica, así como las industrias culturales, y asistir a los Estados miembros, cuando éstos lo soliciten, en el establecimiento de estrategias nacionales adecuadas en el campo de la P.I.</w:t>
            </w:r>
          </w:p>
          <w:p w:rsidR="003260F8" w:rsidRPr="0074345C" w:rsidRDefault="003260F8" w:rsidP="00E00028">
            <w:pPr>
              <w:rPr>
                <w:rFonts w:eastAsia="Malgun Gothic"/>
                <w:kern w:val="2"/>
                <w:lang w:eastAsia="ko-KR"/>
              </w:rPr>
            </w:pPr>
          </w:p>
          <w:p w:rsidR="00502F27" w:rsidRPr="0074345C" w:rsidRDefault="003260F8" w:rsidP="003260F8">
            <w:pPr>
              <w:rPr>
                <w:rFonts w:eastAsia="Malgun Gothic"/>
                <w:kern w:val="2"/>
                <w:lang w:eastAsia="ko-KR"/>
              </w:rPr>
            </w:pPr>
            <w:r w:rsidRPr="0074345C">
              <w:rPr>
                <w:rFonts w:eastAsia="Malgun Gothic"/>
                <w:i/>
                <w:kern w:val="2"/>
                <w:lang w:eastAsia="ko-KR"/>
              </w:rPr>
              <w:t>Recomendación 10</w:t>
            </w:r>
            <w:proofErr w:type="gramStart"/>
            <w:r w:rsidRPr="0074345C">
              <w:rPr>
                <w:rFonts w:eastAsia="Malgun Gothic"/>
                <w:i/>
                <w:kern w:val="2"/>
                <w:lang w:eastAsia="ko-KR"/>
              </w:rPr>
              <w:t>:</w:t>
            </w:r>
            <w:r w:rsidRPr="0074345C">
              <w:rPr>
                <w:rFonts w:eastAsia="Malgun Gothic"/>
                <w:kern w:val="2"/>
                <w:lang w:eastAsia="ko-KR"/>
              </w:rPr>
              <w:t xml:space="preserve">  Ayudar</w:t>
            </w:r>
            <w:proofErr w:type="gramEnd"/>
            <w:r w:rsidRPr="0074345C">
              <w:rPr>
                <w:rFonts w:eastAsia="Malgun Gothic"/>
                <w:kern w:val="2"/>
                <w:lang w:eastAsia="ko-KR"/>
              </w:rPr>
              <w:t xml:space="preserve">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tc>
      </w:tr>
      <w:tr w:rsidR="006376E7" w:rsidRPr="0074345C" w:rsidTr="00E00028">
        <w:tc>
          <w:tcPr>
            <w:tcW w:w="2088" w:type="dxa"/>
            <w:shd w:val="clear" w:color="auto" w:fill="auto"/>
          </w:tcPr>
          <w:p w:rsidR="003260F8" w:rsidRPr="0074345C" w:rsidRDefault="003260F8" w:rsidP="003260F8">
            <w:pPr>
              <w:pStyle w:val="Heading3"/>
            </w:pPr>
            <w:r w:rsidRPr="0074345C">
              <w:t>Presupuesto del proyecto</w:t>
            </w:r>
          </w:p>
          <w:p w:rsidR="00502F27" w:rsidRPr="0074345C" w:rsidRDefault="00502F27" w:rsidP="00E00028"/>
        </w:tc>
        <w:tc>
          <w:tcPr>
            <w:tcW w:w="7200" w:type="dxa"/>
            <w:shd w:val="clear" w:color="auto" w:fill="auto"/>
          </w:tcPr>
          <w:p w:rsidR="003260F8" w:rsidRPr="0074345C" w:rsidRDefault="003260F8" w:rsidP="00E00028"/>
          <w:p w:rsidR="003260F8" w:rsidRPr="0074345C" w:rsidRDefault="003260F8" w:rsidP="003260F8">
            <w:pPr>
              <w:rPr>
                <w:rFonts w:eastAsia="Malgun Gothic"/>
                <w:kern w:val="2"/>
                <w:lang w:eastAsia="ko-KR"/>
              </w:rPr>
            </w:pPr>
            <w:r w:rsidRPr="0074345C">
              <w:rPr>
                <w:rFonts w:eastAsia="Malgun Gothic"/>
                <w:kern w:val="2"/>
                <w:lang w:eastAsia="ko-KR"/>
              </w:rPr>
              <w:t>Gastos no relativos al personal: 250.000 francos suizos.</w:t>
            </w:r>
          </w:p>
          <w:p w:rsidR="003260F8" w:rsidRPr="0074345C" w:rsidRDefault="003260F8" w:rsidP="003260F8">
            <w:pPr>
              <w:rPr>
                <w:rFonts w:eastAsia="Malgun Gothic"/>
                <w:kern w:val="2"/>
                <w:lang w:eastAsia="ko-KR"/>
              </w:rPr>
            </w:pPr>
            <w:r w:rsidRPr="0074345C">
              <w:rPr>
                <w:rFonts w:eastAsia="Malgun Gothic"/>
                <w:kern w:val="2"/>
                <w:lang w:eastAsia="ko-KR"/>
              </w:rPr>
              <w:t xml:space="preserve">Gastos </w:t>
            </w:r>
            <w:r w:rsidR="00C05E5A" w:rsidRPr="0074345C">
              <w:rPr>
                <w:rFonts w:eastAsia="Malgun Gothic"/>
                <w:kern w:val="2"/>
                <w:lang w:eastAsia="ko-KR"/>
              </w:rPr>
              <w:t>de</w:t>
            </w:r>
            <w:r w:rsidRPr="0074345C">
              <w:rPr>
                <w:rFonts w:eastAsia="Malgun Gothic"/>
                <w:kern w:val="2"/>
                <w:lang w:eastAsia="ko-KR"/>
              </w:rPr>
              <w:t xml:space="preserve"> personal: 237.000 francos suizos.</w:t>
            </w:r>
          </w:p>
          <w:p w:rsidR="00502F27" w:rsidRPr="0074345C" w:rsidRDefault="00502F27" w:rsidP="00E00028">
            <w:pPr>
              <w:rPr>
                <w:rFonts w:eastAsia="Malgun Gothic"/>
                <w:kern w:val="2"/>
                <w:lang w:eastAsia="ko-KR"/>
              </w:rPr>
            </w:pPr>
          </w:p>
        </w:tc>
      </w:tr>
      <w:tr w:rsidR="006376E7" w:rsidRPr="0074345C" w:rsidTr="00E00028">
        <w:tc>
          <w:tcPr>
            <w:tcW w:w="2088" w:type="dxa"/>
            <w:shd w:val="clear" w:color="auto" w:fill="auto"/>
          </w:tcPr>
          <w:p w:rsidR="00502F27" w:rsidRPr="0074345C" w:rsidRDefault="003260F8" w:rsidP="003260F8">
            <w:pPr>
              <w:pStyle w:val="Heading3"/>
            </w:pPr>
            <w:r w:rsidRPr="0074345C">
              <w:t>Fecha de inicio del proyecto</w:t>
            </w:r>
          </w:p>
        </w:tc>
        <w:tc>
          <w:tcPr>
            <w:tcW w:w="7200" w:type="dxa"/>
            <w:shd w:val="clear" w:color="auto" w:fill="auto"/>
          </w:tcPr>
          <w:p w:rsidR="003260F8" w:rsidRPr="0074345C" w:rsidRDefault="003260F8" w:rsidP="00E00028"/>
          <w:p w:rsidR="003260F8" w:rsidRPr="0074345C" w:rsidRDefault="003260F8" w:rsidP="003260F8">
            <w:r w:rsidRPr="0074345C">
              <w:t>1 de abril de 2014</w:t>
            </w:r>
          </w:p>
          <w:p w:rsidR="00502F27" w:rsidRPr="0074345C" w:rsidRDefault="00502F27" w:rsidP="00E00028"/>
        </w:tc>
      </w:tr>
      <w:tr w:rsidR="006376E7" w:rsidRPr="0074345C" w:rsidTr="00E00028">
        <w:tc>
          <w:tcPr>
            <w:tcW w:w="2088" w:type="dxa"/>
            <w:shd w:val="clear" w:color="auto" w:fill="auto"/>
          </w:tcPr>
          <w:p w:rsidR="00502F27" w:rsidRPr="0074345C" w:rsidRDefault="003260F8" w:rsidP="003260F8">
            <w:pPr>
              <w:pStyle w:val="Heading3"/>
            </w:pPr>
            <w:r w:rsidRPr="0074345C">
              <w:t>Duración del proyecto</w:t>
            </w:r>
          </w:p>
        </w:tc>
        <w:tc>
          <w:tcPr>
            <w:tcW w:w="7200" w:type="dxa"/>
            <w:shd w:val="clear" w:color="auto" w:fill="auto"/>
          </w:tcPr>
          <w:p w:rsidR="003260F8" w:rsidRPr="0074345C" w:rsidRDefault="003260F8" w:rsidP="00E00028">
            <w:pPr>
              <w:rPr>
                <w:rFonts w:eastAsia="Malgun Gothic"/>
                <w:kern w:val="2"/>
                <w:lang w:eastAsia="ko-KR"/>
              </w:rPr>
            </w:pPr>
          </w:p>
          <w:p w:rsidR="003260F8" w:rsidRPr="0074345C" w:rsidRDefault="003260F8" w:rsidP="003260F8">
            <w:pPr>
              <w:rPr>
                <w:rFonts w:eastAsia="Malgun Gothic"/>
                <w:kern w:val="2"/>
                <w:lang w:eastAsia="ko-KR"/>
              </w:rPr>
            </w:pPr>
            <w:r w:rsidRPr="0074345C">
              <w:rPr>
                <w:rFonts w:eastAsia="Malgun Gothic"/>
                <w:kern w:val="2"/>
                <w:lang w:eastAsia="ko-KR"/>
              </w:rPr>
              <w:t>24 meses</w:t>
            </w:r>
          </w:p>
          <w:p w:rsidR="00502F27" w:rsidRPr="0074345C" w:rsidRDefault="00502F27" w:rsidP="00E00028"/>
        </w:tc>
      </w:tr>
      <w:tr w:rsidR="006376E7" w:rsidRPr="0074345C" w:rsidTr="00E00028">
        <w:tc>
          <w:tcPr>
            <w:tcW w:w="2088" w:type="dxa"/>
            <w:shd w:val="clear" w:color="auto" w:fill="auto"/>
          </w:tcPr>
          <w:p w:rsidR="003260F8" w:rsidRPr="0074345C" w:rsidRDefault="003260F8" w:rsidP="003260F8">
            <w:pPr>
              <w:pStyle w:val="Heading3"/>
            </w:pPr>
            <w:r w:rsidRPr="0074345C">
              <w:t xml:space="preserve">Principales sectores de la OMPI interesados y vínculos con los </w:t>
            </w:r>
            <w:r w:rsidR="00AC0CD4" w:rsidRPr="0074345C">
              <w:t>Programas</w:t>
            </w:r>
            <w:r w:rsidRPr="0074345C">
              <w:t xml:space="preserve"> de la Organización</w:t>
            </w:r>
          </w:p>
          <w:p w:rsidR="00502F27" w:rsidRPr="0074345C" w:rsidRDefault="00502F27" w:rsidP="00E00028"/>
        </w:tc>
        <w:tc>
          <w:tcPr>
            <w:tcW w:w="7200" w:type="dxa"/>
            <w:shd w:val="clear" w:color="auto" w:fill="auto"/>
          </w:tcPr>
          <w:p w:rsidR="003260F8" w:rsidRPr="0074345C" w:rsidRDefault="003260F8" w:rsidP="00E00028"/>
          <w:p w:rsidR="003260F8" w:rsidRPr="0074345C" w:rsidRDefault="009E13C2" w:rsidP="003260F8">
            <w:pPr>
              <w:rPr>
                <w:rFonts w:eastAsia="Malgun Gothic"/>
                <w:kern w:val="2"/>
                <w:lang w:eastAsia="ko-KR"/>
              </w:rPr>
            </w:pPr>
            <w:r w:rsidRPr="0074345C">
              <w:rPr>
                <w:rFonts w:eastAsia="Malgun Gothic"/>
                <w:kern w:val="2"/>
                <w:lang w:eastAsia="ko-KR"/>
              </w:rPr>
              <w:t xml:space="preserve">Programa </w:t>
            </w:r>
            <w:r w:rsidR="003260F8" w:rsidRPr="0074345C">
              <w:rPr>
                <w:rFonts w:eastAsia="Malgun Gothic"/>
                <w:kern w:val="2"/>
                <w:lang w:eastAsia="ko-KR"/>
              </w:rPr>
              <w:t>a 2</w:t>
            </w:r>
          </w:p>
          <w:p w:rsidR="003260F8" w:rsidRPr="0074345C" w:rsidRDefault="003260F8" w:rsidP="003260F8">
            <w:pPr>
              <w:rPr>
                <w:rFonts w:eastAsia="Malgun Gothic"/>
                <w:kern w:val="2"/>
                <w:lang w:eastAsia="ko-KR"/>
              </w:rPr>
            </w:pPr>
            <w:r w:rsidRPr="0074345C">
              <w:rPr>
                <w:rFonts w:eastAsia="Malgun Gothic"/>
                <w:kern w:val="2"/>
                <w:lang w:eastAsia="ko-KR"/>
              </w:rPr>
              <w:t xml:space="preserve">Vínculos con los </w:t>
            </w:r>
            <w:r w:rsidR="00AC0CD4" w:rsidRPr="0074345C">
              <w:rPr>
                <w:rFonts w:eastAsia="Malgun Gothic"/>
                <w:kern w:val="2"/>
                <w:lang w:eastAsia="ko-KR"/>
              </w:rPr>
              <w:t>Programas</w:t>
            </w:r>
            <w:r w:rsidRPr="0074345C">
              <w:rPr>
                <w:rFonts w:eastAsia="Malgun Gothic"/>
                <w:kern w:val="2"/>
                <w:lang w:eastAsia="ko-KR"/>
              </w:rPr>
              <w:t xml:space="preserve"> 2, 9, 30 y 31 de la OMPI.</w:t>
            </w:r>
          </w:p>
          <w:p w:rsidR="00502F27" w:rsidRPr="0074345C" w:rsidRDefault="00502F27" w:rsidP="00E00028"/>
        </w:tc>
      </w:tr>
      <w:tr w:rsidR="006376E7" w:rsidRPr="0074345C" w:rsidTr="00301D88">
        <w:trPr>
          <w:trHeight w:val="557"/>
        </w:trPr>
        <w:tc>
          <w:tcPr>
            <w:tcW w:w="2088" w:type="dxa"/>
            <w:shd w:val="clear" w:color="auto" w:fill="auto"/>
          </w:tcPr>
          <w:p w:rsidR="00502F27" w:rsidRPr="0074345C" w:rsidRDefault="003260F8" w:rsidP="003260F8">
            <w:pPr>
              <w:pStyle w:val="Heading3"/>
            </w:pPr>
            <w:r w:rsidRPr="0074345C">
              <w:t>Breve descripción del proyecto</w:t>
            </w:r>
          </w:p>
        </w:tc>
        <w:tc>
          <w:tcPr>
            <w:tcW w:w="7200" w:type="dxa"/>
            <w:shd w:val="clear" w:color="auto" w:fill="auto"/>
          </w:tcPr>
          <w:p w:rsidR="003260F8" w:rsidRPr="0074345C" w:rsidRDefault="003260F8" w:rsidP="00E00028"/>
          <w:p w:rsidR="003260F8" w:rsidRPr="0074345C" w:rsidRDefault="003260F8" w:rsidP="003260F8">
            <w:pPr>
              <w:rPr>
                <w:rFonts w:eastAsia="Malgun Gothic"/>
                <w:kern w:val="2"/>
                <w:lang w:eastAsia="ko-KR"/>
              </w:rPr>
            </w:pPr>
            <w:r w:rsidRPr="0074345C">
              <w:rPr>
                <w:rFonts w:eastAsia="Malgun Gothic"/>
                <w:kern w:val="2"/>
                <w:lang w:eastAsia="ko-KR"/>
              </w:rPr>
              <w:t>La finalida</w:t>
            </w:r>
            <w:r w:rsidR="00AB0061" w:rsidRPr="0074345C">
              <w:rPr>
                <w:rFonts w:eastAsia="Malgun Gothic"/>
                <w:kern w:val="2"/>
                <w:lang w:eastAsia="ko-KR"/>
              </w:rPr>
              <w:t>d del proyecto es apoyar a las P</w:t>
            </w:r>
            <w:r w:rsidRPr="0074345C">
              <w:rPr>
                <w:rFonts w:eastAsia="Malgun Gothic"/>
                <w:kern w:val="2"/>
                <w:lang w:eastAsia="ko-KR"/>
              </w:rPr>
              <w:t>ymes, entidades que participan activamente en la creación y comercialización de los diseños, en la utilización del sistema de P.I. y en la elaboración de estrategias que incentiven la inversión en el diseño.</w:t>
            </w:r>
            <w:r w:rsidR="00502F27" w:rsidRPr="0074345C">
              <w:rPr>
                <w:rFonts w:eastAsia="Malgun Gothic"/>
                <w:kern w:val="2"/>
                <w:lang w:eastAsia="ko-KR"/>
              </w:rPr>
              <w:t xml:space="preserve"> </w:t>
            </w:r>
          </w:p>
          <w:p w:rsidR="003260F8" w:rsidRPr="0074345C" w:rsidRDefault="003260F8" w:rsidP="00E00028">
            <w:pPr>
              <w:rPr>
                <w:rFonts w:eastAsia="Malgun Gothic"/>
                <w:kern w:val="2"/>
                <w:lang w:eastAsia="ko-KR"/>
              </w:rPr>
            </w:pPr>
          </w:p>
          <w:p w:rsidR="003260F8" w:rsidRPr="0074345C" w:rsidRDefault="003260F8" w:rsidP="003260F8">
            <w:pPr>
              <w:rPr>
                <w:rFonts w:eastAsia="Malgun Gothic"/>
                <w:kern w:val="2"/>
                <w:lang w:eastAsia="ko-KR"/>
              </w:rPr>
            </w:pPr>
            <w:r w:rsidRPr="0074345C">
              <w:rPr>
                <w:rFonts w:eastAsia="Malgun Gothic"/>
                <w:kern w:val="2"/>
                <w:lang w:eastAsia="ko-KR"/>
              </w:rPr>
              <w:t>En el marco del proyecto, y mediante una estrecha cooperación con las principales instituciones de los países participantes, se fomentará la util</w:t>
            </w:r>
            <w:r w:rsidR="00AB0061" w:rsidRPr="0074345C">
              <w:rPr>
                <w:rFonts w:eastAsia="Malgun Gothic"/>
                <w:kern w:val="2"/>
                <w:lang w:eastAsia="ko-KR"/>
              </w:rPr>
              <w:t>ización estratégica, entre las P</w:t>
            </w:r>
            <w:r w:rsidRPr="0074345C">
              <w:rPr>
                <w:rFonts w:eastAsia="Malgun Gothic"/>
                <w:kern w:val="2"/>
                <w:lang w:eastAsia="ko-KR"/>
              </w:rPr>
              <w:t>ymes de tales países, de los derechos de P.I., en particular, los derechos sobre los diseños industriales, potenciando así un enfoque dinámico de la protección de los diseños en los mercados nacionales y de exportación.</w:t>
            </w:r>
          </w:p>
          <w:p w:rsidR="003260F8" w:rsidRPr="0074345C" w:rsidRDefault="003260F8" w:rsidP="00E00028">
            <w:pPr>
              <w:rPr>
                <w:rFonts w:eastAsia="Malgun Gothic"/>
                <w:kern w:val="2"/>
                <w:lang w:eastAsia="ko-KR"/>
              </w:rPr>
            </w:pPr>
          </w:p>
          <w:p w:rsidR="00502F27" w:rsidRPr="0074345C" w:rsidRDefault="003260F8" w:rsidP="00243288">
            <w:pPr>
              <w:rPr>
                <w:rFonts w:eastAsia="Malgun Gothic"/>
                <w:kern w:val="2"/>
                <w:lang w:eastAsia="ko-KR"/>
              </w:rPr>
            </w:pPr>
            <w:r w:rsidRPr="0074345C">
              <w:rPr>
                <w:rFonts w:eastAsia="Malgun Gothic"/>
                <w:kern w:val="2"/>
                <w:lang w:eastAsia="ko-KR"/>
              </w:rPr>
              <w:lastRenderedPageBreak/>
              <w:t xml:space="preserve">El </w:t>
            </w:r>
            <w:r w:rsidR="00193CE1" w:rsidRPr="0074345C">
              <w:rPr>
                <w:rFonts w:eastAsia="Malgun Gothic"/>
                <w:kern w:val="2"/>
                <w:lang w:eastAsia="ko-KR"/>
              </w:rPr>
              <w:t>proyecto</w:t>
            </w:r>
            <w:r w:rsidR="00243288" w:rsidRPr="0074345C">
              <w:rPr>
                <w:rFonts w:eastAsia="Malgun Gothic"/>
                <w:kern w:val="2"/>
                <w:lang w:eastAsia="ko-KR"/>
              </w:rPr>
              <w:t xml:space="preserve"> </w:t>
            </w:r>
            <w:r w:rsidR="00193CE1" w:rsidRPr="0074345C">
              <w:rPr>
                <w:rFonts w:eastAsia="Malgun Gothic"/>
                <w:kern w:val="2"/>
                <w:lang w:eastAsia="ko-KR"/>
              </w:rPr>
              <w:t>s</w:t>
            </w:r>
            <w:r w:rsidRPr="0074345C">
              <w:rPr>
                <w:rFonts w:eastAsia="Malgun Gothic"/>
                <w:kern w:val="2"/>
                <w:lang w:eastAsia="ko-KR"/>
              </w:rPr>
              <w:t>e basa en una propuesta presentada por la República de Corea en la undécima sesión del CDIP (documento CDIP/11/7).</w:t>
            </w:r>
            <w:r w:rsidR="00502F27" w:rsidRPr="0074345C">
              <w:rPr>
                <w:rFonts w:eastAsia="Malgun Gothic"/>
                <w:kern w:val="2"/>
                <w:lang w:eastAsia="ko-KR"/>
              </w:rPr>
              <w:t xml:space="preserve">  </w:t>
            </w: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00028">
        <w:trPr>
          <w:trHeight w:val="484"/>
        </w:trPr>
        <w:tc>
          <w:tcPr>
            <w:tcW w:w="2376" w:type="dxa"/>
            <w:shd w:val="clear" w:color="auto" w:fill="auto"/>
          </w:tcPr>
          <w:p w:rsidR="00502F27" w:rsidRPr="0074345C" w:rsidRDefault="003260F8" w:rsidP="003260F8">
            <w:pPr>
              <w:pStyle w:val="Heading3"/>
            </w:pPr>
            <w:r w:rsidRPr="0074345C">
              <w:lastRenderedPageBreak/>
              <w:t>Director del Proyecto</w:t>
            </w:r>
          </w:p>
        </w:tc>
        <w:tc>
          <w:tcPr>
            <w:tcW w:w="6912" w:type="dxa"/>
            <w:vAlign w:val="center"/>
          </w:tcPr>
          <w:p w:rsidR="003260F8" w:rsidRPr="0074345C" w:rsidRDefault="003260F8" w:rsidP="00E00028">
            <w:pPr>
              <w:rPr>
                <w:iCs/>
              </w:rPr>
            </w:pPr>
          </w:p>
          <w:p w:rsidR="003260F8" w:rsidRPr="0074345C" w:rsidRDefault="00301D88" w:rsidP="00E00028">
            <w:pPr>
              <w:rPr>
                <w:iCs/>
              </w:rPr>
            </w:pPr>
            <w:r w:rsidRPr="0074345C">
              <w:rPr>
                <w:iCs/>
              </w:rPr>
              <w:t>Sr</w:t>
            </w:r>
            <w:r w:rsidR="00502F27" w:rsidRPr="0074345C">
              <w:rPr>
                <w:iCs/>
              </w:rPr>
              <w:t xml:space="preserve">. Marcus </w:t>
            </w:r>
            <w:proofErr w:type="spellStart"/>
            <w:r w:rsidR="00502F27" w:rsidRPr="0074345C">
              <w:rPr>
                <w:iCs/>
              </w:rPr>
              <w:t>Höpperger</w:t>
            </w:r>
            <w:proofErr w:type="spellEnd"/>
            <w:r w:rsidR="00502F27" w:rsidRPr="0074345C">
              <w:rPr>
                <w:sz w:val="16"/>
                <w:szCs w:val="16"/>
              </w:rPr>
              <w:t xml:space="preserve">, </w:t>
            </w:r>
            <w:r w:rsidR="00502F27" w:rsidRPr="0074345C">
              <w:rPr>
                <w:iCs/>
              </w:rPr>
              <w:t xml:space="preserve">Director, </w:t>
            </w:r>
            <w:r w:rsidRPr="0074345C">
              <w:rPr>
                <w:iCs/>
              </w:rPr>
              <w:t>División de Derecho y Asesoramiento Legislativo, Sector de Marcas y Diseños</w:t>
            </w:r>
            <w:r w:rsidR="00502F27" w:rsidRPr="0074345C">
              <w:rPr>
                <w:iCs/>
              </w:rPr>
              <w:t xml:space="preserve">. </w:t>
            </w:r>
          </w:p>
          <w:p w:rsidR="00502F27" w:rsidRPr="0074345C" w:rsidRDefault="00502F27" w:rsidP="00E00028">
            <w:pPr>
              <w:rPr>
                <w:sz w:val="16"/>
                <w:szCs w:val="16"/>
              </w:rPr>
            </w:pPr>
          </w:p>
        </w:tc>
      </w:tr>
      <w:tr w:rsidR="006376E7" w:rsidRPr="0074345C" w:rsidTr="00E00028">
        <w:trPr>
          <w:trHeight w:val="1165"/>
        </w:trPr>
        <w:tc>
          <w:tcPr>
            <w:tcW w:w="2376" w:type="dxa"/>
            <w:shd w:val="clear" w:color="auto" w:fill="auto"/>
          </w:tcPr>
          <w:p w:rsidR="00502F27" w:rsidRPr="0074345C" w:rsidDel="00196374" w:rsidRDefault="003260F8" w:rsidP="003260F8">
            <w:pPr>
              <w:pStyle w:val="Heading3"/>
            </w:pPr>
            <w:r w:rsidRPr="0074345C">
              <w:t xml:space="preserve">Vínculos con los resultados previstos en el presupuesto por </w:t>
            </w:r>
            <w:r w:rsidR="00AC0CD4" w:rsidRPr="0074345C">
              <w:t>Programas</w:t>
            </w:r>
            <w:r w:rsidR="0055532D" w:rsidRPr="0074345C">
              <w:t xml:space="preserve"> 2012/13</w:t>
            </w:r>
          </w:p>
        </w:tc>
        <w:tc>
          <w:tcPr>
            <w:tcW w:w="6912" w:type="dxa"/>
          </w:tcPr>
          <w:p w:rsidR="003260F8" w:rsidRPr="0074345C" w:rsidRDefault="003260F8" w:rsidP="00E00028">
            <w:pPr>
              <w:rPr>
                <w:rFonts w:eastAsia="Malgun Gothic"/>
                <w:i/>
                <w:kern w:val="2"/>
                <w:lang w:eastAsia="ko-KR"/>
              </w:rPr>
            </w:pPr>
          </w:p>
          <w:p w:rsidR="003260F8" w:rsidRPr="0074345C" w:rsidRDefault="003260F8" w:rsidP="003260F8">
            <w:pPr>
              <w:rPr>
                <w:rFonts w:eastAsia="Malgun Gothic"/>
                <w:kern w:val="2"/>
                <w:lang w:eastAsia="ko-KR"/>
              </w:rPr>
            </w:pPr>
            <w:r w:rsidRPr="0074345C">
              <w:rPr>
                <w:rFonts w:eastAsia="Malgun Gothic"/>
                <w:i/>
                <w:kern w:val="2"/>
                <w:lang w:eastAsia="ko-KR"/>
              </w:rPr>
              <w:t>Resultado previsto III.2</w:t>
            </w:r>
            <w:r w:rsidRPr="0074345C">
              <w:rPr>
                <w:rFonts w:eastAsia="Malgun Gothic"/>
                <w:kern w:val="2"/>
                <w:lang w:eastAsia="ko-KR"/>
              </w:rPr>
              <w:t>.  Mejora de las capacidades en el ámbito de los recursos humanos para hacer frente al amplio espectro de exigencias que supone la utilización eficaz de la P.I. en aras del desarrollo en los países en desarrollo, PMA y países con economías en transición.</w:t>
            </w:r>
          </w:p>
          <w:p w:rsidR="00502F27" w:rsidRPr="0074345C" w:rsidDel="00196374" w:rsidRDefault="00502F27" w:rsidP="00E00028">
            <w:pPr>
              <w:rPr>
                <w:iCs/>
              </w:rPr>
            </w:pPr>
          </w:p>
        </w:tc>
      </w:tr>
      <w:tr w:rsidR="006376E7" w:rsidRPr="0074345C" w:rsidTr="00301D88">
        <w:trPr>
          <w:trHeight w:val="559"/>
        </w:trPr>
        <w:tc>
          <w:tcPr>
            <w:tcW w:w="2376" w:type="dxa"/>
            <w:shd w:val="clear" w:color="auto" w:fill="auto"/>
          </w:tcPr>
          <w:p w:rsidR="003260F8" w:rsidRPr="0074345C" w:rsidRDefault="003260F8" w:rsidP="003260F8">
            <w:pPr>
              <w:pStyle w:val="Heading3"/>
            </w:pPr>
            <w:r w:rsidRPr="0074345C">
              <w:t>Progreso en la ejecución del proyecto</w:t>
            </w:r>
          </w:p>
          <w:p w:rsidR="00502F27" w:rsidRPr="0074345C" w:rsidRDefault="00502F27" w:rsidP="00E00028"/>
        </w:tc>
        <w:tc>
          <w:tcPr>
            <w:tcW w:w="6912" w:type="dxa"/>
          </w:tcPr>
          <w:p w:rsidR="003260F8" w:rsidRPr="0074345C" w:rsidRDefault="003260F8" w:rsidP="00301D88">
            <w:pPr>
              <w:keepNext/>
              <w:keepLines/>
            </w:pPr>
          </w:p>
          <w:p w:rsidR="003260F8" w:rsidRPr="0074345C" w:rsidRDefault="0014268C" w:rsidP="00301D88">
            <w:pPr>
              <w:keepNext/>
              <w:keepLines/>
            </w:pPr>
            <w:r w:rsidRPr="0074345C">
              <w:t xml:space="preserve">Los </w:t>
            </w:r>
            <w:r w:rsidR="004D7859" w:rsidRPr="0074345C">
              <w:t xml:space="preserve">dos </w:t>
            </w:r>
            <w:r w:rsidR="00AB0061" w:rsidRPr="0074345C">
              <w:t>países</w:t>
            </w:r>
            <w:r w:rsidR="004D7859" w:rsidRPr="0074345C">
              <w:t xml:space="preserve"> participantes</w:t>
            </w:r>
            <w:r w:rsidR="00502F27" w:rsidRPr="0074345C">
              <w:t xml:space="preserve">, </w:t>
            </w:r>
            <w:r w:rsidR="004D7859" w:rsidRPr="0074345C">
              <w:t xml:space="preserve">a saber, </w:t>
            </w:r>
            <w:r w:rsidR="00502F27" w:rsidRPr="0074345C">
              <w:t xml:space="preserve">Argentina </w:t>
            </w:r>
            <w:r w:rsidR="004D7859" w:rsidRPr="0074345C">
              <w:t xml:space="preserve">y Marruecos, </w:t>
            </w:r>
            <w:r w:rsidRPr="0074345C">
              <w:t xml:space="preserve">fueron elegidos </w:t>
            </w:r>
            <w:r w:rsidR="004D7859" w:rsidRPr="0074345C">
              <w:t>después de</w:t>
            </w:r>
            <w:r w:rsidR="00AB0061" w:rsidRPr="0074345C">
              <w:t xml:space="preserve"> analizar </w:t>
            </w:r>
            <w:r w:rsidR="004D7859" w:rsidRPr="0074345C">
              <w:t xml:space="preserve">el documento de la propuesta del proyecto del país, </w:t>
            </w:r>
            <w:r w:rsidR="00AB0061" w:rsidRPr="0074345C">
              <w:t xml:space="preserve">y en base a </w:t>
            </w:r>
            <w:r w:rsidR="004D7859" w:rsidRPr="0074345C">
              <w:t xml:space="preserve">criterios de selección </w:t>
            </w:r>
            <w:r w:rsidR="00E631C1" w:rsidRPr="0074345C">
              <w:t>establecidos</w:t>
            </w:r>
            <w:r w:rsidR="00502F27" w:rsidRPr="0074345C">
              <w:t>.</w:t>
            </w:r>
          </w:p>
          <w:p w:rsidR="003260F8" w:rsidRPr="0074345C" w:rsidRDefault="003260F8" w:rsidP="00301D88">
            <w:pPr>
              <w:keepNext/>
              <w:keepLines/>
            </w:pPr>
          </w:p>
          <w:p w:rsidR="003260F8" w:rsidRPr="0074345C" w:rsidRDefault="004D7859" w:rsidP="00301D88">
            <w:pPr>
              <w:keepNext/>
              <w:keepLines/>
            </w:pPr>
            <w:r w:rsidRPr="0074345C">
              <w:t xml:space="preserve">La </w:t>
            </w:r>
            <w:r w:rsidR="00193CE1" w:rsidRPr="0074345C">
              <w:t>OMPI</w:t>
            </w:r>
            <w:r w:rsidRPr="0074345C">
              <w:t xml:space="preserve"> y los organismos </w:t>
            </w:r>
            <w:r w:rsidR="00967C83" w:rsidRPr="0074345C">
              <w:t xml:space="preserve">coordinadores </w:t>
            </w:r>
            <w:r w:rsidRPr="0074345C">
              <w:t>de los dos p</w:t>
            </w:r>
            <w:r w:rsidR="002034F4" w:rsidRPr="0074345C">
              <w:t>aíses</w:t>
            </w:r>
            <w:r w:rsidR="00502F27" w:rsidRPr="0074345C">
              <w:t xml:space="preserve"> </w:t>
            </w:r>
            <w:r w:rsidR="00AB0061" w:rsidRPr="0074345C">
              <w:t>participantes</w:t>
            </w:r>
            <w:r w:rsidRPr="0074345C">
              <w:t xml:space="preserve"> </w:t>
            </w:r>
            <w:r w:rsidR="00AB0061" w:rsidRPr="0074345C">
              <w:t>están</w:t>
            </w:r>
            <w:r w:rsidRPr="0074345C">
              <w:t xml:space="preserve"> </w:t>
            </w:r>
            <w:r w:rsidR="006A5FCE" w:rsidRPr="0074345C">
              <w:t xml:space="preserve">llegando a un </w:t>
            </w:r>
            <w:r w:rsidRPr="0074345C">
              <w:t xml:space="preserve">acuerdo sobre el informe de la </w:t>
            </w:r>
            <w:r w:rsidR="00502F27" w:rsidRPr="0074345C">
              <w:t>“</w:t>
            </w:r>
            <w:r w:rsidRPr="0074345C">
              <w:t>declaración de alcance del proyecto”</w:t>
            </w:r>
            <w:r w:rsidR="00502F27" w:rsidRPr="0074345C">
              <w:t xml:space="preserve">, </w:t>
            </w:r>
            <w:r w:rsidR="00E631C1" w:rsidRPr="0074345C">
              <w:t xml:space="preserve">en particular mediante </w:t>
            </w:r>
            <w:r w:rsidR="00AB0061" w:rsidRPr="0074345C">
              <w:t>exámenes</w:t>
            </w:r>
            <w:r w:rsidRPr="0074345C">
              <w:t xml:space="preserve"> y debates periódicos entre ambas partes</w:t>
            </w:r>
            <w:r w:rsidR="00E631C1" w:rsidRPr="0074345C">
              <w:t>,</w:t>
            </w:r>
            <w:r w:rsidRPr="0074345C">
              <w:t xml:space="preserve"> con </w:t>
            </w:r>
            <w:r w:rsidR="00E631C1" w:rsidRPr="0074345C">
              <w:t>miras a lograr</w:t>
            </w:r>
            <w:r w:rsidRPr="0074345C">
              <w:t xml:space="preserve"> una comprensión clara </w:t>
            </w:r>
            <w:r w:rsidR="00E631C1" w:rsidRPr="0074345C">
              <w:t xml:space="preserve">y </w:t>
            </w:r>
            <w:r w:rsidRPr="0074345C">
              <w:t xml:space="preserve">común del alcance del </w:t>
            </w:r>
            <w:r w:rsidR="009E13C2" w:rsidRPr="0074345C">
              <w:t>proyecto</w:t>
            </w:r>
            <w:r w:rsidRPr="0074345C">
              <w:t xml:space="preserve"> y </w:t>
            </w:r>
            <w:r w:rsidR="00E631C1" w:rsidRPr="0074345C">
              <w:t xml:space="preserve">de los </w:t>
            </w:r>
            <w:r w:rsidRPr="0074345C">
              <w:t>objetivos conjuntos</w:t>
            </w:r>
            <w:r w:rsidR="00502F27" w:rsidRPr="0074345C">
              <w:t xml:space="preserve">. </w:t>
            </w:r>
            <w:r w:rsidRPr="0074345C">
              <w:t>Es</w:t>
            </w:r>
            <w:r w:rsidR="00E631C1" w:rsidRPr="0074345C">
              <w:t>a base só</w:t>
            </w:r>
            <w:r w:rsidRPr="0074345C">
              <w:t xml:space="preserve">lida </w:t>
            </w:r>
            <w:r w:rsidR="00E631C1" w:rsidRPr="0074345C">
              <w:t>permitirá</w:t>
            </w:r>
            <w:r w:rsidRPr="0074345C">
              <w:t xml:space="preserve"> alcanzar resultados eficaces, </w:t>
            </w:r>
            <w:r w:rsidR="00AB0061" w:rsidRPr="0074345C">
              <w:t>eficientes</w:t>
            </w:r>
            <w:r w:rsidRPr="0074345C">
              <w:t xml:space="preserve">, pertinentes y </w:t>
            </w:r>
            <w:r w:rsidR="00AB0061" w:rsidRPr="0074345C">
              <w:t>sostenibles</w:t>
            </w:r>
            <w:r w:rsidRPr="0074345C">
              <w:t xml:space="preserve"> en </w:t>
            </w:r>
            <w:r w:rsidR="00AB0061" w:rsidRPr="0074345C">
              <w:t>todas</w:t>
            </w:r>
            <w:r w:rsidRPr="0074345C">
              <w:t xml:space="preserve"> las </w:t>
            </w:r>
            <w:r w:rsidR="00AB0061" w:rsidRPr="0074345C">
              <w:t>etapas</w:t>
            </w:r>
            <w:r w:rsidRPr="0074345C">
              <w:t xml:space="preserve"> del p</w:t>
            </w:r>
            <w:r w:rsidR="009E13C2" w:rsidRPr="0074345C">
              <w:t>royecto</w:t>
            </w:r>
            <w:r w:rsidR="00581E65" w:rsidRPr="0074345C">
              <w:t xml:space="preserve">, lo que permitirá </w:t>
            </w:r>
            <w:r w:rsidR="00AB0061" w:rsidRPr="0074345C">
              <w:t>gestionar</w:t>
            </w:r>
            <w:r w:rsidR="00581E65" w:rsidRPr="0074345C">
              <w:t xml:space="preserve"> las </w:t>
            </w:r>
            <w:r w:rsidR="00AB0061" w:rsidRPr="0074345C">
              <w:t>expectativas de l</w:t>
            </w:r>
            <w:r w:rsidR="00581E65" w:rsidRPr="0074345C">
              <w:t xml:space="preserve">as partes interesadas y establecer metas </w:t>
            </w:r>
            <w:r w:rsidR="00AB0061" w:rsidRPr="0074345C">
              <w:t>realistas</w:t>
            </w:r>
            <w:r w:rsidR="00502F27" w:rsidRPr="0074345C">
              <w:t>.</w:t>
            </w:r>
          </w:p>
          <w:p w:rsidR="003260F8" w:rsidRPr="0074345C" w:rsidRDefault="003260F8" w:rsidP="00301D88">
            <w:pPr>
              <w:keepNext/>
              <w:keepLines/>
            </w:pPr>
          </w:p>
          <w:p w:rsidR="003260F8" w:rsidRPr="0074345C" w:rsidRDefault="00581E65" w:rsidP="00301D88">
            <w:pPr>
              <w:keepNext/>
              <w:keepLines/>
            </w:pPr>
            <w:r w:rsidRPr="0074345C">
              <w:t xml:space="preserve">Se han </w:t>
            </w:r>
            <w:r w:rsidR="00AB0061" w:rsidRPr="0074345C">
              <w:t>elaborado</w:t>
            </w:r>
            <w:r w:rsidRPr="0074345C">
              <w:t xml:space="preserve"> los planes del p</w:t>
            </w:r>
            <w:r w:rsidR="009E13C2" w:rsidRPr="0074345C">
              <w:t>royecto</w:t>
            </w:r>
            <w:r w:rsidRPr="0074345C">
              <w:t xml:space="preserve"> y </w:t>
            </w:r>
            <w:r w:rsidR="006A5FCE" w:rsidRPr="0074345C">
              <w:t>l</w:t>
            </w:r>
            <w:r w:rsidRPr="0074345C">
              <w:t xml:space="preserve">as asignaciones presupuestarias para los dos países </w:t>
            </w:r>
            <w:r w:rsidR="00AB0061" w:rsidRPr="0074345C">
              <w:t>participantes</w:t>
            </w:r>
            <w:r w:rsidR="00502F27" w:rsidRPr="0074345C">
              <w:t>.</w:t>
            </w:r>
          </w:p>
          <w:p w:rsidR="003260F8" w:rsidRPr="0074345C" w:rsidRDefault="003260F8" w:rsidP="00301D88">
            <w:pPr>
              <w:keepNext/>
              <w:keepLines/>
            </w:pPr>
          </w:p>
          <w:p w:rsidR="003260F8" w:rsidRPr="0074345C" w:rsidRDefault="00581E65" w:rsidP="00301D88">
            <w:pPr>
              <w:keepNext/>
              <w:keepLines/>
            </w:pPr>
            <w:r w:rsidRPr="0074345C">
              <w:t xml:space="preserve">Teniendo en cuenta los aprendizajes </w:t>
            </w:r>
            <w:r w:rsidR="00AB0061" w:rsidRPr="0074345C">
              <w:t>extraídos</w:t>
            </w:r>
            <w:r w:rsidRPr="0074345C">
              <w:t xml:space="preserve"> de las anteriores </w:t>
            </w:r>
            <w:r w:rsidR="00AB0061" w:rsidRPr="0074345C">
              <w:t>evaluaciones</w:t>
            </w:r>
            <w:r w:rsidRPr="0074345C">
              <w:t xml:space="preserve"> de proyectos del CDIP, se convino en </w:t>
            </w:r>
            <w:r w:rsidR="00AB0061" w:rsidRPr="0074345C">
              <w:t>realizar</w:t>
            </w:r>
            <w:r w:rsidRPr="0074345C">
              <w:t xml:space="preserve"> </w:t>
            </w:r>
            <w:r w:rsidR="00AB0061" w:rsidRPr="0074345C">
              <w:t>estudios</w:t>
            </w:r>
            <w:r w:rsidRPr="0074345C">
              <w:t xml:space="preserve"> de viabilidad en ambos </w:t>
            </w:r>
            <w:r w:rsidR="002034F4" w:rsidRPr="0074345C">
              <w:t>países</w:t>
            </w:r>
            <w:r w:rsidRPr="0074345C">
              <w:t xml:space="preserve">, mediante </w:t>
            </w:r>
            <w:r w:rsidR="006A5FCE" w:rsidRPr="0074345C">
              <w:t xml:space="preserve">una serie </w:t>
            </w:r>
            <w:r w:rsidRPr="0074345C">
              <w:t xml:space="preserve">preguntas formuladas </w:t>
            </w:r>
            <w:r w:rsidR="00AB0061" w:rsidRPr="0074345C">
              <w:t>específicamente</w:t>
            </w:r>
            <w:r w:rsidRPr="0074345C">
              <w:t xml:space="preserve"> a los </w:t>
            </w:r>
            <w:r w:rsidR="00967C83" w:rsidRPr="0074345C">
              <w:t xml:space="preserve">organismos coordinadores </w:t>
            </w:r>
            <w:r w:rsidRPr="0074345C">
              <w:t>respe</w:t>
            </w:r>
            <w:r w:rsidR="00AB0061" w:rsidRPr="0074345C">
              <w:t>ctivos y un cuestionario a las P</w:t>
            </w:r>
            <w:r w:rsidRPr="0074345C">
              <w:t xml:space="preserve">ymes, para evaluar sus necesidades, expectativas y su interés en el </w:t>
            </w:r>
            <w:r w:rsidR="00AB0061" w:rsidRPr="0074345C">
              <w:t>proyecto.</w:t>
            </w:r>
          </w:p>
          <w:p w:rsidR="003260F8" w:rsidRPr="0074345C" w:rsidRDefault="003260F8" w:rsidP="00301D88">
            <w:pPr>
              <w:keepNext/>
              <w:keepLines/>
            </w:pPr>
          </w:p>
          <w:p w:rsidR="003260F8" w:rsidRPr="0074345C" w:rsidRDefault="009B0173" w:rsidP="00301D88">
            <w:pPr>
              <w:keepNext/>
              <w:keepLines/>
            </w:pPr>
            <w:r w:rsidRPr="0074345C">
              <w:t>Se han definido l</w:t>
            </w:r>
            <w:r w:rsidR="00581E65" w:rsidRPr="0074345C">
              <w:t>a</w:t>
            </w:r>
            <w:r w:rsidR="006A5FCE" w:rsidRPr="0074345C">
              <w:t xml:space="preserve">s funciones y responsabilidades </w:t>
            </w:r>
            <w:r w:rsidR="00581E65" w:rsidRPr="0074345C">
              <w:t>del coor</w:t>
            </w:r>
            <w:r w:rsidRPr="0074345C">
              <w:t>dinad</w:t>
            </w:r>
            <w:r w:rsidR="006A5FCE" w:rsidRPr="0074345C">
              <w:t xml:space="preserve">or del proyecto en el país, que es el coordinador para </w:t>
            </w:r>
            <w:r w:rsidRPr="0074345C">
              <w:t>la ejecución del p</w:t>
            </w:r>
            <w:r w:rsidR="009E13C2" w:rsidRPr="0074345C">
              <w:t>royecto</w:t>
            </w:r>
            <w:r w:rsidR="00502F27" w:rsidRPr="0074345C">
              <w:t xml:space="preserve">. </w:t>
            </w:r>
            <w:r w:rsidRPr="0074345C">
              <w:t xml:space="preserve">Se </w:t>
            </w:r>
            <w:r w:rsidR="006A5FCE" w:rsidRPr="0074345C">
              <w:t xml:space="preserve">elaborará </w:t>
            </w:r>
            <w:r w:rsidRPr="0074345C">
              <w:t xml:space="preserve">una </w:t>
            </w:r>
            <w:r w:rsidR="00AB0061" w:rsidRPr="0074345C">
              <w:t>descripción</w:t>
            </w:r>
            <w:r w:rsidRPr="0074345C">
              <w:t xml:space="preserve"> de funciones similar para los expertos nacionales</w:t>
            </w:r>
            <w:r w:rsidR="00502F27" w:rsidRPr="0074345C">
              <w:t xml:space="preserve">.  </w:t>
            </w:r>
          </w:p>
          <w:p w:rsidR="003260F8" w:rsidRPr="0074345C" w:rsidRDefault="003260F8" w:rsidP="00301D88">
            <w:pPr>
              <w:keepNext/>
              <w:keepLines/>
            </w:pPr>
          </w:p>
          <w:p w:rsidR="003260F8" w:rsidRPr="0074345C" w:rsidRDefault="009B0173" w:rsidP="00301D88">
            <w:pPr>
              <w:keepNext/>
              <w:keepLines/>
            </w:pPr>
            <w:r w:rsidRPr="0074345C">
              <w:t xml:space="preserve">Se han definido </w:t>
            </w:r>
            <w:r w:rsidR="00AB0061" w:rsidRPr="0074345C">
              <w:t>asimismo</w:t>
            </w:r>
            <w:r w:rsidRPr="0074345C">
              <w:t xml:space="preserve"> las actividades </w:t>
            </w:r>
            <w:r w:rsidR="006A5FCE" w:rsidRPr="0074345C">
              <w:t>de</w:t>
            </w:r>
            <w:r w:rsidRPr="0074345C">
              <w:t xml:space="preserve"> determinación de </w:t>
            </w:r>
            <w:r w:rsidR="006A5FCE" w:rsidRPr="0074345C">
              <w:t xml:space="preserve"> riesgos y </w:t>
            </w:r>
            <w:r w:rsidRPr="0074345C">
              <w:t>medidas paliativas, y serán objeto de una supervisión regular</w:t>
            </w:r>
            <w:r w:rsidR="00502F27" w:rsidRPr="0074345C">
              <w:t>.</w:t>
            </w:r>
          </w:p>
          <w:p w:rsidR="003260F8" w:rsidRPr="0074345C" w:rsidRDefault="003260F8" w:rsidP="00301D88">
            <w:pPr>
              <w:keepNext/>
              <w:keepLines/>
            </w:pPr>
          </w:p>
          <w:p w:rsidR="003260F8" w:rsidRPr="0074345C" w:rsidRDefault="009B0173" w:rsidP="00301D88">
            <w:pPr>
              <w:keepNext/>
              <w:keepLines/>
            </w:pPr>
            <w:r w:rsidRPr="0074345C">
              <w:t>Se han definido los resultados esperados</w:t>
            </w:r>
            <w:r w:rsidR="00502F27" w:rsidRPr="0074345C">
              <w:t>,</w:t>
            </w:r>
            <w:r w:rsidRPr="0074345C">
              <w:t xml:space="preserve"> las actividades del</w:t>
            </w:r>
            <w:r w:rsidR="00502F27" w:rsidRPr="0074345C">
              <w:t xml:space="preserve"> </w:t>
            </w:r>
            <w:r w:rsidR="009E13C2" w:rsidRPr="0074345C">
              <w:t>proyecto</w:t>
            </w:r>
            <w:r w:rsidRPr="0074345C">
              <w:t>, los criterios de calidad/indicadores de rendimiento principales</w:t>
            </w:r>
            <w:r w:rsidR="00502F27" w:rsidRPr="0074345C">
              <w:t>.</w:t>
            </w:r>
          </w:p>
          <w:p w:rsidR="003260F8" w:rsidRPr="0074345C" w:rsidRDefault="003260F8" w:rsidP="00301D88">
            <w:pPr>
              <w:keepNext/>
              <w:keepLines/>
            </w:pPr>
          </w:p>
          <w:p w:rsidR="003260F8" w:rsidRPr="0074345C" w:rsidRDefault="009B0173" w:rsidP="00301D88">
            <w:pPr>
              <w:keepNext/>
              <w:keepLines/>
            </w:pPr>
            <w:r w:rsidRPr="0074345C">
              <w:t xml:space="preserve">En la fase inicial del </w:t>
            </w:r>
            <w:r w:rsidR="009E13C2" w:rsidRPr="0074345C">
              <w:t>proyecto</w:t>
            </w:r>
            <w:r w:rsidRPr="0074345C">
              <w:t xml:space="preserve"> </w:t>
            </w:r>
            <w:r w:rsidR="00F14B54" w:rsidRPr="0074345C">
              <w:t>también</w:t>
            </w:r>
            <w:r w:rsidRPr="0074345C">
              <w:t xml:space="preserve"> se examina la pertinencia del alcance del </w:t>
            </w:r>
            <w:r w:rsidR="009E13C2" w:rsidRPr="0074345C">
              <w:t>proyecto</w:t>
            </w:r>
            <w:r w:rsidRPr="0074345C">
              <w:t xml:space="preserve"> en </w:t>
            </w:r>
            <w:r w:rsidR="00F14B54" w:rsidRPr="0074345C">
              <w:t>el</w:t>
            </w:r>
            <w:r w:rsidRPr="0074345C">
              <w:t xml:space="preserve"> marco de las estrategias nacionales de desarrollo de la P.I. de los países participantes</w:t>
            </w:r>
            <w:r w:rsidR="00502F27" w:rsidRPr="0074345C">
              <w:t xml:space="preserve">. </w:t>
            </w:r>
            <w:r w:rsidRPr="0074345C">
              <w:t xml:space="preserve">El </w:t>
            </w:r>
            <w:r w:rsidR="009E13C2" w:rsidRPr="0074345C">
              <w:t>proyecto</w:t>
            </w:r>
            <w:r w:rsidRPr="0074345C">
              <w:t xml:space="preserve"> piloto </w:t>
            </w:r>
            <w:r w:rsidR="00F14B54" w:rsidRPr="0074345C">
              <w:lastRenderedPageBreak/>
              <w:t>contribuye</w:t>
            </w:r>
            <w:r w:rsidRPr="0074345C">
              <w:t xml:space="preserve"> a la </w:t>
            </w:r>
            <w:r w:rsidR="00F14B54" w:rsidRPr="0074345C">
              <w:t>consecución</w:t>
            </w:r>
            <w:r w:rsidRPr="0074345C">
              <w:t xml:space="preserve"> de los objetivos institucionales de los </w:t>
            </w:r>
            <w:r w:rsidR="00967C83" w:rsidRPr="0074345C">
              <w:t xml:space="preserve">organismos coordinadores </w:t>
            </w:r>
            <w:r w:rsidR="006A5FCE" w:rsidRPr="0074345C">
              <w:t>y los objetivos nacionales relativos a l</w:t>
            </w:r>
            <w:r w:rsidR="00BE415F" w:rsidRPr="0074345C">
              <w:t>a protección de los diseños por la P.I.</w:t>
            </w:r>
            <w:r w:rsidR="00502F27" w:rsidRPr="0074345C">
              <w:t xml:space="preserve">  </w:t>
            </w:r>
            <w:r w:rsidR="00F14B54" w:rsidRPr="0074345C">
              <w:t>En la fase inicial del proyecto se analiza y debate la estrategia de salida</w:t>
            </w:r>
            <w:r w:rsidR="00502F27" w:rsidRPr="0074345C">
              <w:t xml:space="preserve">. </w:t>
            </w:r>
          </w:p>
          <w:p w:rsidR="003260F8" w:rsidRPr="0074345C" w:rsidRDefault="003260F8" w:rsidP="00301D88">
            <w:pPr>
              <w:keepNext/>
              <w:keepLines/>
            </w:pPr>
          </w:p>
          <w:p w:rsidR="00502F27" w:rsidRPr="0074345C" w:rsidRDefault="00F14B54" w:rsidP="00AB0061">
            <w:pPr>
              <w:keepNext/>
              <w:keepLines/>
            </w:pPr>
            <w:r w:rsidRPr="0074345C">
              <w:t xml:space="preserve">Los </w:t>
            </w:r>
            <w:r w:rsidR="00F2566B" w:rsidRPr="0074345C">
              <w:t>días</w:t>
            </w:r>
            <w:r w:rsidRPr="0074345C">
              <w:t xml:space="preserve"> 3 y 4 de septiembre </w:t>
            </w:r>
            <w:r w:rsidR="00F010AE" w:rsidRPr="0074345C">
              <w:t xml:space="preserve">de 2014, </w:t>
            </w:r>
            <w:r w:rsidR="00F2566B" w:rsidRPr="0074345C">
              <w:t xml:space="preserve">se celebrará un simposio internacional </w:t>
            </w:r>
            <w:r w:rsidR="00502F27" w:rsidRPr="0074345C">
              <w:t xml:space="preserve"> </w:t>
            </w:r>
            <w:r w:rsidR="00F2566B" w:rsidRPr="0074345C">
              <w:t xml:space="preserve">sobre </w:t>
            </w:r>
            <w:r w:rsidR="00AB0061" w:rsidRPr="0074345C">
              <w:t>los</w:t>
            </w:r>
            <w:r w:rsidR="00F2566B" w:rsidRPr="0074345C">
              <w:t xml:space="preserve"> diseño</w:t>
            </w:r>
            <w:r w:rsidR="00AB0061" w:rsidRPr="0074345C">
              <w:t>s</w:t>
            </w:r>
            <w:r w:rsidR="00F2566B" w:rsidRPr="0074345C">
              <w:t xml:space="preserve"> industrial</w:t>
            </w:r>
            <w:r w:rsidR="00AB0061" w:rsidRPr="0074345C">
              <w:t>es</w:t>
            </w:r>
            <w:r w:rsidR="00F2566B" w:rsidRPr="0074345C">
              <w:t xml:space="preserve"> </w:t>
            </w:r>
            <w:r w:rsidR="00F010AE" w:rsidRPr="0074345C">
              <w:t>e</w:t>
            </w:r>
            <w:r w:rsidR="00502F27" w:rsidRPr="0074345C">
              <w:t xml:space="preserve">n Buenos Aires. </w:t>
            </w:r>
            <w:r w:rsidR="00F010AE" w:rsidRPr="0074345C">
              <w:t xml:space="preserve">Este evento brindará la oportunidad de dar a conocer por primera vez el proyecto piloto y lanzarlo en </w:t>
            </w:r>
            <w:r w:rsidR="00502F27" w:rsidRPr="0074345C">
              <w:t>Argentina.</w:t>
            </w:r>
          </w:p>
        </w:tc>
      </w:tr>
      <w:tr w:rsidR="006376E7" w:rsidRPr="0074345C" w:rsidTr="00E00028">
        <w:trPr>
          <w:trHeight w:val="1212"/>
        </w:trPr>
        <w:tc>
          <w:tcPr>
            <w:tcW w:w="2376" w:type="dxa"/>
            <w:shd w:val="clear" w:color="auto" w:fill="auto"/>
          </w:tcPr>
          <w:p w:rsidR="00502F27" w:rsidRPr="0074345C" w:rsidRDefault="003260F8" w:rsidP="003260F8">
            <w:pPr>
              <w:pStyle w:val="Heading3"/>
            </w:pPr>
            <w:r w:rsidRPr="0074345C">
              <w:lastRenderedPageBreak/>
              <w:t>Ejemplos de logros y efectos y enseñanzas extraídas</w:t>
            </w:r>
          </w:p>
        </w:tc>
        <w:tc>
          <w:tcPr>
            <w:tcW w:w="6912" w:type="dxa"/>
            <w:vAlign w:val="center"/>
          </w:tcPr>
          <w:p w:rsidR="003260F8" w:rsidRPr="0074345C" w:rsidRDefault="003260F8" w:rsidP="00301D88">
            <w:pPr>
              <w:keepNext/>
              <w:keepLines/>
              <w:rPr>
                <w:iCs/>
              </w:rPr>
            </w:pPr>
          </w:p>
          <w:p w:rsidR="003260F8" w:rsidRPr="0074345C" w:rsidRDefault="006A5FCE" w:rsidP="00301D88">
            <w:pPr>
              <w:keepNext/>
              <w:keepLines/>
              <w:rPr>
                <w:iCs/>
              </w:rPr>
            </w:pPr>
            <w:r w:rsidRPr="0074345C">
              <w:rPr>
                <w:iCs/>
              </w:rPr>
              <w:t xml:space="preserve">La formulación de </w:t>
            </w:r>
            <w:r w:rsidR="00F010AE" w:rsidRPr="0074345C">
              <w:rPr>
                <w:iCs/>
              </w:rPr>
              <w:t xml:space="preserve">preguntas pertinentes que permiten entender las expectativas de las partes interesadas y </w:t>
            </w:r>
            <w:r w:rsidR="004B0731" w:rsidRPr="0074345C">
              <w:rPr>
                <w:iCs/>
              </w:rPr>
              <w:t xml:space="preserve">la concertación </w:t>
            </w:r>
            <w:r w:rsidR="00F010AE" w:rsidRPr="0074345C">
              <w:rPr>
                <w:iCs/>
              </w:rPr>
              <w:t xml:space="preserve">sobre la </w:t>
            </w:r>
            <w:r w:rsidR="00F010AE" w:rsidRPr="0074345C">
              <w:t>declaración de alcance del proyecto</w:t>
            </w:r>
            <w:r w:rsidR="00F010AE" w:rsidRPr="0074345C">
              <w:rPr>
                <w:iCs/>
              </w:rPr>
              <w:t>, los principales indicadores de rendimiento y criterios de calidad</w:t>
            </w:r>
            <w:r w:rsidR="00502F27" w:rsidRPr="0074345C">
              <w:rPr>
                <w:iCs/>
              </w:rPr>
              <w:t xml:space="preserve">, </w:t>
            </w:r>
            <w:r w:rsidR="004B0731" w:rsidRPr="0074345C">
              <w:rPr>
                <w:iCs/>
              </w:rPr>
              <w:t xml:space="preserve">permiten establecer una base sólida para el proyecto </w:t>
            </w:r>
            <w:r w:rsidR="00F010AE" w:rsidRPr="0074345C">
              <w:rPr>
                <w:iCs/>
              </w:rPr>
              <w:t xml:space="preserve">y </w:t>
            </w:r>
            <w:r w:rsidR="004B0731" w:rsidRPr="0074345C">
              <w:rPr>
                <w:iCs/>
              </w:rPr>
              <w:t>atenuar</w:t>
            </w:r>
            <w:r w:rsidR="00F010AE" w:rsidRPr="0074345C">
              <w:rPr>
                <w:iCs/>
              </w:rPr>
              <w:t xml:space="preserve"> el </w:t>
            </w:r>
            <w:r w:rsidR="002164FF" w:rsidRPr="0074345C">
              <w:rPr>
                <w:iCs/>
              </w:rPr>
              <w:t>riesgo</w:t>
            </w:r>
            <w:r w:rsidR="00502F27" w:rsidRPr="0074345C">
              <w:rPr>
                <w:iCs/>
              </w:rPr>
              <w:t xml:space="preserve">. </w:t>
            </w:r>
          </w:p>
          <w:p w:rsidR="003260F8" w:rsidRPr="0074345C" w:rsidRDefault="003260F8" w:rsidP="00301D88">
            <w:pPr>
              <w:keepNext/>
              <w:keepLines/>
              <w:rPr>
                <w:iCs/>
              </w:rPr>
            </w:pPr>
          </w:p>
          <w:p w:rsidR="003260F8" w:rsidRPr="0074345C" w:rsidRDefault="00F010AE" w:rsidP="00301D88">
            <w:pPr>
              <w:keepNext/>
              <w:keepLines/>
              <w:rPr>
                <w:iCs/>
              </w:rPr>
            </w:pPr>
            <w:r w:rsidRPr="0074345C">
              <w:rPr>
                <w:iCs/>
              </w:rPr>
              <w:t xml:space="preserve">Los debates entre la </w:t>
            </w:r>
            <w:r w:rsidR="00193CE1" w:rsidRPr="0074345C">
              <w:rPr>
                <w:iCs/>
              </w:rPr>
              <w:t xml:space="preserve">OMPI </w:t>
            </w:r>
            <w:r w:rsidRPr="0074345C">
              <w:rPr>
                <w:iCs/>
              </w:rPr>
              <w:t xml:space="preserve">y los organismos </w:t>
            </w:r>
            <w:r w:rsidR="00967C83" w:rsidRPr="0074345C">
              <w:rPr>
                <w:iCs/>
              </w:rPr>
              <w:t xml:space="preserve">coordinadores </w:t>
            </w:r>
            <w:r w:rsidR="00D26FFB" w:rsidRPr="0074345C">
              <w:rPr>
                <w:iCs/>
              </w:rPr>
              <w:t xml:space="preserve">de los </w:t>
            </w:r>
            <w:r w:rsidR="002034F4" w:rsidRPr="0074345C">
              <w:rPr>
                <w:iCs/>
              </w:rPr>
              <w:t>países</w:t>
            </w:r>
            <w:r w:rsidR="00502F27" w:rsidRPr="0074345C">
              <w:rPr>
                <w:iCs/>
              </w:rPr>
              <w:t xml:space="preserve"> </w:t>
            </w:r>
            <w:r w:rsidR="00D26FFB" w:rsidRPr="0074345C">
              <w:rPr>
                <w:iCs/>
              </w:rPr>
              <w:t xml:space="preserve">participantes permitieron determinar el valor añadido que la </w:t>
            </w:r>
            <w:r w:rsidR="00193CE1" w:rsidRPr="0074345C">
              <w:rPr>
                <w:iCs/>
              </w:rPr>
              <w:t xml:space="preserve">OMPI </w:t>
            </w:r>
            <w:r w:rsidR="00D26FFB" w:rsidRPr="0074345C">
              <w:rPr>
                <w:iCs/>
              </w:rPr>
              <w:t>puede aportar a la ejecución exitosa del p</w:t>
            </w:r>
            <w:r w:rsidR="009E13C2" w:rsidRPr="0074345C">
              <w:rPr>
                <w:iCs/>
              </w:rPr>
              <w:t>royecto</w:t>
            </w:r>
            <w:r w:rsidR="00D26FFB" w:rsidRPr="0074345C">
              <w:rPr>
                <w:iCs/>
              </w:rPr>
              <w:t>, gracias a sus conocimientos especializados en P.I. y la protección de los diseños</w:t>
            </w:r>
            <w:r w:rsidR="00502F27" w:rsidRPr="0074345C">
              <w:rPr>
                <w:iCs/>
              </w:rPr>
              <w:t xml:space="preserve">. </w:t>
            </w:r>
          </w:p>
          <w:p w:rsidR="003260F8" w:rsidRPr="0074345C" w:rsidRDefault="003260F8" w:rsidP="00301D88">
            <w:pPr>
              <w:keepNext/>
              <w:keepLines/>
              <w:rPr>
                <w:iCs/>
              </w:rPr>
            </w:pPr>
          </w:p>
          <w:p w:rsidR="003260F8" w:rsidRPr="0074345C" w:rsidRDefault="004B0731" w:rsidP="00301D88">
            <w:pPr>
              <w:keepNext/>
              <w:keepLines/>
              <w:rPr>
                <w:iCs/>
              </w:rPr>
            </w:pPr>
            <w:r w:rsidRPr="0074345C">
              <w:rPr>
                <w:iCs/>
              </w:rPr>
              <w:t>El</w:t>
            </w:r>
            <w:r w:rsidR="00D26FFB" w:rsidRPr="0074345C">
              <w:rPr>
                <w:iCs/>
              </w:rPr>
              <w:t xml:space="preserve"> uso de una metodología, herramientas y procesos sólidos, y la intensa labor </w:t>
            </w:r>
            <w:proofErr w:type="spellStart"/>
            <w:r w:rsidR="00D26FFB" w:rsidRPr="0074345C">
              <w:rPr>
                <w:iCs/>
              </w:rPr>
              <w:t>relaizada</w:t>
            </w:r>
            <w:proofErr w:type="spellEnd"/>
            <w:r w:rsidR="00D26FFB" w:rsidRPr="0074345C">
              <w:rPr>
                <w:iCs/>
              </w:rPr>
              <w:t xml:space="preserve"> en la </w:t>
            </w:r>
            <w:r w:rsidR="009E13C2" w:rsidRPr="0074345C">
              <w:rPr>
                <w:iCs/>
              </w:rPr>
              <w:t xml:space="preserve">fase </w:t>
            </w:r>
            <w:r w:rsidR="00D26FFB" w:rsidRPr="0074345C">
              <w:rPr>
                <w:iCs/>
              </w:rPr>
              <w:t xml:space="preserve">inicial del </w:t>
            </w:r>
            <w:r w:rsidR="009E13C2" w:rsidRPr="0074345C">
              <w:rPr>
                <w:iCs/>
              </w:rPr>
              <w:t xml:space="preserve">proyecto </w:t>
            </w:r>
            <w:r w:rsidRPr="0074345C">
              <w:rPr>
                <w:iCs/>
              </w:rPr>
              <w:t>permitieron vigilar</w:t>
            </w:r>
            <w:r w:rsidR="00D26FFB" w:rsidRPr="0074345C">
              <w:rPr>
                <w:iCs/>
              </w:rPr>
              <w:t xml:space="preserve"> la pertinencia del proyecto, </w:t>
            </w:r>
            <w:r w:rsidRPr="0074345C">
              <w:rPr>
                <w:iCs/>
              </w:rPr>
              <w:t xml:space="preserve">y asegurar </w:t>
            </w:r>
            <w:r w:rsidR="00D26FFB" w:rsidRPr="0074345C">
              <w:rPr>
                <w:iCs/>
              </w:rPr>
              <w:t>su eficacia y eficiencia</w:t>
            </w:r>
            <w:r w:rsidR="00502F27" w:rsidRPr="0074345C">
              <w:rPr>
                <w:iCs/>
              </w:rPr>
              <w:t>.</w:t>
            </w:r>
          </w:p>
          <w:p w:rsidR="003260F8" w:rsidRPr="0074345C" w:rsidRDefault="003260F8" w:rsidP="00301D88">
            <w:pPr>
              <w:keepNext/>
              <w:keepLines/>
              <w:rPr>
                <w:iCs/>
              </w:rPr>
            </w:pPr>
          </w:p>
          <w:p w:rsidR="003260F8" w:rsidRPr="0074345C" w:rsidRDefault="00D26FFB" w:rsidP="00301D88">
            <w:pPr>
              <w:keepNext/>
              <w:keepLines/>
              <w:rPr>
                <w:iCs/>
              </w:rPr>
            </w:pPr>
            <w:r w:rsidRPr="0074345C">
              <w:rPr>
                <w:iCs/>
              </w:rPr>
              <w:t xml:space="preserve">El tiempo invertido en la </w:t>
            </w:r>
            <w:r w:rsidR="004B0731" w:rsidRPr="0074345C">
              <w:rPr>
                <w:iCs/>
              </w:rPr>
              <w:t xml:space="preserve">concertación de </w:t>
            </w:r>
            <w:r w:rsidRPr="0074345C">
              <w:rPr>
                <w:iCs/>
              </w:rPr>
              <w:t xml:space="preserve">acuerdos sobre el alcance y </w:t>
            </w:r>
            <w:r w:rsidR="006069B0" w:rsidRPr="0074345C">
              <w:rPr>
                <w:iCs/>
              </w:rPr>
              <w:t xml:space="preserve">la </w:t>
            </w:r>
            <w:r w:rsidRPr="0074345C">
              <w:rPr>
                <w:iCs/>
              </w:rPr>
              <w:t xml:space="preserve">pertinencia de todas las actividades del </w:t>
            </w:r>
            <w:r w:rsidR="009E13C2" w:rsidRPr="0074345C">
              <w:rPr>
                <w:iCs/>
              </w:rPr>
              <w:t>proyecto</w:t>
            </w:r>
            <w:r w:rsidR="006069B0" w:rsidRPr="0074345C">
              <w:rPr>
                <w:iCs/>
              </w:rPr>
              <w:t xml:space="preserve"> en su inicio, resultó útil para paliar los </w:t>
            </w:r>
            <w:r w:rsidR="002164FF" w:rsidRPr="0074345C">
              <w:rPr>
                <w:iCs/>
              </w:rPr>
              <w:t>riesgos</w:t>
            </w:r>
            <w:r w:rsidR="00502F27" w:rsidRPr="0074345C">
              <w:rPr>
                <w:iCs/>
              </w:rPr>
              <w:t xml:space="preserve"> </w:t>
            </w:r>
            <w:r w:rsidR="006069B0" w:rsidRPr="0074345C">
              <w:rPr>
                <w:iCs/>
              </w:rPr>
              <w:t xml:space="preserve">que pudieran poner en peligro el éxito del </w:t>
            </w:r>
            <w:r w:rsidR="009E13C2" w:rsidRPr="0074345C">
              <w:rPr>
                <w:iCs/>
              </w:rPr>
              <w:t>proyecto</w:t>
            </w:r>
            <w:r w:rsidR="006069B0" w:rsidRPr="0074345C">
              <w:rPr>
                <w:iCs/>
              </w:rPr>
              <w:t>, en lo que se refiere a sus resultados efectivos, como la sostenibilidad y la gestión de las partes interesadas</w:t>
            </w:r>
            <w:r w:rsidR="00502F27" w:rsidRPr="0074345C">
              <w:rPr>
                <w:iCs/>
              </w:rPr>
              <w:t xml:space="preserve">. </w:t>
            </w:r>
          </w:p>
          <w:p w:rsidR="00502F27" w:rsidRPr="0074345C" w:rsidRDefault="00502F27" w:rsidP="00301D88">
            <w:pPr>
              <w:keepNext/>
              <w:keepLines/>
              <w:rPr>
                <w:iCs/>
              </w:rPr>
            </w:pPr>
          </w:p>
        </w:tc>
      </w:tr>
      <w:tr w:rsidR="006376E7" w:rsidRPr="0074345C" w:rsidTr="00E00028">
        <w:trPr>
          <w:trHeight w:val="713"/>
        </w:trPr>
        <w:tc>
          <w:tcPr>
            <w:tcW w:w="2376" w:type="dxa"/>
            <w:shd w:val="clear" w:color="auto" w:fill="auto"/>
          </w:tcPr>
          <w:p w:rsidR="00502F27" w:rsidRPr="0074345C" w:rsidRDefault="003260F8" w:rsidP="003260F8">
            <w:pPr>
              <w:pStyle w:val="Heading3"/>
            </w:pPr>
            <w:r w:rsidRPr="0074345C">
              <w:t>Riesgos y medidas paliativas</w:t>
            </w:r>
          </w:p>
        </w:tc>
        <w:tc>
          <w:tcPr>
            <w:tcW w:w="6912" w:type="dxa"/>
          </w:tcPr>
          <w:p w:rsidR="003260F8" w:rsidRPr="0074345C" w:rsidRDefault="003260F8" w:rsidP="00E00028">
            <w:pPr>
              <w:rPr>
                <w:iCs/>
              </w:rPr>
            </w:pPr>
          </w:p>
          <w:p w:rsidR="003260F8" w:rsidRPr="0074345C" w:rsidRDefault="006069B0" w:rsidP="00E00028">
            <w:pPr>
              <w:rPr>
                <w:iCs/>
              </w:rPr>
            </w:pPr>
            <w:r w:rsidRPr="0074345C">
              <w:rPr>
                <w:iCs/>
              </w:rPr>
              <w:t xml:space="preserve">La evaluación de los </w:t>
            </w:r>
            <w:r w:rsidR="002164FF" w:rsidRPr="0074345C">
              <w:rPr>
                <w:iCs/>
              </w:rPr>
              <w:t>riesgo</w:t>
            </w:r>
            <w:r w:rsidRPr="0074345C">
              <w:rPr>
                <w:iCs/>
              </w:rPr>
              <w:t xml:space="preserve">s y el análisis de las medidas paliativas fueron esenciales para </w:t>
            </w:r>
            <w:r w:rsidR="004B0731" w:rsidRPr="0074345C">
              <w:rPr>
                <w:iCs/>
              </w:rPr>
              <w:t xml:space="preserve">asegurar </w:t>
            </w:r>
            <w:r w:rsidRPr="0074345C">
              <w:rPr>
                <w:iCs/>
              </w:rPr>
              <w:t xml:space="preserve">que el </w:t>
            </w:r>
            <w:r w:rsidR="009E13C2" w:rsidRPr="0074345C">
              <w:rPr>
                <w:iCs/>
              </w:rPr>
              <w:t>proyecto</w:t>
            </w:r>
            <w:r w:rsidRPr="0074345C">
              <w:rPr>
                <w:iCs/>
              </w:rPr>
              <w:t xml:space="preserve"> tuviera una base sólida</w:t>
            </w:r>
            <w:r w:rsidR="00502F27" w:rsidRPr="0074345C">
              <w:rPr>
                <w:iCs/>
              </w:rPr>
              <w:t xml:space="preserve">. </w:t>
            </w:r>
          </w:p>
          <w:p w:rsidR="003260F8" w:rsidRPr="0074345C" w:rsidRDefault="003260F8" w:rsidP="00E00028">
            <w:pPr>
              <w:rPr>
                <w:iCs/>
              </w:rPr>
            </w:pPr>
          </w:p>
          <w:p w:rsidR="003260F8" w:rsidRPr="0074345C" w:rsidRDefault="006069B0" w:rsidP="00E00028">
            <w:pPr>
              <w:rPr>
                <w:iCs/>
              </w:rPr>
            </w:pPr>
            <w:r w:rsidRPr="0074345C">
              <w:rPr>
                <w:iCs/>
              </w:rPr>
              <w:t xml:space="preserve">Los principales </w:t>
            </w:r>
            <w:r w:rsidR="002164FF" w:rsidRPr="0074345C">
              <w:rPr>
                <w:iCs/>
              </w:rPr>
              <w:t>riesgos</w:t>
            </w:r>
            <w:r w:rsidR="00502F27" w:rsidRPr="0074345C">
              <w:rPr>
                <w:iCs/>
              </w:rPr>
              <w:t xml:space="preserve"> </w:t>
            </w:r>
            <w:r w:rsidRPr="0074345C">
              <w:rPr>
                <w:iCs/>
              </w:rPr>
              <w:t>definidos fueron los siguientes</w:t>
            </w:r>
            <w:r w:rsidR="00502F27" w:rsidRPr="0074345C">
              <w:rPr>
                <w:iCs/>
              </w:rPr>
              <w:t xml:space="preserve">:  </w:t>
            </w:r>
          </w:p>
          <w:p w:rsidR="003260F8" w:rsidRPr="0074345C" w:rsidRDefault="003260F8" w:rsidP="00E00028">
            <w:pPr>
              <w:rPr>
                <w:iCs/>
              </w:rPr>
            </w:pPr>
          </w:p>
          <w:p w:rsidR="003260F8" w:rsidRPr="0074345C" w:rsidRDefault="006069B0" w:rsidP="00E00028">
            <w:pPr>
              <w:numPr>
                <w:ilvl w:val="0"/>
                <w:numId w:val="40"/>
              </w:numPr>
              <w:rPr>
                <w:iCs/>
              </w:rPr>
            </w:pPr>
            <w:r w:rsidRPr="0074345C">
              <w:rPr>
                <w:iCs/>
              </w:rPr>
              <w:t>Factores externos</w:t>
            </w:r>
            <w:r w:rsidR="00502F27" w:rsidRPr="0074345C">
              <w:rPr>
                <w:iCs/>
              </w:rPr>
              <w:t xml:space="preserve"> (</w:t>
            </w:r>
            <w:r w:rsidRPr="0074345C">
              <w:rPr>
                <w:iCs/>
              </w:rPr>
              <w:t xml:space="preserve">como </w:t>
            </w:r>
            <w:r w:rsidR="0066589D" w:rsidRPr="0074345C">
              <w:rPr>
                <w:iCs/>
              </w:rPr>
              <w:t>la adaptación d</w:t>
            </w:r>
            <w:r w:rsidRPr="0074345C">
              <w:rPr>
                <w:iCs/>
              </w:rPr>
              <w:t xml:space="preserve">el marco jurídico de la P.I. de los </w:t>
            </w:r>
            <w:r w:rsidR="002034F4" w:rsidRPr="0074345C">
              <w:rPr>
                <w:iCs/>
              </w:rPr>
              <w:t>países</w:t>
            </w:r>
            <w:r w:rsidR="0066589D" w:rsidRPr="0074345C">
              <w:rPr>
                <w:iCs/>
              </w:rPr>
              <w:t xml:space="preserve"> a las necesidades de las </w:t>
            </w:r>
            <w:r w:rsidR="00AB0061" w:rsidRPr="0074345C">
              <w:rPr>
                <w:iCs/>
              </w:rPr>
              <w:t>P</w:t>
            </w:r>
            <w:r w:rsidR="0066589D" w:rsidRPr="0074345C">
              <w:rPr>
                <w:iCs/>
              </w:rPr>
              <w:t>ymes</w:t>
            </w:r>
            <w:r w:rsidR="00502F27" w:rsidRPr="0074345C">
              <w:rPr>
                <w:iCs/>
              </w:rPr>
              <w:t xml:space="preserve">, </w:t>
            </w:r>
            <w:r w:rsidR="0066589D" w:rsidRPr="0074345C">
              <w:rPr>
                <w:iCs/>
              </w:rPr>
              <w:t xml:space="preserve">los principales factores que desalentaban la inversión de las </w:t>
            </w:r>
            <w:r w:rsidR="00AB0061" w:rsidRPr="0074345C">
              <w:rPr>
                <w:iCs/>
              </w:rPr>
              <w:t>P</w:t>
            </w:r>
            <w:r w:rsidR="0066589D" w:rsidRPr="0074345C">
              <w:rPr>
                <w:iCs/>
              </w:rPr>
              <w:t>ymes en la protección de los diseños industriales</w:t>
            </w:r>
            <w:r w:rsidR="00502F27" w:rsidRPr="0074345C">
              <w:rPr>
                <w:iCs/>
              </w:rPr>
              <w:t xml:space="preserve">); </w:t>
            </w:r>
          </w:p>
          <w:p w:rsidR="003260F8" w:rsidRPr="0074345C" w:rsidRDefault="00772747" w:rsidP="00E00028">
            <w:pPr>
              <w:numPr>
                <w:ilvl w:val="0"/>
                <w:numId w:val="40"/>
              </w:numPr>
              <w:rPr>
                <w:iCs/>
              </w:rPr>
            </w:pPr>
            <w:r w:rsidRPr="0074345C">
              <w:rPr>
                <w:iCs/>
              </w:rPr>
              <w:t xml:space="preserve">Un alcance demasiado amplio y/o la superación del </w:t>
            </w:r>
            <w:r w:rsidR="00502F27" w:rsidRPr="0074345C">
              <w:rPr>
                <w:iCs/>
              </w:rPr>
              <w:t xml:space="preserve"> </w:t>
            </w:r>
            <w:r w:rsidR="009E13C2" w:rsidRPr="0074345C">
              <w:rPr>
                <w:iCs/>
              </w:rPr>
              <w:t>presupuesto</w:t>
            </w:r>
            <w:r w:rsidR="00502F27" w:rsidRPr="0074345C">
              <w:rPr>
                <w:iCs/>
              </w:rPr>
              <w:t xml:space="preserve">; </w:t>
            </w:r>
          </w:p>
          <w:p w:rsidR="003260F8" w:rsidRPr="0074345C" w:rsidRDefault="00772747" w:rsidP="00E00028">
            <w:pPr>
              <w:numPr>
                <w:ilvl w:val="0"/>
                <w:numId w:val="40"/>
              </w:numPr>
              <w:rPr>
                <w:iCs/>
              </w:rPr>
            </w:pPr>
            <w:r w:rsidRPr="0074345C">
              <w:rPr>
                <w:iCs/>
              </w:rPr>
              <w:t>La incapacidad de lograr una coordinación eficaz y de llegar a un acuerdo sobre el alcance del proyecto, las funciones y responsabilidades</w:t>
            </w:r>
            <w:r w:rsidR="00502F27" w:rsidRPr="0074345C">
              <w:rPr>
                <w:iCs/>
              </w:rPr>
              <w:t xml:space="preserve">; </w:t>
            </w:r>
          </w:p>
          <w:p w:rsidR="003260F8" w:rsidRPr="0074345C" w:rsidRDefault="00772747" w:rsidP="00E00028">
            <w:pPr>
              <w:numPr>
                <w:ilvl w:val="0"/>
                <w:numId w:val="40"/>
              </w:numPr>
              <w:rPr>
                <w:iCs/>
              </w:rPr>
            </w:pPr>
            <w:r w:rsidRPr="0074345C">
              <w:rPr>
                <w:iCs/>
              </w:rPr>
              <w:t xml:space="preserve">La imposibilidad de garantizar que el </w:t>
            </w:r>
            <w:r w:rsidR="009E13C2" w:rsidRPr="0074345C">
              <w:rPr>
                <w:iCs/>
              </w:rPr>
              <w:t xml:space="preserve">proyecto </w:t>
            </w:r>
            <w:r w:rsidRPr="0074345C">
              <w:rPr>
                <w:iCs/>
              </w:rPr>
              <w:t>logre resultados sostenibles, habida cuenta de la estrategia de salida</w:t>
            </w:r>
            <w:r w:rsidR="00502F27" w:rsidRPr="0074345C">
              <w:rPr>
                <w:iCs/>
              </w:rPr>
              <w:t>.</w:t>
            </w:r>
          </w:p>
          <w:p w:rsidR="003260F8" w:rsidRPr="0074345C" w:rsidRDefault="003260F8" w:rsidP="00E00028">
            <w:pPr>
              <w:rPr>
                <w:iCs/>
              </w:rPr>
            </w:pPr>
          </w:p>
          <w:p w:rsidR="003260F8" w:rsidRPr="0074345C" w:rsidRDefault="00654620" w:rsidP="00E00028">
            <w:pPr>
              <w:rPr>
                <w:iCs/>
              </w:rPr>
            </w:pPr>
            <w:r w:rsidRPr="0074345C">
              <w:rPr>
                <w:iCs/>
              </w:rPr>
              <w:t>Los r</w:t>
            </w:r>
            <w:r w:rsidR="002164FF" w:rsidRPr="0074345C">
              <w:rPr>
                <w:iCs/>
              </w:rPr>
              <w:t>iesgos</w:t>
            </w:r>
            <w:r w:rsidR="00502F27" w:rsidRPr="0074345C">
              <w:rPr>
                <w:iCs/>
              </w:rPr>
              <w:t xml:space="preserve"> </w:t>
            </w:r>
            <w:r w:rsidRPr="0074345C">
              <w:rPr>
                <w:iCs/>
              </w:rPr>
              <w:t xml:space="preserve">se gestionan periódicamente y se examinan en estrecha coordinación con la </w:t>
            </w:r>
            <w:r w:rsidR="00193CE1" w:rsidRPr="0074345C">
              <w:rPr>
                <w:iCs/>
              </w:rPr>
              <w:t xml:space="preserve">OMPI </w:t>
            </w:r>
            <w:r w:rsidRPr="0074345C">
              <w:rPr>
                <w:iCs/>
              </w:rPr>
              <w:t>a nivel interno y entre la O</w:t>
            </w:r>
            <w:r w:rsidR="00193CE1" w:rsidRPr="0074345C">
              <w:rPr>
                <w:iCs/>
              </w:rPr>
              <w:t xml:space="preserve">MPI </w:t>
            </w:r>
            <w:r w:rsidRPr="0074345C">
              <w:rPr>
                <w:iCs/>
              </w:rPr>
              <w:t xml:space="preserve">y </w:t>
            </w:r>
            <w:r w:rsidR="00AB0061" w:rsidRPr="0074345C">
              <w:rPr>
                <w:iCs/>
              </w:rPr>
              <w:t xml:space="preserve">los </w:t>
            </w:r>
            <w:r w:rsidR="00967C83" w:rsidRPr="0074345C">
              <w:rPr>
                <w:iCs/>
              </w:rPr>
              <w:t xml:space="preserve">organismos coordinadores </w:t>
            </w:r>
            <w:r w:rsidR="00AB0061" w:rsidRPr="0074345C">
              <w:rPr>
                <w:iCs/>
              </w:rPr>
              <w:t xml:space="preserve">en ambos </w:t>
            </w:r>
            <w:r w:rsidR="002034F4" w:rsidRPr="0074345C">
              <w:rPr>
                <w:iCs/>
              </w:rPr>
              <w:t>países</w:t>
            </w:r>
            <w:r w:rsidR="00502F27" w:rsidRPr="0074345C">
              <w:rPr>
                <w:iCs/>
              </w:rPr>
              <w:t>.</w:t>
            </w:r>
          </w:p>
          <w:p w:rsidR="00502F27" w:rsidRPr="0074345C" w:rsidRDefault="00502F27" w:rsidP="00E00028">
            <w:pPr>
              <w:rPr>
                <w:iCs/>
              </w:rPr>
            </w:pPr>
          </w:p>
        </w:tc>
      </w:tr>
      <w:tr w:rsidR="006376E7" w:rsidRPr="0074345C" w:rsidTr="00E00028">
        <w:trPr>
          <w:trHeight w:val="901"/>
        </w:trPr>
        <w:tc>
          <w:tcPr>
            <w:tcW w:w="2376" w:type="dxa"/>
            <w:shd w:val="clear" w:color="auto" w:fill="auto"/>
          </w:tcPr>
          <w:p w:rsidR="00502F27" w:rsidRPr="0074345C" w:rsidRDefault="003260F8" w:rsidP="003260F8">
            <w:pPr>
              <w:pStyle w:val="Heading3"/>
            </w:pPr>
            <w:r w:rsidRPr="0074345C">
              <w:lastRenderedPageBreak/>
              <w:t>Cuestiones que requieren atención inmediata</w:t>
            </w:r>
          </w:p>
        </w:tc>
        <w:tc>
          <w:tcPr>
            <w:tcW w:w="6912" w:type="dxa"/>
          </w:tcPr>
          <w:p w:rsidR="003260F8" w:rsidRPr="0074345C" w:rsidRDefault="003260F8" w:rsidP="00E00028">
            <w:pPr>
              <w:rPr>
                <w:iCs/>
              </w:rPr>
            </w:pPr>
          </w:p>
          <w:p w:rsidR="00502F27" w:rsidRPr="0074345C" w:rsidRDefault="00AB0061" w:rsidP="00AB0061">
            <w:pPr>
              <w:rPr>
                <w:iCs/>
              </w:rPr>
            </w:pPr>
            <w:r w:rsidRPr="0074345C">
              <w:rPr>
                <w:iCs/>
              </w:rPr>
              <w:t>Actualmente no hay ninguna cuestión que requiera atención o apoyo inmediatos</w:t>
            </w:r>
            <w:r w:rsidR="00502F27" w:rsidRPr="0074345C">
              <w:rPr>
                <w:iCs/>
              </w:rPr>
              <w:t>.</w:t>
            </w:r>
          </w:p>
        </w:tc>
      </w:tr>
      <w:tr w:rsidR="006376E7" w:rsidRPr="0074345C" w:rsidTr="00E00028">
        <w:trPr>
          <w:trHeight w:val="1081"/>
        </w:trPr>
        <w:tc>
          <w:tcPr>
            <w:tcW w:w="2376" w:type="dxa"/>
            <w:shd w:val="clear" w:color="auto" w:fill="auto"/>
          </w:tcPr>
          <w:p w:rsidR="00502F27" w:rsidRPr="0074345C" w:rsidRDefault="003260F8" w:rsidP="003260F8">
            <w:pPr>
              <w:pStyle w:val="Heading3"/>
            </w:pPr>
            <w:r w:rsidRPr="0074345C">
              <w:t>Siguientes pasos</w:t>
            </w:r>
          </w:p>
        </w:tc>
        <w:tc>
          <w:tcPr>
            <w:tcW w:w="6912" w:type="dxa"/>
          </w:tcPr>
          <w:p w:rsidR="003260F8" w:rsidRPr="0074345C" w:rsidRDefault="003260F8" w:rsidP="00E00028">
            <w:pPr>
              <w:rPr>
                <w:iCs/>
              </w:rPr>
            </w:pPr>
          </w:p>
          <w:p w:rsidR="003260F8" w:rsidRPr="0074345C" w:rsidRDefault="00AB0061" w:rsidP="00E00028">
            <w:pPr>
              <w:rPr>
                <w:iCs/>
              </w:rPr>
            </w:pPr>
            <w:r w:rsidRPr="0074345C">
              <w:rPr>
                <w:iCs/>
              </w:rPr>
              <w:t xml:space="preserve">Los siguientes pasos </w:t>
            </w:r>
            <w:r w:rsidR="004B0731" w:rsidRPr="0074345C">
              <w:rPr>
                <w:iCs/>
              </w:rPr>
              <w:t>tienen por objeto</w:t>
            </w:r>
            <w:r w:rsidRPr="0074345C">
              <w:rPr>
                <w:iCs/>
              </w:rPr>
              <w:t xml:space="preserve"> finalizar la fase inicial del proyecto e incluyen</w:t>
            </w:r>
            <w:r w:rsidR="00502F27" w:rsidRPr="0074345C">
              <w:rPr>
                <w:iCs/>
              </w:rPr>
              <w:t>:</w:t>
            </w:r>
          </w:p>
          <w:p w:rsidR="003260F8" w:rsidRPr="0074345C" w:rsidRDefault="003260F8" w:rsidP="00E00028">
            <w:pPr>
              <w:rPr>
                <w:iCs/>
              </w:rPr>
            </w:pPr>
          </w:p>
          <w:p w:rsidR="003260F8" w:rsidRPr="0074345C" w:rsidRDefault="00AB0061" w:rsidP="00E00028">
            <w:pPr>
              <w:numPr>
                <w:ilvl w:val="0"/>
                <w:numId w:val="32"/>
              </w:numPr>
              <w:rPr>
                <w:iCs/>
              </w:rPr>
            </w:pPr>
            <w:r w:rsidRPr="0074345C">
              <w:rPr>
                <w:iCs/>
              </w:rPr>
              <w:t>Formalización del acuerdo de cooperación</w:t>
            </w:r>
            <w:r w:rsidR="00502F27" w:rsidRPr="0074345C">
              <w:rPr>
                <w:iCs/>
              </w:rPr>
              <w:t xml:space="preserve"> (</w:t>
            </w:r>
            <w:r w:rsidRPr="0074345C">
              <w:rPr>
                <w:iCs/>
              </w:rPr>
              <w:t xml:space="preserve">sobre la base de la </w:t>
            </w:r>
            <w:r w:rsidRPr="0074345C">
              <w:t>declaración de alcance del proyecto</w:t>
            </w:r>
            <w:r w:rsidR="00502F27" w:rsidRPr="0074345C">
              <w:rPr>
                <w:iCs/>
              </w:rPr>
              <w:t>)</w:t>
            </w:r>
          </w:p>
          <w:p w:rsidR="003260F8" w:rsidRPr="0074345C" w:rsidRDefault="003260F8" w:rsidP="003260F8">
            <w:pPr>
              <w:numPr>
                <w:ilvl w:val="0"/>
                <w:numId w:val="32"/>
              </w:numPr>
              <w:rPr>
                <w:iCs/>
              </w:rPr>
            </w:pPr>
            <w:r w:rsidRPr="0074345C">
              <w:rPr>
                <w:iCs/>
              </w:rPr>
              <w:t>Elaboración de una estrategia nacional de protección de los diseños.</w:t>
            </w:r>
            <w:r w:rsidR="00502F27" w:rsidRPr="0074345C">
              <w:rPr>
                <w:iCs/>
              </w:rPr>
              <w:t xml:space="preserve"> </w:t>
            </w:r>
          </w:p>
          <w:p w:rsidR="003260F8" w:rsidRPr="0074345C" w:rsidRDefault="00AB0061" w:rsidP="00E00028">
            <w:pPr>
              <w:numPr>
                <w:ilvl w:val="0"/>
                <w:numId w:val="32"/>
              </w:numPr>
              <w:rPr>
                <w:iCs/>
              </w:rPr>
            </w:pPr>
            <w:r w:rsidRPr="0074345C">
              <w:rPr>
                <w:iCs/>
              </w:rPr>
              <w:t>Elaboración de la estrategia de divulgación</w:t>
            </w:r>
          </w:p>
          <w:p w:rsidR="003260F8" w:rsidRPr="0074345C" w:rsidRDefault="00AB0061" w:rsidP="00E00028">
            <w:pPr>
              <w:numPr>
                <w:ilvl w:val="0"/>
                <w:numId w:val="32"/>
              </w:numPr>
              <w:rPr>
                <w:iCs/>
              </w:rPr>
            </w:pPr>
            <w:r w:rsidRPr="0074345C">
              <w:rPr>
                <w:iCs/>
              </w:rPr>
              <w:t>Elaboración de la estrategia de salida</w:t>
            </w:r>
          </w:p>
          <w:p w:rsidR="003260F8" w:rsidRPr="0074345C" w:rsidRDefault="003260F8" w:rsidP="00E00028">
            <w:pPr>
              <w:rPr>
                <w:iCs/>
              </w:rPr>
            </w:pPr>
          </w:p>
          <w:p w:rsidR="003260F8" w:rsidRPr="0074345C" w:rsidRDefault="003260F8" w:rsidP="00E00028">
            <w:pPr>
              <w:rPr>
                <w:i/>
                <w:iCs/>
              </w:rPr>
            </w:pPr>
          </w:p>
          <w:p w:rsidR="003260F8" w:rsidRPr="0074345C" w:rsidRDefault="00AB0061" w:rsidP="00E00028">
            <w:pPr>
              <w:rPr>
                <w:i/>
                <w:iCs/>
              </w:rPr>
            </w:pPr>
            <w:r w:rsidRPr="0074345C">
              <w:rPr>
                <w:i/>
                <w:iCs/>
              </w:rPr>
              <w:t>Estudio de viabilidad</w:t>
            </w:r>
            <w:r w:rsidR="00502F27" w:rsidRPr="0074345C">
              <w:rPr>
                <w:i/>
                <w:iCs/>
              </w:rPr>
              <w:t>:</w:t>
            </w:r>
          </w:p>
          <w:p w:rsidR="003260F8" w:rsidRPr="0074345C" w:rsidRDefault="00AB0061" w:rsidP="00E00028">
            <w:pPr>
              <w:numPr>
                <w:ilvl w:val="0"/>
                <w:numId w:val="32"/>
              </w:numPr>
              <w:rPr>
                <w:iCs/>
              </w:rPr>
            </w:pPr>
            <w:r w:rsidRPr="0074345C">
              <w:rPr>
                <w:iCs/>
              </w:rPr>
              <w:t xml:space="preserve">Elaboración de los informes de los países por parte de los </w:t>
            </w:r>
            <w:r w:rsidR="00967C83" w:rsidRPr="0074345C">
              <w:rPr>
                <w:iCs/>
              </w:rPr>
              <w:t xml:space="preserve">organismos coordinadores </w:t>
            </w:r>
            <w:r w:rsidRPr="0074345C">
              <w:rPr>
                <w:iCs/>
              </w:rPr>
              <w:t xml:space="preserve">sobre la base del cuestionario de la </w:t>
            </w:r>
            <w:r w:rsidR="00193CE1" w:rsidRPr="0074345C">
              <w:rPr>
                <w:iCs/>
              </w:rPr>
              <w:t xml:space="preserve">OMPI </w:t>
            </w:r>
            <w:r w:rsidR="00502F27" w:rsidRPr="0074345C">
              <w:rPr>
                <w:iCs/>
              </w:rPr>
              <w:t xml:space="preserve"> </w:t>
            </w:r>
          </w:p>
          <w:p w:rsidR="003260F8" w:rsidRPr="0074345C" w:rsidRDefault="00AB0061" w:rsidP="00E00028">
            <w:pPr>
              <w:numPr>
                <w:ilvl w:val="0"/>
                <w:numId w:val="32"/>
              </w:numPr>
              <w:rPr>
                <w:iCs/>
              </w:rPr>
            </w:pPr>
            <w:r w:rsidRPr="0074345C">
              <w:rPr>
                <w:iCs/>
              </w:rPr>
              <w:t>Envío del cuestionario a las Pymes</w:t>
            </w:r>
          </w:p>
          <w:p w:rsidR="003260F8" w:rsidRPr="0074345C" w:rsidRDefault="00AB0061" w:rsidP="00E00028">
            <w:pPr>
              <w:rPr>
                <w:i/>
                <w:iCs/>
              </w:rPr>
            </w:pPr>
            <w:r w:rsidRPr="0074345C">
              <w:rPr>
                <w:i/>
                <w:iCs/>
              </w:rPr>
              <w:t>Selección</w:t>
            </w:r>
            <w:r w:rsidR="00502F27" w:rsidRPr="0074345C">
              <w:rPr>
                <w:i/>
                <w:iCs/>
              </w:rPr>
              <w:t>:</w:t>
            </w:r>
          </w:p>
          <w:p w:rsidR="003260F8" w:rsidRPr="0074345C" w:rsidRDefault="00AB0061" w:rsidP="00E00028">
            <w:pPr>
              <w:numPr>
                <w:ilvl w:val="0"/>
                <w:numId w:val="32"/>
              </w:numPr>
              <w:rPr>
                <w:iCs/>
              </w:rPr>
            </w:pPr>
            <w:r w:rsidRPr="0074345C">
              <w:rPr>
                <w:iCs/>
              </w:rPr>
              <w:t>Coordinador del proy</w:t>
            </w:r>
            <w:r w:rsidR="009E13C2" w:rsidRPr="0074345C">
              <w:rPr>
                <w:iCs/>
              </w:rPr>
              <w:t>ecto</w:t>
            </w:r>
            <w:r w:rsidRPr="0074345C">
              <w:rPr>
                <w:iCs/>
              </w:rPr>
              <w:t xml:space="preserve"> del país</w:t>
            </w:r>
          </w:p>
          <w:p w:rsidR="003260F8" w:rsidRPr="0074345C" w:rsidRDefault="00AB0061" w:rsidP="00E00028">
            <w:pPr>
              <w:numPr>
                <w:ilvl w:val="0"/>
                <w:numId w:val="32"/>
              </w:numPr>
              <w:rPr>
                <w:iCs/>
              </w:rPr>
            </w:pPr>
            <w:r w:rsidRPr="0074345C">
              <w:rPr>
                <w:iCs/>
              </w:rPr>
              <w:t>Expertos nacionales</w:t>
            </w:r>
          </w:p>
          <w:p w:rsidR="003260F8" w:rsidRPr="0074345C" w:rsidRDefault="003260F8" w:rsidP="00E00028">
            <w:pPr>
              <w:rPr>
                <w:iCs/>
              </w:rPr>
            </w:pPr>
          </w:p>
          <w:p w:rsidR="003260F8" w:rsidRPr="0074345C" w:rsidRDefault="00AB0061" w:rsidP="00E00028">
            <w:pPr>
              <w:rPr>
                <w:iCs/>
              </w:rPr>
            </w:pPr>
            <w:r w:rsidRPr="0074345C">
              <w:rPr>
                <w:iCs/>
              </w:rPr>
              <w:t>Los días 3 y 4 de septiembre de 2014 se celebrará un simposio internacional sobre los diseños industriales</w:t>
            </w:r>
            <w:r w:rsidR="00502F27" w:rsidRPr="0074345C">
              <w:rPr>
                <w:iCs/>
              </w:rPr>
              <w:t>.</w:t>
            </w:r>
          </w:p>
          <w:p w:rsidR="00502F27" w:rsidRPr="0074345C" w:rsidRDefault="00502F27" w:rsidP="00E00028">
            <w:pPr>
              <w:rPr>
                <w:iCs/>
              </w:rPr>
            </w:pPr>
          </w:p>
        </w:tc>
      </w:tr>
      <w:tr w:rsidR="006376E7" w:rsidRPr="0074345C" w:rsidTr="00E00028">
        <w:trPr>
          <w:trHeight w:val="1407"/>
        </w:trPr>
        <w:tc>
          <w:tcPr>
            <w:tcW w:w="2376" w:type="dxa"/>
            <w:shd w:val="clear" w:color="auto" w:fill="auto"/>
          </w:tcPr>
          <w:p w:rsidR="00502F27" w:rsidRPr="0074345C" w:rsidRDefault="00301D88" w:rsidP="00301D88">
            <w:pPr>
              <w:pStyle w:val="Heading3"/>
            </w:pPr>
            <w:r w:rsidRPr="0074345C">
              <w:t>Calendario de ejecución</w:t>
            </w:r>
            <w:r w:rsidR="00502F27" w:rsidRPr="0074345C">
              <w:t xml:space="preserve"> (</w:t>
            </w:r>
            <w:r w:rsidRPr="0074345C">
              <w:t>para los siguientes pasos que se mencionan arriba</w:t>
            </w:r>
            <w:r w:rsidR="00502F27" w:rsidRPr="0074345C">
              <w:t>)</w:t>
            </w:r>
          </w:p>
        </w:tc>
        <w:tc>
          <w:tcPr>
            <w:tcW w:w="6912" w:type="dxa"/>
          </w:tcPr>
          <w:p w:rsidR="003260F8" w:rsidRPr="0074345C" w:rsidRDefault="003260F8" w:rsidP="00E00028">
            <w:pPr>
              <w:rPr>
                <w:iCs/>
              </w:rPr>
            </w:pPr>
          </w:p>
          <w:p w:rsidR="00502F27" w:rsidRPr="0074345C" w:rsidRDefault="00301D88" w:rsidP="00301D88">
            <w:pPr>
              <w:rPr>
                <w:iCs/>
              </w:rPr>
            </w:pPr>
            <w:r w:rsidRPr="0074345C">
              <w:rPr>
                <w:iCs/>
              </w:rPr>
              <w:t>15 de julio a 31 de diciembre de</w:t>
            </w:r>
            <w:r w:rsidR="00502F27" w:rsidRPr="0074345C">
              <w:rPr>
                <w:iCs/>
              </w:rPr>
              <w:t xml:space="preserve"> 2014.</w:t>
            </w:r>
          </w:p>
        </w:tc>
      </w:tr>
      <w:tr w:rsidR="006376E7" w:rsidRPr="0074345C" w:rsidTr="00E00028">
        <w:trPr>
          <w:trHeight w:val="848"/>
        </w:trPr>
        <w:tc>
          <w:tcPr>
            <w:tcW w:w="2376" w:type="dxa"/>
            <w:shd w:val="clear" w:color="auto" w:fill="auto"/>
          </w:tcPr>
          <w:p w:rsidR="00502F27" w:rsidRPr="0074345C" w:rsidRDefault="003260F8" w:rsidP="003260F8">
            <w:pPr>
              <w:pStyle w:val="Heading3"/>
            </w:pPr>
            <w:r w:rsidRPr="0074345C">
              <w:t>Porcentaje de ejecución del proyecto</w:t>
            </w:r>
            <w:r w:rsidR="00502F27" w:rsidRPr="0074345C">
              <w:t xml:space="preserve"> </w:t>
            </w:r>
          </w:p>
        </w:tc>
        <w:tc>
          <w:tcPr>
            <w:tcW w:w="6912" w:type="dxa"/>
          </w:tcPr>
          <w:p w:rsidR="003260F8" w:rsidRPr="0074345C" w:rsidRDefault="003260F8" w:rsidP="00E00028">
            <w:pPr>
              <w:rPr>
                <w:iCs/>
              </w:rPr>
            </w:pPr>
          </w:p>
          <w:p w:rsidR="003260F8" w:rsidRPr="0074345C" w:rsidRDefault="003260F8" w:rsidP="003260F8">
            <w:pPr>
              <w:rPr>
                <w:szCs w:val="22"/>
              </w:rPr>
            </w:pPr>
            <w:r w:rsidRPr="0074345C">
              <w:rPr>
                <w:szCs w:val="22"/>
              </w:rPr>
              <w:t>Porcentaje de utilización del presupuesto a finales de agosto de 2014</w:t>
            </w:r>
            <w:proofErr w:type="gramStart"/>
            <w:r w:rsidRPr="0074345C">
              <w:rPr>
                <w:szCs w:val="22"/>
              </w:rPr>
              <w:t>:  10</w:t>
            </w:r>
            <w:proofErr w:type="gramEnd"/>
            <w:r w:rsidRPr="0074345C">
              <w:rPr>
                <w:szCs w:val="22"/>
              </w:rPr>
              <w:t>%.</w:t>
            </w:r>
          </w:p>
          <w:p w:rsidR="00502F27" w:rsidRPr="0074345C" w:rsidRDefault="00502F27" w:rsidP="00E00028">
            <w:pPr>
              <w:rPr>
                <w:iCs/>
              </w:rPr>
            </w:pPr>
          </w:p>
        </w:tc>
      </w:tr>
      <w:tr w:rsidR="006376E7" w:rsidRPr="0074345C" w:rsidTr="00E00028">
        <w:trPr>
          <w:trHeight w:val="848"/>
        </w:trPr>
        <w:tc>
          <w:tcPr>
            <w:tcW w:w="2376" w:type="dxa"/>
            <w:shd w:val="clear" w:color="auto" w:fill="auto"/>
          </w:tcPr>
          <w:p w:rsidR="00502F27" w:rsidRPr="0074345C" w:rsidRDefault="00301D88" w:rsidP="00301D88">
            <w:pPr>
              <w:pStyle w:val="Heading3"/>
            </w:pPr>
            <w:r w:rsidRPr="0074345C">
              <w:t>Informes/documentos previos</w:t>
            </w:r>
          </w:p>
        </w:tc>
        <w:tc>
          <w:tcPr>
            <w:tcW w:w="6912" w:type="dxa"/>
          </w:tcPr>
          <w:p w:rsidR="003260F8" w:rsidRPr="0074345C" w:rsidRDefault="003260F8" w:rsidP="00E00028">
            <w:pPr>
              <w:rPr>
                <w:b/>
                <w:iCs/>
              </w:rPr>
            </w:pPr>
          </w:p>
          <w:p w:rsidR="00502F27" w:rsidRPr="0074345C" w:rsidRDefault="003260F8" w:rsidP="00301D88">
            <w:pPr>
              <w:rPr>
                <w:iCs/>
              </w:rPr>
            </w:pPr>
            <w:r w:rsidRPr="0074345C">
              <w:rPr>
                <w:iCs/>
              </w:rPr>
              <w:t>Este es el primer informe que se presenta al CDIP.</w:t>
            </w:r>
          </w:p>
        </w:tc>
      </w:tr>
    </w:tbl>
    <w:p w:rsidR="00502F27" w:rsidRPr="0074345C" w:rsidRDefault="00502F27" w:rsidP="00502F27">
      <w:r w:rsidRPr="0074345C">
        <w:br w:type="page"/>
      </w:r>
    </w:p>
    <w:tbl>
      <w:tblPr>
        <w:tblW w:w="0" w:type="auto"/>
        <w:tblLook w:val="01E0" w:firstRow="1" w:lastRow="1" w:firstColumn="1" w:lastColumn="1" w:noHBand="0" w:noVBand="0"/>
      </w:tblPr>
      <w:tblGrid>
        <w:gridCol w:w="9287"/>
      </w:tblGrid>
      <w:tr w:rsidR="00502F27" w:rsidRPr="0074345C" w:rsidTr="00E00028">
        <w:trPr>
          <w:trHeight w:val="494"/>
        </w:trPr>
        <w:tc>
          <w:tcPr>
            <w:tcW w:w="9287" w:type="dxa"/>
            <w:vAlign w:val="center"/>
          </w:tcPr>
          <w:p w:rsidR="00502F27" w:rsidRPr="0074345C" w:rsidRDefault="00502F27" w:rsidP="003260F8">
            <w:r w:rsidRPr="0074345C">
              <w:lastRenderedPageBreak/>
              <w:br w:type="page"/>
            </w:r>
            <w:r w:rsidR="003260F8" w:rsidRPr="0074345C">
              <w:t>EVALUACIÓN INTERNA DEL PROYECTO</w:t>
            </w:r>
          </w:p>
        </w:tc>
      </w:tr>
    </w:tbl>
    <w:p w:rsidR="003260F8" w:rsidRPr="0074345C" w:rsidRDefault="003260F8" w:rsidP="00502F27"/>
    <w:p w:rsidR="003260F8" w:rsidRPr="0074345C" w:rsidRDefault="003260F8" w:rsidP="003260F8">
      <w:r w:rsidRPr="0074345C">
        <w:t>Clave de los colores</w:t>
      </w:r>
    </w:p>
    <w:p w:rsidR="00502F27" w:rsidRPr="0074345C" w:rsidRDefault="00502F27" w:rsidP="00502F27"/>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shd w:val="clear" w:color="auto" w:fill="auto"/>
            <w:vAlign w:val="center"/>
          </w:tcPr>
          <w:p w:rsidR="00502F27" w:rsidRPr="0074345C" w:rsidRDefault="00502F27" w:rsidP="00E00028">
            <w:r w:rsidRPr="0074345C">
              <w:t>****</w:t>
            </w:r>
          </w:p>
        </w:tc>
        <w:tc>
          <w:tcPr>
            <w:tcW w:w="1677" w:type="dxa"/>
            <w:shd w:val="clear" w:color="auto" w:fill="auto"/>
            <w:vAlign w:val="center"/>
          </w:tcPr>
          <w:p w:rsidR="00502F27" w:rsidRPr="0074345C" w:rsidRDefault="00502F27" w:rsidP="00E00028">
            <w:r w:rsidRPr="0074345C">
              <w:t>***</w:t>
            </w:r>
          </w:p>
        </w:tc>
        <w:tc>
          <w:tcPr>
            <w:tcW w:w="1797" w:type="dxa"/>
            <w:shd w:val="clear" w:color="auto" w:fill="auto"/>
            <w:vAlign w:val="center"/>
          </w:tcPr>
          <w:p w:rsidR="00502F27" w:rsidRPr="0074345C" w:rsidRDefault="00502F27" w:rsidP="00E00028">
            <w:r w:rsidRPr="0074345C">
              <w:t>**</w:t>
            </w:r>
          </w:p>
        </w:tc>
        <w:tc>
          <w:tcPr>
            <w:tcW w:w="1895" w:type="dxa"/>
            <w:shd w:val="clear" w:color="auto" w:fill="auto"/>
            <w:vAlign w:val="center"/>
          </w:tcPr>
          <w:p w:rsidR="00502F27" w:rsidRPr="0074345C" w:rsidRDefault="003260F8" w:rsidP="003260F8">
            <w:r w:rsidRPr="0074345C">
              <w:t>NA</w:t>
            </w:r>
          </w:p>
        </w:tc>
        <w:tc>
          <w:tcPr>
            <w:tcW w:w="2563" w:type="dxa"/>
            <w:shd w:val="clear" w:color="auto" w:fill="auto"/>
            <w:vAlign w:val="center"/>
          </w:tcPr>
          <w:p w:rsidR="00502F27" w:rsidRPr="0074345C" w:rsidRDefault="003260F8" w:rsidP="003260F8">
            <w:r w:rsidRPr="0074345C">
              <w:t>SE/AD</w:t>
            </w:r>
          </w:p>
        </w:tc>
      </w:tr>
      <w:tr w:rsidR="00502F27" w:rsidRPr="0074345C" w:rsidTr="00E00028">
        <w:tc>
          <w:tcPr>
            <w:tcW w:w="1416" w:type="dxa"/>
            <w:shd w:val="clear" w:color="auto" w:fill="auto"/>
          </w:tcPr>
          <w:p w:rsidR="00502F27" w:rsidRPr="0074345C" w:rsidRDefault="003260F8" w:rsidP="003260F8">
            <w:r w:rsidRPr="0074345C">
              <w:t>Plenamente logrado.</w:t>
            </w:r>
          </w:p>
        </w:tc>
        <w:tc>
          <w:tcPr>
            <w:tcW w:w="1677" w:type="dxa"/>
            <w:shd w:val="clear" w:color="auto" w:fill="auto"/>
          </w:tcPr>
          <w:p w:rsidR="00502F27" w:rsidRPr="0074345C" w:rsidRDefault="003260F8" w:rsidP="003260F8">
            <w:r w:rsidRPr="0074345C">
              <w:t>Avance notable</w:t>
            </w:r>
          </w:p>
        </w:tc>
        <w:tc>
          <w:tcPr>
            <w:tcW w:w="1797" w:type="dxa"/>
            <w:shd w:val="clear" w:color="auto" w:fill="auto"/>
          </w:tcPr>
          <w:p w:rsidR="00502F27" w:rsidRPr="0074345C" w:rsidRDefault="003260F8" w:rsidP="003260F8">
            <w:r w:rsidRPr="0074345C">
              <w:t>Avance</w:t>
            </w:r>
          </w:p>
        </w:tc>
        <w:tc>
          <w:tcPr>
            <w:tcW w:w="1895" w:type="dxa"/>
            <w:shd w:val="clear" w:color="auto" w:fill="auto"/>
          </w:tcPr>
          <w:p w:rsidR="00502F27" w:rsidRPr="0074345C" w:rsidRDefault="003260F8" w:rsidP="003260F8">
            <w:r w:rsidRPr="0074345C">
              <w:t>Ningún avance</w:t>
            </w:r>
          </w:p>
        </w:tc>
        <w:tc>
          <w:tcPr>
            <w:tcW w:w="2563" w:type="dxa"/>
            <w:shd w:val="clear" w:color="auto" w:fill="auto"/>
          </w:tcPr>
          <w:p w:rsidR="00502F27" w:rsidRPr="0074345C" w:rsidRDefault="003260F8" w:rsidP="003260F8">
            <w:r w:rsidRPr="0074345C">
              <w:t>Sin evaluar /actividad discontinuada</w:t>
            </w:r>
          </w:p>
        </w:tc>
      </w:tr>
    </w:tbl>
    <w:p w:rsidR="003260F8" w:rsidRPr="0074345C" w:rsidRDefault="003260F8" w:rsidP="00502F27"/>
    <w:p w:rsidR="003260F8" w:rsidRPr="0074345C" w:rsidRDefault="003260F8" w:rsidP="00502F27"/>
    <w:p w:rsidR="003260F8" w:rsidRPr="0074345C" w:rsidRDefault="00502F27" w:rsidP="00502F27">
      <w:r w:rsidRPr="0074345C">
        <w:t>Not</w:t>
      </w:r>
      <w:r w:rsidR="00301D88" w:rsidRPr="0074345C">
        <w:t>a</w:t>
      </w:r>
      <w:r w:rsidRPr="0074345C">
        <w:t xml:space="preserve">: </w:t>
      </w:r>
      <w:r w:rsidR="00301D88" w:rsidRPr="0074345C">
        <w:t>Puesto que el proyecto acaba de comenzar, en la columna con la clave de colores casi siempre aparece la mención NA</w:t>
      </w:r>
      <w:r w:rsidRPr="0074345C">
        <w:t>.</w:t>
      </w:r>
    </w:p>
    <w:p w:rsidR="00502F27" w:rsidRPr="0074345C" w:rsidRDefault="00502F27" w:rsidP="00502F27"/>
    <w:tbl>
      <w:tblPr>
        <w:tblW w:w="9356" w:type="dxa"/>
        <w:tblInd w:w="-34" w:type="dxa"/>
        <w:tblLayout w:type="fixed"/>
        <w:tblLook w:val="01E0" w:firstRow="1" w:lastRow="1" w:firstColumn="1" w:lastColumn="1" w:noHBand="0" w:noVBand="0"/>
      </w:tblPr>
      <w:tblGrid>
        <w:gridCol w:w="2410"/>
        <w:gridCol w:w="2694"/>
        <w:gridCol w:w="3228"/>
        <w:gridCol w:w="1024"/>
      </w:tblGrid>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rStyle w:val="Heading3Char"/>
              </w:rPr>
            </w:pPr>
          </w:p>
          <w:p w:rsidR="00FD48C3" w:rsidRPr="0074345C" w:rsidRDefault="003260F8" w:rsidP="003260F8">
            <w:pPr>
              <w:rPr>
                <w:u w:val="single"/>
              </w:rPr>
            </w:pPr>
            <w:r w:rsidRPr="0074345C">
              <w:rPr>
                <w:u w:val="single"/>
              </w:rPr>
              <w:t>Productos del proyecto</w:t>
            </w:r>
            <w:r w:rsidR="00FD48C3" w:rsidRPr="0074345C">
              <w:rPr>
                <w:vertAlign w:val="superscript"/>
              </w:rPr>
              <w:footnoteReference w:id="5"/>
            </w:r>
          </w:p>
          <w:p w:rsidR="00502F27" w:rsidRPr="0074345C" w:rsidRDefault="003260F8" w:rsidP="003260F8">
            <w:r w:rsidRPr="0074345C">
              <w:t>(</w:t>
            </w:r>
            <w:r w:rsidRPr="0074345C">
              <w:rPr>
                <w:u w:val="single"/>
              </w:rP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E00028">
            <w:pPr>
              <w:rPr>
                <w:rStyle w:val="Heading3Char"/>
              </w:rPr>
            </w:pPr>
          </w:p>
          <w:p w:rsidR="003260F8" w:rsidRPr="0074345C" w:rsidRDefault="003260F8" w:rsidP="003260F8">
            <w:r w:rsidRPr="0074345C">
              <w:rPr>
                <w:u w:val="single"/>
              </w:rPr>
              <w:t>Indicadores de obtención de resultados</w:t>
            </w:r>
          </w:p>
          <w:p w:rsidR="00502F27" w:rsidRPr="0074345C" w:rsidRDefault="00502F27" w:rsidP="00E00028"/>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pPr>
            <w:r w:rsidRPr="0074345C">
              <w:t>Datos sobre el rendimiento</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pPr>
            <w:r w:rsidRPr="0074345C">
              <w:t>Clave de colores</w:t>
            </w:r>
          </w:p>
        </w:tc>
      </w:tr>
      <w:tr w:rsidR="006376E7" w:rsidRPr="0074345C" w:rsidTr="00E00028">
        <w:trPr>
          <w:trHeight w:val="6311"/>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3260F8" w:rsidRPr="0074345C" w:rsidRDefault="003260F8" w:rsidP="00E00028">
            <w:pPr>
              <w:rPr>
                <w:rFonts w:eastAsia="Malgun Gothic"/>
                <w:kern w:val="2"/>
                <w:lang w:eastAsia="ko-KR"/>
              </w:rPr>
            </w:pPr>
          </w:p>
          <w:p w:rsidR="003260F8" w:rsidRPr="0074345C" w:rsidRDefault="003260F8" w:rsidP="003260F8">
            <w:pPr>
              <w:rPr>
                <w:rFonts w:eastAsia="Malgun Gothic"/>
                <w:kern w:val="2"/>
                <w:lang w:eastAsia="ko-KR"/>
              </w:rPr>
            </w:pPr>
            <w:r w:rsidRPr="0074345C">
              <w:rPr>
                <w:rFonts w:eastAsia="Malgun Gothic"/>
                <w:kern w:val="2"/>
                <w:lang w:eastAsia="ko-KR"/>
              </w:rPr>
              <w:t>Países participantes seleccionados</w:t>
            </w:r>
          </w:p>
          <w:p w:rsidR="00502F27" w:rsidRPr="0074345C" w:rsidRDefault="003260F8" w:rsidP="003260F8">
            <w:pPr>
              <w:rPr>
                <w:rFonts w:eastAsia="Malgun Gothic"/>
                <w:kern w:val="2"/>
                <w:lang w:eastAsia="ko-KR"/>
              </w:rPr>
            </w:pPr>
            <w:r w:rsidRPr="0074345C">
              <w:rPr>
                <w:rFonts w:eastAsia="Malgun Gothic"/>
                <w:kern w:val="2"/>
                <w:lang w:eastAsia="ko-KR"/>
              </w:rPr>
              <w:t>Establecimiento del mecanismo de protección de derechos de P.I. en el ámbito de los diseños en pro de las empresas de diseño, a escala nacional</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3260F8" w:rsidRPr="0074345C" w:rsidRDefault="003260F8" w:rsidP="00E00028">
            <w:pPr>
              <w:rPr>
                <w:rFonts w:eastAsia="Malgun Gothic"/>
                <w:kern w:val="2"/>
                <w:lang w:eastAsia="ko-KR"/>
              </w:rPr>
            </w:pPr>
          </w:p>
          <w:p w:rsidR="003260F8" w:rsidRPr="0074345C" w:rsidRDefault="003260F8" w:rsidP="003260F8">
            <w:pPr>
              <w:rPr>
                <w:rFonts w:eastAsia="Malgun Gothic"/>
                <w:kern w:val="2"/>
                <w:lang w:eastAsia="ko-KR"/>
              </w:rPr>
            </w:pPr>
            <w:r w:rsidRPr="0074345C">
              <w:rPr>
                <w:rFonts w:eastAsia="Malgun Gothic"/>
                <w:kern w:val="2"/>
                <w:lang w:eastAsia="ko-KR"/>
              </w:rPr>
              <w:t>Dos países seleccionados (decisión basada en criterios de selección).</w:t>
            </w:r>
          </w:p>
          <w:p w:rsidR="00502F27" w:rsidRPr="0074345C" w:rsidRDefault="00502F27" w:rsidP="00E00028">
            <w:pPr>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E00028"/>
          <w:p w:rsidR="003260F8" w:rsidRPr="0074345C" w:rsidRDefault="00C95117" w:rsidP="00E00028">
            <w:pPr>
              <w:spacing w:after="220"/>
              <w:rPr>
                <w:rFonts w:eastAsia="Malgun Gothic"/>
                <w:kern w:val="2"/>
                <w:lang w:eastAsia="ko-KR"/>
              </w:rPr>
            </w:pPr>
            <w:r w:rsidRPr="0074345C">
              <w:t>La selección se basó, acertadamente, en los siguientes criterios</w:t>
            </w:r>
            <w:r w:rsidR="00502F27" w:rsidRPr="0074345C">
              <w:t xml:space="preserve">: </w:t>
            </w:r>
          </w:p>
          <w:p w:rsidR="003260F8" w:rsidRPr="0074345C" w:rsidRDefault="00DA79A9" w:rsidP="00DA79A9">
            <w:pPr>
              <w:rPr>
                <w:rFonts w:eastAsia="Malgun Gothic"/>
                <w:kern w:val="2"/>
                <w:lang w:eastAsia="ko-KR"/>
              </w:rPr>
            </w:pPr>
            <w:r w:rsidRPr="0074345C">
              <w:rPr>
                <w:rFonts w:eastAsia="Malgun Gothic"/>
                <w:kern w:val="2"/>
                <w:lang w:eastAsia="ko-KR"/>
              </w:rPr>
              <w:t>a)</w:t>
            </w:r>
            <w:r w:rsidRPr="0074345C">
              <w:tab/>
            </w:r>
            <w:r w:rsidR="00C95117" w:rsidRPr="0074345C">
              <w:t>Existencia de empresas o fabricantes basados en el diseño en el país</w:t>
            </w:r>
            <w:r w:rsidR="00502F27" w:rsidRPr="0074345C">
              <w:rPr>
                <w:rFonts w:eastAsia="Malgun Gothic"/>
                <w:kern w:val="2"/>
                <w:lang w:eastAsia="ko-KR"/>
              </w:rPr>
              <w:t xml:space="preserve">; </w:t>
            </w:r>
            <w:r w:rsidR="00C95117" w:rsidRPr="0074345C">
              <w:rPr>
                <w:rFonts w:eastAsia="Malgun Gothic"/>
                <w:kern w:val="2"/>
                <w:lang w:eastAsia="ko-KR"/>
              </w:rPr>
              <w:t>Situación de las instituciones de protección del diseño y marco e infraestructura legislativa</w:t>
            </w:r>
            <w:r w:rsidR="00502F27" w:rsidRPr="0074345C">
              <w:rPr>
                <w:rFonts w:eastAsia="Malgun Gothic"/>
                <w:kern w:val="2"/>
                <w:lang w:eastAsia="ko-KR"/>
              </w:rPr>
              <w:t>;</w:t>
            </w:r>
          </w:p>
          <w:p w:rsidR="00DA79A9" w:rsidRPr="0074345C" w:rsidRDefault="00DA79A9" w:rsidP="00DA79A9">
            <w:pPr>
              <w:rPr>
                <w:rFonts w:eastAsia="Malgun Gothic"/>
                <w:kern w:val="2"/>
                <w:lang w:eastAsia="ko-KR"/>
              </w:rPr>
            </w:pPr>
          </w:p>
          <w:p w:rsidR="003260F8" w:rsidRPr="0074345C" w:rsidRDefault="00DA79A9" w:rsidP="00DA79A9">
            <w:pPr>
              <w:rPr>
                <w:rFonts w:eastAsia="Malgun Gothic"/>
                <w:kern w:val="2"/>
                <w:lang w:eastAsia="ko-KR"/>
              </w:rPr>
            </w:pPr>
            <w:r w:rsidRPr="0074345C">
              <w:rPr>
                <w:rFonts w:eastAsia="Malgun Gothic"/>
                <w:kern w:val="2"/>
                <w:lang w:eastAsia="ko-KR"/>
              </w:rPr>
              <w:t>b)</w:t>
            </w:r>
            <w:r w:rsidRPr="0074345C">
              <w:tab/>
            </w:r>
            <w:r w:rsidR="003260F8" w:rsidRPr="0074345C">
              <w:rPr>
                <w:rFonts w:eastAsia="Malgun Gothic"/>
                <w:kern w:val="2"/>
                <w:lang w:eastAsia="ko-KR"/>
              </w:rPr>
              <w:t>Necesidad práctica de apoyar a las empresas basadas en el diseño en la elaboración de estrategias de P.I. y en la obtención de protección por P.I. de sus diseños en los mercad</w:t>
            </w:r>
            <w:r w:rsidRPr="0074345C">
              <w:rPr>
                <w:rFonts w:eastAsia="Malgun Gothic"/>
                <w:kern w:val="2"/>
                <w:lang w:eastAsia="ko-KR"/>
              </w:rPr>
              <w:t>os nacionales e internacionales; y</w:t>
            </w:r>
          </w:p>
          <w:p w:rsidR="00DA79A9" w:rsidRPr="0074345C" w:rsidRDefault="00DA79A9" w:rsidP="00DA79A9">
            <w:pPr>
              <w:rPr>
                <w:rFonts w:eastAsia="Malgun Gothic"/>
                <w:kern w:val="2"/>
                <w:lang w:eastAsia="ko-KR"/>
              </w:rPr>
            </w:pPr>
          </w:p>
          <w:p w:rsidR="003260F8" w:rsidRPr="0074345C" w:rsidRDefault="00DA79A9" w:rsidP="00DA79A9">
            <w:pPr>
              <w:spacing w:after="220"/>
              <w:rPr>
                <w:rFonts w:eastAsia="Malgun Gothic"/>
                <w:kern w:val="2"/>
                <w:lang w:eastAsia="ko-KR"/>
              </w:rPr>
            </w:pPr>
            <w:r w:rsidRPr="0074345C">
              <w:rPr>
                <w:rFonts w:eastAsia="Malgun Gothic"/>
                <w:kern w:val="2"/>
                <w:lang w:eastAsia="ko-KR"/>
              </w:rPr>
              <w:t>c)</w:t>
            </w:r>
            <w:r w:rsidRPr="0074345C">
              <w:tab/>
            </w:r>
            <w:r w:rsidR="003260F8" w:rsidRPr="0074345C">
              <w:rPr>
                <w:rFonts w:eastAsia="Malgun Gothic"/>
                <w:kern w:val="2"/>
                <w:lang w:eastAsia="ko-KR"/>
              </w:rPr>
              <w:t>Posibilidad de hacerse cargo del proyecto y seguir desarrollándolo una vez finalizado el proyecto inicial y posibilidad asimismo de ejecutarlo en otros Estados miembros.</w:t>
            </w:r>
          </w:p>
          <w:p w:rsidR="00502F27" w:rsidRPr="0074345C" w:rsidRDefault="00502F27" w:rsidP="00C95117">
            <w:r w:rsidRPr="0074345C">
              <w:t xml:space="preserve">Ref.: </w:t>
            </w:r>
            <w:r w:rsidR="00C95117" w:rsidRPr="0074345C">
              <w:t xml:space="preserve">propuestas del proyecto formuladas por los dos </w:t>
            </w:r>
            <w:r w:rsidR="002034F4" w:rsidRPr="0074345C">
              <w:t>países</w:t>
            </w:r>
            <w:r w:rsidR="00C95117" w:rsidRPr="0074345C">
              <w:t xml:space="preserve"> participantes</w:t>
            </w:r>
            <w:r w:rsidRPr="0074345C">
              <w:t>.</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502F27" w:rsidP="00E00028">
            <w:r w:rsidRPr="0074345C">
              <w:t>****</w:t>
            </w:r>
          </w:p>
        </w:tc>
      </w:tr>
    </w:tbl>
    <w:p w:rsidR="00502F27" w:rsidRPr="0074345C" w:rsidRDefault="00502F27" w:rsidP="00502F27">
      <w:r w:rsidRPr="0074345C">
        <w:br w:type="page"/>
      </w:r>
    </w:p>
    <w:tbl>
      <w:tblPr>
        <w:tblW w:w="9356" w:type="dxa"/>
        <w:tblInd w:w="-34" w:type="dxa"/>
        <w:tblLayout w:type="fixed"/>
        <w:tblLook w:val="01E0" w:firstRow="1" w:lastRow="1" w:firstColumn="1" w:lastColumn="1" w:noHBand="0" w:noVBand="0"/>
      </w:tblPr>
      <w:tblGrid>
        <w:gridCol w:w="2410"/>
        <w:gridCol w:w="2694"/>
        <w:gridCol w:w="3228"/>
        <w:gridCol w:w="1024"/>
      </w:tblGrid>
      <w:tr w:rsidR="006376E7" w:rsidRPr="0074345C" w:rsidTr="00E00028">
        <w:trPr>
          <w:trHeight w:val="1288"/>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502F27" w:rsidRPr="0074345C" w:rsidRDefault="00502F27" w:rsidP="00E00028">
            <w:pPr>
              <w:rPr>
                <w:bCs/>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3260F8" w:rsidRPr="0074345C" w:rsidRDefault="00DF6098" w:rsidP="00DF6098">
            <w:pPr>
              <w:pStyle w:val="ListParagraph"/>
              <w:tabs>
                <w:tab w:val="num" w:pos="1701"/>
              </w:tabs>
              <w:spacing w:after="220"/>
              <w:ind w:left="34"/>
              <w:rPr>
                <w:rFonts w:eastAsia="Malgun Gothic"/>
                <w:kern w:val="2"/>
                <w:lang w:val="es-ES" w:eastAsia="ko-KR"/>
              </w:rPr>
            </w:pPr>
            <w:r w:rsidRPr="0074345C">
              <w:rPr>
                <w:rFonts w:eastAsia="Malgun Gothic"/>
                <w:kern w:val="2"/>
                <w:lang w:val="es-ES" w:eastAsia="ko-KR"/>
              </w:rPr>
              <w:t xml:space="preserve">a) elaboración de </w:t>
            </w:r>
            <w:r w:rsidR="00967C83" w:rsidRPr="0074345C">
              <w:rPr>
                <w:rFonts w:eastAsia="Malgun Gothic"/>
                <w:kern w:val="2"/>
                <w:lang w:val="es-ES" w:eastAsia="ko-KR"/>
              </w:rPr>
              <w:t xml:space="preserve">un proyecto de </w:t>
            </w:r>
            <w:r w:rsidRPr="0074345C">
              <w:rPr>
                <w:rFonts w:eastAsia="Malgun Gothic"/>
                <w:kern w:val="2"/>
                <w:lang w:val="es-ES" w:eastAsia="ko-KR"/>
              </w:rPr>
              <w:t xml:space="preserve">estrategia nacional de protección de los diseños y formulación de observaciones por la </w:t>
            </w:r>
            <w:r w:rsidR="00193CE1" w:rsidRPr="0074345C">
              <w:rPr>
                <w:rFonts w:eastAsia="Malgun Gothic"/>
                <w:kern w:val="2"/>
                <w:lang w:val="es-ES" w:eastAsia="ko-KR"/>
              </w:rPr>
              <w:t xml:space="preserve">OMPI </w:t>
            </w:r>
            <w:r w:rsidR="00502F27" w:rsidRPr="0074345C">
              <w:rPr>
                <w:rFonts w:eastAsia="Malgun Gothic"/>
                <w:kern w:val="2"/>
                <w:lang w:val="es-ES" w:eastAsia="ko-KR"/>
              </w:rPr>
              <w:t>;</w:t>
            </w:r>
          </w:p>
          <w:p w:rsidR="003260F8" w:rsidRPr="0074345C" w:rsidRDefault="00DF6098" w:rsidP="00DF6098">
            <w:pPr>
              <w:tabs>
                <w:tab w:val="num" w:pos="1701"/>
              </w:tabs>
              <w:spacing w:after="220"/>
              <w:ind w:left="34"/>
              <w:rPr>
                <w:rFonts w:eastAsia="Malgun Gothic"/>
                <w:kern w:val="2"/>
                <w:lang w:eastAsia="ko-KR"/>
              </w:rPr>
            </w:pPr>
            <w:r w:rsidRPr="0074345C">
              <w:rPr>
                <w:rFonts w:eastAsia="Malgun Gothic"/>
                <w:kern w:val="2"/>
                <w:lang w:eastAsia="ko-KR"/>
              </w:rPr>
              <w:t>b) selección de los directores nacionales del pro</w:t>
            </w:r>
            <w:r w:rsidR="009E13C2" w:rsidRPr="0074345C">
              <w:rPr>
                <w:rFonts w:eastAsia="Malgun Gothic"/>
                <w:kern w:val="2"/>
                <w:lang w:eastAsia="ko-KR"/>
              </w:rPr>
              <w:t xml:space="preserve">yecto </w:t>
            </w:r>
            <w:r w:rsidRPr="0074345C">
              <w:rPr>
                <w:rFonts w:eastAsia="Malgun Gothic"/>
                <w:kern w:val="2"/>
                <w:lang w:eastAsia="ko-KR"/>
              </w:rPr>
              <w:t>y de</w:t>
            </w:r>
            <w:r w:rsidR="00967C83" w:rsidRPr="0074345C">
              <w:rPr>
                <w:rFonts w:eastAsia="Malgun Gothic"/>
                <w:kern w:val="2"/>
                <w:lang w:eastAsia="ko-KR"/>
              </w:rPr>
              <w:t xml:space="preserve"> los organismos nacionales de coordinación</w:t>
            </w:r>
            <w:r w:rsidRPr="0074345C">
              <w:rPr>
                <w:rFonts w:eastAsia="Malgun Gothic"/>
                <w:kern w:val="2"/>
                <w:lang w:eastAsia="ko-KR"/>
              </w:rPr>
              <w:t>, en base a criterios de selección definidos</w:t>
            </w:r>
            <w:r w:rsidR="00502F27" w:rsidRPr="0074345C">
              <w:rPr>
                <w:rFonts w:eastAsia="Malgun Gothic"/>
                <w:kern w:val="2"/>
                <w:lang w:eastAsia="ko-KR"/>
              </w:rPr>
              <w:t xml:space="preserve">;  </w:t>
            </w:r>
          </w:p>
          <w:p w:rsidR="00502F27" w:rsidRPr="0074345C" w:rsidRDefault="00DF6098" w:rsidP="00DF6098">
            <w:pPr>
              <w:tabs>
                <w:tab w:val="num" w:pos="1701"/>
              </w:tabs>
              <w:spacing w:after="220"/>
              <w:ind w:left="34"/>
              <w:rPr>
                <w:rFonts w:eastAsia="Malgun Gothic"/>
                <w:kern w:val="2"/>
                <w:lang w:eastAsia="ko-KR"/>
              </w:rPr>
            </w:pPr>
            <w:r w:rsidRPr="0074345C">
              <w:rPr>
                <w:rFonts w:eastAsia="Malgun Gothic"/>
                <w:kern w:val="2"/>
                <w:lang w:eastAsia="ko-KR"/>
              </w:rPr>
              <w:t xml:space="preserve">c) </w:t>
            </w:r>
            <w:r w:rsidR="00DA79A9" w:rsidRPr="0074345C">
              <w:rPr>
                <w:rFonts w:eastAsia="Malgun Gothic"/>
                <w:kern w:val="2"/>
                <w:lang w:eastAsia="ko-KR"/>
              </w:rPr>
              <w:t>E</w:t>
            </w:r>
            <w:r w:rsidR="003260F8" w:rsidRPr="0074345C">
              <w:rPr>
                <w:rFonts w:eastAsia="Malgun Gothic"/>
                <w:kern w:val="2"/>
                <w:lang w:eastAsia="ko-KR"/>
              </w:rPr>
              <w:t xml:space="preserve">xpertos nacionales que ayuden, </w:t>
            </w:r>
            <w:r w:rsidR="00DA79A9" w:rsidRPr="0074345C">
              <w:rPr>
                <w:rFonts w:eastAsia="Malgun Gothic"/>
                <w:kern w:val="2"/>
                <w:lang w:eastAsia="ko-KR"/>
              </w:rPr>
              <w:t>de ser</w:t>
            </w:r>
            <w:r w:rsidR="003260F8" w:rsidRPr="0074345C">
              <w:rPr>
                <w:rFonts w:eastAsia="Malgun Gothic"/>
                <w:kern w:val="2"/>
                <w:lang w:eastAsia="ko-KR"/>
              </w:rPr>
              <w:t xml:space="preserve"> necesario, a elaborar planes de protecc</w:t>
            </w:r>
            <w:r w:rsidR="00DA79A9" w:rsidRPr="0074345C">
              <w:rPr>
                <w:rFonts w:eastAsia="Malgun Gothic"/>
                <w:kern w:val="2"/>
                <w:lang w:eastAsia="ko-KR"/>
              </w:rPr>
              <w:t>i</w:t>
            </w:r>
            <w:r w:rsidRPr="0074345C">
              <w:rPr>
                <w:rFonts w:eastAsia="Malgun Gothic"/>
                <w:kern w:val="2"/>
                <w:lang w:eastAsia="ko-KR"/>
              </w:rPr>
              <w:t xml:space="preserve">ón de los diseños, </w:t>
            </w:r>
            <w:r w:rsidR="00DA79A9" w:rsidRPr="0074345C">
              <w:rPr>
                <w:rFonts w:eastAsia="Malgun Gothic"/>
                <w:kern w:val="2"/>
                <w:lang w:eastAsia="ko-KR"/>
              </w:rPr>
              <w:t>identificados.</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DF6098" w:rsidP="00DF6098">
            <w:pPr>
              <w:pStyle w:val="ListParagraph"/>
              <w:numPr>
                <w:ilvl w:val="0"/>
                <w:numId w:val="46"/>
              </w:numPr>
              <w:ind w:left="0" w:firstLine="33"/>
              <w:rPr>
                <w:lang w:val="es-ES"/>
              </w:rPr>
            </w:pPr>
            <w:r w:rsidRPr="0074345C">
              <w:rPr>
                <w:lang w:val="es-ES"/>
              </w:rPr>
              <w:t>Se elaboró y discutió la estrategia nacional de protección de los diseños con el Instituto Nacional de Propiedad Industrial (INPI) de</w:t>
            </w:r>
            <w:r w:rsidR="00502F27" w:rsidRPr="0074345C">
              <w:rPr>
                <w:lang w:val="es-ES"/>
              </w:rPr>
              <w:t xml:space="preserve"> Argentina. </w:t>
            </w:r>
            <w:r w:rsidRPr="0074345C">
              <w:rPr>
                <w:lang w:val="es-ES"/>
              </w:rPr>
              <w:t xml:space="preserve">En el caso de Marruecos, </w:t>
            </w:r>
            <w:r w:rsidR="00967C83" w:rsidRPr="0074345C">
              <w:rPr>
                <w:lang w:val="es-ES"/>
              </w:rPr>
              <w:t>el proyecto describe la estrategia nacional de protección de la P.I.</w:t>
            </w:r>
            <w:r w:rsidR="00502F27" w:rsidRPr="0074345C">
              <w:rPr>
                <w:lang w:val="es-ES"/>
              </w:rPr>
              <w:t xml:space="preserve"> </w:t>
            </w:r>
            <w:r w:rsidR="00967C83" w:rsidRPr="0074345C">
              <w:rPr>
                <w:lang w:val="es-ES"/>
              </w:rPr>
              <w:t>La estrategia nacional de protección de los diseños está pendiente de elaboración</w:t>
            </w:r>
            <w:r w:rsidR="00502F27" w:rsidRPr="0074345C">
              <w:rPr>
                <w:lang w:val="es-ES"/>
              </w:rPr>
              <w:t>.</w:t>
            </w:r>
          </w:p>
          <w:p w:rsidR="003260F8" w:rsidRPr="0074345C" w:rsidRDefault="003260F8" w:rsidP="00E00028"/>
          <w:p w:rsidR="003260F8" w:rsidRPr="0074345C" w:rsidRDefault="00967C83" w:rsidP="00DF6098">
            <w:pPr>
              <w:pStyle w:val="ListParagraph"/>
              <w:numPr>
                <w:ilvl w:val="0"/>
                <w:numId w:val="46"/>
              </w:numPr>
              <w:ind w:left="0" w:firstLine="0"/>
              <w:rPr>
                <w:lang w:val="es-ES"/>
              </w:rPr>
            </w:pPr>
            <w:r w:rsidRPr="0074345C">
              <w:rPr>
                <w:lang w:val="es-ES"/>
              </w:rPr>
              <w:t>Se han designado los organismos de coordinación.</w:t>
            </w:r>
            <w:r w:rsidR="00502F27" w:rsidRPr="0074345C">
              <w:rPr>
                <w:lang w:val="es-ES"/>
              </w:rPr>
              <w:t xml:space="preserve"> </w:t>
            </w:r>
            <w:r w:rsidRPr="0074345C">
              <w:rPr>
                <w:lang w:val="es-ES"/>
              </w:rPr>
              <w:t xml:space="preserve">Se han acordado las funciones y responsabilidades de los coordinadores de proyecto de país. No se ha designado a </w:t>
            </w:r>
            <w:r w:rsidR="00593CA4" w:rsidRPr="0074345C">
              <w:rPr>
                <w:lang w:val="es-ES"/>
              </w:rPr>
              <w:t>l</w:t>
            </w:r>
            <w:r w:rsidRPr="0074345C">
              <w:rPr>
                <w:lang w:val="es-ES"/>
              </w:rPr>
              <w:t>os coordinadores de proyecto de país.</w:t>
            </w:r>
          </w:p>
          <w:p w:rsidR="00502F27" w:rsidRPr="0074345C" w:rsidRDefault="00502F27" w:rsidP="00E00028"/>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502F27" w:rsidP="00E00028">
            <w:r w:rsidRPr="0074345C">
              <w:t>a) ***</w:t>
            </w:r>
          </w:p>
          <w:p w:rsidR="00502F27" w:rsidRPr="0074345C" w:rsidRDefault="00DF6098" w:rsidP="00301D88">
            <w:r w:rsidRPr="0074345C">
              <w:t xml:space="preserve">b) ** </w:t>
            </w:r>
            <w:r w:rsidR="00502F27" w:rsidRPr="0074345C">
              <w:t>c) N</w:t>
            </w:r>
            <w:r w:rsidR="00301D88" w:rsidRPr="0074345C">
              <w:t>A</w:t>
            </w:r>
          </w:p>
        </w:tc>
      </w:tr>
      <w:tr w:rsidR="006376E7" w:rsidRPr="0074345C" w:rsidTr="00E00028">
        <w:trPr>
          <w:trHeight w:val="1288"/>
        </w:trPr>
        <w:tc>
          <w:tcPr>
            <w:tcW w:w="2410" w:type="dxa"/>
            <w:tcBorders>
              <w:left w:val="single" w:sz="2" w:space="0" w:color="000000"/>
              <w:bottom w:val="single" w:sz="2" w:space="0" w:color="000000"/>
              <w:right w:val="single" w:sz="6" w:space="0" w:color="000000"/>
            </w:tcBorders>
            <w:shd w:val="clear" w:color="auto" w:fill="auto"/>
          </w:tcPr>
          <w:p w:rsidR="003260F8" w:rsidRPr="0074345C" w:rsidRDefault="00DA79A9" w:rsidP="003260F8">
            <w:pPr>
              <w:rPr>
                <w:rFonts w:eastAsia="Malgun Gothic"/>
                <w:kern w:val="2"/>
                <w:lang w:eastAsia="ko-KR"/>
              </w:rPr>
            </w:pPr>
            <w:r w:rsidRPr="0074345C">
              <w:rPr>
                <w:rFonts w:eastAsia="Malgun Gothic"/>
                <w:kern w:val="2"/>
                <w:lang w:eastAsia="ko-KR"/>
              </w:rPr>
              <w:t xml:space="preserve">Plan </w:t>
            </w:r>
            <w:r w:rsidR="003260F8" w:rsidRPr="0074345C">
              <w:rPr>
                <w:rFonts w:eastAsia="Malgun Gothic"/>
                <w:kern w:val="2"/>
                <w:lang w:eastAsia="ko-KR"/>
              </w:rPr>
              <w:t>de divulgación a escala nacional</w:t>
            </w:r>
            <w:r w:rsidRPr="0074345C">
              <w:rPr>
                <w:rFonts w:eastAsia="Malgun Gothic"/>
                <w:kern w:val="2"/>
                <w:lang w:eastAsia="ko-KR"/>
              </w:rPr>
              <w:t xml:space="preserve"> elaborado</w:t>
            </w:r>
          </w:p>
          <w:p w:rsidR="003260F8" w:rsidRPr="0074345C" w:rsidRDefault="003260F8" w:rsidP="00E00028">
            <w:pPr>
              <w:rPr>
                <w:rFonts w:eastAsia="Malgun Gothic"/>
                <w:kern w:val="2"/>
                <w:lang w:eastAsia="ko-KR"/>
              </w:rPr>
            </w:pPr>
          </w:p>
          <w:p w:rsidR="00502F27" w:rsidRPr="0074345C" w:rsidRDefault="00502F27" w:rsidP="00E00028">
            <w:pPr>
              <w:rPr>
                <w:rFonts w:eastAsia="Malgun Gothic"/>
                <w:kern w:val="2"/>
                <w:lang w:eastAsia="ko-KR"/>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3260F8" w:rsidRPr="0074345C" w:rsidRDefault="00593CA4" w:rsidP="00593CA4">
            <w:pPr>
              <w:pStyle w:val="ListParagraph"/>
              <w:numPr>
                <w:ilvl w:val="0"/>
                <w:numId w:val="47"/>
              </w:numPr>
              <w:tabs>
                <w:tab w:val="num" w:pos="459"/>
              </w:tabs>
              <w:ind w:left="0" w:firstLine="34"/>
              <w:rPr>
                <w:rFonts w:eastAsia="Malgun Gothic"/>
                <w:kern w:val="2"/>
                <w:lang w:val="es-ES" w:eastAsia="ko-KR"/>
              </w:rPr>
            </w:pPr>
            <w:r w:rsidRPr="0074345C">
              <w:rPr>
                <w:rFonts w:eastAsia="Malgun Gothic"/>
                <w:kern w:val="2"/>
                <w:lang w:val="es-ES" w:eastAsia="ko-KR"/>
              </w:rPr>
              <w:t>Elaboración de la estrategia de divulgación en estrecha colaboración con los organismos coordinadores</w:t>
            </w:r>
            <w:r w:rsidR="00502F27" w:rsidRPr="0074345C">
              <w:rPr>
                <w:rFonts w:eastAsia="Malgun Gothic"/>
                <w:kern w:val="2"/>
                <w:lang w:val="es-ES" w:eastAsia="ko-KR"/>
              </w:rPr>
              <w:t>.</w:t>
            </w:r>
          </w:p>
          <w:p w:rsidR="003260F8" w:rsidRPr="0074345C" w:rsidRDefault="003260F8" w:rsidP="00E00028">
            <w:pPr>
              <w:rPr>
                <w:rFonts w:eastAsia="Malgun Gothic"/>
                <w:kern w:val="2"/>
                <w:lang w:eastAsia="ko-KR"/>
              </w:rPr>
            </w:pPr>
          </w:p>
          <w:p w:rsidR="003260F8" w:rsidRPr="0074345C" w:rsidRDefault="00593CA4" w:rsidP="00593CA4">
            <w:pPr>
              <w:pStyle w:val="ListParagraph"/>
              <w:numPr>
                <w:ilvl w:val="0"/>
                <w:numId w:val="47"/>
              </w:numPr>
              <w:tabs>
                <w:tab w:val="num" w:pos="1701"/>
              </w:tabs>
              <w:ind w:left="34"/>
              <w:rPr>
                <w:rFonts w:eastAsia="Malgun Gothic"/>
                <w:kern w:val="2"/>
                <w:lang w:val="es-ES" w:eastAsia="ko-KR"/>
              </w:rPr>
            </w:pPr>
            <w:r w:rsidRPr="0074345C">
              <w:rPr>
                <w:rFonts w:eastAsia="Malgun Gothic"/>
                <w:kern w:val="2"/>
                <w:lang w:val="es-ES" w:eastAsia="ko-KR"/>
              </w:rPr>
              <w:t>b) Selección</w:t>
            </w:r>
            <w:r w:rsidR="003260F8" w:rsidRPr="0074345C">
              <w:rPr>
                <w:rFonts w:eastAsia="Malgun Gothic"/>
                <w:kern w:val="2"/>
                <w:lang w:val="es-ES" w:eastAsia="ko-KR"/>
              </w:rPr>
              <w:t xml:space="preserve"> de una o varias empresas dedicadas a la creación de diseños originales por cada país participante (decisión basada en criterios de selección).</w:t>
            </w:r>
          </w:p>
          <w:p w:rsidR="00502F27" w:rsidRPr="0074345C" w:rsidRDefault="00502F27" w:rsidP="00E00028">
            <w:pPr>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593CA4" w:rsidP="00DF6098">
            <w:pPr>
              <w:pStyle w:val="ListParagraph"/>
              <w:numPr>
                <w:ilvl w:val="0"/>
                <w:numId w:val="45"/>
              </w:numPr>
              <w:ind w:left="33" w:hanging="33"/>
              <w:rPr>
                <w:lang w:val="es-ES"/>
              </w:rPr>
            </w:pPr>
            <w:r w:rsidRPr="0074345C">
              <w:rPr>
                <w:lang w:val="es-ES"/>
              </w:rPr>
              <w:t>La estrategi</w:t>
            </w:r>
            <w:r w:rsidR="005A70EE" w:rsidRPr="0074345C">
              <w:rPr>
                <w:lang w:val="es-ES"/>
              </w:rPr>
              <w:t>a de divulgación está siendo discutida</w:t>
            </w:r>
            <w:r w:rsidRPr="0074345C">
              <w:rPr>
                <w:lang w:val="es-ES"/>
              </w:rPr>
              <w:t xml:space="preserve"> por los organismos coordinadores</w:t>
            </w:r>
            <w:r w:rsidR="005A70EE" w:rsidRPr="0074345C">
              <w:rPr>
                <w:lang w:val="es-ES"/>
              </w:rPr>
              <w:t xml:space="preserve"> de los dos países.</w:t>
            </w:r>
            <w:r w:rsidR="00502F27" w:rsidRPr="0074345C">
              <w:rPr>
                <w:lang w:val="es-ES"/>
              </w:rPr>
              <w:t xml:space="preserve"> </w:t>
            </w:r>
          </w:p>
          <w:p w:rsidR="003260F8" w:rsidRPr="0074345C" w:rsidRDefault="003260F8" w:rsidP="00E00028"/>
          <w:p w:rsidR="00502F27" w:rsidRPr="0074345C" w:rsidRDefault="00502F27" w:rsidP="00E00028"/>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502F27" w:rsidP="00E00028">
            <w:r w:rsidRPr="0074345C">
              <w:t>a) **</w:t>
            </w:r>
          </w:p>
          <w:p w:rsidR="00502F27" w:rsidRPr="0074345C" w:rsidRDefault="00502F27" w:rsidP="00301D88">
            <w:r w:rsidRPr="0074345C">
              <w:t xml:space="preserve">b) </w:t>
            </w:r>
            <w:r w:rsidR="00301D88" w:rsidRPr="0074345C">
              <w:t>NA</w:t>
            </w:r>
          </w:p>
        </w:tc>
      </w:tr>
      <w:tr w:rsidR="006376E7" w:rsidRPr="0074345C" w:rsidTr="00243288">
        <w:trPr>
          <w:trHeight w:val="1288"/>
        </w:trPr>
        <w:tc>
          <w:tcPr>
            <w:tcW w:w="2410" w:type="dxa"/>
            <w:tcBorders>
              <w:left w:val="single" w:sz="2" w:space="0" w:color="000000"/>
              <w:bottom w:val="single" w:sz="4" w:space="0" w:color="auto"/>
              <w:right w:val="single" w:sz="6" w:space="0" w:color="000000"/>
            </w:tcBorders>
            <w:shd w:val="clear" w:color="auto" w:fill="auto"/>
          </w:tcPr>
          <w:p w:rsidR="003260F8" w:rsidRPr="0074345C" w:rsidRDefault="003260F8" w:rsidP="003260F8">
            <w:pPr>
              <w:rPr>
                <w:rFonts w:eastAsia="Malgun Gothic"/>
                <w:kern w:val="2"/>
                <w:lang w:eastAsia="ko-KR"/>
              </w:rPr>
            </w:pPr>
            <w:r w:rsidRPr="0074345C">
              <w:rPr>
                <w:rFonts w:eastAsia="Malgun Gothic"/>
                <w:kern w:val="2"/>
                <w:lang w:eastAsia="ko-KR"/>
              </w:rPr>
              <w:t>Elaboración de un plan de protección de los diseños en colaboración con el sector empresarial</w:t>
            </w:r>
          </w:p>
          <w:p w:rsidR="003260F8" w:rsidRPr="0074345C" w:rsidRDefault="003260F8" w:rsidP="00E00028">
            <w:pPr>
              <w:rPr>
                <w:rFonts w:eastAsia="Malgun Gothic"/>
                <w:kern w:val="2"/>
                <w:lang w:eastAsia="ko-KR"/>
              </w:rPr>
            </w:pPr>
          </w:p>
          <w:p w:rsidR="00502F27" w:rsidRPr="0074345C" w:rsidRDefault="00502F27" w:rsidP="00E00028">
            <w:pPr>
              <w:rPr>
                <w:rFonts w:eastAsia="Malgun Gothic"/>
                <w:kern w:val="2"/>
                <w:lang w:eastAsia="ko-KR"/>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3260F8" w:rsidRPr="0074345C" w:rsidRDefault="00593CA4" w:rsidP="00593CA4">
            <w:pPr>
              <w:rPr>
                <w:rFonts w:eastAsia="Malgun Gothic"/>
                <w:kern w:val="2"/>
                <w:lang w:eastAsia="ko-KR"/>
              </w:rPr>
            </w:pPr>
            <w:r w:rsidRPr="0074345C">
              <w:rPr>
                <w:rFonts w:eastAsia="Malgun Gothic"/>
                <w:kern w:val="2"/>
                <w:lang w:eastAsia="ko-KR"/>
              </w:rPr>
              <w:t>a)     Elaboración de un plan de protección de los diseños en estrecha colaboración con determinadas empresas</w:t>
            </w:r>
            <w:r w:rsidR="00502F27" w:rsidRPr="0074345C">
              <w:rPr>
                <w:rFonts w:eastAsia="Malgun Gothic"/>
                <w:kern w:val="2"/>
                <w:lang w:eastAsia="ko-KR"/>
              </w:rPr>
              <w:t xml:space="preserve">; </w:t>
            </w:r>
          </w:p>
          <w:p w:rsidR="00502F27" w:rsidRPr="0074345C" w:rsidRDefault="00593CA4" w:rsidP="00593CA4">
            <w:pPr>
              <w:tabs>
                <w:tab w:val="num" w:pos="1134"/>
              </w:tabs>
              <w:spacing w:after="220"/>
              <w:ind w:left="34" w:hanging="533"/>
              <w:rPr>
                <w:rFonts w:eastAsia="Malgun Gothic"/>
                <w:kern w:val="2"/>
                <w:lang w:eastAsia="ko-KR"/>
              </w:rPr>
            </w:pPr>
            <w:r w:rsidRPr="0074345C">
              <w:rPr>
                <w:rFonts w:eastAsia="Malgun Gothic"/>
                <w:kern w:val="2"/>
                <w:lang w:eastAsia="ko-KR"/>
              </w:rPr>
              <w:t>b)     b) Número</w:t>
            </w:r>
            <w:r w:rsidR="003260F8" w:rsidRPr="0074345C">
              <w:rPr>
                <w:rFonts w:eastAsia="Malgun Gothic"/>
                <w:kern w:val="2"/>
                <w:lang w:eastAsia="ko-KR"/>
              </w:rPr>
              <w:t xml:space="preserve"> e importancia de los diseños por empresa que podrían ser objeto de una estrategia de protección de diseños (selección efectuada con la ayuda del experto o expertos nacionales).</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502F27" w:rsidP="00E00028"/>
        </w:tc>
        <w:tc>
          <w:tcPr>
            <w:tcW w:w="1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r w:rsidRPr="0074345C">
              <w:t>NA</w:t>
            </w:r>
          </w:p>
        </w:tc>
      </w:tr>
      <w:tr w:rsidR="006376E7" w:rsidRPr="0074345C" w:rsidTr="00243288">
        <w:trPr>
          <w:trHeight w:val="554"/>
        </w:trPr>
        <w:tc>
          <w:tcPr>
            <w:tcW w:w="2410" w:type="dxa"/>
            <w:tcBorders>
              <w:top w:val="single" w:sz="4" w:space="0" w:color="auto"/>
              <w:left w:val="single" w:sz="4" w:space="0" w:color="auto"/>
              <w:bottom w:val="single" w:sz="4" w:space="0" w:color="auto"/>
              <w:right w:val="single" w:sz="4" w:space="0" w:color="auto"/>
            </w:tcBorders>
            <w:shd w:val="clear" w:color="auto" w:fill="auto"/>
          </w:tcPr>
          <w:p w:rsidR="00502F27" w:rsidRPr="0074345C" w:rsidRDefault="003260F8" w:rsidP="00DA79A9">
            <w:pPr>
              <w:rPr>
                <w:rFonts w:eastAsia="Malgun Gothic"/>
                <w:kern w:val="2"/>
                <w:lang w:eastAsia="ko-KR"/>
              </w:rPr>
            </w:pPr>
            <w:r w:rsidRPr="0074345C">
              <w:rPr>
                <w:rFonts w:eastAsia="Malgun Gothic"/>
                <w:kern w:val="2"/>
                <w:lang w:eastAsia="ko-KR"/>
              </w:rPr>
              <w:t>Aplicación de una protección</w:t>
            </w:r>
            <w:r w:rsidR="00DA79A9" w:rsidRPr="0074345C">
              <w:rPr>
                <w:rFonts w:eastAsia="Malgun Gothic"/>
                <w:kern w:val="2"/>
                <w:lang w:eastAsia="ko-KR"/>
              </w:rPr>
              <w:t xml:space="preserve"> preventiva</w:t>
            </w:r>
            <w:r w:rsidRPr="0074345C">
              <w:rPr>
                <w:rFonts w:eastAsia="Malgun Gothic"/>
                <w:kern w:val="2"/>
                <w:lang w:eastAsia="ko-KR"/>
              </w:rPr>
              <w:t xml:space="preserve"> de los diseños </w:t>
            </w:r>
            <w:r w:rsidRPr="0074345C">
              <w:rPr>
                <w:rFonts w:eastAsia="Malgun Gothic"/>
                <w:kern w:val="2"/>
                <w:lang w:eastAsia="ko-KR"/>
              </w:rPr>
              <w:lastRenderedPageBreak/>
              <w:t>mediante los debidos mecanismos de protección en los mercados nacionales y, en su caso, internacionales.</w:t>
            </w:r>
          </w:p>
        </w:tc>
        <w:tc>
          <w:tcPr>
            <w:tcW w:w="2694" w:type="dxa"/>
            <w:tcBorders>
              <w:top w:val="single" w:sz="6" w:space="0" w:color="000000"/>
              <w:left w:val="single" w:sz="4" w:space="0" w:color="auto"/>
              <w:bottom w:val="single" w:sz="2" w:space="0" w:color="000000"/>
              <w:right w:val="single" w:sz="2" w:space="0" w:color="000000"/>
            </w:tcBorders>
            <w:shd w:val="clear" w:color="auto" w:fill="auto"/>
          </w:tcPr>
          <w:p w:rsidR="00502F27" w:rsidRPr="0074345C" w:rsidRDefault="00593CA4" w:rsidP="00593CA4">
            <w:pPr>
              <w:tabs>
                <w:tab w:val="num" w:pos="1134"/>
              </w:tabs>
              <w:spacing w:after="220"/>
              <w:ind w:left="34"/>
              <w:rPr>
                <w:rFonts w:eastAsia="Malgun Gothic"/>
                <w:kern w:val="2"/>
                <w:lang w:eastAsia="ko-KR"/>
              </w:rPr>
            </w:pPr>
            <w:r w:rsidRPr="0074345C">
              <w:rPr>
                <w:rFonts w:eastAsia="Malgun Gothic"/>
                <w:kern w:val="2"/>
                <w:lang w:eastAsia="ko-KR"/>
              </w:rPr>
              <w:lastRenderedPageBreak/>
              <w:t>c) Número</w:t>
            </w:r>
            <w:r w:rsidR="003260F8" w:rsidRPr="0074345C">
              <w:rPr>
                <w:rFonts w:eastAsia="Malgun Gothic"/>
                <w:kern w:val="2"/>
                <w:lang w:eastAsia="ko-KR"/>
              </w:rPr>
              <w:t xml:space="preserve"> de solicitudes de registro de diseños iniciadas o presentadas </w:t>
            </w:r>
            <w:r w:rsidR="003260F8" w:rsidRPr="0074345C">
              <w:rPr>
                <w:rFonts w:eastAsia="Malgun Gothic"/>
                <w:kern w:val="2"/>
                <w:lang w:eastAsia="ko-KR"/>
              </w:rPr>
              <w:lastRenderedPageBreak/>
              <w:t>o número de otros títulos de protección jurídica obtenidos.</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502F27" w:rsidP="00E00028"/>
        </w:tc>
        <w:tc>
          <w:tcPr>
            <w:tcW w:w="1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r w:rsidRPr="0074345C">
              <w:t>NA</w:t>
            </w:r>
          </w:p>
        </w:tc>
      </w:tr>
      <w:tr w:rsidR="006376E7" w:rsidRPr="0074345C" w:rsidTr="00243288">
        <w:trPr>
          <w:trHeight w:val="1288"/>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502F27" w:rsidRPr="0074345C" w:rsidRDefault="003260F8" w:rsidP="003260F8">
            <w:pPr>
              <w:rPr>
                <w:rFonts w:eastAsia="Malgun Gothic"/>
                <w:kern w:val="2"/>
                <w:lang w:eastAsia="ko-KR"/>
              </w:rPr>
            </w:pPr>
            <w:r w:rsidRPr="0074345C">
              <w:rPr>
                <w:rFonts w:eastAsia="Malgun Gothic"/>
                <w:kern w:val="2"/>
                <w:lang w:eastAsia="ko-KR"/>
              </w:rPr>
              <w:lastRenderedPageBreak/>
              <w:t>Difusión en los mercados nacionales e internacionales</w:t>
            </w: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502F27" w:rsidRPr="0074345C" w:rsidRDefault="00593CA4" w:rsidP="00593CA4">
            <w:pPr>
              <w:tabs>
                <w:tab w:val="num" w:pos="1134"/>
              </w:tabs>
              <w:spacing w:after="220"/>
              <w:ind w:left="34"/>
              <w:rPr>
                <w:rFonts w:eastAsia="Malgun Gothic"/>
                <w:kern w:val="2"/>
                <w:lang w:eastAsia="ko-KR"/>
              </w:rPr>
            </w:pPr>
            <w:r w:rsidRPr="0074345C">
              <w:rPr>
                <w:rFonts w:eastAsia="Malgun Gothic"/>
                <w:kern w:val="2"/>
                <w:lang w:eastAsia="ko-KR"/>
              </w:rPr>
              <w:t>d) Presencia</w:t>
            </w:r>
            <w:r w:rsidR="003260F8" w:rsidRPr="0074345C">
              <w:rPr>
                <w:rFonts w:eastAsia="Malgun Gothic"/>
                <w:kern w:val="2"/>
                <w:lang w:eastAsia="ko-KR"/>
              </w:rPr>
              <w:t xml:space="preserve"> de empresas participantes en ferias comerciales especializadas, en los planos nacional e internacional (además de divulgación mediante otros canales por determinar).</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502F27" w:rsidP="00E00028"/>
        </w:tc>
        <w:tc>
          <w:tcPr>
            <w:tcW w:w="10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02F27" w:rsidRPr="0074345C" w:rsidRDefault="003260F8" w:rsidP="003260F8">
            <w:r w:rsidRPr="0074345C">
              <w:t>NA</w:t>
            </w:r>
          </w:p>
        </w:tc>
      </w:tr>
    </w:tbl>
    <w:p w:rsidR="003260F8" w:rsidRPr="0074345C" w:rsidRDefault="003260F8" w:rsidP="00502F27"/>
    <w:p w:rsidR="003260F8" w:rsidRPr="0074345C" w:rsidRDefault="003260F8" w:rsidP="00502F27"/>
    <w:p w:rsidR="003260F8" w:rsidRPr="0074345C" w:rsidRDefault="00502F27" w:rsidP="00502F27">
      <w:r w:rsidRPr="0074345C">
        <w:br w:type="page"/>
      </w:r>
    </w:p>
    <w:p w:rsidR="00502F27" w:rsidRPr="0074345C" w:rsidRDefault="00502F27" w:rsidP="00502F27"/>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194"/>
        <w:gridCol w:w="1058"/>
      </w:tblGrid>
      <w:tr w:rsidR="006376E7" w:rsidRPr="0074345C" w:rsidTr="00E00028">
        <w:trPr>
          <w:trHeight w:val="616"/>
        </w:trPr>
        <w:tc>
          <w:tcPr>
            <w:tcW w:w="2410" w:type="dxa"/>
            <w:shd w:val="clear" w:color="auto" w:fill="auto"/>
          </w:tcPr>
          <w:p w:rsidR="00502F27" w:rsidRPr="0074345C" w:rsidRDefault="003260F8" w:rsidP="003260F8">
            <w:pPr>
              <w:pStyle w:val="Heading3"/>
            </w:pPr>
            <w:r w:rsidRPr="0074345C">
              <w:t>Objetivos del proyecto</w:t>
            </w:r>
          </w:p>
        </w:tc>
        <w:tc>
          <w:tcPr>
            <w:tcW w:w="2694" w:type="dxa"/>
            <w:shd w:val="clear" w:color="auto" w:fill="auto"/>
          </w:tcPr>
          <w:p w:rsidR="003260F8" w:rsidRPr="0074345C" w:rsidRDefault="003260F8" w:rsidP="00E00028">
            <w:pPr>
              <w:autoSpaceDE w:val="0"/>
              <w:autoSpaceDN w:val="0"/>
              <w:adjustRightInd w:val="0"/>
              <w:rPr>
                <w:bCs/>
                <w:szCs w:val="22"/>
                <w:u w:val="single"/>
              </w:rPr>
            </w:pPr>
          </w:p>
          <w:p w:rsidR="003260F8" w:rsidRPr="0074345C" w:rsidRDefault="003260F8" w:rsidP="003260F8">
            <w:pPr>
              <w:autoSpaceDE w:val="0"/>
              <w:autoSpaceDN w:val="0"/>
              <w:adjustRightInd w:val="0"/>
              <w:rPr>
                <w:bCs/>
                <w:szCs w:val="22"/>
                <w:u w:val="single"/>
              </w:rPr>
            </w:pPr>
            <w:r w:rsidRPr="0074345C">
              <w:rPr>
                <w:bCs/>
                <w:szCs w:val="22"/>
                <w:u w:val="single"/>
              </w:rPr>
              <w:t>Indicadores de cumplimiento de los objetivos</w:t>
            </w:r>
          </w:p>
          <w:p w:rsidR="003260F8" w:rsidRPr="0074345C" w:rsidRDefault="003260F8" w:rsidP="003260F8">
            <w:pPr>
              <w:autoSpaceDE w:val="0"/>
              <w:autoSpaceDN w:val="0"/>
              <w:adjustRightInd w:val="0"/>
              <w:rPr>
                <w:bCs/>
                <w:szCs w:val="22"/>
                <w:u w:val="single"/>
              </w:rPr>
            </w:pPr>
            <w:r w:rsidRPr="0074345C">
              <w:rPr>
                <w:bCs/>
                <w:szCs w:val="22"/>
                <w:u w:val="single"/>
              </w:rPr>
              <w:t>(Indicadores de resultado)</w:t>
            </w:r>
          </w:p>
          <w:p w:rsidR="00502F27" w:rsidRPr="0074345C" w:rsidRDefault="00502F27" w:rsidP="00E00028"/>
        </w:tc>
        <w:tc>
          <w:tcPr>
            <w:tcW w:w="3194" w:type="dxa"/>
            <w:shd w:val="clear" w:color="auto" w:fill="auto"/>
          </w:tcPr>
          <w:p w:rsidR="00502F27" w:rsidRPr="0074345C" w:rsidRDefault="003260F8" w:rsidP="003260F8">
            <w:pPr>
              <w:pStyle w:val="Heading3"/>
            </w:pPr>
            <w:r w:rsidRPr="0074345C">
              <w:t>Datos sobre el rendimiento</w:t>
            </w:r>
          </w:p>
        </w:tc>
        <w:tc>
          <w:tcPr>
            <w:tcW w:w="1058" w:type="dxa"/>
            <w:shd w:val="clear" w:color="auto" w:fill="auto"/>
          </w:tcPr>
          <w:p w:rsidR="00502F27" w:rsidRPr="0074345C" w:rsidRDefault="003260F8" w:rsidP="003260F8">
            <w:pPr>
              <w:pStyle w:val="Heading3"/>
            </w:pPr>
            <w:r w:rsidRPr="0074345C">
              <w:t>Clave de colores</w:t>
            </w:r>
          </w:p>
        </w:tc>
      </w:tr>
      <w:tr w:rsidR="006376E7" w:rsidRPr="0074345C" w:rsidTr="00E00028">
        <w:trPr>
          <w:trHeight w:val="5500"/>
        </w:trPr>
        <w:tc>
          <w:tcPr>
            <w:tcW w:w="2410" w:type="dxa"/>
            <w:shd w:val="clear" w:color="auto" w:fill="auto"/>
          </w:tcPr>
          <w:p w:rsidR="00502F27" w:rsidRPr="0074345C" w:rsidRDefault="003260F8" w:rsidP="003260F8">
            <w:pPr>
              <w:rPr>
                <w:bCs/>
              </w:rPr>
            </w:pPr>
            <w:r w:rsidRPr="0074345C">
              <w:rPr>
                <w:bCs/>
              </w:rPr>
              <w:t xml:space="preserve">Contribuir </w:t>
            </w:r>
            <w:r w:rsidR="00AB0061" w:rsidRPr="0074345C">
              <w:rPr>
                <w:bCs/>
              </w:rPr>
              <w:t>al desarrollo comercial de las P</w:t>
            </w:r>
            <w:r w:rsidRPr="0074345C">
              <w:rPr>
                <w:bCs/>
              </w:rPr>
              <w:t xml:space="preserve">ymes en los países participantes </w:t>
            </w:r>
            <w:r w:rsidRPr="0074345C">
              <w:rPr>
                <w:bCs/>
                <w:i/>
              </w:rPr>
              <w:t xml:space="preserve">incentivando la inversión en el diseño </w:t>
            </w:r>
            <w:r w:rsidRPr="0074345C">
              <w:rPr>
                <w:bCs/>
              </w:rPr>
              <w:t>mediante la utilización estratégica de los derechos de P.I., en particular la utilización activa de los debidos mecanismos de protección del diseño a los que hasta ahora no se daba aplicación.</w:t>
            </w:r>
          </w:p>
        </w:tc>
        <w:tc>
          <w:tcPr>
            <w:tcW w:w="2694" w:type="dxa"/>
            <w:shd w:val="clear" w:color="auto" w:fill="auto"/>
          </w:tcPr>
          <w:p w:rsidR="003260F8" w:rsidRPr="0074345C" w:rsidRDefault="003260F8" w:rsidP="003260F8">
            <w:pPr>
              <w:spacing w:after="220"/>
              <w:rPr>
                <w:rFonts w:eastAsia="Malgun Gothic"/>
                <w:kern w:val="2"/>
                <w:lang w:eastAsia="ko-KR"/>
              </w:rPr>
            </w:pPr>
            <w:r w:rsidRPr="0074345C">
              <w:rPr>
                <w:rFonts w:eastAsia="Malgun Gothic"/>
                <w:kern w:val="2"/>
                <w:lang w:eastAsia="ko-KR"/>
              </w:rPr>
              <w:t xml:space="preserve">a) Número de diseños protegidos (mediante su registro o por otros medios) por empresa </w:t>
            </w:r>
            <w:r w:rsidRPr="0074345C">
              <w:rPr>
                <w:rFonts w:eastAsia="Malgun Gothic"/>
                <w:i/>
                <w:kern w:val="2"/>
                <w:lang w:eastAsia="ko-KR"/>
              </w:rPr>
              <w:t xml:space="preserve">(estimación que se efectuará en </w:t>
            </w:r>
            <w:r w:rsidRPr="0074345C">
              <w:rPr>
                <w:rFonts w:eastAsia="Malgun Gothic"/>
                <w:kern w:val="2"/>
                <w:lang w:eastAsia="ko-KR"/>
              </w:rPr>
              <w:t>algún</w:t>
            </w:r>
            <w:r w:rsidRPr="0074345C">
              <w:rPr>
                <w:rFonts w:eastAsia="Malgun Gothic"/>
                <w:i/>
                <w:kern w:val="2"/>
                <w:lang w:eastAsia="ko-KR"/>
              </w:rPr>
              <w:t xml:space="preserve"> momento tras la ejecución del proyecto)</w:t>
            </w:r>
            <w:r w:rsidRPr="0074345C">
              <w:rPr>
                <w:rFonts w:eastAsia="Malgun Gothic"/>
                <w:kern w:val="2"/>
                <w:lang w:eastAsia="ko-KR"/>
              </w:rPr>
              <w:t>.</w:t>
            </w:r>
            <w:r w:rsidR="00502F27" w:rsidRPr="0074345C">
              <w:rPr>
                <w:rFonts w:eastAsia="Malgun Gothic"/>
                <w:kern w:val="2"/>
                <w:lang w:eastAsia="ko-KR"/>
              </w:rPr>
              <w:t xml:space="preserve"> </w:t>
            </w:r>
          </w:p>
          <w:p w:rsidR="003260F8" w:rsidRPr="0074345C" w:rsidRDefault="00AB0061" w:rsidP="003260F8">
            <w:pPr>
              <w:spacing w:after="220"/>
              <w:ind w:left="34"/>
              <w:rPr>
                <w:rFonts w:eastAsia="Malgun Gothic"/>
                <w:kern w:val="2"/>
                <w:lang w:eastAsia="ko-KR"/>
              </w:rPr>
            </w:pPr>
            <w:r w:rsidRPr="0074345C">
              <w:rPr>
                <w:rFonts w:eastAsia="Malgun Gothic"/>
                <w:kern w:val="2"/>
                <w:lang w:eastAsia="ko-KR"/>
              </w:rPr>
              <w:t>b) Número de P</w:t>
            </w:r>
            <w:r w:rsidR="003260F8" w:rsidRPr="0074345C">
              <w:rPr>
                <w:rFonts w:eastAsia="Malgun Gothic"/>
                <w:kern w:val="2"/>
                <w:lang w:eastAsia="ko-KR"/>
              </w:rPr>
              <w:t xml:space="preserve">ymes que utilizan la protección de los diseños antes y después del proyecto </w:t>
            </w:r>
            <w:r w:rsidR="003260F8" w:rsidRPr="0074345C">
              <w:rPr>
                <w:rFonts w:eastAsia="Malgun Gothic"/>
                <w:i/>
                <w:kern w:val="2"/>
                <w:lang w:eastAsia="ko-KR"/>
              </w:rPr>
              <w:t>(estimación que se efectuará en algún momento tras la ejecución del proyecto).</w:t>
            </w:r>
          </w:p>
          <w:p w:rsidR="00502F27" w:rsidRPr="0074345C" w:rsidRDefault="003260F8" w:rsidP="003260F8">
            <w:r w:rsidRPr="0074345C">
              <w:t>c) Grado de satisfacción de las empresas participantes con la aplicación del plan de protección de los diseños.</w:t>
            </w:r>
          </w:p>
        </w:tc>
        <w:tc>
          <w:tcPr>
            <w:tcW w:w="3194" w:type="dxa"/>
            <w:shd w:val="clear" w:color="auto" w:fill="auto"/>
          </w:tcPr>
          <w:p w:rsidR="00502F27" w:rsidRPr="0074345C" w:rsidRDefault="00502F27" w:rsidP="00E00028"/>
        </w:tc>
        <w:tc>
          <w:tcPr>
            <w:tcW w:w="1058" w:type="dxa"/>
            <w:shd w:val="clear" w:color="auto" w:fill="auto"/>
          </w:tcPr>
          <w:p w:rsidR="00502F27" w:rsidRPr="0074345C" w:rsidRDefault="003260F8" w:rsidP="003260F8">
            <w:r w:rsidRPr="0074345C">
              <w:t>NA</w:t>
            </w:r>
          </w:p>
        </w:tc>
      </w:tr>
      <w:tr w:rsidR="00502F27" w:rsidRPr="0074345C" w:rsidTr="00E00028">
        <w:trPr>
          <w:trHeight w:val="3289"/>
        </w:trPr>
        <w:tc>
          <w:tcPr>
            <w:tcW w:w="2410" w:type="dxa"/>
            <w:shd w:val="clear" w:color="auto" w:fill="auto"/>
          </w:tcPr>
          <w:p w:rsidR="00502F27" w:rsidRPr="0074345C" w:rsidRDefault="003260F8" w:rsidP="003260F8">
            <w:pPr>
              <w:rPr>
                <w:rFonts w:eastAsia="Malgun Gothic"/>
                <w:bCs/>
                <w:kern w:val="2"/>
                <w:lang w:eastAsia="ko-KR"/>
              </w:rPr>
            </w:pPr>
            <w:r w:rsidRPr="0074345C">
              <w:rPr>
                <w:rFonts w:eastAsia="Malgun Gothic"/>
                <w:bCs/>
                <w:i/>
                <w:kern w:val="2"/>
                <w:lang w:eastAsia="ko-KR"/>
              </w:rPr>
              <w:t xml:space="preserve">Mejorar las capacidades de las instituciones nacionales relacionadas con el diseño, incluidas las oficinas de P.I., </w:t>
            </w:r>
            <w:r w:rsidRPr="0074345C">
              <w:rPr>
                <w:rFonts w:eastAsia="Malgun Gothic"/>
                <w:bCs/>
                <w:kern w:val="2"/>
                <w:lang w:eastAsia="ko-KR"/>
              </w:rPr>
              <w:t xml:space="preserve">fomentar el uso estratégico del sistema de P.I. en pro de las empresas creadoras de diseños, de suerte que </w:t>
            </w:r>
            <w:r w:rsidRPr="0074345C">
              <w:rPr>
                <w:rFonts w:eastAsia="Malgun Gothic"/>
                <w:bCs/>
                <w:i/>
                <w:kern w:val="2"/>
                <w:lang w:eastAsia="ko-KR"/>
              </w:rPr>
              <w:t>se incremente la utilización de los mecanismos disponibles de protección de los diseños.</w:t>
            </w:r>
          </w:p>
        </w:tc>
        <w:tc>
          <w:tcPr>
            <w:tcW w:w="2694" w:type="dxa"/>
            <w:shd w:val="clear" w:color="auto" w:fill="auto"/>
          </w:tcPr>
          <w:p w:rsidR="003260F8" w:rsidRPr="0074345C" w:rsidRDefault="00EC57E9" w:rsidP="00EC57E9">
            <w:pPr>
              <w:spacing w:after="220"/>
              <w:ind w:left="142" w:hanging="284"/>
              <w:rPr>
                <w:rFonts w:eastAsia="Malgun Gothic"/>
                <w:kern w:val="2"/>
                <w:lang w:eastAsia="ko-KR"/>
              </w:rPr>
            </w:pPr>
            <w:r w:rsidRPr="0074345C">
              <w:rPr>
                <w:rFonts w:eastAsia="Malgun Gothic"/>
                <w:kern w:val="2"/>
                <w:lang w:eastAsia="ko-KR"/>
              </w:rPr>
              <w:t xml:space="preserve"> a) Número</w:t>
            </w:r>
            <w:r w:rsidR="003260F8" w:rsidRPr="0074345C">
              <w:rPr>
                <w:rFonts w:eastAsia="Malgun Gothic"/>
                <w:kern w:val="2"/>
                <w:lang w:eastAsia="ko-KR"/>
              </w:rPr>
              <w:t xml:space="preserve"> y tipo de actividades de fortalecimiento de capacidades destinadas a las empresas de diseño efectuadas por la institución nacional en el ámbito del diseño.</w:t>
            </w:r>
          </w:p>
          <w:p w:rsidR="00502F27" w:rsidRPr="0074345C" w:rsidRDefault="00EC57E9" w:rsidP="00593CA4">
            <w:pPr>
              <w:tabs>
                <w:tab w:val="left" w:pos="1820"/>
              </w:tabs>
              <w:spacing w:after="220"/>
              <w:rPr>
                <w:rFonts w:eastAsia="Malgun Gothic"/>
                <w:kern w:val="2"/>
                <w:lang w:eastAsia="ko-KR"/>
              </w:rPr>
            </w:pPr>
            <w:r w:rsidRPr="0074345C">
              <w:rPr>
                <w:rFonts w:eastAsia="Malgun Gothic"/>
                <w:kern w:val="2"/>
                <w:lang w:eastAsia="ko-KR"/>
              </w:rPr>
              <w:t>b) Número</w:t>
            </w:r>
            <w:r w:rsidR="003260F8" w:rsidRPr="0074345C">
              <w:rPr>
                <w:rFonts w:eastAsia="Malgun Gothic"/>
                <w:kern w:val="2"/>
                <w:lang w:eastAsia="ko-KR"/>
              </w:rPr>
              <w:t xml:space="preserve"> y tipo de actividades promocionales a cargo de la institución nacional relacionada con el diseño.</w:t>
            </w:r>
            <w:r w:rsidR="00502F27" w:rsidRPr="0074345C">
              <w:rPr>
                <w:rFonts w:eastAsia="Malgun Gothic"/>
                <w:kern w:val="2"/>
                <w:lang w:eastAsia="ko-KR"/>
              </w:rPr>
              <w:t xml:space="preserve">  </w:t>
            </w:r>
          </w:p>
        </w:tc>
        <w:tc>
          <w:tcPr>
            <w:tcW w:w="3194" w:type="dxa"/>
            <w:shd w:val="clear" w:color="auto" w:fill="auto"/>
          </w:tcPr>
          <w:p w:rsidR="003260F8" w:rsidRPr="0074345C" w:rsidRDefault="00EC57E9" w:rsidP="00EC57E9">
            <w:r w:rsidRPr="0074345C">
              <w:t xml:space="preserve">a) Se ha elaborado un cuestionario por internet </w:t>
            </w:r>
            <w:r w:rsidR="00502F27" w:rsidRPr="0074345C">
              <w:t xml:space="preserve"> </w:t>
            </w:r>
            <w:r w:rsidRPr="0074345C">
              <w:t>que se distribuirá a 150 Pymes en A</w:t>
            </w:r>
            <w:r w:rsidR="00502F27" w:rsidRPr="0074345C">
              <w:t xml:space="preserve">rgentina </w:t>
            </w:r>
            <w:r w:rsidRPr="0074345C">
              <w:t xml:space="preserve">con el fin de evaluar sus necesidades </w:t>
            </w:r>
            <w:r w:rsidR="00FA7969" w:rsidRPr="0074345C">
              <w:t>específicas</w:t>
            </w:r>
            <w:r w:rsidR="00502F27" w:rsidRPr="0074345C">
              <w:t>.</w:t>
            </w:r>
          </w:p>
          <w:p w:rsidR="003260F8" w:rsidRPr="0074345C" w:rsidRDefault="003260F8" w:rsidP="00E00028"/>
          <w:p w:rsidR="003260F8" w:rsidRPr="0074345C" w:rsidRDefault="00EC57E9" w:rsidP="00E00028">
            <w:r w:rsidRPr="0074345C">
              <w:t xml:space="preserve">b) </w:t>
            </w:r>
            <w:r w:rsidR="00FA7969" w:rsidRPr="0074345C">
              <w:t>Los días 3 y 4 de septiembre de 2014 se celebrará un simposio internacional en Buenos Aires.</w:t>
            </w:r>
            <w:r w:rsidR="00502F27" w:rsidRPr="0074345C">
              <w:t xml:space="preserve"> </w:t>
            </w:r>
            <w:r w:rsidR="00FA7969" w:rsidRPr="0074345C">
              <w:t>Los temas de las presentaciones y los oradores nacionales e internacionales se han seleccionado según las necesidades definidas previamente</w:t>
            </w:r>
            <w:r w:rsidR="00502F27" w:rsidRPr="0074345C">
              <w:t>.</w:t>
            </w:r>
          </w:p>
          <w:p w:rsidR="00502F27" w:rsidRPr="0074345C" w:rsidRDefault="00502F27" w:rsidP="00E00028"/>
        </w:tc>
        <w:tc>
          <w:tcPr>
            <w:tcW w:w="1058" w:type="dxa"/>
            <w:shd w:val="clear" w:color="auto" w:fill="auto"/>
          </w:tcPr>
          <w:p w:rsidR="003260F8" w:rsidRPr="0074345C" w:rsidRDefault="00502F27" w:rsidP="00E00028">
            <w:r w:rsidRPr="0074345C">
              <w:t>a) N</w:t>
            </w:r>
            <w:r w:rsidR="00DA79A9" w:rsidRPr="0074345C">
              <w:t>A</w:t>
            </w:r>
          </w:p>
          <w:p w:rsidR="003260F8" w:rsidRPr="0074345C" w:rsidRDefault="003260F8" w:rsidP="00E00028"/>
          <w:p w:rsidR="00502F27" w:rsidRPr="0074345C" w:rsidRDefault="00502F27" w:rsidP="00E00028">
            <w:r w:rsidRPr="0074345C">
              <w:t>b) ***</w:t>
            </w:r>
          </w:p>
        </w:tc>
      </w:tr>
    </w:tbl>
    <w:p w:rsidR="003260F8" w:rsidRPr="0074345C" w:rsidRDefault="003260F8" w:rsidP="00502F27"/>
    <w:p w:rsidR="003260F8" w:rsidRPr="0074345C" w:rsidRDefault="003260F8" w:rsidP="00502F27"/>
    <w:p w:rsidR="003260F8" w:rsidRPr="0074345C" w:rsidRDefault="003260F8" w:rsidP="00502F27"/>
    <w:p w:rsidR="00502F27" w:rsidRPr="0074345C" w:rsidRDefault="003260F8" w:rsidP="003260F8">
      <w:pPr>
        <w:tabs>
          <w:tab w:val="left" w:pos="3225"/>
        </w:tabs>
        <w:ind w:left="2445" w:firstLine="3225"/>
        <w:sectPr w:rsidR="00502F27" w:rsidRPr="0074345C" w:rsidSect="00E00028">
          <w:headerReference w:type="default" r:id="rId58"/>
          <w:headerReference w:type="first" r:id="rId59"/>
          <w:endnotePr>
            <w:numFmt w:val="decimal"/>
          </w:endnotePr>
          <w:pgSz w:w="11907" w:h="16840" w:code="9"/>
          <w:pgMar w:top="567" w:right="1134" w:bottom="1418" w:left="1418" w:header="510" w:footer="1021" w:gutter="0"/>
          <w:pgNumType w:start="1"/>
          <w:cols w:space="720"/>
          <w:titlePg/>
          <w:docGrid w:linePitch="299"/>
        </w:sectPr>
      </w:pPr>
      <w:r w:rsidRPr="0074345C">
        <w:t>[Sigue el Anexo VII]</w:t>
      </w:r>
    </w:p>
    <w:p w:rsidR="00502F27" w:rsidRPr="0074345C" w:rsidRDefault="00502F27" w:rsidP="00502F27">
      <w:pPr>
        <w:tabs>
          <w:tab w:val="left" w:pos="3225"/>
        </w:tabs>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6376E7" w:rsidRPr="0074345C" w:rsidTr="00E00028">
        <w:trPr>
          <w:trHeight w:val="432"/>
        </w:trPr>
        <w:tc>
          <w:tcPr>
            <w:tcW w:w="9288" w:type="dxa"/>
            <w:gridSpan w:val="2"/>
            <w:shd w:val="clear" w:color="auto" w:fill="auto"/>
            <w:vAlign w:val="center"/>
          </w:tcPr>
          <w:p w:rsidR="00502F27" w:rsidRPr="0074345C" w:rsidRDefault="003260F8" w:rsidP="003260F8">
            <w:pPr>
              <w:pStyle w:val="Heading2"/>
            </w:pPr>
            <w:r w:rsidRPr="0074345C">
              <w:t>RESUMEN DEL PROYECTO</w:t>
            </w:r>
          </w:p>
        </w:tc>
      </w:tr>
      <w:tr w:rsidR="006376E7" w:rsidRPr="0074345C" w:rsidTr="00E00028">
        <w:trPr>
          <w:trHeight w:val="496"/>
        </w:trPr>
        <w:tc>
          <w:tcPr>
            <w:tcW w:w="2088" w:type="dxa"/>
            <w:shd w:val="clear" w:color="auto" w:fill="auto"/>
          </w:tcPr>
          <w:p w:rsidR="00502F27" w:rsidRPr="0074345C" w:rsidRDefault="003260F8" w:rsidP="003260F8">
            <w:pPr>
              <w:pStyle w:val="Heading3"/>
            </w:pPr>
            <w:r w:rsidRPr="0074345C">
              <w:t>Código del proyecto</w:t>
            </w:r>
          </w:p>
        </w:tc>
        <w:tc>
          <w:tcPr>
            <w:tcW w:w="7200" w:type="dxa"/>
            <w:shd w:val="clear" w:color="auto" w:fill="auto"/>
            <w:vAlign w:val="center"/>
          </w:tcPr>
          <w:p w:rsidR="00502F27" w:rsidRPr="0074345C" w:rsidRDefault="00502F27" w:rsidP="00E00028">
            <w:pPr>
              <w:rPr>
                <w:i/>
              </w:rPr>
            </w:pPr>
            <w:r w:rsidRPr="0074345C">
              <w:t>DA_19_30_31_03</w:t>
            </w:r>
          </w:p>
        </w:tc>
      </w:tr>
      <w:tr w:rsidR="006376E7" w:rsidRPr="0074345C" w:rsidTr="00E00028">
        <w:trPr>
          <w:trHeight w:val="404"/>
        </w:trPr>
        <w:tc>
          <w:tcPr>
            <w:tcW w:w="2088" w:type="dxa"/>
            <w:shd w:val="clear" w:color="auto" w:fill="auto"/>
          </w:tcPr>
          <w:p w:rsidR="003260F8" w:rsidRPr="0074345C" w:rsidRDefault="003260F8" w:rsidP="003260F8">
            <w:pPr>
              <w:pStyle w:val="Heading3"/>
            </w:pPr>
            <w:r w:rsidRPr="0074345C">
              <w:t>Título</w:t>
            </w:r>
          </w:p>
          <w:p w:rsidR="00502F27" w:rsidRPr="0074345C" w:rsidRDefault="00502F27" w:rsidP="00E00028">
            <w:pPr>
              <w:rPr>
                <w:u w:val="single"/>
              </w:rPr>
            </w:pPr>
          </w:p>
        </w:tc>
        <w:tc>
          <w:tcPr>
            <w:tcW w:w="7200" w:type="dxa"/>
            <w:shd w:val="clear" w:color="auto" w:fill="auto"/>
            <w:vAlign w:val="center"/>
          </w:tcPr>
          <w:p w:rsidR="003260F8" w:rsidRPr="0074345C" w:rsidRDefault="003260F8" w:rsidP="00E00028">
            <w:pPr>
              <w:rPr>
                <w:iCs/>
              </w:rPr>
            </w:pPr>
          </w:p>
          <w:p w:rsidR="003260F8" w:rsidRPr="0074345C" w:rsidRDefault="00083425" w:rsidP="00E00028">
            <w:pPr>
              <w:rPr>
                <w:iCs/>
              </w:rPr>
            </w:pPr>
            <w:r w:rsidRPr="0074345C">
              <w:rPr>
                <w:iCs/>
              </w:rPr>
              <w:t>Fortalecimiento de capacidades en el uso de información técnica y científica relativa a tecnologías apropiadas para solucionar determinados problemas de desarrollo – F</w:t>
            </w:r>
            <w:r w:rsidR="00502F27" w:rsidRPr="0074345C">
              <w:rPr>
                <w:iCs/>
              </w:rPr>
              <w:t>ase II.</w:t>
            </w:r>
          </w:p>
          <w:p w:rsidR="00502F27" w:rsidRPr="0074345C" w:rsidRDefault="00502F27" w:rsidP="00E00028">
            <w:pPr>
              <w:rPr>
                <w:rFonts w:eastAsia="Malgun Gothic"/>
                <w:kern w:val="2"/>
                <w:lang w:eastAsia="ko-KR"/>
              </w:rPr>
            </w:pPr>
          </w:p>
        </w:tc>
      </w:tr>
      <w:tr w:rsidR="006376E7" w:rsidRPr="0074345C" w:rsidTr="00E00028">
        <w:tc>
          <w:tcPr>
            <w:tcW w:w="2088" w:type="dxa"/>
            <w:shd w:val="clear" w:color="auto" w:fill="auto"/>
          </w:tcPr>
          <w:p w:rsidR="003260F8" w:rsidRPr="0074345C" w:rsidRDefault="003260F8" w:rsidP="003260F8">
            <w:pPr>
              <w:pStyle w:val="Heading3"/>
            </w:pPr>
            <w:r w:rsidRPr="0074345C">
              <w:t>Agenda para el Desarrollo</w:t>
            </w:r>
            <w:r w:rsidR="0055532D" w:rsidRPr="0074345C">
              <w:br/>
            </w:r>
            <w:r w:rsidRPr="0074345C">
              <w:t>Recomendaciones</w:t>
            </w:r>
          </w:p>
          <w:p w:rsidR="00502F27" w:rsidRPr="0074345C" w:rsidRDefault="00502F27" w:rsidP="00E00028">
            <w:pPr>
              <w:rPr>
                <w:u w:val="single"/>
              </w:rPr>
            </w:pPr>
          </w:p>
        </w:tc>
        <w:tc>
          <w:tcPr>
            <w:tcW w:w="7200" w:type="dxa"/>
            <w:shd w:val="clear" w:color="auto" w:fill="auto"/>
          </w:tcPr>
          <w:p w:rsidR="003260F8" w:rsidRPr="0074345C" w:rsidRDefault="003260F8" w:rsidP="00E00028">
            <w:pPr>
              <w:rPr>
                <w:rFonts w:eastAsia="Malgun Gothic"/>
                <w:kern w:val="2"/>
                <w:lang w:eastAsia="ko-KR"/>
              </w:rPr>
            </w:pPr>
          </w:p>
          <w:p w:rsidR="003260F8" w:rsidRPr="0074345C" w:rsidRDefault="003260F8" w:rsidP="003260F8">
            <w:pPr>
              <w:rPr>
                <w:iCs/>
              </w:rPr>
            </w:pPr>
            <w:r w:rsidRPr="0074345C">
              <w:rPr>
                <w:iCs/>
              </w:rPr>
              <w:t>Recomendación 19:  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3260F8" w:rsidRPr="0074345C" w:rsidRDefault="003260F8" w:rsidP="00E00028">
            <w:pPr>
              <w:rPr>
                <w:iCs/>
              </w:rPr>
            </w:pPr>
          </w:p>
          <w:p w:rsidR="003260F8" w:rsidRPr="0074345C" w:rsidRDefault="003260F8" w:rsidP="003260F8">
            <w:pPr>
              <w:rPr>
                <w:iCs/>
              </w:rPr>
            </w:pPr>
            <w:r w:rsidRPr="0074345C">
              <w:rPr>
                <w:iCs/>
              </w:rPr>
              <w:t xml:space="preserve">Recomendación 30:  </w:t>
            </w:r>
            <w:r w:rsidR="00083425" w:rsidRPr="0074345C">
              <w:t xml:space="preserve"> </w:t>
            </w:r>
            <w:r w:rsidR="00083425" w:rsidRPr="0074345C">
              <w:rPr>
                <w:iCs/>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p w:rsidR="003260F8" w:rsidRPr="0074345C" w:rsidRDefault="003260F8" w:rsidP="00E00028">
            <w:pPr>
              <w:rPr>
                <w:iCs/>
              </w:rPr>
            </w:pPr>
          </w:p>
          <w:p w:rsidR="003260F8" w:rsidRPr="0074345C" w:rsidRDefault="003260F8" w:rsidP="003260F8">
            <w:pPr>
              <w:rPr>
                <w:iCs/>
              </w:rPr>
            </w:pPr>
            <w:r w:rsidRPr="0074345C">
              <w:rPr>
                <w:iCs/>
              </w:rPr>
              <w:t>Recomendación 31:  Emprender las iniciativas adoptadas por los Estados miembros que contribuyen a la transferencia de tecnología a los países en desarrollo, tales como solicitar a la OMPI que proporcione mejor acceso a la información publicada sobre patentes.</w:t>
            </w:r>
          </w:p>
          <w:p w:rsidR="00502F27" w:rsidRPr="0074345C" w:rsidRDefault="00502F27" w:rsidP="00E00028">
            <w:pPr>
              <w:rPr>
                <w:rFonts w:eastAsia="Malgun Gothic"/>
                <w:kern w:val="2"/>
                <w:lang w:eastAsia="ko-KR"/>
              </w:rPr>
            </w:pPr>
          </w:p>
        </w:tc>
      </w:tr>
      <w:tr w:rsidR="006376E7" w:rsidRPr="0074345C" w:rsidTr="00E00028">
        <w:tc>
          <w:tcPr>
            <w:tcW w:w="2088" w:type="dxa"/>
            <w:shd w:val="clear" w:color="auto" w:fill="auto"/>
          </w:tcPr>
          <w:p w:rsidR="003260F8" w:rsidRPr="0074345C" w:rsidRDefault="003260F8" w:rsidP="003260F8">
            <w:pPr>
              <w:pStyle w:val="Heading3"/>
            </w:pPr>
            <w:r w:rsidRPr="0074345C">
              <w:t>Presupuesto del proyecto</w:t>
            </w:r>
          </w:p>
          <w:p w:rsidR="00502F27" w:rsidRPr="0074345C" w:rsidRDefault="00502F27" w:rsidP="00E00028">
            <w:pPr>
              <w:rPr>
                <w:u w:val="single"/>
              </w:rPr>
            </w:pPr>
          </w:p>
        </w:tc>
        <w:tc>
          <w:tcPr>
            <w:tcW w:w="7200" w:type="dxa"/>
            <w:shd w:val="clear" w:color="auto" w:fill="auto"/>
          </w:tcPr>
          <w:p w:rsidR="003260F8" w:rsidRPr="0074345C" w:rsidRDefault="003260F8" w:rsidP="00E00028">
            <w:pPr>
              <w:rPr>
                <w:rFonts w:eastAsia="Malgun Gothic"/>
                <w:kern w:val="2"/>
                <w:lang w:eastAsia="ko-KR"/>
              </w:rPr>
            </w:pPr>
          </w:p>
          <w:p w:rsidR="003260F8" w:rsidRPr="0074345C" w:rsidRDefault="003260F8" w:rsidP="003260F8">
            <w:r w:rsidRPr="0074345C">
              <w:t>Gastos no relativos al personal: 200.000 francos suizos.</w:t>
            </w:r>
          </w:p>
          <w:p w:rsidR="003260F8" w:rsidRPr="0074345C" w:rsidRDefault="003260F8" w:rsidP="00E00028"/>
          <w:p w:rsidR="003260F8" w:rsidRPr="0074345C" w:rsidRDefault="003260F8" w:rsidP="003260F8">
            <w:r w:rsidRPr="0074345C">
              <w:t xml:space="preserve">Gastos </w:t>
            </w:r>
            <w:r w:rsidR="00083425" w:rsidRPr="0074345C">
              <w:t>de</w:t>
            </w:r>
            <w:r w:rsidRPr="0074345C">
              <w:t xml:space="preserve"> personal: 267.792 francos suizos.</w:t>
            </w:r>
          </w:p>
          <w:p w:rsidR="00502F27" w:rsidRPr="0074345C" w:rsidRDefault="00502F27" w:rsidP="00E00028">
            <w:pPr>
              <w:rPr>
                <w:rFonts w:eastAsia="Malgun Gothic"/>
                <w:kern w:val="2"/>
                <w:lang w:eastAsia="ko-KR"/>
              </w:rPr>
            </w:pPr>
          </w:p>
        </w:tc>
      </w:tr>
      <w:tr w:rsidR="006376E7" w:rsidRPr="0074345C" w:rsidTr="00E00028">
        <w:tc>
          <w:tcPr>
            <w:tcW w:w="2088" w:type="dxa"/>
            <w:shd w:val="clear" w:color="auto" w:fill="auto"/>
          </w:tcPr>
          <w:p w:rsidR="00502F27" w:rsidRPr="0074345C" w:rsidRDefault="003260F8" w:rsidP="003260F8">
            <w:pPr>
              <w:pStyle w:val="Heading3"/>
            </w:pPr>
            <w:r w:rsidRPr="0074345C">
              <w:t>Fecha de inicio del proyecto</w:t>
            </w:r>
          </w:p>
        </w:tc>
        <w:tc>
          <w:tcPr>
            <w:tcW w:w="7200" w:type="dxa"/>
            <w:shd w:val="clear" w:color="auto" w:fill="auto"/>
          </w:tcPr>
          <w:p w:rsidR="003260F8" w:rsidRPr="0074345C" w:rsidRDefault="003260F8" w:rsidP="00E00028"/>
          <w:p w:rsidR="003260F8" w:rsidRPr="0074345C" w:rsidRDefault="003260F8" w:rsidP="003260F8">
            <w:r w:rsidRPr="0074345C">
              <w:t>Julio de 2014</w:t>
            </w:r>
          </w:p>
          <w:p w:rsidR="00502F27" w:rsidRPr="0074345C" w:rsidRDefault="00502F27" w:rsidP="00E00028"/>
        </w:tc>
      </w:tr>
      <w:tr w:rsidR="006376E7" w:rsidRPr="0074345C" w:rsidTr="00E00028">
        <w:tc>
          <w:tcPr>
            <w:tcW w:w="2088" w:type="dxa"/>
            <w:shd w:val="clear" w:color="auto" w:fill="auto"/>
          </w:tcPr>
          <w:p w:rsidR="00502F27" w:rsidRPr="0074345C" w:rsidRDefault="003260F8" w:rsidP="003260F8">
            <w:pPr>
              <w:pStyle w:val="Heading3"/>
            </w:pPr>
            <w:r w:rsidRPr="0074345C">
              <w:t>Duración del proyecto</w:t>
            </w:r>
          </w:p>
        </w:tc>
        <w:tc>
          <w:tcPr>
            <w:tcW w:w="7200" w:type="dxa"/>
            <w:shd w:val="clear" w:color="auto" w:fill="auto"/>
          </w:tcPr>
          <w:p w:rsidR="003260F8" w:rsidRPr="0074345C" w:rsidRDefault="003260F8" w:rsidP="00E00028"/>
          <w:p w:rsidR="003260F8" w:rsidRPr="0074345C" w:rsidRDefault="003260F8" w:rsidP="003260F8">
            <w:r w:rsidRPr="0074345C">
              <w:t>36 meses</w:t>
            </w:r>
          </w:p>
          <w:p w:rsidR="00502F27" w:rsidRPr="0074345C" w:rsidRDefault="00502F27" w:rsidP="00E00028"/>
        </w:tc>
      </w:tr>
      <w:tr w:rsidR="006376E7" w:rsidRPr="0074345C" w:rsidTr="00E00028">
        <w:tc>
          <w:tcPr>
            <w:tcW w:w="2088" w:type="dxa"/>
            <w:shd w:val="clear" w:color="auto" w:fill="auto"/>
          </w:tcPr>
          <w:p w:rsidR="00502F27" w:rsidRPr="0074345C" w:rsidRDefault="003260F8" w:rsidP="003260F8">
            <w:pPr>
              <w:pStyle w:val="Heading3"/>
            </w:pPr>
            <w:r w:rsidRPr="0074345C">
              <w:t xml:space="preserve">Principales sectores de la OMPI interesados y vínculos con los </w:t>
            </w:r>
            <w:r w:rsidR="00AC0CD4" w:rsidRPr="0074345C">
              <w:t>Programas</w:t>
            </w:r>
            <w:r w:rsidRPr="0074345C">
              <w:t xml:space="preserve"> de la Organización</w:t>
            </w:r>
          </w:p>
        </w:tc>
        <w:tc>
          <w:tcPr>
            <w:tcW w:w="7200" w:type="dxa"/>
            <w:shd w:val="clear" w:color="auto" w:fill="auto"/>
          </w:tcPr>
          <w:p w:rsidR="003260F8" w:rsidRPr="0074345C" w:rsidRDefault="003260F8" w:rsidP="00E00028"/>
          <w:p w:rsidR="003260F8" w:rsidRPr="0074345C" w:rsidRDefault="00083425" w:rsidP="00E00028">
            <w:r w:rsidRPr="0074345C">
              <w:t xml:space="preserve">Sector de </w:t>
            </w:r>
            <w:r w:rsidR="00502F27" w:rsidRPr="0074345C">
              <w:t>Innova</w:t>
            </w:r>
            <w:r w:rsidRPr="0074345C">
              <w:t>c</w:t>
            </w:r>
            <w:r w:rsidR="00502F27" w:rsidRPr="0074345C">
              <w:t>i</w:t>
            </w:r>
            <w:r w:rsidRPr="0074345C">
              <w:t>ó</w:t>
            </w:r>
            <w:r w:rsidR="00502F27" w:rsidRPr="0074345C">
              <w:t xml:space="preserve">n </w:t>
            </w:r>
            <w:r w:rsidRPr="0074345C">
              <w:t>y</w:t>
            </w:r>
            <w:r w:rsidR="00502F27" w:rsidRPr="0074345C">
              <w:t xml:space="preserve"> Tecnolog</w:t>
            </w:r>
            <w:r w:rsidRPr="0074345C">
              <w:t>ía, y S</w:t>
            </w:r>
            <w:r w:rsidR="00502F27" w:rsidRPr="0074345C">
              <w:t xml:space="preserve">ector </w:t>
            </w:r>
            <w:r w:rsidRPr="0074345C">
              <w:t>de Cuestiones Mundiales</w:t>
            </w:r>
            <w:r w:rsidR="00502F27" w:rsidRPr="0074345C">
              <w:t>.</w:t>
            </w:r>
          </w:p>
          <w:p w:rsidR="003260F8" w:rsidRPr="0074345C" w:rsidRDefault="003260F8" w:rsidP="00E00028"/>
          <w:p w:rsidR="003260F8" w:rsidRPr="0074345C" w:rsidRDefault="003260F8" w:rsidP="003260F8">
            <w:r w:rsidRPr="0074345C">
              <w:t xml:space="preserve">Vínculos con los </w:t>
            </w:r>
            <w:r w:rsidR="00AC0CD4" w:rsidRPr="0074345C">
              <w:t>Programas</w:t>
            </w:r>
            <w:r w:rsidRPr="0074345C">
              <w:t xml:space="preserve"> 1, 9, 14 y 18.</w:t>
            </w:r>
          </w:p>
          <w:p w:rsidR="00502F27" w:rsidRPr="0074345C" w:rsidRDefault="00502F27" w:rsidP="00E00028"/>
        </w:tc>
      </w:tr>
      <w:tr w:rsidR="006376E7" w:rsidRPr="0074345C" w:rsidTr="00E00028">
        <w:trPr>
          <w:trHeight w:val="1419"/>
        </w:trPr>
        <w:tc>
          <w:tcPr>
            <w:tcW w:w="2088" w:type="dxa"/>
            <w:shd w:val="clear" w:color="auto" w:fill="auto"/>
          </w:tcPr>
          <w:p w:rsidR="00502F27" w:rsidRPr="0074345C" w:rsidRDefault="003260F8" w:rsidP="003260F8">
            <w:pPr>
              <w:pStyle w:val="Heading3"/>
            </w:pPr>
            <w:r w:rsidRPr="0074345C">
              <w:t>Breve descripción del proyecto</w:t>
            </w:r>
          </w:p>
        </w:tc>
        <w:tc>
          <w:tcPr>
            <w:tcW w:w="7200" w:type="dxa"/>
            <w:shd w:val="clear" w:color="auto" w:fill="auto"/>
          </w:tcPr>
          <w:p w:rsidR="003260F8" w:rsidRPr="0074345C" w:rsidRDefault="003260F8" w:rsidP="00E00028">
            <w:pPr>
              <w:rPr>
                <w:rFonts w:eastAsia="Malgun Gothic"/>
                <w:kern w:val="2"/>
                <w:lang w:eastAsia="ko-KR"/>
              </w:rPr>
            </w:pPr>
          </w:p>
          <w:p w:rsidR="003260F8" w:rsidRPr="0074345C" w:rsidRDefault="00083425" w:rsidP="00E00028">
            <w:r w:rsidRPr="0074345C">
              <w:t>En cumplimiento de los objetivos de la fase I del proyecto</w:t>
            </w:r>
            <w:r w:rsidR="00502F27" w:rsidRPr="0074345C">
              <w:t xml:space="preserve">, </w:t>
            </w:r>
            <w:r w:rsidRPr="0074345C">
              <w:t>el objetivo general del proyecto es contribuir al desarrollo económico, social, cultural y tecnológico de los países beneficiarios y, en último término, aliviar la pobreza.</w:t>
            </w:r>
            <w:r w:rsidR="00502F27" w:rsidRPr="0074345C">
              <w:t xml:space="preserve">  </w:t>
            </w:r>
          </w:p>
          <w:p w:rsidR="00083425" w:rsidRDefault="00083425" w:rsidP="00E00028"/>
          <w:p w:rsidR="0074345C" w:rsidRPr="0074345C" w:rsidRDefault="0074345C" w:rsidP="00E00028"/>
          <w:p w:rsidR="003260F8" w:rsidRPr="0074345C" w:rsidRDefault="00083425" w:rsidP="00E00028">
            <w:r w:rsidRPr="0074345C">
              <w:lastRenderedPageBreak/>
              <w:t xml:space="preserve">Los objetivos específicos del </w:t>
            </w:r>
            <w:r w:rsidR="00193CE1" w:rsidRPr="0074345C">
              <w:t xml:space="preserve">proyectos </w:t>
            </w:r>
            <w:r w:rsidR="00BD041E" w:rsidRPr="0074345C">
              <w:t>son</w:t>
            </w:r>
            <w:r w:rsidR="00502F27" w:rsidRPr="0074345C">
              <w:t>:</w:t>
            </w:r>
          </w:p>
          <w:p w:rsidR="003260F8" w:rsidRPr="0074345C" w:rsidRDefault="003260F8" w:rsidP="00E00028"/>
          <w:p w:rsidR="003260F8" w:rsidRPr="0074345C" w:rsidRDefault="003260F8" w:rsidP="003260F8">
            <w:pPr>
              <w:pStyle w:val="ONUME"/>
              <w:numPr>
                <w:ilvl w:val="1"/>
                <w:numId w:val="5"/>
              </w:numPr>
            </w:pPr>
            <w:r w:rsidRPr="0074345C">
              <w:t>Facilitar una mayor utilización de información científica y técnica adecuada para atender las necesidades de objetivos de desarrollo identificadas a escala nacional;</w:t>
            </w:r>
          </w:p>
          <w:p w:rsidR="003260F8" w:rsidRPr="0074345C" w:rsidRDefault="00083425" w:rsidP="003260F8">
            <w:pPr>
              <w:pStyle w:val="ONUME"/>
              <w:numPr>
                <w:ilvl w:val="1"/>
                <w:numId w:val="5"/>
              </w:numPr>
            </w:pPr>
            <w:r w:rsidRPr="0074345C">
              <w:t>F</w:t>
            </w:r>
            <w:r w:rsidR="003260F8" w:rsidRPr="0074345C">
              <w:t>ortalec</w:t>
            </w:r>
            <w:r w:rsidRPr="0074345C">
              <w:t>er</w:t>
            </w:r>
            <w:r w:rsidR="003260F8" w:rsidRPr="0074345C">
              <w:t xml:space="preserve"> las capacidades institucionales con miras a la utilización de la información técnica y científica para atende</w:t>
            </w:r>
            <w:r w:rsidRPr="0074345C">
              <w:t>r las necesidades identificadas;  y</w:t>
            </w:r>
          </w:p>
          <w:p w:rsidR="003260F8" w:rsidRPr="0074345C" w:rsidRDefault="003260F8" w:rsidP="003260F8">
            <w:pPr>
              <w:pStyle w:val="ONUME"/>
              <w:numPr>
                <w:ilvl w:val="1"/>
                <w:numId w:val="5"/>
              </w:numPr>
              <w:rPr>
                <w:rFonts w:eastAsia="Malgun Gothic"/>
                <w:kern w:val="2"/>
                <w:lang w:eastAsia="ko-KR"/>
              </w:rPr>
            </w:pPr>
            <w:r w:rsidRPr="0074345C">
              <w:rPr>
                <w:rFonts w:eastAsia="Malgun Gothic"/>
                <w:kern w:val="2"/>
                <w:lang w:eastAsia="ko-KR"/>
              </w:rPr>
              <w:t>Coordinar la recuperación de información técnica y científica apropiada y suministr</w:t>
            </w:r>
            <w:r w:rsidR="00083425" w:rsidRPr="0074345C">
              <w:rPr>
                <w:rFonts w:eastAsia="Malgun Gothic"/>
                <w:kern w:val="2"/>
                <w:lang w:eastAsia="ko-KR"/>
              </w:rPr>
              <w:t>ar los</w:t>
            </w:r>
            <w:r w:rsidRPr="0074345C">
              <w:rPr>
                <w:rFonts w:eastAsia="Malgun Gothic"/>
                <w:kern w:val="2"/>
                <w:lang w:eastAsia="ko-KR"/>
              </w:rPr>
              <w:t xml:space="preserve"> conocimientos técnicos apropiados en es</w:t>
            </w:r>
            <w:r w:rsidR="00083425" w:rsidRPr="0074345C">
              <w:rPr>
                <w:rFonts w:eastAsia="Malgun Gothic"/>
                <w:kern w:val="2"/>
                <w:lang w:eastAsia="ko-KR"/>
              </w:rPr>
              <w:t>as áreas</w:t>
            </w:r>
            <w:r w:rsidRPr="0074345C">
              <w:rPr>
                <w:rFonts w:eastAsia="Malgun Gothic"/>
                <w:kern w:val="2"/>
                <w:lang w:eastAsia="ko-KR"/>
              </w:rPr>
              <w:t xml:space="preserve"> de la técnica para aplicar esa tecnología de manera práctica y eficaz.</w:t>
            </w:r>
          </w:p>
          <w:p w:rsidR="003260F8" w:rsidRPr="0074345C" w:rsidRDefault="000B1CE3" w:rsidP="00E00028">
            <w:pPr>
              <w:pStyle w:val="ONUME"/>
              <w:numPr>
                <w:ilvl w:val="0"/>
                <w:numId w:val="0"/>
              </w:numPr>
              <w:ind w:left="39"/>
              <w:rPr>
                <w:szCs w:val="22"/>
              </w:rPr>
            </w:pPr>
            <w:r w:rsidRPr="0074345C">
              <w:rPr>
                <w:szCs w:val="22"/>
              </w:rPr>
              <w:t xml:space="preserve">Como este </w:t>
            </w:r>
            <w:r w:rsidR="009E13C2" w:rsidRPr="0074345C">
              <w:rPr>
                <w:szCs w:val="22"/>
              </w:rPr>
              <w:t xml:space="preserve">proyecto </w:t>
            </w:r>
            <w:r w:rsidRPr="0074345C">
              <w:rPr>
                <w:szCs w:val="22"/>
              </w:rPr>
              <w:t>aborda los problemas de desarrollo de los</w:t>
            </w:r>
            <w:r w:rsidR="00502F27" w:rsidRPr="0074345C">
              <w:rPr>
                <w:szCs w:val="22"/>
              </w:rPr>
              <w:t xml:space="preserve"> </w:t>
            </w:r>
            <w:r w:rsidR="00611EA6" w:rsidRPr="0074345C">
              <w:rPr>
                <w:szCs w:val="22"/>
              </w:rPr>
              <w:t>PMA</w:t>
            </w:r>
            <w:r w:rsidR="00502F27" w:rsidRPr="0074345C">
              <w:rPr>
                <w:szCs w:val="22"/>
              </w:rPr>
              <w:t xml:space="preserve"> </w:t>
            </w:r>
            <w:r w:rsidRPr="0074345C">
              <w:rPr>
                <w:szCs w:val="22"/>
              </w:rPr>
              <w:t xml:space="preserve">basándose en los ámbitos </w:t>
            </w:r>
            <w:r w:rsidR="005A70EE" w:rsidRPr="0074345C">
              <w:rPr>
                <w:szCs w:val="22"/>
              </w:rPr>
              <w:t>con necesidades</w:t>
            </w:r>
            <w:r w:rsidRPr="0074345C">
              <w:rPr>
                <w:szCs w:val="22"/>
              </w:rPr>
              <w:t>, según el plan de desarrollo nacional</w:t>
            </w:r>
            <w:r w:rsidR="00502F27" w:rsidRPr="0074345C">
              <w:rPr>
                <w:szCs w:val="22"/>
              </w:rPr>
              <w:t xml:space="preserve">, </w:t>
            </w:r>
            <w:r w:rsidRPr="0074345C">
              <w:rPr>
                <w:szCs w:val="22"/>
              </w:rPr>
              <w:t xml:space="preserve">la estrategia de ejecución tiene en cuenta las iniciativas de todos los asociados del </w:t>
            </w:r>
            <w:r w:rsidR="009E13C2" w:rsidRPr="0074345C">
              <w:rPr>
                <w:szCs w:val="22"/>
              </w:rPr>
              <w:t>proyecto</w:t>
            </w:r>
            <w:r w:rsidR="00502F27" w:rsidRPr="0074345C">
              <w:rPr>
                <w:szCs w:val="22"/>
              </w:rPr>
              <w:t xml:space="preserve">. </w:t>
            </w:r>
            <w:r w:rsidRPr="0074345C">
              <w:rPr>
                <w:szCs w:val="22"/>
              </w:rPr>
              <w:t>Se prestará especial atención a encontrar la solución al problema de desarrollo, tomando en cuenta el plan de desarrollo nacional</w:t>
            </w:r>
            <w:r w:rsidR="00502F27" w:rsidRPr="0074345C">
              <w:rPr>
                <w:szCs w:val="22"/>
              </w:rPr>
              <w:t xml:space="preserve">, </w:t>
            </w:r>
            <w:r w:rsidRPr="0074345C">
              <w:rPr>
                <w:szCs w:val="22"/>
              </w:rPr>
              <w:t>los valores institucionales y la contribución a la reducción de la pobreza</w:t>
            </w:r>
            <w:r w:rsidR="00502F27" w:rsidRPr="0074345C">
              <w:rPr>
                <w:szCs w:val="22"/>
              </w:rPr>
              <w:t xml:space="preserve">.  </w:t>
            </w:r>
          </w:p>
          <w:p w:rsidR="003260F8" w:rsidRPr="0074345C" w:rsidRDefault="00702991" w:rsidP="00E00028">
            <w:pPr>
              <w:pStyle w:val="BodyText"/>
              <w:spacing w:after="0"/>
              <w:rPr>
                <w:szCs w:val="22"/>
              </w:rPr>
            </w:pPr>
            <w:r w:rsidRPr="0074345C">
              <w:rPr>
                <w:szCs w:val="22"/>
              </w:rPr>
              <w:t xml:space="preserve">En el documento del proyecto CDIP/13/9, aprobado por el CDIP en su </w:t>
            </w:r>
            <w:r w:rsidR="00060026" w:rsidRPr="0074345C">
              <w:rPr>
                <w:szCs w:val="22"/>
              </w:rPr>
              <w:t>décimo</w:t>
            </w:r>
            <w:r w:rsidRPr="0074345C">
              <w:rPr>
                <w:szCs w:val="22"/>
              </w:rPr>
              <w:t xml:space="preserve"> tercera sesión, celebrada en mayo de 2014, s</w:t>
            </w:r>
            <w:r w:rsidR="000B1CE3" w:rsidRPr="0074345C">
              <w:rPr>
                <w:szCs w:val="22"/>
              </w:rPr>
              <w:t xml:space="preserve">e propone </w:t>
            </w:r>
            <w:r w:rsidR="000B1CE3" w:rsidRPr="0074345C">
              <w:t>la siguiente s</w:t>
            </w:r>
            <w:r w:rsidR="000B1CE3" w:rsidRPr="0074345C">
              <w:rPr>
                <w:szCs w:val="22"/>
              </w:rPr>
              <w:t>ucesión de actividades para la ejecución del proyecto</w:t>
            </w:r>
            <w:r w:rsidR="00502F27" w:rsidRPr="0074345C">
              <w:rPr>
                <w:szCs w:val="22"/>
              </w:rPr>
              <w:t>:</w:t>
            </w:r>
          </w:p>
          <w:p w:rsidR="003260F8" w:rsidRPr="0074345C" w:rsidRDefault="003260F8" w:rsidP="00E00028">
            <w:pPr>
              <w:rPr>
                <w:bCs/>
              </w:rPr>
            </w:pPr>
          </w:p>
          <w:p w:rsidR="003260F8" w:rsidRPr="0074345C" w:rsidRDefault="00502F27" w:rsidP="00E00028">
            <w:pPr>
              <w:rPr>
                <w:bCs/>
              </w:rPr>
            </w:pPr>
            <w:r w:rsidRPr="0074345C">
              <w:rPr>
                <w:bCs/>
              </w:rPr>
              <w:t>1.</w:t>
            </w:r>
            <w:r w:rsidRPr="0074345C">
              <w:rPr>
                <w:bCs/>
              </w:rPr>
              <w:tab/>
            </w:r>
            <w:r w:rsidR="00702991" w:rsidRPr="0074345C">
              <w:t xml:space="preserve"> </w:t>
            </w:r>
            <w:r w:rsidR="00702991" w:rsidRPr="0074345C">
              <w:rPr>
                <w:bCs/>
                <w:u w:val="single"/>
              </w:rPr>
              <w:t>Solicitud</w:t>
            </w:r>
            <w:r w:rsidR="00702991" w:rsidRPr="0074345C">
              <w:rPr>
                <w:bCs/>
              </w:rPr>
              <w:t>: un país menos adelantado prepara una solicitud expresando su interés en participar en el proyecto de tecnologías apropiadas y la presenta a la Secretaría de la OMPI.</w:t>
            </w:r>
          </w:p>
          <w:p w:rsidR="003260F8" w:rsidRPr="0074345C" w:rsidRDefault="003260F8" w:rsidP="00E00028">
            <w:pPr>
              <w:rPr>
                <w:bCs/>
              </w:rPr>
            </w:pPr>
          </w:p>
          <w:p w:rsidR="003260F8" w:rsidRPr="0074345C" w:rsidRDefault="00502F27" w:rsidP="00E00028">
            <w:pPr>
              <w:rPr>
                <w:bCs/>
              </w:rPr>
            </w:pPr>
            <w:r w:rsidRPr="0074345C">
              <w:rPr>
                <w:bCs/>
              </w:rPr>
              <w:t>2.</w:t>
            </w:r>
            <w:r w:rsidRPr="0074345C">
              <w:rPr>
                <w:bCs/>
              </w:rPr>
              <w:tab/>
            </w:r>
            <w:r w:rsidR="00702991" w:rsidRPr="0074345C">
              <w:t xml:space="preserve"> </w:t>
            </w:r>
            <w:r w:rsidR="00702991" w:rsidRPr="0074345C">
              <w:rPr>
                <w:bCs/>
                <w:u w:val="single"/>
              </w:rPr>
              <w:t>Examen de la solicitud</w:t>
            </w:r>
            <w:r w:rsidR="00702991" w:rsidRPr="0074345C">
              <w:rPr>
                <w:bCs/>
              </w:rPr>
              <w:t>: la OMPI examina la solicitud y decide si la aprueba o no</w:t>
            </w:r>
            <w:r w:rsidRPr="0074345C">
              <w:rPr>
                <w:bCs/>
              </w:rPr>
              <w:t xml:space="preserve">.  </w:t>
            </w:r>
            <w:r w:rsidR="00702991" w:rsidRPr="0074345C">
              <w:t xml:space="preserve"> </w:t>
            </w:r>
            <w:r w:rsidR="00702991" w:rsidRPr="0074345C">
              <w:rPr>
                <w:bCs/>
              </w:rPr>
              <w:t>En caso de no aprobarla, la OMPI aclara cómo debe mejorarla el país interesado</w:t>
            </w:r>
            <w:r w:rsidRPr="0074345C">
              <w:rPr>
                <w:bCs/>
              </w:rPr>
              <w:t>.</w:t>
            </w:r>
          </w:p>
          <w:p w:rsidR="003260F8" w:rsidRPr="0074345C" w:rsidRDefault="003260F8" w:rsidP="00E00028">
            <w:pPr>
              <w:rPr>
                <w:bCs/>
              </w:rPr>
            </w:pPr>
          </w:p>
          <w:p w:rsidR="003260F8" w:rsidRPr="0074345C" w:rsidRDefault="00502F27" w:rsidP="00E00028">
            <w:pPr>
              <w:rPr>
                <w:bCs/>
              </w:rPr>
            </w:pPr>
            <w:r w:rsidRPr="0074345C">
              <w:rPr>
                <w:bCs/>
              </w:rPr>
              <w:t>3.</w:t>
            </w:r>
            <w:r w:rsidRPr="0074345C">
              <w:rPr>
                <w:bCs/>
              </w:rPr>
              <w:tab/>
            </w:r>
            <w:r w:rsidR="00702991" w:rsidRPr="0074345C">
              <w:t xml:space="preserve"> </w:t>
            </w:r>
            <w:r w:rsidR="00702991" w:rsidRPr="0074345C">
              <w:rPr>
                <w:bCs/>
                <w:u w:val="single"/>
              </w:rPr>
              <w:t>Acuerdo de participación</w:t>
            </w:r>
            <w:r w:rsidR="00702991" w:rsidRPr="0074345C">
              <w:rPr>
                <w:bCs/>
              </w:rPr>
              <w:t>: en caso de aprobarse la solicitud, el país interesado y la OMPI firman un acuerdo de participación en el que se expresen claramente las obligaciones de cada parte</w:t>
            </w:r>
            <w:r w:rsidRPr="0074345C">
              <w:rPr>
                <w:bCs/>
              </w:rPr>
              <w:t>.</w:t>
            </w:r>
          </w:p>
          <w:p w:rsidR="003260F8" w:rsidRPr="0074345C" w:rsidRDefault="003260F8" w:rsidP="00E00028">
            <w:pPr>
              <w:rPr>
                <w:bCs/>
              </w:rPr>
            </w:pPr>
          </w:p>
          <w:p w:rsidR="003260F8" w:rsidRPr="0074345C" w:rsidRDefault="00502F27" w:rsidP="00E00028">
            <w:pPr>
              <w:rPr>
                <w:bCs/>
              </w:rPr>
            </w:pPr>
            <w:r w:rsidRPr="0074345C">
              <w:rPr>
                <w:bCs/>
              </w:rPr>
              <w:t>4.</w:t>
            </w:r>
            <w:r w:rsidRPr="0074345C">
              <w:rPr>
                <w:bCs/>
              </w:rPr>
              <w:tab/>
            </w:r>
            <w:r w:rsidR="00702991" w:rsidRPr="0074345C">
              <w:t xml:space="preserve"> </w:t>
            </w:r>
            <w:r w:rsidR="00702991" w:rsidRPr="0074345C">
              <w:rPr>
                <w:bCs/>
                <w:u w:val="single"/>
              </w:rPr>
              <w:t>Establecimiento de un grupo de expertos nacionales</w:t>
            </w:r>
            <w:r w:rsidR="00702991" w:rsidRPr="0074345C">
              <w:rPr>
                <w:bCs/>
              </w:rPr>
              <w:t>: la OMPI coordinará el establecimiento de un grupo de expertos nacionales, procedentes de distintos sectores interesados, que comprenda representantes del gobierno, así como de empresas, la industria, universidades, organizaciones intergubernamentales, organizaciones no gubernamentales e instituciones de investigación y desarrollo pertinentes para coordinar la ejecución del proyecto</w:t>
            </w:r>
            <w:r w:rsidRPr="0074345C">
              <w:rPr>
                <w:bCs/>
              </w:rPr>
              <w:t>.</w:t>
            </w:r>
          </w:p>
          <w:p w:rsidR="003260F8" w:rsidRPr="0074345C" w:rsidRDefault="003260F8" w:rsidP="00E00028">
            <w:pPr>
              <w:rPr>
                <w:bCs/>
              </w:rPr>
            </w:pPr>
          </w:p>
          <w:p w:rsidR="003260F8" w:rsidRPr="0074345C" w:rsidRDefault="00502F27" w:rsidP="00702991">
            <w:pPr>
              <w:rPr>
                <w:bCs/>
              </w:rPr>
            </w:pPr>
            <w:r w:rsidRPr="0074345C">
              <w:rPr>
                <w:bCs/>
              </w:rPr>
              <w:t>5.</w:t>
            </w:r>
            <w:r w:rsidRPr="0074345C">
              <w:rPr>
                <w:bCs/>
              </w:rPr>
              <w:tab/>
            </w:r>
            <w:r w:rsidR="00702991" w:rsidRPr="0074345C">
              <w:t xml:space="preserve"> </w:t>
            </w:r>
            <w:r w:rsidR="00702991" w:rsidRPr="0074345C">
              <w:rPr>
                <w:bCs/>
                <w:u w:val="single"/>
              </w:rPr>
              <w:t>Presidencia del grupo de expertos nacionales</w:t>
            </w:r>
            <w:r w:rsidR="00702991" w:rsidRPr="0074345C">
              <w:rPr>
                <w:bCs/>
              </w:rPr>
              <w:t>: nombramiento de un Presidente del grupo de expertos nacionales entre sus miembros</w:t>
            </w:r>
            <w:proofErr w:type="gramStart"/>
            <w:r w:rsidR="00702991" w:rsidRPr="0074345C">
              <w:rPr>
                <w:bCs/>
              </w:rPr>
              <w:t>.</w:t>
            </w:r>
            <w:r w:rsidRPr="0074345C">
              <w:rPr>
                <w:bCs/>
              </w:rPr>
              <w:t>.</w:t>
            </w:r>
            <w:proofErr w:type="gramEnd"/>
          </w:p>
          <w:p w:rsidR="003260F8" w:rsidRPr="0074345C" w:rsidRDefault="003260F8" w:rsidP="00E00028">
            <w:pPr>
              <w:rPr>
                <w:bCs/>
              </w:rPr>
            </w:pPr>
          </w:p>
          <w:p w:rsidR="003260F8" w:rsidRPr="0074345C" w:rsidRDefault="00502F27" w:rsidP="00E00028">
            <w:pPr>
              <w:rPr>
                <w:bCs/>
              </w:rPr>
            </w:pPr>
            <w:r w:rsidRPr="0074345C">
              <w:rPr>
                <w:bCs/>
              </w:rPr>
              <w:t>6.</w:t>
            </w:r>
            <w:r w:rsidRPr="0074345C">
              <w:rPr>
                <w:bCs/>
              </w:rPr>
              <w:tab/>
            </w:r>
            <w:r w:rsidR="00702991" w:rsidRPr="0074345C">
              <w:t xml:space="preserve"> </w:t>
            </w:r>
            <w:r w:rsidR="00702991" w:rsidRPr="0074345C">
              <w:rPr>
                <w:bCs/>
                <w:u w:val="single"/>
              </w:rPr>
              <w:t>Expertos nacionales e internacionales</w:t>
            </w:r>
            <w:r w:rsidR="00702991" w:rsidRPr="0074345C">
              <w:rPr>
                <w:bCs/>
              </w:rPr>
              <w:t>: nombramiento de los expertos nacionales e internacionales que se encargarán de la ejecución cotidiana del proyecto</w:t>
            </w:r>
            <w:r w:rsidRPr="0074345C">
              <w:rPr>
                <w:bCs/>
              </w:rPr>
              <w:t>.</w:t>
            </w:r>
          </w:p>
          <w:p w:rsidR="003260F8" w:rsidRPr="0074345C" w:rsidRDefault="003260F8" w:rsidP="00E00028">
            <w:pPr>
              <w:rPr>
                <w:bCs/>
              </w:rPr>
            </w:pPr>
          </w:p>
          <w:p w:rsidR="003260F8" w:rsidRPr="0074345C" w:rsidRDefault="00502F27" w:rsidP="00E00028">
            <w:pPr>
              <w:rPr>
                <w:bCs/>
              </w:rPr>
            </w:pPr>
            <w:r w:rsidRPr="0074345C">
              <w:rPr>
                <w:bCs/>
              </w:rPr>
              <w:t>7.</w:t>
            </w:r>
            <w:r w:rsidRPr="0074345C">
              <w:rPr>
                <w:bCs/>
              </w:rPr>
              <w:tab/>
            </w:r>
            <w:r w:rsidR="00702991" w:rsidRPr="0074345C">
              <w:t xml:space="preserve"> </w:t>
            </w:r>
            <w:r w:rsidR="00702991" w:rsidRPr="0074345C">
              <w:rPr>
                <w:bCs/>
                <w:u w:val="single"/>
              </w:rPr>
              <w:t>Ámbitos de necesidades</w:t>
            </w:r>
            <w:r w:rsidR="00702991" w:rsidRPr="0074345C">
              <w:rPr>
                <w:bCs/>
              </w:rPr>
              <w:t xml:space="preserve">: la OMPI prestará apoyo al grupo de expertos nacionales de cada país para determinar diversos ámbitos de </w:t>
            </w:r>
            <w:r w:rsidR="00702991" w:rsidRPr="0074345C">
              <w:rPr>
                <w:bCs/>
              </w:rPr>
              <w:lastRenderedPageBreak/>
              <w:t>necesidades y dar prioridad a uno o dos de ellos</w:t>
            </w:r>
            <w:r w:rsidRPr="0074345C">
              <w:rPr>
                <w:bCs/>
              </w:rPr>
              <w:t>.</w:t>
            </w:r>
          </w:p>
          <w:p w:rsidR="003260F8" w:rsidRPr="0074345C" w:rsidRDefault="003260F8" w:rsidP="00E00028">
            <w:pPr>
              <w:rPr>
                <w:bCs/>
              </w:rPr>
            </w:pPr>
          </w:p>
          <w:p w:rsidR="003260F8" w:rsidRPr="0074345C" w:rsidRDefault="00502F27" w:rsidP="00E00028">
            <w:pPr>
              <w:rPr>
                <w:bCs/>
              </w:rPr>
            </w:pPr>
            <w:r w:rsidRPr="0074345C">
              <w:rPr>
                <w:bCs/>
              </w:rPr>
              <w:t>8.</w:t>
            </w:r>
            <w:r w:rsidRPr="0074345C">
              <w:rPr>
                <w:bCs/>
              </w:rPr>
              <w:tab/>
            </w:r>
            <w:r w:rsidR="00702991" w:rsidRPr="0074345C">
              <w:t xml:space="preserve"> </w:t>
            </w:r>
            <w:r w:rsidR="00702991" w:rsidRPr="0074345C">
              <w:rPr>
                <w:bCs/>
                <w:u w:val="single"/>
              </w:rPr>
              <w:t>Preparación de la solicitud de búsqueda</w:t>
            </w:r>
            <w:r w:rsidR="00702991" w:rsidRPr="0074345C">
              <w:rPr>
                <w:bCs/>
              </w:rPr>
              <w:t>: preparación de un informe que permita esclarecer qué tecnología es la que se necesita</w:t>
            </w:r>
            <w:r w:rsidRPr="0074345C">
              <w:rPr>
                <w:bCs/>
              </w:rPr>
              <w:t xml:space="preserve">.  </w:t>
            </w:r>
          </w:p>
          <w:p w:rsidR="00083425" w:rsidRPr="0074345C" w:rsidRDefault="00083425" w:rsidP="00E00028">
            <w:pPr>
              <w:rPr>
                <w:bCs/>
              </w:rPr>
            </w:pPr>
          </w:p>
          <w:p w:rsidR="003260F8" w:rsidRPr="0074345C" w:rsidRDefault="00702991" w:rsidP="00E00028">
            <w:pPr>
              <w:rPr>
                <w:bCs/>
              </w:rPr>
            </w:pPr>
            <w:r w:rsidRPr="0074345C">
              <w:rPr>
                <w:bCs/>
              </w:rPr>
              <w:t>Deberá prepararse de tal manera que cualquiera que lea la solicitud pueda proporcionar la información pertinente necesaria</w:t>
            </w:r>
            <w:r w:rsidR="00502F27" w:rsidRPr="0074345C">
              <w:rPr>
                <w:bCs/>
              </w:rPr>
              <w:t>.</w:t>
            </w:r>
          </w:p>
          <w:p w:rsidR="003260F8" w:rsidRPr="0074345C" w:rsidRDefault="003260F8" w:rsidP="00E00028">
            <w:pPr>
              <w:rPr>
                <w:bCs/>
              </w:rPr>
            </w:pPr>
          </w:p>
          <w:p w:rsidR="00702991" w:rsidRPr="0074345C" w:rsidRDefault="00502F27" w:rsidP="00702991">
            <w:pPr>
              <w:rPr>
                <w:bCs/>
              </w:rPr>
            </w:pPr>
            <w:r w:rsidRPr="0074345C">
              <w:rPr>
                <w:bCs/>
              </w:rPr>
              <w:t>9.</w:t>
            </w:r>
            <w:r w:rsidRPr="0074345C">
              <w:rPr>
                <w:bCs/>
              </w:rPr>
              <w:tab/>
            </w:r>
            <w:r w:rsidR="00702991" w:rsidRPr="0074345C">
              <w:t xml:space="preserve"> </w:t>
            </w:r>
            <w:r w:rsidR="00702991" w:rsidRPr="0074345C">
              <w:rPr>
                <w:bCs/>
                <w:u w:val="single"/>
              </w:rPr>
              <w:t>Preparación del informe de búsqueda</w:t>
            </w:r>
            <w:r w:rsidR="00702991" w:rsidRPr="0074345C">
              <w:rPr>
                <w:bCs/>
              </w:rPr>
              <w:t>: preparación de la información encontrada en la búsqueda de información sobre patentes realizada para el proyecto que se haya seleccionado.</w:t>
            </w:r>
          </w:p>
          <w:p w:rsidR="003260F8" w:rsidRPr="0074345C" w:rsidRDefault="003260F8" w:rsidP="00E00028">
            <w:pPr>
              <w:rPr>
                <w:bCs/>
              </w:rPr>
            </w:pPr>
          </w:p>
          <w:p w:rsidR="003260F8" w:rsidRPr="0074345C" w:rsidRDefault="00502F27" w:rsidP="00E00028">
            <w:pPr>
              <w:rPr>
                <w:bCs/>
              </w:rPr>
            </w:pPr>
            <w:r w:rsidRPr="0074345C">
              <w:rPr>
                <w:bCs/>
              </w:rPr>
              <w:t>10.</w:t>
            </w:r>
            <w:r w:rsidRPr="0074345C">
              <w:rPr>
                <w:bCs/>
              </w:rPr>
              <w:tab/>
            </w:r>
            <w:r w:rsidR="00702991" w:rsidRPr="0074345C">
              <w:t xml:space="preserve"> </w:t>
            </w:r>
            <w:r w:rsidR="00702991" w:rsidRPr="0074345C">
              <w:rPr>
                <w:bCs/>
                <w:u w:val="single"/>
              </w:rPr>
              <w:t>Definición de los criterios de elaboración del informe relativo al análisis de las tecnologías apropiadas</w:t>
            </w:r>
            <w:r w:rsidR="00702991" w:rsidRPr="0074345C">
              <w:rPr>
                <w:bCs/>
              </w:rPr>
              <w:t>: el grupo de expertos nacionales de cada país recibirá el apoyo de la OMPI para definir los criterios de elaboración del informe</w:t>
            </w:r>
            <w:r w:rsidRPr="0074345C">
              <w:rPr>
                <w:bCs/>
              </w:rPr>
              <w:t>.</w:t>
            </w:r>
          </w:p>
          <w:p w:rsidR="003260F8" w:rsidRPr="0074345C" w:rsidRDefault="003260F8" w:rsidP="00E00028">
            <w:pPr>
              <w:rPr>
                <w:bCs/>
              </w:rPr>
            </w:pPr>
          </w:p>
          <w:p w:rsidR="003260F8" w:rsidRPr="0074345C" w:rsidRDefault="00502F27" w:rsidP="00E00028">
            <w:pPr>
              <w:rPr>
                <w:bCs/>
              </w:rPr>
            </w:pPr>
            <w:r w:rsidRPr="0074345C">
              <w:rPr>
                <w:bCs/>
              </w:rPr>
              <w:t>11.</w:t>
            </w:r>
            <w:r w:rsidRPr="0074345C">
              <w:rPr>
                <w:bCs/>
              </w:rPr>
              <w:tab/>
            </w:r>
            <w:r w:rsidR="00702991" w:rsidRPr="0074345C">
              <w:t xml:space="preserve"> </w:t>
            </w:r>
            <w:r w:rsidR="00702991" w:rsidRPr="0074345C">
              <w:rPr>
                <w:bCs/>
                <w:u w:val="single"/>
              </w:rPr>
              <w:t>Preparación del informe relativo al análisis de las tecnologías apropiadas</w:t>
            </w:r>
            <w:r w:rsidR="00702991" w:rsidRPr="0074345C">
              <w:rPr>
                <w:bCs/>
              </w:rPr>
              <w:t>: preparación de un informe técnico a partir de la información sobre patentes y demás información científica y técnica presentada en el informe de búsqueda para determinar la tecnología apropiada más pertinente sobre la base de las necesidades señaladas, así como cualquier otra información obtenida de organizaciones, instituciones y departamentos que trabajen en esas esferas de desarrollo</w:t>
            </w:r>
            <w:r w:rsidRPr="0074345C">
              <w:rPr>
                <w:bCs/>
              </w:rPr>
              <w:t xml:space="preserve">. </w:t>
            </w:r>
          </w:p>
          <w:p w:rsidR="003260F8" w:rsidRPr="0074345C" w:rsidRDefault="003260F8" w:rsidP="00E00028">
            <w:pPr>
              <w:rPr>
                <w:bCs/>
              </w:rPr>
            </w:pPr>
          </w:p>
          <w:p w:rsidR="003260F8" w:rsidRPr="0074345C" w:rsidRDefault="00502F27" w:rsidP="00E00028">
            <w:pPr>
              <w:rPr>
                <w:bCs/>
              </w:rPr>
            </w:pPr>
            <w:r w:rsidRPr="0074345C">
              <w:rPr>
                <w:bCs/>
              </w:rPr>
              <w:t>12.</w:t>
            </w:r>
            <w:r w:rsidRPr="0074345C">
              <w:rPr>
                <w:bCs/>
              </w:rPr>
              <w:tab/>
            </w:r>
            <w:r w:rsidR="00702991" w:rsidRPr="0074345C">
              <w:t xml:space="preserve"> </w:t>
            </w:r>
            <w:r w:rsidR="00702991" w:rsidRPr="0074345C">
              <w:rPr>
                <w:bCs/>
                <w:u w:val="single"/>
              </w:rPr>
              <w:t>Aprobación del informe relativo al análisis de las tecnologías apropiadas</w:t>
            </w:r>
            <w:r w:rsidR="00702991" w:rsidRPr="0074345C">
              <w:rPr>
                <w:bCs/>
              </w:rPr>
              <w:t>: finalización del informe y presentación a un foro de múltiples sectores interesados para examen y aprobación</w:t>
            </w:r>
            <w:r w:rsidRPr="0074345C">
              <w:rPr>
                <w:bCs/>
              </w:rPr>
              <w:t>.</w:t>
            </w:r>
          </w:p>
          <w:p w:rsidR="003260F8" w:rsidRPr="0074345C" w:rsidRDefault="003260F8" w:rsidP="00E00028">
            <w:pPr>
              <w:rPr>
                <w:bCs/>
              </w:rPr>
            </w:pPr>
          </w:p>
          <w:p w:rsidR="003260F8" w:rsidRPr="0074345C" w:rsidRDefault="00502F27" w:rsidP="00E00028">
            <w:pPr>
              <w:rPr>
                <w:bCs/>
              </w:rPr>
            </w:pPr>
            <w:r w:rsidRPr="0074345C">
              <w:rPr>
                <w:bCs/>
              </w:rPr>
              <w:t>13.</w:t>
            </w:r>
            <w:r w:rsidRPr="0074345C">
              <w:rPr>
                <w:bCs/>
              </w:rPr>
              <w:tab/>
            </w:r>
            <w:r w:rsidR="00702991" w:rsidRPr="0074345C">
              <w:t xml:space="preserve"> </w:t>
            </w:r>
            <w:r w:rsidR="00702991" w:rsidRPr="0074345C">
              <w:rPr>
                <w:bCs/>
                <w:u w:val="single"/>
              </w:rPr>
              <w:t>Plan de actividades</w:t>
            </w:r>
            <w:r w:rsidR="00702991" w:rsidRPr="0074345C">
              <w:rPr>
                <w:bCs/>
              </w:rPr>
              <w:t>: preparación de un plan de actividades para aplicar la tecnología apropiada que se haya determinado en el informe relativo al análisis de las tecnologías apropiadas, y comercializar dicha tecnología</w:t>
            </w:r>
            <w:r w:rsidRPr="0074345C">
              <w:rPr>
                <w:bCs/>
              </w:rPr>
              <w:t>.</w:t>
            </w:r>
          </w:p>
          <w:p w:rsidR="003260F8" w:rsidRPr="0074345C" w:rsidRDefault="003260F8" w:rsidP="00E00028">
            <w:pPr>
              <w:rPr>
                <w:bCs/>
              </w:rPr>
            </w:pPr>
          </w:p>
          <w:p w:rsidR="003260F8" w:rsidRPr="0074345C" w:rsidRDefault="00502F27" w:rsidP="00E00028">
            <w:pPr>
              <w:rPr>
                <w:bCs/>
              </w:rPr>
            </w:pPr>
            <w:r w:rsidRPr="0074345C">
              <w:rPr>
                <w:bCs/>
              </w:rPr>
              <w:t>14.</w:t>
            </w:r>
            <w:r w:rsidRPr="0074345C">
              <w:rPr>
                <w:bCs/>
              </w:rPr>
              <w:tab/>
            </w:r>
            <w:r w:rsidR="00702991" w:rsidRPr="0074345C">
              <w:t xml:space="preserve"> </w:t>
            </w:r>
            <w:r w:rsidR="00702991" w:rsidRPr="0074345C">
              <w:rPr>
                <w:bCs/>
                <w:u w:val="single"/>
              </w:rPr>
              <w:t>Programa de sensibilización</w:t>
            </w:r>
            <w:r w:rsidR="00702991" w:rsidRPr="0074345C">
              <w:rPr>
                <w:bCs/>
              </w:rPr>
              <w:t>: elaboración y organización de un programa de sensibilización nacional que forme parte del plan de actividades</w:t>
            </w:r>
            <w:r w:rsidRPr="0074345C">
              <w:rPr>
                <w:bCs/>
              </w:rPr>
              <w:t xml:space="preserve">. </w:t>
            </w:r>
          </w:p>
          <w:p w:rsidR="003260F8" w:rsidRPr="0074345C" w:rsidRDefault="003260F8" w:rsidP="00E00028">
            <w:pPr>
              <w:rPr>
                <w:bCs/>
              </w:rPr>
            </w:pPr>
          </w:p>
          <w:p w:rsidR="003260F8" w:rsidRPr="0074345C" w:rsidRDefault="00502F27" w:rsidP="00E00028">
            <w:pPr>
              <w:rPr>
                <w:bCs/>
              </w:rPr>
            </w:pPr>
            <w:r w:rsidRPr="0074345C">
              <w:rPr>
                <w:bCs/>
              </w:rPr>
              <w:t>15.</w:t>
            </w:r>
            <w:r w:rsidRPr="0074345C">
              <w:rPr>
                <w:bCs/>
              </w:rPr>
              <w:tab/>
            </w:r>
            <w:r w:rsidR="00702991" w:rsidRPr="0074345C">
              <w:t xml:space="preserve"> </w:t>
            </w:r>
            <w:r w:rsidR="00702991" w:rsidRPr="0074345C">
              <w:rPr>
                <w:bCs/>
                <w:u w:val="single"/>
              </w:rPr>
              <w:t>Evaluación externa</w:t>
            </w:r>
            <w:r w:rsidR="00702991" w:rsidRPr="0074345C">
              <w:rPr>
                <w:bCs/>
              </w:rPr>
              <w:t>: una vez finalizado el proyecto, se realizará una evaluación independiente de los logros, la experiencia adquirida y la sostenibilidad</w:t>
            </w:r>
            <w:r w:rsidRPr="0074345C">
              <w:rPr>
                <w:bCs/>
              </w:rPr>
              <w:t>.</w:t>
            </w:r>
          </w:p>
          <w:p w:rsidR="00502F27" w:rsidRPr="0074345C" w:rsidRDefault="00502F27" w:rsidP="00E00028">
            <w:pPr>
              <w:pStyle w:val="ONUME"/>
              <w:numPr>
                <w:ilvl w:val="0"/>
                <w:numId w:val="0"/>
              </w:numPr>
              <w:ind w:left="72"/>
              <w:rPr>
                <w:rFonts w:eastAsia="Malgun Gothic"/>
                <w:kern w:val="2"/>
                <w:lang w:eastAsia="ko-KR"/>
              </w:rPr>
            </w:pPr>
          </w:p>
        </w:tc>
      </w:tr>
    </w:tbl>
    <w:p w:rsidR="00502F27" w:rsidRPr="0074345C" w:rsidRDefault="00502F27" w:rsidP="00502F27">
      <w:pPr>
        <w:rPr>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6376E7" w:rsidRPr="0074345C" w:rsidTr="00E00028">
        <w:trPr>
          <w:trHeight w:val="484"/>
        </w:trPr>
        <w:tc>
          <w:tcPr>
            <w:tcW w:w="2088" w:type="dxa"/>
            <w:shd w:val="clear" w:color="auto" w:fill="auto"/>
          </w:tcPr>
          <w:p w:rsidR="00502F27" w:rsidRPr="0074345C" w:rsidRDefault="003260F8" w:rsidP="003260F8">
            <w:pPr>
              <w:pStyle w:val="Heading3"/>
            </w:pPr>
            <w:r w:rsidRPr="0074345C">
              <w:lastRenderedPageBreak/>
              <w:t>Director del Proyecto</w:t>
            </w:r>
          </w:p>
        </w:tc>
        <w:tc>
          <w:tcPr>
            <w:tcW w:w="7200" w:type="dxa"/>
            <w:vAlign w:val="center"/>
          </w:tcPr>
          <w:p w:rsidR="003260F8" w:rsidRPr="0074345C" w:rsidRDefault="003260F8" w:rsidP="00E00028">
            <w:pPr>
              <w:rPr>
                <w:szCs w:val="22"/>
              </w:rPr>
            </w:pPr>
          </w:p>
          <w:p w:rsidR="003260F8" w:rsidRPr="0074345C" w:rsidRDefault="0055532D" w:rsidP="00E00028">
            <w:pPr>
              <w:rPr>
                <w:sz w:val="16"/>
                <w:szCs w:val="16"/>
              </w:rPr>
            </w:pPr>
            <w:r w:rsidRPr="0074345C">
              <w:t>S</w:t>
            </w:r>
            <w:r w:rsidR="00502F27" w:rsidRPr="0074345C">
              <w:t xml:space="preserve">r. </w:t>
            </w:r>
            <w:proofErr w:type="spellStart"/>
            <w:r w:rsidR="00502F27" w:rsidRPr="0074345C">
              <w:t>Kiflé</w:t>
            </w:r>
            <w:proofErr w:type="spellEnd"/>
            <w:r w:rsidR="00502F27" w:rsidRPr="0074345C">
              <w:t xml:space="preserve"> Shenkoru.</w:t>
            </w:r>
          </w:p>
          <w:p w:rsidR="003260F8" w:rsidRPr="0074345C" w:rsidRDefault="003260F8" w:rsidP="00E00028">
            <w:pPr>
              <w:rPr>
                <w:szCs w:val="22"/>
              </w:rPr>
            </w:pPr>
          </w:p>
          <w:p w:rsidR="00502F27" w:rsidRPr="0074345C" w:rsidRDefault="00502F27" w:rsidP="00E00028">
            <w:pPr>
              <w:rPr>
                <w:sz w:val="16"/>
                <w:szCs w:val="16"/>
              </w:rPr>
            </w:pPr>
          </w:p>
        </w:tc>
      </w:tr>
      <w:tr w:rsidR="006376E7" w:rsidRPr="0074345C" w:rsidTr="00E00028">
        <w:trPr>
          <w:trHeight w:val="1165"/>
        </w:trPr>
        <w:tc>
          <w:tcPr>
            <w:tcW w:w="2088" w:type="dxa"/>
            <w:shd w:val="clear" w:color="auto" w:fill="auto"/>
          </w:tcPr>
          <w:p w:rsidR="00502F27" w:rsidRPr="0074345C" w:rsidDel="00196374" w:rsidRDefault="003260F8" w:rsidP="003260F8">
            <w:pPr>
              <w:pStyle w:val="Heading3"/>
            </w:pPr>
            <w:r w:rsidRPr="0074345C">
              <w:t xml:space="preserve">Vínculos con los resultados previstos en el presupuesto por </w:t>
            </w:r>
            <w:r w:rsidR="00AC0CD4" w:rsidRPr="0074345C">
              <w:t>Programas</w:t>
            </w:r>
            <w:r w:rsidR="0055532D" w:rsidRPr="0074345C">
              <w:t xml:space="preserve"> 2012/13</w:t>
            </w:r>
          </w:p>
        </w:tc>
        <w:tc>
          <w:tcPr>
            <w:tcW w:w="7200" w:type="dxa"/>
          </w:tcPr>
          <w:p w:rsidR="003260F8" w:rsidRPr="0074345C" w:rsidRDefault="003260F8" w:rsidP="00E00028">
            <w:pPr>
              <w:rPr>
                <w:iCs/>
              </w:rPr>
            </w:pPr>
          </w:p>
          <w:p w:rsidR="003260F8" w:rsidRPr="0074345C" w:rsidRDefault="00083425" w:rsidP="00E00028">
            <w:pPr>
              <w:rPr>
                <w:i/>
              </w:rPr>
            </w:pPr>
            <w:r w:rsidRPr="0074345C">
              <w:rPr>
                <w:i/>
              </w:rPr>
              <w:t>Meta estratégica</w:t>
            </w:r>
            <w:r w:rsidR="00502F27" w:rsidRPr="0074345C">
              <w:rPr>
                <w:i/>
              </w:rPr>
              <w:t xml:space="preserve"> III, Program</w:t>
            </w:r>
            <w:r w:rsidRPr="0074345C">
              <w:rPr>
                <w:i/>
              </w:rPr>
              <w:t>a</w:t>
            </w:r>
            <w:r w:rsidR="00502F27" w:rsidRPr="0074345C">
              <w:rPr>
                <w:i/>
              </w:rPr>
              <w:t xml:space="preserve"> 9:</w:t>
            </w:r>
          </w:p>
          <w:p w:rsidR="003260F8" w:rsidRPr="0074345C" w:rsidRDefault="003260F8" w:rsidP="003260F8">
            <w:pPr>
              <w:rPr>
                <w:iCs/>
              </w:rPr>
            </w:pPr>
            <w:r w:rsidRPr="0074345C">
              <w:rPr>
                <w:i/>
                <w:iCs/>
              </w:rPr>
              <w:t>Resultado previsto III.2</w:t>
            </w:r>
            <w:r w:rsidRPr="0074345C">
              <w:rPr>
                <w:iCs/>
              </w:rPr>
              <w:t>.  Mejora de las capacidades en el ámbito de los recursos humanos para hacer frente al amplio espectro de exigencias que supone la utilización eficaz de la P.I. en aras del desarrollo en los países en desarrollo, PMA y países con economías en transición.</w:t>
            </w:r>
          </w:p>
          <w:p w:rsidR="00502F27" w:rsidRPr="0074345C" w:rsidDel="00196374" w:rsidRDefault="00502F27" w:rsidP="00E00028">
            <w:pPr>
              <w:rPr>
                <w:iCs/>
              </w:rPr>
            </w:pPr>
          </w:p>
        </w:tc>
      </w:tr>
      <w:tr w:rsidR="006376E7" w:rsidRPr="0074345C" w:rsidTr="00E00028">
        <w:trPr>
          <w:trHeight w:val="1735"/>
        </w:trPr>
        <w:tc>
          <w:tcPr>
            <w:tcW w:w="2088" w:type="dxa"/>
            <w:shd w:val="clear" w:color="auto" w:fill="auto"/>
          </w:tcPr>
          <w:p w:rsidR="003260F8" w:rsidRPr="0074345C" w:rsidRDefault="003260F8" w:rsidP="003260F8">
            <w:pPr>
              <w:pStyle w:val="Heading3"/>
            </w:pPr>
            <w:r w:rsidRPr="0074345C">
              <w:t>Progreso en la ejecución del proyecto</w:t>
            </w:r>
          </w:p>
          <w:p w:rsidR="00502F27" w:rsidRPr="0074345C" w:rsidRDefault="00502F27" w:rsidP="00E00028"/>
        </w:tc>
        <w:tc>
          <w:tcPr>
            <w:tcW w:w="7200" w:type="dxa"/>
          </w:tcPr>
          <w:p w:rsidR="003260F8" w:rsidRPr="0074345C" w:rsidRDefault="003260F8" w:rsidP="00E00028"/>
          <w:p w:rsidR="003260F8" w:rsidRPr="0074345C" w:rsidRDefault="00A72644" w:rsidP="00E00028">
            <w:r w:rsidRPr="0074345C">
              <w:t>La f</w:t>
            </w:r>
            <w:r w:rsidR="00B4557E" w:rsidRPr="0074345C">
              <w:t xml:space="preserve">ase II </w:t>
            </w:r>
            <w:r w:rsidRPr="0074345C">
              <w:t xml:space="preserve">del </w:t>
            </w:r>
            <w:r w:rsidR="009E13C2" w:rsidRPr="0074345C">
              <w:t xml:space="preserve">proyecto </w:t>
            </w:r>
            <w:r w:rsidRPr="0074345C">
              <w:t xml:space="preserve">fue aprobada en la </w:t>
            </w:r>
            <w:r w:rsidR="00527523" w:rsidRPr="0074345C">
              <w:t>decimotercera</w:t>
            </w:r>
            <w:r w:rsidRPr="0074345C">
              <w:t xml:space="preserve"> sesión del </w:t>
            </w:r>
            <w:r w:rsidR="009E13C2" w:rsidRPr="0074345C">
              <w:t xml:space="preserve"> CDIP</w:t>
            </w:r>
            <w:r w:rsidRPr="0074345C">
              <w:t xml:space="preserve">, celebrada en mayo de </w:t>
            </w:r>
            <w:r w:rsidR="00502F27" w:rsidRPr="0074345C">
              <w:t xml:space="preserve">2014.  </w:t>
            </w:r>
            <w:r w:rsidRPr="0074345C">
              <w:t xml:space="preserve">Se ha iniciado ya el proceso de consulta para la ejecución del </w:t>
            </w:r>
            <w:r w:rsidR="009E13C2" w:rsidRPr="0074345C">
              <w:t xml:space="preserve">proyecto </w:t>
            </w:r>
            <w:r w:rsidRPr="0074345C">
              <w:t xml:space="preserve">con los </w:t>
            </w:r>
            <w:r w:rsidR="002034F4" w:rsidRPr="0074345C">
              <w:t>países</w:t>
            </w:r>
            <w:r w:rsidR="00502F27" w:rsidRPr="0074345C">
              <w:t xml:space="preserve"> </w:t>
            </w:r>
            <w:r w:rsidRPr="0074345C">
              <w:t xml:space="preserve">que han </w:t>
            </w:r>
            <w:r w:rsidR="00527523" w:rsidRPr="0074345C">
              <w:t>manifestado</w:t>
            </w:r>
            <w:r w:rsidRPr="0074345C">
              <w:t xml:space="preserve"> un fuerte interés</w:t>
            </w:r>
            <w:r w:rsidR="00502F27" w:rsidRPr="0074345C">
              <w:t xml:space="preserve">.  </w:t>
            </w:r>
            <w:r w:rsidRPr="0074345C">
              <w:t>Sin embargo, la ejecución de la f</w:t>
            </w:r>
            <w:r w:rsidR="00B4557E" w:rsidRPr="0074345C">
              <w:t>ase II</w:t>
            </w:r>
            <w:r w:rsidRPr="0074345C">
              <w:t xml:space="preserve"> del p</w:t>
            </w:r>
            <w:r w:rsidR="009E13C2" w:rsidRPr="0074345C">
              <w:t xml:space="preserve">royecto </w:t>
            </w:r>
            <w:r w:rsidRPr="0074345C">
              <w:t xml:space="preserve">exige </w:t>
            </w:r>
            <w:r w:rsidR="00527523" w:rsidRPr="0074345C">
              <w:t xml:space="preserve">el </w:t>
            </w:r>
            <w:r w:rsidRPr="0074345C">
              <w:t xml:space="preserve">compromiso </w:t>
            </w:r>
            <w:r w:rsidR="00527523" w:rsidRPr="0074345C">
              <w:t>de</w:t>
            </w:r>
            <w:r w:rsidRPr="0074345C">
              <w:t xml:space="preserve"> los </w:t>
            </w:r>
            <w:r w:rsidR="002034F4" w:rsidRPr="0074345C">
              <w:t>países</w:t>
            </w:r>
            <w:r w:rsidR="00527523" w:rsidRPr="0074345C">
              <w:t xml:space="preserve"> </w:t>
            </w:r>
            <w:r w:rsidRPr="0074345C">
              <w:t xml:space="preserve">beneficiarios y </w:t>
            </w:r>
            <w:r w:rsidR="00527523" w:rsidRPr="0074345C">
              <w:t xml:space="preserve">supone </w:t>
            </w:r>
            <w:r w:rsidRPr="0074345C">
              <w:t xml:space="preserve">responsabilidades suplementarias </w:t>
            </w:r>
            <w:r w:rsidR="00527523" w:rsidRPr="0074345C">
              <w:t>para</w:t>
            </w:r>
            <w:r w:rsidRPr="0074345C">
              <w:t xml:space="preserve"> la Organización</w:t>
            </w:r>
            <w:r w:rsidR="00502F27" w:rsidRPr="0074345C">
              <w:t xml:space="preserve">.  </w:t>
            </w:r>
          </w:p>
          <w:p w:rsidR="003260F8" w:rsidRPr="0074345C" w:rsidRDefault="003260F8" w:rsidP="00E00028"/>
          <w:p w:rsidR="003260F8" w:rsidRPr="0074345C" w:rsidRDefault="00A72644" w:rsidP="00E00028">
            <w:r w:rsidRPr="0074345C">
              <w:t xml:space="preserve">Durante la etapa inicial del </w:t>
            </w:r>
            <w:r w:rsidR="009E13C2" w:rsidRPr="0074345C">
              <w:t>proyecto</w:t>
            </w:r>
            <w:r w:rsidRPr="0074345C">
              <w:t xml:space="preserve">, no </w:t>
            </w:r>
            <w:r w:rsidR="00FF2AFC" w:rsidRPr="0074345C">
              <w:t>se negociaron ni firmaron</w:t>
            </w:r>
            <w:r w:rsidRPr="0074345C">
              <w:t xml:space="preserve"> acuerdos </w:t>
            </w:r>
            <w:r w:rsidR="00FF2AFC" w:rsidRPr="0074345C">
              <w:t>o</w:t>
            </w:r>
            <w:r w:rsidRPr="0074345C">
              <w:t xml:space="preserve"> memorandos de entendimiento </w:t>
            </w:r>
            <w:r w:rsidR="00FF2AFC" w:rsidRPr="0074345C">
              <w:t xml:space="preserve">que definieran </w:t>
            </w:r>
            <w:r w:rsidRPr="0074345C">
              <w:t xml:space="preserve">las funciones y responsabilidades de los </w:t>
            </w:r>
            <w:r w:rsidR="002034F4" w:rsidRPr="0074345C">
              <w:t>países</w:t>
            </w:r>
            <w:r w:rsidR="00502F27" w:rsidRPr="0074345C">
              <w:t xml:space="preserve"> </w:t>
            </w:r>
            <w:r w:rsidRPr="0074345C">
              <w:t>beneficiarios y de la OMPI.</w:t>
            </w:r>
            <w:r w:rsidR="00502F27" w:rsidRPr="0074345C">
              <w:t xml:space="preserve">  </w:t>
            </w:r>
            <w:r w:rsidRPr="0074345C">
              <w:t xml:space="preserve">Entre los criterios que </w:t>
            </w:r>
            <w:r w:rsidR="00FF2AFC" w:rsidRPr="0074345C">
              <w:t>debían</w:t>
            </w:r>
            <w:r w:rsidR="003E5A3B" w:rsidRPr="0074345C">
              <w:t xml:space="preserve"> </w:t>
            </w:r>
            <w:r w:rsidRPr="0074345C">
              <w:t>cumplir los países para ser seleccionados como beneficiarios estaba</w:t>
            </w:r>
            <w:r w:rsidR="00FF2AFC" w:rsidRPr="0074345C">
              <w:t>n</w:t>
            </w:r>
            <w:r w:rsidRPr="0074345C">
              <w:t xml:space="preserve"> la determinación concreta de </w:t>
            </w:r>
            <w:r w:rsidR="003E5A3B" w:rsidRPr="0074345C">
              <w:t xml:space="preserve">los ámbitos de </w:t>
            </w:r>
            <w:r w:rsidR="00FF2AFC" w:rsidRPr="0074345C">
              <w:t xml:space="preserve"> necesidades y su pertinencia para el plan de desarrollo</w:t>
            </w:r>
            <w:r w:rsidR="003E5A3B" w:rsidRPr="0074345C">
              <w:t xml:space="preserve"> </w:t>
            </w:r>
            <w:r w:rsidR="00FF2AFC" w:rsidRPr="0074345C">
              <w:t>nacional del país, las prioridades establecidas, la demanda y la sostenibilidad</w:t>
            </w:r>
            <w:r w:rsidR="00502F27" w:rsidRPr="0074345C">
              <w:t>.</w:t>
            </w:r>
          </w:p>
          <w:p w:rsidR="003260F8" w:rsidRPr="0074345C" w:rsidRDefault="003260F8" w:rsidP="00E00028"/>
          <w:p w:rsidR="003260F8" w:rsidRPr="0074345C" w:rsidRDefault="00FE1122" w:rsidP="00E00028">
            <w:r w:rsidRPr="0074345C">
              <w:t>En la</w:t>
            </w:r>
            <w:r w:rsidR="00FF2AFC" w:rsidRPr="0074345C">
              <w:t xml:space="preserve"> f</w:t>
            </w:r>
            <w:r w:rsidR="00B4557E" w:rsidRPr="0074345C">
              <w:t xml:space="preserve">ase II </w:t>
            </w:r>
            <w:r w:rsidR="00FF2AFC" w:rsidRPr="0074345C">
              <w:t>del</w:t>
            </w:r>
            <w:r w:rsidR="00502F27" w:rsidRPr="0074345C">
              <w:t xml:space="preserve"> </w:t>
            </w:r>
            <w:r w:rsidR="009E13C2" w:rsidRPr="0074345C">
              <w:t>proyecto</w:t>
            </w:r>
            <w:r w:rsidR="00FF2AFC" w:rsidRPr="0074345C">
              <w:t xml:space="preserve"> no solo </w:t>
            </w:r>
            <w:r w:rsidRPr="0074345C">
              <w:t xml:space="preserve">se </w:t>
            </w:r>
            <w:r w:rsidR="00FF2AFC" w:rsidRPr="0074345C">
              <w:t xml:space="preserve">facilita la creación de capacidad a nivel nacional sobre el uso de información técnica y científica adecuada como medio tecnológico </w:t>
            </w:r>
            <w:r w:rsidRPr="0074345C">
              <w:t xml:space="preserve">idóneo </w:t>
            </w:r>
            <w:r w:rsidR="00FF2AFC" w:rsidRPr="0074345C">
              <w:t xml:space="preserve">para abordar los desafíos de desarrollo </w:t>
            </w:r>
            <w:r w:rsidRPr="0074345C">
              <w:t>definidos</w:t>
            </w:r>
            <w:r w:rsidR="00FF2AFC" w:rsidRPr="0074345C">
              <w:t xml:space="preserve"> a que se enfrentan los países menos adelantados beneficiarios, sino también se examinan las </w:t>
            </w:r>
            <w:r w:rsidRPr="0074345C">
              <w:t xml:space="preserve">mejores posibilidades para </w:t>
            </w:r>
            <w:r w:rsidR="000B1CE3" w:rsidRPr="0074345C">
              <w:t xml:space="preserve">poner a disposición de la población y de la comunidad las tecnologías </w:t>
            </w:r>
            <w:r w:rsidRPr="0074345C">
              <w:t>apropiadas</w:t>
            </w:r>
            <w:r w:rsidR="000B1CE3" w:rsidRPr="0074345C">
              <w:t xml:space="preserve">, lo que exige un fuerte compromiso por parte de los </w:t>
            </w:r>
            <w:r w:rsidR="002034F4" w:rsidRPr="0074345C">
              <w:t>países</w:t>
            </w:r>
            <w:r w:rsidR="00502F27" w:rsidRPr="0074345C">
              <w:t xml:space="preserve"> </w:t>
            </w:r>
            <w:r w:rsidR="000B1CE3" w:rsidRPr="0074345C">
              <w:t xml:space="preserve">beneficiarios y la colaboración con las organizaciones </w:t>
            </w:r>
            <w:r w:rsidR="00502F27" w:rsidRPr="0074345C">
              <w:t>regional, interregio</w:t>
            </w:r>
            <w:r w:rsidR="000B1CE3" w:rsidRPr="0074345C">
              <w:t>nales e internacionales pertinentes</w:t>
            </w:r>
            <w:r w:rsidR="00502F27" w:rsidRPr="0074345C">
              <w:t>.</w:t>
            </w:r>
          </w:p>
          <w:p w:rsidR="003260F8" w:rsidRPr="0074345C" w:rsidRDefault="003260F8" w:rsidP="00E00028">
            <w:pPr>
              <w:rPr>
                <w:iCs/>
              </w:rPr>
            </w:pPr>
          </w:p>
          <w:p w:rsidR="00502F27" w:rsidRPr="0074345C" w:rsidRDefault="000B1CE3" w:rsidP="000B1CE3">
            <w:r w:rsidRPr="0074345C">
              <w:rPr>
                <w:iCs/>
              </w:rPr>
              <w:t xml:space="preserve">El proceso de selección de los </w:t>
            </w:r>
            <w:r w:rsidR="002034F4" w:rsidRPr="0074345C">
              <w:rPr>
                <w:iCs/>
              </w:rPr>
              <w:t>países</w:t>
            </w:r>
            <w:r w:rsidR="00502F27" w:rsidRPr="0074345C">
              <w:rPr>
                <w:iCs/>
              </w:rPr>
              <w:t xml:space="preserve"> </w:t>
            </w:r>
            <w:r w:rsidRPr="0074345C">
              <w:rPr>
                <w:iCs/>
              </w:rPr>
              <w:t>participantes se está llevando a cabo con arreglo al calendario acordado</w:t>
            </w:r>
            <w:r w:rsidR="00502F27" w:rsidRPr="0074345C">
              <w:rPr>
                <w:iCs/>
              </w:rPr>
              <w:t>.</w:t>
            </w:r>
            <w:r w:rsidRPr="0074345C">
              <w:rPr>
                <w:iCs/>
              </w:rPr>
              <w:t xml:space="preserve"> Varios países han expresado un fuerte interés por participar en el </w:t>
            </w:r>
            <w:r w:rsidR="009E13C2" w:rsidRPr="0074345C">
              <w:rPr>
                <w:iCs/>
              </w:rPr>
              <w:t>proyecto</w:t>
            </w:r>
            <w:r w:rsidR="00502F27" w:rsidRPr="0074345C">
              <w:rPr>
                <w:iCs/>
              </w:rPr>
              <w:t>.</w:t>
            </w:r>
          </w:p>
        </w:tc>
      </w:tr>
      <w:tr w:rsidR="006376E7" w:rsidRPr="0074345C" w:rsidTr="00E00028">
        <w:trPr>
          <w:trHeight w:val="1212"/>
        </w:trPr>
        <w:tc>
          <w:tcPr>
            <w:tcW w:w="2088" w:type="dxa"/>
            <w:shd w:val="clear" w:color="auto" w:fill="auto"/>
          </w:tcPr>
          <w:p w:rsidR="00502F27" w:rsidRPr="0074345C" w:rsidRDefault="003260F8" w:rsidP="003260F8">
            <w:pPr>
              <w:pStyle w:val="Heading3"/>
            </w:pPr>
            <w:r w:rsidRPr="0074345C">
              <w:t>Ejemplos de logros y efectos y enseñanzas extraídas</w:t>
            </w:r>
          </w:p>
        </w:tc>
        <w:tc>
          <w:tcPr>
            <w:tcW w:w="7200" w:type="dxa"/>
            <w:vAlign w:val="center"/>
          </w:tcPr>
          <w:p w:rsidR="00502F27" w:rsidRPr="0074345C" w:rsidRDefault="003260F8" w:rsidP="003260F8">
            <w:pPr>
              <w:rPr>
                <w:iCs/>
              </w:rPr>
            </w:pPr>
            <w:r w:rsidRPr="0074345C">
              <w:rPr>
                <w:iCs/>
              </w:rPr>
              <w:t>No está disponible.</w:t>
            </w:r>
          </w:p>
        </w:tc>
      </w:tr>
      <w:tr w:rsidR="006376E7" w:rsidRPr="0074345C" w:rsidTr="00E00028">
        <w:trPr>
          <w:trHeight w:val="713"/>
        </w:trPr>
        <w:tc>
          <w:tcPr>
            <w:tcW w:w="2088" w:type="dxa"/>
            <w:shd w:val="clear" w:color="auto" w:fill="auto"/>
          </w:tcPr>
          <w:p w:rsidR="00502F27" w:rsidRPr="0074345C" w:rsidRDefault="003260F8" w:rsidP="003260F8">
            <w:pPr>
              <w:pStyle w:val="Heading3"/>
            </w:pPr>
            <w:r w:rsidRPr="0074345C">
              <w:t>Riesgos y medidas paliativas</w:t>
            </w:r>
          </w:p>
        </w:tc>
        <w:tc>
          <w:tcPr>
            <w:tcW w:w="7200" w:type="dxa"/>
          </w:tcPr>
          <w:p w:rsidR="003260F8" w:rsidRPr="0074345C" w:rsidRDefault="003260F8" w:rsidP="00E00028">
            <w:pPr>
              <w:rPr>
                <w:iCs/>
              </w:rPr>
            </w:pPr>
          </w:p>
          <w:p w:rsidR="00502F27" w:rsidRPr="0074345C" w:rsidRDefault="00083425" w:rsidP="00083425">
            <w:pPr>
              <w:rPr>
                <w:iCs/>
              </w:rPr>
            </w:pPr>
            <w:r w:rsidRPr="0074345C">
              <w:t xml:space="preserve">La segunda fase del </w:t>
            </w:r>
            <w:r w:rsidR="00193CE1" w:rsidRPr="0074345C">
              <w:t xml:space="preserve">proyectos </w:t>
            </w:r>
            <w:r w:rsidRPr="0074345C">
              <w:t xml:space="preserve">obre tecnologías apropiadas para PMA conlleva una serie de actividades destinadas a resolver problemas de desarrollo, que tendrán lugar en el marco del proceso de transferencia de tecnología apropiada como una solución al problema de las necesidades señaladas, dentro de un plazo dado y en un lugar determinado.  Desde el punto de vista de este </w:t>
            </w:r>
            <w:r w:rsidR="009E13C2" w:rsidRPr="0074345C">
              <w:t xml:space="preserve">Programa </w:t>
            </w:r>
            <w:r w:rsidRPr="0074345C">
              <w:t xml:space="preserve">a de asociación, se trata de una inversión de medio a largo plazo.  La inversión supone asistencia financiera, un plazo específico y recursos humanos y materiales.  Dado que el proceso consta de varias etapas, </w:t>
            </w:r>
            <w:r w:rsidRPr="0074345C">
              <w:lastRenderedPageBreak/>
              <w:t>se requiere una cuidadosa gestión y supervisión de cada etapa con el fin de evitar riesgos</w:t>
            </w:r>
            <w:r w:rsidR="003260F8" w:rsidRPr="0074345C">
              <w:rPr>
                <w:bCs/>
              </w:rPr>
              <w:t>.</w:t>
            </w:r>
            <w:r w:rsidR="00502F27" w:rsidRPr="0074345C">
              <w:rPr>
                <w:bCs/>
              </w:rPr>
              <w:t xml:space="preserve">  </w:t>
            </w:r>
          </w:p>
        </w:tc>
      </w:tr>
      <w:tr w:rsidR="006376E7" w:rsidRPr="0074345C" w:rsidTr="00E00028">
        <w:trPr>
          <w:trHeight w:val="901"/>
        </w:trPr>
        <w:tc>
          <w:tcPr>
            <w:tcW w:w="2088" w:type="dxa"/>
            <w:shd w:val="clear" w:color="auto" w:fill="auto"/>
          </w:tcPr>
          <w:p w:rsidR="00502F27" w:rsidRPr="0074345C" w:rsidRDefault="003260F8" w:rsidP="003260F8">
            <w:pPr>
              <w:pStyle w:val="Heading3"/>
            </w:pPr>
            <w:r w:rsidRPr="0074345C">
              <w:lastRenderedPageBreak/>
              <w:t>Cuestiones que requieren atención inmediata</w:t>
            </w:r>
          </w:p>
        </w:tc>
        <w:tc>
          <w:tcPr>
            <w:tcW w:w="7200" w:type="dxa"/>
          </w:tcPr>
          <w:p w:rsidR="003260F8" w:rsidRPr="0074345C" w:rsidRDefault="003260F8" w:rsidP="00E00028">
            <w:pPr>
              <w:rPr>
                <w:iCs/>
              </w:rPr>
            </w:pPr>
          </w:p>
          <w:p w:rsidR="00502F27" w:rsidRPr="0074345C" w:rsidRDefault="003260F8" w:rsidP="003260F8">
            <w:pPr>
              <w:rPr>
                <w:iCs/>
              </w:rPr>
            </w:pPr>
            <w:r w:rsidRPr="0074345C">
              <w:rPr>
                <w:iCs/>
              </w:rPr>
              <w:t>No está disponible.</w:t>
            </w:r>
          </w:p>
        </w:tc>
      </w:tr>
      <w:tr w:rsidR="006376E7" w:rsidRPr="0074345C" w:rsidTr="00E00028">
        <w:trPr>
          <w:trHeight w:val="1081"/>
        </w:trPr>
        <w:tc>
          <w:tcPr>
            <w:tcW w:w="2088" w:type="dxa"/>
            <w:shd w:val="clear" w:color="auto" w:fill="auto"/>
          </w:tcPr>
          <w:p w:rsidR="00502F27" w:rsidRPr="0074345C" w:rsidRDefault="003260F8" w:rsidP="003260F8">
            <w:pPr>
              <w:pStyle w:val="Heading3"/>
            </w:pPr>
            <w:r w:rsidRPr="0074345C">
              <w:t>Siguientes pasos</w:t>
            </w:r>
          </w:p>
        </w:tc>
        <w:tc>
          <w:tcPr>
            <w:tcW w:w="7200" w:type="dxa"/>
          </w:tcPr>
          <w:p w:rsidR="003260F8" w:rsidRPr="0074345C" w:rsidRDefault="003260F8" w:rsidP="00E00028">
            <w:pPr>
              <w:rPr>
                <w:iCs/>
              </w:rPr>
            </w:pPr>
          </w:p>
          <w:p w:rsidR="00502F27" w:rsidRPr="0074345C" w:rsidRDefault="00FA7969" w:rsidP="00FA7969">
            <w:pPr>
              <w:rPr>
                <w:iCs/>
              </w:rPr>
            </w:pPr>
            <w:r w:rsidRPr="0074345C">
              <w:rPr>
                <w:iCs/>
              </w:rPr>
              <w:t>El p</w:t>
            </w:r>
            <w:r w:rsidR="009E13C2" w:rsidRPr="0074345C">
              <w:rPr>
                <w:iCs/>
              </w:rPr>
              <w:t xml:space="preserve">royecto </w:t>
            </w:r>
            <w:r w:rsidR="003D71A5" w:rsidRPr="0074345C">
              <w:rPr>
                <w:iCs/>
              </w:rPr>
              <w:t>será</w:t>
            </w:r>
            <w:r w:rsidRPr="0074345C">
              <w:rPr>
                <w:iCs/>
              </w:rPr>
              <w:t xml:space="preserve"> ejecutado con arreglo al calendario aprobado</w:t>
            </w:r>
            <w:r w:rsidR="00502F27" w:rsidRPr="0074345C">
              <w:rPr>
                <w:iCs/>
              </w:rPr>
              <w:t>.</w:t>
            </w:r>
          </w:p>
        </w:tc>
      </w:tr>
      <w:tr w:rsidR="006376E7" w:rsidRPr="0074345C" w:rsidTr="00E00028">
        <w:trPr>
          <w:trHeight w:val="1407"/>
        </w:trPr>
        <w:tc>
          <w:tcPr>
            <w:tcW w:w="2088" w:type="dxa"/>
            <w:shd w:val="clear" w:color="auto" w:fill="auto"/>
          </w:tcPr>
          <w:p w:rsidR="00502F27" w:rsidRPr="0074345C" w:rsidRDefault="008A6A79" w:rsidP="008A6A79">
            <w:pPr>
              <w:pStyle w:val="Heading3"/>
            </w:pPr>
            <w:r w:rsidRPr="0074345C">
              <w:t>Calendario de ejecución</w:t>
            </w:r>
            <w:r w:rsidR="00502F27" w:rsidRPr="0074345C">
              <w:t xml:space="preserve"> (</w:t>
            </w:r>
            <w:r w:rsidRPr="0074345C">
              <w:t>para los siguientes pasos mencionados arriba</w:t>
            </w:r>
            <w:r w:rsidR="00502F27" w:rsidRPr="0074345C">
              <w:t>)</w:t>
            </w:r>
          </w:p>
        </w:tc>
        <w:tc>
          <w:tcPr>
            <w:tcW w:w="7200" w:type="dxa"/>
          </w:tcPr>
          <w:p w:rsidR="003260F8" w:rsidRPr="0074345C" w:rsidRDefault="003260F8" w:rsidP="00E00028">
            <w:pPr>
              <w:rPr>
                <w:iCs/>
              </w:rPr>
            </w:pPr>
          </w:p>
          <w:p w:rsidR="00502F27" w:rsidRPr="0074345C" w:rsidRDefault="00FA7969" w:rsidP="00FA7969">
            <w:pPr>
              <w:rPr>
                <w:iCs/>
              </w:rPr>
            </w:pPr>
            <w:r w:rsidRPr="0074345C">
              <w:rPr>
                <w:iCs/>
              </w:rPr>
              <w:t>Julio</w:t>
            </w:r>
            <w:r w:rsidR="002034F4" w:rsidRPr="0074345C">
              <w:rPr>
                <w:iCs/>
              </w:rPr>
              <w:t xml:space="preserve"> de</w:t>
            </w:r>
            <w:r w:rsidR="00502F27" w:rsidRPr="0074345C">
              <w:rPr>
                <w:iCs/>
              </w:rPr>
              <w:t xml:space="preserve"> 2014 </w:t>
            </w:r>
            <w:r w:rsidRPr="0074345C">
              <w:rPr>
                <w:iCs/>
              </w:rPr>
              <w:t xml:space="preserve">a </w:t>
            </w:r>
            <w:r w:rsidR="002034F4" w:rsidRPr="0074345C">
              <w:rPr>
                <w:iCs/>
              </w:rPr>
              <w:t>julio de</w:t>
            </w:r>
            <w:r w:rsidR="00502F27" w:rsidRPr="0074345C">
              <w:rPr>
                <w:iCs/>
              </w:rPr>
              <w:t xml:space="preserve"> 2015.</w:t>
            </w:r>
          </w:p>
        </w:tc>
      </w:tr>
      <w:tr w:rsidR="006376E7" w:rsidRPr="0074345C" w:rsidTr="00E00028">
        <w:trPr>
          <w:trHeight w:val="848"/>
        </w:trPr>
        <w:tc>
          <w:tcPr>
            <w:tcW w:w="2088" w:type="dxa"/>
            <w:shd w:val="clear" w:color="auto" w:fill="auto"/>
          </w:tcPr>
          <w:p w:rsidR="00502F27" w:rsidRPr="0074345C" w:rsidRDefault="003260F8" w:rsidP="003260F8">
            <w:pPr>
              <w:pStyle w:val="Heading3"/>
            </w:pPr>
            <w:r w:rsidRPr="0074345C">
              <w:t>Porcentaje de ejecución del proyecto</w:t>
            </w:r>
            <w:r w:rsidR="00502F27" w:rsidRPr="0074345C">
              <w:t xml:space="preserve"> </w:t>
            </w:r>
          </w:p>
        </w:tc>
        <w:tc>
          <w:tcPr>
            <w:tcW w:w="7200" w:type="dxa"/>
          </w:tcPr>
          <w:p w:rsidR="003260F8" w:rsidRPr="0074345C" w:rsidRDefault="003260F8" w:rsidP="00E00028">
            <w:pPr>
              <w:rPr>
                <w:iCs/>
              </w:rPr>
            </w:pPr>
          </w:p>
          <w:p w:rsidR="00502F27" w:rsidRPr="0074345C" w:rsidRDefault="003260F8" w:rsidP="003260F8">
            <w:pPr>
              <w:rPr>
                <w:iCs/>
              </w:rPr>
            </w:pPr>
            <w:r w:rsidRPr="0074345C">
              <w:rPr>
                <w:iCs/>
              </w:rPr>
              <w:t>No está disponible.</w:t>
            </w:r>
          </w:p>
        </w:tc>
      </w:tr>
      <w:tr w:rsidR="006376E7" w:rsidRPr="0074345C" w:rsidTr="00E00028">
        <w:trPr>
          <w:trHeight w:val="848"/>
        </w:trPr>
        <w:tc>
          <w:tcPr>
            <w:tcW w:w="2088" w:type="dxa"/>
            <w:shd w:val="clear" w:color="auto" w:fill="auto"/>
          </w:tcPr>
          <w:p w:rsidR="00502F27" w:rsidRPr="0074345C" w:rsidRDefault="0074345C" w:rsidP="008A6A79">
            <w:pPr>
              <w:pStyle w:val="Heading3"/>
            </w:pPr>
            <w:r>
              <w:t>Informes/</w:t>
            </w:r>
            <w:proofErr w:type="spellStart"/>
            <w:r w:rsidR="008A6A79" w:rsidRPr="0074345C">
              <w:t>docu</w:t>
            </w:r>
            <w:r>
              <w:t>-</w:t>
            </w:r>
            <w:r w:rsidR="008A6A79" w:rsidRPr="0074345C">
              <w:t>mentos</w:t>
            </w:r>
            <w:proofErr w:type="spellEnd"/>
            <w:r w:rsidR="008A6A79" w:rsidRPr="0074345C">
              <w:t xml:space="preserve"> previos</w:t>
            </w:r>
          </w:p>
        </w:tc>
        <w:tc>
          <w:tcPr>
            <w:tcW w:w="7200" w:type="dxa"/>
          </w:tcPr>
          <w:p w:rsidR="003260F8" w:rsidRPr="0074345C" w:rsidRDefault="003260F8" w:rsidP="00E00028">
            <w:pPr>
              <w:rPr>
                <w:b/>
                <w:iCs/>
              </w:rPr>
            </w:pPr>
          </w:p>
          <w:p w:rsidR="00502F27" w:rsidRPr="0074345C" w:rsidRDefault="003260F8" w:rsidP="00083425">
            <w:pPr>
              <w:rPr>
                <w:iCs/>
              </w:rPr>
            </w:pPr>
            <w:r w:rsidRPr="0074345C">
              <w:rPr>
                <w:iCs/>
              </w:rPr>
              <w:t>Este es el primer informe que se presenta al CDIP.</w:t>
            </w:r>
          </w:p>
        </w:tc>
      </w:tr>
    </w:tbl>
    <w:p w:rsidR="00502F27" w:rsidRPr="0074345C" w:rsidRDefault="00502F27" w:rsidP="00502F27">
      <w:r w:rsidRPr="0074345C">
        <w:br w:type="page"/>
      </w:r>
    </w:p>
    <w:tbl>
      <w:tblPr>
        <w:tblW w:w="0" w:type="auto"/>
        <w:tblLook w:val="01E0" w:firstRow="1" w:lastRow="1" w:firstColumn="1" w:lastColumn="1" w:noHBand="0" w:noVBand="0"/>
      </w:tblPr>
      <w:tblGrid>
        <w:gridCol w:w="9287"/>
      </w:tblGrid>
      <w:tr w:rsidR="00502F27" w:rsidRPr="0074345C" w:rsidTr="00E00028">
        <w:trPr>
          <w:trHeight w:val="494"/>
        </w:trPr>
        <w:tc>
          <w:tcPr>
            <w:tcW w:w="9287" w:type="dxa"/>
            <w:vAlign w:val="center"/>
          </w:tcPr>
          <w:p w:rsidR="00502F27" w:rsidRPr="0074345C" w:rsidRDefault="00502F27" w:rsidP="003260F8">
            <w:r w:rsidRPr="0074345C">
              <w:lastRenderedPageBreak/>
              <w:br w:type="page"/>
            </w:r>
            <w:r w:rsidR="003260F8" w:rsidRPr="0074345C">
              <w:t>EVALUACIÓN INTERNA DEL PROYECTO</w:t>
            </w:r>
          </w:p>
        </w:tc>
      </w:tr>
    </w:tbl>
    <w:p w:rsidR="003260F8" w:rsidRPr="0074345C" w:rsidRDefault="003260F8" w:rsidP="00502F27"/>
    <w:p w:rsidR="003260F8" w:rsidRPr="0074345C" w:rsidRDefault="003260F8" w:rsidP="003260F8">
      <w:r w:rsidRPr="0074345C">
        <w:t>Clave de los colores</w:t>
      </w:r>
    </w:p>
    <w:p w:rsidR="00502F27" w:rsidRPr="0074345C" w:rsidRDefault="00502F27" w:rsidP="00502F27"/>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shd w:val="clear" w:color="auto" w:fill="auto"/>
            <w:vAlign w:val="center"/>
          </w:tcPr>
          <w:p w:rsidR="00502F27" w:rsidRPr="0074345C" w:rsidRDefault="00502F27" w:rsidP="00E00028">
            <w:r w:rsidRPr="0074345C">
              <w:t>****</w:t>
            </w:r>
          </w:p>
        </w:tc>
        <w:tc>
          <w:tcPr>
            <w:tcW w:w="1677" w:type="dxa"/>
            <w:shd w:val="clear" w:color="auto" w:fill="auto"/>
            <w:vAlign w:val="center"/>
          </w:tcPr>
          <w:p w:rsidR="00502F27" w:rsidRPr="0074345C" w:rsidRDefault="00502F27" w:rsidP="00E00028">
            <w:r w:rsidRPr="0074345C">
              <w:t>***</w:t>
            </w:r>
          </w:p>
        </w:tc>
        <w:tc>
          <w:tcPr>
            <w:tcW w:w="1797" w:type="dxa"/>
            <w:shd w:val="clear" w:color="auto" w:fill="auto"/>
            <w:vAlign w:val="center"/>
          </w:tcPr>
          <w:p w:rsidR="00502F27" w:rsidRPr="0074345C" w:rsidRDefault="00502F27" w:rsidP="00E00028">
            <w:r w:rsidRPr="0074345C">
              <w:t>**</w:t>
            </w:r>
          </w:p>
        </w:tc>
        <w:tc>
          <w:tcPr>
            <w:tcW w:w="1895" w:type="dxa"/>
            <w:shd w:val="clear" w:color="auto" w:fill="auto"/>
            <w:vAlign w:val="center"/>
          </w:tcPr>
          <w:p w:rsidR="00502F27" w:rsidRPr="0074345C" w:rsidRDefault="003260F8" w:rsidP="003260F8">
            <w:r w:rsidRPr="0074345C">
              <w:t>NA</w:t>
            </w:r>
          </w:p>
        </w:tc>
        <w:tc>
          <w:tcPr>
            <w:tcW w:w="2563" w:type="dxa"/>
            <w:shd w:val="clear" w:color="auto" w:fill="auto"/>
            <w:vAlign w:val="center"/>
          </w:tcPr>
          <w:p w:rsidR="00502F27" w:rsidRPr="0074345C" w:rsidRDefault="003260F8" w:rsidP="003260F8">
            <w:r w:rsidRPr="0074345C">
              <w:t>SE/AD</w:t>
            </w:r>
          </w:p>
        </w:tc>
      </w:tr>
      <w:tr w:rsidR="00502F27" w:rsidRPr="0074345C" w:rsidTr="00E00028">
        <w:tc>
          <w:tcPr>
            <w:tcW w:w="1416" w:type="dxa"/>
            <w:shd w:val="clear" w:color="auto" w:fill="auto"/>
          </w:tcPr>
          <w:p w:rsidR="00502F27" w:rsidRPr="0074345C" w:rsidRDefault="003260F8" w:rsidP="003260F8">
            <w:r w:rsidRPr="0074345C">
              <w:t>Plenamente logrado.</w:t>
            </w:r>
          </w:p>
        </w:tc>
        <w:tc>
          <w:tcPr>
            <w:tcW w:w="1677" w:type="dxa"/>
            <w:shd w:val="clear" w:color="auto" w:fill="auto"/>
          </w:tcPr>
          <w:p w:rsidR="00502F27" w:rsidRPr="0074345C" w:rsidRDefault="003260F8" w:rsidP="003260F8">
            <w:r w:rsidRPr="0074345C">
              <w:t>Avance notable</w:t>
            </w:r>
          </w:p>
        </w:tc>
        <w:tc>
          <w:tcPr>
            <w:tcW w:w="1797" w:type="dxa"/>
            <w:shd w:val="clear" w:color="auto" w:fill="auto"/>
          </w:tcPr>
          <w:p w:rsidR="00502F27" w:rsidRPr="0074345C" w:rsidRDefault="003260F8" w:rsidP="003260F8">
            <w:r w:rsidRPr="0074345C">
              <w:t>Avance</w:t>
            </w:r>
          </w:p>
        </w:tc>
        <w:tc>
          <w:tcPr>
            <w:tcW w:w="1895" w:type="dxa"/>
            <w:shd w:val="clear" w:color="auto" w:fill="auto"/>
          </w:tcPr>
          <w:p w:rsidR="00502F27" w:rsidRPr="0074345C" w:rsidRDefault="003260F8" w:rsidP="003260F8">
            <w:r w:rsidRPr="0074345C">
              <w:t>Ningún avance</w:t>
            </w:r>
          </w:p>
        </w:tc>
        <w:tc>
          <w:tcPr>
            <w:tcW w:w="2563" w:type="dxa"/>
            <w:shd w:val="clear" w:color="auto" w:fill="auto"/>
          </w:tcPr>
          <w:p w:rsidR="00502F27" w:rsidRPr="0074345C" w:rsidRDefault="003260F8" w:rsidP="003260F8">
            <w:r w:rsidRPr="0074345C">
              <w:t>Sin evaluar /actividad discontinuada</w:t>
            </w:r>
          </w:p>
        </w:tc>
      </w:tr>
    </w:tbl>
    <w:p w:rsidR="003260F8" w:rsidRPr="0074345C" w:rsidRDefault="003260F8" w:rsidP="00502F27"/>
    <w:p w:rsidR="003260F8" w:rsidRPr="0074345C" w:rsidRDefault="003260F8" w:rsidP="00502F27"/>
    <w:p w:rsidR="00502F27" w:rsidRPr="0074345C" w:rsidRDefault="00502F27" w:rsidP="00502F27"/>
    <w:tbl>
      <w:tblPr>
        <w:tblW w:w="9356" w:type="dxa"/>
        <w:tblInd w:w="-34" w:type="dxa"/>
        <w:tblLayout w:type="fixed"/>
        <w:tblLook w:val="01E0" w:firstRow="1" w:lastRow="1" w:firstColumn="1" w:lastColumn="1" w:noHBand="0" w:noVBand="0"/>
      </w:tblPr>
      <w:tblGrid>
        <w:gridCol w:w="2410"/>
        <w:gridCol w:w="2694"/>
        <w:gridCol w:w="3228"/>
        <w:gridCol w:w="1024"/>
      </w:tblGrid>
      <w:tr w:rsidR="006376E7" w:rsidRPr="0074345C" w:rsidTr="00E0002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Pr>
              <w:rPr>
                <w:rStyle w:val="Heading3Char"/>
              </w:rPr>
            </w:pPr>
          </w:p>
          <w:p w:rsidR="00FD48C3" w:rsidRPr="0074345C" w:rsidRDefault="003260F8" w:rsidP="003260F8">
            <w:pPr>
              <w:rPr>
                <w:u w:val="single"/>
              </w:rPr>
            </w:pPr>
            <w:r w:rsidRPr="0074345C">
              <w:rPr>
                <w:u w:val="single"/>
              </w:rPr>
              <w:t>Productos del proyecto</w:t>
            </w:r>
            <w:r w:rsidR="00FD48C3" w:rsidRPr="0074345C">
              <w:rPr>
                <w:vertAlign w:val="superscript"/>
              </w:rPr>
              <w:footnoteReference w:id="6"/>
            </w:r>
          </w:p>
          <w:p w:rsidR="00502F27" w:rsidRPr="0074345C" w:rsidRDefault="003260F8" w:rsidP="003260F8">
            <w:r w:rsidRPr="0074345C">
              <w:t>(</w:t>
            </w:r>
            <w:r w:rsidRPr="0074345C">
              <w:rPr>
                <w:u w:val="single"/>
              </w:rPr>
              <w:t>Resultado previsto)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0F8" w:rsidRPr="0074345C" w:rsidRDefault="003260F8" w:rsidP="00E00028">
            <w:pPr>
              <w:rPr>
                <w:rStyle w:val="Heading3Char"/>
              </w:rPr>
            </w:pPr>
          </w:p>
          <w:p w:rsidR="003260F8" w:rsidRPr="0074345C" w:rsidRDefault="003260F8" w:rsidP="003260F8">
            <w:r w:rsidRPr="0074345C">
              <w:rPr>
                <w:u w:val="single"/>
              </w:rPr>
              <w:t>Indicadores de obtención de resultados</w:t>
            </w:r>
          </w:p>
          <w:p w:rsidR="00502F27" w:rsidRPr="0074345C" w:rsidRDefault="00502F27" w:rsidP="00E00028"/>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pPr>
            <w:r w:rsidRPr="0074345C">
              <w:t>Datos sobre el rendimiento</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502F27" w:rsidRPr="0074345C" w:rsidRDefault="003260F8" w:rsidP="003260F8">
            <w:pPr>
              <w:pStyle w:val="Heading3"/>
            </w:pPr>
            <w:r w:rsidRPr="0074345C">
              <w:t>Clave de colores</w:t>
            </w:r>
          </w:p>
        </w:tc>
      </w:tr>
      <w:tr w:rsidR="006376E7" w:rsidRPr="0074345C" w:rsidTr="00E00028">
        <w:trPr>
          <w:trHeight w:val="2592"/>
        </w:trPr>
        <w:tc>
          <w:tcPr>
            <w:tcW w:w="2410" w:type="dxa"/>
            <w:tcBorders>
              <w:top w:val="single" w:sz="2" w:space="0" w:color="000000"/>
              <w:left w:val="single" w:sz="2" w:space="0" w:color="000000"/>
              <w:right w:val="single" w:sz="6" w:space="0" w:color="000000"/>
            </w:tcBorders>
            <w:shd w:val="clear" w:color="auto" w:fill="auto"/>
          </w:tcPr>
          <w:p w:rsidR="003260F8" w:rsidRPr="0074345C" w:rsidRDefault="003260F8" w:rsidP="00E00028"/>
          <w:p w:rsidR="00502F27" w:rsidRPr="0074345C" w:rsidRDefault="003260F8" w:rsidP="003260F8">
            <w:r w:rsidRPr="0074345C">
              <w:t>Grupo de expertos na</w:t>
            </w:r>
            <w:r w:rsidR="00083425" w:rsidRPr="0074345C">
              <w:t>cionales</w:t>
            </w:r>
          </w:p>
        </w:tc>
        <w:tc>
          <w:tcPr>
            <w:tcW w:w="2694" w:type="dxa"/>
            <w:vMerge w:val="restart"/>
            <w:tcBorders>
              <w:top w:val="single" w:sz="2" w:space="0" w:color="000000"/>
              <w:left w:val="single" w:sz="6" w:space="0" w:color="000000"/>
              <w:right w:val="single" w:sz="2" w:space="0" w:color="000000"/>
            </w:tcBorders>
            <w:shd w:val="clear" w:color="auto" w:fill="auto"/>
          </w:tcPr>
          <w:p w:rsidR="003260F8" w:rsidRPr="0074345C" w:rsidRDefault="003260F8" w:rsidP="00E00028"/>
          <w:p w:rsidR="00502F27" w:rsidRPr="0074345C" w:rsidRDefault="00083425" w:rsidP="00E00028">
            <w:pPr>
              <w:rPr>
                <w:rFonts w:eastAsia="Malgun Gothic"/>
                <w:kern w:val="2"/>
                <w:lang w:eastAsia="ko-KR"/>
              </w:rPr>
            </w:pPr>
            <w:r w:rsidRPr="0074345C">
              <w:t>Se ha establecido un grupo de expertos nacionales en los tres países seleccionados en un plazo de 30 días desde el inicio del proyecto</w:t>
            </w:r>
            <w:r w:rsidR="00502F27" w:rsidRPr="0074345C">
              <w:t>.</w:t>
            </w:r>
          </w:p>
        </w:tc>
        <w:tc>
          <w:tcPr>
            <w:tcW w:w="3228" w:type="dxa"/>
            <w:vMerge w:val="restart"/>
            <w:tcBorders>
              <w:top w:val="single" w:sz="2" w:space="0" w:color="000000"/>
              <w:left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c>
          <w:tcPr>
            <w:tcW w:w="1024" w:type="dxa"/>
            <w:vMerge w:val="restart"/>
            <w:tcBorders>
              <w:top w:val="single" w:sz="2" w:space="0" w:color="000000"/>
              <w:left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r>
      <w:tr w:rsidR="006376E7" w:rsidRPr="0074345C" w:rsidTr="00E00028">
        <w:trPr>
          <w:trHeight w:val="80"/>
        </w:trPr>
        <w:tc>
          <w:tcPr>
            <w:tcW w:w="2410" w:type="dxa"/>
            <w:tcBorders>
              <w:left w:val="single" w:sz="2" w:space="0" w:color="000000"/>
              <w:bottom w:val="single" w:sz="2" w:space="0" w:color="000000"/>
              <w:right w:val="single" w:sz="6" w:space="0" w:color="000000"/>
            </w:tcBorders>
            <w:shd w:val="clear" w:color="auto" w:fill="auto"/>
          </w:tcPr>
          <w:p w:rsidR="00502F27" w:rsidRPr="0074345C" w:rsidRDefault="00502F27" w:rsidP="00E00028"/>
        </w:tc>
        <w:tc>
          <w:tcPr>
            <w:tcW w:w="2694" w:type="dxa"/>
            <w:vMerge/>
            <w:tcBorders>
              <w:left w:val="single" w:sz="6" w:space="0" w:color="000000"/>
              <w:bottom w:val="single" w:sz="2" w:space="0" w:color="000000"/>
              <w:right w:val="single" w:sz="2" w:space="0" w:color="000000"/>
            </w:tcBorders>
            <w:shd w:val="clear" w:color="auto" w:fill="auto"/>
          </w:tcPr>
          <w:p w:rsidR="00502F27" w:rsidRPr="0074345C" w:rsidRDefault="00502F27" w:rsidP="00E00028">
            <w:pPr>
              <w:rPr>
                <w:rFonts w:eastAsia="Malgun Gothic"/>
                <w:kern w:val="2"/>
                <w:lang w:eastAsia="ko-KR"/>
              </w:rPr>
            </w:pPr>
          </w:p>
        </w:tc>
        <w:tc>
          <w:tcPr>
            <w:tcW w:w="3228" w:type="dxa"/>
            <w:vMerge/>
            <w:tcBorders>
              <w:left w:val="single" w:sz="2" w:space="0" w:color="000000"/>
              <w:bottom w:val="single" w:sz="2" w:space="0" w:color="000000"/>
              <w:right w:val="single" w:sz="2" w:space="0" w:color="000000"/>
            </w:tcBorders>
            <w:shd w:val="clear" w:color="auto" w:fill="auto"/>
          </w:tcPr>
          <w:p w:rsidR="00502F27" w:rsidRPr="0074345C" w:rsidRDefault="00502F27" w:rsidP="00E00028"/>
        </w:tc>
        <w:tc>
          <w:tcPr>
            <w:tcW w:w="1024" w:type="dxa"/>
            <w:vMerge/>
            <w:tcBorders>
              <w:left w:val="single" w:sz="2" w:space="0" w:color="000000"/>
              <w:bottom w:val="single" w:sz="2" w:space="0" w:color="000000"/>
              <w:right w:val="single" w:sz="2" w:space="0" w:color="000000"/>
            </w:tcBorders>
            <w:shd w:val="clear" w:color="auto" w:fill="auto"/>
          </w:tcPr>
          <w:p w:rsidR="00502F27" w:rsidRPr="0074345C" w:rsidRDefault="00502F27" w:rsidP="00E00028"/>
        </w:tc>
      </w:tr>
      <w:tr w:rsidR="006376E7" w:rsidRPr="0074345C" w:rsidTr="00E00028">
        <w:trPr>
          <w:trHeight w:val="1288"/>
        </w:trPr>
        <w:tc>
          <w:tcPr>
            <w:tcW w:w="2410" w:type="dxa"/>
            <w:tcBorders>
              <w:left w:val="single" w:sz="2" w:space="0" w:color="000000"/>
              <w:bottom w:val="single" w:sz="2" w:space="0" w:color="000000"/>
              <w:right w:val="single" w:sz="6" w:space="0" w:color="000000"/>
            </w:tcBorders>
            <w:shd w:val="clear" w:color="auto" w:fill="auto"/>
          </w:tcPr>
          <w:p w:rsidR="003260F8" w:rsidRPr="0074345C" w:rsidRDefault="003260F8" w:rsidP="00E00028"/>
          <w:p w:rsidR="00502F27" w:rsidRPr="0074345C" w:rsidRDefault="003260F8" w:rsidP="00083425">
            <w:r w:rsidRPr="0074345C">
              <w:t>Informe relativo al análisis de las tecnologías apropiadas</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3260F8" w:rsidRPr="0074345C" w:rsidRDefault="003260F8" w:rsidP="00E00028"/>
          <w:p w:rsidR="003260F8" w:rsidRPr="0074345C" w:rsidRDefault="003260F8" w:rsidP="003260F8">
            <w:r w:rsidRPr="0074345C">
              <w:t>El informe relativo al análisis de las tecnologías apropiadas se pondrá a disposición del gobierno y de la OMPI.</w:t>
            </w:r>
          </w:p>
          <w:p w:rsidR="00502F27" w:rsidRPr="0074345C" w:rsidRDefault="00502F27" w:rsidP="00E00028">
            <w:pPr>
              <w:tabs>
                <w:tab w:val="num" w:pos="601"/>
              </w:tabs>
              <w:spacing w:after="220"/>
              <w:ind w:left="90"/>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r>
      <w:tr w:rsidR="006376E7" w:rsidRPr="0074345C" w:rsidTr="00E00028">
        <w:trPr>
          <w:trHeight w:val="1288"/>
        </w:trPr>
        <w:tc>
          <w:tcPr>
            <w:tcW w:w="2410" w:type="dxa"/>
            <w:tcBorders>
              <w:left w:val="single" w:sz="2" w:space="0" w:color="000000"/>
              <w:bottom w:val="single" w:sz="2" w:space="0" w:color="000000"/>
              <w:right w:val="single" w:sz="6" w:space="0" w:color="000000"/>
            </w:tcBorders>
            <w:shd w:val="clear" w:color="auto" w:fill="auto"/>
          </w:tcPr>
          <w:p w:rsidR="003260F8" w:rsidRPr="0074345C" w:rsidRDefault="003260F8" w:rsidP="00E00028"/>
          <w:p w:rsidR="003260F8" w:rsidRPr="0074345C" w:rsidRDefault="003260F8" w:rsidP="003260F8">
            <w:r w:rsidRPr="0074345C">
              <w:t>Plan de actividades para la aplicación de dete</w:t>
            </w:r>
            <w:r w:rsidR="00083425" w:rsidRPr="0074345C">
              <w:t>rminadas tecnologías apropiadas</w:t>
            </w:r>
          </w:p>
          <w:p w:rsidR="00502F27" w:rsidRPr="0074345C" w:rsidRDefault="00502F27" w:rsidP="00E00028"/>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3260F8" w:rsidRPr="0074345C" w:rsidRDefault="003260F8" w:rsidP="00E00028"/>
          <w:p w:rsidR="003260F8" w:rsidRPr="0074345C" w:rsidRDefault="003260F8" w:rsidP="003260F8">
            <w:r w:rsidRPr="0074345C">
              <w:t>Se seleccionará una o más tecnologías apropiadas a los fines de su aplicación y se elaborará un plan de actividades para ejecutar el proyecto en la práctica seis meses después de su inicio.</w:t>
            </w:r>
          </w:p>
          <w:p w:rsidR="003260F8" w:rsidRPr="0074345C" w:rsidRDefault="003260F8" w:rsidP="00E00028"/>
          <w:p w:rsidR="003260F8" w:rsidRPr="0074345C" w:rsidRDefault="00083425" w:rsidP="00E00028">
            <w:r w:rsidRPr="0074345C">
              <w:t>Planes de actividades ejecutados</w:t>
            </w:r>
            <w:r w:rsidR="00502F27" w:rsidRPr="0074345C">
              <w:t>.</w:t>
            </w:r>
          </w:p>
          <w:p w:rsidR="00502F27" w:rsidRPr="0074345C" w:rsidRDefault="00502F27" w:rsidP="00E00028">
            <w:pPr>
              <w:tabs>
                <w:tab w:val="left" w:pos="720"/>
              </w:tabs>
              <w:spacing w:after="220"/>
              <w:ind w:left="34"/>
              <w:rPr>
                <w:rFonts w:eastAsia="Malgun Gothic"/>
                <w:kern w:val="2"/>
                <w:lang w:eastAsia="ko-KR"/>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r>
      <w:tr w:rsidR="006376E7" w:rsidRPr="0074345C" w:rsidTr="00E00028">
        <w:trPr>
          <w:trHeight w:val="1288"/>
        </w:trPr>
        <w:tc>
          <w:tcPr>
            <w:tcW w:w="2410" w:type="dxa"/>
            <w:tcBorders>
              <w:left w:val="single" w:sz="2" w:space="0" w:color="000000"/>
              <w:bottom w:val="single" w:sz="2" w:space="0" w:color="000000"/>
              <w:right w:val="single" w:sz="6" w:space="0" w:color="000000"/>
            </w:tcBorders>
            <w:shd w:val="clear" w:color="auto" w:fill="auto"/>
          </w:tcPr>
          <w:p w:rsidR="003260F8" w:rsidRPr="0074345C" w:rsidRDefault="003260F8" w:rsidP="00E00028"/>
          <w:p w:rsidR="00502F27" w:rsidRPr="0074345C" w:rsidRDefault="009E13C2" w:rsidP="003260F8">
            <w:pPr>
              <w:rPr>
                <w:rFonts w:eastAsia="Malgun Gothic"/>
                <w:kern w:val="2"/>
                <w:lang w:eastAsia="ko-KR"/>
              </w:rPr>
            </w:pPr>
            <w:r w:rsidRPr="0074345C">
              <w:rPr>
                <w:rFonts w:eastAsia="Malgun Gothic"/>
                <w:kern w:val="2"/>
                <w:lang w:eastAsia="ko-KR"/>
              </w:rPr>
              <w:t xml:space="preserve">Programa </w:t>
            </w:r>
            <w:r w:rsidR="00083425" w:rsidRPr="0074345C">
              <w:rPr>
                <w:rFonts w:eastAsia="Malgun Gothic"/>
                <w:kern w:val="2"/>
                <w:lang w:eastAsia="ko-KR"/>
              </w:rPr>
              <w:t>a de sensibilización</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 xml:space="preserve">El </w:t>
            </w:r>
            <w:r w:rsidR="009E13C2" w:rsidRPr="0074345C">
              <w:t xml:space="preserve">Programa </w:t>
            </w:r>
            <w:r w:rsidRPr="0074345C">
              <w:t>a de sensibilización destinado a un sector en concreto se terminará de elaborar en un plazo de 24 meses a partir del inicio del proyecto.</w:t>
            </w: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c>
          <w:tcPr>
            <w:tcW w:w="1024" w:type="dxa"/>
            <w:tcBorders>
              <w:top w:val="single" w:sz="2" w:space="0" w:color="000000"/>
              <w:left w:val="single" w:sz="2" w:space="0" w:color="000000"/>
              <w:bottom w:val="single" w:sz="2" w:space="0" w:color="000000"/>
              <w:right w:val="single" w:sz="2" w:space="0" w:color="000000"/>
            </w:tcBorders>
            <w:shd w:val="clear" w:color="auto" w:fill="auto"/>
          </w:tcPr>
          <w:p w:rsidR="003260F8" w:rsidRPr="0074345C" w:rsidRDefault="003260F8" w:rsidP="00E00028"/>
          <w:p w:rsidR="00502F27" w:rsidRPr="0074345C" w:rsidRDefault="003260F8" w:rsidP="003260F8">
            <w:r w:rsidRPr="0074345C">
              <w:t>No está disponible.</w:t>
            </w:r>
          </w:p>
        </w:tc>
      </w:tr>
    </w:tbl>
    <w:p w:rsidR="003260F8" w:rsidRPr="0074345C" w:rsidRDefault="003260F8" w:rsidP="00502F27"/>
    <w:p w:rsidR="003260F8" w:rsidRPr="0074345C" w:rsidRDefault="003260F8" w:rsidP="00502F27"/>
    <w:p w:rsidR="003260F8" w:rsidRPr="0074345C" w:rsidRDefault="003260F8" w:rsidP="00502F27"/>
    <w:p w:rsidR="003260F8" w:rsidRPr="0074345C" w:rsidRDefault="00502F27" w:rsidP="00502F27">
      <w:r w:rsidRPr="0074345C">
        <w:br w:type="page"/>
      </w:r>
    </w:p>
    <w:p w:rsidR="00502F27" w:rsidRPr="0074345C" w:rsidRDefault="00502F27" w:rsidP="00502F27"/>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194"/>
        <w:gridCol w:w="1058"/>
      </w:tblGrid>
      <w:tr w:rsidR="006376E7" w:rsidRPr="0074345C" w:rsidTr="00E00028">
        <w:trPr>
          <w:trHeight w:val="616"/>
        </w:trPr>
        <w:tc>
          <w:tcPr>
            <w:tcW w:w="2410" w:type="dxa"/>
            <w:shd w:val="clear" w:color="auto" w:fill="auto"/>
          </w:tcPr>
          <w:p w:rsidR="00502F27" w:rsidRPr="0074345C" w:rsidRDefault="003260F8" w:rsidP="003260F8">
            <w:pPr>
              <w:pStyle w:val="Heading3"/>
            </w:pPr>
            <w:r w:rsidRPr="0074345C">
              <w:t>Objetivos del proyecto</w:t>
            </w:r>
          </w:p>
        </w:tc>
        <w:tc>
          <w:tcPr>
            <w:tcW w:w="2694" w:type="dxa"/>
            <w:shd w:val="clear" w:color="auto" w:fill="auto"/>
          </w:tcPr>
          <w:p w:rsidR="003260F8" w:rsidRPr="0074345C" w:rsidRDefault="003260F8" w:rsidP="00E00028">
            <w:pPr>
              <w:autoSpaceDE w:val="0"/>
              <w:autoSpaceDN w:val="0"/>
              <w:adjustRightInd w:val="0"/>
              <w:rPr>
                <w:bCs/>
                <w:szCs w:val="22"/>
                <w:u w:val="single"/>
              </w:rPr>
            </w:pPr>
          </w:p>
          <w:p w:rsidR="003260F8" w:rsidRPr="0074345C" w:rsidRDefault="003260F8" w:rsidP="003260F8">
            <w:pPr>
              <w:autoSpaceDE w:val="0"/>
              <w:autoSpaceDN w:val="0"/>
              <w:adjustRightInd w:val="0"/>
              <w:rPr>
                <w:bCs/>
                <w:szCs w:val="22"/>
                <w:u w:val="single"/>
              </w:rPr>
            </w:pPr>
            <w:r w:rsidRPr="0074345C">
              <w:rPr>
                <w:bCs/>
                <w:szCs w:val="22"/>
                <w:u w:val="single"/>
              </w:rPr>
              <w:t>Indicadores de cumplimiento de los objetivos</w:t>
            </w:r>
          </w:p>
          <w:p w:rsidR="003260F8" w:rsidRPr="0074345C" w:rsidRDefault="003260F8" w:rsidP="003260F8">
            <w:pPr>
              <w:autoSpaceDE w:val="0"/>
              <w:autoSpaceDN w:val="0"/>
              <w:adjustRightInd w:val="0"/>
              <w:rPr>
                <w:bCs/>
                <w:szCs w:val="22"/>
                <w:u w:val="single"/>
              </w:rPr>
            </w:pPr>
            <w:r w:rsidRPr="0074345C">
              <w:rPr>
                <w:bCs/>
                <w:szCs w:val="22"/>
                <w:u w:val="single"/>
              </w:rPr>
              <w:t>(Indicadores de resultado)</w:t>
            </w:r>
          </w:p>
          <w:p w:rsidR="00502F27" w:rsidRPr="0074345C" w:rsidRDefault="00502F27" w:rsidP="00E00028"/>
        </w:tc>
        <w:tc>
          <w:tcPr>
            <w:tcW w:w="3194" w:type="dxa"/>
            <w:shd w:val="clear" w:color="auto" w:fill="auto"/>
          </w:tcPr>
          <w:p w:rsidR="00502F27" w:rsidRPr="0074345C" w:rsidRDefault="003260F8" w:rsidP="003260F8">
            <w:pPr>
              <w:pStyle w:val="Heading3"/>
            </w:pPr>
            <w:r w:rsidRPr="0074345C">
              <w:t>Datos sobre el rendimiento</w:t>
            </w:r>
          </w:p>
        </w:tc>
        <w:tc>
          <w:tcPr>
            <w:tcW w:w="1058" w:type="dxa"/>
            <w:shd w:val="clear" w:color="auto" w:fill="auto"/>
          </w:tcPr>
          <w:p w:rsidR="00502F27" w:rsidRPr="0074345C" w:rsidRDefault="003260F8" w:rsidP="003260F8">
            <w:pPr>
              <w:pStyle w:val="Heading3"/>
            </w:pPr>
            <w:r w:rsidRPr="0074345C">
              <w:t>Clave de colores</w:t>
            </w:r>
          </w:p>
        </w:tc>
      </w:tr>
      <w:tr w:rsidR="006376E7" w:rsidRPr="0074345C" w:rsidTr="00E00028">
        <w:trPr>
          <w:trHeight w:val="1626"/>
        </w:trPr>
        <w:tc>
          <w:tcPr>
            <w:tcW w:w="2410" w:type="dxa"/>
            <w:shd w:val="clear" w:color="auto" w:fill="auto"/>
          </w:tcPr>
          <w:p w:rsidR="003260F8" w:rsidRPr="0074345C" w:rsidRDefault="00083425" w:rsidP="003260F8">
            <w:r w:rsidRPr="0074345C">
              <w:t>Mayor capacidad nacional en los PMA que les permita utilizar soluciones técnicas adecuadas para hacer frente a importantes problemas de desarrollo</w:t>
            </w:r>
          </w:p>
          <w:p w:rsidR="00502F27" w:rsidRPr="0074345C" w:rsidRDefault="00502F27" w:rsidP="00E00028">
            <w:pPr>
              <w:rPr>
                <w:bCs/>
              </w:rPr>
            </w:pPr>
          </w:p>
        </w:tc>
        <w:tc>
          <w:tcPr>
            <w:tcW w:w="2694" w:type="dxa"/>
            <w:shd w:val="clear" w:color="auto" w:fill="auto"/>
          </w:tcPr>
          <w:p w:rsidR="003260F8" w:rsidRPr="0074345C" w:rsidRDefault="00CD07A5" w:rsidP="00CD07A5">
            <w:pPr>
              <w:numPr>
                <w:ilvl w:val="0"/>
                <w:numId w:val="42"/>
              </w:numPr>
              <w:tabs>
                <w:tab w:val="left" w:pos="470"/>
              </w:tabs>
              <w:ind w:left="-12" w:firstLine="12"/>
            </w:pPr>
            <w:r w:rsidRPr="0074345C">
              <w:t>Las personas que han recibido formación utilizan las técnicas y conocimientos adquiridos</w:t>
            </w:r>
            <w:r w:rsidR="00502F27" w:rsidRPr="0074345C">
              <w:t xml:space="preserve">; </w:t>
            </w:r>
          </w:p>
          <w:p w:rsidR="003260F8" w:rsidRPr="0074345C" w:rsidRDefault="003260F8" w:rsidP="00E00028"/>
          <w:p w:rsidR="003260F8" w:rsidRPr="0074345C" w:rsidRDefault="00CD07A5" w:rsidP="00CD07A5">
            <w:pPr>
              <w:numPr>
                <w:ilvl w:val="0"/>
                <w:numId w:val="42"/>
              </w:numPr>
              <w:tabs>
                <w:tab w:val="left" w:pos="470"/>
              </w:tabs>
              <w:ind w:left="-12" w:firstLine="12"/>
            </w:pPr>
            <w:r w:rsidRPr="0074345C">
              <w:rPr>
                <w:bCs/>
              </w:rPr>
              <w:t xml:space="preserve">Los </w:t>
            </w:r>
            <w:r w:rsidR="00AC0CD4" w:rsidRPr="0074345C">
              <w:rPr>
                <w:bCs/>
              </w:rPr>
              <w:t>Programas</w:t>
            </w:r>
            <w:r w:rsidRPr="0074345C">
              <w:rPr>
                <w:bCs/>
              </w:rPr>
              <w:t xml:space="preserve"> nacionales de </w:t>
            </w:r>
            <w:r w:rsidRPr="0074345C">
              <w:t>fortalecimiento</w:t>
            </w:r>
            <w:r w:rsidRPr="0074345C">
              <w:rPr>
                <w:bCs/>
              </w:rPr>
              <w:t xml:space="preserve"> de capacidades se mantienen y están ampliándose mediante el apoyo del gobierno y de otros sectores interesados nacionales</w:t>
            </w:r>
            <w:r w:rsidR="00502F27" w:rsidRPr="0074345C">
              <w:t>;</w:t>
            </w:r>
          </w:p>
          <w:p w:rsidR="003260F8" w:rsidRPr="0074345C" w:rsidRDefault="003260F8" w:rsidP="00E00028">
            <w:pPr>
              <w:ind w:left="-12" w:firstLine="12"/>
            </w:pPr>
          </w:p>
          <w:p w:rsidR="003260F8" w:rsidRPr="0074345C" w:rsidRDefault="00CD07A5" w:rsidP="00CD07A5">
            <w:pPr>
              <w:numPr>
                <w:ilvl w:val="0"/>
                <w:numId w:val="42"/>
              </w:numPr>
              <w:tabs>
                <w:tab w:val="left" w:pos="470"/>
              </w:tabs>
              <w:ind w:left="-12" w:firstLine="12"/>
              <w:rPr>
                <w:bCs/>
              </w:rPr>
            </w:pPr>
            <w:r w:rsidRPr="0074345C">
              <w:rPr>
                <w:bCs/>
              </w:rPr>
              <w:t>Se han creado instituciones para seguir trabajando en el ámbito de la tecnología apropiada</w:t>
            </w:r>
            <w:r w:rsidR="00502F27" w:rsidRPr="0074345C">
              <w:rPr>
                <w:bCs/>
              </w:rPr>
              <w:t xml:space="preserve">;  </w:t>
            </w:r>
            <w:r w:rsidRPr="0074345C">
              <w:rPr>
                <w:bCs/>
              </w:rPr>
              <w:t>y</w:t>
            </w:r>
          </w:p>
          <w:p w:rsidR="003260F8" w:rsidRPr="0074345C" w:rsidRDefault="003260F8" w:rsidP="00E00028">
            <w:pPr>
              <w:ind w:left="-12" w:firstLine="12"/>
            </w:pPr>
          </w:p>
          <w:p w:rsidR="003260F8" w:rsidRPr="0074345C" w:rsidRDefault="00CD07A5" w:rsidP="00CD07A5">
            <w:pPr>
              <w:numPr>
                <w:ilvl w:val="0"/>
                <w:numId w:val="42"/>
              </w:numPr>
              <w:tabs>
                <w:tab w:val="left" w:pos="470"/>
              </w:tabs>
              <w:ind w:left="-12" w:firstLine="12"/>
              <w:rPr>
                <w:bCs/>
              </w:rPr>
            </w:pPr>
            <w:r w:rsidRPr="0074345C">
              <w:rPr>
                <w:bCs/>
              </w:rPr>
              <w:t>El grupo de expertos nacionales se ha convertido en un órgano permanente para promover la labor en el ámbito de las tecnologías apropiadas</w:t>
            </w:r>
            <w:r w:rsidR="00502F27" w:rsidRPr="0074345C">
              <w:rPr>
                <w:bCs/>
              </w:rPr>
              <w:t>.</w:t>
            </w:r>
          </w:p>
          <w:p w:rsidR="00502F27" w:rsidRPr="0074345C" w:rsidRDefault="00502F27" w:rsidP="00E00028"/>
        </w:tc>
        <w:tc>
          <w:tcPr>
            <w:tcW w:w="3194" w:type="dxa"/>
            <w:shd w:val="clear" w:color="auto" w:fill="auto"/>
          </w:tcPr>
          <w:p w:rsidR="00502F27" w:rsidRPr="0074345C" w:rsidRDefault="003260F8" w:rsidP="003260F8">
            <w:r w:rsidRPr="0074345C">
              <w:t>No está disponible.</w:t>
            </w:r>
          </w:p>
        </w:tc>
        <w:tc>
          <w:tcPr>
            <w:tcW w:w="1058" w:type="dxa"/>
            <w:shd w:val="clear" w:color="auto" w:fill="auto"/>
          </w:tcPr>
          <w:p w:rsidR="00502F27" w:rsidRPr="0074345C" w:rsidRDefault="003260F8" w:rsidP="003260F8">
            <w:r w:rsidRPr="0074345C">
              <w:t xml:space="preserve">No está </w:t>
            </w:r>
            <w:proofErr w:type="spellStart"/>
            <w:r w:rsidRPr="0074345C">
              <w:t>disponi</w:t>
            </w:r>
            <w:r w:rsidR="009F2FA4" w:rsidRPr="0074345C">
              <w:t>-</w:t>
            </w:r>
            <w:r w:rsidRPr="0074345C">
              <w:t>ble</w:t>
            </w:r>
            <w:proofErr w:type="spellEnd"/>
            <w:r w:rsidRPr="0074345C">
              <w:t>.</w:t>
            </w:r>
          </w:p>
        </w:tc>
      </w:tr>
      <w:tr w:rsidR="006376E7" w:rsidRPr="0074345C" w:rsidTr="00CD07A5">
        <w:trPr>
          <w:trHeight w:val="1126"/>
        </w:trPr>
        <w:tc>
          <w:tcPr>
            <w:tcW w:w="2410" w:type="dxa"/>
            <w:shd w:val="clear" w:color="auto" w:fill="auto"/>
          </w:tcPr>
          <w:p w:rsidR="00502F27" w:rsidRPr="0074345C" w:rsidRDefault="003260F8" w:rsidP="00CD07A5">
            <w:pPr>
              <w:rPr>
                <w:rFonts w:eastAsia="Malgun Gothic"/>
                <w:bCs/>
                <w:kern w:val="2"/>
                <w:lang w:eastAsia="ko-KR"/>
              </w:rPr>
            </w:pPr>
            <w:r w:rsidRPr="0074345C">
              <w:rPr>
                <w:rFonts w:eastAsia="Malgun Gothic"/>
                <w:bCs/>
                <w:kern w:val="2"/>
                <w:lang w:eastAsia="ko-KR"/>
              </w:rPr>
              <w:t>M</w:t>
            </w:r>
            <w:r w:rsidR="00CD07A5" w:rsidRPr="0074345C">
              <w:rPr>
                <w:rFonts w:eastAsia="Malgun Gothic"/>
                <w:bCs/>
                <w:kern w:val="2"/>
                <w:lang w:eastAsia="ko-KR"/>
              </w:rPr>
              <w:t>ayor</w:t>
            </w:r>
            <w:r w:rsidRPr="0074345C">
              <w:rPr>
                <w:rFonts w:eastAsia="Malgun Gothic"/>
                <w:bCs/>
                <w:kern w:val="2"/>
                <w:lang w:eastAsia="ko-KR"/>
              </w:rPr>
              <w:t xml:space="preserve"> comprensión del uso de la información técnica y sobre patentes para la innovación y el fortalecimiento de las capacidades tecnológicas nacionales</w:t>
            </w:r>
          </w:p>
        </w:tc>
        <w:tc>
          <w:tcPr>
            <w:tcW w:w="2694" w:type="dxa"/>
            <w:shd w:val="clear" w:color="auto" w:fill="auto"/>
          </w:tcPr>
          <w:p w:rsidR="003260F8" w:rsidRPr="0074345C" w:rsidRDefault="00CD07A5" w:rsidP="00CD07A5">
            <w:pPr>
              <w:numPr>
                <w:ilvl w:val="0"/>
                <w:numId w:val="43"/>
              </w:numPr>
              <w:tabs>
                <w:tab w:val="left" w:pos="425"/>
              </w:tabs>
              <w:ind w:left="0" w:firstLine="0"/>
              <w:rPr>
                <w:bCs/>
              </w:rPr>
            </w:pPr>
            <w:r w:rsidRPr="0074345C">
              <w:rPr>
                <w:bCs/>
              </w:rPr>
              <w:t>Uso de la información sobre tecnologías apropiadas en aras del desarrollo</w:t>
            </w:r>
            <w:r w:rsidR="00502F27" w:rsidRPr="0074345C">
              <w:rPr>
                <w:bCs/>
              </w:rPr>
              <w:t>;</w:t>
            </w:r>
          </w:p>
          <w:p w:rsidR="003260F8" w:rsidRPr="0074345C" w:rsidRDefault="003260F8" w:rsidP="00E00028">
            <w:pPr>
              <w:tabs>
                <w:tab w:val="left" w:pos="425"/>
              </w:tabs>
              <w:ind w:left="34"/>
              <w:rPr>
                <w:bCs/>
              </w:rPr>
            </w:pPr>
          </w:p>
          <w:p w:rsidR="003260F8" w:rsidRPr="0074345C" w:rsidRDefault="00502F27" w:rsidP="00E00028">
            <w:pPr>
              <w:tabs>
                <w:tab w:val="left" w:pos="425"/>
              </w:tabs>
              <w:ind w:left="34"/>
            </w:pPr>
            <w:r w:rsidRPr="0074345C">
              <w:t>2.</w:t>
            </w:r>
            <w:r w:rsidRPr="0074345C">
              <w:tab/>
            </w:r>
            <w:r w:rsidR="00CD07A5" w:rsidRPr="0074345C">
              <w:t xml:space="preserve">El </w:t>
            </w:r>
            <w:r w:rsidR="00193CE1" w:rsidRPr="0074345C">
              <w:t xml:space="preserve">proyectos </w:t>
            </w:r>
            <w:r w:rsidR="00CD07A5" w:rsidRPr="0074345C">
              <w:t>e ha reproducido o está reproduciéndose en otros ámbitos con un apoyo mínimo de la OMPI</w:t>
            </w:r>
            <w:r w:rsidRPr="0074345C">
              <w:t xml:space="preserve">;  </w:t>
            </w:r>
            <w:r w:rsidR="00CD07A5" w:rsidRPr="0074345C">
              <w:t>y</w:t>
            </w:r>
          </w:p>
          <w:p w:rsidR="003260F8" w:rsidRPr="0074345C" w:rsidRDefault="003260F8" w:rsidP="00E00028">
            <w:pPr>
              <w:tabs>
                <w:tab w:val="left" w:pos="425"/>
              </w:tabs>
              <w:ind w:left="34"/>
            </w:pPr>
          </w:p>
          <w:p w:rsidR="003260F8" w:rsidRPr="0074345C" w:rsidRDefault="00502F27" w:rsidP="00E00028">
            <w:pPr>
              <w:tabs>
                <w:tab w:val="left" w:pos="425"/>
              </w:tabs>
              <w:ind w:left="34"/>
            </w:pPr>
            <w:r w:rsidRPr="0074345C">
              <w:t>3.</w:t>
            </w:r>
            <w:r w:rsidRPr="0074345C">
              <w:tab/>
            </w:r>
            <w:r w:rsidR="00CD07A5" w:rsidRPr="0074345C">
              <w:t xml:space="preserve">La utilización de tecnologías apropiadas en aras del desarrollo económico se ha incorporado en las </w:t>
            </w:r>
            <w:r w:rsidR="00CD07A5" w:rsidRPr="0074345C">
              <w:lastRenderedPageBreak/>
              <w:t>políticas y estrategias nacionales de propiedad intelectual</w:t>
            </w:r>
            <w:r w:rsidRPr="0074345C">
              <w:t>.</w:t>
            </w:r>
          </w:p>
          <w:p w:rsidR="00502F27" w:rsidRPr="0074345C" w:rsidRDefault="00502F27" w:rsidP="00E00028">
            <w:pPr>
              <w:tabs>
                <w:tab w:val="left" w:pos="425"/>
                <w:tab w:val="num" w:pos="560"/>
                <w:tab w:val="left" w:pos="1820"/>
              </w:tabs>
              <w:spacing w:after="220"/>
              <w:rPr>
                <w:rFonts w:eastAsia="Malgun Gothic"/>
                <w:kern w:val="2"/>
                <w:lang w:eastAsia="ko-KR"/>
              </w:rPr>
            </w:pPr>
          </w:p>
        </w:tc>
        <w:tc>
          <w:tcPr>
            <w:tcW w:w="3194" w:type="dxa"/>
            <w:shd w:val="clear" w:color="auto" w:fill="auto"/>
          </w:tcPr>
          <w:p w:rsidR="00502F27" w:rsidRPr="0074345C" w:rsidRDefault="003260F8" w:rsidP="003260F8">
            <w:r w:rsidRPr="0074345C">
              <w:lastRenderedPageBreak/>
              <w:t>No está disponible.</w:t>
            </w:r>
          </w:p>
        </w:tc>
        <w:tc>
          <w:tcPr>
            <w:tcW w:w="1058" w:type="dxa"/>
            <w:shd w:val="clear" w:color="auto" w:fill="auto"/>
          </w:tcPr>
          <w:p w:rsidR="00502F27" w:rsidRPr="0074345C" w:rsidRDefault="003260F8" w:rsidP="003260F8">
            <w:r w:rsidRPr="0074345C">
              <w:t xml:space="preserve">No está </w:t>
            </w:r>
            <w:proofErr w:type="spellStart"/>
            <w:r w:rsidRPr="0074345C">
              <w:t>disponi</w:t>
            </w:r>
            <w:r w:rsidR="009F2FA4" w:rsidRPr="0074345C">
              <w:t>-</w:t>
            </w:r>
            <w:r w:rsidRPr="0074345C">
              <w:t>ble</w:t>
            </w:r>
            <w:proofErr w:type="spellEnd"/>
            <w:r w:rsidRPr="0074345C">
              <w:t>.</w:t>
            </w:r>
          </w:p>
        </w:tc>
      </w:tr>
      <w:tr w:rsidR="00502F27" w:rsidRPr="0074345C" w:rsidTr="00E00028">
        <w:trPr>
          <w:trHeight w:val="2049"/>
        </w:trPr>
        <w:tc>
          <w:tcPr>
            <w:tcW w:w="2410" w:type="dxa"/>
            <w:shd w:val="clear" w:color="auto" w:fill="auto"/>
          </w:tcPr>
          <w:p w:rsidR="003260F8" w:rsidRPr="0074345C" w:rsidRDefault="00565AA1" w:rsidP="003260F8">
            <w:pPr>
              <w:rPr>
                <w:bCs/>
              </w:rPr>
            </w:pPr>
            <w:r w:rsidRPr="0074345C">
              <w:rPr>
                <w:bCs/>
              </w:rPr>
              <w:lastRenderedPageBreak/>
              <w:t>Mejor comprensión del uso de la información técnica y sobre patentes para la innovación y el fortalecimiento de las capacidades tecnológicas nacionales</w:t>
            </w:r>
          </w:p>
          <w:p w:rsidR="003260F8" w:rsidRPr="0074345C" w:rsidRDefault="003260F8" w:rsidP="00E00028">
            <w:pPr>
              <w:rPr>
                <w:bCs/>
              </w:rPr>
            </w:pPr>
          </w:p>
          <w:p w:rsidR="00502F27" w:rsidRPr="0074345C" w:rsidRDefault="00502F27" w:rsidP="00E00028">
            <w:pPr>
              <w:rPr>
                <w:bCs/>
              </w:rPr>
            </w:pPr>
          </w:p>
        </w:tc>
        <w:tc>
          <w:tcPr>
            <w:tcW w:w="2694" w:type="dxa"/>
            <w:shd w:val="clear" w:color="auto" w:fill="auto"/>
          </w:tcPr>
          <w:p w:rsidR="00502F27" w:rsidRPr="0074345C" w:rsidRDefault="006336DE" w:rsidP="00565AA1">
            <w:pPr>
              <w:tabs>
                <w:tab w:val="left" w:pos="425"/>
              </w:tabs>
              <w:rPr>
                <w:bCs/>
              </w:rPr>
            </w:pPr>
            <w:r w:rsidRPr="0074345C">
              <w:rPr>
                <w:bCs/>
              </w:rPr>
              <w:t>Solución de los problemas señalados en función de las necesidades</w:t>
            </w:r>
            <w:r w:rsidR="00502F27" w:rsidRPr="0074345C">
              <w:rPr>
                <w:bCs/>
              </w:rPr>
              <w:t>.</w:t>
            </w:r>
          </w:p>
        </w:tc>
        <w:tc>
          <w:tcPr>
            <w:tcW w:w="3194" w:type="dxa"/>
            <w:shd w:val="clear" w:color="auto" w:fill="auto"/>
          </w:tcPr>
          <w:p w:rsidR="00502F27" w:rsidRPr="0074345C" w:rsidRDefault="003260F8" w:rsidP="003260F8">
            <w:r w:rsidRPr="0074345C">
              <w:t>No está disponible.</w:t>
            </w:r>
          </w:p>
        </w:tc>
        <w:tc>
          <w:tcPr>
            <w:tcW w:w="1058" w:type="dxa"/>
            <w:shd w:val="clear" w:color="auto" w:fill="auto"/>
          </w:tcPr>
          <w:p w:rsidR="00502F27" w:rsidRPr="0074345C" w:rsidRDefault="003260F8" w:rsidP="003260F8">
            <w:r w:rsidRPr="0074345C">
              <w:t xml:space="preserve">No está </w:t>
            </w:r>
            <w:proofErr w:type="spellStart"/>
            <w:r w:rsidRPr="0074345C">
              <w:t>disponi</w:t>
            </w:r>
            <w:r w:rsidR="009F2FA4" w:rsidRPr="0074345C">
              <w:t>-</w:t>
            </w:r>
            <w:r w:rsidRPr="0074345C">
              <w:t>ble</w:t>
            </w:r>
            <w:proofErr w:type="spellEnd"/>
            <w:r w:rsidRPr="0074345C">
              <w:t>.</w:t>
            </w:r>
          </w:p>
        </w:tc>
      </w:tr>
    </w:tbl>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502F27"/>
    <w:p w:rsidR="003260F8" w:rsidRPr="0074345C" w:rsidRDefault="003260F8" w:rsidP="00502F27">
      <w:pPr>
        <w:tabs>
          <w:tab w:val="left" w:pos="3225"/>
        </w:tabs>
      </w:pPr>
    </w:p>
    <w:p w:rsidR="00502F27" w:rsidRPr="0074345C" w:rsidRDefault="003260F8" w:rsidP="003260F8">
      <w:pPr>
        <w:tabs>
          <w:tab w:val="left" w:pos="3225"/>
        </w:tabs>
        <w:ind w:left="2445" w:firstLine="3225"/>
        <w:sectPr w:rsidR="00502F27" w:rsidRPr="0074345C" w:rsidSect="00E00028">
          <w:headerReference w:type="default" r:id="rId60"/>
          <w:headerReference w:type="first" r:id="rId61"/>
          <w:endnotePr>
            <w:numFmt w:val="decimal"/>
          </w:endnotePr>
          <w:pgSz w:w="11907" w:h="16840" w:code="9"/>
          <w:pgMar w:top="567" w:right="1134" w:bottom="1418" w:left="1418" w:header="510" w:footer="1021" w:gutter="0"/>
          <w:pgNumType w:start="1"/>
          <w:cols w:space="720"/>
          <w:titlePg/>
          <w:docGrid w:linePitch="299"/>
        </w:sectPr>
      </w:pPr>
      <w:r w:rsidRPr="0074345C">
        <w:t>[Sigue el Anexo VIII]</w:t>
      </w:r>
    </w:p>
    <w:p w:rsidR="003260F8" w:rsidRPr="0074345C" w:rsidRDefault="003260F8" w:rsidP="00502F27">
      <w:pPr>
        <w:tabs>
          <w:tab w:val="left" w:pos="3225"/>
        </w:tabs>
      </w:pPr>
    </w:p>
    <w:p w:rsidR="003260F8" w:rsidRPr="0074345C" w:rsidRDefault="003260F8" w:rsidP="00502F27">
      <w:pPr>
        <w:tabs>
          <w:tab w:val="left" w:pos="3225"/>
        </w:tabs>
      </w:pPr>
    </w:p>
    <w:p w:rsidR="003260F8" w:rsidRPr="0074345C" w:rsidRDefault="006336DE" w:rsidP="00502F27">
      <w:pPr>
        <w:rPr>
          <w:bCs/>
          <w:szCs w:val="22"/>
        </w:rPr>
      </w:pPr>
      <w:r w:rsidRPr="0074345C">
        <w:rPr>
          <w:bCs/>
          <w:szCs w:val="22"/>
        </w:rPr>
        <w:t xml:space="preserve">INFORME DE TERMINACIÓN, Y DE EVALUACIÓN INTERNA, DEL PROYECTO SOBRE ACCESO A BASES DE DATOS ESPECIALIZADAS Y MANTENIMIENTO </w:t>
      </w:r>
      <w:r w:rsidR="00502F27" w:rsidRPr="0074345C">
        <w:rPr>
          <w:bCs/>
          <w:szCs w:val="22"/>
        </w:rPr>
        <w:t>-</w:t>
      </w:r>
      <w:r w:rsidRPr="0074345C">
        <w:rPr>
          <w:bCs/>
          <w:szCs w:val="22"/>
        </w:rPr>
        <w:t xml:space="preserve"> F</w:t>
      </w:r>
      <w:r w:rsidR="00502F27" w:rsidRPr="0074345C">
        <w:rPr>
          <w:bCs/>
          <w:szCs w:val="22"/>
        </w:rPr>
        <w:t>ASE II</w:t>
      </w:r>
    </w:p>
    <w:p w:rsidR="00502F27" w:rsidRPr="0074345C" w:rsidRDefault="00502F27" w:rsidP="00502F27">
      <w:pPr>
        <w:jc w:val="center"/>
        <w:rPr>
          <w:bCs/>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6376E7" w:rsidRPr="0074345C" w:rsidTr="00E00028">
        <w:trPr>
          <w:trHeight w:val="432"/>
        </w:trPr>
        <w:tc>
          <w:tcPr>
            <w:tcW w:w="9288" w:type="dxa"/>
            <w:gridSpan w:val="2"/>
            <w:tcBorders>
              <w:top w:val="single" w:sz="4" w:space="0" w:color="auto"/>
              <w:left w:val="single" w:sz="4" w:space="0" w:color="auto"/>
              <w:bottom w:val="single" w:sz="4" w:space="0" w:color="auto"/>
              <w:right w:val="single" w:sz="4" w:space="0" w:color="auto"/>
            </w:tcBorders>
            <w:vAlign w:val="center"/>
            <w:hideMark/>
          </w:tcPr>
          <w:p w:rsidR="00502F27" w:rsidRPr="0074345C" w:rsidRDefault="003260F8" w:rsidP="003260F8">
            <w:pPr>
              <w:rPr>
                <w:szCs w:val="22"/>
              </w:rPr>
            </w:pPr>
            <w:r w:rsidRPr="0074345C">
              <w:rPr>
                <w:szCs w:val="22"/>
              </w:rPr>
              <w:t>RESUMEN DEL PROYECTO</w:t>
            </w:r>
          </w:p>
        </w:tc>
      </w:tr>
      <w:tr w:rsidR="006376E7" w:rsidRPr="0074345C" w:rsidTr="00E00028">
        <w:trPr>
          <w:trHeight w:val="496"/>
        </w:trPr>
        <w:tc>
          <w:tcPr>
            <w:tcW w:w="2376" w:type="dxa"/>
            <w:tcBorders>
              <w:top w:val="single" w:sz="4" w:space="0" w:color="auto"/>
              <w:left w:val="single" w:sz="4" w:space="0" w:color="auto"/>
              <w:bottom w:val="single" w:sz="4" w:space="0" w:color="auto"/>
              <w:right w:val="single" w:sz="4" w:space="0" w:color="auto"/>
            </w:tcBorders>
            <w:vAlign w:val="center"/>
            <w:hideMark/>
          </w:tcPr>
          <w:p w:rsidR="00502F27" w:rsidRPr="0074345C" w:rsidRDefault="003260F8" w:rsidP="003260F8">
            <w:pPr>
              <w:rPr>
                <w:szCs w:val="22"/>
              </w:rPr>
            </w:pPr>
            <w:r w:rsidRPr="0074345C">
              <w:rPr>
                <w:szCs w:val="22"/>
              </w:rPr>
              <w:t>Código del proyecto</w:t>
            </w:r>
          </w:p>
        </w:tc>
        <w:tc>
          <w:tcPr>
            <w:tcW w:w="6912" w:type="dxa"/>
            <w:tcBorders>
              <w:top w:val="single" w:sz="4" w:space="0" w:color="auto"/>
              <w:left w:val="single" w:sz="4" w:space="0" w:color="auto"/>
              <w:bottom w:val="single" w:sz="4" w:space="0" w:color="auto"/>
              <w:right w:val="single" w:sz="4" w:space="0" w:color="auto"/>
            </w:tcBorders>
            <w:vAlign w:val="center"/>
            <w:hideMark/>
          </w:tcPr>
          <w:p w:rsidR="003260F8" w:rsidRPr="0074345C" w:rsidRDefault="003260F8" w:rsidP="00E00028">
            <w:pPr>
              <w:rPr>
                <w:szCs w:val="22"/>
              </w:rPr>
            </w:pPr>
          </w:p>
          <w:p w:rsidR="003260F8" w:rsidRPr="0074345C" w:rsidRDefault="003260F8" w:rsidP="003260F8">
            <w:pPr>
              <w:rPr>
                <w:szCs w:val="22"/>
              </w:rPr>
            </w:pPr>
            <w:r w:rsidRPr="0074345C">
              <w:rPr>
                <w:szCs w:val="22"/>
              </w:rPr>
              <w:t>DA_08_02</w:t>
            </w:r>
          </w:p>
          <w:p w:rsidR="00502F27" w:rsidRPr="0074345C" w:rsidRDefault="00502F27" w:rsidP="00E00028">
            <w:pPr>
              <w:rPr>
                <w:szCs w:val="22"/>
              </w:rPr>
            </w:pPr>
          </w:p>
        </w:tc>
      </w:tr>
      <w:tr w:rsidR="006376E7" w:rsidRPr="0074345C" w:rsidTr="00E00028">
        <w:trPr>
          <w:trHeight w:val="404"/>
        </w:trPr>
        <w:tc>
          <w:tcPr>
            <w:tcW w:w="2376" w:type="dxa"/>
            <w:tcBorders>
              <w:top w:val="single" w:sz="4" w:space="0" w:color="auto"/>
              <w:left w:val="single" w:sz="4" w:space="0" w:color="auto"/>
              <w:bottom w:val="single" w:sz="4" w:space="0" w:color="auto"/>
              <w:right w:val="single" w:sz="4" w:space="0" w:color="auto"/>
            </w:tcBorders>
            <w:vAlign w:val="center"/>
            <w:hideMark/>
          </w:tcPr>
          <w:p w:rsidR="00502F27" w:rsidRPr="0074345C" w:rsidRDefault="003260F8" w:rsidP="003260F8">
            <w:pPr>
              <w:rPr>
                <w:szCs w:val="22"/>
              </w:rPr>
            </w:pPr>
            <w:r w:rsidRPr="0074345C">
              <w:rPr>
                <w:szCs w:val="22"/>
              </w:rPr>
              <w:t>Título</w:t>
            </w:r>
          </w:p>
        </w:tc>
        <w:tc>
          <w:tcPr>
            <w:tcW w:w="6912" w:type="dxa"/>
            <w:tcBorders>
              <w:top w:val="single" w:sz="4" w:space="0" w:color="auto"/>
              <w:left w:val="single" w:sz="4" w:space="0" w:color="auto"/>
              <w:bottom w:val="single" w:sz="4" w:space="0" w:color="auto"/>
              <w:right w:val="single" w:sz="4" w:space="0" w:color="auto"/>
            </w:tcBorders>
            <w:vAlign w:val="center"/>
          </w:tcPr>
          <w:p w:rsidR="003260F8" w:rsidRPr="0074345C" w:rsidRDefault="003260F8" w:rsidP="00E00028">
            <w:pPr>
              <w:rPr>
                <w:szCs w:val="22"/>
              </w:rPr>
            </w:pPr>
          </w:p>
          <w:p w:rsidR="003260F8" w:rsidRPr="0074345C" w:rsidRDefault="003260F8" w:rsidP="003260F8">
            <w:pPr>
              <w:rPr>
                <w:szCs w:val="22"/>
              </w:rPr>
            </w:pPr>
            <w:r w:rsidRPr="0074345C">
              <w:rPr>
                <w:szCs w:val="22"/>
              </w:rPr>
              <w:t>Acceso a bases de datos especializadas</w:t>
            </w:r>
            <w:r w:rsidR="008A6A79" w:rsidRPr="0074345C">
              <w:rPr>
                <w:szCs w:val="22"/>
              </w:rPr>
              <w:t xml:space="preserve"> y mantenimiento</w:t>
            </w:r>
            <w:r w:rsidRPr="0074345C">
              <w:rPr>
                <w:szCs w:val="22"/>
              </w:rPr>
              <w:t xml:space="preserve"> – Fase II</w:t>
            </w:r>
          </w:p>
          <w:p w:rsidR="00502F27" w:rsidRPr="0074345C" w:rsidRDefault="00502F27" w:rsidP="00E00028">
            <w:pPr>
              <w:rPr>
                <w:szCs w:val="22"/>
              </w:rPr>
            </w:pPr>
          </w:p>
        </w:tc>
      </w:tr>
      <w:tr w:rsidR="006376E7" w:rsidRPr="0074345C" w:rsidTr="00E00028">
        <w:tc>
          <w:tcPr>
            <w:tcW w:w="2376"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3260F8" w:rsidP="003260F8">
            <w:pPr>
              <w:rPr>
                <w:szCs w:val="22"/>
              </w:rPr>
            </w:pPr>
            <w:r w:rsidRPr="0074345C">
              <w:rPr>
                <w:szCs w:val="22"/>
              </w:rPr>
              <w:t>Recomendación de la Agenda para el Desarrollo</w:t>
            </w:r>
          </w:p>
          <w:p w:rsidR="00502F27" w:rsidRPr="0074345C" w:rsidRDefault="00502F27" w:rsidP="00E00028">
            <w:pPr>
              <w:rPr>
                <w:szCs w:val="22"/>
              </w:rPr>
            </w:pPr>
          </w:p>
        </w:tc>
        <w:tc>
          <w:tcPr>
            <w:tcW w:w="69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i/>
                <w:szCs w:val="22"/>
              </w:rPr>
            </w:pPr>
          </w:p>
          <w:p w:rsidR="003260F8" w:rsidRPr="0074345C" w:rsidRDefault="003260F8" w:rsidP="003260F8">
            <w:pPr>
              <w:rPr>
                <w:szCs w:val="22"/>
              </w:rPr>
            </w:pPr>
            <w:r w:rsidRPr="0074345C">
              <w:rPr>
                <w:i/>
                <w:szCs w:val="22"/>
              </w:rPr>
              <w:t>Recomendación 8:</w:t>
            </w:r>
            <w:r w:rsidRPr="0074345C">
              <w:rPr>
                <w:szCs w:val="22"/>
              </w:rPr>
              <w:t xml:space="preserve">  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p>
          <w:p w:rsidR="00502F27" w:rsidRPr="0074345C" w:rsidRDefault="00502F27" w:rsidP="00E00028">
            <w:pPr>
              <w:rPr>
                <w:i/>
                <w:szCs w:val="22"/>
              </w:rPr>
            </w:pPr>
          </w:p>
        </w:tc>
      </w:tr>
      <w:tr w:rsidR="006376E7" w:rsidRPr="0074345C" w:rsidTr="00E00028">
        <w:tc>
          <w:tcPr>
            <w:tcW w:w="2376"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3260F8" w:rsidP="003260F8">
            <w:pPr>
              <w:rPr>
                <w:szCs w:val="22"/>
              </w:rPr>
            </w:pPr>
            <w:r w:rsidRPr="0074345C">
              <w:rPr>
                <w:szCs w:val="22"/>
              </w:rPr>
              <w:t>Presupuesto del proyecto</w:t>
            </w:r>
          </w:p>
          <w:p w:rsidR="00502F27" w:rsidRPr="0074345C" w:rsidRDefault="00502F27" w:rsidP="00E00028">
            <w:pPr>
              <w:rPr>
                <w:szCs w:val="22"/>
              </w:rPr>
            </w:pPr>
          </w:p>
        </w:tc>
        <w:tc>
          <w:tcPr>
            <w:tcW w:w="69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3260F8" w:rsidP="003260F8">
            <w:pPr>
              <w:rPr>
                <w:szCs w:val="22"/>
              </w:rPr>
            </w:pPr>
            <w:r w:rsidRPr="0074345C">
              <w:rPr>
                <w:szCs w:val="22"/>
              </w:rPr>
              <w:t>Gastos no relativos al personal: 600.000 francos suizos.</w:t>
            </w:r>
          </w:p>
          <w:p w:rsidR="003260F8" w:rsidRPr="0074345C" w:rsidRDefault="003260F8" w:rsidP="00E00028">
            <w:pPr>
              <w:rPr>
                <w:szCs w:val="22"/>
              </w:rPr>
            </w:pPr>
          </w:p>
          <w:p w:rsidR="003260F8" w:rsidRPr="0074345C" w:rsidRDefault="008A6A79" w:rsidP="003260F8">
            <w:pPr>
              <w:rPr>
                <w:szCs w:val="22"/>
              </w:rPr>
            </w:pPr>
            <w:r w:rsidRPr="0074345C">
              <w:rPr>
                <w:szCs w:val="22"/>
              </w:rPr>
              <w:t>Gastos</w:t>
            </w:r>
            <w:r w:rsidR="003260F8" w:rsidRPr="0074345C">
              <w:rPr>
                <w:szCs w:val="22"/>
              </w:rPr>
              <w:t xml:space="preserve"> de personal: 1.006.400 francos suizos.</w:t>
            </w:r>
          </w:p>
          <w:p w:rsidR="00502F27" w:rsidRPr="0074345C" w:rsidRDefault="00502F27" w:rsidP="00E00028">
            <w:pPr>
              <w:rPr>
                <w:szCs w:val="22"/>
              </w:rPr>
            </w:pPr>
          </w:p>
        </w:tc>
      </w:tr>
      <w:tr w:rsidR="006376E7" w:rsidRPr="0074345C" w:rsidTr="00E00028">
        <w:tc>
          <w:tcPr>
            <w:tcW w:w="2376"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3260F8" w:rsidP="003260F8">
            <w:pPr>
              <w:rPr>
                <w:szCs w:val="22"/>
              </w:rPr>
            </w:pPr>
            <w:r w:rsidRPr="0074345C">
              <w:rPr>
                <w:szCs w:val="22"/>
              </w:rPr>
              <w:t>Duración del proyecto</w:t>
            </w:r>
          </w:p>
          <w:p w:rsidR="00502F27" w:rsidRPr="0074345C" w:rsidRDefault="00502F27" w:rsidP="00E00028">
            <w:pPr>
              <w:rPr>
                <w:szCs w:val="22"/>
              </w:rPr>
            </w:pPr>
          </w:p>
        </w:tc>
        <w:tc>
          <w:tcPr>
            <w:tcW w:w="6912" w:type="dxa"/>
            <w:tcBorders>
              <w:top w:val="single" w:sz="4" w:space="0" w:color="auto"/>
              <w:left w:val="single" w:sz="4" w:space="0" w:color="auto"/>
              <w:bottom w:val="single" w:sz="4" w:space="0" w:color="auto"/>
              <w:right w:val="single" w:sz="4" w:space="0" w:color="auto"/>
            </w:tcBorders>
            <w:hideMark/>
          </w:tcPr>
          <w:p w:rsidR="003260F8" w:rsidRPr="0074345C" w:rsidRDefault="003260F8" w:rsidP="00E00028">
            <w:pPr>
              <w:rPr>
                <w:szCs w:val="22"/>
              </w:rPr>
            </w:pPr>
          </w:p>
          <w:p w:rsidR="00502F27" w:rsidRPr="0074345C" w:rsidRDefault="003260F8" w:rsidP="003260F8">
            <w:pPr>
              <w:rPr>
                <w:szCs w:val="22"/>
              </w:rPr>
            </w:pPr>
            <w:r w:rsidRPr="0074345C">
              <w:rPr>
                <w:szCs w:val="22"/>
              </w:rPr>
              <w:t>20 meses</w:t>
            </w:r>
          </w:p>
        </w:tc>
      </w:tr>
      <w:tr w:rsidR="006376E7" w:rsidRPr="0074345C" w:rsidTr="00E00028">
        <w:tc>
          <w:tcPr>
            <w:tcW w:w="2376" w:type="dxa"/>
            <w:tcBorders>
              <w:top w:val="single" w:sz="4" w:space="0" w:color="auto"/>
              <w:left w:val="single" w:sz="4" w:space="0" w:color="auto"/>
              <w:bottom w:val="single" w:sz="4" w:space="0" w:color="auto"/>
              <w:right w:val="single" w:sz="4" w:space="0" w:color="auto"/>
            </w:tcBorders>
            <w:hideMark/>
          </w:tcPr>
          <w:p w:rsidR="003260F8" w:rsidRPr="0074345C" w:rsidRDefault="003260F8" w:rsidP="00E00028">
            <w:pPr>
              <w:rPr>
                <w:szCs w:val="22"/>
              </w:rPr>
            </w:pPr>
          </w:p>
          <w:p w:rsidR="00502F27" w:rsidRPr="0074345C" w:rsidRDefault="003260F8" w:rsidP="003260F8">
            <w:pPr>
              <w:rPr>
                <w:szCs w:val="22"/>
              </w:rPr>
            </w:pPr>
            <w:r w:rsidRPr="0074345C">
              <w:rPr>
                <w:szCs w:val="22"/>
              </w:rPr>
              <w:t xml:space="preserve">Principales sectores de la OMPI interesados y vínculos con los </w:t>
            </w:r>
            <w:r w:rsidR="00AC0CD4" w:rsidRPr="0074345C">
              <w:rPr>
                <w:szCs w:val="22"/>
              </w:rPr>
              <w:t>Programas</w:t>
            </w:r>
            <w:r w:rsidRPr="0074345C">
              <w:rPr>
                <w:szCs w:val="22"/>
              </w:rPr>
              <w:t xml:space="preserve"> de la Organización</w:t>
            </w:r>
          </w:p>
        </w:tc>
        <w:tc>
          <w:tcPr>
            <w:tcW w:w="69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3260F8" w:rsidP="003260F8">
            <w:pPr>
              <w:rPr>
                <w:szCs w:val="22"/>
              </w:rPr>
            </w:pPr>
            <w:r w:rsidRPr="0074345C">
              <w:rPr>
                <w:szCs w:val="22"/>
              </w:rPr>
              <w:t>Sector de la Infraestructura Mundial en cooperación con el Sector de Innovación y Tecnología y el Sector de Desarrollo.</w:t>
            </w:r>
          </w:p>
          <w:p w:rsidR="003260F8" w:rsidRPr="0074345C" w:rsidRDefault="003260F8" w:rsidP="00E00028">
            <w:pPr>
              <w:rPr>
                <w:szCs w:val="22"/>
              </w:rPr>
            </w:pPr>
          </w:p>
          <w:p w:rsidR="003260F8" w:rsidRPr="0074345C" w:rsidRDefault="003260F8" w:rsidP="003260F8">
            <w:pPr>
              <w:rPr>
                <w:szCs w:val="22"/>
              </w:rPr>
            </w:pPr>
            <w:r w:rsidRPr="0074345C">
              <w:rPr>
                <w:szCs w:val="22"/>
              </w:rPr>
              <w:t xml:space="preserve">Vínculos con los </w:t>
            </w:r>
            <w:r w:rsidR="00AC0CD4" w:rsidRPr="0074345C">
              <w:rPr>
                <w:szCs w:val="22"/>
              </w:rPr>
              <w:t>Programas</w:t>
            </w:r>
            <w:r w:rsidRPr="0074345C">
              <w:rPr>
                <w:szCs w:val="22"/>
              </w:rPr>
              <w:t> 1, 8, 9, 10, 11 y 14 de la OMPI.</w:t>
            </w:r>
          </w:p>
          <w:p w:rsidR="00502F27" w:rsidRPr="0074345C" w:rsidRDefault="00502F27" w:rsidP="00E00028">
            <w:pPr>
              <w:rPr>
                <w:szCs w:val="22"/>
              </w:rPr>
            </w:pPr>
          </w:p>
        </w:tc>
      </w:tr>
      <w:tr w:rsidR="00502F27" w:rsidRPr="0074345C" w:rsidTr="00E00028">
        <w:trPr>
          <w:trHeight w:val="2664"/>
        </w:trPr>
        <w:tc>
          <w:tcPr>
            <w:tcW w:w="2376"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502F27" w:rsidRPr="0074345C" w:rsidRDefault="003260F8" w:rsidP="003260F8">
            <w:pPr>
              <w:rPr>
                <w:szCs w:val="22"/>
              </w:rPr>
            </w:pPr>
            <w:r w:rsidRPr="0074345C">
              <w:rPr>
                <w:szCs w:val="22"/>
              </w:rPr>
              <w:t>Breve descripción del proyecto</w:t>
            </w:r>
          </w:p>
        </w:tc>
        <w:tc>
          <w:tcPr>
            <w:tcW w:w="69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3260F8" w:rsidP="003260F8">
            <w:pPr>
              <w:rPr>
                <w:szCs w:val="22"/>
              </w:rPr>
            </w:pPr>
            <w:r w:rsidRPr="0074345C">
              <w:rPr>
                <w:szCs w:val="22"/>
              </w:rPr>
              <w:t>El objetivo del proyecto es fomentar la innovación y el crecimiento económico facilitando el acceso a información tecnológica en los países menos adelantados y los países en desarrollo y fomentando la capacidad de los países para utilizar eficazmente esa información.</w:t>
            </w:r>
            <w:r w:rsidR="00502F27" w:rsidRPr="0074345C">
              <w:rPr>
                <w:szCs w:val="22"/>
              </w:rPr>
              <w:t xml:space="preserve">  </w:t>
            </w:r>
            <w:r w:rsidRPr="0074345C">
              <w:rPr>
                <w:szCs w:val="22"/>
              </w:rPr>
              <w:t>En el marco de este proyecto, la OMPI fomenta la creación y el mantenimiento de centros de apoyo a la tecnología y la innovación (CATI) y de redes conexas en los planos nacional, regional e internacional.</w:t>
            </w:r>
          </w:p>
          <w:p w:rsidR="003260F8" w:rsidRPr="0074345C" w:rsidRDefault="003260F8" w:rsidP="00E00028">
            <w:pPr>
              <w:rPr>
                <w:szCs w:val="22"/>
              </w:rPr>
            </w:pPr>
          </w:p>
          <w:p w:rsidR="003260F8" w:rsidRPr="0074345C" w:rsidRDefault="003260F8" w:rsidP="003260F8">
            <w:pPr>
              <w:rPr>
                <w:szCs w:val="22"/>
              </w:rPr>
            </w:pPr>
            <w:r w:rsidRPr="0074345C">
              <w:rPr>
                <w:szCs w:val="22"/>
              </w:rPr>
              <w:t xml:space="preserve">El principal objetivo de la fase II del proyecto </w:t>
            </w:r>
            <w:r w:rsidR="008A6A79" w:rsidRPr="0074345C">
              <w:rPr>
                <w:szCs w:val="22"/>
              </w:rPr>
              <w:t>era</w:t>
            </w:r>
            <w:r w:rsidRPr="0074345C">
              <w:rPr>
                <w:szCs w:val="22"/>
              </w:rPr>
              <w:t xml:space="preserve"> asegurar la sostenibilidad a largo plazo de los CATI y su capacidad para prestar servicios de apoyo a la tecnología y la innovación útiles y de alta calidad.</w:t>
            </w:r>
          </w:p>
          <w:p w:rsidR="003260F8" w:rsidRPr="0074345C" w:rsidRDefault="003260F8" w:rsidP="00E00028">
            <w:pPr>
              <w:rPr>
                <w:szCs w:val="22"/>
              </w:rPr>
            </w:pPr>
          </w:p>
          <w:p w:rsidR="003260F8" w:rsidRPr="0074345C" w:rsidRDefault="003260F8" w:rsidP="003260F8">
            <w:pPr>
              <w:rPr>
                <w:szCs w:val="22"/>
              </w:rPr>
            </w:pPr>
            <w:r w:rsidRPr="0074345C">
              <w:rPr>
                <w:szCs w:val="22"/>
              </w:rPr>
              <w:t>El objetivo se cumplirá al:</w:t>
            </w:r>
          </w:p>
          <w:p w:rsidR="003260F8" w:rsidRPr="0074345C" w:rsidRDefault="003260F8" w:rsidP="00E00028">
            <w:pPr>
              <w:rPr>
                <w:szCs w:val="22"/>
              </w:rPr>
            </w:pPr>
          </w:p>
          <w:p w:rsidR="003260F8" w:rsidRPr="0074345C" w:rsidRDefault="003260F8" w:rsidP="003260F8">
            <w:pPr>
              <w:numPr>
                <w:ilvl w:val="0"/>
                <w:numId w:val="17"/>
              </w:numPr>
              <w:ind w:left="581" w:hanging="14"/>
              <w:rPr>
                <w:szCs w:val="22"/>
              </w:rPr>
            </w:pPr>
            <w:r w:rsidRPr="0074345C">
              <w:rPr>
                <w:szCs w:val="22"/>
              </w:rPr>
              <w:t xml:space="preserve">Mantener el eficaz </w:t>
            </w:r>
            <w:r w:rsidR="009E13C2" w:rsidRPr="0074345C">
              <w:rPr>
                <w:szCs w:val="22"/>
              </w:rPr>
              <w:t xml:space="preserve">Programa </w:t>
            </w:r>
            <w:r w:rsidRPr="0074345C">
              <w:rPr>
                <w:szCs w:val="22"/>
              </w:rPr>
              <w:t xml:space="preserve">a de formación aplicado al desarrollo de los CATI, con inclusión de formación </w:t>
            </w:r>
            <w:r w:rsidRPr="0074345C">
              <w:rPr>
                <w:i/>
                <w:szCs w:val="22"/>
              </w:rPr>
              <w:t>in situ</w:t>
            </w:r>
            <w:r w:rsidRPr="0074345C">
              <w:rPr>
                <w:szCs w:val="22"/>
              </w:rPr>
              <w:t xml:space="preserve"> y cursos de enseñanza a distancia;</w:t>
            </w:r>
          </w:p>
          <w:p w:rsidR="003260F8" w:rsidRPr="0074345C" w:rsidRDefault="003260F8" w:rsidP="00E00028">
            <w:pPr>
              <w:ind w:left="581" w:hanging="14"/>
              <w:rPr>
                <w:szCs w:val="22"/>
              </w:rPr>
            </w:pPr>
          </w:p>
          <w:p w:rsidR="003260F8" w:rsidRPr="0074345C" w:rsidRDefault="003260F8" w:rsidP="003260F8">
            <w:pPr>
              <w:numPr>
                <w:ilvl w:val="0"/>
                <w:numId w:val="17"/>
              </w:numPr>
              <w:ind w:left="581" w:hanging="14"/>
              <w:rPr>
                <w:szCs w:val="22"/>
              </w:rPr>
            </w:pPr>
            <w:r w:rsidRPr="0074345C">
              <w:rPr>
                <w:szCs w:val="22"/>
              </w:rPr>
              <w:t xml:space="preserve">Mejorar la utilización y el acceso a las bases de datos especializadas en patentes y de otro tipo mediante los </w:t>
            </w:r>
            <w:r w:rsidR="00AC0CD4" w:rsidRPr="0074345C">
              <w:rPr>
                <w:szCs w:val="22"/>
              </w:rPr>
              <w:t>Programas</w:t>
            </w:r>
            <w:r w:rsidRPr="0074345C">
              <w:rPr>
                <w:szCs w:val="22"/>
              </w:rPr>
              <w:t xml:space="preserve"> de acceso a la información especializada sobre patentes (ASPI) y acceso a la investigación para el desarrollo y la innovación (ARDI); </w:t>
            </w:r>
            <w:r w:rsidR="008A6A79" w:rsidRPr="0074345C">
              <w:rPr>
                <w:szCs w:val="22"/>
              </w:rPr>
              <w:t xml:space="preserve"> </w:t>
            </w:r>
            <w:r w:rsidRPr="0074345C">
              <w:rPr>
                <w:szCs w:val="22"/>
              </w:rPr>
              <w:t>y</w:t>
            </w:r>
          </w:p>
          <w:p w:rsidR="003260F8" w:rsidRPr="0074345C" w:rsidRDefault="003260F8" w:rsidP="00E00028">
            <w:pPr>
              <w:ind w:left="581" w:hanging="14"/>
              <w:rPr>
                <w:szCs w:val="22"/>
              </w:rPr>
            </w:pPr>
          </w:p>
          <w:p w:rsidR="003260F8" w:rsidRPr="0074345C" w:rsidRDefault="003260F8" w:rsidP="003260F8">
            <w:pPr>
              <w:numPr>
                <w:ilvl w:val="0"/>
                <w:numId w:val="17"/>
              </w:numPr>
              <w:ind w:left="581" w:hanging="14"/>
              <w:rPr>
                <w:szCs w:val="22"/>
              </w:rPr>
            </w:pPr>
            <w:r w:rsidRPr="0074345C">
              <w:rPr>
                <w:szCs w:val="22"/>
              </w:rPr>
              <w:t>Crear una nueva plataforma de CATI de gestión del conocimiento para facilitar el intercambio entre distintos centros CATI en los planos nacional, regional e internacional;  impartir formación complementaria en los CATI y difundir materiales de información a los CATI y a la sociedad en general.</w:t>
            </w:r>
          </w:p>
          <w:p w:rsidR="003260F8" w:rsidRPr="0074345C" w:rsidRDefault="003260F8" w:rsidP="00E00028">
            <w:pPr>
              <w:rPr>
                <w:szCs w:val="22"/>
              </w:rPr>
            </w:pPr>
          </w:p>
          <w:p w:rsidR="003260F8" w:rsidRPr="0074345C" w:rsidRDefault="003260F8" w:rsidP="003260F8">
            <w:pPr>
              <w:rPr>
                <w:szCs w:val="22"/>
              </w:rPr>
            </w:pPr>
            <w:r w:rsidRPr="0074345C">
              <w:rPr>
                <w:szCs w:val="22"/>
              </w:rPr>
              <w:t>Un segundo objetivo del proyecto e</w:t>
            </w:r>
            <w:r w:rsidR="008A6A79" w:rsidRPr="0074345C">
              <w:rPr>
                <w:szCs w:val="22"/>
              </w:rPr>
              <w:t>ra</w:t>
            </w:r>
            <w:r w:rsidRPr="0074345C">
              <w:rPr>
                <w:szCs w:val="22"/>
              </w:rPr>
              <w:t xml:space="preserve"> mantener la formación inicial de la fase I para los varios países que ya han firmado, o se han comprometido a firmar, acuerdos de prestación de servicios para crear redes nacionales de CATI, pero que todavía no la han recibido.</w:t>
            </w:r>
          </w:p>
          <w:p w:rsidR="00502F27" w:rsidRPr="0074345C" w:rsidRDefault="00502F27" w:rsidP="00E00028">
            <w:pPr>
              <w:rPr>
                <w:szCs w:val="22"/>
              </w:rPr>
            </w:pPr>
          </w:p>
        </w:tc>
      </w:tr>
    </w:tbl>
    <w:p w:rsidR="003260F8" w:rsidRPr="0074345C" w:rsidRDefault="003260F8" w:rsidP="00502F27">
      <w:pPr>
        <w:jc w:val="center"/>
        <w:rPr>
          <w:szCs w:val="22"/>
        </w:rPr>
      </w:pPr>
    </w:p>
    <w:p w:rsidR="003260F8" w:rsidRPr="0074345C" w:rsidRDefault="00502F27" w:rsidP="00502F27">
      <w:pPr>
        <w:rPr>
          <w:szCs w:val="22"/>
        </w:rPr>
      </w:pPr>
      <w:r w:rsidRPr="0074345C">
        <w:rPr>
          <w:szCs w:val="22"/>
        </w:rPr>
        <w:br w:type="page"/>
      </w:r>
    </w:p>
    <w:p w:rsidR="00502F27" w:rsidRPr="0074345C" w:rsidRDefault="00502F27" w:rsidP="00502F27">
      <w:pPr>
        <w:rPr>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6376E7" w:rsidRPr="0074345C" w:rsidTr="00E00028">
        <w:trPr>
          <w:trHeight w:val="484"/>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F27" w:rsidRPr="0074345C" w:rsidRDefault="003260F8" w:rsidP="003260F8">
            <w:pPr>
              <w:rPr>
                <w:szCs w:val="22"/>
              </w:rPr>
            </w:pPr>
            <w:r w:rsidRPr="0074345C">
              <w:rPr>
                <w:szCs w:val="22"/>
              </w:rPr>
              <w:t>Director del Proyecto</w:t>
            </w:r>
          </w:p>
        </w:tc>
        <w:tc>
          <w:tcPr>
            <w:tcW w:w="6912" w:type="dxa"/>
            <w:tcBorders>
              <w:top w:val="single" w:sz="4" w:space="0" w:color="auto"/>
              <w:left w:val="single" w:sz="4" w:space="0" w:color="auto"/>
              <w:bottom w:val="single" w:sz="4" w:space="0" w:color="auto"/>
              <w:right w:val="single" w:sz="4" w:space="0" w:color="auto"/>
            </w:tcBorders>
            <w:vAlign w:val="center"/>
          </w:tcPr>
          <w:p w:rsidR="003260F8" w:rsidRPr="0074345C" w:rsidRDefault="003260F8" w:rsidP="00E00028"/>
          <w:p w:rsidR="003260F8" w:rsidRPr="0074345C" w:rsidRDefault="008A6A79" w:rsidP="00E00028">
            <w:r w:rsidRPr="0074345C">
              <w:t>Sre</w:t>
            </w:r>
            <w:r w:rsidR="00502F27" w:rsidRPr="0074345C">
              <w:t xml:space="preserve">s. Alejandro Roca Campaña </w:t>
            </w:r>
            <w:r w:rsidRPr="0074345C">
              <w:t>y</w:t>
            </w:r>
            <w:r w:rsidR="00502F27" w:rsidRPr="0074345C">
              <w:t xml:space="preserve"> Andrew Czajkowski</w:t>
            </w:r>
          </w:p>
          <w:p w:rsidR="00502F27" w:rsidRPr="0074345C" w:rsidRDefault="00502F27" w:rsidP="00E00028">
            <w:pPr>
              <w:rPr>
                <w:iCs/>
                <w:szCs w:val="22"/>
              </w:rPr>
            </w:pPr>
          </w:p>
        </w:tc>
      </w:tr>
      <w:tr w:rsidR="006376E7" w:rsidRPr="0074345C" w:rsidTr="00E00028">
        <w:trPr>
          <w:trHeight w:val="1165"/>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3260F8" w:rsidRPr="0074345C" w:rsidRDefault="003260F8" w:rsidP="00E00028">
            <w:pPr>
              <w:rPr>
                <w:szCs w:val="22"/>
              </w:rPr>
            </w:pPr>
          </w:p>
          <w:p w:rsidR="00502F27" w:rsidRPr="0074345C" w:rsidRDefault="003260F8" w:rsidP="003260F8">
            <w:pPr>
              <w:rPr>
                <w:szCs w:val="22"/>
              </w:rPr>
            </w:pPr>
            <w:r w:rsidRPr="0074345C">
              <w:rPr>
                <w:szCs w:val="22"/>
              </w:rPr>
              <w:t>Vínculos con los resultados previstos en</w:t>
            </w:r>
            <w:r w:rsidR="009937A2" w:rsidRPr="0074345C">
              <w:rPr>
                <w:szCs w:val="22"/>
              </w:rPr>
              <w:t xml:space="preserve"> el presupuesto por </w:t>
            </w:r>
            <w:r w:rsidR="00AC0CD4" w:rsidRPr="0074345C">
              <w:rPr>
                <w:szCs w:val="22"/>
              </w:rPr>
              <w:t>Programas</w:t>
            </w:r>
          </w:p>
        </w:tc>
        <w:tc>
          <w:tcPr>
            <w:tcW w:w="6912" w:type="dxa"/>
            <w:tcBorders>
              <w:top w:val="single" w:sz="4" w:space="0" w:color="auto"/>
              <w:left w:val="single" w:sz="4" w:space="0" w:color="auto"/>
              <w:bottom w:val="single" w:sz="4" w:space="0" w:color="auto"/>
              <w:right w:val="single" w:sz="4" w:space="0" w:color="auto"/>
            </w:tcBorders>
            <w:vAlign w:val="center"/>
          </w:tcPr>
          <w:p w:rsidR="003260F8" w:rsidRPr="0074345C" w:rsidRDefault="003260F8" w:rsidP="00E00028">
            <w:pPr>
              <w:autoSpaceDE w:val="0"/>
              <w:autoSpaceDN w:val="0"/>
              <w:adjustRightInd w:val="0"/>
              <w:rPr>
                <w:i/>
                <w:szCs w:val="22"/>
              </w:rPr>
            </w:pPr>
          </w:p>
          <w:p w:rsidR="003260F8" w:rsidRPr="0074345C" w:rsidRDefault="003260F8" w:rsidP="003260F8">
            <w:pPr>
              <w:autoSpaceDE w:val="0"/>
              <w:autoSpaceDN w:val="0"/>
              <w:adjustRightInd w:val="0"/>
              <w:rPr>
                <w:szCs w:val="22"/>
              </w:rPr>
            </w:pPr>
            <w:r w:rsidRPr="0074345C">
              <w:rPr>
                <w:i/>
                <w:szCs w:val="22"/>
              </w:rPr>
              <w:t>Meta estratégica VI</w:t>
            </w:r>
            <w:proofErr w:type="gramStart"/>
            <w:r w:rsidRPr="0074345C">
              <w:rPr>
                <w:szCs w:val="22"/>
              </w:rPr>
              <w:t>:  Coordinación</w:t>
            </w:r>
            <w:proofErr w:type="gramEnd"/>
            <w:r w:rsidRPr="0074345C">
              <w:rPr>
                <w:szCs w:val="22"/>
              </w:rPr>
              <w:t xml:space="preserve"> y desarrollo de la infraestructura mundial de P.I.</w:t>
            </w:r>
          </w:p>
          <w:p w:rsidR="003260F8" w:rsidRPr="0074345C" w:rsidRDefault="003260F8" w:rsidP="00E00028">
            <w:pPr>
              <w:autoSpaceDE w:val="0"/>
              <w:autoSpaceDN w:val="0"/>
              <w:adjustRightInd w:val="0"/>
              <w:rPr>
                <w:szCs w:val="22"/>
              </w:rPr>
            </w:pPr>
          </w:p>
          <w:p w:rsidR="003260F8" w:rsidRPr="0074345C" w:rsidRDefault="00502F27" w:rsidP="00E00028">
            <w:pPr>
              <w:autoSpaceDE w:val="0"/>
              <w:autoSpaceDN w:val="0"/>
              <w:adjustRightInd w:val="0"/>
              <w:rPr>
                <w:i/>
                <w:szCs w:val="22"/>
              </w:rPr>
            </w:pPr>
            <w:r w:rsidRPr="0074345C">
              <w:rPr>
                <w:i/>
                <w:szCs w:val="22"/>
              </w:rPr>
              <w:t>Program</w:t>
            </w:r>
            <w:r w:rsidR="008A6A79" w:rsidRPr="0074345C">
              <w:rPr>
                <w:i/>
                <w:szCs w:val="22"/>
              </w:rPr>
              <w:t>a</w:t>
            </w:r>
            <w:r w:rsidRPr="0074345C">
              <w:rPr>
                <w:i/>
                <w:szCs w:val="22"/>
              </w:rPr>
              <w:t xml:space="preserve"> 14</w:t>
            </w:r>
            <w:r w:rsidRPr="0074345C">
              <w:rPr>
                <w:szCs w:val="22"/>
              </w:rPr>
              <w:t>:</w:t>
            </w:r>
            <w:r w:rsidRPr="0074345C">
              <w:rPr>
                <w:i/>
                <w:szCs w:val="22"/>
              </w:rPr>
              <w:t xml:space="preserve"> </w:t>
            </w:r>
            <w:r w:rsidR="008A6A79" w:rsidRPr="0074345C">
              <w:rPr>
                <w:szCs w:val="22"/>
              </w:rPr>
              <w:t>Servicios de acceso a la información y el conocimiento</w:t>
            </w:r>
            <w:r w:rsidRPr="0074345C">
              <w:rPr>
                <w:szCs w:val="22"/>
              </w:rPr>
              <w:t>.</w:t>
            </w:r>
          </w:p>
          <w:p w:rsidR="003260F8" w:rsidRPr="0074345C" w:rsidRDefault="003260F8" w:rsidP="00E00028">
            <w:pPr>
              <w:autoSpaceDE w:val="0"/>
              <w:autoSpaceDN w:val="0"/>
              <w:adjustRightInd w:val="0"/>
              <w:rPr>
                <w:i/>
                <w:szCs w:val="22"/>
              </w:rPr>
            </w:pPr>
          </w:p>
          <w:p w:rsidR="003260F8" w:rsidRPr="0074345C" w:rsidRDefault="008A6A79" w:rsidP="003260F8">
            <w:r w:rsidRPr="0074345C">
              <w:rPr>
                <w:i/>
              </w:rPr>
              <w:t>Resultado previsto IV.</w:t>
            </w:r>
            <w:r w:rsidR="003260F8" w:rsidRPr="0074345C">
              <w:rPr>
                <w:i/>
              </w:rPr>
              <w:t>2:</w:t>
            </w:r>
            <w:r w:rsidR="003260F8" w:rsidRPr="0074345C">
              <w:t xml:space="preserve">  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p>
          <w:p w:rsidR="00502F27" w:rsidRPr="0074345C" w:rsidRDefault="00502F27" w:rsidP="00E00028">
            <w:pPr>
              <w:autoSpaceDE w:val="0"/>
              <w:autoSpaceDN w:val="0"/>
              <w:adjustRightInd w:val="0"/>
              <w:rPr>
                <w:i/>
                <w:szCs w:val="22"/>
              </w:rPr>
            </w:pPr>
          </w:p>
        </w:tc>
      </w:tr>
      <w:tr w:rsidR="006376E7" w:rsidRPr="0074345C" w:rsidTr="00E00028">
        <w:trPr>
          <w:trHeight w:val="1735"/>
        </w:trPr>
        <w:tc>
          <w:tcPr>
            <w:tcW w:w="2376" w:type="dxa"/>
            <w:tcBorders>
              <w:top w:val="single" w:sz="4" w:space="0" w:color="auto"/>
              <w:left w:val="single" w:sz="4" w:space="0" w:color="auto"/>
              <w:bottom w:val="single" w:sz="4" w:space="0" w:color="auto"/>
              <w:right w:val="single" w:sz="4" w:space="0" w:color="auto"/>
            </w:tcBorders>
            <w:shd w:val="clear" w:color="auto" w:fill="auto"/>
          </w:tcPr>
          <w:p w:rsidR="003260F8" w:rsidRPr="0074345C" w:rsidRDefault="003260F8" w:rsidP="00E00028">
            <w:pPr>
              <w:rPr>
                <w:szCs w:val="22"/>
              </w:rPr>
            </w:pPr>
          </w:p>
          <w:p w:rsidR="003260F8" w:rsidRPr="0074345C" w:rsidRDefault="008A6A79" w:rsidP="00E00028">
            <w:pPr>
              <w:rPr>
                <w:szCs w:val="22"/>
              </w:rPr>
            </w:pPr>
            <w:r w:rsidRPr="0074345C">
              <w:rPr>
                <w:szCs w:val="22"/>
              </w:rPr>
              <w:t>Descripción sucinta de la ejecución del proyecto</w:t>
            </w:r>
          </w:p>
          <w:p w:rsidR="00502F27" w:rsidRPr="0074345C" w:rsidRDefault="00502F27" w:rsidP="00E00028">
            <w:pPr>
              <w:rPr>
                <w:szCs w:val="22"/>
              </w:rPr>
            </w:pPr>
          </w:p>
        </w:tc>
        <w:tc>
          <w:tcPr>
            <w:tcW w:w="69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autoSpaceDE w:val="0"/>
              <w:autoSpaceDN w:val="0"/>
              <w:adjustRightInd w:val="0"/>
              <w:rPr>
                <w:szCs w:val="22"/>
                <w:lang w:bidi="th-TH"/>
              </w:rPr>
            </w:pPr>
          </w:p>
          <w:p w:rsidR="003260F8" w:rsidRPr="0074345C" w:rsidRDefault="008A6A79" w:rsidP="003260F8">
            <w:pPr>
              <w:rPr>
                <w:bCs/>
                <w:iCs/>
                <w:szCs w:val="22"/>
                <w:lang w:bidi="th-TH"/>
              </w:rPr>
            </w:pPr>
            <w:r w:rsidRPr="0074345C">
              <w:rPr>
                <w:bCs/>
                <w:iCs/>
                <w:szCs w:val="22"/>
                <w:lang w:bidi="th-TH"/>
              </w:rPr>
              <w:t xml:space="preserve">1.  </w:t>
            </w:r>
            <w:r w:rsidR="003260F8" w:rsidRPr="0074345C">
              <w:rPr>
                <w:bCs/>
                <w:iCs/>
                <w:szCs w:val="22"/>
                <w:lang w:bidi="th-TH"/>
              </w:rPr>
              <w:t xml:space="preserve">Mantener el eficaz </w:t>
            </w:r>
            <w:r w:rsidR="009E13C2" w:rsidRPr="0074345C">
              <w:rPr>
                <w:bCs/>
                <w:iCs/>
                <w:szCs w:val="22"/>
                <w:lang w:bidi="th-TH"/>
              </w:rPr>
              <w:t xml:space="preserve">Programa </w:t>
            </w:r>
            <w:r w:rsidR="003260F8" w:rsidRPr="0074345C">
              <w:rPr>
                <w:bCs/>
                <w:iCs/>
                <w:szCs w:val="22"/>
                <w:lang w:bidi="th-TH"/>
              </w:rPr>
              <w:t xml:space="preserve">a de formación aplicado al desarrollo de los CATI, con inclusión de formación </w:t>
            </w:r>
            <w:r w:rsidR="003260F8" w:rsidRPr="0074345C">
              <w:rPr>
                <w:bCs/>
                <w:i/>
                <w:iCs/>
                <w:szCs w:val="22"/>
                <w:lang w:bidi="th-TH"/>
              </w:rPr>
              <w:t>in situ</w:t>
            </w:r>
            <w:r w:rsidR="003260F8" w:rsidRPr="0074345C">
              <w:rPr>
                <w:bCs/>
                <w:iCs/>
                <w:szCs w:val="22"/>
                <w:lang w:bidi="th-TH"/>
              </w:rPr>
              <w:t xml:space="preserve"> y cursos de enseñanza a distancia;</w:t>
            </w:r>
          </w:p>
          <w:p w:rsidR="003260F8" w:rsidRPr="0074345C" w:rsidRDefault="003260F8" w:rsidP="00E00028">
            <w:pPr>
              <w:rPr>
                <w:bCs/>
                <w:iCs/>
                <w:szCs w:val="22"/>
                <w:lang w:bidi="th-TH"/>
              </w:rPr>
            </w:pPr>
          </w:p>
          <w:p w:rsidR="003260F8" w:rsidRPr="0074345C" w:rsidRDefault="008A6A79" w:rsidP="003260F8">
            <w:pPr>
              <w:rPr>
                <w:bCs/>
                <w:iCs/>
                <w:szCs w:val="22"/>
                <w:lang w:bidi="th-TH"/>
              </w:rPr>
            </w:pPr>
            <w:r w:rsidRPr="0074345C">
              <w:rPr>
                <w:bCs/>
                <w:iCs/>
                <w:szCs w:val="22"/>
                <w:lang w:bidi="th-TH"/>
              </w:rPr>
              <w:t xml:space="preserve">2.  </w:t>
            </w:r>
            <w:r w:rsidR="003260F8" w:rsidRPr="0074345C">
              <w:rPr>
                <w:bCs/>
                <w:iCs/>
                <w:szCs w:val="22"/>
                <w:lang w:bidi="th-TH"/>
              </w:rPr>
              <w:t xml:space="preserve">Mejorar la utilización y el acceso a las bases de datos especializadas en patentes y de otro tipo mediante los </w:t>
            </w:r>
            <w:r w:rsidR="009E13C2" w:rsidRPr="0074345C">
              <w:rPr>
                <w:bCs/>
                <w:iCs/>
                <w:szCs w:val="22"/>
                <w:lang w:bidi="th-TH"/>
              </w:rPr>
              <w:t xml:space="preserve">Programa </w:t>
            </w:r>
            <w:r w:rsidR="003260F8" w:rsidRPr="0074345C">
              <w:rPr>
                <w:bCs/>
                <w:iCs/>
                <w:szCs w:val="22"/>
                <w:lang w:bidi="th-TH"/>
              </w:rPr>
              <w:t>as de acceso a la información especializada sobre patentes (ASPI) y acceso a la investigación para el desarrollo y la innovación (ARDI); y</w:t>
            </w:r>
          </w:p>
          <w:p w:rsidR="003260F8" w:rsidRPr="0074345C" w:rsidRDefault="003260F8" w:rsidP="00E00028">
            <w:pPr>
              <w:rPr>
                <w:bCs/>
                <w:iCs/>
                <w:szCs w:val="22"/>
                <w:lang w:bidi="th-TH"/>
              </w:rPr>
            </w:pPr>
          </w:p>
          <w:p w:rsidR="003260F8" w:rsidRPr="0074345C" w:rsidRDefault="008A6A79" w:rsidP="003260F8">
            <w:pPr>
              <w:rPr>
                <w:bCs/>
                <w:iCs/>
                <w:szCs w:val="22"/>
                <w:lang w:bidi="th-TH"/>
              </w:rPr>
            </w:pPr>
            <w:r w:rsidRPr="0074345C">
              <w:rPr>
                <w:bCs/>
                <w:iCs/>
                <w:szCs w:val="22"/>
                <w:lang w:bidi="th-TH"/>
              </w:rPr>
              <w:t xml:space="preserve">3.  </w:t>
            </w:r>
            <w:r w:rsidR="003260F8" w:rsidRPr="0074345C">
              <w:rPr>
                <w:bCs/>
                <w:iCs/>
                <w:szCs w:val="22"/>
                <w:lang w:bidi="th-TH"/>
              </w:rPr>
              <w:t>Crear una nueva plataforma de CATI de gestión del conocimiento para facilitar el intercambio entre distintos centros CATI en los planos nacional, regional e internacional;  impartir formación complementaria en los CATI y difundir materiales de información a los CATI y a la sociedad en general.</w:t>
            </w:r>
          </w:p>
          <w:p w:rsidR="00502F27" w:rsidRPr="0074345C" w:rsidRDefault="00502F27" w:rsidP="00E00028">
            <w:pPr>
              <w:rPr>
                <w:bCs/>
                <w:iCs/>
                <w:szCs w:val="22"/>
                <w:lang w:bidi="th-TH"/>
              </w:rPr>
            </w:pPr>
          </w:p>
        </w:tc>
      </w:tr>
      <w:tr w:rsidR="006376E7" w:rsidRPr="0074345C" w:rsidTr="00E00028">
        <w:trPr>
          <w:trHeight w:val="121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3260F8" w:rsidRPr="0074345C" w:rsidRDefault="003260F8" w:rsidP="00E00028">
            <w:pPr>
              <w:rPr>
                <w:szCs w:val="22"/>
              </w:rPr>
            </w:pPr>
          </w:p>
          <w:p w:rsidR="00502F27" w:rsidRPr="0074345C" w:rsidRDefault="0015217E" w:rsidP="0015217E">
            <w:pPr>
              <w:rPr>
                <w:szCs w:val="22"/>
              </w:rPr>
            </w:pPr>
            <w:r w:rsidRPr="0074345C">
              <w:rPr>
                <w:bCs/>
                <w:szCs w:val="22"/>
              </w:rPr>
              <w:t>Resultados/incidencia del proyecto y principales enseñanzas extraídas</w:t>
            </w:r>
            <w:r w:rsidRPr="0074345C">
              <w:rPr>
                <w:szCs w:val="22"/>
              </w:rPr>
              <w:t xml:space="preserve"> </w:t>
            </w:r>
          </w:p>
        </w:tc>
        <w:tc>
          <w:tcPr>
            <w:tcW w:w="69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3260F8" w:rsidP="003260F8">
            <w:pPr>
              <w:pStyle w:val="ListParagraph"/>
              <w:numPr>
                <w:ilvl w:val="3"/>
                <w:numId w:val="7"/>
              </w:numPr>
              <w:spacing w:after="220" w:line="276" w:lineRule="auto"/>
              <w:ind w:left="0" w:firstLine="0"/>
              <w:rPr>
                <w:i/>
                <w:lang w:val="es-ES"/>
              </w:rPr>
            </w:pPr>
            <w:r w:rsidRPr="0074345C">
              <w:rPr>
                <w:i/>
                <w:lang w:val="es-ES"/>
              </w:rPr>
              <w:t>Programa de formación</w:t>
            </w:r>
          </w:p>
          <w:p w:rsidR="003260F8" w:rsidRPr="0074345C" w:rsidRDefault="003260F8" w:rsidP="003260F8">
            <w:r w:rsidRPr="0074345C">
              <w:t xml:space="preserve">La formación </w:t>
            </w:r>
            <w:r w:rsidRPr="0074345C">
              <w:rPr>
                <w:i/>
              </w:rPr>
              <w:t>in situ</w:t>
            </w:r>
            <w:r w:rsidRPr="0074345C">
              <w:t xml:space="preserve"> de la fase II sigue adelante en los Estados miembros que habían solicitado participar en el proyecto de los CATI o que habían firmado un acuerdo de prestación de servicios.</w:t>
            </w:r>
            <w:r w:rsidR="00502F27" w:rsidRPr="0074345C">
              <w:t xml:space="preserve"> </w:t>
            </w:r>
          </w:p>
          <w:p w:rsidR="003260F8" w:rsidRPr="0074345C" w:rsidRDefault="003260F8" w:rsidP="00E00028">
            <w:pPr>
              <w:rPr>
                <w:rFonts w:cs="Calibri"/>
              </w:rPr>
            </w:pPr>
          </w:p>
          <w:p w:rsidR="003260F8" w:rsidRPr="0074345C" w:rsidRDefault="008A6A79" w:rsidP="00E00028">
            <w:pPr>
              <w:tabs>
                <w:tab w:val="num" w:pos="927"/>
              </w:tabs>
            </w:pPr>
            <w:r w:rsidRPr="0074345C">
              <w:t>En la f</w:t>
            </w:r>
            <w:r w:rsidR="00502F27" w:rsidRPr="0074345C">
              <w:t xml:space="preserve">ase II, </w:t>
            </w:r>
            <w:r w:rsidRPr="0074345C">
              <w:t xml:space="preserve">se llevaron a cabo </w:t>
            </w:r>
            <w:r w:rsidR="00502F27" w:rsidRPr="0074345C">
              <w:t xml:space="preserve">56 </w:t>
            </w:r>
            <w:r w:rsidRPr="0074345C">
              <w:t>talleres nacionales de formación y 8 seminarios</w:t>
            </w:r>
            <w:r w:rsidR="00502F27" w:rsidRPr="0074345C">
              <w:t xml:space="preserve"> regional</w:t>
            </w:r>
            <w:r w:rsidRPr="0074345C">
              <w:t>e</w:t>
            </w:r>
            <w:r w:rsidR="00502F27" w:rsidRPr="0074345C">
              <w:t>s.</w:t>
            </w:r>
          </w:p>
          <w:p w:rsidR="003260F8" w:rsidRPr="0074345C" w:rsidRDefault="003260F8" w:rsidP="00E00028">
            <w:pPr>
              <w:rPr>
                <w:rFonts w:cs="Calibri"/>
              </w:rPr>
            </w:pPr>
          </w:p>
          <w:p w:rsidR="003260F8" w:rsidRPr="0074345C" w:rsidRDefault="003260F8" w:rsidP="003260F8">
            <w:r w:rsidRPr="0074345C">
              <w:t xml:space="preserve">El número total de actividades de formación </w:t>
            </w:r>
            <w:r w:rsidRPr="0074345C">
              <w:rPr>
                <w:i/>
              </w:rPr>
              <w:t>in situ</w:t>
            </w:r>
            <w:r w:rsidRPr="0074345C">
              <w:t xml:space="preserve"> en relación con los CATI (incluidas las de la fase I) desde el inicio del proyecto en 2009 hasta la fecha es el siguiente:</w:t>
            </w:r>
          </w:p>
          <w:p w:rsidR="003260F8" w:rsidRPr="0074345C" w:rsidRDefault="003260F8" w:rsidP="00E00028"/>
          <w:p w:rsidR="003260F8" w:rsidRPr="0074345C" w:rsidRDefault="00502F27" w:rsidP="00E00028">
            <w:pPr>
              <w:numPr>
                <w:ilvl w:val="0"/>
                <w:numId w:val="20"/>
              </w:numPr>
              <w:spacing w:after="200" w:line="276" w:lineRule="auto"/>
            </w:pPr>
            <w:r w:rsidRPr="0074345C">
              <w:t xml:space="preserve">48 </w:t>
            </w:r>
            <w:r w:rsidR="00EB6DF9" w:rsidRPr="0074345C">
              <w:t>talleres de formación</w:t>
            </w:r>
            <w:r w:rsidR="0017185D" w:rsidRPr="0074345C">
              <w:t xml:space="preserve"> inicial</w:t>
            </w:r>
            <w:r w:rsidRPr="0074345C">
              <w:t xml:space="preserve"> (</w:t>
            </w:r>
            <w:r w:rsidR="00400CAC" w:rsidRPr="0074345C">
              <w:t>centrad</w:t>
            </w:r>
            <w:r w:rsidR="00FE1122" w:rsidRPr="0074345C">
              <w:t>a</w:t>
            </w:r>
            <w:r w:rsidR="00400CAC" w:rsidRPr="0074345C">
              <w:t xml:space="preserve"> en </w:t>
            </w:r>
            <w:r w:rsidR="00FE1122" w:rsidRPr="0074345C">
              <w:t xml:space="preserve">las </w:t>
            </w:r>
            <w:r w:rsidR="00400CAC" w:rsidRPr="0074345C">
              <w:t>bases datos de patentes gratuitos como</w:t>
            </w:r>
            <w:r w:rsidRPr="0074345C">
              <w:t xml:space="preserve"> PATENTSCOPE);</w:t>
            </w:r>
          </w:p>
          <w:p w:rsidR="003260F8" w:rsidRPr="0074345C" w:rsidRDefault="00502F27" w:rsidP="00E00028">
            <w:pPr>
              <w:numPr>
                <w:ilvl w:val="0"/>
                <w:numId w:val="20"/>
              </w:numPr>
              <w:spacing w:after="200" w:line="276" w:lineRule="auto"/>
            </w:pPr>
            <w:r w:rsidRPr="0074345C">
              <w:t xml:space="preserve">23 </w:t>
            </w:r>
            <w:r w:rsidR="00EB6DF9" w:rsidRPr="0074345C">
              <w:t>talleres de formación</w:t>
            </w:r>
            <w:r w:rsidR="00400CAC" w:rsidRPr="0074345C">
              <w:t xml:space="preserve"> de nivel intermedio</w:t>
            </w:r>
            <w:r w:rsidRPr="0074345C">
              <w:t xml:space="preserve"> (</w:t>
            </w:r>
            <w:r w:rsidR="00400CAC" w:rsidRPr="0074345C">
              <w:t>centrad</w:t>
            </w:r>
            <w:r w:rsidR="00FE1122" w:rsidRPr="0074345C">
              <w:t>a</w:t>
            </w:r>
            <w:r w:rsidR="00400CAC" w:rsidRPr="0074345C">
              <w:t xml:space="preserve"> en los diferentes tipos de búsqueda de patentes</w:t>
            </w:r>
            <w:r w:rsidRPr="0074345C">
              <w:t xml:space="preserve">, </w:t>
            </w:r>
            <w:r w:rsidR="00400CAC" w:rsidRPr="0074345C">
              <w:t>como el estado de la técnica y la patentabilidad</w:t>
            </w:r>
            <w:r w:rsidRPr="0074345C">
              <w:t xml:space="preserve">, </w:t>
            </w:r>
            <w:r w:rsidR="00400CAC" w:rsidRPr="0074345C">
              <w:t xml:space="preserve">y el acceso a los programas Research4Life, incluido el </w:t>
            </w:r>
            <w:r w:rsidRPr="0074345C">
              <w:t>ARDI);</w:t>
            </w:r>
          </w:p>
          <w:p w:rsidR="003260F8" w:rsidRPr="0074345C" w:rsidRDefault="00502F27" w:rsidP="00E00028">
            <w:pPr>
              <w:numPr>
                <w:ilvl w:val="0"/>
                <w:numId w:val="20"/>
              </w:numPr>
              <w:spacing w:after="200" w:line="276" w:lineRule="auto"/>
            </w:pPr>
            <w:r w:rsidRPr="0074345C">
              <w:lastRenderedPageBreak/>
              <w:t xml:space="preserve">10 </w:t>
            </w:r>
            <w:r w:rsidR="00EB6DF9" w:rsidRPr="0074345C">
              <w:t>talleres de formación</w:t>
            </w:r>
            <w:r w:rsidR="00400CAC" w:rsidRPr="0074345C">
              <w:t xml:space="preserve"> de nivel avanzado</w:t>
            </w:r>
            <w:r w:rsidRPr="0074345C">
              <w:t xml:space="preserve"> (</w:t>
            </w:r>
            <w:r w:rsidR="00400CAC" w:rsidRPr="0074345C">
              <w:t>centrad</w:t>
            </w:r>
            <w:r w:rsidR="00EB6DF9" w:rsidRPr="0074345C">
              <w:t>a</w:t>
            </w:r>
            <w:r w:rsidR="00400CAC" w:rsidRPr="0074345C">
              <w:t xml:space="preserve"> en las bases de datos de patentes comerciales disponibles mediante el</w:t>
            </w:r>
            <w:r w:rsidRPr="0074345C">
              <w:t xml:space="preserve"> ASPI </w:t>
            </w:r>
            <w:r w:rsidR="00603C0D" w:rsidRPr="0074345C">
              <w:t xml:space="preserve">y </w:t>
            </w:r>
            <w:r w:rsidR="00EB6DF9" w:rsidRPr="0074345C">
              <w:t>una introducción al fomento de la relación empresa /cliente</w:t>
            </w:r>
            <w:r w:rsidRPr="0074345C">
              <w:t>);</w:t>
            </w:r>
          </w:p>
          <w:p w:rsidR="003260F8" w:rsidRPr="0074345C" w:rsidRDefault="00EB6DF9" w:rsidP="00E00028">
            <w:pPr>
              <w:ind w:left="744"/>
            </w:pPr>
            <w:r w:rsidRPr="0074345C">
              <w:t xml:space="preserve">es decir, </w:t>
            </w:r>
            <w:r w:rsidR="00502F27" w:rsidRPr="0074345C">
              <w:t xml:space="preserve">81 </w:t>
            </w:r>
            <w:r w:rsidRPr="0074345C">
              <w:t xml:space="preserve">talleres nacionales de formación en </w:t>
            </w:r>
            <w:r w:rsidR="00502F27" w:rsidRPr="0074345C">
              <w:t xml:space="preserve">total, </w:t>
            </w:r>
            <w:r w:rsidRPr="0074345C">
              <w:t>así como</w:t>
            </w:r>
          </w:p>
          <w:p w:rsidR="003260F8" w:rsidRPr="0074345C" w:rsidRDefault="003260F8" w:rsidP="00E00028">
            <w:pPr>
              <w:ind w:left="720"/>
            </w:pPr>
          </w:p>
          <w:p w:rsidR="003260F8" w:rsidRPr="0074345C" w:rsidRDefault="003260F8" w:rsidP="003260F8">
            <w:pPr>
              <w:numPr>
                <w:ilvl w:val="0"/>
                <w:numId w:val="20"/>
              </w:numPr>
              <w:spacing w:after="200" w:line="276" w:lineRule="auto"/>
            </w:pPr>
            <w:r w:rsidRPr="0074345C">
              <w:t>12 conferencias regionales (de promoción y formación básica).</w:t>
            </w:r>
            <w:r w:rsidR="00502F27" w:rsidRPr="0074345C">
              <w:t xml:space="preserve"> </w:t>
            </w:r>
          </w:p>
          <w:p w:rsidR="003260F8" w:rsidRPr="0074345C" w:rsidRDefault="00EB6DF9" w:rsidP="00E00028">
            <w:r w:rsidRPr="0074345C">
              <w:t xml:space="preserve">En este periodo, se </w:t>
            </w:r>
            <w:r w:rsidR="00A62DF8" w:rsidRPr="0074345C">
              <w:t>pusieron en funcionamiento</w:t>
            </w:r>
            <w:r w:rsidRPr="0074345C">
              <w:t xml:space="preserve"> </w:t>
            </w:r>
            <w:r w:rsidR="00502F27" w:rsidRPr="0074345C">
              <w:t xml:space="preserve">39 </w:t>
            </w:r>
            <w:r w:rsidRPr="0074345C">
              <w:t xml:space="preserve">redes de </w:t>
            </w:r>
            <w:r w:rsidR="00322244" w:rsidRPr="0074345C">
              <w:t>CATI</w:t>
            </w:r>
            <w:r w:rsidRPr="0074345C">
              <w:t xml:space="preserve"> que </w:t>
            </w:r>
            <w:r w:rsidR="00111999" w:rsidRPr="0074345C">
              <w:t>habían</w:t>
            </w:r>
            <w:r w:rsidRPr="0074345C">
              <w:t xml:space="preserve"> firmado un</w:t>
            </w:r>
            <w:r w:rsidR="00111999" w:rsidRPr="0074345C">
              <w:t xml:space="preserve"> </w:t>
            </w:r>
            <w:r w:rsidR="00A62DF8" w:rsidRPr="0074345C">
              <w:t xml:space="preserve">acuerdo de prestación de servicios </w:t>
            </w:r>
            <w:r w:rsidR="00111999" w:rsidRPr="0074345C">
              <w:t>y que habían seguido al menos un primer taller de formación</w:t>
            </w:r>
            <w:r w:rsidR="00502F27" w:rsidRPr="0074345C">
              <w:t>.</w:t>
            </w:r>
          </w:p>
          <w:p w:rsidR="003260F8" w:rsidRPr="0074345C" w:rsidRDefault="003260F8" w:rsidP="00E00028"/>
          <w:p w:rsidR="003260F8" w:rsidRPr="0074345C" w:rsidRDefault="00111999" w:rsidP="00E00028">
            <w:r w:rsidRPr="0074345C">
              <w:t xml:space="preserve">Se calcula que </w:t>
            </w:r>
            <w:r w:rsidR="00603C0D" w:rsidRPr="0074345C">
              <w:t>en</w:t>
            </w:r>
            <w:r w:rsidRPr="0074345C">
              <w:t xml:space="preserve"> esos talleres y conferencias se impartió formación a más de </w:t>
            </w:r>
            <w:r w:rsidR="00502F27" w:rsidRPr="0074345C">
              <w:t xml:space="preserve">5,000 </w:t>
            </w:r>
            <w:r w:rsidRPr="0074345C">
              <w:t>participantes</w:t>
            </w:r>
            <w:r w:rsidR="00502F27" w:rsidRPr="0074345C">
              <w:t>.</w:t>
            </w:r>
          </w:p>
          <w:p w:rsidR="003260F8" w:rsidRPr="0074345C" w:rsidRDefault="003260F8" w:rsidP="00E00028"/>
          <w:p w:rsidR="003260F8" w:rsidRPr="0074345C" w:rsidRDefault="00111999" w:rsidP="00E00028">
            <w:r w:rsidRPr="0074345C">
              <w:t>Además, se han ofrecido cursos de formación a distancia gratuitos al personal acreditado de los CATI, en estrecha colaboración con la Academia de la OMPI</w:t>
            </w:r>
            <w:r w:rsidR="00502F27" w:rsidRPr="0074345C">
              <w:t xml:space="preserve">. </w:t>
            </w:r>
            <w:r w:rsidRPr="0074345C">
              <w:t>Así pues, más de 2.500 participantes se han inscrito a formaciones a distancia en los últimos años</w:t>
            </w:r>
            <w:r w:rsidR="00502F27" w:rsidRPr="0074345C">
              <w:t xml:space="preserve">. </w:t>
            </w:r>
          </w:p>
          <w:p w:rsidR="003260F8" w:rsidRPr="0074345C" w:rsidRDefault="003260F8" w:rsidP="00E00028"/>
          <w:p w:rsidR="003260F8" w:rsidRPr="0074345C" w:rsidRDefault="003260F8" w:rsidP="003260F8">
            <w:pPr>
              <w:pStyle w:val="ListParagraph"/>
              <w:numPr>
                <w:ilvl w:val="0"/>
                <w:numId w:val="7"/>
              </w:numPr>
              <w:spacing w:after="220" w:line="276" w:lineRule="auto"/>
              <w:ind w:left="0" w:firstLine="0"/>
              <w:rPr>
                <w:rFonts w:cs="Calibri"/>
                <w:i/>
                <w:lang w:val="es-ES"/>
              </w:rPr>
            </w:pPr>
            <w:r w:rsidRPr="0074345C">
              <w:rPr>
                <w:rFonts w:cs="Calibri"/>
                <w:i/>
                <w:lang w:val="es-ES"/>
              </w:rPr>
              <w:t>ARDI y ASPI</w:t>
            </w:r>
          </w:p>
          <w:p w:rsidR="003260F8" w:rsidRPr="0074345C" w:rsidRDefault="00C160F9" w:rsidP="00E00028">
            <w:r w:rsidRPr="0074345C">
              <w:t xml:space="preserve">El </w:t>
            </w:r>
            <w:r w:rsidR="009E13C2" w:rsidRPr="0074345C">
              <w:t xml:space="preserve">Programa </w:t>
            </w:r>
            <w:r w:rsidRPr="0074345C">
              <w:t>a de la OMPI de acceso a la investigación para el desarrollo y la innovación (ARDI), que facilita el acceso a publicaciones científicas y técnicas</w:t>
            </w:r>
            <w:r w:rsidR="00502F27" w:rsidRPr="0074345C">
              <w:t xml:space="preserve">, </w:t>
            </w:r>
            <w:r w:rsidRPr="0074345C">
              <w:t xml:space="preserve">proporcionó </w:t>
            </w:r>
            <w:r w:rsidR="00502F27" w:rsidRPr="0074345C">
              <w:t>acceso</w:t>
            </w:r>
            <w:r w:rsidRPr="0074345C">
              <w:t xml:space="preserve"> a</w:t>
            </w:r>
            <w:r w:rsidR="00502F27" w:rsidRPr="0074345C">
              <w:t xml:space="preserve"> 207 </w:t>
            </w:r>
            <w:r w:rsidRPr="0074345C">
              <w:t>instituciones inscritas a fines de</w:t>
            </w:r>
            <w:r w:rsidR="00502F27" w:rsidRPr="0074345C">
              <w:t xml:space="preserve"> 2013.</w:t>
            </w:r>
          </w:p>
          <w:p w:rsidR="003260F8" w:rsidRPr="0074345C" w:rsidRDefault="003260F8" w:rsidP="00E00028"/>
          <w:p w:rsidR="003260F8" w:rsidRPr="0074345C" w:rsidRDefault="00502F27" w:rsidP="003260F8">
            <w:pPr>
              <w:rPr>
                <w:rFonts w:cs="Calibri"/>
              </w:rPr>
            </w:pPr>
            <w:r w:rsidRPr="0074345C">
              <w:t xml:space="preserve">ARDI </w:t>
            </w:r>
            <w:r w:rsidR="00C160F9" w:rsidRPr="0074345C">
              <w:t>posee unas</w:t>
            </w:r>
            <w:r w:rsidRPr="0074345C">
              <w:t xml:space="preserve"> 3</w:t>
            </w:r>
            <w:r w:rsidR="00C160F9" w:rsidRPr="0074345C">
              <w:t>.</w:t>
            </w:r>
            <w:r w:rsidRPr="0074345C">
              <w:t xml:space="preserve">900 </w:t>
            </w:r>
            <w:r w:rsidR="00C160F9" w:rsidRPr="0074345C">
              <w:t>publicaciones periódicas, revisadas por expertos, aportadas por de</w:t>
            </w:r>
            <w:r w:rsidRPr="0074345C">
              <w:t xml:space="preserve"> 17 </w:t>
            </w:r>
            <w:r w:rsidR="00C160F9" w:rsidRPr="0074345C">
              <w:t xml:space="preserve">editoriales, y también da acceso a más de </w:t>
            </w:r>
            <w:r w:rsidRPr="0074345C">
              <w:t>16</w:t>
            </w:r>
            <w:r w:rsidR="00C160F9" w:rsidRPr="0074345C">
              <w:t>.</w:t>
            </w:r>
            <w:r w:rsidRPr="0074345C">
              <w:t xml:space="preserve">000 </w:t>
            </w:r>
            <w:r w:rsidR="00C160F9" w:rsidRPr="0074345C">
              <w:t>libros electrónicos</w:t>
            </w:r>
            <w:r w:rsidRPr="0074345C">
              <w:t xml:space="preserve">. </w:t>
            </w:r>
            <w:r w:rsidR="003260F8" w:rsidRPr="0074345C">
              <w:t xml:space="preserve">La asociación Research4Life (R4L), a la que se han adherido ARDI y otros </w:t>
            </w:r>
            <w:r w:rsidR="00AC0CD4" w:rsidRPr="0074345C">
              <w:t>Programas</w:t>
            </w:r>
            <w:r w:rsidR="00C160F9" w:rsidRPr="0074345C">
              <w:t>,</w:t>
            </w:r>
            <w:r w:rsidR="003260F8" w:rsidRPr="0074345C">
              <w:t xml:space="preserve"> destinados </w:t>
            </w:r>
            <w:r w:rsidR="00C160F9" w:rsidRPr="0074345C">
              <w:t>a dar</w:t>
            </w:r>
            <w:r w:rsidR="003260F8" w:rsidRPr="0074345C">
              <w:t xml:space="preserve"> acceso al conocimiento</w:t>
            </w:r>
            <w:r w:rsidR="00C160F9" w:rsidRPr="0074345C">
              <w:t>,</w:t>
            </w:r>
            <w:r w:rsidR="003260F8" w:rsidRPr="0074345C">
              <w:t xml:space="preserve"> administrados por los organismos especializados de las Naciones Unidas (FAO, PNUMA y OMS), </w:t>
            </w:r>
            <w:r w:rsidR="00C160F9" w:rsidRPr="0074345C">
              <w:t xml:space="preserve">proporciona acceso a más </w:t>
            </w:r>
            <w:r w:rsidR="003260F8" w:rsidRPr="0074345C">
              <w:t>de 45.000 publicaciones</w:t>
            </w:r>
            <w:r w:rsidR="00C160F9" w:rsidRPr="0074345C">
              <w:t xml:space="preserve"> periódicas</w:t>
            </w:r>
            <w:r w:rsidR="003260F8" w:rsidRPr="0074345C">
              <w:t xml:space="preserve"> y libros electrónicos.</w:t>
            </w:r>
          </w:p>
          <w:p w:rsidR="003260F8" w:rsidRPr="0074345C" w:rsidRDefault="003260F8" w:rsidP="00E00028"/>
          <w:p w:rsidR="003260F8" w:rsidRPr="0074345C" w:rsidRDefault="00C160F9" w:rsidP="00E00028">
            <w:r w:rsidRPr="0074345C">
              <w:t xml:space="preserve">El </w:t>
            </w:r>
            <w:r w:rsidR="009E13C2" w:rsidRPr="0074345C">
              <w:t xml:space="preserve">Programa </w:t>
            </w:r>
            <w:r w:rsidRPr="0074345C">
              <w:t>a de la OMPI de acceso a la información especializada sobre patentes (ASPI), que facilita el acceso a bases de datos comerciales especializadas en patentes, despierta e</w:t>
            </w:r>
            <w:r w:rsidR="00EB0C87" w:rsidRPr="0074345C">
              <w:t>l</w:t>
            </w:r>
            <w:r w:rsidRPr="0074345C">
              <w:t xml:space="preserve"> interés de un número cada vez mayor de usuarios, si bien a un ritmo más lento que el </w:t>
            </w:r>
            <w:r w:rsidR="009E13C2" w:rsidRPr="0074345C">
              <w:t xml:space="preserve">Programa </w:t>
            </w:r>
            <w:r w:rsidRPr="0074345C">
              <w:t>a ARDI.  En total, a fines de 2013 se han inscrito poco más de 60 usuarios, de los cuales 20 instituciones utilizan activamente las bases de datos disponibles por medio de ASPI</w:t>
            </w:r>
            <w:r w:rsidR="00502F27" w:rsidRPr="0074345C">
              <w:t>.</w:t>
            </w:r>
          </w:p>
          <w:p w:rsidR="003260F8" w:rsidRPr="0074345C" w:rsidRDefault="003260F8" w:rsidP="00E00028">
            <w:pPr>
              <w:rPr>
                <w:rFonts w:cs="Calibri"/>
              </w:rPr>
            </w:pPr>
          </w:p>
          <w:p w:rsidR="003260F8" w:rsidRPr="0074345C" w:rsidRDefault="003260F8" w:rsidP="003260F8">
            <w:pPr>
              <w:numPr>
                <w:ilvl w:val="0"/>
                <w:numId w:val="7"/>
              </w:numPr>
              <w:spacing w:after="220" w:line="276" w:lineRule="auto"/>
              <w:ind w:hanging="720"/>
              <w:rPr>
                <w:i/>
              </w:rPr>
            </w:pPr>
            <w:r w:rsidRPr="0074345C">
              <w:rPr>
                <w:i/>
              </w:rPr>
              <w:t>Gestión de los conocimientos en los CATI</w:t>
            </w:r>
          </w:p>
          <w:p w:rsidR="003260F8" w:rsidRPr="0074345C" w:rsidRDefault="00ED3696" w:rsidP="003260F8">
            <w:r w:rsidRPr="0074345C">
              <w:t>La plataforma de gestión del conocimiento “</w:t>
            </w:r>
            <w:proofErr w:type="spellStart"/>
            <w:r w:rsidRPr="0074345C">
              <w:t>e</w:t>
            </w:r>
            <w:r w:rsidR="00EB0C87" w:rsidRPr="0074345C">
              <w:t>TISC</w:t>
            </w:r>
            <w:proofErr w:type="spellEnd"/>
            <w:r w:rsidR="00322244" w:rsidRPr="0074345C">
              <w:t xml:space="preserve"> </w:t>
            </w:r>
            <w:r w:rsidRPr="0074345C">
              <w:t>”, creada para respaldar a los CATI y las redes de CATI, comenzó a operar en noviembre de</w:t>
            </w:r>
            <w:r w:rsidR="00502F27" w:rsidRPr="0074345C">
              <w:t xml:space="preserve"> 2012 </w:t>
            </w:r>
            <w:r w:rsidRPr="0074345C">
              <w:t>e incluye foros, grupos de debate, bitácoras, información sobre las próximas actividades, videos y fotos relacionados con el proyecto, así como cursos de enseñanza a distancia y seminarios de formación por Internet</w:t>
            </w:r>
            <w:r w:rsidR="00502F27" w:rsidRPr="0074345C">
              <w:t xml:space="preserve">. </w:t>
            </w:r>
            <w:r w:rsidR="00EB0C87" w:rsidRPr="0074345C">
              <w:t xml:space="preserve"> En total, se han </w:t>
            </w:r>
            <w:r w:rsidR="00EB0C87" w:rsidRPr="0074345C">
              <w:lastRenderedPageBreak/>
              <w:t>impartido</w:t>
            </w:r>
            <w:r w:rsidR="00603C0D" w:rsidRPr="0074345C">
              <w:t xml:space="preserve"> en directo </w:t>
            </w:r>
            <w:r w:rsidR="00EB0C87" w:rsidRPr="0074345C">
              <w:t xml:space="preserve"> siete seminarios de formación por Internet </w:t>
            </w:r>
            <w:r w:rsidR="00502F27" w:rsidRPr="0074345C">
              <w:t>(</w:t>
            </w:r>
            <w:r w:rsidR="00111999" w:rsidRPr="0074345C">
              <w:t>seis en inglé</w:t>
            </w:r>
            <w:r w:rsidR="00EB0C87" w:rsidRPr="0074345C">
              <w:t>s y uno en francés)</w:t>
            </w:r>
            <w:r w:rsidR="00502F27" w:rsidRPr="0074345C">
              <w:t xml:space="preserve">, </w:t>
            </w:r>
            <w:r w:rsidR="00EB0C87" w:rsidRPr="0074345C">
              <w:t xml:space="preserve">y las grabaciones están disponibles en la plataforma </w:t>
            </w:r>
            <w:proofErr w:type="spellStart"/>
            <w:r w:rsidR="00502F27" w:rsidRPr="0074345C">
              <w:t>e</w:t>
            </w:r>
            <w:r w:rsidR="00EB0C87" w:rsidRPr="0074345C">
              <w:t>TISC</w:t>
            </w:r>
            <w:proofErr w:type="spellEnd"/>
            <w:r w:rsidR="00EB0C87" w:rsidRPr="0074345C">
              <w:t xml:space="preserve"> y en el sitio web de los </w:t>
            </w:r>
            <w:r w:rsidR="00322244" w:rsidRPr="0074345C">
              <w:t>CATI</w:t>
            </w:r>
            <w:r w:rsidR="00EB0C87" w:rsidRPr="0074345C">
              <w:t xml:space="preserve">, desde junio de </w:t>
            </w:r>
            <w:r w:rsidR="00502F27" w:rsidRPr="0074345C">
              <w:t xml:space="preserve">2013. </w:t>
            </w:r>
            <w:r w:rsidR="00EB0C87" w:rsidRPr="0074345C">
              <w:t>Se han previsto otros seminarios de formación por Internet regulares en inglés, francés, español, ruso y árabe</w:t>
            </w:r>
            <w:r w:rsidR="00502F27" w:rsidRPr="0074345C">
              <w:t xml:space="preserve">. </w:t>
            </w:r>
            <w:r w:rsidR="003260F8" w:rsidRPr="0074345C">
              <w:t xml:space="preserve">Otro elemento exclusivo de la plataforma </w:t>
            </w:r>
            <w:proofErr w:type="spellStart"/>
            <w:r w:rsidR="00EB0C87" w:rsidRPr="0074345C">
              <w:t>eTISC</w:t>
            </w:r>
            <w:proofErr w:type="spellEnd"/>
            <w:r w:rsidR="003260F8" w:rsidRPr="0074345C">
              <w:t xml:space="preserve"> es su serie “Preguntas al experto”, en la que expertos de renombre internacional comparten su experiencia en materia de P.I. durante sesiones de preguntas y respuestas con los miembros de la plataforma.</w:t>
            </w:r>
          </w:p>
          <w:p w:rsidR="003260F8" w:rsidRPr="0074345C" w:rsidRDefault="003260F8" w:rsidP="00E00028"/>
          <w:p w:rsidR="003260F8" w:rsidRPr="0074345C" w:rsidRDefault="00ED3696" w:rsidP="003260F8">
            <w:r w:rsidRPr="0074345C">
              <w:t>A finales de diciembre</w:t>
            </w:r>
            <w:r w:rsidR="003260F8" w:rsidRPr="0074345C">
              <w:t xml:space="preserve"> de 2013, el número de miembros de la plataforma había superado los 650 y seguía creciendo.</w:t>
            </w:r>
          </w:p>
          <w:p w:rsidR="003260F8" w:rsidRPr="0074345C" w:rsidRDefault="003260F8" w:rsidP="00E00028"/>
          <w:p w:rsidR="003260F8" w:rsidRPr="0074345C" w:rsidRDefault="003260F8" w:rsidP="00E00028"/>
          <w:p w:rsidR="003260F8" w:rsidRPr="0074345C" w:rsidRDefault="00ED2674" w:rsidP="00E00028">
            <w:r w:rsidRPr="0074345C">
              <w:t>Durante</w:t>
            </w:r>
            <w:r w:rsidR="00EB0C87" w:rsidRPr="0074345C">
              <w:t xml:space="preserve"> la </w:t>
            </w:r>
            <w:r w:rsidR="00A62DF8" w:rsidRPr="0074345C">
              <w:t>f</w:t>
            </w:r>
            <w:r w:rsidR="00B4557E" w:rsidRPr="0074345C">
              <w:t>ase II</w:t>
            </w:r>
            <w:r w:rsidR="00502F27" w:rsidRPr="0074345C">
              <w:t xml:space="preserve">, </w:t>
            </w:r>
            <w:r w:rsidRPr="0074345C">
              <w:t>se rediseñó enteramente el sitio web de los C</w:t>
            </w:r>
            <w:r w:rsidR="00322244" w:rsidRPr="0074345C">
              <w:t>ATI</w:t>
            </w:r>
            <w:r w:rsidRPr="0074345C">
              <w:t xml:space="preserve"> para aumentar el alcance y la accesibilidad de la información disponible por internet</w:t>
            </w:r>
            <w:r w:rsidR="00502F27" w:rsidRPr="0074345C">
              <w:t xml:space="preserve">, </w:t>
            </w:r>
            <w:r w:rsidR="000723D2" w:rsidRPr="0074345C">
              <w:t>incluido</w:t>
            </w:r>
            <w:r w:rsidRPr="0074345C">
              <w:t xml:space="preserve"> un “directorio” detallado de los </w:t>
            </w:r>
            <w:r w:rsidR="00B4557E" w:rsidRPr="0074345C">
              <w:t>CATI</w:t>
            </w:r>
            <w:r w:rsidRPr="0074345C">
              <w:t xml:space="preserve"> en el mundo</w:t>
            </w:r>
            <w:r w:rsidR="00502F27" w:rsidRPr="0074345C">
              <w:t xml:space="preserve">, </w:t>
            </w:r>
            <w:r w:rsidRPr="0074345C">
              <w:t xml:space="preserve">y </w:t>
            </w:r>
            <w:r w:rsidR="00A62DF8" w:rsidRPr="0074345C">
              <w:t xml:space="preserve">para </w:t>
            </w:r>
            <w:r w:rsidRPr="0074345C">
              <w:t xml:space="preserve">promover el uso de recursos como los seminarios de </w:t>
            </w:r>
            <w:r w:rsidR="000723D2" w:rsidRPr="0074345C">
              <w:t>formación</w:t>
            </w:r>
            <w:r w:rsidRPr="0074345C">
              <w:t xml:space="preserve"> por Internet y l</w:t>
            </w:r>
            <w:r w:rsidR="000723D2" w:rsidRPr="0074345C">
              <w:t>as guía didácticas interactivas por vía electrónica</w:t>
            </w:r>
            <w:r w:rsidR="00502F27" w:rsidRPr="0074345C">
              <w:t xml:space="preserve"> </w:t>
            </w:r>
            <w:r w:rsidR="000723D2" w:rsidRPr="0074345C">
              <w:t>sobre el uso y la explotación de la información sobre patentes</w:t>
            </w:r>
            <w:r w:rsidR="00502F27" w:rsidRPr="0074345C">
              <w:t>.</w:t>
            </w:r>
          </w:p>
          <w:p w:rsidR="003260F8" w:rsidRPr="0074345C" w:rsidRDefault="003260F8" w:rsidP="00E00028"/>
          <w:p w:rsidR="003260F8" w:rsidRPr="0074345C" w:rsidRDefault="003260F8" w:rsidP="003260F8">
            <w:r w:rsidRPr="0074345C">
              <w:t>El manual electrónico se consultó 5</w:t>
            </w:r>
            <w:r w:rsidR="009A7CE7" w:rsidRPr="0074345C">
              <w:t>.</w:t>
            </w:r>
            <w:r w:rsidRPr="0074345C">
              <w:t>000 veces en el sitio web de los CATI y se han distribuido, desde su creación en octubre de 2012, más de 2.000 ejemplares en formato CD-ROM a los CATI y las personas que lo han solicitado.</w:t>
            </w:r>
          </w:p>
          <w:p w:rsidR="003260F8" w:rsidRPr="0074345C" w:rsidRDefault="003260F8" w:rsidP="00E00028">
            <w:pPr>
              <w:rPr>
                <w:szCs w:val="22"/>
              </w:rPr>
            </w:pPr>
          </w:p>
          <w:p w:rsidR="003260F8" w:rsidRPr="0074345C" w:rsidRDefault="00502F27" w:rsidP="00E00028">
            <w:pPr>
              <w:pStyle w:val="ListParagraph"/>
              <w:numPr>
                <w:ilvl w:val="0"/>
                <w:numId w:val="7"/>
              </w:numPr>
              <w:ind w:hanging="685"/>
              <w:rPr>
                <w:i/>
                <w:lang w:val="es-ES"/>
              </w:rPr>
            </w:pPr>
            <w:r w:rsidRPr="0074345C">
              <w:rPr>
                <w:i/>
                <w:lang w:val="es-ES"/>
              </w:rPr>
              <w:t>I</w:t>
            </w:r>
            <w:r w:rsidR="0063236A" w:rsidRPr="0074345C">
              <w:rPr>
                <w:i/>
                <w:lang w:val="es-ES"/>
              </w:rPr>
              <w:t>ncidencia y experiencia adquirida</w:t>
            </w:r>
          </w:p>
          <w:p w:rsidR="003260F8" w:rsidRPr="0074345C" w:rsidRDefault="003260F8" w:rsidP="00E00028"/>
          <w:p w:rsidR="003260F8" w:rsidRPr="0074345C" w:rsidRDefault="003260F8" w:rsidP="003260F8">
            <w:r w:rsidRPr="0074345C">
              <w:t xml:space="preserve">En la información recibida </w:t>
            </w:r>
            <w:r w:rsidR="0063236A" w:rsidRPr="0074345C">
              <w:t xml:space="preserve">regularmente </w:t>
            </w:r>
            <w:r w:rsidRPr="0074345C">
              <w:t>de los CATI se observa una incidencia positiva en sus instituciones y usuarios, según consta en el informe resumido del cuestionario de evaluación del avance y las necesidades, en la dirección siguiente:</w:t>
            </w:r>
            <w:r w:rsidR="00502F27" w:rsidRPr="0074345C">
              <w:t xml:space="preserve"> </w:t>
            </w:r>
          </w:p>
          <w:p w:rsidR="009B4891" w:rsidRPr="0074345C" w:rsidRDefault="009B4891" w:rsidP="009B4891"/>
          <w:p w:rsidR="009B4891" w:rsidRPr="0074345C" w:rsidRDefault="003A2508" w:rsidP="009B4891">
            <w:pPr>
              <w:rPr>
                <w:rFonts w:cs="Calibri"/>
                <w:lang w:val="fr-FR"/>
              </w:rPr>
            </w:pPr>
            <w:r>
              <w:fldChar w:fldCharType="begin"/>
            </w:r>
            <w:r w:rsidRPr="003A2508">
              <w:rPr>
                <w:lang w:val="fr-CH"/>
              </w:rPr>
              <w:instrText xml:space="preserve"> HYPERLINK "http://www.wipo.int/export/sites/www/TISC%20/en/doc/TISC%20_survey_2013.pdf" </w:instrText>
            </w:r>
            <w:r>
              <w:fldChar w:fldCharType="separate"/>
            </w:r>
            <w:r w:rsidR="0059125F" w:rsidRPr="0074345C">
              <w:rPr>
                <w:rStyle w:val="Hyperlink"/>
                <w:rFonts w:cs="Calibri"/>
                <w:color w:val="auto"/>
                <w:lang w:val="fr-FR"/>
              </w:rPr>
              <w:t>http://www.wipo.int/export/sites/www/TISC /en/doc/TISC _survey_2013.pdf</w:t>
            </w:r>
            <w:r>
              <w:rPr>
                <w:rStyle w:val="Hyperlink"/>
                <w:rFonts w:cs="Calibri"/>
                <w:color w:val="auto"/>
                <w:lang w:val="fr-FR"/>
              </w:rPr>
              <w:fldChar w:fldCharType="end"/>
            </w:r>
          </w:p>
          <w:p w:rsidR="009B4891" w:rsidRPr="0074345C" w:rsidRDefault="009B4891" w:rsidP="009B4891">
            <w:pPr>
              <w:rPr>
                <w:rFonts w:cs="Calibri"/>
                <w:lang w:val="fr-FR"/>
              </w:rPr>
            </w:pPr>
          </w:p>
          <w:p w:rsidR="009B4891" w:rsidRPr="0074345C" w:rsidRDefault="00B3379B" w:rsidP="009B4891">
            <w:r w:rsidRPr="0074345C">
              <w:t xml:space="preserve">Los informes anteriores se pueden comparar </w:t>
            </w:r>
            <w:r w:rsidR="0059125F" w:rsidRPr="0074345C">
              <w:t>con</w:t>
            </w:r>
            <w:r w:rsidRPr="0074345C">
              <w:t xml:space="preserve"> 2012 en</w:t>
            </w:r>
            <w:r w:rsidR="009B4891" w:rsidRPr="0074345C">
              <w:t>:</w:t>
            </w:r>
          </w:p>
          <w:p w:rsidR="009B4891" w:rsidRPr="0074345C" w:rsidRDefault="009B4891" w:rsidP="009B4891"/>
          <w:p w:rsidR="009B4891" w:rsidRPr="0074345C" w:rsidRDefault="003A2508" w:rsidP="009B4891">
            <w:pPr>
              <w:rPr>
                <w:lang w:val="fr-FR"/>
              </w:rPr>
            </w:pPr>
            <w:r>
              <w:fldChar w:fldCharType="begin"/>
            </w:r>
            <w:r w:rsidRPr="003A2508">
              <w:rPr>
                <w:lang w:val="fr-CH"/>
              </w:rPr>
              <w:instrText xml:space="preserve"> HYPERLINK "http://</w:instrText>
            </w:r>
            <w:r w:rsidRPr="003A2508">
              <w:rPr>
                <w:lang w:val="fr-CH"/>
              </w:rPr>
              <w:instrText xml:space="preserve">www.wipo.int/export/sites/www/TISC%20/en/doc/TISC%20_survey_2012.pdf" </w:instrText>
            </w:r>
            <w:r>
              <w:fldChar w:fldCharType="separate"/>
            </w:r>
            <w:r w:rsidR="0059125F" w:rsidRPr="0074345C">
              <w:rPr>
                <w:rStyle w:val="Hyperlink"/>
                <w:color w:val="auto"/>
                <w:lang w:val="fr-FR"/>
              </w:rPr>
              <w:t>http://www.wipo.int/export/sites/www/TISC /en/doc/TISC _survey_2012.pdf</w:t>
            </w:r>
            <w:r>
              <w:rPr>
                <w:rStyle w:val="Hyperlink"/>
                <w:color w:val="auto"/>
                <w:lang w:val="fr-FR"/>
              </w:rPr>
              <w:fldChar w:fldCharType="end"/>
            </w:r>
          </w:p>
          <w:p w:rsidR="009B4891" w:rsidRPr="0074345C" w:rsidRDefault="009B4891" w:rsidP="009B4891">
            <w:pPr>
              <w:rPr>
                <w:lang w:val="fr-FR"/>
              </w:rPr>
            </w:pPr>
          </w:p>
          <w:p w:rsidR="009B4891" w:rsidRPr="0074345C" w:rsidRDefault="0059125F" w:rsidP="009B4891">
            <w:r w:rsidRPr="0074345C">
              <w:t>y con</w:t>
            </w:r>
            <w:r w:rsidR="009B4891" w:rsidRPr="0074345C">
              <w:t xml:space="preserve"> 2011 </w:t>
            </w:r>
            <w:r w:rsidRPr="0074345C">
              <w:t>en</w:t>
            </w:r>
            <w:r w:rsidR="009B4891" w:rsidRPr="0074345C">
              <w:t>:</w:t>
            </w:r>
          </w:p>
          <w:p w:rsidR="009B4891" w:rsidRPr="0074345C" w:rsidRDefault="009B4891" w:rsidP="009B4891"/>
          <w:p w:rsidR="009B4891" w:rsidRPr="0074345C" w:rsidRDefault="003A2508" w:rsidP="009B4891">
            <w:hyperlink r:id="rId62" w:history="1">
              <w:r w:rsidR="0059125F" w:rsidRPr="0074345C">
                <w:rPr>
                  <w:rStyle w:val="Hyperlink"/>
                  <w:color w:val="auto"/>
                </w:rPr>
                <w:t>http://www.wipo.int/export/sites/www/TISC /en/</w:t>
              </w:r>
              <w:proofErr w:type="spellStart"/>
              <w:r w:rsidR="0059125F" w:rsidRPr="0074345C">
                <w:rPr>
                  <w:rStyle w:val="Hyperlink"/>
                  <w:color w:val="auto"/>
                </w:rPr>
                <w:t>doc</w:t>
              </w:r>
              <w:proofErr w:type="spellEnd"/>
              <w:r w:rsidR="0059125F" w:rsidRPr="0074345C">
                <w:rPr>
                  <w:rStyle w:val="Hyperlink"/>
                  <w:color w:val="auto"/>
                </w:rPr>
                <w:t>/TISC _2011_survey_report.pdf</w:t>
              </w:r>
            </w:hyperlink>
          </w:p>
          <w:p w:rsidR="009B4891" w:rsidRPr="0074345C" w:rsidRDefault="009B4891" w:rsidP="009B4891"/>
          <w:p w:rsidR="003260F8" w:rsidRPr="0074345C" w:rsidRDefault="003260F8" w:rsidP="003260F8">
            <w:r w:rsidRPr="0074345C">
              <w:t xml:space="preserve">En el informe más reciente se mantiene la fuerte y continua demanda de ejecución del proyecto en los Estados miembros que ya participan en él y en los que aún no participan, y ello indica que el concepto del </w:t>
            </w:r>
            <w:r w:rsidR="00193CE1" w:rsidRPr="0074345C">
              <w:t>proyecto</w:t>
            </w:r>
            <w:r w:rsidR="00B3379B" w:rsidRPr="0074345C">
              <w:t xml:space="preserve"> s</w:t>
            </w:r>
            <w:r w:rsidRPr="0074345C">
              <w:t>igue ajustándose a las prioridades y necesidades de todos ellos.</w:t>
            </w:r>
          </w:p>
          <w:p w:rsidR="003260F8" w:rsidRPr="0074345C" w:rsidRDefault="003260F8" w:rsidP="00E00028">
            <w:pPr>
              <w:rPr>
                <w:szCs w:val="22"/>
              </w:rPr>
            </w:pPr>
          </w:p>
          <w:p w:rsidR="00502F27" w:rsidRPr="0074345C" w:rsidRDefault="00CB289A" w:rsidP="000D6BE4">
            <w:pPr>
              <w:rPr>
                <w:szCs w:val="22"/>
              </w:rPr>
            </w:pPr>
            <w:r w:rsidRPr="0074345C">
              <w:rPr>
                <w:szCs w:val="22"/>
              </w:rPr>
              <w:t>Además</w:t>
            </w:r>
            <w:r w:rsidR="00060026" w:rsidRPr="0074345C">
              <w:rPr>
                <w:szCs w:val="22"/>
              </w:rPr>
              <w:t>,</w:t>
            </w:r>
            <w:r w:rsidRPr="0074345C">
              <w:rPr>
                <w:szCs w:val="22"/>
              </w:rPr>
              <w:t xml:space="preserve"> en </w:t>
            </w:r>
            <w:r w:rsidR="00603C0D" w:rsidRPr="0074345C">
              <w:rPr>
                <w:szCs w:val="22"/>
              </w:rPr>
              <w:t>el informe más reciente</w:t>
            </w:r>
            <w:r w:rsidR="00EB0C87" w:rsidRPr="0074345C">
              <w:rPr>
                <w:szCs w:val="22"/>
              </w:rPr>
              <w:t xml:space="preserve"> se indica que los CATI actuales </w:t>
            </w:r>
            <w:r w:rsidR="003D71A5" w:rsidRPr="0074345C">
              <w:rPr>
                <w:szCs w:val="22"/>
              </w:rPr>
              <w:t xml:space="preserve">se </w:t>
            </w:r>
            <w:r w:rsidRPr="0074345C">
              <w:rPr>
                <w:szCs w:val="22"/>
              </w:rPr>
              <w:t xml:space="preserve">ocupan </w:t>
            </w:r>
            <w:r w:rsidR="003D71A5" w:rsidRPr="0074345C">
              <w:rPr>
                <w:szCs w:val="22"/>
              </w:rPr>
              <w:t>de unas 1</w:t>
            </w:r>
            <w:r w:rsidR="00502F27" w:rsidRPr="0074345C">
              <w:rPr>
                <w:szCs w:val="22"/>
              </w:rPr>
              <w:t>90</w:t>
            </w:r>
            <w:r w:rsidR="00111999" w:rsidRPr="0074345C">
              <w:rPr>
                <w:szCs w:val="22"/>
              </w:rPr>
              <w:t>.</w:t>
            </w:r>
            <w:r w:rsidR="00502F27" w:rsidRPr="0074345C">
              <w:rPr>
                <w:szCs w:val="22"/>
              </w:rPr>
              <w:t xml:space="preserve">000 </w:t>
            </w:r>
            <w:r w:rsidR="00060026" w:rsidRPr="0074345C">
              <w:rPr>
                <w:szCs w:val="22"/>
              </w:rPr>
              <w:t>consultas cada año</w:t>
            </w:r>
            <w:r w:rsidR="00502F27" w:rsidRPr="0074345C">
              <w:rPr>
                <w:szCs w:val="22"/>
              </w:rPr>
              <w:t>.</w:t>
            </w:r>
          </w:p>
        </w:tc>
      </w:tr>
      <w:tr w:rsidR="006376E7" w:rsidRPr="0074345C" w:rsidTr="00E00028">
        <w:trPr>
          <w:trHeight w:val="140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3260F8" w:rsidRPr="0074345C" w:rsidRDefault="003260F8" w:rsidP="00E00028">
            <w:pPr>
              <w:rPr>
                <w:szCs w:val="22"/>
              </w:rPr>
            </w:pPr>
          </w:p>
          <w:p w:rsidR="00502F27" w:rsidRPr="0074345C" w:rsidRDefault="003260F8" w:rsidP="003260F8">
            <w:pPr>
              <w:rPr>
                <w:szCs w:val="22"/>
              </w:rPr>
            </w:pPr>
            <w:r w:rsidRPr="0074345C">
              <w:rPr>
                <w:szCs w:val="22"/>
              </w:rPr>
              <w:t>Riesgos y medidas paliativas</w:t>
            </w:r>
          </w:p>
        </w:tc>
        <w:tc>
          <w:tcPr>
            <w:tcW w:w="69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pStyle w:val="Default"/>
              <w:rPr>
                <w:color w:val="auto"/>
                <w:sz w:val="22"/>
                <w:szCs w:val="22"/>
                <w:lang w:val="es-ES"/>
              </w:rPr>
            </w:pPr>
          </w:p>
          <w:p w:rsidR="003260F8" w:rsidRPr="0074345C" w:rsidRDefault="00B3379B" w:rsidP="00E00028">
            <w:r w:rsidRPr="0074345C">
              <w:t>Los r</w:t>
            </w:r>
            <w:r w:rsidR="002164FF" w:rsidRPr="0074345C">
              <w:t>iesgos</w:t>
            </w:r>
            <w:r w:rsidR="00502F27" w:rsidRPr="0074345C">
              <w:t xml:space="preserve"> </w:t>
            </w:r>
            <w:r w:rsidRPr="0074345C">
              <w:t>definidos en el</w:t>
            </w:r>
            <w:r w:rsidR="00502F27" w:rsidRPr="0074345C">
              <w:t xml:space="preserve"> </w:t>
            </w:r>
            <w:r w:rsidRPr="0074345C">
              <w:t xml:space="preserve">documento original del </w:t>
            </w:r>
            <w:r w:rsidR="009E13C2" w:rsidRPr="0074345C">
              <w:t>proyecto</w:t>
            </w:r>
            <w:r w:rsidRPr="0074345C">
              <w:t xml:space="preserve"> fueron atenuados como se había previsto inicialmente o no se materializaron</w:t>
            </w:r>
            <w:r w:rsidR="00502F27" w:rsidRPr="0074345C">
              <w:t>.</w:t>
            </w:r>
          </w:p>
          <w:p w:rsidR="003260F8" w:rsidRPr="0074345C" w:rsidRDefault="003260F8" w:rsidP="00E00028"/>
          <w:p w:rsidR="003260F8" w:rsidRPr="0074345C" w:rsidRDefault="002164FF" w:rsidP="00E00028">
            <w:r w:rsidRPr="0074345C">
              <w:t>Riesgo</w:t>
            </w:r>
            <w:r w:rsidR="00EB0C87" w:rsidRPr="0074345C">
              <w:t xml:space="preserve">: </w:t>
            </w:r>
            <w:r w:rsidR="00111999" w:rsidRPr="0074345C">
              <w:t xml:space="preserve">las expectativas de las sesiones de </w:t>
            </w:r>
            <w:r w:rsidR="00B21631" w:rsidRPr="0074345C">
              <w:t>formación</w:t>
            </w:r>
            <w:r w:rsidR="00111999" w:rsidRPr="0074345C">
              <w:t xml:space="preserve"> y del lanzamiento de las redes nacionales de </w:t>
            </w:r>
            <w:r w:rsidR="00322244" w:rsidRPr="0074345C">
              <w:t>CATI</w:t>
            </w:r>
            <w:r w:rsidR="00111999" w:rsidRPr="0074345C">
              <w:t xml:space="preserve"> no se pueden </w:t>
            </w:r>
            <w:r w:rsidR="00B21631" w:rsidRPr="0074345C">
              <w:t xml:space="preserve">cumplir debido a la insuficiencia de recursos para el fortalecimiento de capacidad de los </w:t>
            </w:r>
            <w:r w:rsidR="00322244" w:rsidRPr="0074345C">
              <w:t>CATI</w:t>
            </w:r>
            <w:r w:rsidR="00502F27" w:rsidRPr="0074345C">
              <w:t>.</w:t>
            </w:r>
          </w:p>
          <w:p w:rsidR="003260F8" w:rsidRPr="0074345C" w:rsidRDefault="00EB0C87" w:rsidP="00E00028">
            <w:r w:rsidRPr="0074345C">
              <w:t>Medidas paliativas</w:t>
            </w:r>
            <w:proofErr w:type="gramStart"/>
            <w:r w:rsidR="00502F27" w:rsidRPr="0074345C">
              <w:t xml:space="preserve">:  </w:t>
            </w:r>
            <w:r w:rsidR="00B21631" w:rsidRPr="0074345C">
              <w:t>se</w:t>
            </w:r>
            <w:proofErr w:type="gramEnd"/>
            <w:r w:rsidR="00B21631" w:rsidRPr="0074345C">
              <w:t xml:space="preserve"> han entablado y reforzado los lazos  de cooperación con las organizaciones internacionales</w:t>
            </w:r>
            <w:r w:rsidR="00502F27" w:rsidRPr="0074345C">
              <w:t xml:space="preserve">, </w:t>
            </w:r>
            <w:r w:rsidR="00B21631" w:rsidRPr="0074345C">
              <w:t xml:space="preserve">como la </w:t>
            </w:r>
            <w:r w:rsidR="00502F27" w:rsidRPr="0074345C">
              <w:t xml:space="preserve">ARIPO, ASEAN, OAPI </w:t>
            </w:r>
            <w:r w:rsidR="00B21631" w:rsidRPr="0074345C">
              <w:t xml:space="preserve">y </w:t>
            </w:r>
            <w:r w:rsidR="00502F27" w:rsidRPr="0074345C">
              <w:t xml:space="preserve">OIC </w:t>
            </w:r>
            <w:r w:rsidR="00B21631" w:rsidRPr="0074345C">
              <w:t>con el fin de aprovechar y compartir recursos y conocimientos a nivel regional</w:t>
            </w:r>
            <w:r w:rsidR="00502F27" w:rsidRPr="0074345C">
              <w:t>.</w:t>
            </w:r>
          </w:p>
          <w:p w:rsidR="003260F8" w:rsidRPr="0074345C" w:rsidRDefault="003260F8" w:rsidP="00E00028"/>
          <w:p w:rsidR="003260F8" w:rsidRPr="0074345C" w:rsidRDefault="002164FF" w:rsidP="00E00028">
            <w:r w:rsidRPr="0074345C">
              <w:t>Riesgo</w:t>
            </w:r>
            <w:proofErr w:type="gramStart"/>
            <w:r w:rsidR="00502F27" w:rsidRPr="0074345C">
              <w:t xml:space="preserve">:  </w:t>
            </w:r>
            <w:r w:rsidR="004466EC" w:rsidRPr="0074345C">
              <w:t>r</w:t>
            </w:r>
            <w:r w:rsidR="0059125F" w:rsidRPr="0074345C">
              <w:t>educción</w:t>
            </w:r>
            <w:proofErr w:type="gramEnd"/>
            <w:r w:rsidR="0059125F" w:rsidRPr="0074345C">
              <w:t xml:space="preserve"> del número de contribuyentes a los programas ASPI y </w:t>
            </w:r>
            <w:r w:rsidR="00502F27" w:rsidRPr="0074345C">
              <w:t>ARDI</w:t>
            </w:r>
            <w:r w:rsidR="00603C0D" w:rsidRPr="0074345C">
              <w:t>.</w:t>
            </w:r>
          </w:p>
          <w:p w:rsidR="003260F8" w:rsidRPr="0074345C" w:rsidRDefault="004466EC" w:rsidP="00E00028">
            <w:r w:rsidRPr="0074345C">
              <w:t>Este</w:t>
            </w:r>
            <w:r w:rsidR="00502F27" w:rsidRPr="0074345C">
              <w:t xml:space="preserve"> </w:t>
            </w:r>
            <w:r w:rsidR="002164FF" w:rsidRPr="0074345C">
              <w:t>riesgo</w:t>
            </w:r>
            <w:r w:rsidR="00502F27" w:rsidRPr="0074345C">
              <w:t xml:space="preserve"> </w:t>
            </w:r>
            <w:r w:rsidRPr="0074345C">
              <w:t xml:space="preserve">no se materializó, pero se mantuvieron los esfuerzos para seguir aumentando el número de editores asociados en el programa </w:t>
            </w:r>
            <w:r w:rsidR="00502F27" w:rsidRPr="0074345C">
              <w:t>ARDI.</w:t>
            </w:r>
          </w:p>
          <w:p w:rsidR="003260F8" w:rsidRPr="0074345C" w:rsidRDefault="003260F8" w:rsidP="00E00028"/>
          <w:p w:rsidR="003260F8" w:rsidRPr="0074345C" w:rsidRDefault="002164FF" w:rsidP="00E00028">
            <w:r w:rsidRPr="0074345C">
              <w:t>Riesgo</w:t>
            </w:r>
            <w:r w:rsidR="00502F27" w:rsidRPr="0074345C">
              <w:t xml:space="preserve">: </w:t>
            </w:r>
            <w:r w:rsidR="00B3379B" w:rsidRPr="0074345C">
              <w:t xml:space="preserve">utilización insuficiente de la </w:t>
            </w:r>
            <w:r w:rsidR="00B96917" w:rsidRPr="0074345C">
              <w:t>plataforma de gestión del conocimiento de los CATI</w:t>
            </w:r>
            <w:r w:rsidR="00B3379B" w:rsidRPr="0074345C">
              <w:t>.</w:t>
            </w:r>
          </w:p>
          <w:p w:rsidR="003260F8" w:rsidRPr="0074345C" w:rsidRDefault="004466EC" w:rsidP="00E00028">
            <w:r w:rsidRPr="0074345C">
              <w:t xml:space="preserve">No fueron necesarias las medidas paliativas ya que se constituyó una masa crítica de </w:t>
            </w:r>
            <w:r w:rsidR="002164FF" w:rsidRPr="0074345C">
              <w:t>usuarios</w:t>
            </w:r>
            <w:r w:rsidRPr="0074345C">
              <w:t xml:space="preserve"> con relativa rapidez</w:t>
            </w:r>
            <w:r w:rsidR="00502F27" w:rsidRPr="0074345C">
              <w:t>.</w:t>
            </w:r>
          </w:p>
          <w:p w:rsidR="003260F8" w:rsidRPr="0074345C" w:rsidRDefault="003260F8" w:rsidP="00E00028"/>
          <w:p w:rsidR="003260F8" w:rsidRPr="0074345C" w:rsidRDefault="002164FF" w:rsidP="00E00028">
            <w:r w:rsidRPr="0074345C">
              <w:t>Riesgo</w:t>
            </w:r>
            <w:r w:rsidR="00502F27" w:rsidRPr="0074345C">
              <w:t xml:space="preserve">:  </w:t>
            </w:r>
            <w:r w:rsidR="003D71A5" w:rsidRPr="0074345C">
              <w:t xml:space="preserve">demanda insuficiente de servicios de los </w:t>
            </w:r>
            <w:r w:rsidR="00322244" w:rsidRPr="0074345C">
              <w:t xml:space="preserve">CATI </w:t>
            </w:r>
            <w:r w:rsidR="003D71A5" w:rsidRPr="0074345C">
              <w:t>locales</w:t>
            </w:r>
          </w:p>
          <w:p w:rsidR="003260F8" w:rsidRPr="0074345C" w:rsidRDefault="00EB0C87" w:rsidP="00E00028">
            <w:pPr>
              <w:pStyle w:val="Default"/>
              <w:rPr>
                <w:rFonts w:eastAsia="SimSun"/>
                <w:color w:val="auto"/>
                <w:sz w:val="22"/>
                <w:szCs w:val="20"/>
                <w:lang w:val="es-ES" w:eastAsia="zh-CN"/>
              </w:rPr>
            </w:pPr>
            <w:r w:rsidRPr="0074345C">
              <w:rPr>
                <w:rFonts w:eastAsia="SimSun"/>
                <w:color w:val="auto"/>
                <w:sz w:val="22"/>
                <w:szCs w:val="20"/>
                <w:lang w:val="es-ES" w:eastAsia="zh-CN"/>
              </w:rPr>
              <w:t>Medidas paliativas</w:t>
            </w:r>
            <w:r w:rsidR="00502F27" w:rsidRPr="0074345C">
              <w:rPr>
                <w:rFonts w:eastAsia="SimSun"/>
                <w:color w:val="auto"/>
                <w:sz w:val="22"/>
                <w:szCs w:val="20"/>
                <w:lang w:val="es-ES" w:eastAsia="zh-CN"/>
              </w:rPr>
              <w:t xml:space="preserve">: </w:t>
            </w:r>
            <w:r w:rsidR="004466EC" w:rsidRPr="0074345C">
              <w:rPr>
                <w:rFonts w:eastAsia="SimSun"/>
                <w:color w:val="auto"/>
                <w:sz w:val="22"/>
                <w:szCs w:val="20"/>
                <w:lang w:val="es-ES" w:eastAsia="zh-CN"/>
              </w:rPr>
              <w:t xml:space="preserve">si bien </w:t>
            </w:r>
            <w:r w:rsidR="003D71A5" w:rsidRPr="0074345C">
              <w:rPr>
                <w:rFonts w:eastAsia="SimSun"/>
                <w:color w:val="auto"/>
                <w:sz w:val="22"/>
                <w:szCs w:val="20"/>
                <w:lang w:val="es-ES" w:eastAsia="zh-CN"/>
              </w:rPr>
              <w:t xml:space="preserve">la demanda de </w:t>
            </w:r>
            <w:r w:rsidR="004466EC" w:rsidRPr="0074345C">
              <w:rPr>
                <w:rFonts w:eastAsia="SimSun"/>
                <w:color w:val="auto"/>
                <w:sz w:val="22"/>
                <w:szCs w:val="20"/>
                <w:lang w:val="es-ES" w:eastAsia="zh-CN"/>
              </w:rPr>
              <w:t xml:space="preserve">servicios de los </w:t>
            </w:r>
            <w:r w:rsidR="00B4557E" w:rsidRPr="0074345C">
              <w:rPr>
                <w:rFonts w:eastAsia="SimSun"/>
                <w:color w:val="auto"/>
                <w:sz w:val="22"/>
                <w:szCs w:val="20"/>
                <w:lang w:val="es-ES" w:eastAsia="zh-CN"/>
              </w:rPr>
              <w:t xml:space="preserve">CATI </w:t>
            </w:r>
            <w:r w:rsidR="004466EC" w:rsidRPr="0074345C">
              <w:rPr>
                <w:rFonts w:eastAsia="SimSun"/>
                <w:color w:val="auto"/>
                <w:sz w:val="22"/>
                <w:szCs w:val="20"/>
                <w:lang w:val="es-ES" w:eastAsia="zh-CN"/>
              </w:rPr>
              <w:t xml:space="preserve">sigue aumentando </w:t>
            </w:r>
            <w:r w:rsidR="00502F27" w:rsidRPr="0074345C">
              <w:rPr>
                <w:rFonts w:eastAsia="SimSun"/>
                <w:color w:val="auto"/>
                <w:sz w:val="22"/>
                <w:szCs w:val="20"/>
                <w:lang w:val="es-ES" w:eastAsia="zh-CN"/>
              </w:rPr>
              <w:t>a</w:t>
            </w:r>
            <w:r w:rsidR="003D71A5" w:rsidRPr="0074345C">
              <w:rPr>
                <w:rFonts w:eastAsia="SimSun"/>
                <w:color w:val="auto"/>
                <w:sz w:val="22"/>
                <w:szCs w:val="20"/>
                <w:lang w:val="es-ES" w:eastAsia="zh-CN"/>
              </w:rPr>
              <w:t xml:space="preserve"> nivel nacional, la demanda de </w:t>
            </w:r>
            <w:r w:rsidR="00B96917" w:rsidRPr="0074345C">
              <w:rPr>
                <w:rFonts w:eastAsia="SimSun"/>
                <w:color w:val="auto"/>
                <w:sz w:val="22"/>
                <w:szCs w:val="20"/>
                <w:lang w:val="es-ES" w:eastAsia="zh-CN"/>
              </w:rPr>
              <w:t xml:space="preserve">servicios </w:t>
            </w:r>
            <w:r w:rsidR="003D71A5" w:rsidRPr="0074345C">
              <w:rPr>
                <w:rFonts w:eastAsia="SimSun"/>
                <w:color w:val="auto"/>
                <w:sz w:val="22"/>
                <w:szCs w:val="20"/>
                <w:lang w:val="es-ES" w:eastAsia="zh-CN"/>
              </w:rPr>
              <w:t xml:space="preserve">los </w:t>
            </w:r>
            <w:r w:rsidR="00322244" w:rsidRPr="0074345C">
              <w:rPr>
                <w:rFonts w:eastAsia="SimSun"/>
                <w:color w:val="auto"/>
                <w:sz w:val="22"/>
                <w:szCs w:val="20"/>
                <w:lang w:val="es-ES" w:eastAsia="zh-CN"/>
              </w:rPr>
              <w:t>CATI</w:t>
            </w:r>
            <w:r w:rsidR="003D71A5" w:rsidRPr="0074345C">
              <w:rPr>
                <w:rFonts w:eastAsia="SimSun"/>
                <w:color w:val="auto"/>
                <w:sz w:val="22"/>
                <w:szCs w:val="20"/>
                <w:lang w:val="es-ES" w:eastAsia="zh-CN"/>
              </w:rPr>
              <w:t xml:space="preserve"> a nivel local sigue siendo motivo de preocupación en muchos</w:t>
            </w:r>
            <w:r w:rsidR="00502F27" w:rsidRPr="0074345C">
              <w:rPr>
                <w:rFonts w:eastAsia="SimSun"/>
                <w:color w:val="auto"/>
                <w:sz w:val="22"/>
                <w:szCs w:val="20"/>
                <w:lang w:val="es-ES" w:eastAsia="zh-CN"/>
              </w:rPr>
              <w:t xml:space="preserve"> </w:t>
            </w:r>
            <w:r w:rsidR="002034F4" w:rsidRPr="0074345C">
              <w:rPr>
                <w:rFonts w:eastAsia="SimSun"/>
                <w:color w:val="auto"/>
                <w:sz w:val="22"/>
                <w:szCs w:val="20"/>
                <w:lang w:val="es-ES" w:eastAsia="zh-CN"/>
              </w:rPr>
              <w:t>países</w:t>
            </w:r>
            <w:r w:rsidR="00502F27" w:rsidRPr="0074345C">
              <w:rPr>
                <w:rFonts w:eastAsia="SimSun"/>
                <w:color w:val="auto"/>
                <w:sz w:val="22"/>
                <w:szCs w:val="20"/>
                <w:lang w:val="es-ES" w:eastAsia="zh-CN"/>
              </w:rPr>
              <w:t xml:space="preserve"> </w:t>
            </w:r>
            <w:r w:rsidR="003D71A5" w:rsidRPr="0074345C">
              <w:rPr>
                <w:rFonts w:eastAsia="SimSun"/>
                <w:color w:val="auto"/>
                <w:sz w:val="22"/>
                <w:szCs w:val="20"/>
                <w:lang w:val="es-ES" w:eastAsia="zh-CN"/>
              </w:rPr>
              <w:t xml:space="preserve">y es una cuestión que debe abordarse mediante una intensificación de la labor de divulgación y de sensibilización de la población sobre los servicios de los </w:t>
            </w:r>
            <w:r w:rsidR="00322244" w:rsidRPr="0074345C">
              <w:rPr>
                <w:rFonts w:eastAsia="SimSun"/>
                <w:color w:val="auto"/>
                <w:sz w:val="22"/>
                <w:szCs w:val="20"/>
                <w:lang w:val="es-ES" w:eastAsia="zh-CN"/>
              </w:rPr>
              <w:t xml:space="preserve">CATI </w:t>
            </w:r>
            <w:r w:rsidR="003D71A5" w:rsidRPr="0074345C">
              <w:rPr>
                <w:rFonts w:eastAsia="SimSun"/>
                <w:color w:val="auto"/>
                <w:sz w:val="22"/>
                <w:szCs w:val="20"/>
                <w:lang w:val="es-ES" w:eastAsia="zh-CN"/>
              </w:rPr>
              <w:t>locales</w:t>
            </w:r>
            <w:r w:rsidR="00502F27" w:rsidRPr="0074345C">
              <w:rPr>
                <w:rFonts w:eastAsia="SimSun"/>
                <w:color w:val="auto"/>
                <w:sz w:val="22"/>
                <w:szCs w:val="20"/>
                <w:lang w:val="es-ES" w:eastAsia="zh-CN"/>
              </w:rPr>
              <w:t>.</w:t>
            </w:r>
          </w:p>
          <w:p w:rsidR="00502F27" w:rsidRPr="0074345C" w:rsidRDefault="00502F27" w:rsidP="00E00028">
            <w:pPr>
              <w:pStyle w:val="Default"/>
              <w:rPr>
                <w:iCs/>
                <w:color w:val="auto"/>
                <w:sz w:val="22"/>
                <w:szCs w:val="22"/>
                <w:lang w:val="es-ES"/>
              </w:rPr>
            </w:pPr>
          </w:p>
        </w:tc>
      </w:tr>
      <w:tr w:rsidR="006376E7" w:rsidRPr="0074345C" w:rsidTr="00E00028">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3260F8" w:rsidRPr="0074345C" w:rsidRDefault="003260F8" w:rsidP="00E00028">
            <w:pPr>
              <w:rPr>
                <w:szCs w:val="22"/>
              </w:rPr>
            </w:pPr>
          </w:p>
          <w:p w:rsidR="00502F27" w:rsidRPr="0074345C" w:rsidRDefault="003260F8" w:rsidP="003260F8">
            <w:pPr>
              <w:rPr>
                <w:szCs w:val="22"/>
              </w:rPr>
            </w:pPr>
            <w:r w:rsidRPr="0074345C">
              <w:rPr>
                <w:szCs w:val="22"/>
              </w:rPr>
              <w:t>Porcentaje de ejecución del proyecto</w:t>
            </w:r>
            <w:r w:rsidR="00502F27" w:rsidRPr="0074345C">
              <w:rPr>
                <w:szCs w:val="22"/>
              </w:rPr>
              <w:t xml:space="preserve"> </w:t>
            </w:r>
          </w:p>
        </w:tc>
        <w:tc>
          <w:tcPr>
            <w:tcW w:w="6912" w:type="dxa"/>
            <w:tcBorders>
              <w:top w:val="single" w:sz="4" w:space="0" w:color="auto"/>
              <w:left w:val="single" w:sz="4" w:space="0" w:color="auto"/>
              <w:bottom w:val="single" w:sz="4" w:space="0" w:color="auto"/>
              <w:right w:val="single" w:sz="4" w:space="0" w:color="auto"/>
            </w:tcBorders>
            <w:vAlign w:val="center"/>
          </w:tcPr>
          <w:p w:rsidR="003260F8" w:rsidRPr="0074345C" w:rsidRDefault="003260F8" w:rsidP="00E00028">
            <w:pPr>
              <w:rPr>
                <w:i/>
                <w:szCs w:val="22"/>
              </w:rPr>
            </w:pPr>
          </w:p>
          <w:p w:rsidR="00502F27" w:rsidRPr="0074345C" w:rsidRDefault="003260F8" w:rsidP="003260F8">
            <w:pPr>
              <w:rPr>
                <w:i/>
                <w:szCs w:val="22"/>
              </w:rPr>
            </w:pPr>
            <w:r w:rsidRPr="0074345C">
              <w:rPr>
                <w:i/>
                <w:szCs w:val="22"/>
              </w:rPr>
              <w:t>Porcentaje de utilización del presupuesto a finales de agosto de 2014</w:t>
            </w:r>
            <w:proofErr w:type="gramStart"/>
            <w:r w:rsidRPr="0074345C">
              <w:rPr>
                <w:i/>
                <w:szCs w:val="22"/>
              </w:rPr>
              <w:t>:  102</w:t>
            </w:r>
            <w:proofErr w:type="gramEnd"/>
            <w:r w:rsidRPr="0074345C">
              <w:rPr>
                <w:i/>
                <w:szCs w:val="22"/>
              </w:rPr>
              <w:t>%.</w:t>
            </w:r>
          </w:p>
        </w:tc>
      </w:tr>
      <w:tr w:rsidR="006376E7" w:rsidRPr="0074345C" w:rsidTr="00E00028">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3260F8" w:rsidRPr="0074345C" w:rsidRDefault="003260F8" w:rsidP="00E00028">
            <w:pPr>
              <w:rPr>
                <w:szCs w:val="22"/>
              </w:rPr>
            </w:pPr>
          </w:p>
          <w:p w:rsidR="00502F27" w:rsidRPr="0074345C" w:rsidRDefault="003260F8" w:rsidP="003260F8">
            <w:pPr>
              <w:rPr>
                <w:szCs w:val="22"/>
              </w:rPr>
            </w:pPr>
            <w:r w:rsidRPr="0074345C">
              <w:rPr>
                <w:szCs w:val="22"/>
              </w:rPr>
              <w:t>Informes previos</w:t>
            </w:r>
          </w:p>
        </w:tc>
        <w:tc>
          <w:tcPr>
            <w:tcW w:w="6912" w:type="dxa"/>
            <w:tcBorders>
              <w:top w:val="single" w:sz="4" w:space="0" w:color="auto"/>
              <w:left w:val="single" w:sz="4" w:space="0" w:color="auto"/>
              <w:bottom w:val="single" w:sz="4" w:space="0" w:color="auto"/>
              <w:right w:val="single" w:sz="4" w:space="0" w:color="auto"/>
            </w:tcBorders>
            <w:vAlign w:val="center"/>
          </w:tcPr>
          <w:p w:rsidR="003260F8" w:rsidRPr="0074345C" w:rsidRDefault="003260F8" w:rsidP="00E00028">
            <w:pPr>
              <w:rPr>
                <w:szCs w:val="22"/>
              </w:rPr>
            </w:pPr>
          </w:p>
          <w:p w:rsidR="003260F8" w:rsidRPr="0074345C" w:rsidRDefault="003260F8" w:rsidP="003260F8">
            <w:pPr>
              <w:rPr>
                <w:szCs w:val="22"/>
              </w:rPr>
            </w:pPr>
            <w:r w:rsidRPr="0074345C">
              <w:rPr>
                <w:szCs w:val="22"/>
              </w:rPr>
              <w:t>El primer informe sobre la marcha del proyecto, en el documento CDIP/10/2</w:t>
            </w:r>
            <w:r w:rsidR="00B03D68" w:rsidRPr="0074345C">
              <w:rPr>
                <w:szCs w:val="22"/>
              </w:rPr>
              <w:t>,</w:t>
            </w:r>
            <w:r w:rsidRPr="0074345C">
              <w:rPr>
                <w:szCs w:val="22"/>
              </w:rPr>
              <w:t xml:space="preserve"> Anexo I, </w:t>
            </w:r>
            <w:r w:rsidR="0063236A" w:rsidRPr="0074345C">
              <w:rPr>
                <w:szCs w:val="22"/>
              </w:rPr>
              <w:t>fue presentado</w:t>
            </w:r>
            <w:r w:rsidRPr="0074345C">
              <w:rPr>
                <w:szCs w:val="22"/>
              </w:rPr>
              <w:t xml:space="preserve"> en la </w:t>
            </w:r>
            <w:r w:rsidR="0063236A" w:rsidRPr="0074345C">
              <w:rPr>
                <w:szCs w:val="22"/>
              </w:rPr>
              <w:t>décima</w:t>
            </w:r>
            <w:r w:rsidRPr="0074345C">
              <w:rPr>
                <w:szCs w:val="22"/>
              </w:rPr>
              <w:t xml:space="preserve"> sesión del CDI</w:t>
            </w:r>
            <w:r w:rsidR="00B03D68" w:rsidRPr="0074345C">
              <w:rPr>
                <w:szCs w:val="22"/>
              </w:rPr>
              <w:t>P</w:t>
            </w:r>
            <w:r w:rsidRPr="0074345C">
              <w:rPr>
                <w:szCs w:val="22"/>
              </w:rPr>
              <w:t>, celebrada en noviembre de 2012, y el segundo informe, en el documento CDIP/12/2</w:t>
            </w:r>
            <w:r w:rsidR="00B03D68" w:rsidRPr="0074345C">
              <w:rPr>
                <w:szCs w:val="22"/>
              </w:rPr>
              <w:t>, Anexo I</w:t>
            </w:r>
            <w:r w:rsidRPr="0074345C">
              <w:rPr>
                <w:szCs w:val="22"/>
              </w:rPr>
              <w:t xml:space="preserve">, </w:t>
            </w:r>
            <w:r w:rsidR="00B03D68" w:rsidRPr="0074345C">
              <w:rPr>
                <w:szCs w:val="22"/>
              </w:rPr>
              <w:t>fue presentado</w:t>
            </w:r>
            <w:r w:rsidRPr="0074345C">
              <w:rPr>
                <w:szCs w:val="22"/>
              </w:rPr>
              <w:t xml:space="preserve"> en la </w:t>
            </w:r>
            <w:r w:rsidR="00B03D68" w:rsidRPr="0074345C">
              <w:rPr>
                <w:szCs w:val="22"/>
              </w:rPr>
              <w:t>12ª</w:t>
            </w:r>
            <w:r w:rsidRPr="0074345C">
              <w:rPr>
                <w:szCs w:val="22"/>
              </w:rPr>
              <w:t xml:space="preserve"> sesión del CDIP</w:t>
            </w:r>
            <w:r w:rsidR="00B03D68" w:rsidRPr="0074345C">
              <w:rPr>
                <w:szCs w:val="22"/>
              </w:rPr>
              <w:t>, celebrada en noviembre de 2013</w:t>
            </w:r>
            <w:r w:rsidRPr="0074345C">
              <w:rPr>
                <w:szCs w:val="22"/>
              </w:rPr>
              <w:t>.</w:t>
            </w:r>
            <w:r w:rsidR="00502F27" w:rsidRPr="0074345C">
              <w:rPr>
                <w:szCs w:val="22"/>
              </w:rPr>
              <w:t xml:space="preserve"> </w:t>
            </w:r>
          </w:p>
          <w:p w:rsidR="00502F27" w:rsidRPr="0074345C" w:rsidRDefault="00502F27" w:rsidP="00E00028">
            <w:pPr>
              <w:rPr>
                <w:i/>
                <w:szCs w:val="22"/>
              </w:rPr>
            </w:pPr>
          </w:p>
        </w:tc>
      </w:tr>
      <w:tr w:rsidR="00502F27" w:rsidRPr="0074345C" w:rsidTr="00E00028">
        <w:trPr>
          <w:trHeight w:val="8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3260F8" w:rsidRPr="0074345C" w:rsidRDefault="003260F8" w:rsidP="00E00028">
            <w:pPr>
              <w:rPr>
                <w:szCs w:val="22"/>
              </w:rPr>
            </w:pPr>
          </w:p>
          <w:p w:rsidR="00502F27" w:rsidRPr="0074345C" w:rsidRDefault="0063236A" w:rsidP="00E00028">
            <w:pPr>
              <w:rPr>
                <w:szCs w:val="22"/>
              </w:rPr>
            </w:pPr>
            <w:r w:rsidRPr="0074345C">
              <w:rPr>
                <w:szCs w:val="22"/>
              </w:rPr>
              <w:t>Seguimiento</w:t>
            </w:r>
          </w:p>
        </w:tc>
        <w:tc>
          <w:tcPr>
            <w:tcW w:w="6912" w:type="dxa"/>
            <w:tcBorders>
              <w:top w:val="single" w:sz="4" w:space="0" w:color="auto"/>
              <w:left w:val="single" w:sz="4" w:space="0" w:color="auto"/>
              <w:bottom w:val="single" w:sz="4" w:space="0" w:color="auto"/>
              <w:right w:val="single" w:sz="4" w:space="0" w:color="auto"/>
            </w:tcBorders>
            <w:vAlign w:val="center"/>
            <w:hideMark/>
          </w:tcPr>
          <w:p w:rsidR="003260F8" w:rsidRPr="0074345C" w:rsidRDefault="003260F8" w:rsidP="00E00028"/>
          <w:p w:rsidR="003260F8" w:rsidRPr="0074345C" w:rsidRDefault="00FA7969" w:rsidP="00E00028">
            <w:r w:rsidRPr="0074345C">
              <w:t xml:space="preserve">El </w:t>
            </w:r>
            <w:r w:rsidR="004466EC" w:rsidRPr="0074345C">
              <w:t xml:space="preserve">proyecto de los </w:t>
            </w:r>
            <w:r w:rsidR="00322244" w:rsidRPr="0074345C">
              <w:t xml:space="preserve">CATI </w:t>
            </w:r>
            <w:r w:rsidR="004466EC" w:rsidRPr="0074345C">
              <w:t>forma parte de las actividades ordinarias de la O</w:t>
            </w:r>
            <w:r w:rsidR="00193CE1" w:rsidRPr="0074345C">
              <w:t>MPI</w:t>
            </w:r>
            <w:r w:rsidR="004466EC" w:rsidRPr="0074345C">
              <w:t xml:space="preserve"> desde el 1 de </w:t>
            </w:r>
            <w:r w:rsidR="002034F4" w:rsidRPr="0074345C">
              <w:t>enero de</w:t>
            </w:r>
            <w:r w:rsidR="004466EC" w:rsidRPr="0074345C">
              <w:t xml:space="preserve"> </w:t>
            </w:r>
            <w:r w:rsidR="00502F27" w:rsidRPr="0074345C">
              <w:t>2014.</w:t>
            </w:r>
          </w:p>
          <w:p w:rsidR="00502F27" w:rsidRPr="0074345C" w:rsidRDefault="00502F27" w:rsidP="00E00028">
            <w:pPr>
              <w:rPr>
                <w:szCs w:val="22"/>
              </w:rPr>
            </w:pPr>
          </w:p>
        </w:tc>
      </w:tr>
    </w:tbl>
    <w:p w:rsidR="003260F8" w:rsidRPr="0074345C" w:rsidRDefault="003260F8" w:rsidP="00502F27">
      <w:pPr>
        <w:tabs>
          <w:tab w:val="left" w:pos="9060"/>
        </w:tabs>
        <w:rPr>
          <w:szCs w:val="22"/>
        </w:rPr>
      </w:pPr>
    </w:p>
    <w:p w:rsidR="003260F8" w:rsidRPr="0074345C" w:rsidRDefault="00502F27" w:rsidP="00502F27">
      <w:pPr>
        <w:rPr>
          <w:szCs w:val="22"/>
        </w:rPr>
      </w:pPr>
      <w:r w:rsidRPr="0074345C">
        <w:rPr>
          <w:szCs w:val="22"/>
        </w:rPr>
        <w:br w:type="page"/>
      </w:r>
    </w:p>
    <w:p w:rsidR="00502F27" w:rsidRPr="0074345C" w:rsidRDefault="00502F27" w:rsidP="00502F27">
      <w:pPr>
        <w:tabs>
          <w:tab w:val="left" w:pos="9060"/>
        </w:tabs>
        <w:rPr>
          <w:szCs w:val="22"/>
        </w:rPr>
      </w:pPr>
    </w:p>
    <w:tbl>
      <w:tblPr>
        <w:tblW w:w="0" w:type="auto"/>
        <w:tblInd w:w="-106" w:type="dxa"/>
        <w:tblLook w:val="01E0" w:firstRow="1" w:lastRow="1" w:firstColumn="1" w:lastColumn="1" w:noHBand="0" w:noVBand="0"/>
      </w:tblPr>
      <w:tblGrid>
        <w:gridCol w:w="9287"/>
      </w:tblGrid>
      <w:tr w:rsidR="006376E7" w:rsidRPr="0074345C" w:rsidTr="00E00028">
        <w:trPr>
          <w:trHeight w:val="494"/>
        </w:trPr>
        <w:tc>
          <w:tcPr>
            <w:tcW w:w="9287" w:type="dxa"/>
            <w:vAlign w:val="center"/>
            <w:hideMark/>
          </w:tcPr>
          <w:p w:rsidR="00502F27" w:rsidRPr="0074345C" w:rsidRDefault="00502F27" w:rsidP="003260F8">
            <w:pPr>
              <w:rPr>
                <w:szCs w:val="22"/>
              </w:rPr>
            </w:pPr>
            <w:r w:rsidRPr="0074345C">
              <w:br w:type="page"/>
            </w:r>
            <w:r w:rsidRPr="0074345C">
              <w:br w:type="page"/>
            </w:r>
            <w:r w:rsidR="003260F8" w:rsidRPr="0074345C">
              <w:t>EVALUACIÓN INTERNA DEL PROYECTO</w:t>
            </w:r>
          </w:p>
        </w:tc>
      </w:tr>
    </w:tbl>
    <w:p w:rsidR="003260F8" w:rsidRPr="0074345C" w:rsidRDefault="003260F8" w:rsidP="00502F27">
      <w:pPr>
        <w:rPr>
          <w:rFonts w:cs="Calibri"/>
          <w:szCs w:val="22"/>
        </w:rPr>
      </w:pPr>
    </w:p>
    <w:p w:rsidR="003260F8" w:rsidRPr="0074345C" w:rsidRDefault="003260F8" w:rsidP="003260F8">
      <w:r w:rsidRPr="0074345C">
        <w:t>Clave de los colores</w:t>
      </w:r>
    </w:p>
    <w:p w:rsidR="00502F27" w:rsidRPr="0074345C" w:rsidRDefault="00502F27" w:rsidP="00502F27"/>
    <w:tbl>
      <w:tblPr>
        <w:tblW w:w="9348"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376E7" w:rsidRPr="0074345C" w:rsidTr="00E00028">
        <w:trPr>
          <w:trHeight w:val="469"/>
        </w:trPr>
        <w:tc>
          <w:tcPr>
            <w:tcW w:w="1416" w:type="dxa"/>
            <w:tcBorders>
              <w:top w:val="single" w:sz="2" w:space="0" w:color="auto"/>
              <w:left w:val="single" w:sz="2" w:space="0" w:color="auto"/>
              <w:bottom w:val="single" w:sz="2" w:space="0" w:color="auto"/>
              <w:right w:val="single" w:sz="2" w:space="0" w:color="auto"/>
            </w:tcBorders>
            <w:vAlign w:val="center"/>
            <w:hideMark/>
          </w:tcPr>
          <w:p w:rsidR="00502F27" w:rsidRPr="0074345C" w:rsidRDefault="00502F27" w:rsidP="00E00028">
            <w:pPr>
              <w:rPr>
                <w:sz w:val="20"/>
              </w:rPr>
            </w:pPr>
            <w:r w:rsidRPr="0074345C">
              <w:rPr>
                <w:sz w:val="20"/>
              </w:rPr>
              <w:t>****</w:t>
            </w:r>
          </w:p>
        </w:tc>
        <w:tc>
          <w:tcPr>
            <w:tcW w:w="1677" w:type="dxa"/>
            <w:tcBorders>
              <w:top w:val="single" w:sz="2" w:space="0" w:color="auto"/>
              <w:left w:val="single" w:sz="2" w:space="0" w:color="auto"/>
              <w:bottom w:val="single" w:sz="2" w:space="0" w:color="auto"/>
              <w:right w:val="single" w:sz="2" w:space="0" w:color="auto"/>
            </w:tcBorders>
            <w:vAlign w:val="center"/>
            <w:hideMark/>
          </w:tcPr>
          <w:p w:rsidR="00502F27" w:rsidRPr="0074345C" w:rsidRDefault="00502F27" w:rsidP="00E00028">
            <w:pPr>
              <w:rPr>
                <w:sz w:val="20"/>
              </w:rPr>
            </w:pPr>
            <w:r w:rsidRPr="0074345C">
              <w:rPr>
                <w:sz w:val="20"/>
              </w:rPr>
              <w:t>***</w:t>
            </w:r>
          </w:p>
        </w:tc>
        <w:tc>
          <w:tcPr>
            <w:tcW w:w="1797" w:type="dxa"/>
            <w:tcBorders>
              <w:top w:val="single" w:sz="2" w:space="0" w:color="auto"/>
              <w:left w:val="single" w:sz="2" w:space="0" w:color="auto"/>
              <w:bottom w:val="single" w:sz="2" w:space="0" w:color="auto"/>
              <w:right w:val="single" w:sz="2" w:space="0" w:color="auto"/>
            </w:tcBorders>
            <w:vAlign w:val="center"/>
            <w:hideMark/>
          </w:tcPr>
          <w:p w:rsidR="00502F27" w:rsidRPr="0074345C" w:rsidRDefault="00502F27" w:rsidP="00E00028">
            <w:pPr>
              <w:rPr>
                <w:sz w:val="20"/>
              </w:rPr>
            </w:pPr>
            <w:r w:rsidRPr="0074345C">
              <w:rPr>
                <w:sz w:val="20"/>
              </w:rPr>
              <w:t>**</w:t>
            </w:r>
          </w:p>
        </w:tc>
        <w:tc>
          <w:tcPr>
            <w:tcW w:w="1895" w:type="dxa"/>
            <w:tcBorders>
              <w:top w:val="single" w:sz="2" w:space="0" w:color="auto"/>
              <w:left w:val="single" w:sz="2" w:space="0" w:color="auto"/>
              <w:bottom w:val="single" w:sz="2" w:space="0" w:color="auto"/>
              <w:right w:val="single" w:sz="2" w:space="0" w:color="auto"/>
            </w:tcBorders>
            <w:vAlign w:val="center"/>
            <w:hideMark/>
          </w:tcPr>
          <w:p w:rsidR="00502F27" w:rsidRPr="0074345C" w:rsidRDefault="003260F8" w:rsidP="003260F8">
            <w:pPr>
              <w:rPr>
                <w:sz w:val="20"/>
              </w:rPr>
            </w:pPr>
            <w:r w:rsidRPr="0074345C">
              <w:rPr>
                <w:sz w:val="20"/>
              </w:rPr>
              <w:t>NA</w:t>
            </w:r>
          </w:p>
        </w:tc>
        <w:tc>
          <w:tcPr>
            <w:tcW w:w="2563" w:type="dxa"/>
            <w:tcBorders>
              <w:top w:val="single" w:sz="2" w:space="0" w:color="auto"/>
              <w:left w:val="single" w:sz="2" w:space="0" w:color="auto"/>
              <w:bottom w:val="single" w:sz="2" w:space="0" w:color="auto"/>
              <w:right w:val="single" w:sz="2" w:space="0" w:color="auto"/>
            </w:tcBorders>
            <w:vAlign w:val="center"/>
            <w:hideMark/>
          </w:tcPr>
          <w:p w:rsidR="00502F27" w:rsidRPr="0074345C" w:rsidRDefault="003260F8" w:rsidP="003260F8">
            <w:pPr>
              <w:rPr>
                <w:sz w:val="20"/>
              </w:rPr>
            </w:pPr>
            <w:r w:rsidRPr="0074345C">
              <w:rPr>
                <w:sz w:val="20"/>
              </w:rPr>
              <w:t>SE/AD</w:t>
            </w:r>
          </w:p>
        </w:tc>
      </w:tr>
      <w:tr w:rsidR="006376E7" w:rsidRPr="0074345C" w:rsidTr="00E00028">
        <w:tc>
          <w:tcPr>
            <w:tcW w:w="1416" w:type="dxa"/>
            <w:tcBorders>
              <w:top w:val="single" w:sz="2" w:space="0" w:color="auto"/>
              <w:left w:val="single" w:sz="2" w:space="0" w:color="auto"/>
              <w:bottom w:val="single" w:sz="2" w:space="0" w:color="auto"/>
              <w:right w:val="single" w:sz="2" w:space="0" w:color="auto"/>
            </w:tcBorders>
            <w:hideMark/>
          </w:tcPr>
          <w:p w:rsidR="00502F27" w:rsidRPr="0074345C" w:rsidRDefault="003260F8" w:rsidP="003260F8">
            <w:pPr>
              <w:rPr>
                <w:szCs w:val="22"/>
              </w:rPr>
            </w:pPr>
            <w:r w:rsidRPr="0074345C">
              <w:rPr>
                <w:szCs w:val="22"/>
              </w:rPr>
              <w:t>Plenamente logrado.</w:t>
            </w:r>
          </w:p>
        </w:tc>
        <w:tc>
          <w:tcPr>
            <w:tcW w:w="1677" w:type="dxa"/>
            <w:tcBorders>
              <w:top w:val="single" w:sz="2" w:space="0" w:color="auto"/>
              <w:left w:val="single" w:sz="2" w:space="0" w:color="auto"/>
              <w:bottom w:val="single" w:sz="2" w:space="0" w:color="auto"/>
              <w:right w:val="single" w:sz="2" w:space="0" w:color="auto"/>
            </w:tcBorders>
            <w:hideMark/>
          </w:tcPr>
          <w:p w:rsidR="00502F27" w:rsidRPr="0074345C" w:rsidRDefault="003260F8" w:rsidP="003260F8">
            <w:pPr>
              <w:rPr>
                <w:szCs w:val="22"/>
              </w:rPr>
            </w:pPr>
            <w:r w:rsidRPr="0074345C">
              <w:rPr>
                <w:szCs w:val="22"/>
              </w:rPr>
              <w:t>Avance notable</w:t>
            </w:r>
          </w:p>
        </w:tc>
        <w:tc>
          <w:tcPr>
            <w:tcW w:w="1797" w:type="dxa"/>
            <w:tcBorders>
              <w:top w:val="single" w:sz="2" w:space="0" w:color="auto"/>
              <w:left w:val="single" w:sz="2" w:space="0" w:color="auto"/>
              <w:bottom w:val="single" w:sz="2" w:space="0" w:color="auto"/>
              <w:right w:val="single" w:sz="2" w:space="0" w:color="auto"/>
            </w:tcBorders>
            <w:hideMark/>
          </w:tcPr>
          <w:p w:rsidR="00502F27" w:rsidRPr="0074345C" w:rsidRDefault="003260F8" w:rsidP="003260F8">
            <w:pPr>
              <w:rPr>
                <w:szCs w:val="22"/>
              </w:rPr>
            </w:pPr>
            <w:r w:rsidRPr="0074345C">
              <w:rPr>
                <w:szCs w:val="22"/>
              </w:rPr>
              <w:t>Avance</w:t>
            </w:r>
          </w:p>
        </w:tc>
        <w:tc>
          <w:tcPr>
            <w:tcW w:w="1895" w:type="dxa"/>
            <w:tcBorders>
              <w:top w:val="single" w:sz="2" w:space="0" w:color="auto"/>
              <w:left w:val="single" w:sz="2" w:space="0" w:color="auto"/>
              <w:bottom w:val="single" w:sz="2" w:space="0" w:color="auto"/>
              <w:right w:val="single" w:sz="2" w:space="0" w:color="auto"/>
            </w:tcBorders>
            <w:hideMark/>
          </w:tcPr>
          <w:p w:rsidR="00502F27" w:rsidRPr="0074345C" w:rsidRDefault="003260F8" w:rsidP="003260F8">
            <w:pPr>
              <w:rPr>
                <w:szCs w:val="22"/>
              </w:rPr>
            </w:pPr>
            <w:r w:rsidRPr="0074345C">
              <w:rPr>
                <w:szCs w:val="22"/>
              </w:rPr>
              <w:t>Ningún avance</w:t>
            </w:r>
          </w:p>
        </w:tc>
        <w:tc>
          <w:tcPr>
            <w:tcW w:w="2563" w:type="dxa"/>
            <w:tcBorders>
              <w:top w:val="single" w:sz="2" w:space="0" w:color="auto"/>
              <w:left w:val="single" w:sz="2" w:space="0" w:color="auto"/>
              <w:bottom w:val="single" w:sz="2" w:space="0" w:color="auto"/>
              <w:right w:val="single" w:sz="2" w:space="0" w:color="auto"/>
            </w:tcBorders>
            <w:hideMark/>
          </w:tcPr>
          <w:p w:rsidR="00502F27" w:rsidRPr="0074345C" w:rsidRDefault="003260F8" w:rsidP="003260F8">
            <w:pPr>
              <w:rPr>
                <w:szCs w:val="22"/>
              </w:rPr>
            </w:pPr>
            <w:r w:rsidRPr="0074345C">
              <w:rPr>
                <w:szCs w:val="22"/>
              </w:rPr>
              <w:t>Sin evaluar /actividad discontinuada</w:t>
            </w:r>
          </w:p>
        </w:tc>
      </w:tr>
    </w:tbl>
    <w:p w:rsidR="00502F27" w:rsidRPr="0074345C" w:rsidRDefault="00502F27" w:rsidP="00502F27">
      <w:pPr>
        <w:rPr>
          <w:rFonts w:cs="Calibri"/>
          <w:szCs w:val="22"/>
        </w:rPr>
      </w:pPr>
    </w:p>
    <w:tbl>
      <w:tblPr>
        <w:tblW w:w="9474" w:type="dxa"/>
        <w:tblInd w:w="-106" w:type="dxa"/>
        <w:tblLayout w:type="fixed"/>
        <w:tblLook w:val="01E0" w:firstRow="1" w:lastRow="1" w:firstColumn="1" w:lastColumn="1" w:noHBand="0" w:noVBand="0"/>
      </w:tblPr>
      <w:tblGrid>
        <w:gridCol w:w="2412"/>
        <w:gridCol w:w="2695"/>
        <w:gridCol w:w="3403"/>
        <w:gridCol w:w="964"/>
      </w:tblGrid>
      <w:tr w:rsidR="006376E7" w:rsidRPr="0074345C" w:rsidTr="009F2FA4">
        <w:trPr>
          <w:trHeight w:val="616"/>
          <w:tblHeader/>
        </w:trPr>
        <w:tc>
          <w:tcPr>
            <w:tcW w:w="2412" w:type="dxa"/>
            <w:tcBorders>
              <w:top w:val="single" w:sz="2" w:space="0" w:color="000000"/>
              <w:left w:val="single" w:sz="2" w:space="0" w:color="000000"/>
              <w:bottom w:val="single" w:sz="4" w:space="0" w:color="auto"/>
              <w:right w:val="single" w:sz="2" w:space="0" w:color="000000"/>
            </w:tcBorders>
            <w:hideMark/>
          </w:tcPr>
          <w:p w:rsidR="009B4891" w:rsidRPr="0074345C" w:rsidRDefault="003260F8" w:rsidP="003260F8">
            <w:pPr>
              <w:rPr>
                <w:szCs w:val="22"/>
                <w:u w:val="single"/>
              </w:rPr>
            </w:pPr>
            <w:r w:rsidRPr="0074345C">
              <w:rPr>
                <w:szCs w:val="22"/>
                <w:u w:val="single"/>
              </w:rPr>
              <w:t>Productos del proyecto</w:t>
            </w:r>
            <w:r w:rsidR="009B4891" w:rsidRPr="0074345C">
              <w:rPr>
                <w:u w:val="single"/>
                <w:vertAlign w:val="superscript"/>
              </w:rPr>
              <w:footnoteReference w:id="7"/>
            </w:r>
          </w:p>
          <w:p w:rsidR="00502F27" w:rsidRPr="0074345C" w:rsidRDefault="003260F8" w:rsidP="003260F8">
            <w:pPr>
              <w:rPr>
                <w:szCs w:val="22"/>
                <w:u w:val="single"/>
              </w:rPr>
            </w:pPr>
            <w:r w:rsidRPr="0074345C">
              <w:rPr>
                <w:szCs w:val="22"/>
                <w:u w:val="single"/>
              </w:rPr>
              <w:t>(Resultado previsto)</w:t>
            </w:r>
          </w:p>
        </w:tc>
        <w:tc>
          <w:tcPr>
            <w:tcW w:w="2695" w:type="dxa"/>
            <w:tcBorders>
              <w:top w:val="single" w:sz="2" w:space="0" w:color="000000"/>
              <w:left w:val="single" w:sz="2" w:space="0" w:color="000000"/>
              <w:bottom w:val="single" w:sz="4" w:space="0" w:color="auto"/>
              <w:right w:val="single" w:sz="2" w:space="0" w:color="000000"/>
            </w:tcBorders>
          </w:tcPr>
          <w:p w:rsidR="003260F8" w:rsidRPr="0074345C" w:rsidRDefault="003260F8" w:rsidP="003260F8">
            <w:pPr>
              <w:rPr>
                <w:szCs w:val="22"/>
                <w:u w:val="single"/>
              </w:rPr>
            </w:pPr>
            <w:r w:rsidRPr="0074345C">
              <w:rPr>
                <w:szCs w:val="22"/>
                <w:u w:val="single"/>
              </w:rPr>
              <w:t>Indicadores de obtención de resultados</w:t>
            </w:r>
          </w:p>
          <w:p w:rsidR="00502F27" w:rsidRPr="0074345C" w:rsidRDefault="00502F27" w:rsidP="00E00028">
            <w:pPr>
              <w:rPr>
                <w:szCs w:val="22"/>
                <w:u w:val="single"/>
              </w:rPr>
            </w:pPr>
          </w:p>
        </w:tc>
        <w:tc>
          <w:tcPr>
            <w:tcW w:w="3403" w:type="dxa"/>
            <w:tcBorders>
              <w:top w:val="single" w:sz="2" w:space="0" w:color="000000"/>
              <w:left w:val="single" w:sz="2" w:space="0" w:color="000000"/>
              <w:bottom w:val="single" w:sz="2" w:space="0" w:color="000000"/>
              <w:right w:val="single" w:sz="2" w:space="0" w:color="000000"/>
            </w:tcBorders>
            <w:hideMark/>
          </w:tcPr>
          <w:p w:rsidR="00502F27" w:rsidRPr="0074345C" w:rsidRDefault="003260F8" w:rsidP="003260F8">
            <w:pPr>
              <w:rPr>
                <w:szCs w:val="22"/>
                <w:u w:val="single"/>
              </w:rPr>
            </w:pPr>
            <w:r w:rsidRPr="0074345C">
              <w:rPr>
                <w:szCs w:val="22"/>
                <w:u w:val="single"/>
              </w:rPr>
              <w:t>Datos sobre el rendimiento</w:t>
            </w:r>
          </w:p>
        </w:tc>
        <w:tc>
          <w:tcPr>
            <w:tcW w:w="964" w:type="dxa"/>
            <w:tcBorders>
              <w:top w:val="single" w:sz="2" w:space="0" w:color="000000"/>
              <w:left w:val="single" w:sz="2" w:space="0" w:color="000000"/>
              <w:bottom w:val="single" w:sz="2" w:space="0" w:color="000000"/>
              <w:right w:val="single" w:sz="2" w:space="0" w:color="000000"/>
            </w:tcBorders>
            <w:hideMark/>
          </w:tcPr>
          <w:p w:rsidR="00502F27" w:rsidRPr="0074345C" w:rsidRDefault="003260F8" w:rsidP="003260F8">
            <w:pPr>
              <w:rPr>
                <w:szCs w:val="22"/>
                <w:u w:val="single"/>
              </w:rPr>
            </w:pPr>
            <w:r w:rsidRPr="0074345C">
              <w:rPr>
                <w:szCs w:val="22"/>
                <w:u w:val="single"/>
              </w:rPr>
              <w:t>Clave de colores</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B03D68" w:rsidP="00B03D68">
            <w:pPr>
              <w:rPr>
                <w:rFonts w:cs="Calibri"/>
                <w:szCs w:val="22"/>
              </w:rPr>
            </w:pPr>
            <w:r w:rsidRPr="0074345C">
              <w:rPr>
                <w:rFonts w:cs="Calibri"/>
                <w:szCs w:val="22"/>
              </w:rPr>
              <w:t xml:space="preserve">1. </w:t>
            </w:r>
            <w:r w:rsidR="003260F8" w:rsidRPr="0074345C">
              <w:rPr>
                <w:rFonts w:cs="Calibri"/>
                <w:szCs w:val="22"/>
              </w:rPr>
              <w:t xml:space="preserve">i)  Establecimiento de un </w:t>
            </w:r>
            <w:r w:rsidR="003260F8" w:rsidRPr="0074345C">
              <w:t>servicio</w:t>
            </w:r>
            <w:r w:rsidR="003260F8" w:rsidRPr="0074345C">
              <w:rPr>
                <w:rFonts w:cs="Calibri"/>
                <w:szCs w:val="22"/>
              </w:rPr>
              <w:t xml:space="preserve"> de conferencias por Internet en el sitio Web de los CATI;</w:t>
            </w:r>
          </w:p>
          <w:p w:rsidR="003260F8" w:rsidRPr="0074345C" w:rsidRDefault="003260F8" w:rsidP="00E00028"/>
          <w:p w:rsidR="003260F8" w:rsidRPr="0074345C" w:rsidRDefault="00502F27" w:rsidP="00E00028">
            <w:r w:rsidRPr="0074345C">
              <w:t xml:space="preserve">ii) </w:t>
            </w:r>
            <w:r w:rsidR="00B03D68" w:rsidRPr="0074345C">
              <w:t xml:space="preserve"> Creación de un foro en Internet de intercambio de experiencias y prácticas óptimas respecto de los CATI</w:t>
            </w:r>
            <w:r w:rsidRPr="0074345C">
              <w:t>;</w:t>
            </w:r>
          </w:p>
          <w:p w:rsidR="003260F8" w:rsidRPr="0074345C" w:rsidRDefault="003260F8" w:rsidP="00E00028"/>
          <w:p w:rsidR="003260F8" w:rsidRPr="0074345C" w:rsidRDefault="00B03D68" w:rsidP="003260F8">
            <w:r w:rsidRPr="0074345C">
              <w:t>iii)</w:t>
            </w:r>
            <w:r w:rsidR="003260F8" w:rsidRPr="0074345C">
              <w:t>  Creación de un servicio de a</w:t>
            </w:r>
            <w:r w:rsidRPr="0074345C">
              <w:t>sistencia al usuario</w:t>
            </w:r>
            <w:r w:rsidR="003260F8" w:rsidRPr="0074345C">
              <w:t xml:space="preserve"> en Internet;  y</w:t>
            </w:r>
          </w:p>
          <w:p w:rsidR="003260F8" w:rsidRPr="0074345C" w:rsidRDefault="003260F8" w:rsidP="00E00028"/>
          <w:p w:rsidR="003260F8" w:rsidRPr="0074345C" w:rsidRDefault="003260F8" w:rsidP="003260F8">
            <w:pPr>
              <w:autoSpaceDE w:val="0"/>
              <w:autoSpaceDN w:val="0"/>
              <w:adjustRightInd w:val="0"/>
            </w:pPr>
            <w:r w:rsidRPr="0074345C">
              <w:t xml:space="preserve">iv)  Integración de los cursos de enseñanza a distancia de la Academia de la OMPI en el </w:t>
            </w:r>
            <w:r w:rsidR="009E13C2" w:rsidRPr="0074345C">
              <w:t xml:space="preserve">Programa </w:t>
            </w:r>
            <w:r w:rsidRPr="0074345C">
              <w:t>a de formación de los CATI.</w:t>
            </w:r>
          </w:p>
          <w:p w:rsidR="00502F27" w:rsidRPr="0074345C" w:rsidRDefault="00502F27" w:rsidP="00E00028">
            <w:pPr>
              <w:rPr>
                <w:rFonts w:cs="Calibri"/>
                <w:szCs w:val="22"/>
              </w:rPr>
            </w:pPr>
          </w:p>
        </w:tc>
        <w:tc>
          <w:tcPr>
            <w:tcW w:w="2695"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3260F8" w:rsidP="003260F8">
            <w:pPr>
              <w:rPr>
                <w:szCs w:val="22"/>
              </w:rPr>
            </w:pPr>
            <w:r w:rsidRPr="0074345C">
              <w:rPr>
                <w:szCs w:val="22"/>
              </w:rPr>
              <w:t>Servicio de conferencias por Internet en funcionamiento transcurridos 12 meses desde el inicio de la fase II.</w:t>
            </w:r>
          </w:p>
          <w:p w:rsidR="003260F8" w:rsidRPr="0074345C" w:rsidRDefault="003260F8" w:rsidP="00E00028"/>
          <w:p w:rsidR="003260F8" w:rsidRPr="0074345C" w:rsidRDefault="003260F8" w:rsidP="00E00028"/>
          <w:p w:rsidR="003260F8" w:rsidRPr="0074345C" w:rsidRDefault="003260F8" w:rsidP="003260F8">
            <w:r w:rsidRPr="0074345C">
              <w:t>Foro en Internet en funcionamiento transcurridos 12 meses desde el inicio de la fase II.</w:t>
            </w:r>
          </w:p>
          <w:p w:rsidR="003260F8" w:rsidRPr="0074345C" w:rsidRDefault="003260F8" w:rsidP="00E00028"/>
          <w:p w:rsidR="003260F8" w:rsidRPr="0074345C" w:rsidRDefault="003260F8" w:rsidP="003260F8">
            <w:r w:rsidRPr="0074345C">
              <w:t>Servicio de ayuda en Internet en funcionamiento transcurridos 12 meses desde el inicio de la fase II.</w:t>
            </w:r>
          </w:p>
          <w:p w:rsidR="003260F8" w:rsidRPr="0074345C" w:rsidRDefault="003260F8" w:rsidP="00E00028"/>
          <w:p w:rsidR="003260F8" w:rsidRPr="0074345C" w:rsidRDefault="003260F8" w:rsidP="003260F8">
            <w:r w:rsidRPr="0074345C">
              <w:t>Todos los CATI en funcionamiento habrán recibido al menos dos cursos de enseñanza a distancia de la Academia de la OMPI en el plazo de 20 meses.</w:t>
            </w:r>
          </w:p>
          <w:p w:rsidR="00502F27" w:rsidRPr="0074345C" w:rsidRDefault="00502F27" w:rsidP="00E00028">
            <w:pPr>
              <w:rPr>
                <w:szCs w:val="22"/>
              </w:rPr>
            </w:pPr>
          </w:p>
        </w:tc>
        <w:tc>
          <w:tcPr>
            <w:tcW w:w="3403" w:type="dxa"/>
            <w:tcBorders>
              <w:top w:val="single" w:sz="2" w:space="0" w:color="000000"/>
              <w:left w:val="single" w:sz="4" w:space="0" w:color="auto"/>
              <w:bottom w:val="single" w:sz="2" w:space="0" w:color="000000"/>
              <w:right w:val="single" w:sz="2" w:space="0" w:color="000000"/>
            </w:tcBorders>
          </w:tcPr>
          <w:p w:rsidR="003260F8" w:rsidRPr="0074345C" w:rsidRDefault="003260F8" w:rsidP="00E00028"/>
          <w:p w:rsidR="003260F8" w:rsidRPr="0074345C" w:rsidRDefault="003260F8" w:rsidP="003260F8">
            <w:pPr>
              <w:rPr>
                <w:szCs w:val="22"/>
              </w:rPr>
            </w:pPr>
            <w:r w:rsidRPr="0074345C">
              <w:rPr>
                <w:szCs w:val="22"/>
              </w:rPr>
              <w:t>En septiembre de 2012 se puso en marcha un sitio web de los CATI rediseñado, y se han añadido seminarios de formación en Internet y otros recursos de enseñanza por medios electrónicos a mediados de 2013.</w:t>
            </w:r>
          </w:p>
          <w:p w:rsidR="003260F8" w:rsidRPr="0074345C" w:rsidRDefault="003260F8" w:rsidP="00E00028"/>
          <w:p w:rsidR="003260F8" w:rsidRPr="0074345C" w:rsidRDefault="003260F8" w:rsidP="003260F8">
            <w:r w:rsidRPr="0074345C">
              <w:t xml:space="preserve">La plataforma </w:t>
            </w:r>
            <w:proofErr w:type="spellStart"/>
            <w:r w:rsidRPr="0074345C">
              <w:t>e</w:t>
            </w:r>
            <w:r w:rsidR="00EB0C87" w:rsidRPr="0074345C">
              <w:t>TISC</w:t>
            </w:r>
            <w:proofErr w:type="spellEnd"/>
            <w:r w:rsidR="00322244" w:rsidRPr="0074345C">
              <w:t xml:space="preserve"> </w:t>
            </w:r>
            <w:r w:rsidRPr="0074345C">
              <w:t xml:space="preserve"> se inauguró en noviembre de 2012.</w:t>
            </w:r>
          </w:p>
          <w:p w:rsidR="003260F8" w:rsidRPr="0074345C" w:rsidRDefault="003260F8" w:rsidP="00E00028"/>
          <w:p w:rsidR="003260F8" w:rsidRPr="0074345C" w:rsidRDefault="003260F8" w:rsidP="00E00028">
            <w:pPr>
              <w:rPr>
                <w:rFonts w:cs="Calibri"/>
              </w:rPr>
            </w:pPr>
          </w:p>
          <w:p w:rsidR="003260F8" w:rsidRPr="0074345C" w:rsidRDefault="003260F8" w:rsidP="00E00028"/>
          <w:p w:rsidR="003260F8" w:rsidRPr="0074345C" w:rsidRDefault="003260F8" w:rsidP="003260F8">
            <w:r w:rsidRPr="0074345C">
              <w:t xml:space="preserve">Los servicios de ayuda en Internet son suministrados por los funcionarios de la Sección de Apoyo Tecnológico y a la Innovación  a través de la plataforma </w:t>
            </w:r>
            <w:proofErr w:type="spellStart"/>
            <w:proofErr w:type="gramStart"/>
            <w:r w:rsidRPr="0074345C">
              <w:t>e</w:t>
            </w:r>
            <w:r w:rsidR="00EB0C87" w:rsidRPr="0074345C">
              <w:t>TISC</w:t>
            </w:r>
            <w:proofErr w:type="spellEnd"/>
            <w:r w:rsidR="00322244" w:rsidRPr="0074345C">
              <w:t xml:space="preserve"> </w:t>
            </w:r>
            <w:r w:rsidRPr="0074345C">
              <w:t>.</w:t>
            </w:r>
            <w:proofErr w:type="gramEnd"/>
            <w:r w:rsidR="00502F27" w:rsidRPr="0074345C">
              <w:t xml:space="preserve"> </w:t>
            </w:r>
          </w:p>
          <w:p w:rsidR="003260F8" w:rsidRPr="0074345C" w:rsidRDefault="003260F8" w:rsidP="00E00028"/>
          <w:p w:rsidR="003260F8" w:rsidRPr="0074345C" w:rsidRDefault="003260F8" w:rsidP="003260F8">
            <w:r w:rsidRPr="0074345C">
              <w:t>La mayoría de los CATI han recibido uno o dos cursos de enseñanza a distancia.</w:t>
            </w:r>
          </w:p>
          <w:p w:rsidR="003260F8" w:rsidRPr="0074345C" w:rsidRDefault="003260F8" w:rsidP="00E00028"/>
          <w:p w:rsidR="00502F27" w:rsidRPr="0074345C" w:rsidRDefault="00502F27" w:rsidP="00E00028">
            <w:pPr>
              <w:rPr>
                <w:rFonts w:cs="Calibri"/>
                <w:szCs w:val="22"/>
              </w:rPr>
            </w:pPr>
          </w:p>
        </w:tc>
        <w:tc>
          <w:tcPr>
            <w:tcW w:w="964" w:type="dxa"/>
            <w:tcBorders>
              <w:top w:val="single" w:sz="2" w:space="0" w:color="000000"/>
              <w:left w:val="single" w:sz="2" w:space="0" w:color="000000"/>
              <w:bottom w:val="single" w:sz="2" w:space="0" w:color="000000"/>
              <w:right w:val="single" w:sz="2" w:space="0" w:color="000000"/>
            </w:tcBorders>
          </w:tcPr>
          <w:p w:rsidR="003260F8" w:rsidRPr="0074345C" w:rsidRDefault="003260F8" w:rsidP="00E00028"/>
          <w:p w:rsidR="003260F8" w:rsidRPr="0074345C" w:rsidRDefault="00502F27" w:rsidP="00E00028">
            <w:pPr>
              <w:rPr>
                <w:rFonts w:cs="Calibri"/>
                <w:szCs w:val="22"/>
              </w:rPr>
            </w:pPr>
            <w:r w:rsidRPr="0074345C">
              <w:t>****</w:t>
            </w:r>
          </w:p>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502F27" w:rsidP="00E00028">
            <w:r w:rsidRPr="0074345C">
              <w:t>****</w:t>
            </w:r>
          </w:p>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502F27" w:rsidP="00E00028">
            <w:r w:rsidRPr="0074345C">
              <w:t>****</w:t>
            </w:r>
          </w:p>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502F27" w:rsidRPr="0074345C" w:rsidRDefault="00502F27" w:rsidP="00E00028">
            <w:pPr>
              <w:rPr>
                <w:rFonts w:cs="Calibri"/>
                <w:szCs w:val="22"/>
              </w:rPr>
            </w:pPr>
            <w:r w:rsidRPr="0074345C">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9B4891" w:rsidP="003260F8">
            <w:pPr>
              <w:rPr>
                <w:szCs w:val="22"/>
              </w:rPr>
            </w:pPr>
            <w:r w:rsidRPr="0074345C">
              <w:rPr>
                <w:szCs w:val="22"/>
              </w:rPr>
              <w:t xml:space="preserve">2. </w:t>
            </w:r>
            <w:r w:rsidR="003260F8" w:rsidRPr="0074345C">
              <w:rPr>
                <w:szCs w:val="22"/>
              </w:rPr>
              <w:t>Desarrollo y promoción de servicios usuario / cliente, en particular desde una perspectiva empresarial.</w:t>
            </w:r>
          </w:p>
          <w:p w:rsidR="003260F8" w:rsidRPr="0074345C" w:rsidRDefault="003260F8" w:rsidP="00E00028">
            <w:pPr>
              <w:rPr>
                <w:rFonts w:cs="Calibri"/>
              </w:rPr>
            </w:pPr>
          </w:p>
          <w:p w:rsidR="003260F8" w:rsidRPr="0074345C" w:rsidRDefault="003260F8" w:rsidP="00E00028">
            <w:pPr>
              <w:rPr>
                <w:rFonts w:cs="Calibri"/>
              </w:rPr>
            </w:pPr>
          </w:p>
          <w:p w:rsidR="003260F8" w:rsidRPr="0074345C" w:rsidRDefault="003260F8" w:rsidP="00E00028">
            <w:pPr>
              <w:rPr>
                <w:rFonts w:cs="Calibri"/>
              </w:rPr>
            </w:pPr>
          </w:p>
          <w:p w:rsidR="00502F27" w:rsidRPr="0074345C" w:rsidRDefault="00502F27" w:rsidP="00E00028">
            <w:pPr>
              <w:rPr>
                <w:rFonts w:cs="Calibri"/>
                <w:szCs w:val="22"/>
              </w:rPr>
            </w:pPr>
          </w:p>
        </w:tc>
        <w:tc>
          <w:tcPr>
            <w:tcW w:w="2695"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3260F8" w:rsidP="003260F8">
            <w:pPr>
              <w:rPr>
                <w:szCs w:val="22"/>
              </w:rPr>
            </w:pPr>
            <w:r w:rsidRPr="0074345C">
              <w:rPr>
                <w:szCs w:val="22"/>
              </w:rPr>
              <w:t xml:space="preserve">Todos los CATI en funcionamiento habrán recibido al menos un curso de formación centrado en el fomento de la relación empresa / cliente a lo largo de 20 meses de ejecución del </w:t>
            </w:r>
            <w:r w:rsidRPr="0074345C">
              <w:rPr>
                <w:szCs w:val="22"/>
              </w:rPr>
              <w:lastRenderedPageBreak/>
              <w:t>proyecto.</w:t>
            </w:r>
          </w:p>
          <w:p w:rsidR="00502F27" w:rsidRPr="0074345C" w:rsidRDefault="00502F27" w:rsidP="00E00028">
            <w:pPr>
              <w:rPr>
                <w:szCs w:val="22"/>
              </w:rPr>
            </w:pPr>
          </w:p>
        </w:tc>
        <w:tc>
          <w:tcPr>
            <w:tcW w:w="3403" w:type="dxa"/>
            <w:tcBorders>
              <w:top w:val="single" w:sz="2" w:space="0" w:color="000000"/>
              <w:left w:val="single" w:sz="4" w:space="0" w:color="auto"/>
              <w:bottom w:val="single" w:sz="2" w:space="0" w:color="000000"/>
              <w:right w:val="single" w:sz="2" w:space="0" w:color="000000"/>
            </w:tcBorders>
            <w:hideMark/>
          </w:tcPr>
          <w:p w:rsidR="003260F8" w:rsidRPr="0074345C" w:rsidRDefault="003260F8" w:rsidP="00E00028"/>
          <w:p w:rsidR="00502F27" w:rsidRPr="0074345C" w:rsidRDefault="00766341" w:rsidP="00A62DF8">
            <w:pPr>
              <w:rPr>
                <w:szCs w:val="22"/>
              </w:rPr>
            </w:pPr>
            <w:r w:rsidRPr="0074345C">
              <w:t>El curso de formación avanzado</w:t>
            </w:r>
            <w:r w:rsidR="00502F27" w:rsidRPr="0074345C">
              <w:t xml:space="preserve"> (</w:t>
            </w:r>
            <w:r w:rsidR="00A62DF8" w:rsidRPr="0074345C">
              <w:t>tercero</w:t>
            </w:r>
            <w:r w:rsidR="00502F27" w:rsidRPr="0074345C">
              <w:t xml:space="preserve">) </w:t>
            </w:r>
            <w:r w:rsidRPr="0074345C">
              <w:t xml:space="preserve">para la mayor parte de los </w:t>
            </w:r>
            <w:r w:rsidR="00502F27" w:rsidRPr="0074345C">
              <w:t xml:space="preserve"> </w:t>
            </w:r>
            <w:r w:rsidR="00B4557E" w:rsidRPr="0074345C">
              <w:t xml:space="preserve">CATI </w:t>
            </w:r>
            <w:r w:rsidR="00502F27" w:rsidRPr="0074345C">
              <w:t xml:space="preserve"> </w:t>
            </w:r>
            <w:r w:rsidRPr="0074345C">
              <w:t>incluía una introducción al fomento de la</w:t>
            </w:r>
            <w:r w:rsidR="003E5A3B" w:rsidRPr="0074345C">
              <w:t xml:space="preserve"> relación empresa / cliente</w:t>
            </w:r>
            <w:r w:rsidR="00502F27" w:rsidRPr="0074345C">
              <w:t>.</w:t>
            </w:r>
          </w:p>
        </w:tc>
        <w:tc>
          <w:tcPr>
            <w:tcW w:w="964" w:type="dxa"/>
            <w:tcBorders>
              <w:top w:val="single" w:sz="2" w:space="0" w:color="000000"/>
              <w:left w:val="single" w:sz="2" w:space="0" w:color="000000"/>
              <w:bottom w:val="single" w:sz="2" w:space="0" w:color="000000"/>
              <w:right w:val="single" w:sz="2" w:space="0" w:color="000000"/>
            </w:tcBorders>
            <w:hideMark/>
          </w:tcPr>
          <w:p w:rsidR="003260F8" w:rsidRPr="0074345C" w:rsidRDefault="003260F8" w:rsidP="00E00028"/>
          <w:p w:rsidR="00502F27" w:rsidRPr="0074345C" w:rsidRDefault="00502F27" w:rsidP="00E00028">
            <w:pPr>
              <w:rPr>
                <w:szCs w:val="22"/>
              </w:rPr>
            </w:pPr>
            <w:r w:rsidRPr="0074345C">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9B4891" w:rsidP="003260F8">
            <w:pPr>
              <w:rPr>
                <w:szCs w:val="22"/>
              </w:rPr>
            </w:pPr>
            <w:r w:rsidRPr="0074345C">
              <w:rPr>
                <w:szCs w:val="22"/>
              </w:rPr>
              <w:t xml:space="preserve">3. </w:t>
            </w:r>
            <w:r w:rsidR="00B03D68" w:rsidRPr="0074345C">
              <w:rPr>
                <w:szCs w:val="22"/>
              </w:rPr>
              <w:t xml:space="preserve">Continuación </w:t>
            </w:r>
            <w:r w:rsidR="003260F8" w:rsidRPr="0074345C">
              <w:rPr>
                <w:szCs w:val="22"/>
              </w:rPr>
              <w:t xml:space="preserve">de la formación inicial </w:t>
            </w:r>
            <w:r w:rsidR="00B03D68" w:rsidRPr="0074345C">
              <w:rPr>
                <w:szCs w:val="22"/>
              </w:rPr>
              <w:t xml:space="preserve">según </w:t>
            </w:r>
            <w:r w:rsidR="003260F8" w:rsidRPr="0074345C">
              <w:rPr>
                <w:szCs w:val="22"/>
              </w:rPr>
              <w:t>la fase I.</w:t>
            </w:r>
          </w:p>
          <w:p w:rsidR="00502F27" w:rsidRPr="0074345C" w:rsidRDefault="00502F27" w:rsidP="00E00028">
            <w:pPr>
              <w:rPr>
                <w:rFonts w:cs="Calibri"/>
                <w:szCs w:val="22"/>
              </w:rPr>
            </w:pPr>
          </w:p>
        </w:tc>
        <w:tc>
          <w:tcPr>
            <w:tcW w:w="2695"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3260F8" w:rsidP="003260F8">
            <w:pPr>
              <w:rPr>
                <w:szCs w:val="22"/>
              </w:rPr>
            </w:pPr>
            <w:r w:rsidRPr="0074345C">
              <w:rPr>
                <w:szCs w:val="22"/>
              </w:rPr>
              <w:t>Firma de acuerdos de prestación de servicios entre los nuevos CATI y la OMPI;</w:t>
            </w:r>
          </w:p>
          <w:p w:rsidR="003260F8" w:rsidRPr="0074345C" w:rsidRDefault="003260F8" w:rsidP="00E00028"/>
          <w:p w:rsidR="003260F8" w:rsidRPr="0074345C" w:rsidRDefault="003260F8" w:rsidP="003260F8">
            <w:r w:rsidRPr="0074345C">
              <w:t>Puesta en funcionamiento de los servicios de CATI en al menos otros 12 países e instituciones interesados transcurridos 20 meses desde el inicio de la fase II.</w:t>
            </w:r>
          </w:p>
          <w:p w:rsidR="00502F27" w:rsidRPr="0074345C" w:rsidRDefault="00502F27" w:rsidP="00E00028">
            <w:pPr>
              <w:rPr>
                <w:rFonts w:cs="Calibri"/>
                <w:szCs w:val="22"/>
              </w:rPr>
            </w:pPr>
          </w:p>
        </w:tc>
        <w:tc>
          <w:tcPr>
            <w:tcW w:w="3403" w:type="dxa"/>
            <w:tcBorders>
              <w:top w:val="single" w:sz="2" w:space="0" w:color="000000"/>
              <w:left w:val="single" w:sz="4" w:space="0" w:color="auto"/>
              <w:bottom w:val="single" w:sz="2" w:space="0" w:color="000000"/>
              <w:right w:val="single" w:sz="2" w:space="0" w:color="000000"/>
            </w:tcBorders>
          </w:tcPr>
          <w:p w:rsidR="003260F8" w:rsidRPr="0074345C" w:rsidRDefault="003260F8" w:rsidP="00E00028"/>
          <w:p w:rsidR="003260F8" w:rsidRPr="0074345C" w:rsidRDefault="003260F8" w:rsidP="003260F8">
            <w:r w:rsidRPr="0074345C">
              <w:t>Los talleres de formación iniciales siguen impartiéndose en los países que se han comprometido a firmar acue</w:t>
            </w:r>
            <w:r w:rsidR="00B03D68" w:rsidRPr="0074345C">
              <w:t>rdos de prestación de servicios; e</w:t>
            </w:r>
            <w:r w:rsidRPr="0074345C">
              <w:t xml:space="preserve">n 2012 </w:t>
            </w:r>
            <w:r w:rsidR="00B03D68" w:rsidRPr="0074345C">
              <w:t xml:space="preserve">y 2013 </w:t>
            </w:r>
            <w:r w:rsidRPr="0074345C">
              <w:t>se firmaron 10 nuevos acuerdos de prestación de servicios.</w:t>
            </w:r>
          </w:p>
          <w:p w:rsidR="003260F8" w:rsidRPr="0074345C" w:rsidRDefault="003260F8" w:rsidP="00E00028">
            <w:pPr>
              <w:rPr>
                <w:rFonts w:cs="Calibri"/>
                <w:szCs w:val="22"/>
              </w:rPr>
            </w:pPr>
          </w:p>
          <w:p w:rsidR="00502F27" w:rsidRPr="0074345C" w:rsidRDefault="004466EC" w:rsidP="00A62DF8">
            <w:pPr>
              <w:spacing w:before="240" w:after="60"/>
              <w:outlineLvl w:val="2"/>
              <w:rPr>
                <w:rFonts w:cs="Calibri"/>
                <w:szCs w:val="22"/>
              </w:rPr>
            </w:pPr>
            <w:r w:rsidRPr="0074345C">
              <w:t xml:space="preserve">Se pusieron a funcionar </w:t>
            </w:r>
            <w:r w:rsidR="00502F27" w:rsidRPr="0074345C">
              <w:t xml:space="preserve">10 </w:t>
            </w:r>
            <w:r w:rsidR="00B4557E" w:rsidRPr="0074345C">
              <w:t xml:space="preserve">CATI </w:t>
            </w:r>
            <w:r w:rsidR="00502F27" w:rsidRPr="0074345C">
              <w:t>(</w:t>
            </w:r>
            <w:r w:rsidRPr="0074345C">
              <w:t>acuerdos de prestación de servicios</w:t>
            </w:r>
            <w:r w:rsidR="00502F27" w:rsidRPr="0074345C">
              <w:t xml:space="preserve"> </w:t>
            </w:r>
            <w:r w:rsidR="00A62DF8" w:rsidRPr="0074345C">
              <w:t xml:space="preserve">firmados y </w:t>
            </w:r>
            <w:r w:rsidRPr="0074345C">
              <w:t>primera formación impartid</w:t>
            </w:r>
            <w:r w:rsidR="00A62DF8" w:rsidRPr="0074345C">
              <w:t>a</w:t>
            </w:r>
            <w:r w:rsidR="00502F27" w:rsidRPr="0074345C">
              <w:t xml:space="preserve">) </w:t>
            </w:r>
            <w:r w:rsidRPr="0074345C">
              <w:t>en la fase</w:t>
            </w:r>
            <w:r w:rsidR="00B4557E" w:rsidRPr="0074345C">
              <w:t xml:space="preserve"> I</w:t>
            </w:r>
            <w:r w:rsidR="00A62DF8" w:rsidRPr="0074345C">
              <w:t>I</w:t>
            </w:r>
            <w:r w:rsidR="00502F27" w:rsidRPr="0074345C">
              <w:t xml:space="preserve">; </w:t>
            </w:r>
            <w:r w:rsidRPr="0074345C">
              <w:t xml:space="preserve">aunque </w:t>
            </w:r>
            <w:r w:rsidR="00A62DF8" w:rsidRPr="0074345C">
              <w:t xml:space="preserve">los primeros talleres de formación también se realizaron en otros </w:t>
            </w:r>
            <w:r w:rsidR="00502F27" w:rsidRPr="0074345C">
              <w:t xml:space="preserve">11 </w:t>
            </w:r>
            <w:r w:rsidR="002034F4" w:rsidRPr="0074345C">
              <w:t>países</w:t>
            </w:r>
            <w:r w:rsidR="00502F27" w:rsidRPr="0074345C">
              <w:t xml:space="preserve"> </w:t>
            </w:r>
            <w:r w:rsidR="00A62DF8" w:rsidRPr="0074345C">
              <w:t>en los que aún no se habían firmado acuerdos de prestación de servicios (e</w:t>
            </w:r>
            <w:r w:rsidR="00502F27" w:rsidRPr="0074345C">
              <w:t>n 2014).</w:t>
            </w:r>
          </w:p>
        </w:tc>
        <w:tc>
          <w:tcPr>
            <w:tcW w:w="964" w:type="dxa"/>
            <w:tcBorders>
              <w:top w:val="single" w:sz="2" w:space="0" w:color="000000"/>
              <w:left w:val="single" w:sz="2" w:space="0" w:color="000000"/>
              <w:bottom w:val="single" w:sz="2" w:space="0" w:color="000000"/>
              <w:right w:val="single" w:sz="2" w:space="0" w:color="000000"/>
            </w:tcBorders>
          </w:tcPr>
          <w:p w:rsidR="003260F8" w:rsidRPr="0074345C" w:rsidRDefault="003260F8" w:rsidP="00E00028"/>
          <w:p w:rsidR="003260F8" w:rsidRPr="0074345C" w:rsidRDefault="00502F27" w:rsidP="00E00028">
            <w:pPr>
              <w:rPr>
                <w:szCs w:val="22"/>
              </w:rPr>
            </w:pPr>
            <w:r w:rsidRPr="0074345C">
              <w:t>****</w:t>
            </w:r>
          </w:p>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502F27" w:rsidP="00E00028">
            <w:pPr>
              <w:rPr>
                <w:rFonts w:cs="Calibri"/>
              </w:rPr>
            </w:pPr>
            <w:r w:rsidRPr="0074345C">
              <w:t>****</w:t>
            </w:r>
          </w:p>
          <w:p w:rsidR="00502F27" w:rsidRPr="0074345C" w:rsidRDefault="00502F27" w:rsidP="00E00028">
            <w:pPr>
              <w:rPr>
                <w:rFonts w:cs="Calibri"/>
                <w:szCs w:val="22"/>
              </w:rPr>
            </w:pP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hideMark/>
          </w:tcPr>
          <w:p w:rsidR="003260F8" w:rsidRPr="0074345C" w:rsidRDefault="003260F8" w:rsidP="00E00028"/>
          <w:p w:rsidR="00502F27" w:rsidRPr="0074345C" w:rsidRDefault="009B4891" w:rsidP="003260F8">
            <w:pPr>
              <w:rPr>
                <w:rFonts w:cs="Calibri"/>
                <w:szCs w:val="22"/>
              </w:rPr>
            </w:pPr>
            <w:r w:rsidRPr="0074345C">
              <w:rPr>
                <w:rFonts w:cs="Calibri"/>
                <w:szCs w:val="22"/>
              </w:rPr>
              <w:t xml:space="preserve">4. </w:t>
            </w:r>
            <w:r w:rsidR="003260F8" w:rsidRPr="0074345C">
              <w:rPr>
                <w:rFonts w:cs="Calibri"/>
                <w:szCs w:val="22"/>
              </w:rPr>
              <w:t>Formación en otros aspectos del apoyo a la innovación, además de acceso a las bases de datos de tecnología.</w:t>
            </w:r>
          </w:p>
        </w:tc>
        <w:tc>
          <w:tcPr>
            <w:tcW w:w="2695"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3260F8" w:rsidP="003260F8">
            <w:pPr>
              <w:rPr>
                <w:szCs w:val="22"/>
              </w:rPr>
            </w:pPr>
            <w:r w:rsidRPr="0074345C">
              <w:rPr>
                <w:szCs w:val="22"/>
              </w:rPr>
              <w:t>Todos los CATI puestos en funcionamiento habrán recibido al menos un curso de formación sobre derechos de P.I., gestión de activos de P.I., transferencia de tecnología o comercialización a lo largo de 20 meses de ejecución del proyecto.</w:t>
            </w:r>
          </w:p>
          <w:p w:rsidR="00502F27" w:rsidRPr="0074345C" w:rsidRDefault="00502F27" w:rsidP="00E00028">
            <w:pPr>
              <w:rPr>
                <w:szCs w:val="22"/>
              </w:rPr>
            </w:pPr>
          </w:p>
        </w:tc>
        <w:tc>
          <w:tcPr>
            <w:tcW w:w="3403" w:type="dxa"/>
            <w:tcBorders>
              <w:top w:val="single" w:sz="2" w:space="0" w:color="000000"/>
              <w:left w:val="single" w:sz="4" w:space="0" w:color="auto"/>
              <w:bottom w:val="single" w:sz="2" w:space="0" w:color="000000"/>
              <w:right w:val="single" w:sz="2" w:space="0" w:color="000000"/>
            </w:tcBorders>
          </w:tcPr>
          <w:p w:rsidR="003260F8" w:rsidRPr="0074345C" w:rsidRDefault="003260F8" w:rsidP="00E00028"/>
          <w:p w:rsidR="003260F8" w:rsidRPr="0074345C" w:rsidRDefault="00A62DF8" w:rsidP="00E00028">
            <w:pPr>
              <w:rPr>
                <w:szCs w:val="22"/>
              </w:rPr>
            </w:pPr>
            <w:r w:rsidRPr="0074345C">
              <w:t>La mayoría de los CA</w:t>
            </w:r>
            <w:r w:rsidR="00B4557E" w:rsidRPr="0074345C">
              <w:t xml:space="preserve">TI </w:t>
            </w:r>
            <w:r w:rsidRPr="0074345C">
              <w:t xml:space="preserve">han recibido un curso de formación de introducción sobre </w:t>
            </w:r>
            <w:r w:rsidRPr="0074345C">
              <w:rPr>
                <w:szCs w:val="22"/>
              </w:rPr>
              <w:t>derechos de P.I., gestión de activos de P.I. o transferencia de tecnología o comercialización durante el tercer cur</w:t>
            </w:r>
            <w:r w:rsidR="00B96917" w:rsidRPr="0074345C">
              <w:rPr>
                <w:szCs w:val="22"/>
              </w:rPr>
              <w:t>so</w:t>
            </w:r>
            <w:r w:rsidRPr="0074345C">
              <w:rPr>
                <w:szCs w:val="22"/>
              </w:rPr>
              <w:t xml:space="preserve"> de formación avanzada </w:t>
            </w:r>
            <w:r w:rsidR="00502F27" w:rsidRPr="0074345C">
              <w:t xml:space="preserve">(10 </w:t>
            </w:r>
            <w:r w:rsidRPr="0074345C">
              <w:t xml:space="preserve">a finales de </w:t>
            </w:r>
            <w:r w:rsidR="00502F27" w:rsidRPr="0074345C">
              <w:t>2013).</w:t>
            </w:r>
          </w:p>
          <w:p w:rsidR="00502F27" w:rsidRPr="0074345C" w:rsidRDefault="00502F27" w:rsidP="00E00028">
            <w:pPr>
              <w:rPr>
                <w:szCs w:val="22"/>
              </w:rPr>
            </w:pPr>
          </w:p>
        </w:tc>
        <w:tc>
          <w:tcPr>
            <w:tcW w:w="964" w:type="dxa"/>
            <w:tcBorders>
              <w:top w:val="single" w:sz="2" w:space="0" w:color="000000"/>
              <w:left w:val="single" w:sz="2" w:space="0" w:color="000000"/>
              <w:bottom w:val="single" w:sz="2" w:space="0" w:color="000000"/>
              <w:right w:val="single" w:sz="2" w:space="0" w:color="000000"/>
            </w:tcBorders>
            <w:hideMark/>
          </w:tcPr>
          <w:p w:rsidR="003260F8" w:rsidRPr="0074345C" w:rsidRDefault="003260F8" w:rsidP="00E00028"/>
          <w:p w:rsidR="00502F27" w:rsidRPr="0074345C" w:rsidRDefault="00502F27" w:rsidP="00E00028">
            <w:pPr>
              <w:rPr>
                <w:rFonts w:cs="Calibri"/>
                <w:szCs w:val="22"/>
              </w:rPr>
            </w:pPr>
            <w:r w:rsidRPr="0074345C">
              <w:t>***</w:t>
            </w:r>
          </w:p>
        </w:tc>
      </w:tr>
      <w:tr w:rsidR="006376E7" w:rsidRPr="0074345C" w:rsidTr="009F2FA4">
        <w:trPr>
          <w:trHeight w:val="548"/>
        </w:trPr>
        <w:tc>
          <w:tcPr>
            <w:tcW w:w="2412" w:type="dxa"/>
            <w:tcBorders>
              <w:top w:val="single" w:sz="4" w:space="0" w:color="auto"/>
              <w:left w:val="single" w:sz="4" w:space="0" w:color="auto"/>
              <w:bottom w:val="single" w:sz="4" w:space="0" w:color="auto"/>
              <w:right w:val="single" w:sz="4" w:space="0" w:color="auto"/>
            </w:tcBorders>
          </w:tcPr>
          <w:p w:rsidR="003260F8" w:rsidRPr="0074345C" w:rsidRDefault="003260F8" w:rsidP="00E00028">
            <w:pPr>
              <w:rPr>
                <w:szCs w:val="22"/>
              </w:rPr>
            </w:pPr>
          </w:p>
          <w:p w:rsidR="003260F8" w:rsidRPr="0074345C" w:rsidRDefault="009B4891" w:rsidP="003260F8">
            <w:pPr>
              <w:rPr>
                <w:szCs w:val="22"/>
              </w:rPr>
            </w:pPr>
            <w:r w:rsidRPr="0074345C">
              <w:rPr>
                <w:szCs w:val="22"/>
              </w:rPr>
              <w:t xml:space="preserve">5. </w:t>
            </w:r>
            <w:r w:rsidR="003260F8" w:rsidRPr="0074345C">
              <w:rPr>
                <w:szCs w:val="22"/>
              </w:rPr>
              <w:t>Mayor coordinación y cooperación con organizaciones intergubernamentales y no gubernamentales.</w:t>
            </w:r>
          </w:p>
          <w:p w:rsidR="00502F27" w:rsidRPr="0074345C" w:rsidRDefault="00502F27" w:rsidP="00E00028">
            <w:pPr>
              <w:rPr>
                <w:rFonts w:cs="Calibri"/>
                <w:szCs w:val="22"/>
              </w:rPr>
            </w:pPr>
          </w:p>
        </w:tc>
        <w:tc>
          <w:tcPr>
            <w:tcW w:w="2695" w:type="dxa"/>
            <w:tcBorders>
              <w:top w:val="single" w:sz="4" w:space="0" w:color="auto"/>
              <w:left w:val="single" w:sz="4" w:space="0" w:color="auto"/>
              <w:bottom w:val="single" w:sz="4" w:space="0" w:color="auto"/>
              <w:right w:val="single" w:sz="4" w:space="0" w:color="auto"/>
            </w:tcBorders>
            <w:hideMark/>
          </w:tcPr>
          <w:p w:rsidR="003260F8" w:rsidRPr="0074345C" w:rsidRDefault="003260F8" w:rsidP="00E00028"/>
          <w:p w:rsidR="00502F27" w:rsidRPr="0074345C" w:rsidRDefault="003260F8" w:rsidP="003260F8">
            <w:pPr>
              <w:rPr>
                <w:szCs w:val="22"/>
              </w:rPr>
            </w:pPr>
            <w:r w:rsidRPr="0074345C">
              <w:rPr>
                <w:szCs w:val="22"/>
              </w:rPr>
              <w:t>Cooperación con al menos 2 OIG/ONG iniciada al final de la fase II.</w:t>
            </w:r>
          </w:p>
        </w:tc>
        <w:tc>
          <w:tcPr>
            <w:tcW w:w="3403" w:type="dxa"/>
            <w:tcBorders>
              <w:top w:val="single" w:sz="2" w:space="0" w:color="000000"/>
              <w:left w:val="single" w:sz="4" w:space="0" w:color="auto"/>
              <w:bottom w:val="single" w:sz="2" w:space="0" w:color="000000"/>
              <w:right w:val="single" w:sz="2" w:space="0" w:color="000000"/>
            </w:tcBorders>
            <w:hideMark/>
          </w:tcPr>
          <w:p w:rsidR="003260F8" w:rsidRPr="0074345C" w:rsidRDefault="003260F8" w:rsidP="00E00028"/>
          <w:p w:rsidR="00502F27" w:rsidRPr="0074345C" w:rsidRDefault="003260F8" w:rsidP="00E54CE4">
            <w:pPr>
              <w:rPr>
                <w:rFonts w:cs="Calibri"/>
                <w:szCs w:val="22"/>
              </w:rPr>
            </w:pPr>
            <w:r w:rsidRPr="0074345C">
              <w:rPr>
                <w:rFonts w:cs="Calibri"/>
                <w:szCs w:val="22"/>
              </w:rPr>
              <w:t xml:space="preserve">Se entabló una colaboración con </w:t>
            </w:r>
            <w:r w:rsidR="00B03D68" w:rsidRPr="0074345C">
              <w:rPr>
                <w:rFonts w:cs="Calibri"/>
                <w:szCs w:val="22"/>
              </w:rPr>
              <w:t>cuatro</w:t>
            </w:r>
            <w:r w:rsidRPr="0074345C">
              <w:rPr>
                <w:rFonts w:cs="Calibri"/>
                <w:szCs w:val="22"/>
              </w:rPr>
              <w:t xml:space="preserve"> OIG (ARIPO, OAPI</w:t>
            </w:r>
            <w:r w:rsidR="00B03D68" w:rsidRPr="0074345C">
              <w:rPr>
                <w:rFonts w:cs="Calibri"/>
                <w:szCs w:val="22"/>
              </w:rPr>
              <w:t>, OIC</w:t>
            </w:r>
            <w:r w:rsidRPr="0074345C">
              <w:rPr>
                <w:rFonts w:cs="Calibri"/>
                <w:szCs w:val="22"/>
              </w:rPr>
              <w:t xml:space="preserve"> y ASEAN) y </w:t>
            </w:r>
            <w:r w:rsidR="00E54CE4" w:rsidRPr="0074345C">
              <w:rPr>
                <w:rFonts w:cs="Calibri"/>
                <w:szCs w:val="22"/>
              </w:rPr>
              <w:t>continúan los</w:t>
            </w:r>
            <w:r w:rsidRPr="0074345C">
              <w:rPr>
                <w:rFonts w:cs="Calibri"/>
                <w:szCs w:val="22"/>
              </w:rPr>
              <w:t xml:space="preserve"> contactos con la </w:t>
            </w:r>
            <w:proofErr w:type="spellStart"/>
            <w:r w:rsidRPr="0074345C">
              <w:rPr>
                <w:rFonts w:cs="Calibri"/>
                <w:i/>
                <w:szCs w:val="22"/>
              </w:rPr>
              <w:t>Organisation</w:t>
            </w:r>
            <w:proofErr w:type="spellEnd"/>
            <w:r w:rsidRPr="0074345C">
              <w:rPr>
                <w:rFonts w:cs="Calibri"/>
                <w:i/>
                <w:szCs w:val="22"/>
              </w:rPr>
              <w:t xml:space="preserve"> </w:t>
            </w:r>
            <w:proofErr w:type="spellStart"/>
            <w:r w:rsidRPr="0074345C">
              <w:rPr>
                <w:rFonts w:cs="Calibri"/>
                <w:i/>
                <w:szCs w:val="22"/>
              </w:rPr>
              <w:t>Internationale</w:t>
            </w:r>
            <w:proofErr w:type="spellEnd"/>
            <w:r w:rsidRPr="0074345C">
              <w:rPr>
                <w:rFonts w:cs="Calibri"/>
                <w:i/>
                <w:szCs w:val="22"/>
              </w:rPr>
              <w:t xml:space="preserve"> de la </w:t>
            </w:r>
            <w:proofErr w:type="spellStart"/>
            <w:r w:rsidRPr="0074345C">
              <w:rPr>
                <w:rFonts w:cs="Calibri"/>
                <w:i/>
                <w:szCs w:val="22"/>
              </w:rPr>
              <w:t>Francophonie</w:t>
            </w:r>
            <w:proofErr w:type="spellEnd"/>
            <w:r w:rsidRPr="0074345C">
              <w:rPr>
                <w:rFonts w:cs="Calibri"/>
                <w:szCs w:val="22"/>
              </w:rPr>
              <w:t xml:space="preserve"> (OIF) con miras a la </w:t>
            </w:r>
            <w:r w:rsidR="00E54CE4" w:rsidRPr="0074345C">
              <w:rPr>
                <w:rFonts w:cs="Calibri"/>
                <w:szCs w:val="22"/>
              </w:rPr>
              <w:t>realiz</w:t>
            </w:r>
            <w:r w:rsidRPr="0074345C">
              <w:rPr>
                <w:rFonts w:cs="Calibri"/>
                <w:szCs w:val="22"/>
              </w:rPr>
              <w:t>ación de actividades regionales.</w:t>
            </w:r>
          </w:p>
        </w:tc>
        <w:tc>
          <w:tcPr>
            <w:tcW w:w="964" w:type="dxa"/>
            <w:tcBorders>
              <w:top w:val="single" w:sz="2" w:space="0" w:color="000000"/>
              <w:left w:val="single" w:sz="2" w:space="0" w:color="000000"/>
              <w:bottom w:val="single" w:sz="2" w:space="0" w:color="000000"/>
              <w:right w:val="single" w:sz="2" w:space="0" w:color="000000"/>
            </w:tcBorders>
            <w:hideMark/>
          </w:tcPr>
          <w:p w:rsidR="003260F8" w:rsidRPr="0074345C" w:rsidRDefault="003260F8" w:rsidP="00E00028"/>
          <w:p w:rsidR="00502F27" w:rsidRPr="0074345C" w:rsidRDefault="00502F27" w:rsidP="00E00028">
            <w:pPr>
              <w:rPr>
                <w:rFonts w:cs="Calibri"/>
                <w:szCs w:val="22"/>
              </w:rPr>
            </w:pPr>
            <w:r w:rsidRPr="0074345C">
              <w:t>****</w:t>
            </w:r>
          </w:p>
        </w:tc>
      </w:tr>
    </w:tbl>
    <w:p w:rsidR="003260F8" w:rsidRPr="0074345C" w:rsidRDefault="003260F8" w:rsidP="00502F27">
      <w:pPr>
        <w:rPr>
          <w:rFonts w:cs="Calibri"/>
          <w:szCs w:val="22"/>
        </w:rPr>
      </w:pPr>
    </w:p>
    <w:p w:rsidR="003260F8" w:rsidRPr="0074345C" w:rsidRDefault="003260F8" w:rsidP="00502F27">
      <w:pPr>
        <w:rPr>
          <w:rFonts w:cs="Calibri"/>
          <w:szCs w:val="22"/>
        </w:rPr>
      </w:pPr>
    </w:p>
    <w:p w:rsidR="003260F8" w:rsidRPr="0074345C" w:rsidRDefault="003260F8" w:rsidP="00502F27">
      <w:pPr>
        <w:rPr>
          <w:rFonts w:cs="Calibri"/>
          <w:szCs w:val="22"/>
        </w:rPr>
      </w:pPr>
    </w:p>
    <w:p w:rsidR="003260F8" w:rsidRPr="0074345C" w:rsidRDefault="00502F27" w:rsidP="00502F27">
      <w:pPr>
        <w:rPr>
          <w:rFonts w:cs="Calibri"/>
          <w:szCs w:val="22"/>
        </w:rPr>
      </w:pPr>
      <w:r w:rsidRPr="0074345C">
        <w:rPr>
          <w:rFonts w:cs="Calibri"/>
          <w:szCs w:val="22"/>
        </w:rPr>
        <w:br w:type="page"/>
      </w:r>
    </w:p>
    <w:p w:rsidR="003260F8" w:rsidRPr="0074345C" w:rsidRDefault="003260F8" w:rsidP="00502F27">
      <w:pPr>
        <w:rPr>
          <w:rFonts w:cs="Calibri"/>
          <w:szCs w:val="22"/>
        </w:rPr>
      </w:pPr>
    </w:p>
    <w:p w:rsidR="00502F27" w:rsidRPr="0074345C" w:rsidRDefault="00502F27" w:rsidP="00502F27"/>
    <w:tbl>
      <w:tblPr>
        <w:tblW w:w="9474" w:type="dxa"/>
        <w:tblInd w:w="-106" w:type="dxa"/>
        <w:tblLayout w:type="fixed"/>
        <w:tblLook w:val="01E0" w:firstRow="1" w:lastRow="1" w:firstColumn="1" w:lastColumn="1" w:noHBand="0" w:noVBand="0"/>
      </w:tblPr>
      <w:tblGrid>
        <w:gridCol w:w="2412"/>
        <w:gridCol w:w="2695"/>
        <w:gridCol w:w="3403"/>
        <w:gridCol w:w="964"/>
      </w:tblGrid>
      <w:tr w:rsidR="006376E7" w:rsidRPr="0074345C" w:rsidTr="009F2FA4">
        <w:trPr>
          <w:trHeight w:val="616"/>
          <w:tblHeader/>
        </w:trPr>
        <w:tc>
          <w:tcPr>
            <w:tcW w:w="2412" w:type="dxa"/>
            <w:tcBorders>
              <w:top w:val="single" w:sz="2" w:space="0" w:color="000000"/>
              <w:left w:val="single" w:sz="2" w:space="0" w:color="000000"/>
              <w:bottom w:val="single" w:sz="4" w:space="0" w:color="auto"/>
              <w:right w:val="single" w:sz="2" w:space="0" w:color="000000"/>
            </w:tcBorders>
            <w:hideMark/>
          </w:tcPr>
          <w:p w:rsidR="00502F27" w:rsidRPr="0074345C" w:rsidRDefault="003260F8" w:rsidP="003260F8">
            <w:pPr>
              <w:keepNext/>
              <w:spacing w:before="240" w:after="60"/>
              <w:outlineLvl w:val="2"/>
              <w:rPr>
                <w:szCs w:val="22"/>
                <w:u w:val="single"/>
              </w:rPr>
            </w:pPr>
            <w:r w:rsidRPr="0074345C">
              <w:rPr>
                <w:szCs w:val="22"/>
                <w:u w:val="single"/>
              </w:rPr>
              <w:t>Objetivos del proyecto</w:t>
            </w:r>
          </w:p>
        </w:tc>
        <w:tc>
          <w:tcPr>
            <w:tcW w:w="2695" w:type="dxa"/>
            <w:tcBorders>
              <w:top w:val="single" w:sz="2" w:space="0" w:color="000000"/>
              <w:left w:val="single" w:sz="2" w:space="0" w:color="000000"/>
              <w:bottom w:val="single" w:sz="4" w:space="0" w:color="auto"/>
              <w:right w:val="single" w:sz="2" w:space="0" w:color="000000"/>
            </w:tcBorders>
          </w:tcPr>
          <w:p w:rsidR="003260F8" w:rsidRPr="0074345C" w:rsidRDefault="003260F8" w:rsidP="003260F8">
            <w:pPr>
              <w:keepNext/>
              <w:spacing w:before="240" w:after="60"/>
              <w:outlineLvl w:val="2"/>
              <w:rPr>
                <w:szCs w:val="22"/>
                <w:u w:val="single"/>
              </w:rPr>
            </w:pPr>
            <w:r w:rsidRPr="0074345C">
              <w:rPr>
                <w:szCs w:val="22"/>
                <w:u w:val="single"/>
              </w:rPr>
              <w:t>Indicadores de cumplimiento de los objetivos(s)</w:t>
            </w:r>
          </w:p>
          <w:p w:rsidR="003260F8" w:rsidRPr="0074345C" w:rsidRDefault="003260F8" w:rsidP="003260F8">
            <w:pPr>
              <w:rPr>
                <w:u w:val="single"/>
              </w:rPr>
            </w:pPr>
            <w:r w:rsidRPr="0074345C">
              <w:rPr>
                <w:u w:val="single"/>
              </w:rPr>
              <w:t>(Indicadores de resultado)</w:t>
            </w:r>
          </w:p>
          <w:p w:rsidR="00502F27" w:rsidRPr="0074345C" w:rsidRDefault="00502F27" w:rsidP="00E00028">
            <w:pPr>
              <w:rPr>
                <w:szCs w:val="22"/>
                <w:u w:val="single"/>
              </w:rPr>
            </w:pPr>
          </w:p>
        </w:tc>
        <w:tc>
          <w:tcPr>
            <w:tcW w:w="3403" w:type="dxa"/>
            <w:tcBorders>
              <w:top w:val="single" w:sz="2" w:space="0" w:color="000000"/>
              <w:left w:val="single" w:sz="2" w:space="0" w:color="000000"/>
              <w:bottom w:val="single" w:sz="2" w:space="0" w:color="000000"/>
              <w:right w:val="single" w:sz="2" w:space="0" w:color="000000"/>
            </w:tcBorders>
            <w:hideMark/>
          </w:tcPr>
          <w:p w:rsidR="00502F27" w:rsidRPr="0074345C" w:rsidRDefault="003260F8" w:rsidP="003260F8">
            <w:pPr>
              <w:keepNext/>
              <w:spacing w:before="240" w:after="60"/>
              <w:outlineLvl w:val="2"/>
              <w:rPr>
                <w:szCs w:val="22"/>
                <w:u w:val="single"/>
              </w:rPr>
            </w:pPr>
            <w:r w:rsidRPr="0074345C">
              <w:rPr>
                <w:szCs w:val="22"/>
                <w:u w:val="single"/>
              </w:rPr>
              <w:t>Datos sobre el rendimiento</w:t>
            </w:r>
          </w:p>
        </w:tc>
        <w:tc>
          <w:tcPr>
            <w:tcW w:w="964" w:type="dxa"/>
            <w:tcBorders>
              <w:top w:val="single" w:sz="2" w:space="0" w:color="000000"/>
              <w:left w:val="single" w:sz="2" w:space="0" w:color="000000"/>
              <w:bottom w:val="single" w:sz="2" w:space="0" w:color="000000"/>
              <w:right w:val="single" w:sz="2" w:space="0" w:color="000000"/>
            </w:tcBorders>
            <w:hideMark/>
          </w:tcPr>
          <w:p w:rsidR="00502F27" w:rsidRPr="0074345C" w:rsidRDefault="003260F8" w:rsidP="003260F8">
            <w:pPr>
              <w:keepNext/>
              <w:spacing w:before="240" w:after="60"/>
              <w:outlineLvl w:val="2"/>
              <w:rPr>
                <w:szCs w:val="22"/>
                <w:u w:val="single"/>
              </w:rPr>
            </w:pPr>
            <w:r w:rsidRPr="0074345C">
              <w:rPr>
                <w:szCs w:val="22"/>
                <w:u w:val="single"/>
              </w:rPr>
              <w:t>Clave de colores</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hideMark/>
          </w:tcPr>
          <w:p w:rsidR="003260F8" w:rsidRPr="0074345C" w:rsidRDefault="003260F8" w:rsidP="00E00028"/>
          <w:p w:rsidR="00502F27" w:rsidRPr="0074345C" w:rsidRDefault="009B4891" w:rsidP="003260F8">
            <w:pPr>
              <w:rPr>
                <w:rFonts w:cs="Calibri"/>
                <w:szCs w:val="22"/>
              </w:rPr>
            </w:pPr>
            <w:r w:rsidRPr="0074345C">
              <w:rPr>
                <w:rFonts w:cs="Calibri"/>
                <w:szCs w:val="22"/>
              </w:rPr>
              <w:t xml:space="preserve">1. </w:t>
            </w:r>
            <w:r w:rsidR="003260F8" w:rsidRPr="0074345C">
              <w:rPr>
                <w:rFonts w:cs="Calibri"/>
                <w:szCs w:val="22"/>
              </w:rPr>
              <w:t>Asegurar la sostenibilidad a largo plazo de los CATI y su capacidad para prestar servicios de apoyo a la tecnología y la innovación útiles y de alta calidad.</w:t>
            </w:r>
          </w:p>
        </w:tc>
        <w:tc>
          <w:tcPr>
            <w:tcW w:w="2695"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3260F8" w:rsidP="003260F8">
            <w:pPr>
              <w:rPr>
                <w:szCs w:val="22"/>
              </w:rPr>
            </w:pPr>
            <w:r w:rsidRPr="0074345C">
              <w:rPr>
                <w:szCs w:val="22"/>
              </w:rPr>
              <w:t>El número de CATI que reciben cinco o más consultas por día de usuarios locales se mantiene en aproximadamente el nivel del 30% de todos los CATI (referencia de 2011</w:t>
            </w:r>
            <w:proofErr w:type="gramStart"/>
            <w:r w:rsidRPr="0074345C">
              <w:rPr>
                <w:szCs w:val="22"/>
              </w:rPr>
              <w:t>:  el</w:t>
            </w:r>
            <w:proofErr w:type="gramEnd"/>
            <w:r w:rsidRPr="0074345C">
              <w:rPr>
                <w:szCs w:val="22"/>
              </w:rPr>
              <w:t> 28% de todos los CATI recibieron 5 o más consultas por día, según el “informe resumido de evaluación” de diciembre de 2011).</w:t>
            </w:r>
          </w:p>
          <w:p w:rsidR="003260F8" w:rsidRPr="0074345C" w:rsidRDefault="003260F8" w:rsidP="00E00028"/>
          <w:p w:rsidR="003260F8" w:rsidRPr="0074345C" w:rsidRDefault="003260F8" w:rsidP="003260F8">
            <w:r w:rsidRPr="0074345C">
              <w:t>El porcentaje de CATI que han recibido al menos un curso de formación en el plazo de un año desde la firma del acuerdo de prestación de servicios se mantiene en el nivel del 70% (referencia de 2010/11: 69% a partir de las estadísticas de formación).</w:t>
            </w:r>
          </w:p>
          <w:p w:rsidR="00502F27" w:rsidRPr="0074345C" w:rsidRDefault="00502F27" w:rsidP="00E00028">
            <w:pPr>
              <w:rPr>
                <w:rFonts w:cs="Calibri"/>
                <w:szCs w:val="22"/>
              </w:rPr>
            </w:pPr>
          </w:p>
        </w:tc>
        <w:tc>
          <w:tcPr>
            <w:tcW w:w="3403" w:type="dxa"/>
            <w:tcBorders>
              <w:top w:val="single" w:sz="2" w:space="0" w:color="000000"/>
              <w:left w:val="single" w:sz="4" w:space="0" w:color="auto"/>
              <w:bottom w:val="single" w:sz="2" w:space="0" w:color="000000"/>
              <w:right w:val="single" w:sz="2" w:space="0" w:color="000000"/>
            </w:tcBorders>
          </w:tcPr>
          <w:p w:rsidR="003260F8" w:rsidRPr="0074345C" w:rsidRDefault="003260F8" w:rsidP="00E00028"/>
          <w:p w:rsidR="003260F8" w:rsidRPr="0074345C" w:rsidRDefault="003260F8" w:rsidP="003260F8">
            <w:pPr>
              <w:rPr>
                <w:szCs w:val="22"/>
              </w:rPr>
            </w:pPr>
            <w:r w:rsidRPr="0074345C">
              <w:rPr>
                <w:szCs w:val="22"/>
              </w:rPr>
              <w:t>El 63% de todos los CATI recibió 5 o más consultas por día, según se indica en el “informe resumido de evaluación” de diciembre de 2013.</w:t>
            </w:r>
          </w:p>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502F27" w:rsidRPr="0074345C" w:rsidRDefault="00A62DF8" w:rsidP="006C59C3">
            <w:pPr>
              <w:rPr>
                <w:szCs w:val="22"/>
              </w:rPr>
            </w:pPr>
            <w:r w:rsidRPr="0074345C">
              <w:t xml:space="preserve">Según las estadísticas sobre la formación impartida, el </w:t>
            </w:r>
            <w:r w:rsidR="00502F27" w:rsidRPr="0074345C">
              <w:t>90%</w:t>
            </w:r>
            <w:r w:rsidR="006376E7" w:rsidRPr="0074345C">
              <w:t xml:space="preserve"> </w:t>
            </w:r>
            <w:r w:rsidRPr="0074345C">
              <w:t xml:space="preserve">de los </w:t>
            </w:r>
            <w:r w:rsidR="00B4557E" w:rsidRPr="0074345C">
              <w:t xml:space="preserve">CATI </w:t>
            </w:r>
            <w:r w:rsidR="00502F27" w:rsidRPr="0074345C">
              <w:t>ha</w:t>
            </w:r>
            <w:r w:rsidRPr="0074345C">
              <w:t xml:space="preserve"> recibido al menos un curso de formación en el año </w:t>
            </w:r>
            <w:r w:rsidR="006C59C3" w:rsidRPr="0074345C">
              <w:t>que siguió a</w:t>
            </w:r>
            <w:r w:rsidRPr="0074345C">
              <w:t xml:space="preserve"> la firma del acuerdo </w:t>
            </w:r>
            <w:r w:rsidR="006C59C3" w:rsidRPr="0074345C">
              <w:t>de</w:t>
            </w:r>
            <w:r w:rsidRPr="0074345C">
              <w:t xml:space="preserve"> prestación de servicios </w:t>
            </w:r>
            <w:r w:rsidR="00502F27" w:rsidRPr="0074345C">
              <w:t>(</w:t>
            </w:r>
            <w:r w:rsidR="006C59C3" w:rsidRPr="0074345C">
              <w:t>en un caso el curso de formación no se impartió debido a los problemas de seguridad en el país</w:t>
            </w:r>
            <w:r w:rsidR="00502F27" w:rsidRPr="0074345C">
              <w:t xml:space="preserve">). </w:t>
            </w:r>
          </w:p>
        </w:tc>
        <w:tc>
          <w:tcPr>
            <w:tcW w:w="964" w:type="dxa"/>
            <w:tcBorders>
              <w:top w:val="single" w:sz="2" w:space="0" w:color="000000"/>
              <w:left w:val="single" w:sz="2" w:space="0" w:color="000000"/>
              <w:bottom w:val="single" w:sz="2" w:space="0" w:color="000000"/>
              <w:right w:val="single" w:sz="2" w:space="0" w:color="000000"/>
            </w:tcBorders>
          </w:tcPr>
          <w:p w:rsidR="003260F8" w:rsidRPr="0074345C" w:rsidRDefault="003260F8" w:rsidP="00E00028"/>
          <w:p w:rsidR="003260F8" w:rsidRPr="0074345C" w:rsidRDefault="00502F27" w:rsidP="00E00028">
            <w:r w:rsidRPr="0074345C">
              <w:t>****</w:t>
            </w:r>
          </w:p>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3260F8" w:rsidRPr="0074345C" w:rsidRDefault="003260F8" w:rsidP="00E00028"/>
          <w:p w:rsidR="00DC677B" w:rsidRPr="0074345C" w:rsidRDefault="00DC677B" w:rsidP="00E00028"/>
          <w:p w:rsidR="003260F8" w:rsidRPr="0074345C" w:rsidRDefault="003260F8" w:rsidP="00E00028"/>
          <w:p w:rsidR="003260F8" w:rsidRPr="0074345C" w:rsidRDefault="003260F8" w:rsidP="00E00028"/>
          <w:p w:rsidR="003260F8" w:rsidRPr="0074345C" w:rsidRDefault="003260F8" w:rsidP="00E00028"/>
          <w:p w:rsidR="00502F27" w:rsidRPr="0074345C" w:rsidRDefault="00502F27" w:rsidP="00E00028">
            <w:pPr>
              <w:rPr>
                <w:szCs w:val="22"/>
              </w:rPr>
            </w:pPr>
            <w:r w:rsidRPr="0074345C">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hideMark/>
          </w:tcPr>
          <w:p w:rsidR="003260F8" w:rsidRPr="0074345C" w:rsidRDefault="003260F8" w:rsidP="00E00028"/>
          <w:p w:rsidR="00502F27" w:rsidRPr="0074345C" w:rsidRDefault="009B4891" w:rsidP="003260F8">
            <w:r w:rsidRPr="0074345C">
              <w:t xml:space="preserve">2. </w:t>
            </w:r>
            <w:r w:rsidR="003260F8" w:rsidRPr="0074345C">
              <w:t>Aprovechar los efectos de red que produzca el incremento del número de CATI y el desarrollo de las competencias técnicas de CATI.</w:t>
            </w:r>
          </w:p>
        </w:tc>
        <w:tc>
          <w:tcPr>
            <w:tcW w:w="2695" w:type="dxa"/>
            <w:tcBorders>
              <w:top w:val="single" w:sz="4" w:space="0" w:color="auto"/>
              <w:left w:val="single" w:sz="4" w:space="0" w:color="auto"/>
              <w:bottom w:val="single" w:sz="4" w:space="0" w:color="auto"/>
              <w:right w:val="single" w:sz="4" w:space="0" w:color="auto"/>
            </w:tcBorders>
          </w:tcPr>
          <w:p w:rsidR="003260F8" w:rsidRPr="0074345C" w:rsidRDefault="003260F8" w:rsidP="00E00028"/>
          <w:p w:rsidR="003260F8" w:rsidRPr="0074345C" w:rsidRDefault="003260F8" w:rsidP="003260F8">
            <w:pPr>
              <w:rPr>
                <w:szCs w:val="22"/>
              </w:rPr>
            </w:pPr>
            <w:r w:rsidRPr="0074345C">
              <w:rPr>
                <w:szCs w:val="22"/>
              </w:rPr>
              <w:t>Número de usuarios únicos de la plataforma de CATI de gestión del conocimiento.</w:t>
            </w:r>
          </w:p>
          <w:p w:rsidR="003260F8" w:rsidRPr="0074345C" w:rsidRDefault="003260F8" w:rsidP="00E00028"/>
          <w:p w:rsidR="003260F8" w:rsidRPr="0074345C" w:rsidRDefault="003260F8" w:rsidP="003260F8">
            <w:r w:rsidRPr="0074345C">
              <w:t>Número de contribuciones de los usuarios de la plataforma.</w:t>
            </w:r>
          </w:p>
          <w:p w:rsidR="00502F27" w:rsidRPr="0074345C" w:rsidRDefault="00502F27" w:rsidP="00E00028">
            <w:pPr>
              <w:rPr>
                <w:rFonts w:cs="Calibri"/>
                <w:szCs w:val="22"/>
              </w:rPr>
            </w:pPr>
          </w:p>
        </w:tc>
        <w:tc>
          <w:tcPr>
            <w:tcW w:w="3403" w:type="dxa"/>
            <w:tcBorders>
              <w:top w:val="single" w:sz="2" w:space="0" w:color="000000"/>
              <w:left w:val="single" w:sz="4" w:space="0" w:color="auto"/>
              <w:bottom w:val="single" w:sz="2" w:space="0" w:color="000000"/>
              <w:right w:val="single" w:sz="2" w:space="0" w:color="000000"/>
            </w:tcBorders>
          </w:tcPr>
          <w:p w:rsidR="003260F8" w:rsidRPr="0074345C" w:rsidRDefault="003260F8" w:rsidP="00E00028"/>
          <w:p w:rsidR="003260F8" w:rsidRPr="0074345C" w:rsidRDefault="00502F27" w:rsidP="00E00028">
            <w:pPr>
              <w:rPr>
                <w:szCs w:val="22"/>
              </w:rPr>
            </w:pPr>
            <w:r w:rsidRPr="0074345C">
              <w:t xml:space="preserve">650 </w:t>
            </w:r>
            <w:r w:rsidR="002164FF" w:rsidRPr="0074345C">
              <w:t>miembros</w:t>
            </w:r>
            <w:r w:rsidRPr="0074345C">
              <w:t xml:space="preserve"> </w:t>
            </w:r>
            <w:r w:rsidR="00EB0C87" w:rsidRPr="0074345C">
              <w:t xml:space="preserve">de la plataforma </w:t>
            </w:r>
            <w:proofErr w:type="spellStart"/>
            <w:r w:rsidRPr="0074345C">
              <w:t>e</w:t>
            </w:r>
            <w:r w:rsidR="00EB0C87" w:rsidRPr="0074345C">
              <w:t>TISC</w:t>
            </w:r>
            <w:proofErr w:type="spellEnd"/>
            <w:r w:rsidR="00322244" w:rsidRPr="0074345C">
              <w:t xml:space="preserve"> </w:t>
            </w:r>
            <w:r w:rsidRPr="0074345C">
              <w:t xml:space="preserve"> (</w:t>
            </w:r>
            <w:r w:rsidR="00EB0C87" w:rsidRPr="0074345C">
              <w:t xml:space="preserve">fin de </w:t>
            </w:r>
            <w:r w:rsidRPr="0074345C">
              <w:t>2013).</w:t>
            </w:r>
          </w:p>
          <w:p w:rsidR="003260F8" w:rsidRPr="0074345C" w:rsidRDefault="003260F8" w:rsidP="00E00028"/>
          <w:p w:rsidR="003260F8" w:rsidRPr="0074345C" w:rsidRDefault="003260F8" w:rsidP="00E00028"/>
          <w:p w:rsidR="00502F27" w:rsidRPr="0074345C" w:rsidRDefault="00502F27" w:rsidP="00EB0C87">
            <w:pPr>
              <w:rPr>
                <w:szCs w:val="22"/>
              </w:rPr>
            </w:pPr>
            <w:r w:rsidRPr="0074345C">
              <w:t xml:space="preserve">520 </w:t>
            </w:r>
            <w:r w:rsidR="00EB0C87" w:rsidRPr="0074345C">
              <w:t xml:space="preserve">contribuciones de los usuarios de </w:t>
            </w:r>
            <w:proofErr w:type="spellStart"/>
            <w:r w:rsidRPr="0074345C">
              <w:t>e</w:t>
            </w:r>
            <w:r w:rsidR="00EB0C87" w:rsidRPr="0074345C">
              <w:t>TISC</w:t>
            </w:r>
            <w:proofErr w:type="spellEnd"/>
            <w:r w:rsidRPr="0074345C">
              <w:t xml:space="preserve"> (</w:t>
            </w:r>
            <w:r w:rsidR="00EB0C87" w:rsidRPr="0074345C">
              <w:t xml:space="preserve">antes de </w:t>
            </w:r>
            <w:r w:rsidRPr="0074345C">
              <w:t xml:space="preserve"> </w:t>
            </w:r>
            <w:r w:rsidR="002034F4" w:rsidRPr="0074345C">
              <w:t>diciembre</w:t>
            </w:r>
            <w:r w:rsidRPr="0074345C">
              <w:t xml:space="preserve"> 2013).</w:t>
            </w:r>
          </w:p>
        </w:tc>
        <w:tc>
          <w:tcPr>
            <w:tcW w:w="964" w:type="dxa"/>
            <w:tcBorders>
              <w:top w:val="single" w:sz="2" w:space="0" w:color="000000"/>
              <w:left w:val="single" w:sz="2" w:space="0" w:color="000000"/>
              <w:bottom w:val="single" w:sz="2" w:space="0" w:color="000000"/>
              <w:right w:val="single" w:sz="2" w:space="0" w:color="000000"/>
            </w:tcBorders>
          </w:tcPr>
          <w:p w:rsidR="003260F8" w:rsidRPr="0074345C" w:rsidRDefault="003260F8" w:rsidP="00E00028"/>
          <w:p w:rsidR="00502F27" w:rsidRPr="0074345C" w:rsidRDefault="00502F27" w:rsidP="00E00028">
            <w:pPr>
              <w:rPr>
                <w:szCs w:val="22"/>
              </w:rPr>
            </w:pPr>
            <w:r w:rsidRPr="0074345C">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hideMark/>
          </w:tcPr>
          <w:p w:rsidR="003260F8" w:rsidRPr="0074345C" w:rsidRDefault="003260F8" w:rsidP="006376E7">
            <w:pPr>
              <w:keepNext/>
              <w:keepLines/>
            </w:pPr>
          </w:p>
          <w:p w:rsidR="00502F27" w:rsidRPr="0074345C" w:rsidRDefault="009B4891" w:rsidP="006376E7">
            <w:pPr>
              <w:keepNext/>
              <w:keepLines/>
              <w:rPr>
                <w:szCs w:val="22"/>
              </w:rPr>
            </w:pPr>
            <w:r w:rsidRPr="0074345C">
              <w:rPr>
                <w:szCs w:val="22"/>
              </w:rPr>
              <w:t xml:space="preserve">3. </w:t>
            </w:r>
            <w:r w:rsidR="003260F8" w:rsidRPr="0074345C">
              <w:rPr>
                <w:szCs w:val="22"/>
              </w:rPr>
              <w:t xml:space="preserve">Fomentar e incrementar el número de instituciones y usuarios que reúnan las condiciones para acceder a los </w:t>
            </w:r>
            <w:r w:rsidR="00AC0CD4" w:rsidRPr="0074345C">
              <w:rPr>
                <w:szCs w:val="22"/>
              </w:rPr>
              <w:t>Programas</w:t>
            </w:r>
            <w:r w:rsidR="003260F8" w:rsidRPr="0074345C">
              <w:rPr>
                <w:szCs w:val="22"/>
              </w:rPr>
              <w:t xml:space="preserve"> </w:t>
            </w:r>
            <w:r w:rsidR="00DC677B" w:rsidRPr="0074345C">
              <w:rPr>
                <w:szCs w:val="22"/>
              </w:rPr>
              <w:t xml:space="preserve">ARDI </w:t>
            </w:r>
            <w:r w:rsidR="003260F8" w:rsidRPr="0074345C">
              <w:rPr>
                <w:szCs w:val="22"/>
              </w:rPr>
              <w:t>y ASPI.</w:t>
            </w:r>
          </w:p>
        </w:tc>
        <w:tc>
          <w:tcPr>
            <w:tcW w:w="2695" w:type="dxa"/>
            <w:tcBorders>
              <w:top w:val="single" w:sz="4" w:space="0" w:color="auto"/>
              <w:left w:val="single" w:sz="4" w:space="0" w:color="auto"/>
              <w:bottom w:val="single" w:sz="4" w:space="0" w:color="auto"/>
              <w:right w:val="single" w:sz="4" w:space="0" w:color="auto"/>
            </w:tcBorders>
            <w:hideMark/>
          </w:tcPr>
          <w:p w:rsidR="003260F8" w:rsidRPr="0074345C" w:rsidRDefault="003260F8" w:rsidP="006376E7">
            <w:pPr>
              <w:keepNext/>
              <w:keepLines/>
            </w:pPr>
          </w:p>
          <w:p w:rsidR="00502F27" w:rsidRPr="0074345C" w:rsidRDefault="003260F8" w:rsidP="006376E7">
            <w:pPr>
              <w:keepNext/>
              <w:keepLines/>
              <w:rPr>
                <w:szCs w:val="22"/>
              </w:rPr>
            </w:pPr>
            <w:r w:rsidRPr="0074345C">
              <w:rPr>
                <w:szCs w:val="22"/>
              </w:rPr>
              <w:t xml:space="preserve">Aumento del número de instituciones que utilizan el </w:t>
            </w:r>
            <w:r w:rsidR="009E13C2" w:rsidRPr="0074345C">
              <w:rPr>
                <w:szCs w:val="22"/>
              </w:rPr>
              <w:t xml:space="preserve">Programa </w:t>
            </w:r>
            <w:r w:rsidR="006376E7" w:rsidRPr="0074345C">
              <w:rPr>
                <w:szCs w:val="22"/>
              </w:rPr>
              <w:t xml:space="preserve">ARDI </w:t>
            </w:r>
            <w:r w:rsidRPr="0074345C">
              <w:rPr>
                <w:szCs w:val="22"/>
              </w:rPr>
              <w:t xml:space="preserve">en un 50% y de instituciones que utilizan el </w:t>
            </w:r>
            <w:r w:rsidR="009E13C2" w:rsidRPr="0074345C">
              <w:rPr>
                <w:szCs w:val="22"/>
              </w:rPr>
              <w:t xml:space="preserve">Programa </w:t>
            </w:r>
            <w:r w:rsidRPr="0074345C">
              <w:rPr>
                <w:szCs w:val="22"/>
              </w:rPr>
              <w:t>ASPI en un 100%;  aumento proporcional del número de usuarios.</w:t>
            </w:r>
          </w:p>
        </w:tc>
        <w:tc>
          <w:tcPr>
            <w:tcW w:w="3403" w:type="dxa"/>
            <w:tcBorders>
              <w:top w:val="single" w:sz="2" w:space="0" w:color="000000"/>
              <w:left w:val="single" w:sz="4" w:space="0" w:color="auto"/>
              <w:bottom w:val="single" w:sz="2" w:space="0" w:color="000000"/>
              <w:right w:val="single" w:sz="2" w:space="0" w:color="000000"/>
            </w:tcBorders>
          </w:tcPr>
          <w:p w:rsidR="003260F8" w:rsidRPr="0074345C" w:rsidRDefault="003260F8" w:rsidP="006376E7">
            <w:pPr>
              <w:keepNext/>
              <w:keepLines/>
            </w:pPr>
          </w:p>
          <w:p w:rsidR="003260F8" w:rsidRPr="0074345C" w:rsidRDefault="003260F8" w:rsidP="006376E7">
            <w:pPr>
              <w:keepNext/>
              <w:keepLines/>
              <w:rPr>
                <w:szCs w:val="22"/>
              </w:rPr>
            </w:pPr>
            <w:r w:rsidRPr="0074345C">
              <w:rPr>
                <w:szCs w:val="22"/>
              </w:rPr>
              <w:t xml:space="preserve">&gt;600% de aumento del número de instituciones que utilizan el </w:t>
            </w:r>
            <w:r w:rsidR="009E13C2" w:rsidRPr="0074345C">
              <w:rPr>
                <w:szCs w:val="22"/>
              </w:rPr>
              <w:t xml:space="preserve">Programa </w:t>
            </w:r>
            <w:r w:rsidR="006376E7" w:rsidRPr="0074345C">
              <w:rPr>
                <w:szCs w:val="22"/>
              </w:rPr>
              <w:t xml:space="preserve">ARDI </w:t>
            </w:r>
            <w:r w:rsidRPr="0074345C">
              <w:rPr>
                <w:szCs w:val="22"/>
              </w:rPr>
              <w:t>(de unas 30 a más de 200)</w:t>
            </w:r>
          </w:p>
          <w:p w:rsidR="00502F27" w:rsidRPr="0074345C" w:rsidRDefault="003260F8" w:rsidP="006376E7">
            <w:pPr>
              <w:keepNext/>
              <w:keepLines/>
              <w:rPr>
                <w:szCs w:val="22"/>
              </w:rPr>
            </w:pPr>
            <w:r w:rsidRPr="0074345C">
              <w:rPr>
                <w:szCs w:val="22"/>
              </w:rPr>
              <w:t xml:space="preserve">300% de aumento del número de instituciones que utilizan el </w:t>
            </w:r>
            <w:r w:rsidR="009E13C2" w:rsidRPr="0074345C">
              <w:rPr>
                <w:szCs w:val="22"/>
              </w:rPr>
              <w:t xml:space="preserve">Programa </w:t>
            </w:r>
            <w:r w:rsidRPr="0074345C">
              <w:rPr>
                <w:szCs w:val="22"/>
              </w:rPr>
              <w:t>ASPI (de 6 a 20)</w:t>
            </w:r>
          </w:p>
        </w:tc>
        <w:tc>
          <w:tcPr>
            <w:tcW w:w="964" w:type="dxa"/>
            <w:tcBorders>
              <w:top w:val="single" w:sz="2" w:space="0" w:color="000000"/>
              <w:left w:val="single" w:sz="2" w:space="0" w:color="000000"/>
              <w:bottom w:val="single" w:sz="2" w:space="0" w:color="000000"/>
              <w:right w:val="single" w:sz="2" w:space="0" w:color="000000"/>
            </w:tcBorders>
            <w:hideMark/>
          </w:tcPr>
          <w:p w:rsidR="003260F8" w:rsidRPr="0074345C" w:rsidRDefault="003260F8" w:rsidP="006376E7">
            <w:pPr>
              <w:keepNext/>
              <w:keepLines/>
            </w:pPr>
          </w:p>
          <w:p w:rsidR="00502F27" w:rsidRPr="0074345C" w:rsidRDefault="00502F27" w:rsidP="006376E7">
            <w:pPr>
              <w:keepNext/>
              <w:keepLines/>
              <w:rPr>
                <w:szCs w:val="22"/>
              </w:rPr>
            </w:pPr>
            <w:r w:rsidRPr="0074345C">
              <w:t>****</w:t>
            </w:r>
          </w:p>
        </w:tc>
      </w:tr>
    </w:tbl>
    <w:p w:rsidR="003260F8" w:rsidRPr="0074345C" w:rsidRDefault="003260F8" w:rsidP="00502F27">
      <w:pPr>
        <w:spacing w:after="200" w:line="276" w:lineRule="auto"/>
        <w:rPr>
          <w:rFonts w:asciiTheme="minorHAnsi" w:eastAsiaTheme="minorHAnsi" w:hAnsiTheme="minorHAnsi" w:cstheme="minorBidi"/>
          <w:szCs w:val="22"/>
        </w:rPr>
      </w:pPr>
    </w:p>
    <w:p w:rsidR="003260F8" w:rsidRPr="0074345C" w:rsidRDefault="003260F8" w:rsidP="00502F27">
      <w:pPr>
        <w:tabs>
          <w:tab w:val="left" w:pos="9060"/>
        </w:tabs>
        <w:rPr>
          <w:szCs w:val="22"/>
        </w:rPr>
      </w:pPr>
    </w:p>
    <w:p w:rsidR="00502F27" w:rsidRPr="0074345C" w:rsidRDefault="00502F27" w:rsidP="003260F8">
      <w:pPr>
        <w:tabs>
          <w:tab w:val="left" w:pos="3225"/>
          <w:tab w:val="left" w:pos="5529"/>
        </w:tabs>
        <w:sectPr w:rsidR="00502F27" w:rsidRPr="0074345C" w:rsidSect="002164FF">
          <w:headerReference w:type="default" r:id="rId63"/>
          <w:headerReference w:type="first" r:id="rId64"/>
          <w:endnotePr>
            <w:numFmt w:val="decimal"/>
          </w:endnotePr>
          <w:pgSz w:w="11907" w:h="16840" w:code="9"/>
          <w:pgMar w:top="567" w:right="1134" w:bottom="1418" w:left="1418" w:header="510" w:footer="1021" w:gutter="0"/>
          <w:pgNumType w:start="1"/>
          <w:cols w:space="720"/>
          <w:titlePg/>
          <w:docGrid w:linePitch="299"/>
        </w:sectPr>
      </w:pPr>
      <w:r w:rsidRPr="0074345C">
        <w:tab/>
      </w:r>
      <w:r w:rsidRPr="0074345C">
        <w:tab/>
      </w:r>
      <w:r w:rsidR="003260F8" w:rsidRPr="0074345C">
        <w:rPr>
          <w:lang w:val="es-ES_tradnl"/>
        </w:rPr>
        <w:t>[Sigue el Anexo IX]</w:t>
      </w:r>
    </w:p>
    <w:p w:rsidR="003260F8" w:rsidRPr="0074345C" w:rsidRDefault="003260F8" w:rsidP="00502F27">
      <w:pPr>
        <w:tabs>
          <w:tab w:val="left" w:pos="3225"/>
        </w:tabs>
      </w:pPr>
    </w:p>
    <w:p w:rsidR="00ED053D" w:rsidRPr="0074345C" w:rsidRDefault="00ED053D" w:rsidP="00ED053D">
      <w:pPr>
        <w:tabs>
          <w:tab w:val="left" w:pos="3225"/>
        </w:tabs>
      </w:pPr>
    </w:p>
    <w:p w:rsidR="00ED053D" w:rsidRPr="0074345C" w:rsidRDefault="00ED053D" w:rsidP="00ED053D">
      <w:pPr>
        <w:rPr>
          <w:bCs/>
          <w:i/>
          <w:szCs w:val="22"/>
        </w:rPr>
      </w:pPr>
      <w:r w:rsidRPr="0074345C">
        <w:rPr>
          <w:bCs/>
          <w:szCs w:val="22"/>
        </w:rPr>
        <w:t>INFORME DE TERMINACIÓN, Y DE EVALUACIÓN INTERNA, DEL PROYECTO PILOTO PARA LA CREACIÓN DE ACADEMIAS NACIONALES DE P.I. EN FASE DE IMPLANTACIÓN - FASE II</w:t>
      </w:r>
    </w:p>
    <w:p w:rsidR="00ED053D" w:rsidRPr="0074345C" w:rsidRDefault="00ED053D" w:rsidP="00ED053D">
      <w:pPr>
        <w:jc w:val="center"/>
        <w:rPr>
          <w:bCs/>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6376E7" w:rsidRPr="0074345C" w:rsidTr="00ED053D">
        <w:trPr>
          <w:trHeight w:val="432"/>
        </w:trPr>
        <w:tc>
          <w:tcPr>
            <w:tcW w:w="9288" w:type="dxa"/>
            <w:gridSpan w:val="2"/>
            <w:tcBorders>
              <w:top w:val="single" w:sz="4" w:space="0" w:color="auto"/>
              <w:left w:val="single" w:sz="4" w:space="0" w:color="auto"/>
              <w:bottom w:val="single" w:sz="4" w:space="0" w:color="auto"/>
              <w:right w:val="single" w:sz="4" w:space="0" w:color="auto"/>
            </w:tcBorders>
            <w:vAlign w:val="center"/>
            <w:hideMark/>
          </w:tcPr>
          <w:p w:rsidR="00ED053D" w:rsidRPr="0074345C" w:rsidRDefault="00ED053D" w:rsidP="00ED053D">
            <w:pPr>
              <w:rPr>
                <w:szCs w:val="22"/>
              </w:rPr>
            </w:pPr>
            <w:r w:rsidRPr="0074345C">
              <w:rPr>
                <w:szCs w:val="22"/>
              </w:rPr>
              <w:t>RESUMEN DEL PROYECTO</w:t>
            </w:r>
          </w:p>
        </w:tc>
      </w:tr>
      <w:tr w:rsidR="006376E7" w:rsidRPr="0074345C" w:rsidTr="00ED053D">
        <w:trPr>
          <w:trHeight w:val="496"/>
        </w:trPr>
        <w:tc>
          <w:tcPr>
            <w:tcW w:w="2376" w:type="dxa"/>
            <w:tcBorders>
              <w:top w:val="single" w:sz="4" w:space="0" w:color="auto"/>
              <w:left w:val="single" w:sz="4" w:space="0" w:color="auto"/>
              <w:bottom w:val="single" w:sz="4" w:space="0" w:color="auto"/>
              <w:right w:val="single" w:sz="4" w:space="0" w:color="auto"/>
            </w:tcBorders>
            <w:vAlign w:val="center"/>
            <w:hideMark/>
          </w:tcPr>
          <w:p w:rsidR="00ED053D" w:rsidRPr="0074345C" w:rsidRDefault="00ED053D" w:rsidP="00ED053D">
            <w:pPr>
              <w:rPr>
                <w:szCs w:val="22"/>
              </w:rPr>
            </w:pPr>
            <w:r w:rsidRPr="0074345C">
              <w:rPr>
                <w:szCs w:val="22"/>
              </w:rPr>
              <w:t>Código del proyecto</w:t>
            </w:r>
          </w:p>
        </w:tc>
        <w:tc>
          <w:tcPr>
            <w:tcW w:w="6912" w:type="dxa"/>
            <w:tcBorders>
              <w:top w:val="single" w:sz="4" w:space="0" w:color="auto"/>
              <w:left w:val="single" w:sz="4" w:space="0" w:color="auto"/>
              <w:bottom w:val="single" w:sz="4" w:space="0" w:color="auto"/>
              <w:right w:val="single" w:sz="4" w:space="0" w:color="auto"/>
            </w:tcBorders>
            <w:vAlign w:val="center"/>
            <w:hideMark/>
          </w:tcPr>
          <w:p w:rsidR="00ED053D" w:rsidRPr="0074345C" w:rsidRDefault="00ED053D" w:rsidP="00ED053D">
            <w:pPr>
              <w:rPr>
                <w:szCs w:val="22"/>
              </w:rPr>
            </w:pPr>
            <w:r w:rsidRPr="0074345C">
              <w:rPr>
                <w:szCs w:val="22"/>
              </w:rPr>
              <w:t>DA_10_02</w:t>
            </w:r>
          </w:p>
        </w:tc>
      </w:tr>
      <w:tr w:rsidR="006376E7" w:rsidRPr="0074345C" w:rsidTr="00ED053D">
        <w:trPr>
          <w:trHeight w:val="404"/>
        </w:trPr>
        <w:tc>
          <w:tcPr>
            <w:tcW w:w="2376" w:type="dxa"/>
            <w:tcBorders>
              <w:top w:val="single" w:sz="4" w:space="0" w:color="auto"/>
              <w:left w:val="single" w:sz="4" w:space="0" w:color="auto"/>
              <w:bottom w:val="single" w:sz="4" w:space="0" w:color="auto"/>
              <w:right w:val="single" w:sz="4" w:space="0" w:color="auto"/>
            </w:tcBorders>
            <w:vAlign w:val="center"/>
            <w:hideMark/>
          </w:tcPr>
          <w:p w:rsidR="00ED053D" w:rsidRPr="0074345C" w:rsidRDefault="00ED053D" w:rsidP="00ED053D">
            <w:pPr>
              <w:rPr>
                <w:szCs w:val="22"/>
              </w:rPr>
            </w:pPr>
            <w:r w:rsidRPr="0074345C">
              <w:rPr>
                <w:szCs w:val="22"/>
              </w:rPr>
              <w:t>Título</w:t>
            </w:r>
          </w:p>
        </w:tc>
        <w:tc>
          <w:tcPr>
            <w:tcW w:w="6912" w:type="dxa"/>
            <w:tcBorders>
              <w:top w:val="single" w:sz="4" w:space="0" w:color="auto"/>
              <w:left w:val="single" w:sz="4" w:space="0" w:color="auto"/>
              <w:bottom w:val="single" w:sz="4" w:space="0" w:color="auto"/>
              <w:right w:val="single" w:sz="4" w:space="0" w:color="auto"/>
            </w:tcBorders>
            <w:vAlign w:val="center"/>
          </w:tcPr>
          <w:p w:rsidR="00ED053D" w:rsidRPr="0074345C" w:rsidRDefault="00ED053D" w:rsidP="00ED053D">
            <w:pPr>
              <w:rPr>
                <w:szCs w:val="22"/>
              </w:rPr>
            </w:pPr>
            <w:r w:rsidRPr="0074345C">
              <w:rPr>
                <w:szCs w:val="22"/>
              </w:rPr>
              <w:t>Proyecto piloto para la creación de academias nacionales de P.I. – fase II</w:t>
            </w:r>
          </w:p>
        </w:tc>
      </w:tr>
      <w:tr w:rsidR="006376E7" w:rsidRPr="0074345C" w:rsidTr="00ED053D">
        <w:tc>
          <w:tcPr>
            <w:tcW w:w="2376"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szCs w:val="22"/>
              </w:rPr>
            </w:pPr>
            <w:r w:rsidRPr="0074345C">
              <w:rPr>
                <w:szCs w:val="22"/>
              </w:rPr>
              <w:t>Recomendación de la Agenda para el Desarrollo</w:t>
            </w:r>
          </w:p>
          <w:p w:rsidR="00ED053D" w:rsidRPr="0074345C" w:rsidRDefault="00ED053D" w:rsidP="00ED053D">
            <w:pPr>
              <w:rPr>
                <w:szCs w:val="22"/>
              </w:rPr>
            </w:pPr>
          </w:p>
        </w:tc>
        <w:tc>
          <w:tcPr>
            <w:tcW w:w="6912"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szCs w:val="22"/>
              </w:rPr>
            </w:pPr>
            <w:r w:rsidRPr="0074345C">
              <w:rPr>
                <w:szCs w:val="22"/>
              </w:rPr>
              <w:t>Recomendación Nº 10</w:t>
            </w:r>
            <w:proofErr w:type="gramStart"/>
            <w:r w:rsidRPr="0074345C">
              <w:rPr>
                <w:szCs w:val="22"/>
              </w:rPr>
              <w:t>:  Ayudar</w:t>
            </w:r>
            <w:proofErr w:type="gramEnd"/>
            <w:r w:rsidRPr="0074345C">
              <w:rPr>
                <w:szCs w:val="22"/>
              </w:rPr>
              <w:t xml:space="preserve"> a los Estados miembros a fomentar y mejorar la capacidad de las instituciones nacionales de P.I. mediante el desarrollo de la infraestructura y de otros servicios, para que dichas instituciones sean más eficaces y lograr un equilibrio más adecuado entre la protección de la P.I. y el interés público.  Este tipo de asistencia técnica debe beneficiar también a las organizaciones regionales y subregionales de P.I.  </w:t>
            </w:r>
          </w:p>
          <w:p w:rsidR="00ED053D" w:rsidRPr="0074345C" w:rsidRDefault="00ED053D" w:rsidP="00ED053D">
            <w:pPr>
              <w:rPr>
                <w:szCs w:val="22"/>
              </w:rPr>
            </w:pPr>
            <w:r w:rsidRPr="0074345C">
              <w:rPr>
                <w:szCs w:val="22"/>
              </w:rPr>
              <w:t>También se han tenido en cuenta las Recomendaciones 1 y 3.</w:t>
            </w:r>
          </w:p>
          <w:p w:rsidR="00ED053D" w:rsidRPr="0074345C" w:rsidRDefault="00ED053D" w:rsidP="00ED053D">
            <w:pPr>
              <w:rPr>
                <w:szCs w:val="22"/>
              </w:rPr>
            </w:pPr>
          </w:p>
        </w:tc>
      </w:tr>
      <w:tr w:rsidR="006376E7" w:rsidRPr="0074345C" w:rsidTr="00ED053D">
        <w:tc>
          <w:tcPr>
            <w:tcW w:w="2376"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szCs w:val="22"/>
              </w:rPr>
            </w:pPr>
            <w:r w:rsidRPr="0074345C">
              <w:rPr>
                <w:szCs w:val="22"/>
              </w:rPr>
              <w:t>Presupuesto del proyecto</w:t>
            </w:r>
          </w:p>
          <w:p w:rsidR="00ED053D" w:rsidRPr="0074345C" w:rsidRDefault="00ED053D" w:rsidP="00ED053D">
            <w:pPr>
              <w:rPr>
                <w:szCs w:val="22"/>
              </w:rPr>
            </w:pPr>
          </w:p>
        </w:tc>
        <w:tc>
          <w:tcPr>
            <w:tcW w:w="6912"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szCs w:val="22"/>
              </w:rPr>
            </w:pPr>
            <w:r w:rsidRPr="0074345C">
              <w:rPr>
                <w:szCs w:val="22"/>
              </w:rPr>
              <w:t>Gastos no relativos al personal: 443.200 francos suizos</w:t>
            </w:r>
          </w:p>
          <w:p w:rsidR="00ED053D" w:rsidRPr="0074345C" w:rsidRDefault="00ED053D" w:rsidP="00ED053D">
            <w:pPr>
              <w:tabs>
                <w:tab w:val="left" w:pos="1740"/>
              </w:tabs>
              <w:rPr>
                <w:szCs w:val="22"/>
              </w:rPr>
            </w:pPr>
          </w:p>
          <w:p w:rsidR="00ED053D" w:rsidRPr="0074345C" w:rsidRDefault="00ED053D" w:rsidP="00ED053D">
            <w:pPr>
              <w:rPr>
                <w:szCs w:val="22"/>
              </w:rPr>
            </w:pPr>
            <w:r w:rsidRPr="0074345C">
              <w:rPr>
                <w:szCs w:val="22"/>
              </w:rPr>
              <w:t>Gastos de personal:  66.800 francos suizos</w:t>
            </w:r>
          </w:p>
          <w:p w:rsidR="00ED053D" w:rsidRPr="0074345C" w:rsidRDefault="00ED053D" w:rsidP="00ED053D">
            <w:pPr>
              <w:rPr>
                <w:szCs w:val="22"/>
              </w:rPr>
            </w:pPr>
          </w:p>
        </w:tc>
      </w:tr>
      <w:tr w:rsidR="006376E7" w:rsidRPr="0074345C" w:rsidTr="00ED053D">
        <w:tc>
          <w:tcPr>
            <w:tcW w:w="2376"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r w:rsidRPr="0074345C">
              <w:rPr>
                <w:szCs w:val="22"/>
              </w:rPr>
              <w:t>Duración del proyecto</w:t>
            </w:r>
          </w:p>
          <w:p w:rsidR="00ED053D" w:rsidRPr="0074345C" w:rsidRDefault="00ED053D" w:rsidP="00ED053D">
            <w:pPr>
              <w:rPr>
                <w:szCs w:val="22"/>
              </w:rPr>
            </w:pPr>
          </w:p>
        </w:tc>
        <w:tc>
          <w:tcPr>
            <w:tcW w:w="6912" w:type="dxa"/>
            <w:tcBorders>
              <w:top w:val="single" w:sz="4" w:space="0" w:color="auto"/>
              <w:left w:val="single" w:sz="4" w:space="0" w:color="auto"/>
              <w:bottom w:val="single" w:sz="4" w:space="0" w:color="auto"/>
              <w:right w:val="single" w:sz="4" w:space="0" w:color="auto"/>
            </w:tcBorders>
            <w:hideMark/>
          </w:tcPr>
          <w:p w:rsidR="00ED053D" w:rsidRPr="0074345C" w:rsidRDefault="00ED053D" w:rsidP="00ED053D">
            <w:pPr>
              <w:rPr>
                <w:szCs w:val="22"/>
              </w:rPr>
            </w:pPr>
            <w:r w:rsidRPr="0074345C">
              <w:rPr>
                <w:szCs w:val="22"/>
              </w:rPr>
              <w:t>20 meses</w:t>
            </w:r>
          </w:p>
          <w:p w:rsidR="00ED053D" w:rsidRPr="0074345C" w:rsidRDefault="00ED053D" w:rsidP="00ED053D">
            <w:pPr>
              <w:rPr>
                <w:szCs w:val="22"/>
              </w:rPr>
            </w:pPr>
          </w:p>
        </w:tc>
      </w:tr>
      <w:tr w:rsidR="006376E7" w:rsidRPr="0074345C" w:rsidTr="00ED053D">
        <w:tc>
          <w:tcPr>
            <w:tcW w:w="2376" w:type="dxa"/>
            <w:tcBorders>
              <w:top w:val="single" w:sz="4" w:space="0" w:color="auto"/>
              <w:left w:val="single" w:sz="4" w:space="0" w:color="auto"/>
              <w:bottom w:val="single" w:sz="4" w:space="0" w:color="auto"/>
              <w:right w:val="single" w:sz="4" w:space="0" w:color="auto"/>
            </w:tcBorders>
            <w:hideMark/>
          </w:tcPr>
          <w:p w:rsidR="00ED053D" w:rsidRPr="0074345C" w:rsidRDefault="00ED053D" w:rsidP="00ED053D">
            <w:pPr>
              <w:rPr>
                <w:szCs w:val="22"/>
              </w:rPr>
            </w:pPr>
          </w:p>
          <w:p w:rsidR="00ED053D" w:rsidRPr="0074345C" w:rsidRDefault="00ED053D" w:rsidP="00ED053D">
            <w:pPr>
              <w:rPr>
                <w:szCs w:val="22"/>
              </w:rPr>
            </w:pPr>
            <w:r w:rsidRPr="0074345C">
              <w:rPr>
                <w:szCs w:val="22"/>
              </w:rPr>
              <w:t>Principales sectores de la OMPI interesados y vínculos con los programas de la Organización</w:t>
            </w:r>
          </w:p>
        </w:tc>
        <w:tc>
          <w:tcPr>
            <w:tcW w:w="6912"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szCs w:val="22"/>
              </w:rPr>
            </w:pPr>
            <w:r w:rsidRPr="0074345C">
              <w:rPr>
                <w:szCs w:val="22"/>
              </w:rPr>
              <w:t>Sector de Desarrollo</w:t>
            </w:r>
          </w:p>
          <w:p w:rsidR="00ED053D" w:rsidRPr="0074345C" w:rsidRDefault="00ED053D" w:rsidP="00ED053D">
            <w:pPr>
              <w:rPr>
                <w:szCs w:val="22"/>
              </w:rPr>
            </w:pPr>
          </w:p>
          <w:p w:rsidR="00ED053D" w:rsidRPr="0074345C" w:rsidRDefault="00ED053D" w:rsidP="00ED053D">
            <w:pPr>
              <w:rPr>
                <w:szCs w:val="22"/>
              </w:rPr>
            </w:pPr>
            <w:r w:rsidRPr="0074345C">
              <w:rPr>
                <w:szCs w:val="22"/>
              </w:rPr>
              <w:t>Vínculos con los programas 9, y 10 de la OMPI.</w:t>
            </w:r>
          </w:p>
          <w:p w:rsidR="00ED053D" w:rsidRPr="0074345C" w:rsidRDefault="00ED053D" w:rsidP="00ED053D">
            <w:pPr>
              <w:rPr>
                <w:szCs w:val="22"/>
              </w:rPr>
            </w:pPr>
          </w:p>
        </w:tc>
      </w:tr>
      <w:tr w:rsidR="00ED053D" w:rsidRPr="0074345C" w:rsidTr="00ED053D">
        <w:trPr>
          <w:trHeight w:val="2664"/>
        </w:trPr>
        <w:tc>
          <w:tcPr>
            <w:tcW w:w="2376"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szCs w:val="22"/>
              </w:rPr>
            </w:pPr>
            <w:r w:rsidRPr="0074345C">
              <w:rPr>
                <w:szCs w:val="22"/>
              </w:rPr>
              <w:t>Breve descripción del proyecto</w:t>
            </w:r>
          </w:p>
        </w:tc>
        <w:tc>
          <w:tcPr>
            <w:tcW w:w="6912"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pStyle w:val="ListParagraph"/>
              <w:autoSpaceDE w:val="0"/>
              <w:autoSpaceDN w:val="0"/>
              <w:adjustRightInd w:val="0"/>
              <w:ind w:left="0"/>
              <w:rPr>
                <w:szCs w:val="22"/>
                <w:lang w:val="es-ES"/>
              </w:rPr>
            </w:pPr>
          </w:p>
          <w:p w:rsidR="00ED053D" w:rsidRPr="0074345C" w:rsidRDefault="00ED053D" w:rsidP="00ED053D">
            <w:pPr>
              <w:pStyle w:val="ListParagraph"/>
              <w:autoSpaceDE w:val="0"/>
              <w:autoSpaceDN w:val="0"/>
              <w:adjustRightInd w:val="0"/>
              <w:ind w:left="0"/>
              <w:rPr>
                <w:szCs w:val="22"/>
                <w:lang w:val="es-ES"/>
              </w:rPr>
            </w:pPr>
            <w:r w:rsidRPr="0074345C">
              <w:rPr>
                <w:szCs w:val="22"/>
                <w:lang w:val="es-ES"/>
              </w:rPr>
              <w:t>El objetivo general del proyecto relativo a la creación de academias nacionales de P.I. es fortalecer la capacidad nacional y regional en el ámbito institucional y de los recursos humanos mediante el desarrollo de la infraestructura y otros servicios, para que dichas instituciones sean más eficaces y lograr un equilibrio adecuado entre la protección de la P.I. y el interés público y para satisfacer las prioridades y objetivos nacionales de desarrollo a fin de atender la creciente demanda de especialistas y profesionales de la P.I., funcionarios gubernamentales y otros sectores interesados.</w:t>
            </w:r>
          </w:p>
          <w:p w:rsidR="00ED053D" w:rsidRPr="0074345C" w:rsidRDefault="00ED053D" w:rsidP="00ED053D">
            <w:pPr>
              <w:pStyle w:val="ListParagraph"/>
              <w:autoSpaceDE w:val="0"/>
              <w:autoSpaceDN w:val="0"/>
              <w:adjustRightInd w:val="0"/>
              <w:ind w:left="0"/>
              <w:rPr>
                <w:szCs w:val="22"/>
                <w:lang w:val="es-ES"/>
              </w:rPr>
            </w:pPr>
          </w:p>
          <w:p w:rsidR="00ED053D" w:rsidRPr="0074345C" w:rsidRDefault="00ED053D" w:rsidP="00ED053D">
            <w:pPr>
              <w:pStyle w:val="ListParagraph"/>
              <w:autoSpaceDE w:val="0"/>
              <w:autoSpaceDN w:val="0"/>
              <w:adjustRightInd w:val="0"/>
              <w:ind w:left="0"/>
              <w:rPr>
                <w:szCs w:val="22"/>
                <w:lang w:val="es-ES"/>
              </w:rPr>
            </w:pPr>
            <w:r w:rsidRPr="0074345C">
              <w:rPr>
                <w:szCs w:val="22"/>
                <w:lang w:val="es-ES"/>
              </w:rPr>
              <w:t xml:space="preserve">Se propone llevar a cabo la Fase II con miras a que, a finales de 2013, la Academia de la OMPI haya: </w:t>
            </w:r>
          </w:p>
          <w:p w:rsidR="00ED053D" w:rsidRPr="0074345C" w:rsidRDefault="00ED053D" w:rsidP="00ED053D">
            <w:pPr>
              <w:pStyle w:val="ListParagraph"/>
              <w:autoSpaceDE w:val="0"/>
              <w:autoSpaceDN w:val="0"/>
              <w:adjustRightInd w:val="0"/>
              <w:ind w:left="0"/>
              <w:rPr>
                <w:szCs w:val="22"/>
                <w:lang w:val="es-ES"/>
              </w:rPr>
            </w:pPr>
          </w:p>
          <w:p w:rsidR="00ED053D" w:rsidRPr="0074345C" w:rsidRDefault="00ED053D" w:rsidP="00ED053D">
            <w:pPr>
              <w:pStyle w:val="ListParagraph"/>
              <w:autoSpaceDE w:val="0"/>
              <w:autoSpaceDN w:val="0"/>
              <w:adjustRightInd w:val="0"/>
              <w:ind w:left="0"/>
              <w:rPr>
                <w:szCs w:val="22"/>
                <w:lang w:val="es-ES"/>
              </w:rPr>
            </w:pPr>
            <w:r w:rsidRPr="0074345C">
              <w:rPr>
                <w:szCs w:val="22"/>
                <w:lang w:val="es-ES"/>
              </w:rPr>
              <w:t>1. ayudado a Colombia, Egipto, Etiopía, Perú, República Dominicana y Túnez a crear centros de formación de P.I. capaces de sostenerse por sí mismos y de ofrecer al menos dos programas regulares de formación sobre cuestiones emergentes en la esfera de la P.I., según lo acordado con los países beneficiarios.</w:t>
            </w:r>
          </w:p>
          <w:p w:rsidR="00ED053D" w:rsidRPr="0074345C" w:rsidRDefault="00ED053D" w:rsidP="00ED053D">
            <w:pPr>
              <w:pStyle w:val="ListParagraph"/>
              <w:autoSpaceDE w:val="0"/>
              <w:autoSpaceDN w:val="0"/>
              <w:adjustRightInd w:val="0"/>
              <w:ind w:left="0"/>
              <w:rPr>
                <w:szCs w:val="22"/>
                <w:lang w:val="es-ES"/>
              </w:rPr>
            </w:pPr>
          </w:p>
          <w:p w:rsidR="00ED053D" w:rsidRPr="0074345C" w:rsidRDefault="00ED053D" w:rsidP="00ED053D">
            <w:pPr>
              <w:pStyle w:val="ListParagraph"/>
              <w:autoSpaceDE w:val="0"/>
              <w:autoSpaceDN w:val="0"/>
              <w:adjustRightInd w:val="0"/>
              <w:ind w:left="0"/>
              <w:rPr>
                <w:szCs w:val="22"/>
                <w:lang w:val="es-ES"/>
              </w:rPr>
            </w:pPr>
            <w:r w:rsidRPr="0074345C">
              <w:rPr>
                <w:szCs w:val="22"/>
                <w:lang w:val="es-ES"/>
              </w:rPr>
              <w:t xml:space="preserve">2. generado los recursos humanos esenciales para desarrollar y proporcionar programas de formación sobre P.I. que tengan en </w:t>
            </w:r>
            <w:r w:rsidRPr="0074345C">
              <w:rPr>
                <w:szCs w:val="22"/>
                <w:lang w:val="es-ES"/>
              </w:rPr>
              <w:lastRenderedPageBreak/>
              <w:t xml:space="preserve">cuenta los problemas y prioridades nacionales en materia de desarrollo y las necesidades locales y el equilibrio adecuado entre los derechos de P.I. y el interés público. </w:t>
            </w:r>
          </w:p>
          <w:p w:rsidR="00ED053D" w:rsidRPr="0074345C" w:rsidRDefault="00ED053D" w:rsidP="00ED053D">
            <w:pPr>
              <w:autoSpaceDE w:val="0"/>
              <w:autoSpaceDN w:val="0"/>
              <w:adjustRightInd w:val="0"/>
              <w:rPr>
                <w:szCs w:val="22"/>
              </w:rPr>
            </w:pPr>
          </w:p>
          <w:p w:rsidR="00ED053D" w:rsidRPr="0074345C" w:rsidRDefault="00ED053D" w:rsidP="00ED053D">
            <w:pPr>
              <w:pStyle w:val="ListParagraph"/>
              <w:autoSpaceDE w:val="0"/>
              <w:autoSpaceDN w:val="0"/>
              <w:adjustRightInd w:val="0"/>
              <w:ind w:left="0"/>
              <w:rPr>
                <w:szCs w:val="22"/>
                <w:lang w:val="es-ES"/>
              </w:rPr>
            </w:pPr>
            <w:r w:rsidRPr="0074345C">
              <w:rPr>
                <w:szCs w:val="22"/>
                <w:lang w:val="es-ES"/>
              </w:rPr>
              <w:t>3. elaborado un conjunto de herramientas y directrices que puedan constituir una referencia para otros Estados miembros que deseen crear sus propias instituciones de formación;</w:t>
            </w:r>
          </w:p>
          <w:p w:rsidR="00ED053D" w:rsidRPr="0074345C" w:rsidRDefault="00ED053D" w:rsidP="00ED053D">
            <w:pPr>
              <w:autoSpaceDE w:val="0"/>
              <w:autoSpaceDN w:val="0"/>
              <w:adjustRightInd w:val="0"/>
              <w:rPr>
                <w:szCs w:val="22"/>
              </w:rPr>
            </w:pPr>
          </w:p>
          <w:p w:rsidR="00ED053D" w:rsidRPr="0074345C" w:rsidRDefault="00ED053D" w:rsidP="00ED053D">
            <w:pPr>
              <w:pStyle w:val="ListParagraph"/>
              <w:ind w:left="0"/>
              <w:rPr>
                <w:szCs w:val="22"/>
                <w:lang w:val="es-ES"/>
              </w:rPr>
            </w:pPr>
            <w:r w:rsidRPr="0074345C">
              <w:rPr>
                <w:szCs w:val="22"/>
                <w:lang w:val="es-ES"/>
              </w:rPr>
              <w:t>4. contribuido a crear un foro de debate sobre el uso de la P.I. en aras del desarrollo social y económico a escala nacional y regional.</w:t>
            </w:r>
          </w:p>
        </w:tc>
      </w:tr>
    </w:tbl>
    <w:p w:rsidR="00ED053D" w:rsidRPr="0074345C" w:rsidRDefault="00ED053D" w:rsidP="00ED053D">
      <w:pPr>
        <w:rPr>
          <w:szCs w:val="22"/>
        </w:rPr>
      </w:pPr>
    </w:p>
    <w:p w:rsidR="00ED053D" w:rsidRPr="0074345C" w:rsidRDefault="00ED053D" w:rsidP="00ED053D">
      <w:pPr>
        <w:rPr>
          <w:szCs w:val="22"/>
        </w:rPr>
      </w:pPr>
      <w:r w:rsidRPr="0074345C">
        <w:rPr>
          <w:szCs w:val="22"/>
        </w:rPr>
        <w:br w:type="page"/>
      </w:r>
    </w:p>
    <w:p w:rsidR="00ED053D" w:rsidRPr="0074345C" w:rsidRDefault="00ED053D" w:rsidP="00ED053D">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2"/>
      </w:tblGrid>
      <w:tr w:rsidR="00613E98" w:rsidRPr="0074345C" w:rsidTr="00613E98">
        <w:trPr>
          <w:trHeight w:val="484"/>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53D" w:rsidRPr="0074345C" w:rsidRDefault="00ED053D" w:rsidP="00ED053D">
            <w:pPr>
              <w:rPr>
                <w:szCs w:val="22"/>
              </w:rPr>
            </w:pPr>
            <w:r w:rsidRPr="0074345C">
              <w:rPr>
                <w:szCs w:val="22"/>
              </w:rPr>
              <w:t>Director del Proyecto</w:t>
            </w:r>
          </w:p>
        </w:tc>
        <w:tc>
          <w:tcPr>
            <w:tcW w:w="6910" w:type="dxa"/>
            <w:tcBorders>
              <w:top w:val="single" w:sz="4" w:space="0" w:color="auto"/>
              <w:left w:val="single" w:sz="4" w:space="0" w:color="auto"/>
              <w:bottom w:val="single" w:sz="4" w:space="0" w:color="auto"/>
              <w:right w:val="single" w:sz="4" w:space="0" w:color="auto"/>
            </w:tcBorders>
            <w:vAlign w:val="center"/>
          </w:tcPr>
          <w:p w:rsidR="00ED053D" w:rsidRPr="0074345C" w:rsidRDefault="00ED053D" w:rsidP="00ED053D">
            <w:pPr>
              <w:rPr>
                <w:iCs/>
                <w:szCs w:val="22"/>
              </w:rPr>
            </w:pPr>
          </w:p>
          <w:p w:rsidR="00ED053D" w:rsidRPr="0074345C" w:rsidRDefault="00ED053D" w:rsidP="00ED053D">
            <w:pPr>
              <w:rPr>
                <w:iCs/>
                <w:szCs w:val="22"/>
              </w:rPr>
            </w:pPr>
          </w:p>
          <w:p w:rsidR="00ED053D" w:rsidRPr="0074345C" w:rsidRDefault="00ED053D" w:rsidP="00ED053D">
            <w:pPr>
              <w:rPr>
                <w:iCs/>
                <w:szCs w:val="22"/>
              </w:rPr>
            </w:pPr>
            <w:r w:rsidRPr="0074345C">
              <w:rPr>
                <w:iCs/>
                <w:szCs w:val="22"/>
              </w:rPr>
              <w:t>Sr. Marcelo Di Pietro Peralta</w:t>
            </w:r>
          </w:p>
          <w:p w:rsidR="00ED053D" w:rsidRPr="0074345C" w:rsidRDefault="00ED053D" w:rsidP="00ED053D">
            <w:pPr>
              <w:rPr>
                <w:iCs/>
                <w:szCs w:val="22"/>
              </w:rPr>
            </w:pPr>
          </w:p>
          <w:p w:rsidR="00ED053D" w:rsidRPr="0074345C" w:rsidRDefault="00ED053D" w:rsidP="00ED053D">
            <w:pPr>
              <w:rPr>
                <w:iCs/>
                <w:szCs w:val="22"/>
              </w:rPr>
            </w:pPr>
          </w:p>
        </w:tc>
      </w:tr>
      <w:tr w:rsidR="00613E98" w:rsidRPr="0074345C" w:rsidTr="00613E98">
        <w:trPr>
          <w:trHeight w:val="1165"/>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53D" w:rsidRPr="0074345C" w:rsidRDefault="00ED053D" w:rsidP="00ED053D">
            <w:pPr>
              <w:rPr>
                <w:szCs w:val="22"/>
              </w:rPr>
            </w:pPr>
            <w:r w:rsidRPr="0074345C">
              <w:rPr>
                <w:szCs w:val="22"/>
              </w:rPr>
              <w:t>Vínculos con los resultados previstos en el presupuesto por programas</w:t>
            </w:r>
          </w:p>
        </w:tc>
        <w:tc>
          <w:tcPr>
            <w:tcW w:w="6910" w:type="dxa"/>
            <w:tcBorders>
              <w:top w:val="single" w:sz="4" w:space="0" w:color="auto"/>
              <w:left w:val="single" w:sz="4" w:space="0" w:color="auto"/>
              <w:bottom w:val="single" w:sz="4" w:space="0" w:color="auto"/>
              <w:right w:val="single" w:sz="4" w:space="0" w:color="auto"/>
            </w:tcBorders>
            <w:vAlign w:val="center"/>
          </w:tcPr>
          <w:p w:rsidR="00ED053D" w:rsidRPr="0074345C" w:rsidRDefault="00ED053D" w:rsidP="00ED053D">
            <w:pPr>
              <w:autoSpaceDE w:val="0"/>
              <w:autoSpaceDN w:val="0"/>
              <w:adjustRightInd w:val="0"/>
              <w:rPr>
                <w:i/>
                <w:szCs w:val="22"/>
              </w:rPr>
            </w:pPr>
          </w:p>
          <w:p w:rsidR="00ED053D" w:rsidRPr="0074345C" w:rsidRDefault="00ED053D" w:rsidP="00ED053D">
            <w:pPr>
              <w:rPr>
                <w:iCs/>
                <w:szCs w:val="22"/>
              </w:rPr>
            </w:pPr>
            <w:r w:rsidRPr="0074345C">
              <w:rPr>
                <w:i/>
                <w:szCs w:val="22"/>
              </w:rPr>
              <w:t>Resultado previsto III.4</w:t>
            </w:r>
            <w:r w:rsidRPr="0074345C">
              <w:rPr>
                <w:iCs/>
                <w:szCs w:val="22"/>
              </w:rPr>
              <w:t>:</w:t>
            </w:r>
            <w:r w:rsidRPr="0074345C">
              <w:rPr>
                <w:iCs/>
                <w:szCs w:val="22"/>
              </w:rPr>
              <w:br/>
              <w:t>Mayor facilidad de acceso a la formación en P.I.</w:t>
            </w:r>
          </w:p>
          <w:p w:rsidR="00ED053D" w:rsidRPr="0074345C" w:rsidRDefault="00ED053D" w:rsidP="00ED053D">
            <w:pPr>
              <w:rPr>
                <w:iCs/>
                <w:szCs w:val="22"/>
              </w:rPr>
            </w:pPr>
          </w:p>
          <w:p w:rsidR="00ED053D" w:rsidRPr="0074345C" w:rsidRDefault="00ED053D" w:rsidP="00ED053D">
            <w:pPr>
              <w:autoSpaceDE w:val="0"/>
              <w:autoSpaceDN w:val="0"/>
              <w:adjustRightInd w:val="0"/>
              <w:rPr>
                <w:i/>
                <w:szCs w:val="22"/>
              </w:rPr>
            </w:pPr>
          </w:p>
        </w:tc>
      </w:tr>
      <w:tr w:rsidR="00613E98" w:rsidRPr="0074345C" w:rsidTr="00613E98">
        <w:trPr>
          <w:trHeight w:val="1735"/>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rsidR="00ED053D" w:rsidRPr="0074345C" w:rsidRDefault="00ED053D" w:rsidP="00ED053D">
            <w:pPr>
              <w:rPr>
                <w:szCs w:val="22"/>
              </w:rPr>
            </w:pPr>
            <w:r w:rsidRPr="0074345C">
              <w:rPr>
                <w:szCs w:val="22"/>
              </w:rPr>
              <w:t>Descripción sucinta de la ejecución del proyecto</w:t>
            </w:r>
          </w:p>
          <w:p w:rsidR="00ED053D" w:rsidRPr="0074345C" w:rsidRDefault="00ED053D" w:rsidP="00ED053D">
            <w:pPr>
              <w:rPr>
                <w:szCs w:val="22"/>
              </w:rPr>
            </w:pPr>
          </w:p>
        </w:tc>
        <w:tc>
          <w:tcPr>
            <w:tcW w:w="6910"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Este proyecto es una ampliación (fase II) del proyecto piloto para la creación de academias nacionales de P.I. (DA_10_01), que duró desde mayo de 2009 hasta abril de 2011.</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objetivo principal del proyecto era finalizar la cooperación iniciada en seis países miembros, a saber, Colombia, Egipto, Etiopía, Perú, República Dominicana y Túnez, con miras a ayudarlos a crear instituciones nacionales de formación en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fase II del proyecto siguió ejecutándose en esos seis países piloto.  La cooperación durante esta fase se centró principalmente en la finalización de la formación de los recursos humanos (formadores y coordinadores académicos) y en el suministro de bibliografía para las bibliotecas nacionales de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A continuación figuran los resultados globales del proyecto en los seis países:</w:t>
            </w:r>
          </w:p>
          <w:p w:rsidR="00ED053D" w:rsidRPr="0074345C" w:rsidRDefault="00ED053D" w:rsidP="00ED053D">
            <w:pPr>
              <w:autoSpaceDE w:val="0"/>
              <w:autoSpaceDN w:val="0"/>
              <w:adjustRightInd w:val="0"/>
              <w:rPr>
                <w:bCs/>
                <w:iCs/>
                <w:szCs w:val="22"/>
                <w:lang w:bidi="th-TH"/>
              </w:rPr>
            </w:pPr>
            <w:r w:rsidRPr="0074345C">
              <w:rPr>
                <w:bCs/>
                <w:iCs/>
                <w:szCs w:val="22"/>
                <w:lang w:bidi="th-TH"/>
              </w:rPr>
              <w:br/>
            </w: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Cinco centros nacionales de formación sobre P.I. en Colombia, Egipto, Perú, República Dominicana y Túnez ofrecen actualmente programas de formación para participantes externos que abarcan desde aspectos generales de la P.I. hasta cursos de diplomado multidisciplinarios, a distancia, presenciales o mixtos;</w:t>
            </w:r>
          </w:p>
          <w:p w:rsidR="00ED053D" w:rsidRPr="0074345C" w:rsidRDefault="00ED053D" w:rsidP="00ED053D">
            <w:pPr>
              <w:pStyle w:val="ListParagraph"/>
              <w:autoSpaceDE w:val="0"/>
              <w:autoSpaceDN w:val="0"/>
              <w:adjustRightInd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Los formadores designados de los cinco países han recibido formación adaptada a cada caso concreto para reforzar sus habilidades didácticas (se impartieron un total de 800 horas de formación en cinco países);</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Se otorgaron becas completas a 18 formadores principales para cursar programas internacionales de máster en Derecho de la P.I.;</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86 formadores han recibido la certificación correspondiente en metodologías de enseñanza y cuestiones sustantivas de la P.I., entre las que figura la promoción del equilibrio adecuado entre la protección de la P.I. y el interés público;</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Cuatro directores de centros nacionales de formación sobre P.I. han recibido formación adaptada a cada caso concreto;</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lastRenderedPageBreak/>
              <w:t>121 personas principales de los seis países piloto han participado en programas de formación especializados dirigidos a destinatarios especiales (gestión de proyectos, aspectos de la Agenda para el Desarrollo de la OMPI, formación sobre P.I. destinada al poder judicial y diseño e impartición de cursos de enseñanza a distancia);</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71 formadores nacionales certificados por la OMPI diseñan e imparten actualmente programas de formación dirigidos a participantes externos;</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Los seis centros nacionales de formación sobre P.I. han recibido las publicaciones básicas para las bibliotecas nacionales de P.I.;</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Los seis centros nacionales de formación sobre P.I. son miembros de la Red Mundial de Academias de Propiedad Intelectual (GNIPA);</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pStyle w:val="ListParagraph"/>
              <w:numPr>
                <w:ilvl w:val="0"/>
                <w:numId w:val="41"/>
              </w:numPr>
              <w:autoSpaceDE w:val="0"/>
              <w:autoSpaceDN w:val="0"/>
              <w:adjustRightInd w:val="0"/>
              <w:contextualSpacing w:val="0"/>
              <w:rPr>
                <w:bCs/>
                <w:iCs/>
                <w:szCs w:val="22"/>
                <w:lang w:val="es-ES" w:bidi="th-TH"/>
              </w:rPr>
            </w:pPr>
            <w:r w:rsidRPr="0074345C">
              <w:rPr>
                <w:bCs/>
                <w:iCs/>
                <w:szCs w:val="22"/>
                <w:lang w:val="es-ES" w:bidi="th-TH"/>
              </w:rPr>
              <w:t>Más de 8.480 nacionales de cinco países piloto han recibido formación sobre P.I. por parte de instituciones nacionales piloto de formación en P.I.</w:t>
            </w:r>
          </w:p>
          <w:p w:rsidR="00ED053D" w:rsidRPr="0074345C" w:rsidRDefault="00ED053D" w:rsidP="00ED053D">
            <w:pPr>
              <w:pStyle w:val="ListParagraph"/>
              <w:autoSpaceDE w:val="0"/>
              <w:autoSpaceDN w:val="0"/>
              <w:adjustRightInd w:val="0"/>
              <w:contextualSpacing w:val="0"/>
              <w:rPr>
                <w:bCs/>
                <w:iCs/>
                <w:szCs w:val="22"/>
                <w:lang w:val="es-ES"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Se consiguieron los siguientes resultados globales acumulados (entre las fases I y II) por país: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u w:val="single"/>
                <w:lang w:bidi="th-TH"/>
              </w:rPr>
            </w:pPr>
            <w:r w:rsidRPr="0074345C">
              <w:rPr>
                <w:bCs/>
                <w:iCs/>
                <w:szCs w:val="22"/>
                <w:u w:val="single"/>
                <w:lang w:bidi="th-TH"/>
              </w:rPr>
              <w:t>Colombia</w:t>
            </w:r>
            <w:r w:rsidRPr="0074345C">
              <w:rPr>
                <w:bCs/>
                <w:iCs/>
                <w:szCs w:val="22"/>
                <w:lang w:bidi="th-TH"/>
              </w:rPr>
              <w:t>:</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Aula de Propiedad Intelectual (API) se creó en el marco de la Superintendencia de Industria y Comercio (SIC) de Colombia.  Actualmente cuenta con sitio web específico (</w:t>
            </w:r>
            <w:hyperlink r:id="rId65" w:history="1">
              <w:r w:rsidRPr="0074345C">
                <w:rPr>
                  <w:rStyle w:val="Hyperlink"/>
                  <w:bCs/>
                  <w:iCs/>
                  <w:color w:val="auto"/>
                  <w:szCs w:val="22"/>
                  <w:lang w:bidi="th-TH"/>
                </w:rPr>
                <w:t>http://api.sic.gov.co/</w:t>
              </w:r>
            </w:hyperlink>
            <w:r w:rsidRPr="0074345C">
              <w:rPr>
                <w:bCs/>
                <w:iCs/>
                <w:szCs w:val="22"/>
                <w:lang w:bidi="th-TH"/>
              </w:rPr>
              <w:t>) en el que se ofertan dos cursos por Internet sobre P.I., dos cursos presenciales sobre propiedad industrial y programas de formación adaptados a cada caso concreto sobre P.I. y derecho de autor.  Asimismo, ha creado sinergias con instituciones nacionales a fin de ofrecer cursos de formación especializados en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programa de la OMPI de formación de formadores concebido especialmente para la API ha finalizado, y 24 formadores han recibido la certificación correspondiente.  El proyecto ha financiado becas a cuatro formadores principales colombianos para cursar programas de máster en Derecho de la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Dos funcionarios nacionales han completado los programas de formación concebidos especialmente para directores de academia, y 13 han recibido formación parcial (no han completado el número mínimo de horas necesarias para obtener la certificación).</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proyecto ha facilitado la participación de la API en el proyecto de bibliotecas de depósito de la OMPI y permitió adquirir algunas publicaciones básicas.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xml:space="preserve">El proyecto también ha ayudado a la API a estructurarse y a crear planes de estudio para los programas de formación, entre los que figuran dos cursos de enseñanza a distancia y un curso de posgrado, y ha facilitado su adhesión a la Red Mundial de </w:t>
            </w:r>
            <w:r w:rsidRPr="0074345C">
              <w:rPr>
                <w:bCs/>
                <w:iCs/>
                <w:szCs w:val="22"/>
                <w:lang w:bidi="th-TH"/>
              </w:rPr>
              <w:lastRenderedPageBreak/>
              <w:t>Academias de Propiedad Intelectual.</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API se ha centrado en el desarrollo de una plataforma de Internet y en el establecimiento de asociaciones nacionales.  Actualmente posee capacidad para certificar a más de 10.000 participantes al año.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u w:val="single"/>
                <w:lang w:bidi="th-TH"/>
              </w:rPr>
            </w:pPr>
            <w:r w:rsidRPr="0074345C">
              <w:rPr>
                <w:bCs/>
                <w:iCs/>
                <w:szCs w:val="22"/>
                <w:u w:val="single"/>
                <w:lang w:bidi="th-TH"/>
              </w:rPr>
              <w:t>República Dominicana</w:t>
            </w:r>
            <w:r w:rsidRPr="0074345C">
              <w:rPr>
                <w:bCs/>
                <w:iCs/>
                <w:szCs w:val="22"/>
                <w:lang w:bidi="th-TH"/>
              </w:rPr>
              <w:t>:</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Academia Nacional de la Propiedad Intelectual (ANPI) se creó en el marco del mandato de la Oficina Nacional de la Propiedad Intelectual (ONAPI) como centro de formación especializado en P.I. para público tanto general como especializado.  Actualmente ofrece cursos especializados, previa solicitud, por sectores y sujetos al pago de tasas, que imparten los 19 formadores nacionales certificados por la OMPI.  También imparte cursos especializados sobre P.I. e innovación con un nivel de posgrado en sentido amplio en cooperación con dos universidades locales (uno al año).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programa de la OMPI de formación de formadores concebido especialmente para la ANPI ha finalizado, y 19 formadores han recibido la certificación correspondiente.  El proyecto ha otorgado y financiado becas a dos formadores principales dominicanos para cursar programas de máster en Derecho de la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Un funcionario nacional ha completado un programa de formación concebido especialmente para directores de academia, y cuatro han recibido formación parcial (no han completado el número mínimo de horas necesarias para obtener la certificación).</w:t>
            </w:r>
          </w:p>
          <w:p w:rsidR="00ED053D" w:rsidRPr="0074345C" w:rsidRDefault="00ED053D" w:rsidP="00ED053D">
            <w:pPr>
              <w:pStyle w:val="ListParagraph"/>
              <w:rPr>
                <w:bCs/>
                <w:iCs/>
                <w:szCs w:val="22"/>
                <w:lang w:val="es-ES"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proyecto ha facilitado la participación de la ANPI en el proyecto de bibliotecas de depósito de la OMPI y permitió adquirir algunas publicaciones básicas.</w:t>
            </w:r>
          </w:p>
          <w:p w:rsidR="00ED053D" w:rsidRPr="0074345C" w:rsidRDefault="00ED053D" w:rsidP="00ED053D">
            <w:pPr>
              <w:pStyle w:val="ListParagraph"/>
              <w:rPr>
                <w:bCs/>
                <w:iCs/>
                <w:szCs w:val="22"/>
                <w:lang w:val="es-ES"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proyecto también ha ayudado a la ANPI a estructurar su institución y a crear planes de estudio para los programas de formación, y ha facilitado su adhesión a la Red Mundial de Academias de Propiedad Intelectual.</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ANPI ha sumado esfuerzos con instituciones nacionales para crear un edificio específico que albergue el centro de formación, la biblioteca de P.I. y un Centro de Apoyo a la Tecnología y la Innovación (CATI).  También se ha centrado en ofrecer cursos de diplomado especializados para destinatarios específicos.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u w:val="single"/>
                <w:lang w:bidi="th-TH"/>
              </w:rPr>
            </w:pPr>
            <w:r w:rsidRPr="0074345C">
              <w:rPr>
                <w:bCs/>
                <w:iCs/>
                <w:szCs w:val="22"/>
                <w:u w:val="single"/>
                <w:lang w:bidi="th-TH"/>
              </w:rPr>
              <w:t>Egipto</w:t>
            </w:r>
            <w:r w:rsidRPr="0074345C">
              <w:rPr>
                <w:bCs/>
                <w:iCs/>
                <w:szCs w:val="22"/>
                <w:lang w:bidi="th-TH"/>
              </w:rPr>
              <w:t>:</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comienzo de la cooperación con Egipto se retrasó debido a circunstancias imprevistas.  Como resultado, la colaboración se amplió hasta junio de 2014 a fin de concluir el programa de formación de formadores.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xml:space="preserve">El personal principal de la academia de P.I. de Egipto ya ha recibido la formación correspondiente y, actualmente, está creando sinergias en el plano nacional con miras a impartir programas de formación a usuarios externos.  Algunos de los cursos especializados se ofrecen </w:t>
            </w:r>
            <w:r w:rsidRPr="0074345C">
              <w:rPr>
                <w:bCs/>
                <w:iCs/>
                <w:szCs w:val="22"/>
                <w:lang w:bidi="th-TH"/>
              </w:rPr>
              <w:lastRenderedPageBreak/>
              <w:t>previa solicitud, y se están elaborando los materiales didácticos para los cursos regulares de formación (por Internet y presenciales).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OMPI ha completado el programa de formación de formadores en Egipto (15 formadores egipcios han recibido la certificación correspondiente) y ha financiado becas a cinco formadores principales para cursar programas internacionales de máster en Derecho de la P.I.  Un funcionario nacional ha completado un programa de formación concebido especialmente para directores de academia, y 16 empleados principales del centro de formación han recibido formación parcial (no han completado el número mínimo de horas necesarias para obtener la certificación).  Se han adquirido y entregado las publicaciones básicas.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academia de P.I. de Egipto ha establecido una asociación con una universidad local, de modo que la academia de Egipto debería dividirse en una subdivisión de capacitación (en la Academia de Investigación Científica y Tecnología) y una subdivisión de educación (en la universidad local).  Se ha remitido un plan de estudios para un programa de máster en Derecho de la P.I. a los correspondientes organismos nacionales de certificación, el cual está pendiente de aprobación.  También está concluyendo el desarrollo de un sitio web específico y la elaboración del contenido de dos cursos de enseñanza a distancia (uno de carácter general y otro para un público especializado).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u w:val="single"/>
                <w:lang w:bidi="th-TH"/>
              </w:rPr>
            </w:pPr>
            <w:r w:rsidRPr="0074345C">
              <w:rPr>
                <w:bCs/>
                <w:iCs/>
                <w:szCs w:val="22"/>
                <w:u w:val="single"/>
                <w:lang w:bidi="th-TH"/>
              </w:rPr>
              <w:t>Etiopía</w:t>
            </w:r>
            <w:r w:rsidRPr="0074345C">
              <w:rPr>
                <w:bCs/>
                <w:iCs/>
                <w:szCs w:val="22"/>
                <w:lang w:bidi="th-TH"/>
              </w:rPr>
              <w:t>:</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Hasta ahora, la Oficina de Propiedad Intelectual de Etiopía (EIPO) se ha centrado en fortalecer la capacidad de su personal para permitirle elabora programas estructurados de formación sobre P.I.  La OMPI ha financiado cuatro becas a formadores principales etíopes para cursar programas internacionales de máster en P.I., ha financiado la participación de funcionarios principales del gobierno en programas de formación concebidos especialmente para directores de academias de P.I., y ha dado facilidades a todo el personal de la EIPO para acceder a cursos de enseñanza a distancia.  Se está elaborando el contenido didáctico de los cursos regulares de formación en P.I. y la EIPO ha concluido la adaptación del curso DL-101 en inglés y lo ofrecerá al público etíope a modo de prueba en 2014.  Se han adquirido y entregado las publicaciones básicas.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A petición de la EIPO, la cooperación con Etiopía se ha ampliado hasta diciembre de 2016.</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u w:val="single"/>
                <w:lang w:bidi="th-TH"/>
              </w:rPr>
            </w:pPr>
            <w:r w:rsidRPr="0074345C">
              <w:rPr>
                <w:bCs/>
                <w:iCs/>
                <w:szCs w:val="22"/>
                <w:u w:val="single"/>
                <w:lang w:bidi="th-TH"/>
              </w:rPr>
              <w:t>Perú</w:t>
            </w:r>
            <w:r w:rsidRPr="0074345C">
              <w:rPr>
                <w:bCs/>
                <w:iCs/>
                <w:szCs w:val="22"/>
                <w:lang w:bidi="th-TH"/>
              </w:rPr>
              <w:t>:</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Escuela Nacional INDECOPI (antigua Escuela de la Competencia y de la Propiedad Intelectual) se ha creado en el marco del mandato del Instituto Nacional de Defensa de la Competencia y de la Protección de la Propiedad Intelectual (INDECOPI).  Abarca educación y formación sobre P.I., derechos del consumidor y competencia (a distancia y presencial), líneas de investigación y actividades de divulgación.</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lastRenderedPageBreak/>
              <w:t>El programa de la OMPI de formación de formadores concebido especialmente para el INDECOPI ha finalizado, y 12 formadores han recibido la certificación correspondiente.  El proyecto ha financiado becas a tres formadores principales peruanos para cursar programas de máster en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Un funcionario nacional ha completado un programa de formación concebido especialmente para directores de academias, y 15 funcionarios han recibido formación parcial (no han completado el número mínimo de horas necesarias para obtener la certificación).</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proyecto ha facilitado la participación de la escuela en el proyecto de bibliotecas de depósito de la OMPI y permitió adquirir algunas publicaciones básicas.  El proyecto también ha ayudado a la Escuela Nacional en su estructuración institucional y ha facilitado su adhesión a la Red Mundial de Academias de Propiedad Intelectual.</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Escuela Nacional centra sus actividades de fortalecimiento de capacidades principalmente en los derechos del consumidor.  No obstante, ha impartido formación sobre P.I. a 997 nacionales peruanos.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u w:val="single"/>
                <w:lang w:val="fr-FR" w:bidi="th-TH"/>
              </w:rPr>
            </w:pPr>
            <w:proofErr w:type="spellStart"/>
            <w:r w:rsidRPr="0074345C">
              <w:rPr>
                <w:bCs/>
                <w:iCs/>
                <w:szCs w:val="22"/>
                <w:u w:val="single"/>
                <w:lang w:val="fr-FR" w:bidi="th-TH"/>
              </w:rPr>
              <w:t>Túnez</w:t>
            </w:r>
            <w:proofErr w:type="spellEnd"/>
            <w:r w:rsidRPr="0074345C">
              <w:rPr>
                <w:bCs/>
                <w:iCs/>
                <w:szCs w:val="22"/>
                <w:lang w:val="fr-FR" w:bidi="th-TH"/>
              </w:rPr>
              <w:t>:</w:t>
            </w:r>
          </w:p>
          <w:p w:rsidR="00ED053D" w:rsidRPr="0074345C" w:rsidRDefault="00ED053D" w:rsidP="00ED053D">
            <w:pPr>
              <w:autoSpaceDE w:val="0"/>
              <w:autoSpaceDN w:val="0"/>
              <w:adjustRightInd w:val="0"/>
              <w:rPr>
                <w:bCs/>
                <w:iCs/>
                <w:szCs w:val="22"/>
                <w:lang w:val="fr-FR" w:bidi="th-TH"/>
              </w:rPr>
            </w:pPr>
          </w:p>
          <w:p w:rsidR="00ED053D" w:rsidRPr="0074345C" w:rsidRDefault="00ED053D" w:rsidP="00ED053D">
            <w:pPr>
              <w:autoSpaceDE w:val="0"/>
              <w:autoSpaceDN w:val="0"/>
              <w:adjustRightInd w:val="0"/>
              <w:rPr>
                <w:bCs/>
                <w:iCs/>
                <w:szCs w:val="22"/>
                <w:lang w:bidi="th-TH"/>
              </w:rPr>
            </w:pPr>
            <w:proofErr w:type="gramStart"/>
            <w:r w:rsidRPr="0074345C">
              <w:rPr>
                <w:bCs/>
                <w:iCs/>
                <w:szCs w:val="22"/>
                <w:lang w:val="fr-FR" w:bidi="th-TH"/>
              </w:rPr>
              <w:t xml:space="preserve">La </w:t>
            </w:r>
            <w:r w:rsidRPr="0074345C">
              <w:rPr>
                <w:bCs/>
                <w:i/>
                <w:iCs/>
                <w:szCs w:val="22"/>
                <w:lang w:val="fr-FR" w:bidi="th-TH"/>
              </w:rPr>
              <w:t>Académie</w:t>
            </w:r>
            <w:proofErr w:type="gramEnd"/>
            <w:r w:rsidRPr="0074345C">
              <w:rPr>
                <w:bCs/>
                <w:i/>
                <w:iCs/>
                <w:szCs w:val="22"/>
                <w:lang w:val="fr-FR" w:bidi="th-TH"/>
              </w:rPr>
              <w:t xml:space="preserve"> Tunisienne de la Propriété Intellectuelle</w:t>
            </w:r>
            <w:r w:rsidRPr="0074345C">
              <w:rPr>
                <w:bCs/>
                <w:iCs/>
                <w:szCs w:val="22"/>
                <w:lang w:val="fr-FR" w:bidi="th-TH"/>
              </w:rPr>
              <w:t xml:space="preserve"> (ATPI) </w:t>
            </w:r>
            <w:proofErr w:type="spellStart"/>
            <w:r w:rsidRPr="0074345C">
              <w:rPr>
                <w:bCs/>
                <w:iCs/>
                <w:szCs w:val="22"/>
                <w:lang w:val="fr-FR" w:bidi="th-TH"/>
              </w:rPr>
              <w:t>opera</w:t>
            </w:r>
            <w:proofErr w:type="spellEnd"/>
            <w:r w:rsidRPr="0074345C">
              <w:rPr>
                <w:bCs/>
                <w:iCs/>
                <w:szCs w:val="22"/>
                <w:lang w:val="fr-FR" w:bidi="th-TH"/>
              </w:rPr>
              <w:t xml:space="preserve"> </w:t>
            </w:r>
            <w:proofErr w:type="spellStart"/>
            <w:r w:rsidRPr="0074345C">
              <w:rPr>
                <w:bCs/>
                <w:iCs/>
                <w:szCs w:val="22"/>
                <w:lang w:val="fr-FR" w:bidi="th-TH"/>
              </w:rPr>
              <w:t>como</w:t>
            </w:r>
            <w:proofErr w:type="spellEnd"/>
            <w:r w:rsidRPr="0074345C">
              <w:rPr>
                <w:bCs/>
                <w:iCs/>
                <w:szCs w:val="22"/>
                <w:lang w:val="fr-FR" w:bidi="th-TH"/>
              </w:rPr>
              <w:t xml:space="preserve"> </w:t>
            </w:r>
            <w:proofErr w:type="spellStart"/>
            <w:r w:rsidRPr="0074345C">
              <w:rPr>
                <w:bCs/>
                <w:iCs/>
                <w:szCs w:val="22"/>
                <w:lang w:val="fr-FR" w:bidi="th-TH"/>
              </w:rPr>
              <w:t>proyecto</w:t>
            </w:r>
            <w:proofErr w:type="spellEnd"/>
            <w:r w:rsidRPr="0074345C">
              <w:rPr>
                <w:bCs/>
                <w:iCs/>
                <w:szCs w:val="22"/>
                <w:lang w:val="fr-FR" w:bidi="th-TH"/>
              </w:rPr>
              <w:t xml:space="preserve"> </w:t>
            </w:r>
            <w:proofErr w:type="spellStart"/>
            <w:r w:rsidRPr="0074345C">
              <w:rPr>
                <w:bCs/>
                <w:iCs/>
                <w:szCs w:val="22"/>
                <w:lang w:val="fr-FR" w:bidi="th-TH"/>
              </w:rPr>
              <w:t>bajo</w:t>
            </w:r>
            <w:proofErr w:type="spellEnd"/>
            <w:r w:rsidRPr="0074345C">
              <w:rPr>
                <w:bCs/>
                <w:iCs/>
                <w:szCs w:val="22"/>
                <w:lang w:val="fr-FR" w:bidi="th-TH"/>
              </w:rPr>
              <w:t xml:space="preserve"> el </w:t>
            </w:r>
            <w:proofErr w:type="spellStart"/>
            <w:r w:rsidRPr="0074345C">
              <w:rPr>
                <w:bCs/>
                <w:iCs/>
                <w:szCs w:val="22"/>
                <w:lang w:val="fr-FR" w:bidi="th-TH"/>
              </w:rPr>
              <w:t>mandato</w:t>
            </w:r>
            <w:proofErr w:type="spellEnd"/>
            <w:r w:rsidRPr="0074345C">
              <w:rPr>
                <w:bCs/>
                <w:iCs/>
                <w:szCs w:val="22"/>
                <w:lang w:val="fr-FR" w:bidi="th-TH"/>
              </w:rPr>
              <w:t xml:space="preserve"> </w:t>
            </w:r>
            <w:proofErr w:type="spellStart"/>
            <w:r w:rsidRPr="0074345C">
              <w:rPr>
                <w:bCs/>
                <w:iCs/>
                <w:szCs w:val="22"/>
                <w:lang w:val="fr-FR" w:bidi="th-TH"/>
              </w:rPr>
              <w:t>del</w:t>
            </w:r>
            <w:proofErr w:type="spellEnd"/>
            <w:r w:rsidRPr="0074345C">
              <w:rPr>
                <w:bCs/>
                <w:iCs/>
                <w:szCs w:val="22"/>
                <w:lang w:val="fr-FR" w:bidi="th-TH"/>
              </w:rPr>
              <w:t xml:space="preserve"> </w:t>
            </w:r>
            <w:r w:rsidRPr="0074345C">
              <w:rPr>
                <w:bCs/>
                <w:i/>
                <w:iCs/>
                <w:szCs w:val="22"/>
                <w:lang w:val="fr-FR" w:bidi="th-TH"/>
              </w:rPr>
              <w:t>Institut National de la Normalisation et de la Propriété Intellectuelle</w:t>
            </w:r>
            <w:r w:rsidRPr="0074345C">
              <w:rPr>
                <w:bCs/>
                <w:iCs/>
                <w:szCs w:val="22"/>
                <w:lang w:val="fr-FR" w:bidi="th-TH"/>
              </w:rPr>
              <w:t xml:space="preserve"> de </w:t>
            </w:r>
            <w:proofErr w:type="spellStart"/>
            <w:r w:rsidRPr="0074345C">
              <w:rPr>
                <w:bCs/>
                <w:iCs/>
                <w:szCs w:val="22"/>
                <w:lang w:val="fr-FR" w:bidi="th-TH"/>
              </w:rPr>
              <w:t>Túnez</w:t>
            </w:r>
            <w:proofErr w:type="spellEnd"/>
            <w:r w:rsidRPr="0074345C">
              <w:rPr>
                <w:bCs/>
                <w:iCs/>
                <w:szCs w:val="22"/>
                <w:lang w:val="fr-FR" w:bidi="th-TH"/>
              </w:rPr>
              <w:t xml:space="preserve">.  </w:t>
            </w:r>
            <w:r w:rsidRPr="0074345C">
              <w:rPr>
                <w:bCs/>
                <w:iCs/>
                <w:szCs w:val="22"/>
                <w:lang w:bidi="th-TH"/>
              </w:rPr>
              <w:t>Actualmente ofrece cursos especiales sobre P.I., previa petición por parte de usuarios externos, y elabora contenidos y crea sinergias para ofrecer programas regulares de formación sobre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La OMPI ha concebido un programa especial de formación de formadores para un grupo de formadores principales tunecinos de diversos ámbitos (judicial, propiedad industrial, derecho de autor, observancia y economía), 16 de los cuales han obtenido la certificación correspondiente.</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Ocho funcionarios nacionales han recibido formación especializada dirigida a directores de centros nacionales de formación sobre P.I.  Habida cuenta de la rotación del personal designado como coordinador de la ejecución del proyecto en mitad del programa de formación de directores académicos, se le ha impartido formación complementaria al nuevo director del centro nacional de formación sobre P.I. por medio de un programa especializado ofrecido por la Academia de la OMPI en cooperación con la Oficina de Propiedad Intelectual del Canadá (CIPO).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proyecto ha ayudado a adquirir la bibliografía básica y ha facilitado la adhesión de la ATPI a la Red Mundial de Academias de Propiedad Intelectual.</w:t>
            </w:r>
          </w:p>
          <w:p w:rsidR="00ED053D" w:rsidRPr="0074345C" w:rsidRDefault="00ED053D" w:rsidP="00ED053D">
            <w:pPr>
              <w:autoSpaceDE w:val="0"/>
              <w:autoSpaceDN w:val="0"/>
              <w:adjustRightInd w:val="0"/>
              <w:rPr>
                <w:bCs/>
                <w:iCs/>
                <w:szCs w:val="22"/>
                <w:lang w:bidi="th-TH"/>
              </w:rPr>
            </w:pPr>
          </w:p>
          <w:p w:rsidR="00ED053D" w:rsidRPr="0074345C" w:rsidRDefault="00ED053D" w:rsidP="00613E98">
            <w:pPr>
              <w:autoSpaceDE w:val="0"/>
              <w:autoSpaceDN w:val="0"/>
              <w:adjustRightInd w:val="0"/>
              <w:rPr>
                <w:bCs/>
                <w:iCs/>
                <w:szCs w:val="22"/>
                <w:lang w:bidi="th-TH"/>
              </w:rPr>
            </w:pPr>
            <w:r w:rsidRPr="0074345C">
              <w:rPr>
                <w:bCs/>
                <w:iCs/>
                <w:szCs w:val="22"/>
                <w:lang w:bidi="th-TH"/>
              </w:rPr>
              <w:t>La ATPI está ultimando un curso general de enseñanza a distancia sobre P.I. y validando la documentación para remitirla a las autoridades nacionales con el fin de crear un programa de máster profesional en Derecho de la P.I.</w:t>
            </w:r>
          </w:p>
        </w:tc>
      </w:tr>
      <w:tr w:rsidR="00613E98" w:rsidRPr="0074345C" w:rsidTr="00613E98">
        <w:trPr>
          <w:trHeight w:val="1212"/>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D053D" w:rsidRPr="0074345C" w:rsidRDefault="00ED053D" w:rsidP="00ED053D">
            <w:pPr>
              <w:rPr>
                <w:szCs w:val="22"/>
              </w:rPr>
            </w:pPr>
          </w:p>
          <w:p w:rsidR="00ED053D" w:rsidRPr="0074345C" w:rsidRDefault="00ED053D" w:rsidP="00ED053D">
            <w:pPr>
              <w:rPr>
                <w:szCs w:val="22"/>
              </w:rPr>
            </w:pPr>
            <w:r w:rsidRPr="0074345C">
              <w:rPr>
                <w:szCs w:val="22"/>
              </w:rPr>
              <w:t>Resultados/incidencia del proyecto y principales enseñanzas extraídas</w:t>
            </w:r>
          </w:p>
          <w:p w:rsidR="00ED053D" w:rsidRPr="0074345C" w:rsidRDefault="00ED053D" w:rsidP="00ED053D">
            <w:pPr>
              <w:rPr>
                <w:szCs w:val="22"/>
              </w:rPr>
            </w:pPr>
          </w:p>
        </w:tc>
        <w:tc>
          <w:tcPr>
            <w:tcW w:w="6910"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Hasta la fecha, las cinco instituciones de formación en P.I. que se han creado con la ayuda del proyecto para la creación de academias de la OMPI han certificado a 8.488 personas por finalizar los programas de formación sobre P.I.  Los formadores y directores que han recibido ayuda y formación durante el proyecto han diseñado e impartido los programas, y han utilizado las publicaciones especializadas que se proporcionan en el marco de este proyecto.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szCs w:val="22"/>
              </w:rPr>
              <w:t>Tres centros nacionales de formación se han creado por medio de un instrumento jurídico, así que cuentan con presupuesto y organigrama oficiales específicos.  En el caso de los otros tres, se está creando un marco jurídico, y se espera que estén en funcionamiento de manera autónoma dentro de tres años.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Todas las instituciones de formación que se han creado ofrecen programas de formación sobre P.I. y sobre cuestiones de la Agenda para el Desarrollo de la OMPI, con miras a promover el debate relativo a cómo utilizar mejor el sistema de P.I. para fomentar un equilibrio justo entre la protección de la P.I. y el interés público, conforme a la Recomendación Nº 10 de la Agenda para el Desarrollo de la OMPI.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En relación con el resultado previsto de una mayor facilidad de acceso a la formación en P.I., se imparten programas de formación en idiomas nacionales.  Como los programas los imparten expertos nacionales localmente, se facilita una oferta periódica de los cursos, con lo que se reduce el costo para el centro de formación sobre P.I., para la OMPI y para los participantes.  Además, los formadores que imparten el programa han recibido formación específica en materia de metodologías didácticas modernas y sobre la elaboración de planes de estudio que aborden las necesidades de los destinatarios.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Con respecto a este resultado previsto, también ha de tenerse en cuenta que tres de los centros nacionales de formación sobre P.I. ofrecen actualmente programas regulares de enseñanza a distancia sobre P.I. (sobre aspectos generales de la P.I. o acerca de cuestiones específicas como, por ejemplo, la manera de presentar una solicitud de registro de marca, y sobre la gestión de los aspectos de la P.I.), y tres cursos de posgrado en sentido amplio sobre P.I. e innovación en cooperación con universidades nacionales.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szCs w:val="22"/>
              </w:rPr>
              <w:t>Todos los centros de formación son miembros de la Red Mundial de Academias de Propiedad Intelectual (GNIPA) y han estado debatiendo sobre la posibilidad de establecer una cooperación horizontal con otras academias nacionales de P.I. del Brasil, China, la República de Corea y los Estados Unidos de América, entre otros.</w:t>
            </w:r>
          </w:p>
          <w:p w:rsidR="00ED053D" w:rsidRPr="0074345C" w:rsidRDefault="00ED053D" w:rsidP="00ED053D">
            <w:pPr>
              <w:rPr>
                <w:szCs w:val="22"/>
              </w:rPr>
            </w:pPr>
          </w:p>
          <w:p w:rsidR="00ED053D" w:rsidRPr="0074345C" w:rsidRDefault="00ED053D" w:rsidP="00ED053D">
            <w:pPr>
              <w:rPr>
                <w:szCs w:val="22"/>
              </w:rPr>
            </w:pPr>
            <w:r w:rsidRPr="0074345C">
              <w:rPr>
                <w:szCs w:val="22"/>
              </w:rPr>
              <w:t>Durante la ejecución del proyecto, se han identificado las siguientes enseñanzas principales:</w:t>
            </w:r>
          </w:p>
          <w:p w:rsidR="00ED053D" w:rsidRPr="0074345C" w:rsidRDefault="00ED053D" w:rsidP="00ED053D">
            <w:pPr>
              <w:rPr>
                <w:szCs w:val="22"/>
              </w:rPr>
            </w:pPr>
          </w:p>
          <w:p w:rsidR="00ED053D" w:rsidRPr="0074345C" w:rsidRDefault="00ED053D" w:rsidP="00ED053D">
            <w:pPr>
              <w:rPr>
                <w:szCs w:val="22"/>
              </w:rPr>
            </w:pPr>
            <w:r w:rsidRPr="0074345C">
              <w:rPr>
                <w:szCs w:val="22"/>
              </w:rPr>
              <w:t xml:space="preserve">El éxito de este proyecto reside en gran medida en la coordinación de los sectores interesados en el plano nacional.  La OMPI </w:t>
            </w:r>
            <w:r w:rsidRPr="0074345C">
              <w:rPr>
                <w:szCs w:val="22"/>
              </w:rPr>
              <w:lastRenderedPageBreak/>
              <w:t>desempeña un papel esencial en el fortalecimiento de capacidades.  Sin embargo, las instituciones nacionales de formación en P.I. no pueden crearse si no hay una cooperación sólida entre los organismos nacionales de P.I.</w:t>
            </w:r>
          </w:p>
          <w:p w:rsidR="00ED053D" w:rsidRPr="0074345C" w:rsidRDefault="00ED053D" w:rsidP="00ED053D">
            <w:pPr>
              <w:rPr>
                <w:bCs/>
                <w:iCs/>
                <w:szCs w:val="22"/>
                <w:lang w:bidi="th-TH"/>
              </w:rPr>
            </w:pPr>
          </w:p>
          <w:p w:rsidR="00ED053D" w:rsidRPr="0074345C" w:rsidRDefault="00ED053D" w:rsidP="00ED053D">
            <w:pPr>
              <w:rPr>
                <w:bCs/>
                <w:iCs/>
                <w:szCs w:val="22"/>
                <w:lang w:bidi="th-TH"/>
              </w:rPr>
            </w:pPr>
            <w:r w:rsidRPr="0074345C">
              <w:rPr>
                <w:bCs/>
                <w:iCs/>
                <w:szCs w:val="22"/>
                <w:lang w:bidi="th-TH"/>
              </w:rPr>
              <w:t>Dado que en el calendario de ejecución del proyecto estaba previsto obtener resultados a corto plazo, para la ejecución exitosa de este proyecto era fundamental identificar un núcleo de al menos cinco posibles formadores con cierta experiencia en enseñanza y un profundo conocimiento de la P.I., que recibieran un programa de formación de formadores que les proporcionase una formación complementaria.</w:t>
            </w:r>
          </w:p>
          <w:p w:rsidR="00ED053D" w:rsidRPr="0074345C" w:rsidRDefault="00ED053D" w:rsidP="00ED053D">
            <w:pPr>
              <w:rPr>
                <w:bCs/>
                <w:iCs/>
                <w:szCs w:val="22"/>
                <w:lang w:bidi="th-TH"/>
              </w:rPr>
            </w:pPr>
          </w:p>
          <w:p w:rsidR="00ED053D" w:rsidRPr="0074345C" w:rsidRDefault="00ED053D" w:rsidP="00ED053D">
            <w:pPr>
              <w:rPr>
                <w:bCs/>
                <w:iCs/>
                <w:szCs w:val="22"/>
                <w:lang w:bidi="th-TH"/>
              </w:rPr>
            </w:pPr>
            <w:r w:rsidRPr="0074345C">
              <w:rPr>
                <w:bCs/>
                <w:iCs/>
                <w:szCs w:val="22"/>
                <w:lang w:bidi="th-TH"/>
              </w:rPr>
              <w:t>Es importante que el personal principal (formadores y directores) y el centro de formación contraigan un compromiso a fin de garantizar que el conocimiento adquirido a través de los programas de formación redunde en beneficio del centro de formación durante un período mínimo de dos años tras la finalización de los estudios.</w:t>
            </w:r>
          </w:p>
          <w:p w:rsidR="00ED053D" w:rsidRPr="0074345C" w:rsidRDefault="00ED053D" w:rsidP="00ED053D">
            <w:pPr>
              <w:rPr>
                <w:bCs/>
                <w:iCs/>
                <w:szCs w:val="22"/>
                <w:lang w:bidi="th-TH"/>
              </w:rPr>
            </w:pPr>
          </w:p>
          <w:p w:rsidR="00ED053D" w:rsidRPr="0074345C" w:rsidRDefault="00ED053D" w:rsidP="00ED053D">
            <w:pPr>
              <w:rPr>
                <w:bCs/>
                <w:iCs/>
                <w:szCs w:val="22"/>
                <w:lang w:bidi="th-TH"/>
              </w:rPr>
            </w:pPr>
            <w:r w:rsidRPr="0074345C">
              <w:rPr>
                <w:bCs/>
                <w:iCs/>
                <w:szCs w:val="22"/>
                <w:lang w:bidi="th-TH"/>
              </w:rPr>
              <w:t>El proyecto ha identificado en todos los países piloto una necesidad específica de formación especializada en metodologías de enseñanza de la P.I., y una prioridad de formar en materia de P.I. al poder judicial y a los agentes encargados de la aplicación de la ley.</w:t>
            </w:r>
          </w:p>
          <w:p w:rsidR="00ED053D" w:rsidRPr="0074345C" w:rsidRDefault="00ED053D" w:rsidP="00ED053D">
            <w:pPr>
              <w:rPr>
                <w:bCs/>
                <w:iCs/>
                <w:szCs w:val="22"/>
                <w:lang w:bidi="th-TH"/>
              </w:rPr>
            </w:pPr>
          </w:p>
          <w:p w:rsidR="00ED053D" w:rsidRPr="0074345C" w:rsidRDefault="00ED053D" w:rsidP="00ED053D">
            <w:pPr>
              <w:rPr>
                <w:bCs/>
                <w:iCs/>
                <w:szCs w:val="22"/>
                <w:lang w:bidi="th-TH"/>
              </w:rPr>
            </w:pPr>
            <w:r w:rsidRPr="0074345C">
              <w:rPr>
                <w:bCs/>
                <w:iCs/>
                <w:szCs w:val="22"/>
                <w:lang w:bidi="th-TH"/>
              </w:rPr>
              <w:t>Los Estados miembros solicitantes son conscientes de que el éxito permanente de esta cooperación radica en gran parte en sus esfuerzos por institucionalizar sus respectivos centros de formación sobre P.I.  En este sentido, todo el material didáctico se ha recopilado y guardado en los centros de formación, se han desarrollado sitios web y se han alcanzado acuerdos con instituciones nacionales.</w:t>
            </w:r>
          </w:p>
          <w:p w:rsidR="00ED053D" w:rsidRPr="0074345C" w:rsidRDefault="00ED053D" w:rsidP="00ED053D">
            <w:pPr>
              <w:rPr>
                <w:bCs/>
                <w:iCs/>
                <w:szCs w:val="22"/>
                <w:lang w:bidi="th-TH"/>
              </w:rPr>
            </w:pPr>
          </w:p>
          <w:p w:rsidR="00ED053D" w:rsidRPr="0074345C" w:rsidRDefault="00ED053D" w:rsidP="00ED053D">
            <w:pPr>
              <w:rPr>
                <w:bCs/>
                <w:iCs/>
                <w:szCs w:val="22"/>
                <w:lang w:bidi="th-TH"/>
              </w:rPr>
            </w:pPr>
          </w:p>
          <w:p w:rsidR="00ED053D" w:rsidRPr="0074345C" w:rsidRDefault="00ED053D" w:rsidP="00ED053D">
            <w:pPr>
              <w:rPr>
                <w:bCs/>
                <w:iCs/>
                <w:szCs w:val="22"/>
                <w:lang w:bidi="th-TH"/>
              </w:rPr>
            </w:pPr>
          </w:p>
          <w:p w:rsidR="00ED053D" w:rsidRPr="0074345C" w:rsidRDefault="00ED053D" w:rsidP="00ED053D">
            <w:pPr>
              <w:rPr>
                <w:bCs/>
                <w:iCs/>
                <w:szCs w:val="22"/>
                <w:lang w:bidi="th-TH"/>
              </w:rPr>
            </w:pPr>
            <w:r w:rsidRPr="0074345C">
              <w:rPr>
                <w:bCs/>
                <w:iCs/>
                <w:szCs w:val="22"/>
                <w:lang w:bidi="th-TH"/>
              </w:rPr>
              <w:t>En cuanto a la observación de la institucionalización del proyecto, en lo que respecta a la OMPI, los materiales didácticos concebidos para los programas de formación que ofrece la OMPI al personal principal de los centros nacionales de formación sobre P.I. se han recopilado y cargado en un espacio Wiki (</w:t>
            </w:r>
            <w:hyperlink r:id="rId66" w:history="1">
              <w:r w:rsidRPr="0074345C">
                <w:rPr>
                  <w:rStyle w:val="Hyperlink"/>
                  <w:bCs/>
                  <w:iCs/>
                  <w:color w:val="auto"/>
                  <w:szCs w:val="22"/>
                  <w:lang w:bidi="th-TH"/>
                </w:rPr>
                <w:t>https://www3.wipo.int/confluence/display/ppenipa/Start-Up+National+IP+Academies</w:t>
              </w:r>
            </w:hyperlink>
            <w:r w:rsidRPr="0074345C">
              <w:rPr>
                <w:bCs/>
                <w:iCs/>
                <w:szCs w:val="22"/>
                <w:lang w:bidi="th-TH"/>
              </w:rPr>
              <w:t>), y están disponibles para todos los usuarios interesados.  Se están elaborando directrices que podrían ayudar a otros Estados miembros a crear sus centros nacionales de formación sobre P.I. sin la ayuda de la OMPI.</w:t>
            </w:r>
          </w:p>
          <w:p w:rsidR="00ED053D" w:rsidRPr="0074345C" w:rsidRDefault="00ED053D" w:rsidP="00ED053D">
            <w:pPr>
              <w:rPr>
                <w:bCs/>
                <w:iCs/>
                <w:szCs w:val="22"/>
                <w:lang w:bidi="th-TH"/>
              </w:rPr>
            </w:pPr>
          </w:p>
          <w:p w:rsidR="00ED053D" w:rsidRDefault="00ED053D" w:rsidP="00ED053D">
            <w:pPr>
              <w:rPr>
                <w:bCs/>
                <w:iCs/>
                <w:szCs w:val="22"/>
                <w:lang w:bidi="th-TH"/>
              </w:rPr>
            </w:pPr>
            <w:r w:rsidRPr="0074345C">
              <w:rPr>
                <w:bCs/>
                <w:iCs/>
                <w:szCs w:val="22"/>
                <w:lang w:bidi="th-TH"/>
              </w:rPr>
              <w:t>Durante la ejecución del proyecto, se ha corroborado que la fase de evaluación previa es fundamental para ganar tiempo y para identificar correctamente las necesidades locales en cuanto a enseñanza de P.I., para que la cooperación sea lo más eficaz posible.  El proyecto ha diseñado plantillas y otros documentos (cuestionario de evaluación previa, mandato del personal principal y documentos del proyecto) que permiten alcanzar los resultados previstos de una manera más eficiente.</w:t>
            </w:r>
          </w:p>
          <w:p w:rsidR="00613E98" w:rsidRDefault="00613E98" w:rsidP="00ED053D">
            <w:pPr>
              <w:rPr>
                <w:bCs/>
                <w:iCs/>
                <w:szCs w:val="22"/>
                <w:lang w:bidi="th-TH"/>
              </w:rPr>
            </w:pPr>
          </w:p>
          <w:p w:rsidR="00613E98" w:rsidRPr="0074345C" w:rsidRDefault="00613E98" w:rsidP="00ED053D">
            <w:pPr>
              <w:rPr>
                <w:bCs/>
                <w:iCs/>
                <w:szCs w:val="22"/>
                <w:lang w:bidi="th-TH"/>
              </w:rPr>
            </w:pPr>
          </w:p>
          <w:p w:rsidR="00ED053D" w:rsidRPr="0074345C" w:rsidRDefault="00ED053D" w:rsidP="00ED053D">
            <w:pPr>
              <w:rPr>
                <w:i/>
                <w:szCs w:val="22"/>
              </w:rPr>
            </w:pPr>
          </w:p>
        </w:tc>
      </w:tr>
      <w:tr w:rsidR="00613E98" w:rsidRPr="0074345C" w:rsidTr="00613E98">
        <w:trPr>
          <w:trHeight w:val="416"/>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D053D" w:rsidRPr="0074345C" w:rsidRDefault="00ED053D" w:rsidP="00ED053D">
            <w:pPr>
              <w:rPr>
                <w:szCs w:val="22"/>
              </w:rPr>
            </w:pPr>
          </w:p>
          <w:p w:rsidR="00ED053D" w:rsidRPr="0074345C" w:rsidRDefault="00ED053D" w:rsidP="00ED053D">
            <w:pPr>
              <w:rPr>
                <w:szCs w:val="22"/>
              </w:rPr>
            </w:pPr>
            <w:r w:rsidRPr="0074345C">
              <w:rPr>
                <w:szCs w:val="22"/>
              </w:rPr>
              <w:t>Riesgos y medidas paliativas</w:t>
            </w:r>
          </w:p>
        </w:tc>
        <w:tc>
          <w:tcPr>
            <w:tcW w:w="6910"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Riesgos previstos inicialmente y medidas paliativas: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u w:val="single"/>
                <w:lang w:bidi="th-TH"/>
              </w:rPr>
              <w:t>Falta de fondos nacionales para financiar el centro local de formación sobre P.I. una vez finalizado el período de cooperación, lo cual podría poner en entredicho la sostenibilidad del proyecto a largo plazo</w:t>
            </w:r>
            <w:r w:rsidRPr="0074345C">
              <w:rPr>
                <w:bCs/>
                <w:iCs/>
                <w:szCs w:val="22"/>
                <w:lang w:bidi="th-TH"/>
              </w:rPr>
              <w:t>:</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se ha alentado a los países piloto a que creen sus centros nacionales de formación sobre P.I. conforme al marco jurídico local;</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el personal principal recibió formación sobre recaudación de fondos y gestión de proyectos;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se ha animado a los centros nacionales de formación sobre P.I. a que presenten un plan de actividades al final del período de cooperación;</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la OMPI ha facilitado la adhesión de los centros nacionales de formación sobre P.I. a la Red Mundial de Academias de Propiedad Intelectual con el fin de fomentar la cooperación horizontal;</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los centros nacionales de formación sobre P.I. han creado sinergias con instituciones locales a fin de garantizar la sostenibilidad a largo plazo.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u w:val="single"/>
                <w:lang w:bidi="th-TH"/>
              </w:rPr>
              <w:t>Interrupciones en el proyecto y modificaciones en las prioridades locales debido a factores ajenos al desarrollo del proyecto:</w:t>
            </w:r>
          </w:p>
          <w:p w:rsidR="00ED053D" w:rsidRPr="0074345C" w:rsidRDefault="00ED053D" w:rsidP="00ED053D">
            <w:pPr>
              <w:autoSpaceDE w:val="0"/>
              <w:autoSpaceDN w:val="0"/>
              <w:adjustRightInd w:val="0"/>
              <w:rPr>
                <w:bCs/>
                <w:iCs/>
                <w:szCs w:val="22"/>
                <w:u w:val="single"/>
                <w:lang w:bidi="th-TH"/>
              </w:rPr>
            </w:pPr>
          </w:p>
          <w:p w:rsidR="00ED053D" w:rsidRPr="0074345C" w:rsidRDefault="00ED053D" w:rsidP="00ED053D">
            <w:pPr>
              <w:autoSpaceDE w:val="0"/>
              <w:autoSpaceDN w:val="0"/>
              <w:adjustRightInd w:val="0"/>
              <w:rPr>
                <w:bCs/>
                <w:iCs/>
                <w:szCs w:val="22"/>
                <w:u w:val="single"/>
                <w:lang w:bidi="th-TH"/>
              </w:rPr>
            </w:pPr>
            <w:r w:rsidRPr="0074345C">
              <w:rPr>
                <w:bCs/>
                <w:iCs/>
                <w:szCs w:val="22"/>
                <w:lang w:bidi="th-TH"/>
              </w:rPr>
              <w:t>- este riesgo se ha afrontado durante la fase I del proyecto.  A fin de mitigarlo, en la fase II se ha adoptado un calendario revisado que permite más tiempo para la fase de concepción del proyecto de cada país;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el riesgo de las interrupciones en el proyecto volvió a aparecer en Egipto y Etiopía durante el período de ejecución del proyecto.  A fin de mitigar el riesgo de no contar con formadores certificados al final del período de ejecución del proyecto, se dio prioridad en estos países a la financiación de becas a formadores principales para cursar programas internacionales de máster en Derecho de la P.I.;</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concretamente en Egipto, las medidas cautelares de las Naciones Unidas provocaron la postergación de misiones del personal de la OMPI y consultores locales con fines formativos.  Para evitar más retrasos, expertos locales elaboraron los programas de formación en la medida en que fue posible designar expertos locales con conocimientos y experiencia en la materia;</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u w:val="single"/>
                <w:lang w:bidi="th-TH"/>
              </w:rPr>
              <w:t>Rotación del personal nacional principal, lo cual pone en peligro la finalización de los programas de formación para el personal principal:</w:t>
            </w:r>
          </w:p>
          <w:p w:rsidR="00ED053D" w:rsidRPr="0074345C" w:rsidRDefault="00ED053D" w:rsidP="00ED053D">
            <w:pPr>
              <w:autoSpaceDE w:val="0"/>
              <w:autoSpaceDN w:val="0"/>
              <w:adjustRightInd w:val="0"/>
              <w:rPr>
                <w:bCs/>
                <w:iCs/>
                <w:szCs w:val="22"/>
                <w:u w:val="single"/>
                <w:lang w:bidi="th-TH"/>
              </w:rPr>
            </w:pPr>
          </w:p>
          <w:p w:rsidR="00ED053D" w:rsidRPr="0074345C" w:rsidRDefault="00ED053D" w:rsidP="00ED053D">
            <w:pPr>
              <w:autoSpaceDE w:val="0"/>
              <w:autoSpaceDN w:val="0"/>
              <w:adjustRightInd w:val="0"/>
              <w:rPr>
                <w:bCs/>
                <w:iCs/>
                <w:szCs w:val="22"/>
                <w:u w:val="single"/>
                <w:lang w:bidi="th-TH"/>
              </w:rPr>
            </w:pPr>
            <w:r w:rsidRPr="0074345C">
              <w:rPr>
                <w:bCs/>
                <w:iCs/>
                <w:szCs w:val="22"/>
                <w:lang w:bidi="th-TH"/>
              </w:rPr>
              <w:t>- se alentó a los Estados miembros a que identificaran a un núcleo de unos 20 formadores para recibir el programa de formación de formadores, de modo que un número razonable de entre 10 y 15 formadores locales pudieran completar el programa;</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 debido a reasignaciones o renuncias, el personal que se designó en un principio para convertirse en directores de los centros nacionales de formación sobre P.I. se reemplazó en el transcurso de los programas de formación de coordinadores académicos.  A fin de mitigar este riesgo, se ofrecieron becas a algunos de los directores nacionales de reciente nombramiento para cursar estudios ofrecidos por la Academia de la OMPI, que abarcaban ámbitos de gestión de oficinas de P.I. o gestión de proyectos.  Además, a partir de 2013, el proyecto financió la participación de dos miembros del personal de la academia nacional en los módulos de formación para coordinadores académicos.</w:t>
            </w:r>
          </w:p>
          <w:p w:rsidR="00ED053D" w:rsidRPr="0074345C" w:rsidRDefault="00ED053D" w:rsidP="00ED053D">
            <w:pPr>
              <w:autoSpaceDE w:val="0"/>
              <w:autoSpaceDN w:val="0"/>
              <w:adjustRightInd w:val="0"/>
              <w:rPr>
                <w:bCs/>
                <w:iCs/>
                <w:szCs w:val="22"/>
                <w:lang w:bidi="th-TH"/>
              </w:rPr>
            </w:pPr>
          </w:p>
        </w:tc>
      </w:tr>
      <w:tr w:rsidR="00613E98" w:rsidRPr="0074345C" w:rsidTr="00613E98">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D053D" w:rsidRPr="0074345C" w:rsidRDefault="00ED053D" w:rsidP="00ED053D">
            <w:pPr>
              <w:rPr>
                <w:szCs w:val="22"/>
              </w:rPr>
            </w:pPr>
          </w:p>
          <w:p w:rsidR="00ED053D" w:rsidRPr="0074345C" w:rsidRDefault="00ED053D" w:rsidP="00ED053D">
            <w:pPr>
              <w:rPr>
                <w:szCs w:val="22"/>
              </w:rPr>
            </w:pPr>
            <w:r w:rsidRPr="0074345C">
              <w:rPr>
                <w:szCs w:val="22"/>
              </w:rPr>
              <w:t xml:space="preserve">Porcentaje de ejecución del proyecto </w:t>
            </w:r>
          </w:p>
        </w:tc>
        <w:tc>
          <w:tcPr>
            <w:tcW w:w="6910"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i/>
                <w:szCs w:val="22"/>
              </w:rPr>
            </w:pPr>
            <w:r w:rsidRPr="0074345C">
              <w:rPr>
                <w:i/>
                <w:szCs w:val="22"/>
              </w:rPr>
              <w:t>Porcentaje de utilización del presupuesto a finales de agosto de 2014</w:t>
            </w:r>
            <w:proofErr w:type="gramStart"/>
            <w:r w:rsidRPr="0074345C">
              <w:rPr>
                <w:i/>
                <w:szCs w:val="22"/>
              </w:rPr>
              <w:t>:  96</w:t>
            </w:r>
            <w:proofErr w:type="gramEnd"/>
            <w:r w:rsidRPr="0074345C">
              <w:rPr>
                <w:i/>
                <w:szCs w:val="22"/>
              </w:rPr>
              <w:t>%.</w:t>
            </w:r>
          </w:p>
        </w:tc>
      </w:tr>
      <w:tr w:rsidR="00613E98" w:rsidRPr="0074345C" w:rsidTr="00613E98">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D053D" w:rsidRPr="0074345C" w:rsidRDefault="00ED053D" w:rsidP="00ED053D">
            <w:pPr>
              <w:rPr>
                <w:szCs w:val="22"/>
              </w:rPr>
            </w:pPr>
          </w:p>
          <w:p w:rsidR="00ED053D" w:rsidRPr="0074345C" w:rsidRDefault="00ED053D" w:rsidP="00ED053D">
            <w:pPr>
              <w:rPr>
                <w:szCs w:val="22"/>
              </w:rPr>
            </w:pPr>
            <w:r w:rsidRPr="0074345C">
              <w:rPr>
                <w:szCs w:val="22"/>
              </w:rPr>
              <w:t>Informes previos</w:t>
            </w:r>
          </w:p>
        </w:tc>
        <w:tc>
          <w:tcPr>
            <w:tcW w:w="6910" w:type="dxa"/>
            <w:tcBorders>
              <w:top w:val="single" w:sz="4" w:space="0" w:color="auto"/>
              <w:left w:val="single" w:sz="4" w:space="0" w:color="auto"/>
              <w:bottom w:val="single" w:sz="4" w:space="0" w:color="auto"/>
              <w:right w:val="single" w:sz="4" w:space="0" w:color="auto"/>
            </w:tcBorders>
          </w:tcPr>
          <w:p w:rsidR="00ED053D" w:rsidRPr="0074345C" w:rsidRDefault="00ED053D" w:rsidP="00ED053D">
            <w:pPr>
              <w:rPr>
                <w:szCs w:val="22"/>
              </w:rPr>
            </w:pPr>
          </w:p>
          <w:p w:rsidR="00ED053D" w:rsidRPr="0074345C" w:rsidRDefault="00ED053D" w:rsidP="00ED053D">
            <w:pPr>
              <w:rPr>
                <w:szCs w:val="22"/>
              </w:rPr>
            </w:pPr>
            <w:r w:rsidRPr="0074345C">
              <w:rPr>
                <w:szCs w:val="22"/>
              </w:rPr>
              <w:t>Los informes sobre la marcha del proyecto, contenidos en el documento CDIP/10/2, Anexo II, y en el documento CDIP/12/2, Anexo II, se presentaron en el Comité en su décima y duodécima sesión respectivamente.</w:t>
            </w:r>
          </w:p>
          <w:p w:rsidR="00ED053D" w:rsidRPr="0074345C" w:rsidRDefault="00ED053D" w:rsidP="00ED053D">
            <w:pPr>
              <w:rPr>
                <w:i/>
                <w:szCs w:val="22"/>
              </w:rPr>
            </w:pPr>
          </w:p>
        </w:tc>
      </w:tr>
      <w:tr w:rsidR="00613E98" w:rsidRPr="0074345C" w:rsidTr="00613E98">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ED053D" w:rsidRPr="0074345C" w:rsidRDefault="00ED053D" w:rsidP="00ED053D">
            <w:pPr>
              <w:rPr>
                <w:szCs w:val="22"/>
              </w:rPr>
            </w:pPr>
          </w:p>
          <w:p w:rsidR="00ED053D" w:rsidRPr="0074345C" w:rsidRDefault="00ED053D" w:rsidP="00ED053D">
            <w:pPr>
              <w:rPr>
                <w:szCs w:val="22"/>
              </w:rPr>
            </w:pPr>
            <w:r w:rsidRPr="0074345C">
              <w:rPr>
                <w:szCs w:val="22"/>
              </w:rPr>
              <w:t>Seguimiento</w:t>
            </w:r>
          </w:p>
        </w:tc>
        <w:tc>
          <w:tcPr>
            <w:tcW w:w="6910" w:type="dxa"/>
            <w:tcBorders>
              <w:top w:val="single" w:sz="4" w:space="0" w:color="auto"/>
              <w:left w:val="single" w:sz="4" w:space="0" w:color="auto"/>
              <w:bottom w:val="single" w:sz="4" w:space="0" w:color="auto"/>
              <w:right w:val="single" w:sz="4" w:space="0" w:color="auto"/>
            </w:tcBorders>
            <w:hideMark/>
          </w:tcPr>
          <w:p w:rsidR="00ED053D" w:rsidRPr="0074345C" w:rsidRDefault="00ED053D" w:rsidP="00ED053D">
            <w:pPr>
              <w:rPr>
                <w:szCs w:val="22"/>
              </w:rPr>
            </w:pPr>
          </w:p>
          <w:p w:rsidR="00ED053D" w:rsidRPr="0074345C" w:rsidRDefault="00ED053D" w:rsidP="00ED053D">
            <w:pPr>
              <w:rPr>
                <w:szCs w:val="22"/>
              </w:rPr>
            </w:pPr>
            <w:r w:rsidRPr="0074345C">
              <w:rPr>
                <w:szCs w:val="22"/>
              </w:rPr>
              <w:t>El proyecto se ha integrado en el presupuesto por programas 2014-2015 de la OMPI, y como acordó el CDIP en su novena sesión, se dio prioridad, en la medida de lo posible, a las necesidades de los países menos adelantados y de los países que ya están participando en la fase I del proyecto.  En este sentido, se están redactando actualmente los documentos del proyecto de estrategia de cooperación de Bangladesh, Camboya, Costa Rica, Ecuador y Turquía.  Asimismo, Albania, El Salvador, Honduras y el Consejo de Cooperación del Golfo han remitido peticiones formales para convertirse en beneficiarios de esta cooperación.</w:t>
            </w:r>
          </w:p>
          <w:p w:rsidR="00ED053D" w:rsidRPr="0074345C" w:rsidRDefault="00ED053D" w:rsidP="00ED053D">
            <w:pPr>
              <w:rPr>
                <w:szCs w:val="22"/>
              </w:rPr>
            </w:pPr>
          </w:p>
          <w:p w:rsidR="00ED053D" w:rsidRPr="0074345C" w:rsidRDefault="00ED053D" w:rsidP="00ED053D">
            <w:pPr>
              <w:rPr>
                <w:szCs w:val="22"/>
              </w:rPr>
            </w:pPr>
            <w:r w:rsidRPr="0074345C">
              <w:rPr>
                <w:szCs w:val="22"/>
              </w:rPr>
              <w:t>Cinco países piloto aún necesitan cooperar con la OMPI para crear sus centros de formación con programas regulares de formación sobre P.I. (fase de “supresión gradual”).  En el caso de Etiopía, la cooperación ha durado más de lo previsto inicialmente y se ha ampliado.</w:t>
            </w:r>
          </w:p>
          <w:p w:rsidR="00ED053D" w:rsidRPr="0074345C" w:rsidRDefault="00ED053D" w:rsidP="00ED053D">
            <w:pPr>
              <w:rPr>
                <w:szCs w:val="22"/>
              </w:rPr>
            </w:pPr>
          </w:p>
          <w:p w:rsidR="00ED053D" w:rsidRPr="0074345C" w:rsidRDefault="00ED053D" w:rsidP="00613E98">
            <w:pPr>
              <w:rPr>
                <w:szCs w:val="22"/>
              </w:rPr>
            </w:pPr>
            <w:r w:rsidRPr="0074345C">
              <w:rPr>
                <w:szCs w:val="22"/>
              </w:rPr>
              <w:t>Como se menciona anteriormente en la sección de principales enseñanzas extraídas, existe una gran necesidad de formación en metodologías de enseñanza de P.I. y faltan formadores especializados en este campo.  También se espera que los centros nacionales de formación sobre  P.I. creados recientemente necesiten más formadores para satisfacer la creciente demanda de formación especializada.  A fin de atender esta demanda, la Academia de la OMPI ha estado planteándose la posibilidad de desarrollar las capacidades de los formadores nacionales de los centros de formación sobre P.I., de modo que puedan convertirse en formadores de metodologías de enseñanza en materia de P.I. de futuros grupos de formadores.  Esto incluiría la elaboración de un manual sobre metodologías de enseñanza de P.I. y la formación de algunos formadores nacionales sobre cómo formar a formadores en esta materia.</w:t>
            </w:r>
          </w:p>
        </w:tc>
      </w:tr>
      <w:tr w:rsidR="00613E98" w:rsidRPr="0074345C" w:rsidTr="00613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9287" w:type="dxa"/>
            <w:gridSpan w:val="2"/>
            <w:vAlign w:val="center"/>
            <w:hideMark/>
          </w:tcPr>
          <w:p w:rsidR="00ED053D" w:rsidRPr="0074345C" w:rsidRDefault="00ED053D" w:rsidP="00ED053D">
            <w:pPr>
              <w:rPr>
                <w:szCs w:val="22"/>
              </w:rPr>
            </w:pPr>
            <w:r w:rsidRPr="0074345C">
              <w:rPr>
                <w:szCs w:val="22"/>
              </w:rPr>
              <w:lastRenderedPageBreak/>
              <w:br w:type="page"/>
            </w:r>
            <w:r w:rsidRPr="0074345C">
              <w:rPr>
                <w:szCs w:val="22"/>
              </w:rPr>
              <w:br w:type="page"/>
              <w:t>EVALUACIÓN INTERNA DEL PROYECTO</w:t>
            </w:r>
          </w:p>
        </w:tc>
      </w:tr>
    </w:tbl>
    <w:p w:rsidR="00ED053D" w:rsidRPr="0074345C" w:rsidRDefault="00ED053D" w:rsidP="00ED053D">
      <w:pPr>
        <w:widowControl w:val="0"/>
        <w:autoSpaceDE w:val="0"/>
        <w:autoSpaceDN w:val="0"/>
        <w:adjustRightInd w:val="0"/>
        <w:rPr>
          <w:szCs w:val="22"/>
        </w:rPr>
      </w:pPr>
    </w:p>
    <w:p w:rsidR="00ED053D" w:rsidRPr="0074345C" w:rsidRDefault="00ED053D" w:rsidP="00ED053D">
      <w:pPr>
        <w:widowControl w:val="0"/>
        <w:autoSpaceDE w:val="0"/>
        <w:autoSpaceDN w:val="0"/>
        <w:adjustRightInd w:val="0"/>
        <w:rPr>
          <w:szCs w:val="22"/>
        </w:rPr>
      </w:pPr>
      <w:r w:rsidRPr="0074345C">
        <w:rPr>
          <w:szCs w:val="22"/>
        </w:rPr>
        <w:t>Clave de los colores</w:t>
      </w:r>
    </w:p>
    <w:p w:rsidR="00ED053D" w:rsidRPr="0074345C" w:rsidRDefault="00ED053D" w:rsidP="00ED053D">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91"/>
        <w:gridCol w:w="1628"/>
        <w:gridCol w:w="1744"/>
        <w:gridCol w:w="1838"/>
        <w:gridCol w:w="2705"/>
      </w:tblGrid>
      <w:tr w:rsidR="006376E7" w:rsidRPr="0074345C" w:rsidTr="00ED053D">
        <w:trPr>
          <w:trHeight w:val="469"/>
        </w:trPr>
        <w:tc>
          <w:tcPr>
            <w:tcW w:w="1372" w:type="dxa"/>
            <w:tcBorders>
              <w:top w:val="single" w:sz="2" w:space="0" w:color="000000"/>
              <w:left w:val="single" w:sz="2" w:space="0" w:color="000000"/>
              <w:bottom w:val="single" w:sz="2" w:space="0" w:color="000000"/>
              <w:right w:val="single" w:sz="2" w:space="0" w:color="000000"/>
            </w:tcBorders>
            <w:vAlign w:val="center"/>
            <w:hideMark/>
          </w:tcPr>
          <w:p w:rsidR="00ED053D" w:rsidRPr="0074345C" w:rsidRDefault="00ED053D" w:rsidP="00ED053D">
            <w:pPr>
              <w:widowControl w:val="0"/>
              <w:autoSpaceDE w:val="0"/>
              <w:autoSpaceDN w:val="0"/>
              <w:adjustRightInd w:val="0"/>
              <w:jc w:val="center"/>
              <w:rPr>
                <w:szCs w:val="22"/>
              </w:rPr>
            </w:pPr>
            <w:r w:rsidRPr="0074345C">
              <w:rPr>
                <w:noProof/>
                <w:szCs w:val="22"/>
              </w:rPr>
              <w:t>****</w:t>
            </w:r>
          </w:p>
        </w:tc>
        <w:tc>
          <w:tcPr>
            <w:tcW w:w="1628" w:type="dxa"/>
            <w:tcBorders>
              <w:top w:val="single" w:sz="2" w:space="0" w:color="000000"/>
              <w:left w:val="single" w:sz="2" w:space="0" w:color="000000"/>
              <w:bottom w:val="single" w:sz="2" w:space="0" w:color="000000"/>
              <w:right w:val="single" w:sz="2" w:space="0" w:color="000000"/>
            </w:tcBorders>
            <w:vAlign w:val="center"/>
            <w:hideMark/>
          </w:tcPr>
          <w:p w:rsidR="00ED053D" w:rsidRPr="0074345C" w:rsidRDefault="00ED053D" w:rsidP="00ED053D">
            <w:pPr>
              <w:widowControl w:val="0"/>
              <w:autoSpaceDE w:val="0"/>
              <w:autoSpaceDN w:val="0"/>
              <w:adjustRightInd w:val="0"/>
              <w:jc w:val="center"/>
              <w:rPr>
                <w:szCs w:val="22"/>
              </w:rPr>
            </w:pPr>
            <w:r w:rsidRPr="0074345C">
              <w:rPr>
                <w:szCs w:val="22"/>
              </w:rPr>
              <w:t>***</w:t>
            </w:r>
          </w:p>
        </w:tc>
        <w:tc>
          <w:tcPr>
            <w:tcW w:w="1744" w:type="dxa"/>
            <w:tcBorders>
              <w:top w:val="single" w:sz="2" w:space="0" w:color="000000"/>
              <w:left w:val="single" w:sz="2" w:space="0" w:color="000000"/>
              <w:bottom w:val="single" w:sz="2" w:space="0" w:color="000000"/>
              <w:right w:val="single" w:sz="2" w:space="0" w:color="000000"/>
            </w:tcBorders>
            <w:vAlign w:val="center"/>
            <w:hideMark/>
          </w:tcPr>
          <w:p w:rsidR="00ED053D" w:rsidRPr="0074345C" w:rsidRDefault="00ED053D" w:rsidP="00ED053D">
            <w:pPr>
              <w:widowControl w:val="0"/>
              <w:autoSpaceDE w:val="0"/>
              <w:autoSpaceDN w:val="0"/>
              <w:adjustRightInd w:val="0"/>
              <w:jc w:val="center"/>
              <w:rPr>
                <w:szCs w:val="22"/>
              </w:rPr>
            </w:pPr>
            <w:r w:rsidRPr="0074345C">
              <w:rPr>
                <w:szCs w:val="22"/>
              </w:rPr>
              <w:t>**</w:t>
            </w:r>
          </w:p>
        </w:tc>
        <w:tc>
          <w:tcPr>
            <w:tcW w:w="1838" w:type="dxa"/>
            <w:tcBorders>
              <w:top w:val="single" w:sz="2" w:space="0" w:color="000000"/>
              <w:left w:val="single" w:sz="2" w:space="0" w:color="000000"/>
              <w:bottom w:val="single" w:sz="2" w:space="0" w:color="000000"/>
              <w:right w:val="single" w:sz="2" w:space="0" w:color="000000"/>
            </w:tcBorders>
            <w:vAlign w:val="center"/>
            <w:hideMark/>
          </w:tcPr>
          <w:p w:rsidR="00ED053D" w:rsidRPr="0074345C" w:rsidRDefault="00ED053D" w:rsidP="00ED053D">
            <w:pPr>
              <w:widowControl w:val="0"/>
              <w:autoSpaceDE w:val="0"/>
              <w:autoSpaceDN w:val="0"/>
              <w:adjustRightInd w:val="0"/>
              <w:jc w:val="center"/>
              <w:rPr>
                <w:szCs w:val="22"/>
              </w:rPr>
            </w:pPr>
            <w:r w:rsidRPr="0074345C">
              <w:rPr>
                <w:szCs w:val="22"/>
              </w:rPr>
              <w:t>NA</w:t>
            </w:r>
          </w:p>
        </w:tc>
        <w:tc>
          <w:tcPr>
            <w:tcW w:w="2705" w:type="dxa"/>
            <w:tcBorders>
              <w:top w:val="single" w:sz="2" w:space="0" w:color="000000"/>
              <w:left w:val="single" w:sz="2" w:space="0" w:color="000000"/>
              <w:bottom w:val="single" w:sz="2" w:space="0" w:color="000000"/>
              <w:right w:val="single" w:sz="2" w:space="0" w:color="000000"/>
            </w:tcBorders>
            <w:vAlign w:val="center"/>
            <w:hideMark/>
          </w:tcPr>
          <w:p w:rsidR="00ED053D" w:rsidRPr="0074345C" w:rsidRDefault="00ED053D" w:rsidP="00ED053D">
            <w:pPr>
              <w:widowControl w:val="0"/>
              <w:autoSpaceDE w:val="0"/>
              <w:autoSpaceDN w:val="0"/>
              <w:adjustRightInd w:val="0"/>
              <w:jc w:val="center"/>
              <w:rPr>
                <w:szCs w:val="22"/>
              </w:rPr>
            </w:pPr>
            <w:r w:rsidRPr="0074345C">
              <w:rPr>
                <w:szCs w:val="22"/>
              </w:rPr>
              <w:t>SE/AD</w:t>
            </w:r>
          </w:p>
        </w:tc>
      </w:tr>
      <w:tr w:rsidR="00ED053D" w:rsidRPr="0074345C" w:rsidTr="00ED053D">
        <w:tc>
          <w:tcPr>
            <w:tcW w:w="1372"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widowControl w:val="0"/>
              <w:autoSpaceDE w:val="0"/>
              <w:autoSpaceDN w:val="0"/>
              <w:adjustRightInd w:val="0"/>
              <w:jc w:val="center"/>
              <w:rPr>
                <w:szCs w:val="22"/>
              </w:rPr>
            </w:pPr>
            <w:r w:rsidRPr="0074345C">
              <w:rPr>
                <w:szCs w:val="22"/>
              </w:rPr>
              <w:t>Plenamente logrado.</w:t>
            </w:r>
          </w:p>
        </w:tc>
        <w:tc>
          <w:tcPr>
            <w:tcW w:w="1628"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widowControl w:val="0"/>
              <w:autoSpaceDE w:val="0"/>
              <w:autoSpaceDN w:val="0"/>
              <w:adjustRightInd w:val="0"/>
              <w:jc w:val="center"/>
              <w:rPr>
                <w:szCs w:val="22"/>
              </w:rPr>
            </w:pPr>
            <w:r w:rsidRPr="0074345C">
              <w:rPr>
                <w:szCs w:val="22"/>
              </w:rPr>
              <w:t>Avance notable</w:t>
            </w:r>
          </w:p>
        </w:tc>
        <w:tc>
          <w:tcPr>
            <w:tcW w:w="1744"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widowControl w:val="0"/>
              <w:autoSpaceDE w:val="0"/>
              <w:autoSpaceDN w:val="0"/>
              <w:adjustRightInd w:val="0"/>
              <w:jc w:val="center"/>
              <w:rPr>
                <w:szCs w:val="22"/>
              </w:rPr>
            </w:pPr>
            <w:r w:rsidRPr="0074345C">
              <w:rPr>
                <w:szCs w:val="22"/>
              </w:rPr>
              <w:t>Avance</w:t>
            </w:r>
          </w:p>
        </w:tc>
        <w:tc>
          <w:tcPr>
            <w:tcW w:w="1838"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widowControl w:val="0"/>
              <w:autoSpaceDE w:val="0"/>
              <w:autoSpaceDN w:val="0"/>
              <w:adjustRightInd w:val="0"/>
              <w:jc w:val="center"/>
              <w:rPr>
                <w:szCs w:val="22"/>
              </w:rPr>
            </w:pPr>
            <w:r w:rsidRPr="0074345C">
              <w:rPr>
                <w:szCs w:val="22"/>
              </w:rPr>
              <w:t>Ningún avance</w:t>
            </w:r>
          </w:p>
        </w:tc>
        <w:tc>
          <w:tcPr>
            <w:tcW w:w="2705"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widowControl w:val="0"/>
              <w:autoSpaceDE w:val="0"/>
              <w:autoSpaceDN w:val="0"/>
              <w:adjustRightInd w:val="0"/>
              <w:jc w:val="center"/>
              <w:rPr>
                <w:szCs w:val="22"/>
              </w:rPr>
            </w:pPr>
            <w:r w:rsidRPr="0074345C">
              <w:rPr>
                <w:szCs w:val="22"/>
              </w:rPr>
              <w:t>Sin evaluar /actividad discontinuada</w:t>
            </w:r>
          </w:p>
        </w:tc>
      </w:tr>
    </w:tbl>
    <w:p w:rsidR="00ED053D" w:rsidRPr="0074345C" w:rsidRDefault="00ED053D" w:rsidP="00ED053D">
      <w:pPr>
        <w:widowControl w:val="0"/>
        <w:tabs>
          <w:tab w:val="left" w:pos="0"/>
          <w:tab w:val="left" w:pos="3402"/>
          <w:tab w:val="left" w:pos="4111"/>
          <w:tab w:val="left" w:pos="5387"/>
        </w:tabs>
        <w:autoSpaceDE w:val="0"/>
        <w:autoSpaceDN w:val="0"/>
        <w:adjustRightInd w:val="0"/>
        <w:rPr>
          <w:szCs w:val="22"/>
        </w:rPr>
      </w:pPr>
    </w:p>
    <w:tbl>
      <w:tblPr>
        <w:tblW w:w="9474" w:type="dxa"/>
        <w:tblInd w:w="-34" w:type="dxa"/>
        <w:tblLayout w:type="fixed"/>
        <w:tblLook w:val="01E0" w:firstRow="1" w:lastRow="1" w:firstColumn="1" w:lastColumn="1" w:noHBand="0" w:noVBand="0"/>
      </w:tblPr>
      <w:tblGrid>
        <w:gridCol w:w="2412"/>
        <w:gridCol w:w="2695"/>
        <w:gridCol w:w="3403"/>
        <w:gridCol w:w="964"/>
      </w:tblGrid>
      <w:tr w:rsidR="006376E7" w:rsidRPr="0074345C" w:rsidTr="009F2FA4">
        <w:trPr>
          <w:trHeight w:val="616"/>
          <w:tblHeader/>
        </w:trPr>
        <w:tc>
          <w:tcPr>
            <w:tcW w:w="2412"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rPr>
                <w:bCs/>
                <w:szCs w:val="22"/>
                <w:u w:val="single"/>
              </w:rPr>
            </w:pPr>
          </w:p>
          <w:p w:rsidR="00ED053D" w:rsidRPr="0074345C" w:rsidRDefault="00ED053D" w:rsidP="00ED053D">
            <w:pPr>
              <w:rPr>
                <w:szCs w:val="22"/>
                <w:u w:val="single"/>
              </w:rPr>
            </w:pPr>
            <w:r w:rsidRPr="0074345C">
              <w:rPr>
                <w:szCs w:val="22"/>
                <w:u w:val="single"/>
              </w:rPr>
              <w:t>Productos del proyecto</w:t>
            </w:r>
            <w:r w:rsidRPr="0074345C">
              <w:rPr>
                <w:szCs w:val="22"/>
                <w:vertAlign w:val="superscript"/>
              </w:rPr>
              <w:footnoteReference w:id="8"/>
            </w:r>
          </w:p>
          <w:p w:rsidR="00ED053D" w:rsidRPr="0074345C" w:rsidRDefault="00ED053D" w:rsidP="00ED053D">
            <w:pPr>
              <w:rPr>
                <w:szCs w:val="22"/>
              </w:rPr>
            </w:pPr>
            <w:r w:rsidRPr="0074345C">
              <w:rPr>
                <w:szCs w:val="22"/>
              </w:rPr>
              <w:t xml:space="preserve"> (</w:t>
            </w:r>
            <w:r w:rsidRPr="0074345C">
              <w:rPr>
                <w:szCs w:val="22"/>
                <w:u w:val="single"/>
              </w:rPr>
              <w:t>Resultado previsto)</w:t>
            </w:r>
          </w:p>
        </w:tc>
        <w:tc>
          <w:tcPr>
            <w:tcW w:w="2695"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rPr>
                <w:bCs/>
                <w:szCs w:val="22"/>
                <w:u w:val="single"/>
              </w:rPr>
            </w:pPr>
          </w:p>
          <w:p w:rsidR="00ED053D" w:rsidRPr="0074345C" w:rsidRDefault="00ED053D" w:rsidP="00ED053D">
            <w:pPr>
              <w:rPr>
                <w:szCs w:val="22"/>
              </w:rPr>
            </w:pPr>
            <w:r w:rsidRPr="0074345C">
              <w:rPr>
                <w:szCs w:val="22"/>
                <w:u w:val="single"/>
              </w:rPr>
              <w:t>Indicadores de obtención de resultados</w:t>
            </w:r>
          </w:p>
          <w:p w:rsidR="00ED053D" w:rsidRPr="0074345C" w:rsidRDefault="00ED053D" w:rsidP="00ED053D">
            <w:pPr>
              <w:rPr>
                <w:szCs w:val="22"/>
              </w:rPr>
            </w:pPr>
          </w:p>
        </w:tc>
        <w:tc>
          <w:tcPr>
            <w:tcW w:w="3403"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keepNext/>
              <w:spacing w:before="240" w:after="60"/>
              <w:outlineLvl w:val="2"/>
              <w:rPr>
                <w:bCs/>
                <w:szCs w:val="22"/>
                <w:u w:val="single"/>
              </w:rPr>
            </w:pPr>
            <w:r w:rsidRPr="0074345C">
              <w:rPr>
                <w:bCs/>
                <w:szCs w:val="22"/>
                <w:u w:val="single"/>
              </w:rPr>
              <w:t>Datos sobre el rendimiento</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keepNext/>
              <w:spacing w:before="240" w:after="60"/>
              <w:outlineLvl w:val="2"/>
              <w:rPr>
                <w:bCs/>
                <w:szCs w:val="22"/>
                <w:u w:val="single"/>
              </w:rPr>
            </w:pPr>
            <w:r w:rsidRPr="0074345C">
              <w:rPr>
                <w:bCs/>
                <w:szCs w:val="22"/>
                <w:u w:val="single"/>
              </w:rPr>
              <w:t>Clave de colores</w:t>
            </w:r>
          </w:p>
        </w:tc>
      </w:tr>
      <w:tr w:rsidR="006376E7" w:rsidRPr="0074345C" w:rsidTr="009F2FA4">
        <w:trPr>
          <w:trHeight w:val="509"/>
        </w:trPr>
        <w:tc>
          <w:tcPr>
            <w:tcW w:w="2412" w:type="dxa"/>
            <w:vMerge w:val="restart"/>
            <w:tcBorders>
              <w:top w:val="single" w:sz="2" w:space="0" w:color="000000"/>
              <w:left w:val="single" w:sz="2" w:space="0" w:color="000000"/>
              <w:right w:val="single" w:sz="6" w:space="0" w:color="000000"/>
            </w:tcBorders>
            <w:shd w:val="clear" w:color="auto" w:fill="auto"/>
          </w:tcPr>
          <w:p w:rsidR="00ED053D" w:rsidRPr="0074345C" w:rsidRDefault="00ED053D" w:rsidP="00ED053D">
            <w:pPr>
              <w:rPr>
                <w:bCs/>
                <w:szCs w:val="22"/>
              </w:rPr>
            </w:pPr>
            <w:r w:rsidRPr="0074345C">
              <w:rPr>
                <w:bCs/>
                <w:szCs w:val="22"/>
              </w:rPr>
              <w:t xml:space="preserve">1.  Envío del cuestionario de evaluación de las necesidades e identificación del consultor </w:t>
            </w:r>
            <w:r w:rsidRPr="0074345C">
              <w:rPr>
                <w:bCs/>
                <w:i/>
                <w:szCs w:val="22"/>
              </w:rPr>
              <w:t>ad hoc</w:t>
            </w:r>
          </w:p>
        </w:tc>
        <w:tc>
          <w:tcPr>
            <w:tcW w:w="2695" w:type="dxa"/>
            <w:tcBorders>
              <w:top w:val="single" w:sz="2" w:space="0" w:color="000000"/>
              <w:left w:val="single" w:sz="6" w:space="0" w:color="000000"/>
              <w:bottom w:val="single" w:sz="6" w:space="0" w:color="000000"/>
              <w:right w:val="single" w:sz="2" w:space="0" w:color="000000"/>
            </w:tcBorders>
            <w:shd w:val="clear" w:color="auto" w:fill="auto"/>
          </w:tcPr>
          <w:p w:rsidR="00ED053D" w:rsidRPr="0074345C" w:rsidRDefault="00ED053D" w:rsidP="00ED053D">
            <w:pPr>
              <w:rPr>
                <w:szCs w:val="22"/>
              </w:rPr>
            </w:pPr>
            <w:r w:rsidRPr="0074345C">
              <w:rPr>
                <w:szCs w:val="22"/>
              </w:rPr>
              <w:t>Los sectores nacionales interesados han enviado todas sus respuestas al cuestionario de evaluación de las necesidades a más tardar 10 días antes del comienzo de la misión de evaluación de las necesidades.</w:t>
            </w:r>
          </w:p>
        </w:tc>
        <w:tc>
          <w:tcPr>
            <w:tcW w:w="3403"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rPr>
                <w:szCs w:val="22"/>
              </w:rPr>
            </w:pPr>
            <w:r w:rsidRPr="0074345C">
              <w:rPr>
                <w:szCs w:val="22"/>
              </w:rPr>
              <w:t>Se ha completado durante la fase I del proyecto.</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vMerge/>
            <w:tcBorders>
              <w:left w:val="single" w:sz="2" w:space="0" w:color="000000"/>
              <w:bottom w:val="single" w:sz="4" w:space="0" w:color="auto"/>
              <w:right w:val="single" w:sz="6" w:space="0" w:color="000000"/>
            </w:tcBorders>
            <w:shd w:val="clear" w:color="auto" w:fill="auto"/>
          </w:tcPr>
          <w:p w:rsidR="00ED053D" w:rsidRPr="0074345C" w:rsidRDefault="00ED053D" w:rsidP="00ED053D">
            <w:pPr>
              <w:rPr>
                <w:bCs/>
                <w:szCs w:val="22"/>
              </w:rPr>
            </w:pPr>
          </w:p>
        </w:tc>
        <w:tc>
          <w:tcPr>
            <w:tcW w:w="2695" w:type="dxa"/>
            <w:tcBorders>
              <w:top w:val="single" w:sz="6" w:space="0" w:color="000000"/>
              <w:left w:val="single" w:sz="6" w:space="0" w:color="000000"/>
              <w:bottom w:val="single" w:sz="4" w:space="0" w:color="auto"/>
              <w:right w:val="single" w:sz="2" w:space="0" w:color="000000"/>
            </w:tcBorders>
            <w:shd w:val="clear" w:color="auto" w:fill="auto"/>
          </w:tcPr>
          <w:p w:rsidR="00ED053D" w:rsidRPr="0074345C" w:rsidRDefault="00ED053D" w:rsidP="00ED053D">
            <w:pPr>
              <w:rPr>
                <w:szCs w:val="22"/>
              </w:rPr>
            </w:pPr>
            <w:r w:rsidRPr="0074345C">
              <w:rPr>
                <w:szCs w:val="22"/>
              </w:rPr>
              <w:t xml:space="preserve">Se ha seleccionado y se ha contratado al consultor </w:t>
            </w:r>
            <w:r w:rsidRPr="0074345C">
              <w:rPr>
                <w:i/>
                <w:szCs w:val="22"/>
              </w:rPr>
              <w:t>ad hoc</w:t>
            </w:r>
            <w:r w:rsidRPr="0074345C">
              <w:rPr>
                <w:szCs w:val="22"/>
              </w:rPr>
              <w:t xml:space="preserve"> a más tardar 15 días antes del comienzo de la misión de evaluación de las necesidades.</w:t>
            </w:r>
          </w:p>
          <w:p w:rsidR="00ED053D" w:rsidRPr="0074345C" w:rsidRDefault="00ED053D" w:rsidP="00ED053D">
            <w:pPr>
              <w:rPr>
                <w:szCs w:val="22"/>
              </w:rPr>
            </w:pPr>
          </w:p>
        </w:tc>
        <w:tc>
          <w:tcPr>
            <w:tcW w:w="3403" w:type="dxa"/>
            <w:tcBorders>
              <w:top w:val="single" w:sz="2" w:space="0" w:color="000000"/>
              <w:left w:val="single" w:sz="2" w:space="0" w:color="000000"/>
              <w:bottom w:val="single" w:sz="4" w:space="0" w:color="auto"/>
              <w:right w:val="single" w:sz="2" w:space="0" w:color="000000"/>
            </w:tcBorders>
            <w:shd w:val="clear" w:color="auto" w:fill="auto"/>
          </w:tcPr>
          <w:p w:rsidR="00ED053D" w:rsidRPr="0074345C" w:rsidRDefault="00ED053D" w:rsidP="00ED053D">
            <w:pPr>
              <w:rPr>
                <w:szCs w:val="22"/>
              </w:rPr>
            </w:pPr>
            <w:r w:rsidRPr="0074345C">
              <w:rPr>
                <w:szCs w:val="22"/>
              </w:rPr>
              <w:t>Se ha completado durante la fase I del proyecto.</w:t>
            </w:r>
          </w:p>
        </w:tc>
        <w:tc>
          <w:tcPr>
            <w:tcW w:w="964" w:type="dxa"/>
            <w:tcBorders>
              <w:top w:val="single" w:sz="2" w:space="0" w:color="000000"/>
              <w:left w:val="single" w:sz="2" w:space="0" w:color="000000"/>
              <w:bottom w:val="single" w:sz="4" w:space="0" w:color="auto"/>
              <w:right w:val="single" w:sz="2" w:space="0" w:color="000000"/>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vMerge w:val="restart"/>
            <w:tcBorders>
              <w:top w:val="single" w:sz="4" w:space="0" w:color="auto"/>
              <w:left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t>2.  Elaboración del informe sobre la evaluación de necesidades y descripción de las acciones prioritarias</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i/>
                <w:szCs w:val="22"/>
              </w:rPr>
            </w:pPr>
            <w:r w:rsidRPr="0074345C">
              <w:rPr>
                <w:i/>
                <w:szCs w:val="22"/>
              </w:rPr>
              <w:t>Los informes sobre la evaluación de las necesidades se han elaborado 30 días antes del comienzo de la misión de evaluación de necesidades, siempre que los sectores nacionales interesados hayan enviado toda la documentación relativa a la solicitud en los plazos previstos.</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Se ha completado durante la fase I del proyecto.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vMerge/>
            <w:tcBorders>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El informe se enviará a las autoridades nacionales para su aprobación, además de presentarlo por la vía oficial.</w:t>
            </w:r>
          </w:p>
          <w:p w:rsidR="00ED053D" w:rsidRPr="0074345C" w:rsidRDefault="00ED053D" w:rsidP="00ED053D">
            <w:pPr>
              <w:rPr>
                <w:i/>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Se ha completado durante la fase I del proyecto.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vMerge w:val="restart"/>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lastRenderedPageBreak/>
              <w:t>3.  Determinación de acciones prioritarias</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Se espera que las autoridades nacionales señalen, en el informe sobre la evaluación de necesidades, las recomendaciones cuya aplicación deberá ser prioritaria.</w:t>
            </w:r>
          </w:p>
          <w:p w:rsidR="00ED053D" w:rsidRPr="0074345C" w:rsidRDefault="00ED053D" w:rsidP="00ED053D">
            <w:pPr>
              <w:rPr>
                <w:i/>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Se ha completado durante la fase I del proyecto.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vMerge/>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La ejecución del proyecto, a lo largo del período de colaboración, se centrará en las prioridades señaladas, a no ser que algún factor externo provoque una reorientación de las prioridades nacionales, en cuyo caso la OMPI deberá ser informada por escrito.</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El proyecto se ha centrado en las medidas prioritarias reconocidas por los países beneficiarios.</w:t>
            </w: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vMerge w:val="restart"/>
            <w:tcBorders>
              <w:top w:val="single" w:sz="4" w:space="0" w:color="auto"/>
              <w:left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t>4.  Firma de un acuerdo de cooperación</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Los Estados miembros solicitantes que cumplan las condiciones básicas del proyecto y acepten el calendario, las condiciones, la metodología y las expectativas del mismo mantendrán un acuerdo de cooperación con la OMPI en el marco del proyecto, comprometiéndose a seguir haciendo funcionar el centro nacional de formación sobre la P.I. una vez que finalice el período de cooperación.</w:t>
            </w:r>
          </w:p>
          <w:p w:rsidR="00ED053D" w:rsidRPr="0074345C" w:rsidRDefault="00ED053D" w:rsidP="00ED053D">
            <w:pPr>
              <w:rPr>
                <w:i/>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Se ha completado durante la fase I del proyecto.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vMerge/>
            <w:tcBorders>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La cooperación posterior en el marco del proyecto dependerá de la firma de un acuerdo.</w:t>
            </w:r>
          </w:p>
          <w:p w:rsidR="00ED053D" w:rsidRPr="0074345C" w:rsidRDefault="00ED053D" w:rsidP="00ED053D">
            <w:pPr>
              <w:rPr>
                <w:i/>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Se ha completado durante la fase I del proyecto.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t>5.  Elaboración de un plan de trabajo</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 xml:space="preserve">El coordinador nacional, ateniéndose a las orientaciones del consultor </w:t>
            </w:r>
            <w:r w:rsidRPr="0074345C">
              <w:rPr>
                <w:i/>
                <w:szCs w:val="22"/>
              </w:rPr>
              <w:t>ad hoc</w:t>
            </w:r>
            <w:r w:rsidRPr="0074345C">
              <w:rPr>
                <w:szCs w:val="22"/>
              </w:rPr>
              <w:t xml:space="preserve">, elaborará cada año un plan para el programa de </w:t>
            </w:r>
            <w:r w:rsidRPr="0074345C">
              <w:rPr>
                <w:szCs w:val="22"/>
              </w:rPr>
              <w:lastRenderedPageBreak/>
              <w:t>formación de formadores y las actividades previstas en el marco de la cooperación relativa a la creación del centro local de formación sobre P.I. tras la firma del acuerdo marco de cooperación.</w:t>
            </w:r>
          </w:p>
          <w:p w:rsidR="00ED053D" w:rsidRPr="0074345C" w:rsidRDefault="00ED053D" w:rsidP="00ED053D">
            <w:pPr>
              <w:rPr>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lastRenderedPageBreak/>
              <w:t xml:space="preserve">Los directores de los centros nacionales de formación sobre P.I. elaboraron los planes de trabajo nacionales ateniéndose a las orientaciones de los consultores </w:t>
            </w:r>
            <w:r w:rsidRPr="0074345C">
              <w:rPr>
                <w:i/>
                <w:szCs w:val="22"/>
              </w:rPr>
              <w:t>ad hoc</w:t>
            </w:r>
            <w:r w:rsidRPr="0074345C">
              <w:rPr>
                <w:szCs w:val="22"/>
              </w:rPr>
              <w:t>.</w:t>
            </w: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lastRenderedPageBreak/>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lastRenderedPageBreak/>
              <w:t>6. Núcleo de formadores formados</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 Un núcleo mínimo de cinco formadores locales.</w:t>
            </w:r>
          </w:p>
          <w:p w:rsidR="00ED053D" w:rsidRPr="0074345C" w:rsidRDefault="00ED053D" w:rsidP="00ED053D">
            <w:pPr>
              <w:rPr>
                <w:szCs w:val="22"/>
              </w:rPr>
            </w:pPr>
          </w:p>
          <w:p w:rsidR="00ED053D" w:rsidRPr="0074345C" w:rsidRDefault="00ED053D" w:rsidP="00ED053D">
            <w:pPr>
              <w:rPr>
                <w:szCs w:val="22"/>
              </w:rPr>
            </w:pPr>
            <w:r w:rsidRPr="0074345C">
              <w:rPr>
                <w:szCs w:val="22"/>
              </w:rPr>
              <w:t>- Se impartirá un curso de formación de 200 horas aproximadamente.</w:t>
            </w:r>
          </w:p>
          <w:p w:rsidR="00ED053D" w:rsidRPr="0074345C" w:rsidRDefault="00ED053D" w:rsidP="00ED053D">
            <w:pPr>
              <w:rPr>
                <w:szCs w:val="22"/>
              </w:rPr>
            </w:pPr>
          </w:p>
          <w:p w:rsidR="00ED053D" w:rsidRPr="0074345C" w:rsidRDefault="00ED053D" w:rsidP="00ED053D">
            <w:pPr>
              <w:rPr>
                <w:i/>
                <w:szCs w:val="22"/>
              </w:rPr>
            </w:pPr>
            <w:r w:rsidRPr="0074345C">
              <w:rPr>
                <w:i/>
                <w:szCs w:val="22"/>
              </w:rPr>
              <w:t xml:space="preserve">- </w:t>
            </w:r>
            <w:r w:rsidRPr="0074345C">
              <w:rPr>
                <w:szCs w:val="22"/>
              </w:rPr>
              <w:t>El certificado de participación se concederá una vez superada la evaluación final.</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autoSpaceDE w:val="0"/>
              <w:autoSpaceDN w:val="0"/>
              <w:adjustRightInd w:val="0"/>
              <w:rPr>
                <w:bCs/>
                <w:iCs/>
                <w:szCs w:val="22"/>
                <w:lang w:bidi="th-TH"/>
              </w:rPr>
            </w:pPr>
            <w:r w:rsidRPr="0074345C">
              <w:rPr>
                <w:bCs/>
                <w:iCs/>
                <w:szCs w:val="22"/>
                <w:lang w:bidi="th-TH"/>
              </w:rPr>
              <w:t>El proyecto diseñó e impartió más de 800 horas de formación de formadores en el plano nacional en cinco países piloto (esta actividad no se inició en Etiopía durante el período de ejecución del proyecto).  Actualmente, 86 formadores nacionales de cinco países se han sometido a la evaluación sobre los programas nacionales de formación de formadores concebidos especialmente para ellos, y han recibido la correspondiente certificación.</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proyecto financió becas completas para cursar programas internacionales de máster en Derecho de la P.I. a 18 formadores principales de los países piloto.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szCs w:val="22"/>
              </w:rPr>
            </w:pPr>
            <w:r w:rsidRPr="0074345C">
              <w:rPr>
                <w:szCs w:val="22"/>
              </w:rPr>
              <w:t>Este resultado se logrará plenamente a finales de 2014, cuando Etiopía cuente con un núcleo mínimo de cinco formadores con títulos de máster financiados por el proyecto (por motivos de infraestructuras físicas en el país, no fue posible impartir el programa de formación de formadores en Etiopía durante el período de ejecución del proyecto).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t>7.  Formación de coordinadores académicos</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 xml:space="preserve">- Se formará a uno o más coordinadores académicos locales con el fin de que adquieran los conocimientos específicos necesarios </w:t>
            </w:r>
            <w:r w:rsidRPr="0074345C">
              <w:rPr>
                <w:szCs w:val="22"/>
              </w:rPr>
              <w:lastRenderedPageBreak/>
              <w:t>para coordinar instituciones de formación con financiación pública, tales como los relativos a la gestión de proyectos, la gestión de recursos humanos y la recaudación de fondos.</w:t>
            </w:r>
          </w:p>
          <w:p w:rsidR="00ED053D" w:rsidRPr="0074345C" w:rsidRDefault="00ED053D" w:rsidP="00ED053D">
            <w:pPr>
              <w:rPr>
                <w:szCs w:val="22"/>
              </w:rPr>
            </w:pPr>
          </w:p>
          <w:p w:rsidR="00ED053D" w:rsidRPr="0074345C" w:rsidRDefault="00ED053D" w:rsidP="00ED053D">
            <w:pPr>
              <w:rPr>
                <w:szCs w:val="22"/>
              </w:rPr>
            </w:pPr>
            <w:r w:rsidRPr="0074345C">
              <w:rPr>
                <w:szCs w:val="22"/>
              </w:rPr>
              <w:t>- Se impartirá un curso de formación</w:t>
            </w:r>
            <w:r w:rsidRPr="0074345C">
              <w:rPr>
                <w:szCs w:val="22"/>
                <w:vertAlign w:val="superscript"/>
              </w:rPr>
              <w:footnoteReference w:id="9"/>
            </w:r>
            <w:r w:rsidRPr="0074345C">
              <w:rPr>
                <w:szCs w:val="22"/>
              </w:rPr>
              <w:t xml:space="preserve"> de 160 horas aproximadamente.</w:t>
            </w:r>
          </w:p>
          <w:p w:rsidR="00ED053D" w:rsidRPr="0074345C" w:rsidRDefault="00ED053D" w:rsidP="00ED053D">
            <w:pPr>
              <w:rPr>
                <w:szCs w:val="22"/>
              </w:rPr>
            </w:pPr>
          </w:p>
          <w:p w:rsidR="00ED053D" w:rsidRPr="0074345C" w:rsidRDefault="00ED053D" w:rsidP="00ED053D">
            <w:pPr>
              <w:rPr>
                <w:i/>
                <w:szCs w:val="22"/>
              </w:rPr>
            </w:pPr>
            <w:r w:rsidRPr="0074345C">
              <w:rPr>
                <w:i/>
                <w:szCs w:val="22"/>
              </w:rPr>
              <w:t>- El certificado de participación se concederá una vez superada la evaluación final.</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autoSpaceDE w:val="0"/>
              <w:autoSpaceDN w:val="0"/>
              <w:adjustRightInd w:val="0"/>
              <w:rPr>
                <w:bCs/>
                <w:iCs/>
                <w:szCs w:val="22"/>
                <w:lang w:bidi="th-TH"/>
              </w:rPr>
            </w:pPr>
            <w:r w:rsidRPr="0074345C">
              <w:rPr>
                <w:bCs/>
                <w:iCs/>
                <w:szCs w:val="22"/>
                <w:lang w:bidi="th-TH"/>
              </w:rPr>
              <w:lastRenderedPageBreak/>
              <w:t xml:space="preserve">El proyecto ha permitido elaborar y ofrecer más de 310 horas de formación de coordinadores académicos distribuidas en ocho módulos impartidos en el ámbito </w:t>
            </w:r>
            <w:r w:rsidRPr="0074345C">
              <w:rPr>
                <w:bCs/>
                <w:iCs/>
                <w:szCs w:val="22"/>
                <w:lang w:bidi="th-TH"/>
              </w:rPr>
              <w:lastRenderedPageBreak/>
              <w:t>internacional o regional.  Hubo una participación general de 70 nacionales de los países piloto que han tomado parte en el proyecto de creación de centros nacionales de formación sobre P.I., cuatro de los cuales completaron el programa de formación de 160 horas.</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t>El personal directivo principal de algunos centros nacionales de formación sobre P.I. se ha reasignado y el personal de sustitución no pudo completar el número mínimo de horas de formación necesarias para obtener la certificación.  A fin de sortear esto, el proyecto facilitó su participación en algunos programas de formación especializados ofertados por la Academia de la OMPI que abarcan algunos aspectos de la gestión.</w:t>
            </w:r>
          </w:p>
          <w:p w:rsidR="00ED053D" w:rsidRPr="0074345C" w:rsidRDefault="00ED053D" w:rsidP="00ED053D">
            <w:pPr>
              <w:rPr>
                <w:szCs w:val="22"/>
              </w:rPr>
            </w:pP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lastRenderedPageBreak/>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lastRenderedPageBreak/>
              <w:t>8.  Elaboración de un plan de trabajo</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 xml:space="preserve">Se elaborará un plan de trabajo para la institución local de formación en el que se señalarán los objetivos y las medidas previstos con miras a lograr la </w:t>
            </w:r>
            <w:proofErr w:type="spellStart"/>
            <w:r w:rsidRPr="0074345C">
              <w:rPr>
                <w:szCs w:val="22"/>
              </w:rPr>
              <w:t>autosostenibilidad</w:t>
            </w:r>
            <w:proofErr w:type="spellEnd"/>
            <w:r w:rsidRPr="0074345C">
              <w:rPr>
                <w:szCs w:val="22"/>
              </w:rPr>
              <w:t xml:space="preserve"> durante los dos años posteriores al final del período de cooperación.</w:t>
            </w:r>
          </w:p>
          <w:p w:rsidR="00ED053D" w:rsidRPr="0074345C" w:rsidRDefault="00ED053D" w:rsidP="00ED053D">
            <w:pPr>
              <w:rPr>
                <w:i/>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La consecución de este resultado se ha retrasado, ya que no todos los centros nacionales de formación sobre P.I. han ratificado un marco jurídico nacional para su creación.</w:t>
            </w:r>
          </w:p>
          <w:p w:rsidR="00ED053D" w:rsidRPr="0074345C" w:rsidRDefault="00ED053D" w:rsidP="00ED053D">
            <w:pPr>
              <w:rPr>
                <w:szCs w:val="22"/>
              </w:rPr>
            </w:pP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t>9.  Elaboración de un plan de fortalecimiento de la capacidad</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i/>
                <w:szCs w:val="22"/>
              </w:rPr>
            </w:pPr>
            <w:r w:rsidRPr="0074345C">
              <w:rPr>
                <w:szCs w:val="22"/>
              </w:rPr>
              <w:t xml:space="preserve">Se elaborará un plan de fortalecimiento de la capacidad para la institución local de formación a fin de fomentar el equilibrio entre los intereses públicos y privados.  El plan será elaborado por los formadores y </w:t>
            </w:r>
            <w:r w:rsidRPr="0074345C">
              <w:rPr>
                <w:szCs w:val="22"/>
              </w:rPr>
              <w:lastRenderedPageBreak/>
              <w:t xml:space="preserve">supervisado por el consultor </w:t>
            </w:r>
            <w:r w:rsidRPr="0074345C">
              <w:rPr>
                <w:i/>
                <w:szCs w:val="22"/>
              </w:rPr>
              <w:t>ad hoc</w:t>
            </w:r>
            <w:r w:rsidRPr="0074345C">
              <w:rPr>
                <w:szCs w:val="22"/>
              </w:rPr>
              <w:t>, y deberá abarcar los dos años posteriores al final del período de cooperación.</w:t>
            </w: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lastRenderedPageBreak/>
              <w:t>Actualmente, los centros nacionales de formación sobre P.I. están creando sinergias y solicitando la aprobación de planes de estudio a organismos nacionales de certificación con el fin de empezar a ofrecer programas regulares de formación.</w:t>
            </w:r>
          </w:p>
          <w:p w:rsidR="00ED053D" w:rsidRPr="0074345C" w:rsidRDefault="00ED053D" w:rsidP="00ED053D">
            <w:pPr>
              <w:rPr>
                <w:szCs w:val="22"/>
              </w:rPr>
            </w:pPr>
          </w:p>
          <w:p w:rsidR="00ED053D" w:rsidRPr="0074345C" w:rsidRDefault="00ED053D" w:rsidP="00ED053D">
            <w:pPr>
              <w:rPr>
                <w:szCs w:val="22"/>
              </w:rPr>
            </w:pPr>
            <w:r w:rsidRPr="0074345C">
              <w:rPr>
                <w:szCs w:val="22"/>
              </w:rPr>
              <w:lastRenderedPageBreak/>
              <w:t>Cinco instituciones nacionales de formación en P.I. han comenzado a impartir programas de formación a públicos internos y externos.</w:t>
            </w:r>
          </w:p>
          <w:p w:rsidR="00ED053D" w:rsidRPr="0074345C" w:rsidRDefault="00ED053D" w:rsidP="00ED053D">
            <w:pPr>
              <w:rPr>
                <w:szCs w:val="22"/>
              </w:rPr>
            </w:pPr>
          </w:p>
          <w:p w:rsidR="00ED053D" w:rsidRPr="0074345C" w:rsidRDefault="00ED053D" w:rsidP="00ED053D">
            <w:pPr>
              <w:rPr>
                <w:szCs w:val="22"/>
              </w:rPr>
            </w:pPr>
            <w:r w:rsidRPr="0074345C">
              <w:rPr>
                <w:szCs w:val="22"/>
              </w:rPr>
              <w:t>Dos instituciones nacionales de formación en P.I. han comenzado a ofrecer programas de formación periódicamente.</w:t>
            </w: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lastRenderedPageBreak/>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lastRenderedPageBreak/>
              <w:t>10.  Creación de herramientas y directrices</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autoSpaceDE w:val="0"/>
              <w:autoSpaceDN w:val="0"/>
              <w:adjustRightInd w:val="0"/>
              <w:rPr>
                <w:szCs w:val="22"/>
              </w:rPr>
            </w:pPr>
            <w:r w:rsidRPr="0074345C">
              <w:rPr>
                <w:szCs w:val="22"/>
              </w:rPr>
              <w:t>El equipo de gestión del proyecto presentará un conjunto de herramientas y material de capacitación de referencia en el marco de la estrategia de salida del proyecto.</w:t>
            </w:r>
          </w:p>
          <w:p w:rsidR="00ED053D" w:rsidRPr="0074345C" w:rsidRDefault="00ED053D" w:rsidP="00ED053D">
            <w:pPr>
              <w:autoSpaceDE w:val="0"/>
              <w:autoSpaceDN w:val="0"/>
              <w:adjustRightInd w:val="0"/>
              <w:rPr>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Los materiales de capacitación están disponibles en el espacio Wiki de la OMPI en relación con la creación de academias.</w:t>
            </w:r>
          </w:p>
          <w:p w:rsidR="00ED053D" w:rsidRPr="0074345C" w:rsidRDefault="00ED053D" w:rsidP="00ED053D">
            <w:pPr>
              <w:rPr>
                <w:szCs w:val="22"/>
              </w:rPr>
            </w:pPr>
          </w:p>
          <w:p w:rsidR="00ED053D" w:rsidRPr="0074345C" w:rsidRDefault="00ED053D" w:rsidP="00ED053D">
            <w:pPr>
              <w:rPr>
                <w:szCs w:val="22"/>
              </w:rPr>
            </w:pPr>
            <w:r w:rsidRPr="0074345C">
              <w:rPr>
                <w:szCs w:val="22"/>
              </w:rPr>
              <w:t>La entrega del conjunto de herramientas se ha retrasado, puesto que el equipo de gestión del proyecto aún no ha identificado las prácticas óptimas para algunos de los resultados.</w:t>
            </w: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t>11.  Creación de bibliotecas de P.I.</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autoSpaceDE w:val="0"/>
              <w:autoSpaceDN w:val="0"/>
              <w:adjustRightInd w:val="0"/>
              <w:rPr>
                <w:szCs w:val="22"/>
              </w:rPr>
            </w:pPr>
            <w:r w:rsidRPr="0074345C">
              <w:rPr>
                <w:szCs w:val="22"/>
              </w:rPr>
              <w:t>Se establecerán vínculos con el proyecto de bibliotecas de depósito de la OMPI y se adquirirá la bibliografía necesaria para impartir los programas de formación especificados.</w:t>
            </w:r>
          </w:p>
          <w:p w:rsidR="00ED053D" w:rsidRPr="0074345C" w:rsidRDefault="00ED053D" w:rsidP="00ED053D">
            <w:pPr>
              <w:rPr>
                <w:i/>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Los seis países beneficiarios se han adherido al proyecto de bibliotecas de depósito de la OMPI y han recibido todas las publicaciones del catálogo de la OMPI.</w:t>
            </w:r>
          </w:p>
          <w:p w:rsidR="00ED053D" w:rsidRPr="0074345C" w:rsidRDefault="00ED053D" w:rsidP="00ED053D">
            <w:pPr>
              <w:rPr>
                <w:szCs w:val="22"/>
              </w:rPr>
            </w:pPr>
          </w:p>
          <w:p w:rsidR="00ED053D" w:rsidRPr="0074345C" w:rsidRDefault="00ED053D" w:rsidP="00ED053D">
            <w:pPr>
              <w:rPr>
                <w:szCs w:val="22"/>
              </w:rPr>
            </w:pPr>
            <w:r w:rsidRPr="0074345C">
              <w:rPr>
                <w:szCs w:val="22"/>
              </w:rPr>
              <w:t>Se ha adquirido bibliografía y material de referencia para todos los países.</w:t>
            </w:r>
          </w:p>
          <w:p w:rsidR="00ED053D" w:rsidRPr="0074345C" w:rsidRDefault="00ED053D" w:rsidP="00ED053D">
            <w:pPr>
              <w:rPr>
                <w:szCs w:val="22"/>
              </w:rPr>
            </w:pP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2"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bCs/>
                <w:szCs w:val="22"/>
              </w:rPr>
            </w:pPr>
            <w:r w:rsidRPr="0074345C">
              <w:rPr>
                <w:bCs/>
                <w:szCs w:val="22"/>
              </w:rPr>
              <w:t>12. Creación de academias de P.I.</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autoSpaceDE w:val="0"/>
              <w:autoSpaceDN w:val="0"/>
              <w:adjustRightInd w:val="0"/>
              <w:rPr>
                <w:szCs w:val="22"/>
              </w:rPr>
            </w:pPr>
            <w:r w:rsidRPr="0074345C">
              <w:rPr>
                <w:szCs w:val="22"/>
              </w:rPr>
              <w:t>Está previsto establecer seis centros nacionales de formación sobre P.I. capaces de ofrecer al menos dos programas regulares de formación sobre nuevas cuestiones en el campo de la P.I. que estén relacionadas con las necesidades nacionales en la materia en Colombia, Egipto, Etiopía, Perú, República Dominicana y Túnez.</w:t>
            </w:r>
          </w:p>
          <w:p w:rsidR="00ED053D" w:rsidRPr="0074345C" w:rsidRDefault="00ED053D" w:rsidP="00ED053D">
            <w:pPr>
              <w:rPr>
                <w:i/>
                <w:szCs w:val="22"/>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autoSpaceDE w:val="0"/>
              <w:autoSpaceDN w:val="0"/>
              <w:adjustRightInd w:val="0"/>
              <w:rPr>
                <w:bCs/>
                <w:iCs/>
                <w:szCs w:val="22"/>
                <w:lang w:bidi="th-TH"/>
              </w:rPr>
            </w:pPr>
            <w:r w:rsidRPr="0074345C">
              <w:rPr>
                <w:bCs/>
                <w:iCs/>
                <w:szCs w:val="22"/>
                <w:lang w:bidi="th-TH"/>
              </w:rPr>
              <w:t>Hasta ahora, se han creado cinco instituciones nacionales de formación en P.I. que operan en cinco de los países piloto (Colombia, Egipto, Perú, República Dominicana y Túnez).</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rPr>
                <w:szCs w:val="22"/>
              </w:rPr>
            </w:pPr>
            <w:r w:rsidRPr="0074345C">
              <w:rPr>
                <w:szCs w:val="22"/>
              </w:rPr>
              <w:t>Tres centros nacionales de formación se han creado por medio de un instrumento jurídico, así que cuentan con presupuesto y organigrama oficiales específicos.  En el caso de los otros tres, se está creando un marco jurídico.</w:t>
            </w:r>
          </w:p>
          <w:p w:rsidR="00ED053D" w:rsidRPr="0074345C" w:rsidRDefault="00ED053D" w:rsidP="00ED053D">
            <w:pPr>
              <w:autoSpaceDE w:val="0"/>
              <w:autoSpaceDN w:val="0"/>
              <w:adjustRightInd w:val="0"/>
              <w:rPr>
                <w:bCs/>
                <w:iCs/>
                <w:szCs w:val="22"/>
                <w:lang w:bidi="th-TH"/>
              </w:rPr>
            </w:pPr>
          </w:p>
          <w:p w:rsidR="00ED053D" w:rsidRPr="0074345C" w:rsidRDefault="00ED053D" w:rsidP="00ED053D">
            <w:pPr>
              <w:autoSpaceDE w:val="0"/>
              <w:autoSpaceDN w:val="0"/>
              <w:adjustRightInd w:val="0"/>
              <w:rPr>
                <w:bCs/>
                <w:iCs/>
                <w:szCs w:val="22"/>
                <w:lang w:bidi="th-TH"/>
              </w:rPr>
            </w:pPr>
            <w:r w:rsidRPr="0074345C">
              <w:rPr>
                <w:bCs/>
                <w:iCs/>
                <w:szCs w:val="22"/>
                <w:lang w:bidi="th-TH"/>
              </w:rPr>
              <w:lastRenderedPageBreak/>
              <w:t>Todas las instituciones de formación que se han creado ofrecen programas de formación sobre P.I. y sobre cuestiones de la Agenda para el Desarrollo de la OMPI.</w:t>
            </w:r>
          </w:p>
          <w:p w:rsidR="00ED053D" w:rsidRPr="0074345C" w:rsidRDefault="00ED053D" w:rsidP="00ED053D">
            <w:pPr>
              <w:rPr>
                <w:szCs w:val="22"/>
              </w:rPr>
            </w:pPr>
          </w:p>
          <w:p w:rsidR="00ED053D" w:rsidRPr="0074345C" w:rsidRDefault="00ED053D" w:rsidP="00ED053D">
            <w:pPr>
              <w:rPr>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D053D" w:rsidRPr="0074345C" w:rsidRDefault="00ED053D" w:rsidP="00ED053D">
            <w:pPr>
              <w:rPr>
                <w:szCs w:val="22"/>
              </w:rPr>
            </w:pPr>
            <w:r w:rsidRPr="0074345C">
              <w:rPr>
                <w:szCs w:val="22"/>
              </w:rPr>
              <w:lastRenderedPageBreak/>
              <w:t>***</w:t>
            </w:r>
          </w:p>
        </w:tc>
      </w:tr>
      <w:tr w:rsidR="006376E7" w:rsidRPr="0074345C" w:rsidTr="009F2FA4">
        <w:trPr>
          <w:trHeight w:val="616"/>
          <w:tblHeader/>
        </w:trPr>
        <w:tc>
          <w:tcPr>
            <w:tcW w:w="2412"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keepNext/>
              <w:keepLines/>
              <w:rPr>
                <w:szCs w:val="22"/>
              </w:rPr>
            </w:pPr>
            <w:r w:rsidRPr="0074345C">
              <w:rPr>
                <w:szCs w:val="22"/>
              </w:rPr>
              <w:lastRenderedPageBreak/>
              <w:br w:type="page"/>
            </w:r>
          </w:p>
          <w:p w:rsidR="00ED053D" w:rsidRPr="0074345C" w:rsidRDefault="00ED053D" w:rsidP="00ED053D">
            <w:pPr>
              <w:keepNext/>
              <w:keepLines/>
              <w:rPr>
                <w:szCs w:val="22"/>
              </w:rPr>
            </w:pPr>
            <w:r w:rsidRPr="0074345C">
              <w:rPr>
                <w:szCs w:val="22"/>
              </w:rPr>
              <w:t>Objetivos del proyecto</w:t>
            </w:r>
          </w:p>
        </w:tc>
        <w:tc>
          <w:tcPr>
            <w:tcW w:w="2695"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rPr>
                <w:szCs w:val="22"/>
              </w:rPr>
            </w:pPr>
          </w:p>
          <w:p w:rsidR="00ED053D" w:rsidRPr="0074345C" w:rsidRDefault="00ED053D" w:rsidP="00ED053D">
            <w:pPr>
              <w:keepNext/>
              <w:keepLines/>
              <w:rPr>
                <w:szCs w:val="22"/>
              </w:rPr>
            </w:pPr>
            <w:r w:rsidRPr="0074345C">
              <w:rPr>
                <w:szCs w:val="22"/>
              </w:rPr>
              <w:t xml:space="preserve">Indicadores de cumplimiento de los objetivos(s) </w:t>
            </w:r>
          </w:p>
          <w:p w:rsidR="00ED053D" w:rsidRPr="0074345C" w:rsidRDefault="00ED053D" w:rsidP="00ED053D">
            <w:pPr>
              <w:keepNext/>
              <w:keepLines/>
              <w:rPr>
                <w:szCs w:val="22"/>
              </w:rPr>
            </w:pPr>
            <w:r w:rsidRPr="0074345C">
              <w:rPr>
                <w:szCs w:val="22"/>
              </w:rPr>
              <w:t>(Indicadores de resultado)</w:t>
            </w:r>
          </w:p>
          <w:p w:rsidR="00ED053D" w:rsidRPr="0074345C" w:rsidRDefault="00ED053D" w:rsidP="00ED053D">
            <w:pPr>
              <w:keepNext/>
              <w:keepLines/>
              <w:rPr>
                <w:szCs w:val="22"/>
              </w:rPr>
            </w:pPr>
          </w:p>
        </w:tc>
        <w:tc>
          <w:tcPr>
            <w:tcW w:w="3403"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keepNext/>
              <w:keepLines/>
              <w:rPr>
                <w:rFonts w:eastAsia="MS Mincho"/>
                <w:szCs w:val="22"/>
                <w:lang w:eastAsia="ja-JP"/>
              </w:rPr>
            </w:pPr>
          </w:p>
          <w:p w:rsidR="00ED053D" w:rsidRPr="0074345C" w:rsidRDefault="00ED053D" w:rsidP="00ED053D">
            <w:pPr>
              <w:keepNext/>
              <w:keepLines/>
              <w:rPr>
                <w:rFonts w:eastAsia="MS Mincho"/>
                <w:szCs w:val="22"/>
                <w:lang w:eastAsia="ja-JP"/>
              </w:rPr>
            </w:pPr>
            <w:r w:rsidRPr="0074345C">
              <w:rPr>
                <w:rFonts w:eastAsia="MS Mincho"/>
                <w:szCs w:val="22"/>
                <w:lang w:eastAsia="ja-JP"/>
              </w:rPr>
              <w:t>Datos sobre el rendimiento</w:t>
            </w:r>
          </w:p>
        </w:tc>
        <w:tc>
          <w:tcPr>
            <w:tcW w:w="964" w:type="dxa"/>
            <w:tcBorders>
              <w:top w:val="single" w:sz="2" w:space="0" w:color="000000"/>
              <w:left w:val="single" w:sz="2" w:space="0" w:color="000000"/>
              <w:bottom w:val="single" w:sz="2" w:space="0" w:color="000000"/>
              <w:right w:val="single" w:sz="2" w:space="0" w:color="000000"/>
            </w:tcBorders>
            <w:hideMark/>
          </w:tcPr>
          <w:p w:rsidR="00ED053D" w:rsidRPr="0074345C" w:rsidRDefault="00ED053D" w:rsidP="00ED053D">
            <w:pPr>
              <w:keepNext/>
              <w:keepLines/>
              <w:rPr>
                <w:bCs/>
                <w:szCs w:val="22"/>
              </w:rPr>
            </w:pPr>
          </w:p>
          <w:p w:rsidR="00ED053D" w:rsidRPr="0074345C" w:rsidRDefault="00ED053D" w:rsidP="00ED053D">
            <w:pPr>
              <w:keepNext/>
              <w:keepLines/>
              <w:rPr>
                <w:bCs/>
                <w:szCs w:val="22"/>
              </w:rPr>
            </w:pPr>
            <w:r w:rsidRPr="0074345C">
              <w:rPr>
                <w:bCs/>
                <w:szCs w:val="22"/>
              </w:rPr>
              <w:t>Clave de colores</w:t>
            </w:r>
          </w:p>
        </w:tc>
      </w:tr>
      <w:tr w:rsidR="006376E7" w:rsidRPr="0074345C" w:rsidTr="009F2FA4">
        <w:trPr>
          <w:trHeight w:val="616"/>
          <w:tblHeader/>
        </w:trPr>
        <w:tc>
          <w:tcPr>
            <w:tcW w:w="2412" w:type="dxa"/>
            <w:vMerge w:val="restart"/>
            <w:tcBorders>
              <w:left w:val="single" w:sz="2" w:space="0" w:color="000000"/>
              <w:right w:val="single" w:sz="2" w:space="0" w:color="000000"/>
            </w:tcBorders>
          </w:tcPr>
          <w:p w:rsidR="00ED053D" w:rsidRPr="0074345C" w:rsidRDefault="00ED053D" w:rsidP="00ED053D">
            <w:pPr>
              <w:keepNext/>
              <w:keepLines/>
              <w:rPr>
                <w:szCs w:val="22"/>
              </w:rPr>
            </w:pPr>
            <w:r w:rsidRPr="0074345C">
              <w:rPr>
                <w:szCs w:val="22"/>
              </w:rPr>
              <w:t>Fortalecimiento de la capacidad nacional y regional en el ámbito institucional y de los recursos humanos mediante el desarrollo de la infraestructura y otros servicios, para que dichas instituciones sean más eficaces y lograr un equilibrio adecuado entre la protección de la P.I. y el interés público y para satisfacer las prioridades y objetivos nacionales de desarrollo a fin de atender la creciente demanda de especialistas y profesionales de la P.I., funcionarios gubernamentales y otros sectores interesados.</w:t>
            </w:r>
          </w:p>
        </w:tc>
        <w:tc>
          <w:tcPr>
            <w:tcW w:w="2695"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autoSpaceDE w:val="0"/>
              <w:autoSpaceDN w:val="0"/>
              <w:adjustRightInd w:val="0"/>
              <w:rPr>
                <w:szCs w:val="22"/>
              </w:rPr>
            </w:pPr>
            <w:r w:rsidRPr="0074345C">
              <w:rPr>
                <w:szCs w:val="22"/>
              </w:rPr>
              <w:t>Porcentaje de formadores formados que han elaborado planes de estudio e impartido programas de formación a la atención de los destinatarios identificados</w:t>
            </w:r>
          </w:p>
          <w:p w:rsidR="00ED053D" w:rsidRPr="0074345C" w:rsidRDefault="00ED053D" w:rsidP="00ED053D">
            <w:pPr>
              <w:autoSpaceDE w:val="0"/>
              <w:autoSpaceDN w:val="0"/>
              <w:adjustRightInd w:val="0"/>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rPr>
                <w:rFonts w:eastAsia="MS Mincho"/>
                <w:szCs w:val="22"/>
                <w:lang w:eastAsia="ja-JP"/>
              </w:rPr>
            </w:pPr>
            <w:r w:rsidRPr="0074345C">
              <w:rPr>
                <w:rFonts w:eastAsia="MS Mincho"/>
                <w:szCs w:val="22"/>
                <w:lang w:eastAsia="ja-JP"/>
              </w:rPr>
              <w:t>82,5% (71 de 86)</w:t>
            </w:r>
          </w:p>
          <w:p w:rsidR="00ED053D" w:rsidRPr="0074345C" w:rsidRDefault="00ED053D" w:rsidP="00ED053D">
            <w:pPr>
              <w:keepNext/>
              <w:keepLines/>
              <w:rPr>
                <w:rFonts w:eastAsia="MS Mincho"/>
                <w:szCs w:val="22"/>
                <w:lang w:eastAsia="ja-JP"/>
              </w:rPr>
            </w:pPr>
          </w:p>
        </w:tc>
        <w:tc>
          <w:tcPr>
            <w:tcW w:w="964"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jc w:val="center"/>
              <w:rPr>
                <w:szCs w:val="22"/>
              </w:rPr>
            </w:pPr>
            <w:r w:rsidRPr="0074345C">
              <w:rPr>
                <w:szCs w:val="22"/>
              </w:rPr>
              <w:t>****</w:t>
            </w:r>
          </w:p>
        </w:tc>
      </w:tr>
      <w:tr w:rsidR="006376E7" w:rsidRPr="0074345C" w:rsidTr="009F2FA4">
        <w:trPr>
          <w:trHeight w:val="616"/>
          <w:tblHeader/>
        </w:trPr>
        <w:tc>
          <w:tcPr>
            <w:tcW w:w="2412" w:type="dxa"/>
            <w:vMerge/>
            <w:tcBorders>
              <w:left w:val="single" w:sz="2" w:space="0" w:color="000000"/>
              <w:right w:val="single" w:sz="2" w:space="0" w:color="000000"/>
            </w:tcBorders>
          </w:tcPr>
          <w:p w:rsidR="00ED053D" w:rsidRPr="0074345C" w:rsidRDefault="00ED053D" w:rsidP="00ED053D">
            <w:pPr>
              <w:keepNext/>
              <w:keepLines/>
              <w:rPr>
                <w:b/>
                <w:szCs w:val="22"/>
              </w:rPr>
            </w:pPr>
          </w:p>
        </w:tc>
        <w:tc>
          <w:tcPr>
            <w:tcW w:w="2695"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autoSpaceDE w:val="0"/>
              <w:autoSpaceDN w:val="0"/>
              <w:adjustRightInd w:val="0"/>
              <w:rPr>
                <w:szCs w:val="22"/>
              </w:rPr>
            </w:pPr>
            <w:r w:rsidRPr="0074345C">
              <w:rPr>
                <w:szCs w:val="22"/>
              </w:rPr>
              <w:t>Porcentaje de coordinadores académicos formados que han organizado programas de formación.</w:t>
            </w:r>
          </w:p>
          <w:p w:rsidR="00ED053D" w:rsidRPr="0074345C" w:rsidRDefault="00ED053D" w:rsidP="00ED053D">
            <w:pPr>
              <w:keepNext/>
              <w:keepLines/>
              <w:autoSpaceDE w:val="0"/>
              <w:autoSpaceDN w:val="0"/>
              <w:adjustRightInd w:val="0"/>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rPr>
                <w:rFonts w:eastAsia="MS Mincho"/>
                <w:szCs w:val="22"/>
                <w:lang w:eastAsia="ja-JP"/>
              </w:rPr>
            </w:pPr>
            <w:r w:rsidRPr="0074345C">
              <w:rPr>
                <w:rFonts w:eastAsia="MS Mincho"/>
                <w:szCs w:val="22"/>
                <w:lang w:eastAsia="ja-JP"/>
              </w:rPr>
              <w:t>100%</w:t>
            </w:r>
          </w:p>
        </w:tc>
        <w:tc>
          <w:tcPr>
            <w:tcW w:w="964"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jc w:val="center"/>
              <w:rPr>
                <w:szCs w:val="22"/>
              </w:rPr>
            </w:pPr>
            <w:r w:rsidRPr="0074345C">
              <w:rPr>
                <w:szCs w:val="22"/>
              </w:rPr>
              <w:t>****</w:t>
            </w:r>
          </w:p>
        </w:tc>
      </w:tr>
      <w:tr w:rsidR="006376E7" w:rsidRPr="0074345C" w:rsidTr="009F2FA4">
        <w:trPr>
          <w:trHeight w:val="616"/>
          <w:tblHeader/>
        </w:trPr>
        <w:tc>
          <w:tcPr>
            <w:tcW w:w="2412" w:type="dxa"/>
            <w:vMerge/>
            <w:tcBorders>
              <w:left w:val="single" w:sz="2" w:space="0" w:color="000000"/>
              <w:bottom w:val="single" w:sz="2" w:space="0" w:color="000000"/>
              <w:right w:val="single" w:sz="2" w:space="0" w:color="000000"/>
            </w:tcBorders>
          </w:tcPr>
          <w:p w:rsidR="00ED053D" w:rsidRPr="0074345C" w:rsidRDefault="00ED053D" w:rsidP="00ED053D">
            <w:pPr>
              <w:keepNext/>
              <w:keepLines/>
              <w:rPr>
                <w:bCs/>
                <w:szCs w:val="22"/>
              </w:rPr>
            </w:pPr>
          </w:p>
        </w:tc>
        <w:tc>
          <w:tcPr>
            <w:tcW w:w="2695"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autoSpaceDE w:val="0"/>
              <w:autoSpaceDN w:val="0"/>
              <w:adjustRightInd w:val="0"/>
              <w:rPr>
                <w:szCs w:val="22"/>
              </w:rPr>
            </w:pPr>
            <w:r w:rsidRPr="0074345C">
              <w:rPr>
                <w:szCs w:val="22"/>
              </w:rPr>
              <w:t>Número de nuevas academias que se han asociado a instituciones nacionales (tales como universidades, asociaciones patronales y cámaras de comercio, instituciones de apoyo a las Pymes y otros Ministerios).</w:t>
            </w:r>
          </w:p>
          <w:p w:rsidR="00ED053D" w:rsidRPr="0074345C" w:rsidRDefault="00ED053D" w:rsidP="00ED053D">
            <w:pPr>
              <w:keepNext/>
              <w:keepLines/>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rPr>
                <w:rFonts w:eastAsia="MS Mincho"/>
                <w:szCs w:val="22"/>
                <w:lang w:eastAsia="ja-JP"/>
              </w:rPr>
            </w:pPr>
            <w:r w:rsidRPr="0074345C">
              <w:rPr>
                <w:rFonts w:eastAsia="MS Mincho"/>
                <w:szCs w:val="22"/>
                <w:lang w:eastAsia="ja-JP"/>
              </w:rPr>
              <w:t>Cinco</w:t>
            </w:r>
          </w:p>
        </w:tc>
        <w:tc>
          <w:tcPr>
            <w:tcW w:w="964"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jc w:val="center"/>
              <w:rPr>
                <w:szCs w:val="22"/>
              </w:rPr>
            </w:pPr>
            <w:r w:rsidRPr="0074345C">
              <w:rPr>
                <w:szCs w:val="22"/>
              </w:rPr>
              <w:t>***</w:t>
            </w:r>
          </w:p>
        </w:tc>
      </w:tr>
      <w:tr w:rsidR="006376E7" w:rsidRPr="0074345C" w:rsidTr="009F2FA4">
        <w:trPr>
          <w:trHeight w:val="616"/>
          <w:tblHeader/>
        </w:trPr>
        <w:tc>
          <w:tcPr>
            <w:tcW w:w="2412" w:type="dxa"/>
            <w:vMerge/>
            <w:tcBorders>
              <w:left w:val="single" w:sz="2" w:space="0" w:color="000000"/>
              <w:bottom w:val="single" w:sz="2" w:space="0" w:color="000000"/>
              <w:right w:val="single" w:sz="2" w:space="0" w:color="000000"/>
            </w:tcBorders>
          </w:tcPr>
          <w:p w:rsidR="00ED053D" w:rsidRPr="0074345C" w:rsidRDefault="00ED053D" w:rsidP="00ED053D">
            <w:pPr>
              <w:keepNext/>
              <w:keepLines/>
              <w:rPr>
                <w:bCs/>
                <w:szCs w:val="22"/>
              </w:rPr>
            </w:pPr>
          </w:p>
        </w:tc>
        <w:tc>
          <w:tcPr>
            <w:tcW w:w="2695"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autoSpaceDE w:val="0"/>
              <w:autoSpaceDN w:val="0"/>
              <w:adjustRightInd w:val="0"/>
              <w:rPr>
                <w:szCs w:val="22"/>
              </w:rPr>
            </w:pPr>
            <w:r w:rsidRPr="0074345C">
              <w:rPr>
                <w:szCs w:val="22"/>
              </w:rPr>
              <w:t>Evaluación de planes de estudios y programas de formación con miras a promover el equilibrio adecuado entre la protección de la P.I. y el interés público y de satisfacer las prioridades y objetivos nacionales de desarrollo.</w:t>
            </w:r>
          </w:p>
          <w:p w:rsidR="00ED053D" w:rsidRPr="0074345C" w:rsidRDefault="00ED053D" w:rsidP="00ED053D">
            <w:pPr>
              <w:keepNext/>
              <w:keepLines/>
              <w:autoSpaceDE w:val="0"/>
              <w:autoSpaceDN w:val="0"/>
              <w:adjustRightInd w:val="0"/>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rPr>
                <w:rFonts w:eastAsia="MS Mincho"/>
                <w:szCs w:val="22"/>
                <w:lang w:eastAsia="ja-JP"/>
              </w:rPr>
            </w:pPr>
            <w:r w:rsidRPr="0074345C">
              <w:rPr>
                <w:rFonts w:eastAsia="MS Mincho"/>
                <w:szCs w:val="22"/>
                <w:lang w:eastAsia="ja-JP"/>
              </w:rPr>
              <w:t>Es demasiado prematuro evaluar el rendimiento, pues la mayoría de centros nacionales de formación sobre P.I. aún no han elaborado sus planes de estudios.</w:t>
            </w:r>
          </w:p>
          <w:p w:rsidR="00ED053D" w:rsidRPr="0074345C" w:rsidRDefault="00ED053D" w:rsidP="00ED053D">
            <w:pPr>
              <w:keepNext/>
              <w:keepLines/>
              <w:rPr>
                <w:rFonts w:eastAsia="MS Mincho"/>
                <w:szCs w:val="22"/>
                <w:lang w:eastAsia="ja-JP"/>
              </w:rPr>
            </w:pPr>
          </w:p>
        </w:tc>
        <w:tc>
          <w:tcPr>
            <w:tcW w:w="964" w:type="dxa"/>
            <w:tcBorders>
              <w:top w:val="single" w:sz="2" w:space="0" w:color="000000"/>
              <w:left w:val="single" w:sz="2" w:space="0" w:color="000000"/>
              <w:bottom w:val="single" w:sz="2" w:space="0" w:color="000000"/>
              <w:right w:val="single" w:sz="2" w:space="0" w:color="000000"/>
            </w:tcBorders>
          </w:tcPr>
          <w:p w:rsidR="00ED053D" w:rsidRPr="0074345C" w:rsidRDefault="00ED053D" w:rsidP="00ED053D">
            <w:pPr>
              <w:keepNext/>
              <w:keepLines/>
              <w:jc w:val="center"/>
              <w:rPr>
                <w:szCs w:val="22"/>
              </w:rPr>
            </w:pPr>
            <w:r w:rsidRPr="0074345C">
              <w:rPr>
                <w:szCs w:val="22"/>
              </w:rPr>
              <w:t>SE/AD</w:t>
            </w:r>
          </w:p>
        </w:tc>
      </w:tr>
      <w:tr w:rsidR="006376E7" w:rsidRPr="0074345C" w:rsidTr="000D6BE4">
        <w:trPr>
          <w:trHeight w:val="2169"/>
          <w:tblHeader/>
        </w:trPr>
        <w:tc>
          <w:tcPr>
            <w:tcW w:w="2412" w:type="dxa"/>
            <w:vMerge/>
            <w:tcBorders>
              <w:left w:val="single" w:sz="2" w:space="0" w:color="000000"/>
              <w:bottom w:val="single" w:sz="4" w:space="0" w:color="auto"/>
              <w:right w:val="single" w:sz="2" w:space="0" w:color="000000"/>
            </w:tcBorders>
          </w:tcPr>
          <w:p w:rsidR="00ED053D" w:rsidRPr="0074345C" w:rsidRDefault="00ED053D" w:rsidP="00ED053D">
            <w:pPr>
              <w:keepNext/>
              <w:keepLines/>
              <w:rPr>
                <w:bCs/>
                <w:szCs w:val="22"/>
              </w:rPr>
            </w:pPr>
          </w:p>
        </w:tc>
        <w:tc>
          <w:tcPr>
            <w:tcW w:w="2695" w:type="dxa"/>
            <w:tcBorders>
              <w:top w:val="single" w:sz="2" w:space="0" w:color="000000"/>
              <w:left w:val="single" w:sz="2" w:space="0" w:color="000000"/>
              <w:bottom w:val="single" w:sz="4" w:space="0" w:color="auto"/>
              <w:right w:val="single" w:sz="2" w:space="0" w:color="000000"/>
            </w:tcBorders>
          </w:tcPr>
          <w:p w:rsidR="00ED053D" w:rsidRPr="0074345C" w:rsidRDefault="00ED053D" w:rsidP="00ED053D">
            <w:pPr>
              <w:autoSpaceDE w:val="0"/>
              <w:autoSpaceDN w:val="0"/>
              <w:adjustRightInd w:val="0"/>
              <w:rPr>
                <w:szCs w:val="22"/>
              </w:rPr>
            </w:pPr>
            <w:r w:rsidRPr="0074345C">
              <w:rPr>
                <w:szCs w:val="22"/>
              </w:rPr>
              <w:t>Número de academias que imparten al menos dos programas regulares de formación sobre P.I., según lo acordado con los países beneficiarios.</w:t>
            </w:r>
          </w:p>
          <w:p w:rsidR="00ED053D" w:rsidRPr="0074345C" w:rsidRDefault="00ED053D" w:rsidP="00ED053D">
            <w:pPr>
              <w:keepNext/>
              <w:keepLines/>
              <w:rPr>
                <w:szCs w:val="22"/>
              </w:rPr>
            </w:pPr>
          </w:p>
        </w:tc>
        <w:tc>
          <w:tcPr>
            <w:tcW w:w="3403" w:type="dxa"/>
            <w:tcBorders>
              <w:top w:val="single" w:sz="2" w:space="0" w:color="000000"/>
              <w:left w:val="single" w:sz="2" w:space="0" w:color="000000"/>
              <w:bottom w:val="single" w:sz="4" w:space="0" w:color="auto"/>
              <w:right w:val="single" w:sz="2" w:space="0" w:color="000000"/>
            </w:tcBorders>
          </w:tcPr>
          <w:p w:rsidR="00ED053D" w:rsidRPr="0074345C" w:rsidRDefault="00ED053D" w:rsidP="00ED053D">
            <w:pPr>
              <w:keepNext/>
              <w:keepLines/>
              <w:rPr>
                <w:rFonts w:eastAsia="MS Mincho"/>
                <w:szCs w:val="22"/>
                <w:lang w:eastAsia="ja-JP"/>
              </w:rPr>
            </w:pPr>
            <w:r w:rsidRPr="0074345C">
              <w:rPr>
                <w:rFonts w:eastAsia="MS Mincho"/>
                <w:szCs w:val="22"/>
                <w:lang w:eastAsia="ja-JP"/>
              </w:rPr>
              <w:t>Dos imparten programas regulares de formación y tres están en proceso de lograr este indicador.</w:t>
            </w:r>
          </w:p>
          <w:p w:rsidR="00ED053D" w:rsidRPr="0074345C" w:rsidRDefault="00ED053D" w:rsidP="00ED053D">
            <w:pPr>
              <w:keepNext/>
              <w:keepLines/>
              <w:rPr>
                <w:rFonts w:eastAsia="MS Mincho"/>
                <w:szCs w:val="22"/>
                <w:lang w:eastAsia="ja-JP"/>
              </w:rPr>
            </w:pPr>
          </w:p>
        </w:tc>
        <w:tc>
          <w:tcPr>
            <w:tcW w:w="964" w:type="dxa"/>
            <w:tcBorders>
              <w:top w:val="single" w:sz="2" w:space="0" w:color="000000"/>
              <w:left w:val="single" w:sz="2" w:space="0" w:color="000000"/>
              <w:bottom w:val="single" w:sz="4" w:space="0" w:color="auto"/>
              <w:right w:val="single" w:sz="2" w:space="0" w:color="000000"/>
            </w:tcBorders>
          </w:tcPr>
          <w:p w:rsidR="00ED053D" w:rsidRPr="0074345C" w:rsidRDefault="00ED053D" w:rsidP="00ED053D">
            <w:pPr>
              <w:keepNext/>
              <w:keepLines/>
              <w:jc w:val="center"/>
              <w:rPr>
                <w:szCs w:val="22"/>
              </w:rPr>
            </w:pPr>
            <w:r w:rsidRPr="0074345C">
              <w:rPr>
                <w:szCs w:val="22"/>
              </w:rPr>
              <w:t>***</w:t>
            </w:r>
          </w:p>
        </w:tc>
      </w:tr>
      <w:tr w:rsidR="006376E7" w:rsidRPr="0074345C" w:rsidTr="000D6BE4">
        <w:trPr>
          <w:trHeight w:val="616"/>
          <w:tblHeader/>
        </w:trPr>
        <w:tc>
          <w:tcPr>
            <w:tcW w:w="2412" w:type="dxa"/>
            <w:vMerge/>
            <w:tcBorders>
              <w:top w:val="single" w:sz="4" w:space="0" w:color="auto"/>
              <w:left w:val="single" w:sz="2" w:space="0" w:color="000000"/>
              <w:bottom w:val="single" w:sz="2" w:space="0" w:color="000000"/>
              <w:right w:val="single" w:sz="2" w:space="0" w:color="000000"/>
            </w:tcBorders>
          </w:tcPr>
          <w:p w:rsidR="00ED053D" w:rsidRPr="0074345C" w:rsidRDefault="00ED053D" w:rsidP="00ED053D">
            <w:pPr>
              <w:keepNext/>
              <w:keepLines/>
              <w:rPr>
                <w:bCs/>
                <w:szCs w:val="22"/>
              </w:rPr>
            </w:pPr>
          </w:p>
        </w:tc>
        <w:tc>
          <w:tcPr>
            <w:tcW w:w="2695" w:type="dxa"/>
            <w:tcBorders>
              <w:top w:val="single" w:sz="4" w:space="0" w:color="auto"/>
              <w:left w:val="single" w:sz="2" w:space="0" w:color="000000"/>
              <w:bottom w:val="single" w:sz="2" w:space="0" w:color="000000"/>
              <w:right w:val="single" w:sz="2" w:space="0" w:color="000000"/>
            </w:tcBorders>
          </w:tcPr>
          <w:p w:rsidR="00ED053D" w:rsidRPr="0074345C" w:rsidRDefault="00ED053D" w:rsidP="00ED053D">
            <w:pPr>
              <w:autoSpaceDE w:val="0"/>
              <w:autoSpaceDN w:val="0"/>
              <w:adjustRightInd w:val="0"/>
              <w:rPr>
                <w:szCs w:val="22"/>
              </w:rPr>
            </w:pPr>
            <w:r w:rsidRPr="0074345C">
              <w:rPr>
                <w:szCs w:val="22"/>
              </w:rPr>
              <w:t>Número de participantes formados en los programas de formación de la nueva institución de formación y que han obtenido la certificación.</w:t>
            </w:r>
          </w:p>
        </w:tc>
        <w:tc>
          <w:tcPr>
            <w:tcW w:w="3403" w:type="dxa"/>
            <w:tcBorders>
              <w:top w:val="single" w:sz="4" w:space="0" w:color="auto"/>
              <w:left w:val="single" w:sz="2" w:space="0" w:color="000000"/>
              <w:bottom w:val="single" w:sz="2" w:space="0" w:color="000000"/>
              <w:right w:val="single" w:sz="2" w:space="0" w:color="000000"/>
            </w:tcBorders>
          </w:tcPr>
          <w:p w:rsidR="00ED053D" w:rsidRPr="0074345C" w:rsidRDefault="00ED053D" w:rsidP="00ED053D">
            <w:pPr>
              <w:keepNext/>
              <w:keepLines/>
              <w:rPr>
                <w:rFonts w:eastAsia="MS Mincho"/>
                <w:szCs w:val="22"/>
                <w:lang w:eastAsia="ja-JP"/>
              </w:rPr>
            </w:pPr>
            <w:r w:rsidRPr="0074345C">
              <w:rPr>
                <w:rFonts w:eastAsia="MS Mincho"/>
                <w:szCs w:val="22"/>
                <w:lang w:eastAsia="ja-JP"/>
              </w:rPr>
              <w:t>8.488, incluidos los programas de enseñanza a distancia (aún están pendientes las cifras de Túnez;  Etiopía todavía no ha comenzado a impartir programas de formación).</w:t>
            </w:r>
          </w:p>
          <w:p w:rsidR="00ED053D" w:rsidRPr="0074345C" w:rsidRDefault="00ED053D" w:rsidP="00ED053D">
            <w:pPr>
              <w:keepNext/>
              <w:keepLines/>
              <w:rPr>
                <w:rFonts w:eastAsia="MS Mincho"/>
                <w:szCs w:val="22"/>
                <w:lang w:eastAsia="ja-JP"/>
              </w:rPr>
            </w:pPr>
          </w:p>
        </w:tc>
        <w:tc>
          <w:tcPr>
            <w:tcW w:w="964" w:type="dxa"/>
            <w:tcBorders>
              <w:top w:val="single" w:sz="4" w:space="0" w:color="auto"/>
              <w:left w:val="single" w:sz="2" w:space="0" w:color="000000"/>
              <w:bottom w:val="single" w:sz="2" w:space="0" w:color="000000"/>
              <w:right w:val="single" w:sz="2" w:space="0" w:color="000000"/>
            </w:tcBorders>
          </w:tcPr>
          <w:p w:rsidR="00ED053D" w:rsidRPr="0074345C" w:rsidRDefault="00ED053D" w:rsidP="00ED053D">
            <w:pPr>
              <w:keepNext/>
              <w:keepLines/>
              <w:jc w:val="center"/>
              <w:rPr>
                <w:szCs w:val="22"/>
              </w:rPr>
            </w:pPr>
            <w:r w:rsidRPr="0074345C">
              <w:rPr>
                <w:szCs w:val="22"/>
              </w:rPr>
              <w:t>****</w:t>
            </w:r>
          </w:p>
        </w:tc>
      </w:tr>
    </w:tbl>
    <w:p w:rsidR="00ED053D" w:rsidRPr="0074345C" w:rsidRDefault="00ED053D" w:rsidP="00ED053D">
      <w:pPr>
        <w:keepNext/>
        <w:keepLines/>
        <w:jc w:val="center"/>
        <w:rPr>
          <w:szCs w:val="22"/>
        </w:rPr>
      </w:pPr>
    </w:p>
    <w:p w:rsidR="00ED053D" w:rsidRPr="0074345C" w:rsidRDefault="00ED053D" w:rsidP="00ED053D">
      <w:pPr>
        <w:keepNext/>
        <w:keepLines/>
        <w:jc w:val="center"/>
        <w:rPr>
          <w:szCs w:val="22"/>
        </w:rPr>
      </w:pPr>
    </w:p>
    <w:p w:rsidR="00ED053D" w:rsidRPr="0074345C" w:rsidRDefault="00ED053D" w:rsidP="00ED053D">
      <w:pPr>
        <w:tabs>
          <w:tab w:val="left" w:pos="3225"/>
        </w:tabs>
        <w:ind w:left="2445" w:firstLine="3225"/>
      </w:pPr>
      <w:r w:rsidRPr="0074345C">
        <w:t>[Sigue el Anexo X]</w:t>
      </w:r>
    </w:p>
    <w:p w:rsidR="000D6BE4" w:rsidRPr="0074345C" w:rsidRDefault="000D6BE4" w:rsidP="00ED053D">
      <w:pPr>
        <w:tabs>
          <w:tab w:val="left" w:pos="3225"/>
        </w:tabs>
        <w:ind w:left="2445" w:firstLine="3225"/>
        <w:sectPr w:rsidR="000D6BE4" w:rsidRPr="0074345C" w:rsidSect="000D6BE4">
          <w:headerReference w:type="default" r:id="rId67"/>
          <w:headerReference w:type="first" r:id="rId68"/>
          <w:endnotePr>
            <w:numFmt w:val="decimal"/>
          </w:endnotePr>
          <w:pgSz w:w="11907" w:h="16840" w:code="9"/>
          <w:pgMar w:top="567" w:right="1134" w:bottom="1134" w:left="1418" w:header="510" w:footer="1021" w:gutter="0"/>
          <w:pgNumType w:start="1"/>
          <w:cols w:space="720"/>
          <w:titlePg/>
          <w:docGrid w:linePitch="299"/>
        </w:sectPr>
      </w:pPr>
    </w:p>
    <w:p w:rsidR="00ED053D" w:rsidRPr="0074345C" w:rsidRDefault="00ED053D" w:rsidP="00ED053D">
      <w:pPr>
        <w:tabs>
          <w:tab w:val="left" w:pos="3225"/>
        </w:tabs>
        <w:ind w:left="2445" w:firstLine="3225"/>
      </w:pPr>
    </w:p>
    <w:p w:rsidR="00ED053D" w:rsidRPr="0074345C" w:rsidRDefault="00ED053D" w:rsidP="00ED053D"/>
    <w:p w:rsidR="00ED053D" w:rsidRPr="0074345C" w:rsidRDefault="00ED053D" w:rsidP="00ED053D">
      <w:pPr>
        <w:rPr>
          <w:bCs/>
          <w:i/>
          <w:szCs w:val="22"/>
        </w:rPr>
      </w:pPr>
      <w:r w:rsidRPr="0074345C">
        <w:rPr>
          <w:bCs/>
          <w:szCs w:val="22"/>
        </w:rPr>
        <w:t xml:space="preserve">INFORME DE TERMINACIÓN, Y DE EVALUACIÓN INTERNA, DEL PROYECTO SOBRE PROPIEDAD INTELECTUAL Y DESARROLLO SOCIOECONÓMICO </w:t>
      </w:r>
    </w:p>
    <w:p w:rsidR="00ED053D" w:rsidRPr="0074345C" w:rsidRDefault="00ED053D" w:rsidP="00ED053D">
      <w:pPr>
        <w:jc w:val="center"/>
        <w:rPr>
          <w:bCs/>
          <w:szCs w:val="22"/>
        </w:rPr>
      </w:pPr>
    </w:p>
    <w:p w:rsidR="00ED053D" w:rsidRPr="0074345C" w:rsidRDefault="00ED053D" w:rsidP="00ED053D">
      <w:pPr>
        <w:jc w:val="center"/>
        <w:rPr>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D053D">
        <w:trPr>
          <w:trHeight w:val="432"/>
        </w:trPr>
        <w:tc>
          <w:tcPr>
            <w:tcW w:w="9288" w:type="dxa"/>
            <w:gridSpan w:val="2"/>
            <w:shd w:val="clear" w:color="auto" w:fill="auto"/>
            <w:vAlign w:val="center"/>
          </w:tcPr>
          <w:p w:rsidR="00ED053D" w:rsidRPr="0074345C" w:rsidRDefault="00ED053D" w:rsidP="00ED053D">
            <w:pPr>
              <w:rPr>
                <w:szCs w:val="22"/>
              </w:rPr>
            </w:pPr>
            <w:r w:rsidRPr="0074345C">
              <w:rPr>
                <w:szCs w:val="22"/>
              </w:rPr>
              <w:t>RESUMEN DEL PROYECTO</w:t>
            </w:r>
          </w:p>
        </w:tc>
      </w:tr>
      <w:tr w:rsidR="006376E7" w:rsidRPr="0074345C" w:rsidTr="00ED053D">
        <w:trPr>
          <w:trHeight w:val="496"/>
        </w:trPr>
        <w:tc>
          <w:tcPr>
            <w:tcW w:w="2376" w:type="dxa"/>
            <w:shd w:val="clear" w:color="auto" w:fill="auto"/>
            <w:vAlign w:val="center"/>
          </w:tcPr>
          <w:p w:rsidR="00ED053D" w:rsidRPr="0074345C" w:rsidRDefault="00ED053D" w:rsidP="00ED053D">
            <w:pPr>
              <w:rPr>
                <w:szCs w:val="22"/>
              </w:rPr>
            </w:pPr>
            <w:r w:rsidRPr="0074345C">
              <w:rPr>
                <w:szCs w:val="22"/>
              </w:rPr>
              <w:t>Código del proyecto</w:t>
            </w:r>
          </w:p>
        </w:tc>
        <w:tc>
          <w:tcPr>
            <w:tcW w:w="6912" w:type="dxa"/>
            <w:shd w:val="clear" w:color="auto" w:fill="auto"/>
            <w:vAlign w:val="center"/>
          </w:tcPr>
          <w:p w:rsidR="00ED053D" w:rsidRPr="0074345C" w:rsidRDefault="00ED053D" w:rsidP="00ED053D">
            <w:pPr>
              <w:rPr>
                <w:szCs w:val="22"/>
              </w:rPr>
            </w:pPr>
            <w:r w:rsidRPr="0074345C">
              <w:rPr>
                <w:szCs w:val="22"/>
              </w:rPr>
              <w:t>DA_35_37_01</w:t>
            </w:r>
          </w:p>
        </w:tc>
      </w:tr>
      <w:tr w:rsidR="006376E7" w:rsidRPr="0074345C" w:rsidTr="00ED053D">
        <w:trPr>
          <w:trHeight w:val="404"/>
        </w:trPr>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Título</w:t>
            </w:r>
          </w:p>
        </w:tc>
        <w:tc>
          <w:tcPr>
            <w:tcW w:w="6912"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Propiedad intelectual y desarrollo socioeconómico</w:t>
            </w:r>
          </w:p>
          <w:p w:rsidR="00ED053D" w:rsidRPr="0074345C" w:rsidRDefault="00ED053D" w:rsidP="00ED053D">
            <w:pPr>
              <w:rPr>
                <w:szCs w:val="22"/>
              </w:rPr>
            </w:pPr>
          </w:p>
        </w:tc>
      </w:tr>
      <w:tr w:rsidR="006376E7" w:rsidRPr="0074345C" w:rsidTr="00ED053D">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Recomendación de la Agenda para el Desarrollo</w:t>
            </w:r>
          </w:p>
          <w:p w:rsidR="00ED053D" w:rsidRPr="0074345C" w:rsidRDefault="00ED053D" w:rsidP="00ED053D">
            <w:pPr>
              <w:rPr>
                <w:szCs w:val="22"/>
              </w:rPr>
            </w:pPr>
          </w:p>
        </w:tc>
        <w:tc>
          <w:tcPr>
            <w:tcW w:w="6912"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Recomendación 35 (Categoría D): Solicitar a la OMPI que emprenda, a petición de los Estados miembros, nuevos estudios destinados a evaluar las consecuencias económicas, sociales y culturales de la utilización de sistemas de P.I. en dichos Estados.</w:t>
            </w:r>
          </w:p>
          <w:p w:rsidR="00ED053D" w:rsidRPr="0074345C" w:rsidRDefault="00ED053D" w:rsidP="00ED053D">
            <w:pPr>
              <w:rPr>
                <w:szCs w:val="22"/>
              </w:rPr>
            </w:pPr>
          </w:p>
          <w:p w:rsidR="00ED053D" w:rsidRPr="0074345C" w:rsidRDefault="00ED053D" w:rsidP="00ED053D">
            <w:pPr>
              <w:rPr>
                <w:szCs w:val="22"/>
              </w:rPr>
            </w:pPr>
            <w:r w:rsidRPr="0074345C">
              <w:rPr>
                <w:szCs w:val="22"/>
              </w:rPr>
              <w:t>Recomendación 37 (Categoría D)</w:t>
            </w:r>
            <w:proofErr w:type="gramStart"/>
            <w:r w:rsidRPr="0074345C">
              <w:rPr>
                <w:szCs w:val="22"/>
              </w:rPr>
              <w:t>:  La</w:t>
            </w:r>
            <w:proofErr w:type="gramEnd"/>
            <w:r w:rsidRPr="0074345C">
              <w:rPr>
                <w:szCs w:val="22"/>
              </w:rPr>
              <w:t xml:space="preserve"> OMPI podrá efectuar estudios, a petición de los interesados y conforme a lo dispuesto por los Estados miembros, sobre la protección de la propiedad intelectual, a fin de determinar las posibles relaciones y la mutua incidencia entre la P.I. y el desarrollo.</w:t>
            </w:r>
          </w:p>
          <w:p w:rsidR="00ED053D" w:rsidRPr="0074345C" w:rsidRDefault="00ED053D" w:rsidP="00ED053D">
            <w:pPr>
              <w:rPr>
                <w:i/>
                <w:szCs w:val="22"/>
              </w:rPr>
            </w:pPr>
          </w:p>
        </w:tc>
      </w:tr>
      <w:tr w:rsidR="006376E7" w:rsidRPr="0074345C" w:rsidTr="00ED053D">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Presupuesto del proyecto</w:t>
            </w:r>
          </w:p>
          <w:p w:rsidR="00ED053D" w:rsidRPr="0074345C" w:rsidRDefault="00ED053D" w:rsidP="00ED053D">
            <w:pPr>
              <w:rPr>
                <w:szCs w:val="22"/>
              </w:rPr>
            </w:pPr>
          </w:p>
        </w:tc>
        <w:tc>
          <w:tcPr>
            <w:tcW w:w="6912" w:type="dxa"/>
            <w:shd w:val="clear" w:color="auto" w:fill="auto"/>
          </w:tcPr>
          <w:p w:rsidR="00ED053D" w:rsidRPr="0074345C" w:rsidRDefault="00ED053D" w:rsidP="00ED053D">
            <w:pPr>
              <w:rPr>
                <w:szCs w:val="22"/>
              </w:rPr>
            </w:pPr>
          </w:p>
          <w:p w:rsidR="00ED053D" w:rsidRPr="0074345C" w:rsidRDefault="00ED053D" w:rsidP="00ED053D">
            <w:r w:rsidRPr="0074345C">
              <w:t>Gastos no relativos al personal: 1.341.700 francos suizos</w:t>
            </w:r>
          </w:p>
          <w:p w:rsidR="00ED053D" w:rsidRPr="0074345C" w:rsidRDefault="00ED053D" w:rsidP="00ED053D">
            <w:r w:rsidRPr="0074345C">
              <w:t>Gastos de personal: 150.000 francos suizos</w:t>
            </w:r>
          </w:p>
          <w:p w:rsidR="00ED053D" w:rsidRPr="0074345C" w:rsidRDefault="00ED053D" w:rsidP="00ED053D">
            <w:pPr>
              <w:rPr>
                <w:i/>
                <w:iCs/>
                <w:szCs w:val="22"/>
              </w:rPr>
            </w:pPr>
          </w:p>
        </w:tc>
      </w:tr>
      <w:tr w:rsidR="006376E7" w:rsidRPr="0074345C" w:rsidTr="00ED053D">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Duración del proyecto</w:t>
            </w:r>
          </w:p>
          <w:p w:rsidR="00ED053D" w:rsidRPr="0074345C" w:rsidRDefault="00ED053D" w:rsidP="00ED053D">
            <w:pPr>
              <w:rPr>
                <w:szCs w:val="22"/>
              </w:rPr>
            </w:pPr>
          </w:p>
        </w:tc>
        <w:tc>
          <w:tcPr>
            <w:tcW w:w="6912" w:type="dxa"/>
            <w:shd w:val="clear" w:color="auto" w:fill="auto"/>
          </w:tcPr>
          <w:p w:rsidR="00ED053D" w:rsidRPr="0074345C" w:rsidRDefault="00ED053D" w:rsidP="00ED053D">
            <w:pPr>
              <w:rPr>
                <w:iCs/>
                <w:szCs w:val="22"/>
              </w:rPr>
            </w:pPr>
          </w:p>
          <w:p w:rsidR="00ED053D" w:rsidRPr="0074345C" w:rsidRDefault="00ED053D" w:rsidP="00ED053D">
            <w:pPr>
              <w:rPr>
                <w:iCs/>
                <w:szCs w:val="22"/>
              </w:rPr>
            </w:pPr>
            <w:r w:rsidRPr="0074345C">
              <w:rPr>
                <w:iCs/>
                <w:szCs w:val="22"/>
              </w:rPr>
              <w:t>42 meses</w:t>
            </w:r>
          </w:p>
        </w:tc>
      </w:tr>
      <w:tr w:rsidR="006376E7" w:rsidRPr="0074345C" w:rsidTr="00ED053D">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Principales sectores de la OMPI interesados y vínculos con los programas de la Organización</w:t>
            </w:r>
          </w:p>
        </w:tc>
        <w:tc>
          <w:tcPr>
            <w:tcW w:w="6912" w:type="dxa"/>
            <w:shd w:val="clear" w:color="auto" w:fill="auto"/>
          </w:tcPr>
          <w:p w:rsidR="00ED053D" w:rsidRPr="0074345C" w:rsidRDefault="00ED053D" w:rsidP="00ED053D"/>
          <w:p w:rsidR="00ED053D" w:rsidRPr="0074345C" w:rsidRDefault="00ED053D" w:rsidP="00ED053D">
            <w:r w:rsidRPr="0074345C">
              <w:t>Principales sectores de la OMPI:  División de Economía y Estadística; Sector de Cuestiones Mundiales; Sector de Patentes; Sector de Marcas, Diseños Industriales e Indicaciones Geográficas; Sector de la Cooperación para el Desarrollo.</w:t>
            </w:r>
          </w:p>
          <w:p w:rsidR="00ED053D" w:rsidRPr="0074345C" w:rsidRDefault="00ED053D" w:rsidP="00ED053D"/>
          <w:p w:rsidR="00ED053D" w:rsidRPr="0074345C" w:rsidRDefault="00ED053D" w:rsidP="00ED053D">
            <w:r w:rsidRPr="0074345C">
              <w:t>Vínculos con los programas: 1, 2, 4, 8, 9, 10, 16 y 30 de la OMPI.</w:t>
            </w:r>
          </w:p>
          <w:p w:rsidR="00ED053D" w:rsidRPr="0074345C" w:rsidRDefault="00ED053D" w:rsidP="00ED053D">
            <w:pPr>
              <w:rPr>
                <w:szCs w:val="22"/>
              </w:rPr>
            </w:pPr>
          </w:p>
        </w:tc>
      </w:tr>
      <w:tr w:rsidR="00ED053D" w:rsidRPr="0074345C" w:rsidTr="00ED053D">
        <w:trPr>
          <w:trHeight w:val="2664"/>
        </w:trPr>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Breve descripción del proyecto</w:t>
            </w:r>
          </w:p>
        </w:tc>
        <w:tc>
          <w:tcPr>
            <w:tcW w:w="6912"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El proyecto consiste en realizar una serie de estudios sobre la relación entre la protección de la P.I. y varios aspectos de la productividad económica de los países en desarrollo.  La finalidad de los estudios es compensar el déficit de conocimientos que afrontan los políticos de esos países para idear y aplicar un régimen de propiedad intelectual (P.I.) orientado a fomentar el desarrollo.  Los estudios previstos se centrarán en tres amplios temas</w:t>
            </w:r>
            <w:proofErr w:type="gramStart"/>
            <w:r w:rsidRPr="0074345C">
              <w:rPr>
                <w:szCs w:val="22"/>
              </w:rPr>
              <w:t>:  innovación</w:t>
            </w:r>
            <w:proofErr w:type="gramEnd"/>
            <w:r w:rsidRPr="0074345C">
              <w:rPr>
                <w:szCs w:val="22"/>
              </w:rPr>
              <w:t xml:space="preserve"> nacional, difusión de conocimientos a escala nacional e internacional y características institucionales del sistema de P.I. y sus implicaciones económicas.   La ejecución de los estudios correrá a cargo de equipos de investigación integrados por personal de la Oficina del Economista Jefe de la OMPI, expertos internacionales e investigadores locales.</w:t>
            </w:r>
          </w:p>
        </w:tc>
      </w:tr>
    </w:tbl>
    <w:p w:rsidR="00ED053D" w:rsidRPr="0074345C" w:rsidRDefault="00ED053D" w:rsidP="00ED053D">
      <w:pPr>
        <w:jc w:val="center"/>
        <w:rPr>
          <w:szCs w:val="22"/>
        </w:rPr>
      </w:pPr>
    </w:p>
    <w:p w:rsidR="00ED053D" w:rsidRPr="0074345C" w:rsidRDefault="00ED053D" w:rsidP="00ED053D">
      <w:pPr>
        <w:jc w:val="center"/>
        <w:rPr>
          <w:szCs w:val="22"/>
        </w:rPr>
      </w:pPr>
    </w:p>
    <w:p w:rsidR="00ED053D" w:rsidRPr="0074345C" w:rsidRDefault="00ED053D" w:rsidP="00ED053D">
      <w:pPr>
        <w:jc w:val="center"/>
        <w:rPr>
          <w:szCs w:val="22"/>
        </w:rPr>
        <w:sectPr w:rsidR="00ED053D" w:rsidRPr="0074345C" w:rsidSect="00E00028">
          <w:headerReference w:type="first" r:id="rId69"/>
          <w:pgSz w:w="11907" w:h="16840" w:code="9"/>
          <w:pgMar w:top="510" w:right="1418" w:bottom="992" w:left="1418" w:header="510" w:footer="1021" w:gutter="0"/>
          <w:cols w:space="720"/>
          <w:titlePg/>
        </w:sectPr>
      </w:pPr>
    </w:p>
    <w:p w:rsidR="00ED053D" w:rsidRPr="0074345C" w:rsidRDefault="00ED053D" w:rsidP="00ED053D">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376E7" w:rsidRPr="0074345C" w:rsidTr="00ED053D">
        <w:trPr>
          <w:trHeight w:val="484"/>
        </w:trPr>
        <w:tc>
          <w:tcPr>
            <w:tcW w:w="2376" w:type="dxa"/>
            <w:shd w:val="clear" w:color="auto" w:fill="auto"/>
            <w:vAlign w:val="center"/>
          </w:tcPr>
          <w:p w:rsidR="00ED053D" w:rsidRPr="0074345C" w:rsidRDefault="00ED053D" w:rsidP="00ED053D">
            <w:pPr>
              <w:rPr>
                <w:szCs w:val="22"/>
              </w:rPr>
            </w:pPr>
            <w:r w:rsidRPr="0074345C">
              <w:rPr>
                <w:szCs w:val="22"/>
              </w:rPr>
              <w:t>Director del Proyecto</w:t>
            </w:r>
          </w:p>
        </w:tc>
        <w:tc>
          <w:tcPr>
            <w:tcW w:w="6912" w:type="dxa"/>
            <w:vAlign w:val="center"/>
          </w:tcPr>
          <w:p w:rsidR="00ED053D" w:rsidRPr="0074345C" w:rsidRDefault="00ED053D" w:rsidP="00ED053D">
            <w:pPr>
              <w:rPr>
                <w:iCs/>
                <w:szCs w:val="22"/>
              </w:rPr>
            </w:pPr>
          </w:p>
          <w:p w:rsidR="00ED053D" w:rsidRPr="0074345C" w:rsidRDefault="00ED053D" w:rsidP="00ED053D">
            <w:pPr>
              <w:rPr>
                <w:iCs/>
                <w:szCs w:val="22"/>
              </w:rPr>
            </w:pPr>
            <w:r w:rsidRPr="0074345C">
              <w:rPr>
                <w:iCs/>
                <w:szCs w:val="22"/>
              </w:rPr>
              <w:t>Sr. Carsten Fink</w:t>
            </w:r>
          </w:p>
          <w:p w:rsidR="00ED053D" w:rsidRPr="0074345C" w:rsidRDefault="00ED053D" w:rsidP="00ED053D">
            <w:pPr>
              <w:rPr>
                <w:iCs/>
                <w:szCs w:val="22"/>
              </w:rPr>
            </w:pPr>
          </w:p>
        </w:tc>
      </w:tr>
      <w:tr w:rsidR="006376E7" w:rsidRPr="0074345C" w:rsidTr="00ED053D">
        <w:trPr>
          <w:trHeight w:val="1165"/>
        </w:trPr>
        <w:tc>
          <w:tcPr>
            <w:tcW w:w="2376" w:type="dxa"/>
            <w:shd w:val="clear" w:color="auto" w:fill="auto"/>
          </w:tcPr>
          <w:p w:rsidR="00ED053D" w:rsidRPr="0074345C" w:rsidRDefault="00ED053D" w:rsidP="00ED053D">
            <w:pPr>
              <w:rPr>
                <w:szCs w:val="22"/>
              </w:rPr>
            </w:pPr>
          </w:p>
          <w:p w:rsidR="00ED053D" w:rsidRPr="0074345C" w:rsidDel="00196374" w:rsidRDefault="00ED053D" w:rsidP="00ED053D">
            <w:pPr>
              <w:rPr>
                <w:szCs w:val="22"/>
              </w:rPr>
            </w:pPr>
            <w:r w:rsidRPr="0074345C">
              <w:rPr>
                <w:szCs w:val="22"/>
              </w:rPr>
              <w:t>Vínculos con los resultados previstos en el presupuesto por programas</w:t>
            </w:r>
          </w:p>
        </w:tc>
        <w:tc>
          <w:tcPr>
            <w:tcW w:w="6912" w:type="dxa"/>
          </w:tcPr>
          <w:p w:rsidR="00ED053D" w:rsidRPr="0074345C" w:rsidRDefault="00ED053D" w:rsidP="00ED053D">
            <w:pPr>
              <w:autoSpaceDE w:val="0"/>
              <w:autoSpaceDN w:val="0"/>
              <w:adjustRightInd w:val="0"/>
              <w:rPr>
                <w:i/>
                <w:szCs w:val="22"/>
              </w:rPr>
            </w:pPr>
          </w:p>
          <w:p w:rsidR="00ED053D" w:rsidRPr="0074345C" w:rsidRDefault="00ED053D" w:rsidP="00ED053D">
            <w:pPr>
              <w:rPr>
                <w:iCs/>
              </w:rPr>
            </w:pPr>
            <w:r w:rsidRPr="0074345C">
              <w:rPr>
                <w:iCs/>
              </w:rPr>
              <w:t>El proyecto ha contribuido a la obtención de los siguientes resultados del programa 16:</w:t>
            </w:r>
          </w:p>
          <w:p w:rsidR="00ED053D" w:rsidRPr="0074345C" w:rsidRDefault="00ED053D" w:rsidP="00ED053D">
            <w:pPr>
              <w:autoSpaceDE w:val="0"/>
              <w:autoSpaceDN w:val="0"/>
              <w:adjustRightInd w:val="0"/>
              <w:rPr>
                <w:szCs w:val="22"/>
              </w:rPr>
            </w:pPr>
            <w:r w:rsidRPr="0074345C">
              <w:rPr>
                <w:i/>
                <w:iCs/>
                <w:szCs w:val="22"/>
              </w:rPr>
              <w:t>Resultado previsto V.1</w:t>
            </w:r>
            <w:proofErr w:type="gramStart"/>
            <w:r w:rsidRPr="0074345C">
              <w:rPr>
                <w:szCs w:val="22"/>
              </w:rPr>
              <w:t>:  Ampliación</w:t>
            </w:r>
            <w:proofErr w:type="gramEnd"/>
            <w:r w:rsidRPr="0074345C">
              <w:rPr>
                <w:szCs w:val="22"/>
              </w:rPr>
              <w:t xml:space="preserve"> y mejora del uso de la información estadística de la OMPI en materia de P.I.</w:t>
            </w:r>
          </w:p>
          <w:p w:rsidR="00ED053D" w:rsidRPr="0074345C" w:rsidRDefault="00ED053D" w:rsidP="00ED053D">
            <w:pPr>
              <w:autoSpaceDE w:val="0"/>
              <w:autoSpaceDN w:val="0"/>
              <w:adjustRightInd w:val="0"/>
              <w:rPr>
                <w:szCs w:val="22"/>
              </w:rPr>
            </w:pPr>
          </w:p>
          <w:p w:rsidR="00ED053D" w:rsidRPr="0074345C" w:rsidRDefault="00ED053D" w:rsidP="00ED053D">
            <w:pPr>
              <w:autoSpaceDE w:val="0"/>
              <w:autoSpaceDN w:val="0"/>
              <w:adjustRightInd w:val="0"/>
              <w:rPr>
                <w:szCs w:val="22"/>
              </w:rPr>
            </w:pPr>
            <w:r w:rsidRPr="0074345C">
              <w:rPr>
                <w:i/>
                <w:iCs/>
                <w:szCs w:val="22"/>
              </w:rPr>
              <w:t>Resultado previsto</w:t>
            </w:r>
            <w:r w:rsidRPr="0074345C">
              <w:rPr>
                <w:szCs w:val="22"/>
              </w:rPr>
              <w:t xml:space="preserve"> </w:t>
            </w:r>
            <w:r w:rsidRPr="0074345C">
              <w:rPr>
                <w:i/>
                <w:iCs/>
                <w:szCs w:val="22"/>
              </w:rPr>
              <w:t>V.2</w:t>
            </w:r>
            <w:proofErr w:type="gramStart"/>
            <w:r w:rsidRPr="0074345C">
              <w:rPr>
                <w:szCs w:val="22"/>
              </w:rPr>
              <w:t>:  Ampliación</w:t>
            </w:r>
            <w:proofErr w:type="gramEnd"/>
            <w:r w:rsidRPr="0074345C">
              <w:rPr>
                <w:szCs w:val="22"/>
              </w:rPr>
              <w:t xml:space="preserve"> y mejora del uso de los análisis económicos de la OMPI en la formulación de políticas.</w:t>
            </w:r>
          </w:p>
          <w:p w:rsidR="00ED053D" w:rsidRPr="0074345C" w:rsidDel="00196374" w:rsidRDefault="00ED053D" w:rsidP="00ED053D">
            <w:pPr>
              <w:autoSpaceDE w:val="0"/>
              <w:autoSpaceDN w:val="0"/>
              <w:adjustRightInd w:val="0"/>
              <w:rPr>
                <w:szCs w:val="22"/>
              </w:rPr>
            </w:pPr>
          </w:p>
        </w:tc>
      </w:tr>
      <w:tr w:rsidR="006376E7" w:rsidRPr="0074345C" w:rsidTr="00ED053D">
        <w:trPr>
          <w:trHeight w:val="1735"/>
        </w:trPr>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Descripción sucinta de la ejecución del proyecto</w:t>
            </w:r>
          </w:p>
          <w:p w:rsidR="00ED053D" w:rsidRPr="0074345C" w:rsidRDefault="00ED053D" w:rsidP="00ED053D">
            <w:pPr>
              <w:rPr>
                <w:szCs w:val="22"/>
              </w:rPr>
            </w:pPr>
          </w:p>
        </w:tc>
        <w:tc>
          <w:tcPr>
            <w:tcW w:w="6912" w:type="dxa"/>
          </w:tcPr>
          <w:p w:rsidR="00ED053D" w:rsidRPr="0074345C" w:rsidRDefault="00ED053D" w:rsidP="00ED053D">
            <w:pPr>
              <w:autoSpaceDE w:val="0"/>
              <w:autoSpaceDN w:val="0"/>
              <w:adjustRightInd w:val="0"/>
              <w:rPr>
                <w:szCs w:val="22"/>
                <w:lang w:bidi="th-TH"/>
              </w:rPr>
            </w:pPr>
          </w:p>
          <w:p w:rsidR="00ED053D" w:rsidRPr="0074345C" w:rsidRDefault="00ED053D" w:rsidP="00ED053D">
            <w:pPr>
              <w:autoSpaceDE w:val="0"/>
              <w:autoSpaceDN w:val="0"/>
              <w:adjustRightInd w:val="0"/>
              <w:rPr>
                <w:szCs w:val="22"/>
                <w:lang w:bidi="th-TH"/>
              </w:rPr>
            </w:pPr>
            <w:r w:rsidRPr="0074345C">
              <w:rPr>
                <w:bCs/>
                <w:iCs/>
                <w:szCs w:val="22"/>
                <w:lang w:bidi="th-TH"/>
              </w:rPr>
              <w:t>Se llevaron a cabo seis estudios de países en el marco de este proyecto, conforme a la orientación fundamental del documento original del proyecto.  Todos los estudios de países se concluyeron según el calendario de ejecución del proyecto revisado, es decir, los trabajos finalizaron el 31 de diciembre de 2013.  Los principales resultados del proyecto son los siguientes:</w:t>
            </w:r>
          </w:p>
          <w:p w:rsidR="00ED053D" w:rsidRPr="0074345C" w:rsidRDefault="00ED053D" w:rsidP="00ED053D">
            <w:pPr>
              <w:pStyle w:val="ONUME"/>
              <w:numPr>
                <w:ilvl w:val="0"/>
                <w:numId w:val="0"/>
              </w:numPr>
              <w:ind w:left="550"/>
              <w:rPr>
                <w:bCs/>
                <w:iCs/>
                <w:szCs w:val="22"/>
                <w:lang w:bidi="th-TH"/>
              </w:rPr>
            </w:pPr>
          </w:p>
          <w:p w:rsidR="00ED053D" w:rsidRPr="0074345C" w:rsidRDefault="00ED053D" w:rsidP="00ED053D">
            <w:pPr>
              <w:pStyle w:val="ONUME"/>
              <w:numPr>
                <w:ilvl w:val="0"/>
                <w:numId w:val="0"/>
              </w:numPr>
              <w:ind w:left="176"/>
            </w:pPr>
            <w:r w:rsidRPr="0074345C">
              <w:t>a) Brasil</w:t>
            </w:r>
            <w:proofErr w:type="gramStart"/>
            <w:r w:rsidRPr="0074345C">
              <w:t>:  un</w:t>
            </w:r>
            <w:proofErr w:type="gramEnd"/>
            <w:r w:rsidRPr="0074345C">
              <w:t xml:space="preserve"> estudio sobre el uso de la P.I. realizado sobre la base de los datos obtenidos en el cuestionario efectuado entre las empresas;  una base de datos de registro unitario sobre P.I. en la Oficina de P.I. del Brasil;  un estudio sobre el uso de la P.I. en el Brasil basado en esos datos;  y un estudio sobre el uso de la P.I. y el rendimiento de las exportaciones.</w:t>
            </w:r>
          </w:p>
          <w:p w:rsidR="00ED053D" w:rsidRPr="0074345C" w:rsidRDefault="00ED053D" w:rsidP="00ED053D">
            <w:pPr>
              <w:pStyle w:val="ONUME"/>
              <w:numPr>
                <w:ilvl w:val="0"/>
                <w:numId w:val="0"/>
              </w:numPr>
              <w:ind w:left="176"/>
            </w:pPr>
            <w:r w:rsidRPr="0074345C">
              <w:t>b) Chile</w:t>
            </w:r>
            <w:proofErr w:type="gramStart"/>
            <w:r w:rsidRPr="0074345C">
              <w:t>:  una</w:t>
            </w:r>
            <w:proofErr w:type="gramEnd"/>
            <w:r w:rsidRPr="0074345C">
              <w:t xml:space="preserve"> base de datos de registro unitario sobre P.I. en la Oficina de P.I. de Chile;  un estudio sobre el uso de la P.I. en Chile;  un estudio sobre la usurpación de marcas en Chile;  y un estudio sobre las patentes farmacéuticas extranjeras en Chile.</w:t>
            </w:r>
          </w:p>
          <w:p w:rsidR="00ED053D" w:rsidRPr="0074345C" w:rsidRDefault="00ED053D" w:rsidP="00ED053D">
            <w:pPr>
              <w:pStyle w:val="ONUME"/>
              <w:numPr>
                <w:ilvl w:val="0"/>
                <w:numId w:val="0"/>
              </w:numPr>
              <w:ind w:left="176"/>
            </w:pPr>
            <w:r w:rsidRPr="0074345C">
              <w:t>c) Uruguay:  un estudio sobre P.I. en el sector de la silvicultura y un estudio de las patentes y la estructura del mercado del sector farmacéutico, en el que se incluye una micro base de datos sobre productos y solicitudes de títulos de P.I. en el sector farmacéutico.</w:t>
            </w:r>
          </w:p>
          <w:p w:rsidR="00ED053D" w:rsidRPr="0074345C" w:rsidRDefault="00ED053D" w:rsidP="00ED053D">
            <w:pPr>
              <w:pStyle w:val="ONUME"/>
              <w:numPr>
                <w:ilvl w:val="0"/>
                <w:numId w:val="0"/>
              </w:numPr>
              <w:ind w:left="176"/>
            </w:pPr>
            <w:r w:rsidRPr="0074345C">
              <w:t>d) Egipto</w:t>
            </w:r>
            <w:proofErr w:type="gramStart"/>
            <w:r w:rsidRPr="0074345C">
              <w:t>:  un</w:t>
            </w:r>
            <w:proofErr w:type="gramEnd"/>
            <w:r w:rsidRPr="0074345C">
              <w:t xml:space="preserve"> estudio sobre el papel que desempeña la P.I. en el sector de las tecnologías de la información y las comunicaciones (TIC).</w:t>
            </w:r>
          </w:p>
          <w:p w:rsidR="00ED053D" w:rsidRPr="0074345C" w:rsidRDefault="00ED053D" w:rsidP="00ED053D">
            <w:pPr>
              <w:pStyle w:val="ONUME"/>
              <w:numPr>
                <w:ilvl w:val="0"/>
                <w:numId w:val="0"/>
              </w:numPr>
              <w:ind w:left="176"/>
            </w:pPr>
            <w:r w:rsidRPr="0074345C">
              <w:t>e) China</w:t>
            </w:r>
            <w:proofErr w:type="gramStart"/>
            <w:r w:rsidRPr="0074345C">
              <w:t>:  un</w:t>
            </w:r>
            <w:proofErr w:type="gramEnd"/>
            <w:r w:rsidRPr="0074345C">
              <w:t xml:space="preserve"> estudio sobre el comportamiento de los solicitantes chinos respecto del hecho de patentar en el extranjero y un estudio sobre las estrategias de las empresas chinas en materia de patentes.</w:t>
            </w:r>
          </w:p>
          <w:p w:rsidR="00ED053D" w:rsidRPr="0074345C" w:rsidRDefault="00ED053D" w:rsidP="00ED053D">
            <w:pPr>
              <w:pStyle w:val="ONUME"/>
              <w:numPr>
                <w:ilvl w:val="0"/>
                <w:numId w:val="0"/>
              </w:numPr>
              <w:ind w:left="176"/>
            </w:pPr>
            <w:r w:rsidRPr="0074345C">
              <w:t>f) Tailandia</w:t>
            </w:r>
            <w:proofErr w:type="gramStart"/>
            <w:r w:rsidRPr="0074345C">
              <w:t>:  una</w:t>
            </w:r>
            <w:proofErr w:type="gramEnd"/>
            <w:r w:rsidRPr="0074345C">
              <w:t xml:space="preserve"> base de datos de registro unitario de las solicitudes de modelos de utilidad en Tailandia;  un estudio sobre la utilización de los registros de los modelos de utilidad;  y un estudio sobre la relación entre la utilización de los modelos de utilidad y el rendimiento de las empresas tailandesas.</w:t>
            </w:r>
          </w:p>
          <w:p w:rsidR="00ED053D" w:rsidRPr="0074345C" w:rsidRDefault="00ED053D" w:rsidP="00ED053D">
            <w:pPr>
              <w:autoSpaceDE w:val="0"/>
              <w:autoSpaceDN w:val="0"/>
              <w:adjustRightInd w:val="0"/>
              <w:rPr>
                <w:bCs/>
                <w:iCs/>
                <w:szCs w:val="22"/>
                <w:lang w:bidi="th-TH"/>
              </w:rPr>
            </w:pPr>
          </w:p>
        </w:tc>
      </w:tr>
      <w:tr w:rsidR="006376E7" w:rsidRPr="0074345C" w:rsidTr="00ED053D">
        <w:trPr>
          <w:trHeight w:val="888"/>
        </w:trPr>
        <w:tc>
          <w:tcPr>
            <w:tcW w:w="2376" w:type="dxa"/>
            <w:shd w:val="clear" w:color="auto" w:fill="auto"/>
          </w:tcPr>
          <w:p w:rsidR="00ED053D" w:rsidRPr="0074345C" w:rsidRDefault="00ED053D" w:rsidP="00ED053D">
            <w:pPr>
              <w:rPr>
                <w:szCs w:val="22"/>
              </w:rPr>
            </w:pPr>
            <w:r w:rsidRPr="0074345C">
              <w:rPr>
                <w:szCs w:val="22"/>
              </w:rPr>
              <w:lastRenderedPageBreak/>
              <w:t>Resultados/incidencia del proyecto y principales enseñanzas extraídas</w:t>
            </w:r>
          </w:p>
        </w:tc>
        <w:tc>
          <w:tcPr>
            <w:tcW w:w="6912" w:type="dxa"/>
          </w:tcPr>
          <w:p w:rsidR="00ED053D" w:rsidRPr="0074345C" w:rsidRDefault="00ED053D" w:rsidP="00ED053D">
            <w:pPr>
              <w:rPr>
                <w:szCs w:val="22"/>
              </w:rPr>
            </w:pPr>
            <w:r w:rsidRPr="0074345C">
              <w:rPr>
                <w:szCs w:val="22"/>
              </w:rPr>
              <w:t>Las actividades organizadas en relación con los estudios nacionales revelaron un fuerte interés por la labor de estudio prevista y fomentaron también un diálogo interno sobre los efectos de la P.I. en el rendimiento económico.</w:t>
            </w:r>
          </w:p>
          <w:p w:rsidR="00ED053D" w:rsidRPr="0074345C" w:rsidRDefault="00ED053D" w:rsidP="00ED053D">
            <w:pPr>
              <w:rPr>
                <w:szCs w:val="22"/>
              </w:rPr>
            </w:pPr>
          </w:p>
          <w:p w:rsidR="00ED053D" w:rsidRPr="0074345C" w:rsidRDefault="00ED053D" w:rsidP="00ED053D">
            <w:pPr>
              <w:rPr>
                <w:i/>
                <w:szCs w:val="22"/>
              </w:rPr>
            </w:pPr>
            <w:r w:rsidRPr="0074345C">
              <w:rPr>
                <w:szCs w:val="22"/>
              </w:rPr>
              <w:t xml:space="preserve">Una importante enseñanza extraída es que una serie de organismos gubernamentales han demostrado interés en estudiar los efectos económicos de las decisiones sobre políticas en materia de P.I. </w:t>
            </w:r>
            <w:r w:rsidRPr="0074345C">
              <w:rPr>
                <w:rFonts w:ascii="MS Gothic" w:eastAsia="MS Gothic" w:hAnsi="MS Gothic" w:cs="MS Gothic"/>
                <w:szCs w:val="22"/>
              </w:rPr>
              <w:t>‑</w:t>
            </w:r>
            <w:r w:rsidRPr="0074345C">
              <w:rPr>
                <w:szCs w:val="22"/>
              </w:rPr>
              <w:t>ello incluye los ministerios de comercio, de economía y otros, las oficinas de P.I., los organismos de fomento de la innovación y los que se encargan de la competencia.  Por ello, lograr la plena implicación en relación con la labor de análisis económico hace necesaria una intensa coordinación entre los distintos organismos.</w:t>
            </w:r>
          </w:p>
        </w:tc>
      </w:tr>
      <w:tr w:rsidR="006376E7" w:rsidRPr="0074345C" w:rsidTr="00ED053D">
        <w:trPr>
          <w:trHeight w:val="1408"/>
        </w:trPr>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Riesgos y medidas paliativas</w:t>
            </w:r>
          </w:p>
        </w:tc>
        <w:tc>
          <w:tcPr>
            <w:tcW w:w="6912" w:type="dxa"/>
          </w:tcPr>
          <w:p w:rsidR="00ED053D" w:rsidRPr="0074345C" w:rsidRDefault="00ED053D" w:rsidP="00ED053D">
            <w:pPr>
              <w:pStyle w:val="Default"/>
              <w:rPr>
                <w:color w:val="auto"/>
                <w:sz w:val="22"/>
                <w:szCs w:val="22"/>
                <w:lang w:val="es-ES"/>
              </w:rPr>
            </w:pPr>
          </w:p>
          <w:p w:rsidR="00ED053D" w:rsidRPr="0074345C" w:rsidRDefault="00ED053D" w:rsidP="00ED053D">
            <w:pPr>
              <w:rPr>
                <w:iCs/>
              </w:rPr>
            </w:pPr>
            <w:r w:rsidRPr="0074345C">
              <w:rPr>
                <w:iCs/>
              </w:rPr>
              <w:t>Durante la ejecución del proyecto, surgieron dudas en diversos momentos relativas a la calidad de los datos en bruto que conformaban los cimientos de las nuevas bases de datos estadísticas.  En algunos casos, el trabajo de elaborar bases de datos que fueran útiles para el análisis económico fue más intenso de lo previsto, en particular en lo relativo a ordenar y armonizar los nombres de los solicitantes en los datos sobre P.I.  Sin embargo, todos los proyectos pudieron completarse según lo previsto en un principio.</w:t>
            </w:r>
          </w:p>
          <w:p w:rsidR="00ED053D" w:rsidRPr="0074345C" w:rsidRDefault="00ED053D" w:rsidP="00ED053D">
            <w:pPr>
              <w:pStyle w:val="Default"/>
              <w:rPr>
                <w:i/>
                <w:iCs/>
                <w:color w:val="auto"/>
                <w:sz w:val="22"/>
                <w:szCs w:val="22"/>
                <w:lang w:val="es-ES"/>
              </w:rPr>
            </w:pPr>
          </w:p>
        </w:tc>
      </w:tr>
      <w:tr w:rsidR="006376E7" w:rsidRPr="0074345C" w:rsidTr="00ED053D">
        <w:trPr>
          <w:trHeight w:val="848"/>
        </w:trPr>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 xml:space="preserve">Porcentaje de ejecución del proyecto </w:t>
            </w:r>
          </w:p>
        </w:tc>
        <w:tc>
          <w:tcPr>
            <w:tcW w:w="6912" w:type="dxa"/>
          </w:tcPr>
          <w:p w:rsidR="00ED053D" w:rsidRPr="0074345C" w:rsidRDefault="00ED053D" w:rsidP="00ED053D">
            <w:pPr>
              <w:rPr>
                <w:szCs w:val="22"/>
              </w:rPr>
            </w:pPr>
          </w:p>
          <w:p w:rsidR="00ED053D" w:rsidRPr="0074345C" w:rsidRDefault="00ED053D" w:rsidP="00ED053D">
            <w:pPr>
              <w:rPr>
                <w:szCs w:val="22"/>
              </w:rPr>
            </w:pPr>
            <w:r w:rsidRPr="0074345C">
              <w:rPr>
                <w:szCs w:val="22"/>
              </w:rPr>
              <w:t>Porcentaje de utilización del presupuesto a finales de agosto de 2014</w:t>
            </w:r>
            <w:proofErr w:type="gramStart"/>
            <w:r w:rsidRPr="0074345C">
              <w:rPr>
                <w:szCs w:val="22"/>
              </w:rPr>
              <w:t>:  89</w:t>
            </w:r>
            <w:proofErr w:type="gramEnd"/>
            <w:r w:rsidRPr="0074345C">
              <w:rPr>
                <w:szCs w:val="22"/>
              </w:rPr>
              <w:t>%.</w:t>
            </w:r>
          </w:p>
          <w:p w:rsidR="00ED053D" w:rsidRPr="0074345C" w:rsidRDefault="00ED053D" w:rsidP="00ED053D">
            <w:pPr>
              <w:rPr>
                <w:i/>
                <w:szCs w:val="22"/>
              </w:rPr>
            </w:pPr>
          </w:p>
        </w:tc>
      </w:tr>
      <w:tr w:rsidR="006376E7" w:rsidRPr="0074345C" w:rsidTr="00ED053D">
        <w:trPr>
          <w:trHeight w:val="848"/>
        </w:trPr>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Informes previos</w:t>
            </w:r>
          </w:p>
        </w:tc>
        <w:tc>
          <w:tcPr>
            <w:tcW w:w="6912" w:type="dxa"/>
          </w:tcPr>
          <w:p w:rsidR="00ED053D" w:rsidRPr="0074345C" w:rsidRDefault="00ED053D" w:rsidP="00ED053D">
            <w:pPr>
              <w:rPr>
                <w:szCs w:val="22"/>
              </w:rPr>
            </w:pPr>
          </w:p>
          <w:p w:rsidR="00ED053D" w:rsidRPr="0074345C" w:rsidRDefault="00ED053D" w:rsidP="00ED053D">
            <w:pPr>
              <w:rPr>
                <w:szCs w:val="22"/>
              </w:rPr>
            </w:pPr>
            <w:r w:rsidRPr="0074345C">
              <w:rPr>
                <w:szCs w:val="22"/>
              </w:rPr>
              <w:t>Los informes sobre la marcha del proyecto, contenidos en el documento CDIP/8/2, Anexo XVI, el documento CDIP/10/2, Anexo VII, y el documento CDIP/12/2, Anexo V, se presentaron en el CDIP en sus sesiones octava, décima y duodécima, respectivamente, celebradas en noviembre de 2011, noviembre de 2012 y noviembre de 2013.</w:t>
            </w:r>
          </w:p>
          <w:p w:rsidR="00ED053D" w:rsidRPr="0074345C" w:rsidRDefault="00ED053D" w:rsidP="00ED053D">
            <w:pPr>
              <w:rPr>
                <w:szCs w:val="22"/>
              </w:rPr>
            </w:pPr>
          </w:p>
        </w:tc>
      </w:tr>
      <w:tr w:rsidR="006376E7" w:rsidRPr="0074345C" w:rsidTr="00ED053D">
        <w:trPr>
          <w:trHeight w:val="848"/>
        </w:trPr>
        <w:tc>
          <w:tcPr>
            <w:tcW w:w="2376" w:type="dxa"/>
            <w:shd w:val="clear" w:color="auto" w:fill="auto"/>
          </w:tcPr>
          <w:p w:rsidR="00ED053D" w:rsidRPr="0074345C" w:rsidRDefault="00ED053D" w:rsidP="00ED053D">
            <w:pPr>
              <w:rPr>
                <w:szCs w:val="22"/>
              </w:rPr>
            </w:pPr>
          </w:p>
          <w:p w:rsidR="00ED053D" w:rsidRPr="0074345C" w:rsidRDefault="00ED053D" w:rsidP="00ED053D">
            <w:pPr>
              <w:rPr>
                <w:szCs w:val="22"/>
              </w:rPr>
            </w:pPr>
            <w:r w:rsidRPr="0074345C">
              <w:rPr>
                <w:szCs w:val="22"/>
              </w:rPr>
              <w:t>Seguimiento</w:t>
            </w:r>
          </w:p>
        </w:tc>
        <w:tc>
          <w:tcPr>
            <w:tcW w:w="6912" w:type="dxa"/>
          </w:tcPr>
          <w:p w:rsidR="00ED053D" w:rsidRPr="0074345C" w:rsidRDefault="00ED053D" w:rsidP="00ED053D">
            <w:pPr>
              <w:rPr>
                <w:szCs w:val="22"/>
              </w:rPr>
            </w:pPr>
          </w:p>
          <w:p w:rsidR="00ED053D" w:rsidRPr="0074345C" w:rsidRDefault="00ED053D" w:rsidP="00ED053D">
            <w:pPr>
              <w:rPr>
                <w:szCs w:val="22"/>
              </w:rPr>
            </w:pPr>
            <w:r w:rsidRPr="0074345C">
              <w:rPr>
                <w:szCs w:val="22"/>
              </w:rPr>
              <w:t>Como se recoge en el informe de evaluación del proyecto, la Secretaría preparará una propuesta para una fase II del proyecto que se base en la labor llevada a cabo en este proyecto y amplíe el estudio a otros países (véase el documento CDIP/14/3).  Asimismo, los resultados de la investigación de este proyecto que sean de interés para un público más amplio relacionado con la política pública se publicarán en un libro en 2015.</w:t>
            </w:r>
          </w:p>
          <w:p w:rsidR="00ED053D" w:rsidRPr="0074345C" w:rsidRDefault="00ED053D" w:rsidP="00ED053D">
            <w:pPr>
              <w:rPr>
                <w:szCs w:val="22"/>
              </w:rPr>
            </w:pPr>
          </w:p>
        </w:tc>
      </w:tr>
    </w:tbl>
    <w:p w:rsidR="00ED053D" w:rsidRPr="0074345C" w:rsidRDefault="00ED053D" w:rsidP="00ED053D">
      <w:pPr>
        <w:tabs>
          <w:tab w:val="left" w:pos="9060"/>
        </w:tabs>
        <w:rPr>
          <w:szCs w:val="22"/>
        </w:rPr>
      </w:pPr>
      <w:r w:rsidRPr="0074345C">
        <w:rPr>
          <w:szCs w:val="22"/>
        </w:rPr>
        <w:br w:type="page"/>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287"/>
      </w:tblGrid>
      <w:tr w:rsidR="00ED053D" w:rsidRPr="0074345C" w:rsidTr="00ED053D">
        <w:trPr>
          <w:trHeight w:val="494"/>
        </w:trPr>
        <w:tc>
          <w:tcPr>
            <w:tcW w:w="9287" w:type="dxa"/>
            <w:vAlign w:val="center"/>
          </w:tcPr>
          <w:p w:rsidR="00ED053D" w:rsidRPr="0074345C" w:rsidRDefault="00ED053D" w:rsidP="00ED053D">
            <w:pPr>
              <w:rPr>
                <w:szCs w:val="22"/>
              </w:rPr>
            </w:pPr>
            <w:r w:rsidRPr="0074345C">
              <w:rPr>
                <w:szCs w:val="22"/>
              </w:rPr>
              <w:lastRenderedPageBreak/>
              <w:br w:type="page"/>
              <w:t>EVALUACIÓN INTERNA DEL PROYECTO</w:t>
            </w:r>
          </w:p>
        </w:tc>
      </w:tr>
    </w:tbl>
    <w:p w:rsidR="00ED053D" w:rsidRPr="0074345C" w:rsidRDefault="00ED053D" w:rsidP="00ED053D">
      <w:pPr>
        <w:widowControl w:val="0"/>
        <w:autoSpaceDE w:val="0"/>
        <w:autoSpaceDN w:val="0"/>
        <w:adjustRightInd w:val="0"/>
        <w:rPr>
          <w:szCs w:val="22"/>
        </w:rPr>
      </w:pPr>
    </w:p>
    <w:p w:rsidR="00ED053D" w:rsidRPr="0074345C" w:rsidRDefault="00ED053D" w:rsidP="00ED053D">
      <w:pPr>
        <w:widowControl w:val="0"/>
        <w:autoSpaceDE w:val="0"/>
        <w:autoSpaceDN w:val="0"/>
        <w:adjustRightInd w:val="0"/>
        <w:rPr>
          <w:szCs w:val="22"/>
        </w:rPr>
      </w:pPr>
      <w:r w:rsidRPr="0074345C">
        <w:rPr>
          <w:szCs w:val="22"/>
        </w:rPr>
        <w:t>Clave de los colores</w:t>
      </w:r>
    </w:p>
    <w:p w:rsidR="00ED053D" w:rsidRPr="0074345C" w:rsidRDefault="00ED053D" w:rsidP="00ED053D">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91"/>
        <w:gridCol w:w="1628"/>
        <w:gridCol w:w="1744"/>
        <w:gridCol w:w="1838"/>
        <w:gridCol w:w="2705"/>
      </w:tblGrid>
      <w:tr w:rsidR="006376E7" w:rsidRPr="0074345C" w:rsidTr="00ED053D">
        <w:trPr>
          <w:trHeight w:val="469"/>
        </w:trPr>
        <w:tc>
          <w:tcPr>
            <w:tcW w:w="1372" w:type="dxa"/>
            <w:shd w:val="clear" w:color="auto" w:fill="auto"/>
            <w:vAlign w:val="center"/>
          </w:tcPr>
          <w:p w:rsidR="00ED053D" w:rsidRPr="0074345C" w:rsidRDefault="00ED053D" w:rsidP="00ED053D">
            <w:pPr>
              <w:widowControl w:val="0"/>
              <w:autoSpaceDE w:val="0"/>
              <w:autoSpaceDN w:val="0"/>
              <w:adjustRightInd w:val="0"/>
              <w:jc w:val="center"/>
              <w:rPr>
                <w:szCs w:val="22"/>
              </w:rPr>
            </w:pPr>
            <w:r w:rsidRPr="0074345C">
              <w:rPr>
                <w:noProof/>
                <w:szCs w:val="22"/>
              </w:rPr>
              <w:t>****</w:t>
            </w:r>
          </w:p>
        </w:tc>
        <w:tc>
          <w:tcPr>
            <w:tcW w:w="1628" w:type="dxa"/>
            <w:shd w:val="clear" w:color="auto" w:fill="auto"/>
            <w:vAlign w:val="center"/>
          </w:tcPr>
          <w:p w:rsidR="00ED053D" w:rsidRPr="0074345C" w:rsidRDefault="00ED053D" w:rsidP="00ED053D">
            <w:pPr>
              <w:widowControl w:val="0"/>
              <w:autoSpaceDE w:val="0"/>
              <w:autoSpaceDN w:val="0"/>
              <w:adjustRightInd w:val="0"/>
              <w:jc w:val="center"/>
              <w:rPr>
                <w:szCs w:val="22"/>
              </w:rPr>
            </w:pPr>
            <w:r w:rsidRPr="0074345C">
              <w:rPr>
                <w:szCs w:val="22"/>
              </w:rPr>
              <w:t>***</w:t>
            </w:r>
          </w:p>
        </w:tc>
        <w:tc>
          <w:tcPr>
            <w:tcW w:w="1744" w:type="dxa"/>
            <w:shd w:val="clear" w:color="auto" w:fill="auto"/>
            <w:vAlign w:val="center"/>
          </w:tcPr>
          <w:p w:rsidR="00ED053D" w:rsidRPr="0074345C" w:rsidRDefault="00ED053D" w:rsidP="00ED053D">
            <w:pPr>
              <w:widowControl w:val="0"/>
              <w:autoSpaceDE w:val="0"/>
              <w:autoSpaceDN w:val="0"/>
              <w:adjustRightInd w:val="0"/>
              <w:jc w:val="center"/>
              <w:rPr>
                <w:szCs w:val="22"/>
              </w:rPr>
            </w:pPr>
            <w:r w:rsidRPr="0074345C">
              <w:rPr>
                <w:szCs w:val="22"/>
              </w:rPr>
              <w:t>**</w:t>
            </w:r>
          </w:p>
        </w:tc>
        <w:tc>
          <w:tcPr>
            <w:tcW w:w="1838" w:type="dxa"/>
            <w:shd w:val="clear" w:color="auto" w:fill="auto"/>
            <w:vAlign w:val="center"/>
          </w:tcPr>
          <w:p w:rsidR="00ED053D" w:rsidRPr="0074345C" w:rsidRDefault="00ED053D" w:rsidP="00ED053D">
            <w:pPr>
              <w:widowControl w:val="0"/>
              <w:autoSpaceDE w:val="0"/>
              <w:autoSpaceDN w:val="0"/>
              <w:adjustRightInd w:val="0"/>
              <w:jc w:val="center"/>
              <w:rPr>
                <w:szCs w:val="22"/>
              </w:rPr>
            </w:pPr>
            <w:r w:rsidRPr="0074345C">
              <w:rPr>
                <w:szCs w:val="22"/>
              </w:rPr>
              <w:t>NA</w:t>
            </w:r>
          </w:p>
        </w:tc>
        <w:tc>
          <w:tcPr>
            <w:tcW w:w="2705" w:type="dxa"/>
            <w:shd w:val="clear" w:color="auto" w:fill="auto"/>
            <w:vAlign w:val="center"/>
          </w:tcPr>
          <w:p w:rsidR="00ED053D" w:rsidRPr="0074345C" w:rsidRDefault="00ED053D" w:rsidP="00ED053D">
            <w:pPr>
              <w:widowControl w:val="0"/>
              <w:autoSpaceDE w:val="0"/>
              <w:autoSpaceDN w:val="0"/>
              <w:adjustRightInd w:val="0"/>
              <w:jc w:val="center"/>
              <w:rPr>
                <w:szCs w:val="22"/>
              </w:rPr>
            </w:pPr>
            <w:r w:rsidRPr="0074345C">
              <w:rPr>
                <w:szCs w:val="22"/>
              </w:rPr>
              <w:t>SE/AD</w:t>
            </w:r>
          </w:p>
        </w:tc>
      </w:tr>
      <w:tr w:rsidR="00ED053D" w:rsidRPr="0074345C" w:rsidTr="00ED053D">
        <w:tc>
          <w:tcPr>
            <w:tcW w:w="1372" w:type="dxa"/>
            <w:shd w:val="clear" w:color="auto" w:fill="auto"/>
          </w:tcPr>
          <w:p w:rsidR="00ED053D" w:rsidRPr="0074345C" w:rsidRDefault="00ED053D" w:rsidP="00ED053D">
            <w:pPr>
              <w:widowControl w:val="0"/>
              <w:autoSpaceDE w:val="0"/>
              <w:autoSpaceDN w:val="0"/>
              <w:adjustRightInd w:val="0"/>
              <w:jc w:val="center"/>
              <w:rPr>
                <w:szCs w:val="22"/>
              </w:rPr>
            </w:pPr>
            <w:r w:rsidRPr="0074345C">
              <w:rPr>
                <w:szCs w:val="22"/>
              </w:rPr>
              <w:t>Plenamente logrado.</w:t>
            </w:r>
          </w:p>
        </w:tc>
        <w:tc>
          <w:tcPr>
            <w:tcW w:w="1628" w:type="dxa"/>
            <w:shd w:val="clear" w:color="auto" w:fill="auto"/>
          </w:tcPr>
          <w:p w:rsidR="00ED053D" w:rsidRPr="0074345C" w:rsidRDefault="00ED053D" w:rsidP="00ED053D">
            <w:pPr>
              <w:widowControl w:val="0"/>
              <w:autoSpaceDE w:val="0"/>
              <w:autoSpaceDN w:val="0"/>
              <w:adjustRightInd w:val="0"/>
              <w:jc w:val="center"/>
              <w:rPr>
                <w:szCs w:val="22"/>
              </w:rPr>
            </w:pPr>
            <w:r w:rsidRPr="0074345C">
              <w:rPr>
                <w:szCs w:val="22"/>
              </w:rPr>
              <w:t>Avance notable</w:t>
            </w:r>
          </w:p>
        </w:tc>
        <w:tc>
          <w:tcPr>
            <w:tcW w:w="1744" w:type="dxa"/>
            <w:shd w:val="clear" w:color="auto" w:fill="auto"/>
          </w:tcPr>
          <w:p w:rsidR="00ED053D" w:rsidRPr="0074345C" w:rsidRDefault="00ED053D" w:rsidP="00ED053D">
            <w:pPr>
              <w:widowControl w:val="0"/>
              <w:autoSpaceDE w:val="0"/>
              <w:autoSpaceDN w:val="0"/>
              <w:adjustRightInd w:val="0"/>
              <w:jc w:val="center"/>
              <w:rPr>
                <w:szCs w:val="22"/>
              </w:rPr>
            </w:pPr>
            <w:r w:rsidRPr="0074345C">
              <w:rPr>
                <w:szCs w:val="22"/>
              </w:rPr>
              <w:t>Avance</w:t>
            </w:r>
          </w:p>
        </w:tc>
        <w:tc>
          <w:tcPr>
            <w:tcW w:w="1838" w:type="dxa"/>
            <w:shd w:val="clear" w:color="auto" w:fill="auto"/>
          </w:tcPr>
          <w:p w:rsidR="00ED053D" w:rsidRPr="0074345C" w:rsidRDefault="00ED053D" w:rsidP="00ED053D">
            <w:pPr>
              <w:widowControl w:val="0"/>
              <w:autoSpaceDE w:val="0"/>
              <w:autoSpaceDN w:val="0"/>
              <w:adjustRightInd w:val="0"/>
              <w:jc w:val="center"/>
              <w:rPr>
                <w:szCs w:val="22"/>
              </w:rPr>
            </w:pPr>
            <w:r w:rsidRPr="0074345C">
              <w:rPr>
                <w:szCs w:val="22"/>
              </w:rPr>
              <w:t>Ningún avance</w:t>
            </w:r>
          </w:p>
        </w:tc>
        <w:tc>
          <w:tcPr>
            <w:tcW w:w="2705" w:type="dxa"/>
            <w:shd w:val="clear" w:color="auto" w:fill="auto"/>
          </w:tcPr>
          <w:p w:rsidR="00ED053D" w:rsidRPr="0074345C" w:rsidRDefault="00ED053D" w:rsidP="00ED053D">
            <w:pPr>
              <w:widowControl w:val="0"/>
              <w:autoSpaceDE w:val="0"/>
              <w:autoSpaceDN w:val="0"/>
              <w:adjustRightInd w:val="0"/>
              <w:jc w:val="center"/>
              <w:rPr>
                <w:szCs w:val="22"/>
              </w:rPr>
            </w:pPr>
            <w:r w:rsidRPr="0074345C">
              <w:rPr>
                <w:szCs w:val="22"/>
              </w:rPr>
              <w:t>Sin evaluar /actividad discontinuada</w:t>
            </w:r>
          </w:p>
        </w:tc>
      </w:tr>
    </w:tbl>
    <w:p w:rsidR="00ED053D" w:rsidRPr="0074345C" w:rsidRDefault="00ED053D" w:rsidP="00ED053D">
      <w:pPr>
        <w:widowControl w:val="0"/>
        <w:tabs>
          <w:tab w:val="left" w:pos="0"/>
          <w:tab w:val="left" w:pos="3402"/>
          <w:tab w:val="left" w:pos="4111"/>
          <w:tab w:val="left" w:pos="5387"/>
        </w:tabs>
        <w:autoSpaceDE w:val="0"/>
        <w:autoSpaceDN w:val="0"/>
        <w:adjustRightInd w:val="0"/>
        <w:rPr>
          <w:szCs w:val="22"/>
        </w:rPr>
      </w:pPr>
    </w:p>
    <w:p w:rsidR="00ED053D" w:rsidRPr="0074345C" w:rsidRDefault="00ED053D" w:rsidP="00ED053D">
      <w:pPr>
        <w:widowControl w:val="0"/>
        <w:tabs>
          <w:tab w:val="left" w:pos="0"/>
          <w:tab w:val="left" w:pos="3402"/>
          <w:tab w:val="left" w:pos="4111"/>
          <w:tab w:val="left" w:pos="5387"/>
        </w:tabs>
        <w:autoSpaceDE w:val="0"/>
        <w:autoSpaceDN w:val="0"/>
        <w:adjustRightInd w:val="0"/>
        <w:rPr>
          <w:szCs w:val="22"/>
        </w:rPr>
      </w:pPr>
    </w:p>
    <w:tbl>
      <w:tblPr>
        <w:tblW w:w="947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964"/>
      </w:tblGrid>
      <w:tr w:rsidR="006376E7" w:rsidRPr="0074345C" w:rsidTr="009F2FA4">
        <w:trPr>
          <w:trHeight w:val="616"/>
          <w:tblHeader/>
        </w:trPr>
        <w:tc>
          <w:tcPr>
            <w:tcW w:w="2410" w:type="dxa"/>
            <w:shd w:val="clear" w:color="auto" w:fill="auto"/>
            <w:vAlign w:val="center"/>
          </w:tcPr>
          <w:p w:rsidR="00ED053D" w:rsidRPr="0074345C" w:rsidRDefault="00ED053D" w:rsidP="00ED053D">
            <w:pPr>
              <w:jc w:val="center"/>
              <w:rPr>
                <w:szCs w:val="22"/>
                <w:u w:val="single"/>
              </w:rPr>
            </w:pPr>
            <w:r w:rsidRPr="0074345C">
              <w:rPr>
                <w:szCs w:val="22"/>
                <w:u w:val="single"/>
              </w:rPr>
              <w:t>Productos del proyecto</w:t>
            </w:r>
            <w:r w:rsidRPr="0074345C">
              <w:rPr>
                <w:szCs w:val="22"/>
                <w:vertAlign w:val="superscript"/>
              </w:rPr>
              <w:footnoteReference w:id="10"/>
            </w:r>
          </w:p>
          <w:p w:rsidR="00ED053D" w:rsidRPr="0074345C" w:rsidRDefault="00ED053D" w:rsidP="00ED053D">
            <w:pPr>
              <w:jc w:val="center"/>
              <w:rPr>
                <w:szCs w:val="22"/>
              </w:rPr>
            </w:pPr>
            <w:r w:rsidRPr="0074345C">
              <w:rPr>
                <w:szCs w:val="22"/>
                <w:u w:val="single"/>
              </w:rPr>
              <w:t>(Resultado previsto)</w:t>
            </w:r>
          </w:p>
        </w:tc>
        <w:tc>
          <w:tcPr>
            <w:tcW w:w="2694" w:type="dxa"/>
            <w:shd w:val="clear" w:color="auto" w:fill="auto"/>
            <w:vAlign w:val="center"/>
          </w:tcPr>
          <w:p w:rsidR="00ED053D" w:rsidRPr="0074345C" w:rsidRDefault="00ED053D" w:rsidP="00ED053D">
            <w:pPr>
              <w:jc w:val="center"/>
              <w:rPr>
                <w:szCs w:val="22"/>
              </w:rPr>
            </w:pPr>
          </w:p>
          <w:p w:rsidR="00ED053D" w:rsidRPr="0074345C" w:rsidRDefault="00ED053D" w:rsidP="00ED053D">
            <w:pPr>
              <w:jc w:val="center"/>
              <w:rPr>
                <w:szCs w:val="22"/>
              </w:rPr>
            </w:pPr>
            <w:r w:rsidRPr="0074345C">
              <w:rPr>
                <w:szCs w:val="22"/>
                <w:u w:val="single"/>
              </w:rPr>
              <w:t>Indicadores de obtención de resultados</w:t>
            </w:r>
          </w:p>
          <w:p w:rsidR="00ED053D" w:rsidRPr="0074345C" w:rsidRDefault="00ED053D" w:rsidP="00ED053D">
            <w:pPr>
              <w:jc w:val="center"/>
              <w:rPr>
                <w:szCs w:val="22"/>
              </w:rPr>
            </w:pPr>
            <w:r w:rsidRPr="0074345C">
              <w:rPr>
                <w:szCs w:val="22"/>
              </w:rPr>
              <w:t>(Indicadores de producto)</w:t>
            </w:r>
          </w:p>
          <w:p w:rsidR="00ED053D" w:rsidRPr="0074345C" w:rsidRDefault="00ED053D" w:rsidP="00ED053D">
            <w:pPr>
              <w:jc w:val="center"/>
              <w:rPr>
                <w:szCs w:val="22"/>
              </w:rPr>
            </w:pPr>
          </w:p>
        </w:tc>
        <w:tc>
          <w:tcPr>
            <w:tcW w:w="3402" w:type="dxa"/>
            <w:shd w:val="clear" w:color="auto" w:fill="auto"/>
            <w:vAlign w:val="center"/>
          </w:tcPr>
          <w:p w:rsidR="00ED053D" w:rsidRPr="0074345C" w:rsidRDefault="00ED053D" w:rsidP="00ED053D">
            <w:pPr>
              <w:jc w:val="center"/>
              <w:rPr>
                <w:rFonts w:eastAsia="MS Mincho"/>
                <w:szCs w:val="22"/>
                <w:lang w:eastAsia="ja-JP"/>
              </w:rPr>
            </w:pPr>
            <w:r w:rsidRPr="0074345C">
              <w:rPr>
                <w:rFonts w:eastAsia="MS Mincho"/>
                <w:szCs w:val="22"/>
                <w:u w:val="single"/>
                <w:lang w:eastAsia="ja-JP"/>
              </w:rPr>
              <w:t>Datos sobre el rendimiento</w:t>
            </w:r>
          </w:p>
        </w:tc>
        <w:tc>
          <w:tcPr>
            <w:tcW w:w="964" w:type="dxa"/>
            <w:shd w:val="clear" w:color="auto" w:fill="auto"/>
            <w:vAlign w:val="center"/>
          </w:tcPr>
          <w:p w:rsidR="00ED053D" w:rsidRPr="0074345C" w:rsidRDefault="00ED053D" w:rsidP="00ED053D">
            <w:pPr>
              <w:jc w:val="center"/>
              <w:rPr>
                <w:bCs/>
                <w:szCs w:val="22"/>
              </w:rPr>
            </w:pPr>
            <w:r w:rsidRPr="0074345C">
              <w:rPr>
                <w:bCs/>
                <w:szCs w:val="22"/>
                <w:u w:val="single"/>
              </w:rPr>
              <w:t>Clave de colores</w:t>
            </w:r>
          </w:p>
        </w:tc>
      </w:tr>
      <w:tr w:rsidR="006376E7" w:rsidRPr="0074345C" w:rsidTr="009F2FA4">
        <w:trPr>
          <w:trHeight w:val="509"/>
        </w:trPr>
        <w:tc>
          <w:tcPr>
            <w:tcW w:w="2410" w:type="dxa"/>
            <w:shd w:val="clear" w:color="auto" w:fill="auto"/>
          </w:tcPr>
          <w:p w:rsidR="00ED053D" w:rsidRPr="0074345C" w:rsidRDefault="00ED053D" w:rsidP="00ED053D">
            <w:pPr>
              <w:rPr>
                <w:szCs w:val="22"/>
              </w:rPr>
            </w:pPr>
            <w:r w:rsidRPr="0074345C">
              <w:rPr>
                <w:szCs w:val="22"/>
              </w:rPr>
              <w:t>Realización de seis / ocho estudios</w:t>
            </w:r>
          </w:p>
        </w:tc>
        <w:tc>
          <w:tcPr>
            <w:tcW w:w="2694" w:type="dxa"/>
            <w:shd w:val="clear" w:color="auto" w:fill="auto"/>
          </w:tcPr>
          <w:p w:rsidR="00ED053D" w:rsidRPr="0074345C" w:rsidRDefault="00ED053D" w:rsidP="00ED053D">
            <w:pPr>
              <w:rPr>
                <w:szCs w:val="22"/>
              </w:rPr>
            </w:pPr>
            <w:r w:rsidRPr="0074345C">
              <w:rPr>
                <w:szCs w:val="22"/>
              </w:rPr>
              <w:t>Realización puntual de proyectos e informes finales;  indicadores de calidad</w:t>
            </w:r>
            <w:proofErr w:type="gramStart"/>
            <w:r w:rsidRPr="0074345C">
              <w:rPr>
                <w:szCs w:val="22"/>
              </w:rPr>
              <w:t>:  la</w:t>
            </w:r>
            <w:proofErr w:type="gramEnd"/>
            <w:r w:rsidRPr="0074345C">
              <w:rPr>
                <w:szCs w:val="22"/>
              </w:rPr>
              <w:t xml:space="preserve"> información recibida tras el examen realizado por otros expertos y partes interesadas del ámbito local.</w:t>
            </w:r>
          </w:p>
          <w:p w:rsidR="00ED053D" w:rsidRPr="0074345C" w:rsidRDefault="00ED053D" w:rsidP="00ED053D">
            <w:pPr>
              <w:rPr>
                <w:szCs w:val="22"/>
              </w:rPr>
            </w:pPr>
          </w:p>
        </w:tc>
        <w:tc>
          <w:tcPr>
            <w:tcW w:w="3402" w:type="dxa"/>
            <w:shd w:val="clear" w:color="auto" w:fill="auto"/>
          </w:tcPr>
          <w:p w:rsidR="00ED053D" w:rsidRPr="0074345C" w:rsidRDefault="00ED053D" w:rsidP="00ED053D">
            <w:pPr>
              <w:rPr>
                <w:szCs w:val="22"/>
              </w:rPr>
            </w:pPr>
            <w:r w:rsidRPr="0074345C">
              <w:rPr>
                <w:szCs w:val="22"/>
              </w:rPr>
              <w:t>Envío/publicación de los estudios de países.</w:t>
            </w:r>
          </w:p>
          <w:p w:rsidR="00ED053D" w:rsidRPr="0074345C" w:rsidRDefault="00ED053D" w:rsidP="00ED053D">
            <w:pPr>
              <w:rPr>
                <w:szCs w:val="22"/>
              </w:rPr>
            </w:pPr>
          </w:p>
        </w:tc>
        <w:tc>
          <w:tcPr>
            <w:tcW w:w="964" w:type="dxa"/>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0" w:type="dxa"/>
            <w:shd w:val="clear" w:color="auto" w:fill="auto"/>
          </w:tcPr>
          <w:p w:rsidR="00ED053D" w:rsidRPr="0074345C" w:rsidRDefault="00ED053D" w:rsidP="00ED053D">
            <w:pPr>
              <w:rPr>
                <w:szCs w:val="22"/>
              </w:rPr>
            </w:pPr>
            <w:r w:rsidRPr="0074345C">
              <w:rPr>
                <w:szCs w:val="22"/>
              </w:rPr>
              <w:t>Talleres locales</w:t>
            </w:r>
          </w:p>
        </w:tc>
        <w:tc>
          <w:tcPr>
            <w:tcW w:w="2694" w:type="dxa"/>
            <w:shd w:val="clear" w:color="auto" w:fill="auto"/>
          </w:tcPr>
          <w:p w:rsidR="00ED053D" w:rsidRPr="0074345C" w:rsidRDefault="00ED053D" w:rsidP="00ED053D">
            <w:pPr>
              <w:rPr>
                <w:szCs w:val="22"/>
              </w:rPr>
            </w:pPr>
            <w:r w:rsidRPr="0074345C">
              <w:rPr>
                <w:szCs w:val="22"/>
              </w:rPr>
              <w:t>Número de participantes, grado de participación, evaluación de los talleres.</w:t>
            </w:r>
          </w:p>
          <w:p w:rsidR="00ED053D" w:rsidRPr="0074345C" w:rsidRDefault="00ED053D" w:rsidP="00ED053D">
            <w:pPr>
              <w:rPr>
                <w:szCs w:val="22"/>
              </w:rPr>
            </w:pPr>
          </w:p>
        </w:tc>
        <w:tc>
          <w:tcPr>
            <w:tcW w:w="3402" w:type="dxa"/>
            <w:shd w:val="clear" w:color="auto" w:fill="auto"/>
          </w:tcPr>
          <w:p w:rsidR="00ED053D" w:rsidRPr="0074345C" w:rsidRDefault="00ED053D" w:rsidP="00ED053D">
            <w:pPr>
              <w:rPr>
                <w:szCs w:val="22"/>
              </w:rPr>
            </w:pPr>
            <w:r w:rsidRPr="0074345C">
              <w:rPr>
                <w:szCs w:val="22"/>
              </w:rPr>
              <w:t>Se han realizado talleres en todos los países, aunque algunos se han aplazado hasta 2014.</w:t>
            </w:r>
          </w:p>
          <w:p w:rsidR="00ED053D" w:rsidRPr="0074345C" w:rsidRDefault="00ED053D" w:rsidP="00ED053D">
            <w:pPr>
              <w:rPr>
                <w:szCs w:val="22"/>
              </w:rPr>
            </w:pPr>
          </w:p>
        </w:tc>
        <w:tc>
          <w:tcPr>
            <w:tcW w:w="964" w:type="dxa"/>
            <w:shd w:val="clear" w:color="auto" w:fill="auto"/>
          </w:tcPr>
          <w:p w:rsidR="00ED053D" w:rsidRPr="0074345C" w:rsidRDefault="00ED053D" w:rsidP="00ED053D">
            <w:pPr>
              <w:rPr>
                <w:szCs w:val="22"/>
              </w:rPr>
            </w:pPr>
            <w:r w:rsidRPr="0074345C">
              <w:rPr>
                <w:szCs w:val="22"/>
              </w:rPr>
              <w:t>***</w:t>
            </w:r>
          </w:p>
        </w:tc>
      </w:tr>
      <w:tr w:rsidR="006376E7" w:rsidRPr="0074345C" w:rsidTr="009F2FA4">
        <w:trPr>
          <w:trHeight w:val="509"/>
        </w:trPr>
        <w:tc>
          <w:tcPr>
            <w:tcW w:w="2410" w:type="dxa"/>
            <w:shd w:val="clear" w:color="auto" w:fill="auto"/>
          </w:tcPr>
          <w:p w:rsidR="00ED053D" w:rsidRPr="0074345C" w:rsidRDefault="00ED053D" w:rsidP="00ED053D">
            <w:pPr>
              <w:rPr>
                <w:szCs w:val="22"/>
              </w:rPr>
            </w:pPr>
            <w:r w:rsidRPr="0074345C">
              <w:rPr>
                <w:szCs w:val="22"/>
              </w:rPr>
              <w:t>Simposio sobre investigación económica.</w:t>
            </w:r>
          </w:p>
        </w:tc>
        <w:tc>
          <w:tcPr>
            <w:tcW w:w="2694" w:type="dxa"/>
            <w:shd w:val="clear" w:color="auto" w:fill="auto"/>
          </w:tcPr>
          <w:p w:rsidR="00ED053D" w:rsidRPr="0074345C" w:rsidRDefault="00ED053D" w:rsidP="00ED053D">
            <w:pPr>
              <w:rPr>
                <w:szCs w:val="22"/>
              </w:rPr>
            </w:pPr>
            <w:r w:rsidRPr="0074345C">
              <w:rPr>
                <w:szCs w:val="22"/>
              </w:rPr>
              <w:t>Número de participantes, grado de participación, evaluación de los talleres.</w:t>
            </w:r>
          </w:p>
          <w:p w:rsidR="00ED053D" w:rsidRPr="0074345C" w:rsidRDefault="00ED053D" w:rsidP="00ED053D">
            <w:pPr>
              <w:rPr>
                <w:szCs w:val="22"/>
              </w:rPr>
            </w:pPr>
          </w:p>
        </w:tc>
        <w:tc>
          <w:tcPr>
            <w:tcW w:w="3402" w:type="dxa"/>
            <w:shd w:val="clear" w:color="auto" w:fill="auto"/>
          </w:tcPr>
          <w:p w:rsidR="00ED053D" w:rsidRPr="0074345C" w:rsidRDefault="00ED053D" w:rsidP="00ED053D">
            <w:pPr>
              <w:rPr>
                <w:szCs w:val="22"/>
              </w:rPr>
            </w:pPr>
            <w:r w:rsidRPr="0074345C">
              <w:rPr>
                <w:szCs w:val="22"/>
              </w:rPr>
              <w:t>Celebrado en diciembre de 2013.</w:t>
            </w:r>
          </w:p>
          <w:p w:rsidR="00ED053D" w:rsidRPr="0074345C" w:rsidRDefault="00ED053D" w:rsidP="00ED053D">
            <w:pPr>
              <w:rPr>
                <w:szCs w:val="22"/>
              </w:rPr>
            </w:pPr>
          </w:p>
        </w:tc>
        <w:tc>
          <w:tcPr>
            <w:tcW w:w="964" w:type="dxa"/>
            <w:shd w:val="clear" w:color="auto" w:fill="auto"/>
          </w:tcPr>
          <w:p w:rsidR="00ED053D" w:rsidRPr="0074345C" w:rsidRDefault="00ED053D" w:rsidP="00ED053D">
            <w:pPr>
              <w:rPr>
                <w:szCs w:val="22"/>
              </w:rPr>
            </w:pPr>
            <w:r w:rsidRPr="0074345C">
              <w:rPr>
                <w:szCs w:val="22"/>
              </w:rPr>
              <w:t>****</w:t>
            </w:r>
          </w:p>
        </w:tc>
      </w:tr>
    </w:tbl>
    <w:p w:rsidR="00ED053D" w:rsidRPr="0074345C" w:rsidRDefault="00ED053D" w:rsidP="00ED053D">
      <w:pPr>
        <w:tabs>
          <w:tab w:val="left" w:pos="9060"/>
        </w:tabs>
        <w:rPr>
          <w:szCs w:val="22"/>
        </w:rPr>
      </w:pPr>
    </w:p>
    <w:tbl>
      <w:tblPr>
        <w:tblW w:w="9470" w:type="dxa"/>
        <w:tblInd w:w="-34" w:type="dxa"/>
        <w:tblLayout w:type="fixed"/>
        <w:tblLook w:val="01E0" w:firstRow="1" w:lastRow="1" w:firstColumn="1" w:lastColumn="1" w:noHBand="0" w:noVBand="0"/>
      </w:tblPr>
      <w:tblGrid>
        <w:gridCol w:w="2410"/>
        <w:gridCol w:w="2694"/>
        <w:gridCol w:w="3402"/>
        <w:gridCol w:w="964"/>
      </w:tblGrid>
      <w:tr w:rsidR="006376E7" w:rsidRPr="0074345C" w:rsidTr="009F2FA4">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D053D" w:rsidRPr="0074345C" w:rsidRDefault="00ED053D" w:rsidP="00ED053D">
            <w:pPr>
              <w:keepNext/>
              <w:keepLines/>
              <w:jc w:val="center"/>
              <w:rPr>
                <w:szCs w:val="22"/>
              </w:rPr>
            </w:pPr>
            <w:r w:rsidRPr="0074345C">
              <w:rPr>
                <w:szCs w:val="22"/>
              </w:rPr>
              <w:lastRenderedPageBreak/>
              <w:br w:type="page"/>
            </w:r>
            <w:r w:rsidRPr="0074345C">
              <w:rPr>
                <w:szCs w:val="22"/>
                <w:u w:val="single"/>
              </w:rPr>
              <w:t>Objetivos del proyecto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D053D" w:rsidRPr="0074345C" w:rsidRDefault="00ED053D" w:rsidP="00ED053D">
            <w:pPr>
              <w:keepNext/>
              <w:keepLines/>
              <w:jc w:val="center"/>
              <w:rPr>
                <w:szCs w:val="22"/>
              </w:rPr>
            </w:pPr>
          </w:p>
          <w:p w:rsidR="00ED053D" w:rsidRPr="0074345C" w:rsidRDefault="00ED053D" w:rsidP="00ED053D">
            <w:pPr>
              <w:keepNext/>
              <w:keepLines/>
              <w:jc w:val="center"/>
              <w:rPr>
                <w:szCs w:val="22"/>
              </w:rPr>
            </w:pPr>
            <w:r w:rsidRPr="0074345C">
              <w:rPr>
                <w:szCs w:val="22"/>
                <w:u w:val="single"/>
              </w:rPr>
              <w:t>Indicadores de cumplimiento de los objetivos(s)</w:t>
            </w:r>
            <w:r w:rsidRPr="0074345C">
              <w:rPr>
                <w:szCs w:val="22"/>
              </w:rPr>
              <w:t xml:space="preserve"> </w:t>
            </w:r>
          </w:p>
          <w:p w:rsidR="00ED053D" w:rsidRPr="0074345C" w:rsidRDefault="00ED053D" w:rsidP="00ED053D">
            <w:pPr>
              <w:keepNext/>
              <w:keepLines/>
              <w:jc w:val="center"/>
              <w:rPr>
                <w:szCs w:val="22"/>
              </w:rPr>
            </w:pPr>
            <w:r w:rsidRPr="0074345C">
              <w:rPr>
                <w:szCs w:val="22"/>
              </w:rPr>
              <w:t>(Indicadores de resultado)</w:t>
            </w:r>
          </w:p>
          <w:p w:rsidR="00ED053D" w:rsidRPr="0074345C" w:rsidRDefault="00ED053D" w:rsidP="00ED053D">
            <w:pPr>
              <w:keepNext/>
              <w:keepLines/>
              <w:jc w:val="center"/>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D053D" w:rsidRPr="0074345C" w:rsidRDefault="00ED053D" w:rsidP="00ED053D">
            <w:pPr>
              <w:keepNext/>
              <w:keepLines/>
              <w:jc w:val="center"/>
              <w:rPr>
                <w:rFonts w:eastAsia="MS Mincho"/>
                <w:szCs w:val="22"/>
                <w:lang w:eastAsia="ja-JP"/>
              </w:rPr>
            </w:pPr>
            <w:r w:rsidRPr="0074345C">
              <w:rPr>
                <w:rFonts w:eastAsia="MS Mincho"/>
                <w:szCs w:val="22"/>
                <w:u w:val="single"/>
                <w:lang w:eastAsia="ja-JP"/>
              </w:rPr>
              <w:t>Datos sobre el rendimiento</w:t>
            </w:r>
          </w:p>
        </w:tc>
        <w:tc>
          <w:tcPr>
            <w:tcW w:w="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D053D" w:rsidRPr="0074345C" w:rsidRDefault="00ED053D" w:rsidP="00ED053D">
            <w:pPr>
              <w:keepNext/>
              <w:keepLines/>
              <w:jc w:val="center"/>
              <w:rPr>
                <w:bCs/>
                <w:szCs w:val="22"/>
              </w:rPr>
            </w:pPr>
            <w:r w:rsidRPr="0074345C">
              <w:rPr>
                <w:bCs/>
                <w:szCs w:val="22"/>
                <w:u w:val="single"/>
              </w:rPr>
              <w:t>Clave de colores</w:t>
            </w:r>
          </w:p>
        </w:tc>
      </w:tr>
      <w:tr w:rsidR="006376E7" w:rsidRPr="0074345C" w:rsidTr="009F2FA4">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spacing w:after="120"/>
              <w:rPr>
                <w:szCs w:val="22"/>
              </w:rPr>
            </w:pPr>
            <w:r w:rsidRPr="0074345C">
              <w:rPr>
                <w:szCs w:val="22"/>
              </w:rPr>
              <w:t xml:space="preserve">Comprender mejor los efectos económicos de las políticas de P.I. y adoptar decisiones fundamentadas </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spacing w:after="120"/>
              <w:rPr>
                <w:szCs w:val="22"/>
              </w:rPr>
            </w:pPr>
            <w:r w:rsidRPr="0074345C">
              <w:rPr>
                <w:szCs w:val="22"/>
              </w:rPr>
              <w:t xml:space="preserve">Alto grado de participación en los talleres; referencias a los estudios en documentos sobre políticas y artículos de prensa;  número de citas en trabajos de investigación posteriores; utilización de las bases de datos generadas en el curso del proyecto </w:t>
            </w:r>
          </w:p>
          <w:p w:rsidR="00ED053D" w:rsidRPr="0074345C" w:rsidRDefault="00ED053D" w:rsidP="00ED053D">
            <w:pPr>
              <w:spacing w:after="120"/>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keepNext/>
              <w:keepLines/>
              <w:rPr>
                <w:rFonts w:eastAsia="MS Mincho"/>
                <w:szCs w:val="22"/>
                <w:lang w:eastAsia="ja-JP"/>
              </w:rPr>
            </w:pPr>
            <w:r w:rsidRPr="0074345C">
              <w:rPr>
                <w:rFonts w:eastAsia="MS Mincho"/>
                <w:szCs w:val="22"/>
                <w:lang w:eastAsia="ja-JP"/>
              </w:rPr>
              <w:t>Es demasiado prematuro evaluar el rendimiento.</w:t>
            </w:r>
          </w:p>
        </w:tc>
        <w:tc>
          <w:tcPr>
            <w:tcW w:w="964" w:type="dxa"/>
            <w:tcBorders>
              <w:top w:val="single" w:sz="2" w:space="0" w:color="000000"/>
              <w:left w:val="single" w:sz="2" w:space="0" w:color="000000"/>
              <w:bottom w:val="single" w:sz="2" w:space="0" w:color="000000"/>
              <w:right w:val="single" w:sz="2" w:space="0" w:color="000000"/>
            </w:tcBorders>
            <w:shd w:val="clear" w:color="auto" w:fill="auto"/>
          </w:tcPr>
          <w:p w:rsidR="00ED053D" w:rsidRPr="0074345C" w:rsidRDefault="00ED053D" w:rsidP="00ED053D">
            <w:pPr>
              <w:keepNext/>
              <w:keepLines/>
              <w:jc w:val="center"/>
              <w:rPr>
                <w:szCs w:val="22"/>
              </w:rPr>
            </w:pPr>
            <w:r w:rsidRPr="0074345C">
              <w:rPr>
                <w:szCs w:val="22"/>
              </w:rPr>
              <w:t>SE/AD</w:t>
            </w:r>
          </w:p>
        </w:tc>
      </w:tr>
    </w:tbl>
    <w:p w:rsidR="00ED053D" w:rsidRPr="0074345C" w:rsidRDefault="00ED053D" w:rsidP="00ED053D">
      <w:pPr>
        <w:keepNext/>
        <w:keepLines/>
        <w:jc w:val="center"/>
        <w:rPr>
          <w:szCs w:val="22"/>
        </w:rPr>
      </w:pPr>
    </w:p>
    <w:p w:rsidR="00ED053D" w:rsidRPr="0074345C" w:rsidRDefault="00ED053D" w:rsidP="00ED053D"/>
    <w:p w:rsidR="00ED053D" w:rsidRPr="0074345C" w:rsidRDefault="00ED053D" w:rsidP="00ED053D"/>
    <w:p w:rsidR="00ED053D" w:rsidRPr="0074345C" w:rsidRDefault="00ED053D" w:rsidP="00ED053D">
      <w:pPr>
        <w:ind w:left="5103" w:firstLine="567"/>
        <w:sectPr w:rsidR="00ED053D" w:rsidRPr="0074345C" w:rsidSect="00E00028">
          <w:headerReference w:type="default" r:id="rId70"/>
          <w:headerReference w:type="first" r:id="rId71"/>
          <w:endnotePr>
            <w:numFmt w:val="decimal"/>
          </w:endnotePr>
          <w:pgSz w:w="11907" w:h="16840" w:code="9"/>
          <w:pgMar w:top="567" w:right="1134" w:bottom="1418" w:left="1418" w:header="510" w:footer="1021" w:gutter="0"/>
          <w:pgNumType w:start="2"/>
          <w:cols w:space="720"/>
          <w:titlePg/>
          <w:docGrid w:linePitch="299"/>
        </w:sectPr>
      </w:pPr>
      <w:r w:rsidRPr="0074345C">
        <w:t>[Sigue el Anexo XI]</w:t>
      </w:r>
    </w:p>
    <w:p w:rsidR="00ED053D" w:rsidRPr="0074345C" w:rsidRDefault="00ED053D" w:rsidP="00ED053D"/>
    <w:p w:rsidR="00691432" w:rsidRPr="0074345C" w:rsidRDefault="00691432" w:rsidP="00691432"/>
    <w:p w:rsidR="00691432" w:rsidRPr="0074345C" w:rsidRDefault="00691432" w:rsidP="00691432">
      <w:pPr>
        <w:rPr>
          <w:bCs/>
          <w:i/>
          <w:szCs w:val="22"/>
        </w:rPr>
      </w:pPr>
      <w:r w:rsidRPr="0074345C">
        <w:rPr>
          <w:bCs/>
          <w:szCs w:val="22"/>
        </w:rPr>
        <w:t>INFORME DE TERMINACIÓN, Y DE EVALUACIÓN INTERNA, DEL PROYECTO PARA LA CREACIÓN DE INSTRUMENTOS DE ACCESO A LA INFORMACIÓN CONTENIDA EN PATENTES - FASE II</w:t>
      </w:r>
    </w:p>
    <w:p w:rsidR="00691432" w:rsidRPr="0074345C" w:rsidRDefault="00691432" w:rsidP="00691432">
      <w:pPr>
        <w:rPr>
          <w:bCs/>
          <w:szCs w:val="22"/>
        </w:rPr>
      </w:pPr>
    </w:p>
    <w:p w:rsidR="00691432" w:rsidRPr="0074345C" w:rsidRDefault="00691432" w:rsidP="00691432">
      <w:pPr>
        <w:jc w:val="center"/>
        <w:rPr>
          <w:bCs/>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6376E7" w:rsidRPr="0074345C" w:rsidTr="00AA7A54">
        <w:trPr>
          <w:trHeight w:val="432"/>
        </w:trPr>
        <w:tc>
          <w:tcPr>
            <w:tcW w:w="9285" w:type="dxa"/>
            <w:gridSpan w:val="2"/>
            <w:tcBorders>
              <w:top w:val="single" w:sz="4" w:space="0" w:color="auto"/>
              <w:left w:val="single" w:sz="4" w:space="0" w:color="auto"/>
              <w:bottom w:val="single" w:sz="4" w:space="0" w:color="auto"/>
              <w:right w:val="single" w:sz="4" w:space="0" w:color="auto"/>
            </w:tcBorders>
            <w:vAlign w:val="center"/>
            <w:hideMark/>
          </w:tcPr>
          <w:p w:rsidR="00691432" w:rsidRPr="0074345C" w:rsidRDefault="00691432" w:rsidP="00AA7A54">
            <w:pPr>
              <w:rPr>
                <w:szCs w:val="22"/>
              </w:rPr>
            </w:pPr>
            <w:r w:rsidRPr="0074345C">
              <w:rPr>
                <w:szCs w:val="22"/>
              </w:rPr>
              <w:t>RESUMEN DEL PROYECTO</w:t>
            </w:r>
          </w:p>
        </w:tc>
      </w:tr>
      <w:tr w:rsidR="006376E7" w:rsidRPr="0074345C" w:rsidTr="00AA7A54">
        <w:trPr>
          <w:trHeight w:val="496"/>
        </w:trPr>
        <w:tc>
          <w:tcPr>
            <w:tcW w:w="2375" w:type="dxa"/>
            <w:tcBorders>
              <w:top w:val="single" w:sz="4" w:space="0" w:color="auto"/>
              <w:left w:val="single" w:sz="4" w:space="0" w:color="auto"/>
              <w:bottom w:val="single" w:sz="4" w:space="0" w:color="auto"/>
              <w:right w:val="single" w:sz="4" w:space="0" w:color="auto"/>
            </w:tcBorders>
            <w:vAlign w:val="center"/>
            <w:hideMark/>
          </w:tcPr>
          <w:p w:rsidR="00691432" w:rsidRPr="0074345C" w:rsidRDefault="00691432" w:rsidP="00AA7A54">
            <w:pPr>
              <w:rPr>
                <w:szCs w:val="22"/>
              </w:rPr>
            </w:pPr>
            <w:r w:rsidRPr="0074345C">
              <w:rPr>
                <w:szCs w:val="22"/>
              </w:rPr>
              <w:t>Código del proyecto</w:t>
            </w:r>
          </w:p>
        </w:tc>
        <w:tc>
          <w:tcPr>
            <w:tcW w:w="6910" w:type="dxa"/>
            <w:tcBorders>
              <w:top w:val="single" w:sz="4" w:space="0" w:color="auto"/>
              <w:left w:val="single" w:sz="4" w:space="0" w:color="auto"/>
              <w:bottom w:val="single" w:sz="4" w:space="0" w:color="auto"/>
              <w:right w:val="single" w:sz="4" w:space="0" w:color="auto"/>
            </w:tcBorders>
            <w:vAlign w:val="center"/>
            <w:hideMark/>
          </w:tcPr>
          <w:p w:rsidR="00691432" w:rsidRPr="0074345C" w:rsidRDefault="00691432" w:rsidP="00AA7A54">
            <w:pPr>
              <w:rPr>
                <w:szCs w:val="22"/>
              </w:rPr>
            </w:pPr>
            <w:r w:rsidRPr="0074345C">
              <w:rPr>
                <w:szCs w:val="22"/>
              </w:rPr>
              <w:t>DA_19_30_31_02</w:t>
            </w:r>
          </w:p>
        </w:tc>
      </w:tr>
      <w:tr w:rsidR="006376E7" w:rsidRPr="0074345C" w:rsidTr="00AA7A54">
        <w:trPr>
          <w:trHeight w:val="404"/>
        </w:trPr>
        <w:tc>
          <w:tcPr>
            <w:tcW w:w="2375" w:type="dxa"/>
            <w:tcBorders>
              <w:top w:val="single" w:sz="4" w:space="0" w:color="auto"/>
              <w:left w:val="single" w:sz="4" w:space="0" w:color="auto"/>
              <w:bottom w:val="single" w:sz="4" w:space="0" w:color="auto"/>
              <w:right w:val="single" w:sz="4" w:space="0" w:color="auto"/>
            </w:tcBorders>
            <w:vAlign w:val="center"/>
            <w:hideMark/>
          </w:tcPr>
          <w:p w:rsidR="00691432" w:rsidRPr="0074345C" w:rsidRDefault="00691432" w:rsidP="00AA7A54">
            <w:pPr>
              <w:rPr>
                <w:szCs w:val="22"/>
              </w:rPr>
            </w:pPr>
            <w:r w:rsidRPr="0074345C">
              <w:rPr>
                <w:szCs w:val="22"/>
              </w:rPr>
              <w:t>Título</w:t>
            </w:r>
          </w:p>
        </w:tc>
        <w:tc>
          <w:tcPr>
            <w:tcW w:w="6910"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Creación de instrumentos de acceso a la información sobre patentes – Fase II</w:t>
            </w:r>
          </w:p>
          <w:p w:rsidR="00691432" w:rsidRPr="0074345C" w:rsidRDefault="00691432" w:rsidP="00AA7A54">
            <w:pPr>
              <w:rPr>
                <w:szCs w:val="22"/>
              </w:rPr>
            </w:pPr>
          </w:p>
        </w:tc>
      </w:tr>
      <w:tr w:rsidR="006376E7" w:rsidRPr="0074345C" w:rsidTr="00AA7A54">
        <w:tc>
          <w:tcPr>
            <w:tcW w:w="2375"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Recomendación de la Agenda para el Desarrollo</w:t>
            </w:r>
          </w:p>
          <w:p w:rsidR="00691432" w:rsidRPr="0074345C" w:rsidRDefault="00691432" w:rsidP="00AA7A54">
            <w:pPr>
              <w:rPr>
                <w:szCs w:val="22"/>
              </w:rPr>
            </w:pPr>
          </w:p>
        </w:tc>
        <w:tc>
          <w:tcPr>
            <w:tcW w:w="6910"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i/>
                <w:szCs w:val="22"/>
              </w:rPr>
            </w:pPr>
          </w:p>
          <w:p w:rsidR="00691432" w:rsidRPr="0074345C" w:rsidRDefault="00691432" w:rsidP="00AA7A54">
            <w:pPr>
              <w:rPr>
                <w:szCs w:val="22"/>
              </w:rPr>
            </w:pPr>
            <w:r w:rsidRPr="0074345C">
              <w:rPr>
                <w:i/>
                <w:szCs w:val="22"/>
              </w:rPr>
              <w:t xml:space="preserve">Recomendación 19:  </w:t>
            </w:r>
            <w:r w:rsidRPr="0074345C">
              <w:rPr>
                <w:szCs w:val="22"/>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691432" w:rsidRPr="0074345C" w:rsidRDefault="00691432" w:rsidP="00AA7A54">
            <w:pPr>
              <w:tabs>
                <w:tab w:val="left" w:pos="1515"/>
              </w:tabs>
              <w:rPr>
                <w:szCs w:val="22"/>
              </w:rPr>
            </w:pPr>
            <w:r w:rsidRPr="0074345C">
              <w:rPr>
                <w:szCs w:val="22"/>
              </w:rPr>
              <w:tab/>
            </w:r>
          </w:p>
          <w:p w:rsidR="00691432" w:rsidRPr="0074345C" w:rsidRDefault="00691432" w:rsidP="00AA7A54">
            <w:pPr>
              <w:rPr>
                <w:szCs w:val="22"/>
              </w:rPr>
            </w:pPr>
            <w:r w:rsidRPr="0074345C">
              <w:rPr>
                <w:i/>
                <w:szCs w:val="22"/>
              </w:rPr>
              <w:t>Recomendación 30</w:t>
            </w:r>
            <w:proofErr w:type="gramStart"/>
            <w:r w:rsidRPr="0074345C">
              <w:rPr>
                <w:i/>
                <w:szCs w:val="22"/>
              </w:rPr>
              <w:t xml:space="preserve">: </w:t>
            </w:r>
            <w:r w:rsidRPr="0074345C">
              <w:rPr>
                <w:szCs w:val="22"/>
              </w:rPr>
              <w:t xml:space="preserve"> La</w:t>
            </w:r>
            <w:proofErr w:type="gramEnd"/>
            <w:r w:rsidRPr="0074345C">
              <w:rPr>
                <w:szCs w:val="22"/>
              </w:rPr>
              <w:t xml:space="preserve">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p w:rsidR="00691432" w:rsidRPr="0074345C" w:rsidRDefault="00691432" w:rsidP="00AA7A54">
            <w:pPr>
              <w:rPr>
                <w:szCs w:val="22"/>
              </w:rPr>
            </w:pPr>
          </w:p>
          <w:p w:rsidR="00691432" w:rsidRPr="0074345C" w:rsidRDefault="00691432" w:rsidP="00AA7A54">
            <w:pPr>
              <w:rPr>
                <w:szCs w:val="22"/>
              </w:rPr>
            </w:pPr>
            <w:r w:rsidRPr="0074345C">
              <w:rPr>
                <w:i/>
                <w:szCs w:val="22"/>
              </w:rPr>
              <w:t>Recomendación 31:</w:t>
            </w:r>
            <w:r w:rsidRPr="0074345C">
              <w:rPr>
                <w:szCs w:val="22"/>
              </w:rPr>
              <w:t xml:space="preserve">  Emprender las iniciativas adoptadas por los Estados miembros que contribuyen a la transferencia de tecnología a los países en desarrollo, tales como solicitar a la OMPI que proporcione mejor acceso a la información publicada sobre patentes.</w:t>
            </w:r>
          </w:p>
          <w:p w:rsidR="00691432" w:rsidRPr="0074345C" w:rsidRDefault="00691432" w:rsidP="00AA7A54">
            <w:pPr>
              <w:rPr>
                <w:i/>
                <w:szCs w:val="22"/>
              </w:rPr>
            </w:pPr>
          </w:p>
        </w:tc>
      </w:tr>
      <w:tr w:rsidR="006376E7" w:rsidRPr="0074345C" w:rsidTr="00AA7A54">
        <w:tc>
          <w:tcPr>
            <w:tcW w:w="2375"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Presupuesto del proyecto</w:t>
            </w:r>
          </w:p>
          <w:p w:rsidR="00691432" w:rsidRPr="0074345C" w:rsidRDefault="00691432" w:rsidP="00AA7A54">
            <w:pPr>
              <w:rPr>
                <w:szCs w:val="22"/>
              </w:rPr>
            </w:pPr>
          </w:p>
        </w:tc>
        <w:tc>
          <w:tcPr>
            <w:tcW w:w="6910"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Gastos no relativos al personal: 292.000 francos suizos.</w:t>
            </w:r>
          </w:p>
          <w:p w:rsidR="00691432" w:rsidRPr="0074345C" w:rsidRDefault="00691432" w:rsidP="00AA7A54">
            <w:pPr>
              <w:rPr>
                <w:szCs w:val="22"/>
              </w:rPr>
            </w:pPr>
            <w:r w:rsidRPr="0074345C">
              <w:rPr>
                <w:szCs w:val="22"/>
              </w:rPr>
              <w:t>Gastos de personal</w:t>
            </w:r>
            <w:proofErr w:type="gramStart"/>
            <w:r w:rsidRPr="0074345C">
              <w:rPr>
                <w:szCs w:val="22"/>
              </w:rPr>
              <w:t>:  no</w:t>
            </w:r>
            <w:proofErr w:type="gramEnd"/>
            <w:r w:rsidRPr="0074345C">
              <w:rPr>
                <w:szCs w:val="22"/>
              </w:rPr>
              <w:t xml:space="preserve"> se previó gasto alguno para personal.</w:t>
            </w:r>
          </w:p>
          <w:p w:rsidR="00691432" w:rsidRPr="0074345C" w:rsidRDefault="00691432" w:rsidP="00AA7A54">
            <w:pPr>
              <w:rPr>
                <w:i/>
                <w:iCs/>
                <w:szCs w:val="22"/>
              </w:rPr>
            </w:pPr>
          </w:p>
        </w:tc>
      </w:tr>
      <w:tr w:rsidR="006376E7" w:rsidRPr="0074345C" w:rsidTr="00AA7A54">
        <w:tc>
          <w:tcPr>
            <w:tcW w:w="2375"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Duración del proyecto</w:t>
            </w:r>
          </w:p>
          <w:p w:rsidR="00691432" w:rsidRPr="0074345C" w:rsidRDefault="00691432" w:rsidP="00AA7A54">
            <w:pPr>
              <w:rPr>
                <w:szCs w:val="22"/>
              </w:rPr>
            </w:pPr>
          </w:p>
        </w:tc>
        <w:tc>
          <w:tcPr>
            <w:tcW w:w="6910" w:type="dxa"/>
            <w:tcBorders>
              <w:top w:val="single" w:sz="4" w:space="0" w:color="auto"/>
              <w:left w:val="single" w:sz="4" w:space="0" w:color="auto"/>
              <w:bottom w:val="single" w:sz="4" w:space="0" w:color="auto"/>
              <w:right w:val="single" w:sz="4" w:space="0" w:color="auto"/>
            </w:tcBorders>
            <w:hideMark/>
          </w:tcPr>
          <w:p w:rsidR="00691432" w:rsidRPr="0074345C" w:rsidRDefault="00691432" w:rsidP="00AA7A54">
            <w:pPr>
              <w:rPr>
                <w:szCs w:val="22"/>
              </w:rPr>
            </w:pPr>
          </w:p>
          <w:p w:rsidR="00691432" w:rsidRPr="0074345C" w:rsidRDefault="00691432" w:rsidP="00AA7A54">
            <w:pPr>
              <w:rPr>
                <w:iCs/>
                <w:szCs w:val="22"/>
              </w:rPr>
            </w:pPr>
            <w:r w:rsidRPr="0074345C">
              <w:rPr>
                <w:iCs/>
                <w:szCs w:val="22"/>
              </w:rPr>
              <w:t>14 meses</w:t>
            </w:r>
          </w:p>
        </w:tc>
      </w:tr>
      <w:tr w:rsidR="006376E7" w:rsidRPr="0074345C" w:rsidTr="00AA7A54">
        <w:tc>
          <w:tcPr>
            <w:tcW w:w="2375" w:type="dxa"/>
            <w:tcBorders>
              <w:top w:val="single" w:sz="4" w:space="0" w:color="auto"/>
              <w:left w:val="single" w:sz="4" w:space="0" w:color="auto"/>
              <w:bottom w:val="single" w:sz="4" w:space="0" w:color="auto"/>
              <w:right w:val="single" w:sz="4" w:space="0" w:color="auto"/>
            </w:tcBorders>
            <w:hideMark/>
          </w:tcPr>
          <w:p w:rsidR="00691432" w:rsidRPr="0074345C" w:rsidRDefault="00691432" w:rsidP="00AA7A54">
            <w:pPr>
              <w:rPr>
                <w:szCs w:val="22"/>
              </w:rPr>
            </w:pPr>
          </w:p>
          <w:p w:rsidR="00691432" w:rsidRPr="0074345C" w:rsidRDefault="00691432" w:rsidP="00AA7A54">
            <w:pPr>
              <w:rPr>
                <w:szCs w:val="22"/>
              </w:rPr>
            </w:pPr>
            <w:r w:rsidRPr="0074345C">
              <w:rPr>
                <w:szCs w:val="22"/>
              </w:rPr>
              <w:t>Principales sectores de la OMPI interesados y vínculos con los programas de la Organización</w:t>
            </w:r>
          </w:p>
        </w:tc>
        <w:tc>
          <w:tcPr>
            <w:tcW w:w="6910"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Sector de la Infraestructura Mundial en cooperación con el Departamento de Conocimientos Tradicionales y Desafíos Mundiales, la División de Innovación, la División de Cuestiones Globales de P.I y la División de Economía y Estadística.</w:t>
            </w:r>
          </w:p>
          <w:p w:rsidR="00691432" w:rsidRPr="0074345C" w:rsidRDefault="00691432" w:rsidP="00AA7A54">
            <w:pPr>
              <w:rPr>
                <w:szCs w:val="22"/>
              </w:rPr>
            </w:pPr>
          </w:p>
          <w:p w:rsidR="00691432" w:rsidRPr="0074345C" w:rsidRDefault="00691432" w:rsidP="00AA7A54">
            <w:pPr>
              <w:rPr>
                <w:szCs w:val="22"/>
              </w:rPr>
            </w:pPr>
            <w:r w:rsidRPr="0074345C">
              <w:rPr>
                <w:szCs w:val="22"/>
              </w:rPr>
              <w:t>Vínculos con los programas 1, 5, 9, 16 y 18 de la OMPI.</w:t>
            </w:r>
          </w:p>
        </w:tc>
      </w:tr>
      <w:tr w:rsidR="00691432" w:rsidRPr="0074345C" w:rsidTr="00AA7A54">
        <w:trPr>
          <w:trHeight w:val="2664"/>
        </w:trPr>
        <w:tc>
          <w:tcPr>
            <w:tcW w:w="2375"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Breve descripción del proyecto</w:t>
            </w:r>
          </w:p>
        </w:tc>
        <w:tc>
          <w:tcPr>
            <w:tcW w:w="6910"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 xml:space="preserve">En la fase II del proyecto relativo a los informes de análisis de la actividad de patentamiento (informes PLR) se completará la labor efectuada en el marco de la fase I, esto es, perfeccionar los instrumentos normalizados creados en la fase I, fomentar y facilitar la colaboración entre las oficinas de P.I. que se ocupan del análisis de patentes y supervisar la utilidad y los resultados de los informes.  </w:t>
            </w:r>
          </w:p>
          <w:p w:rsidR="00691432" w:rsidRPr="0074345C" w:rsidRDefault="00691432" w:rsidP="00AA7A54">
            <w:pPr>
              <w:rPr>
                <w:szCs w:val="22"/>
              </w:rPr>
            </w:pPr>
          </w:p>
          <w:p w:rsidR="00691432" w:rsidRPr="0074345C" w:rsidRDefault="00691432" w:rsidP="00AA7A54">
            <w:pPr>
              <w:rPr>
                <w:szCs w:val="22"/>
              </w:rPr>
            </w:pPr>
            <w:r w:rsidRPr="0074345C">
              <w:rPr>
                <w:szCs w:val="22"/>
              </w:rPr>
              <w:t xml:space="preserve">El objetivo del proyecto en lo que respecta a la potenciación del desarrollo “Creación de instrumentos de acceso a la información sobre patentes” es fomentar la innovación y el crecimiento económico en los países en desarrollo y PMA facilitando la celebración de debates de política y la toma de decisiones bien documentados sobre I+D e inversión y transferencia de tecnología mediante la presentación de informes PLR en las áreas pertinentes. </w:t>
            </w:r>
          </w:p>
          <w:p w:rsidR="00691432" w:rsidRPr="0074345C" w:rsidRDefault="00691432" w:rsidP="00AA7A54">
            <w:pPr>
              <w:rPr>
                <w:szCs w:val="22"/>
              </w:rPr>
            </w:pPr>
          </w:p>
          <w:p w:rsidR="00691432" w:rsidRPr="0074345C" w:rsidRDefault="00691432" w:rsidP="00AA7A54">
            <w:pPr>
              <w:rPr>
                <w:szCs w:val="22"/>
              </w:rPr>
            </w:pPr>
            <w:r w:rsidRPr="0074345C">
              <w:rPr>
                <w:szCs w:val="22"/>
              </w:rPr>
              <w:t>El resultado previsto del proyecto es obtener un mejor acceso a las tecnologías divulgadas en las publicaciones de patentes y un mayor conocimiento de las tendencias en el ámbito de las patentes y los modelos de innovación en áreas específicas de la tecnología en que se prepararán informes PLR, así como el fortalecimiento de capacidades en las prácticas más extendidas y las metodologías de búsqueda de patentes en tales áreas.</w:t>
            </w:r>
          </w:p>
          <w:p w:rsidR="00691432" w:rsidRPr="0074345C" w:rsidRDefault="00691432" w:rsidP="00AA7A54">
            <w:pPr>
              <w:rPr>
                <w:szCs w:val="22"/>
              </w:rPr>
            </w:pPr>
          </w:p>
          <w:p w:rsidR="00691432" w:rsidRPr="0074345C" w:rsidRDefault="00691432" w:rsidP="00AA7A54">
            <w:pPr>
              <w:keepNext/>
              <w:keepLines/>
              <w:rPr>
                <w:szCs w:val="22"/>
              </w:rPr>
            </w:pPr>
            <w:r w:rsidRPr="0074345C">
              <w:rPr>
                <w:szCs w:val="22"/>
              </w:rPr>
              <w:t>En la fase II se contribuirá a dicho resultado y objetivo mediante, por una parte, la presentación de nuevos informes PLR en los ámbitos señalados en la fase I, esto es, salud pública, alimentación y agricultura, energía y cambio climático y discapacidades, y, por otra, fomentando la difusión de información y el fortalecimiento de capacidades, en particular mediante la organización de una conferencia regional sobre análisis de patentes, con objeto de redactar directrices de elaboración de informes PLR y difusión e intercambio de las prácticas más extendidas entre las oficinas de P.I. y las instituciones que trabajan en ese ámbito.</w:t>
            </w:r>
          </w:p>
          <w:p w:rsidR="00691432" w:rsidRPr="0074345C" w:rsidRDefault="00691432" w:rsidP="00AA7A54">
            <w:pPr>
              <w:rPr>
                <w:szCs w:val="22"/>
              </w:rPr>
            </w:pPr>
          </w:p>
        </w:tc>
      </w:tr>
    </w:tbl>
    <w:p w:rsidR="00691432" w:rsidRPr="0074345C" w:rsidRDefault="00691432" w:rsidP="00691432">
      <w:pPr>
        <w:jc w:val="center"/>
        <w:rPr>
          <w:szCs w:val="22"/>
        </w:rPr>
      </w:pPr>
    </w:p>
    <w:p w:rsidR="00691432" w:rsidRPr="0074345C" w:rsidRDefault="00691432" w:rsidP="00691432">
      <w:pPr>
        <w:rPr>
          <w:szCs w:val="22"/>
        </w:rPr>
      </w:pPr>
      <w:r w:rsidRPr="0074345C">
        <w:rPr>
          <w:szCs w:val="22"/>
        </w:rPr>
        <w:br w:type="page"/>
      </w:r>
    </w:p>
    <w:p w:rsidR="00691432" w:rsidRPr="0074345C" w:rsidRDefault="00691432" w:rsidP="00691432">
      <w:pPr>
        <w:rPr>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2"/>
      </w:tblGrid>
      <w:tr w:rsidR="006376E7" w:rsidRPr="0074345C" w:rsidTr="00AA7A54">
        <w:trPr>
          <w:trHeight w:val="484"/>
        </w:trPr>
        <w:tc>
          <w:tcPr>
            <w:tcW w:w="2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432" w:rsidRPr="0074345C" w:rsidRDefault="00691432" w:rsidP="00AA7A54">
            <w:pPr>
              <w:rPr>
                <w:szCs w:val="22"/>
              </w:rPr>
            </w:pPr>
            <w:r w:rsidRPr="0074345C">
              <w:rPr>
                <w:szCs w:val="22"/>
              </w:rPr>
              <w:t>Director del Proyecto</w:t>
            </w:r>
          </w:p>
        </w:tc>
        <w:tc>
          <w:tcPr>
            <w:tcW w:w="6912" w:type="dxa"/>
            <w:tcBorders>
              <w:top w:val="single" w:sz="4" w:space="0" w:color="auto"/>
              <w:left w:val="single" w:sz="4" w:space="0" w:color="auto"/>
              <w:bottom w:val="single" w:sz="4" w:space="0" w:color="auto"/>
              <w:right w:val="single" w:sz="4" w:space="0" w:color="auto"/>
            </w:tcBorders>
            <w:vAlign w:val="center"/>
          </w:tcPr>
          <w:p w:rsidR="00691432" w:rsidRPr="0074345C" w:rsidRDefault="00691432" w:rsidP="00AA7A54">
            <w:pPr>
              <w:rPr>
                <w:iCs/>
                <w:szCs w:val="22"/>
              </w:rPr>
            </w:pPr>
          </w:p>
          <w:p w:rsidR="00691432" w:rsidRPr="0074345C" w:rsidRDefault="00691432" w:rsidP="00AA7A54">
            <w:pPr>
              <w:rPr>
                <w:iCs/>
                <w:szCs w:val="22"/>
              </w:rPr>
            </w:pPr>
            <w:r w:rsidRPr="0074345C">
              <w:rPr>
                <w:iCs/>
                <w:szCs w:val="22"/>
              </w:rPr>
              <w:t>Sr. Alejandro Roca Campaña</w:t>
            </w:r>
          </w:p>
          <w:p w:rsidR="00691432" w:rsidRPr="0074345C" w:rsidRDefault="00691432" w:rsidP="00AA7A54">
            <w:pPr>
              <w:rPr>
                <w:iCs/>
                <w:szCs w:val="22"/>
              </w:rPr>
            </w:pPr>
          </w:p>
        </w:tc>
      </w:tr>
      <w:tr w:rsidR="006376E7" w:rsidRPr="0074345C" w:rsidTr="00AA7A54">
        <w:trPr>
          <w:trHeight w:val="1165"/>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691432" w:rsidRPr="0074345C" w:rsidRDefault="00691432" w:rsidP="00AA7A54">
            <w:pPr>
              <w:rPr>
                <w:szCs w:val="22"/>
              </w:rPr>
            </w:pPr>
          </w:p>
          <w:p w:rsidR="00691432" w:rsidRPr="0074345C" w:rsidRDefault="00691432" w:rsidP="00AA7A54">
            <w:pPr>
              <w:rPr>
                <w:szCs w:val="22"/>
              </w:rPr>
            </w:pPr>
            <w:r w:rsidRPr="0074345C">
              <w:rPr>
                <w:szCs w:val="22"/>
              </w:rPr>
              <w:t>Vínculos con los resultados previstos en el presupuesto por programas 2012/13</w:t>
            </w:r>
          </w:p>
        </w:tc>
        <w:tc>
          <w:tcPr>
            <w:tcW w:w="6912"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i/>
                <w:szCs w:val="22"/>
              </w:rPr>
            </w:pPr>
          </w:p>
          <w:p w:rsidR="00691432" w:rsidRPr="0074345C" w:rsidRDefault="00691432" w:rsidP="00AA7A54">
            <w:pPr>
              <w:rPr>
                <w:i/>
                <w:szCs w:val="22"/>
              </w:rPr>
            </w:pPr>
            <w:r w:rsidRPr="0074345C">
              <w:rPr>
                <w:i/>
                <w:szCs w:val="22"/>
              </w:rPr>
              <w:t>Resultado previsto II.2</w:t>
            </w:r>
            <w:proofErr w:type="gramStart"/>
            <w:r w:rsidRPr="0074345C">
              <w:rPr>
                <w:i/>
                <w:szCs w:val="22"/>
              </w:rPr>
              <w:t xml:space="preserve">:  </w:t>
            </w:r>
            <w:r w:rsidRPr="0074345C">
              <w:rPr>
                <w:szCs w:val="22"/>
              </w:rPr>
              <w:t>Mejora</w:t>
            </w:r>
            <w:proofErr w:type="gramEnd"/>
            <w:r w:rsidRPr="0074345C">
              <w:rPr>
                <w:szCs w:val="22"/>
              </w:rPr>
              <w:t xml:space="preserve"> de las capacidades en el ámbito de los recursos humanos para hacer frente al amplio espectro de exigencias que supone la utilización eficaz de la P.I. en aras del desarrollo en los países en desarrollo, PMA y países con economías en transición. </w:t>
            </w:r>
          </w:p>
          <w:p w:rsidR="00691432" w:rsidRPr="0074345C" w:rsidRDefault="00691432" w:rsidP="00AA7A54">
            <w:pPr>
              <w:rPr>
                <w:szCs w:val="22"/>
              </w:rPr>
            </w:pPr>
          </w:p>
          <w:p w:rsidR="00691432" w:rsidRPr="0074345C" w:rsidRDefault="00691432" w:rsidP="00AA7A54">
            <w:pPr>
              <w:rPr>
                <w:szCs w:val="22"/>
              </w:rPr>
            </w:pPr>
            <w:r w:rsidRPr="0074345C">
              <w:rPr>
                <w:i/>
                <w:szCs w:val="22"/>
              </w:rPr>
              <w:t>Resultado previsto IV. 2</w:t>
            </w:r>
            <w:proofErr w:type="gramStart"/>
            <w:r w:rsidRPr="0074345C">
              <w:rPr>
                <w:i/>
                <w:szCs w:val="22"/>
              </w:rPr>
              <w:t>:</w:t>
            </w:r>
            <w:r w:rsidRPr="0074345C">
              <w:rPr>
                <w:szCs w:val="22"/>
              </w:rPr>
              <w:t xml:space="preserve">  Mejora</w:t>
            </w:r>
            <w:proofErr w:type="gramEnd"/>
            <w:r w:rsidRPr="0074345C">
              <w:rPr>
                <w:szCs w:val="22"/>
              </w:rPr>
              <w:t xml:space="preserve">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 </w:t>
            </w:r>
          </w:p>
          <w:p w:rsidR="00691432" w:rsidRPr="0074345C" w:rsidRDefault="00691432" w:rsidP="00AA7A54">
            <w:pPr>
              <w:rPr>
                <w:szCs w:val="22"/>
              </w:rPr>
            </w:pPr>
          </w:p>
          <w:p w:rsidR="00691432" w:rsidRPr="0074345C" w:rsidRDefault="00691432" w:rsidP="00AA7A54">
            <w:pPr>
              <w:rPr>
                <w:i/>
                <w:szCs w:val="22"/>
              </w:rPr>
            </w:pPr>
            <w:r w:rsidRPr="0074345C">
              <w:rPr>
                <w:i/>
                <w:szCs w:val="22"/>
              </w:rPr>
              <w:t xml:space="preserve">Resultado previsto VII.3:  </w:t>
            </w:r>
            <w:r w:rsidRPr="0074345C">
              <w:rPr>
                <w:szCs w:val="22"/>
              </w:rPr>
              <w:t xml:space="preserve"> Las herramientas de P.I. se utilizan para la transferencia de tecnología por parte de países desarrollados a países en desarrollo, especialmente los países menos adelantados, para responder a los desafíos mundiales. </w:t>
            </w:r>
            <w:r w:rsidRPr="0074345C">
              <w:rPr>
                <w:i/>
                <w:szCs w:val="22"/>
              </w:rPr>
              <w:t>Programa 18</w:t>
            </w:r>
            <w:proofErr w:type="gramStart"/>
            <w:r w:rsidRPr="0074345C">
              <w:rPr>
                <w:i/>
                <w:szCs w:val="22"/>
              </w:rPr>
              <w:t>:  c</w:t>
            </w:r>
            <w:r w:rsidRPr="0074345C">
              <w:rPr>
                <w:szCs w:val="22"/>
              </w:rPr>
              <w:t>rear</w:t>
            </w:r>
            <w:proofErr w:type="gramEnd"/>
            <w:r w:rsidRPr="0074345C">
              <w:rPr>
                <w:szCs w:val="22"/>
              </w:rPr>
              <w:t xml:space="preserve"> para los responsables de la formulación de políticas recursos de información precisos y prácticos en los que los análisis de políticas se complementen con un uso más adecuado de la información sobre patentes, así como instrumentos prácticos para estudiar la innovación colectiva. </w:t>
            </w:r>
          </w:p>
          <w:p w:rsidR="00691432" w:rsidRPr="0074345C" w:rsidRDefault="00691432" w:rsidP="00AA7A54">
            <w:pPr>
              <w:autoSpaceDE w:val="0"/>
              <w:autoSpaceDN w:val="0"/>
              <w:adjustRightInd w:val="0"/>
              <w:rPr>
                <w:i/>
                <w:szCs w:val="22"/>
              </w:rPr>
            </w:pPr>
          </w:p>
        </w:tc>
      </w:tr>
      <w:tr w:rsidR="006376E7" w:rsidRPr="0074345C" w:rsidTr="00AA7A54">
        <w:trPr>
          <w:trHeight w:val="1735"/>
        </w:trPr>
        <w:tc>
          <w:tcPr>
            <w:tcW w:w="2375" w:type="dxa"/>
            <w:tcBorders>
              <w:top w:val="single" w:sz="4" w:space="0" w:color="auto"/>
              <w:left w:val="single" w:sz="4" w:space="0" w:color="auto"/>
              <w:bottom w:val="single" w:sz="4" w:space="0" w:color="auto"/>
              <w:right w:val="single" w:sz="4" w:space="0" w:color="auto"/>
            </w:tcBorders>
            <w:shd w:val="clear" w:color="auto" w:fill="auto"/>
          </w:tcPr>
          <w:p w:rsidR="00691432" w:rsidRPr="0074345C" w:rsidRDefault="00691432" w:rsidP="00AA7A54">
            <w:pPr>
              <w:rPr>
                <w:szCs w:val="22"/>
              </w:rPr>
            </w:pPr>
          </w:p>
          <w:p w:rsidR="00691432" w:rsidRPr="0074345C" w:rsidRDefault="00691432" w:rsidP="00AA7A54">
            <w:pPr>
              <w:rPr>
                <w:szCs w:val="22"/>
              </w:rPr>
            </w:pPr>
            <w:r w:rsidRPr="0074345C">
              <w:rPr>
                <w:szCs w:val="22"/>
              </w:rPr>
              <w:t>Descripción sucinta de la ejecución del proyecto</w:t>
            </w:r>
          </w:p>
          <w:p w:rsidR="00691432" w:rsidRPr="0074345C" w:rsidRDefault="00691432" w:rsidP="00AA7A54">
            <w:pPr>
              <w:rPr>
                <w:szCs w:val="22"/>
              </w:rPr>
            </w:pPr>
          </w:p>
        </w:tc>
        <w:tc>
          <w:tcPr>
            <w:tcW w:w="6912"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keepNext/>
              <w:keepLines/>
              <w:tabs>
                <w:tab w:val="left" w:pos="709"/>
              </w:tabs>
              <w:rPr>
                <w:iCs/>
                <w:szCs w:val="22"/>
              </w:rPr>
            </w:pPr>
          </w:p>
          <w:p w:rsidR="00691432" w:rsidRPr="0074345C" w:rsidRDefault="00691432" w:rsidP="00AA7A54">
            <w:pPr>
              <w:keepNext/>
              <w:keepLines/>
              <w:tabs>
                <w:tab w:val="left" w:pos="709"/>
              </w:tabs>
              <w:rPr>
                <w:iCs/>
                <w:szCs w:val="22"/>
              </w:rPr>
            </w:pPr>
            <w:r w:rsidRPr="0074345C">
              <w:rPr>
                <w:iCs/>
                <w:szCs w:val="22"/>
              </w:rPr>
              <w:t>En los 14 meses de duración del proyecto, la Sección de Información sobre Patentes ejecutó el proyecto debidamente y logró todos los resultados del proyecto, incluso más resultados de los que se recogen en el documento CDIP/10/13 sobre la fase II del proyecto, a saber:</w:t>
            </w:r>
          </w:p>
          <w:p w:rsidR="00691432" w:rsidRPr="0074345C" w:rsidRDefault="00691432" w:rsidP="00AA7A54">
            <w:pPr>
              <w:keepNext/>
              <w:keepLines/>
              <w:tabs>
                <w:tab w:val="left" w:pos="709"/>
              </w:tabs>
              <w:rPr>
                <w:iCs/>
                <w:szCs w:val="22"/>
              </w:rPr>
            </w:pPr>
          </w:p>
          <w:p w:rsidR="00691432" w:rsidRPr="0074345C" w:rsidRDefault="00691432" w:rsidP="00AA7A54">
            <w:pPr>
              <w:keepNext/>
              <w:keepLines/>
              <w:tabs>
                <w:tab w:val="left" w:pos="709"/>
              </w:tabs>
              <w:ind w:left="720"/>
              <w:rPr>
                <w:iCs/>
                <w:szCs w:val="22"/>
              </w:rPr>
            </w:pPr>
            <w:r w:rsidRPr="0074345C">
              <w:rPr>
                <w:iCs/>
                <w:szCs w:val="22"/>
              </w:rPr>
              <w:t xml:space="preserve">a) Seis informes PLR:  cuatro informes PLR en nuevos ámbitos, a saber:  tecnologías de reciclaje de residuos electrónicos en cooperación con el Programa de las Naciones Unidas para el Medio Ambiente (PNUMA) y la </w:t>
            </w:r>
            <w:r w:rsidRPr="0074345C">
              <w:rPr>
                <w:rStyle w:val="preferred"/>
              </w:rPr>
              <w:t>Secretaría del Convenio de Basilea</w:t>
            </w:r>
            <w:r w:rsidRPr="0074345C">
              <w:rPr>
                <w:iCs/>
                <w:szCs w:val="22"/>
              </w:rPr>
              <w:t xml:space="preserve"> (SBC);  actividad de patentamiento relativa a los recursos genéticos animales en cooperación con la División de Producción y Sanidad Animal de la </w:t>
            </w:r>
            <w:r w:rsidRPr="0074345C">
              <w:rPr>
                <w:rStyle w:val="admitted"/>
              </w:rPr>
              <w:t xml:space="preserve">Organización de las Naciones Unidas para la Alimentación y la Agricultura </w:t>
            </w:r>
            <w:r w:rsidRPr="0074345C">
              <w:rPr>
                <w:iCs/>
                <w:szCs w:val="22"/>
              </w:rPr>
              <w:t xml:space="preserve">(FAO);  tecnologías relativas al acelerador de partículas y sus usos industriales y médicos en colaboración con la Organización Europea de Investigación Nuclear (CERN);  y un último informe sobre dispositivos de asistencia y tecnologías conexas para personas con discapacidad visual y auditiva.  Además, se han actualizado dos informes PLR, ya concluidos y publicados, acerca del </w:t>
            </w:r>
            <w:proofErr w:type="spellStart"/>
            <w:r w:rsidRPr="0074345C">
              <w:rPr>
                <w:iCs/>
                <w:szCs w:val="22"/>
              </w:rPr>
              <w:t>Ritonavir</w:t>
            </w:r>
            <w:proofErr w:type="spellEnd"/>
            <w:r w:rsidRPr="0074345C">
              <w:rPr>
                <w:iCs/>
                <w:szCs w:val="22"/>
              </w:rPr>
              <w:t xml:space="preserve"> y determinadas enfermedades desatendidas.</w:t>
            </w:r>
          </w:p>
          <w:p w:rsidR="00691432" w:rsidRPr="0074345C" w:rsidRDefault="00691432" w:rsidP="00AA7A54">
            <w:pPr>
              <w:keepNext/>
              <w:keepLines/>
              <w:tabs>
                <w:tab w:val="left" w:pos="709"/>
              </w:tabs>
              <w:ind w:left="720"/>
              <w:rPr>
                <w:iCs/>
                <w:szCs w:val="22"/>
              </w:rPr>
            </w:pPr>
          </w:p>
          <w:p w:rsidR="00691432" w:rsidRPr="0074345C" w:rsidRDefault="00691432" w:rsidP="00AA7A54">
            <w:pPr>
              <w:keepNext/>
              <w:keepLines/>
              <w:tabs>
                <w:tab w:val="left" w:pos="709"/>
              </w:tabs>
              <w:ind w:left="720"/>
              <w:rPr>
                <w:iCs/>
                <w:szCs w:val="22"/>
              </w:rPr>
            </w:pPr>
            <w:r w:rsidRPr="0074345C">
              <w:rPr>
                <w:iCs/>
                <w:szCs w:val="22"/>
              </w:rPr>
              <w:t>b) Se mejoró el sitio web dedicado a dichos informes</w:t>
            </w:r>
            <w:r w:rsidRPr="0074345C">
              <w:rPr>
                <w:rStyle w:val="FootnoteReference"/>
                <w:iCs/>
                <w:szCs w:val="22"/>
              </w:rPr>
              <w:footnoteReference w:id="11"/>
            </w:r>
            <w:r w:rsidRPr="0074345C">
              <w:rPr>
                <w:iCs/>
                <w:szCs w:val="22"/>
              </w:rPr>
              <w:t xml:space="preserve"> mediante la adición de 51 informes PLR.  Se prepararon infografías para visualizar y facilitar la difusión de los resultados principales de ocho informes PLR.</w:t>
            </w:r>
          </w:p>
          <w:p w:rsidR="00691432" w:rsidRPr="0074345C" w:rsidRDefault="00691432" w:rsidP="00AA7A54">
            <w:pPr>
              <w:pStyle w:val="ListParagraph"/>
              <w:rPr>
                <w:iCs/>
                <w:szCs w:val="22"/>
                <w:lang w:val="es-ES"/>
              </w:rPr>
            </w:pPr>
          </w:p>
          <w:p w:rsidR="00691432" w:rsidRPr="0074345C" w:rsidRDefault="00691432" w:rsidP="00AA7A54">
            <w:pPr>
              <w:pStyle w:val="ListParagraph"/>
              <w:rPr>
                <w:iCs/>
                <w:szCs w:val="22"/>
                <w:lang w:val="es-ES"/>
              </w:rPr>
            </w:pPr>
            <w:r w:rsidRPr="0074345C">
              <w:rPr>
                <w:iCs/>
                <w:szCs w:val="22"/>
                <w:lang w:val="es-ES"/>
              </w:rPr>
              <w:t>c) Se llevaron a término guías metodológicas para la elaboración de dichos informes en colaboración con un experto externo y previa consulta con diversas oficinas de P.I. durante dos Talleres Regionales sobre Análisis de Patentes, celebrados en 2013 en el Brasil (Río de Janeiro) y Filipinas (Manila), en colaboración con el Instituto Nacional de Propiedad Intelectual (INPI) del Brasil y la Oficina de Propiedad Intelectual de Filipinas (IPOPHL), respectivamente.</w:t>
            </w:r>
          </w:p>
          <w:p w:rsidR="00691432" w:rsidRPr="0074345C" w:rsidRDefault="00691432" w:rsidP="00AA7A54">
            <w:pPr>
              <w:pStyle w:val="ListParagraph"/>
              <w:rPr>
                <w:iCs/>
                <w:szCs w:val="22"/>
                <w:lang w:val="es-ES"/>
              </w:rPr>
            </w:pPr>
          </w:p>
          <w:p w:rsidR="00691432" w:rsidRPr="0074345C" w:rsidRDefault="00691432" w:rsidP="00AA7A54">
            <w:pPr>
              <w:pStyle w:val="ListParagraph"/>
              <w:keepNext/>
              <w:keepLines/>
              <w:tabs>
                <w:tab w:val="left" w:pos="709"/>
              </w:tabs>
              <w:ind w:left="744"/>
              <w:rPr>
                <w:iCs/>
                <w:szCs w:val="22"/>
                <w:lang w:val="es-ES"/>
              </w:rPr>
            </w:pPr>
            <w:r w:rsidRPr="0074345C">
              <w:rPr>
                <w:iCs/>
                <w:szCs w:val="22"/>
                <w:lang w:val="es-ES"/>
              </w:rPr>
              <w:t>d) Además de las actividades de fortalecimiento de capacidades realizadas por medio de los Talleres Regionales sobre Análisis de Patentes celebrados en el Brasil y en Manila que se han señalado anteriormente, se organizaron dos talleres nacionales más sobre análisis de patentes en 2013 en Filipinas (Cebú y Manila) para un total de 100 participantes de las Oficinas de Apoyo a la Tecnología y la Innovación (OATI) de Filipinas.</w:t>
            </w:r>
          </w:p>
          <w:p w:rsidR="00691432" w:rsidRPr="0074345C" w:rsidRDefault="00691432" w:rsidP="00AA7A54">
            <w:pPr>
              <w:pStyle w:val="ListParagraph"/>
              <w:rPr>
                <w:iCs/>
                <w:szCs w:val="22"/>
                <w:lang w:val="es-ES"/>
              </w:rPr>
            </w:pPr>
          </w:p>
          <w:p w:rsidR="00691432" w:rsidRPr="0074345C" w:rsidRDefault="00691432" w:rsidP="00AA7A54">
            <w:pPr>
              <w:keepNext/>
              <w:keepLines/>
              <w:tabs>
                <w:tab w:val="left" w:pos="709"/>
              </w:tabs>
              <w:ind w:left="567"/>
              <w:rPr>
                <w:i/>
                <w:iCs/>
                <w:szCs w:val="22"/>
              </w:rPr>
            </w:pPr>
          </w:p>
        </w:tc>
      </w:tr>
      <w:tr w:rsidR="006376E7" w:rsidRPr="0074345C" w:rsidTr="00AA7A54">
        <w:trPr>
          <w:trHeight w:val="1212"/>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691432" w:rsidRPr="0074345C" w:rsidRDefault="00691432" w:rsidP="00AA7A54">
            <w:pPr>
              <w:rPr>
                <w:szCs w:val="22"/>
              </w:rPr>
            </w:pPr>
          </w:p>
          <w:p w:rsidR="00691432" w:rsidRPr="0074345C" w:rsidRDefault="00691432" w:rsidP="00AA7A54">
            <w:pPr>
              <w:rPr>
                <w:szCs w:val="22"/>
              </w:rPr>
            </w:pPr>
            <w:r w:rsidRPr="0074345C">
              <w:rPr>
                <w:szCs w:val="22"/>
              </w:rPr>
              <w:t>Resultados/incidencia del proyecto y principales enseñanzas extraídas</w:t>
            </w:r>
          </w:p>
        </w:tc>
        <w:tc>
          <w:tcPr>
            <w:tcW w:w="6912"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szCs w:val="22"/>
              </w:rPr>
            </w:pPr>
          </w:p>
          <w:p w:rsidR="00691432" w:rsidRPr="0074345C" w:rsidRDefault="00691432" w:rsidP="00AA7A54">
            <w:pPr>
              <w:rPr>
                <w:szCs w:val="22"/>
              </w:rPr>
            </w:pPr>
            <w:r w:rsidRPr="0074345C">
              <w:rPr>
                <w:szCs w:val="22"/>
              </w:rPr>
              <w:t>Los resultados logrados por medio del proyecto cumplen plenamente los objetivos recogidos en el documento de la fase II del proyecto.  A pesar del calendario de ejecución tan ajustado:  se realizaron seis informes PLR, se identificaron instituciones asociadas, se llevaron a cabo más actividades de fortalecimiento de capacidades sobre análisis de patentes de las previstas inicialmente, se elaboraron las primeras guías de su clase para la elaboración de informes PLR a fin de facilitar al acceso a la información sobre patentes y, además, conocer mejor la información facilitada a través del análisis de patentes y los conocimientos de los instrumentos de análisis de patentes disponibles, las posibilidades y las limitaciones.</w:t>
            </w:r>
          </w:p>
          <w:p w:rsidR="00691432" w:rsidRPr="0074345C" w:rsidRDefault="00691432" w:rsidP="00AA7A54">
            <w:pPr>
              <w:rPr>
                <w:szCs w:val="22"/>
              </w:rPr>
            </w:pPr>
          </w:p>
          <w:p w:rsidR="00691432" w:rsidRPr="0074345C" w:rsidRDefault="00691432" w:rsidP="00AA7A54">
            <w:pPr>
              <w:rPr>
                <w:szCs w:val="22"/>
              </w:rPr>
            </w:pPr>
            <w:r w:rsidRPr="0074345C">
              <w:rPr>
                <w:szCs w:val="22"/>
              </w:rPr>
              <w:t xml:space="preserve">Como indican los resultados del estudio de evaluación y los cuestionarios </w:t>
            </w:r>
            <w:r w:rsidRPr="0074345C">
              <w:t xml:space="preserve">sobre el grado </w:t>
            </w:r>
            <w:r w:rsidRPr="0074345C">
              <w:rPr>
                <w:szCs w:val="22"/>
              </w:rPr>
              <w:t>de satisfacción, así como las declaraciones de los Estados miembros y otros usuarios de los informes PLR, los informes, las actividades de fortalecimiento de capacidades y las guías</w:t>
            </w:r>
            <w:r w:rsidRPr="0074345C">
              <w:t>,</w:t>
            </w:r>
            <w:r w:rsidRPr="0074345C">
              <w:rPr>
                <w:szCs w:val="22"/>
              </w:rPr>
              <w:t xml:space="preserve"> </w:t>
            </w:r>
            <w:r w:rsidRPr="0074345C">
              <w:t xml:space="preserve">según </w:t>
            </w:r>
            <w:r w:rsidRPr="0074345C">
              <w:rPr>
                <w:szCs w:val="22"/>
              </w:rPr>
              <w:t xml:space="preserve">se presentan en el proyecto, son muy valiosos para distintos públicos.  Además, </w:t>
            </w:r>
            <w:r w:rsidRPr="0074345C">
              <w:t xml:space="preserve">en </w:t>
            </w:r>
            <w:r w:rsidRPr="0074345C">
              <w:rPr>
                <w:szCs w:val="22"/>
              </w:rPr>
              <w:t xml:space="preserve">algunos de los informes PLR </w:t>
            </w:r>
            <w:r w:rsidRPr="0074345C">
              <w:t>elaborados se proporcionaron</w:t>
            </w:r>
            <w:r w:rsidRPr="0074345C">
              <w:rPr>
                <w:szCs w:val="22"/>
              </w:rPr>
              <w:t xml:space="preserve"> por primera vez pruebas basadas en patentes en </w:t>
            </w:r>
            <w:r w:rsidRPr="0074345C">
              <w:t>determinados</w:t>
            </w:r>
            <w:r w:rsidRPr="0074345C">
              <w:rPr>
                <w:szCs w:val="22"/>
              </w:rPr>
              <w:t xml:space="preserve"> </w:t>
            </w:r>
            <w:r w:rsidRPr="0074345C">
              <w:t>ámbitos</w:t>
            </w:r>
            <w:r w:rsidRPr="0074345C">
              <w:rPr>
                <w:szCs w:val="22"/>
              </w:rPr>
              <w:t xml:space="preserve">, como el informe sobre recursos genéticos animales, </w:t>
            </w:r>
            <w:r w:rsidRPr="0074345C">
              <w:t xml:space="preserve">en el </w:t>
            </w:r>
            <w:r w:rsidRPr="0074345C">
              <w:rPr>
                <w:szCs w:val="22"/>
              </w:rPr>
              <w:t xml:space="preserve">que </w:t>
            </w:r>
            <w:r w:rsidRPr="0074345C">
              <w:t xml:space="preserve">se </w:t>
            </w:r>
            <w:r w:rsidRPr="0074345C">
              <w:rPr>
                <w:szCs w:val="22"/>
              </w:rPr>
              <w:t>facilita</w:t>
            </w:r>
            <w:r w:rsidRPr="0074345C">
              <w:t>n</w:t>
            </w:r>
            <w:r w:rsidRPr="0074345C">
              <w:rPr>
                <w:szCs w:val="22"/>
              </w:rPr>
              <w:t xml:space="preserve"> debates que la División de Producción y Sanidad Animal </w:t>
            </w:r>
            <w:r w:rsidRPr="0074345C">
              <w:t xml:space="preserve">llevó </w:t>
            </w:r>
            <w:r w:rsidRPr="0074345C">
              <w:rPr>
                <w:szCs w:val="22"/>
              </w:rPr>
              <w:t xml:space="preserve">a cabo en la </w:t>
            </w:r>
            <w:r w:rsidRPr="0074345C">
              <w:rPr>
                <w:rStyle w:val="admitted"/>
              </w:rPr>
              <w:t>Organización de las Naciones Unidas para la Alimentación y la Agricultura</w:t>
            </w:r>
            <w:r w:rsidRPr="0074345C">
              <w:rPr>
                <w:szCs w:val="22"/>
              </w:rPr>
              <w:t xml:space="preserve"> (FAO), o el informe PLR </w:t>
            </w:r>
            <w:r w:rsidRPr="0074345C">
              <w:t>relativo al</w:t>
            </w:r>
            <w:r w:rsidRPr="0074345C">
              <w:rPr>
                <w:szCs w:val="22"/>
              </w:rPr>
              <w:t xml:space="preserve"> </w:t>
            </w:r>
            <w:r w:rsidRPr="0074345C">
              <w:rPr>
                <w:szCs w:val="22"/>
              </w:rPr>
              <w:lastRenderedPageBreak/>
              <w:t>reciclaje de residuos electrónicos, un tema de grandes repercusiones en el medio</w:t>
            </w:r>
            <w:r w:rsidRPr="0074345C">
              <w:t xml:space="preserve"> </w:t>
            </w:r>
            <w:r w:rsidRPr="0074345C">
              <w:rPr>
                <w:szCs w:val="22"/>
              </w:rPr>
              <w:t xml:space="preserve">ambiente, la sanidad pública y el comercio para una serie de países en desarrollo, </w:t>
            </w:r>
            <w:r w:rsidRPr="0074345C">
              <w:t xml:space="preserve">en el </w:t>
            </w:r>
            <w:r w:rsidRPr="0074345C">
              <w:rPr>
                <w:szCs w:val="22"/>
              </w:rPr>
              <w:t xml:space="preserve">que </w:t>
            </w:r>
            <w:r w:rsidRPr="0074345C">
              <w:t>se proporcionaron</w:t>
            </w:r>
            <w:r w:rsidRPr="0074345C">
              <w:rPr>
                <w:szCs w:val="22"/>
              </w:rPr>
              <w:t xml:space="preserve"> por primera vez la perspectiva de la P.I., tendencias </w:t>
            </w:r>
            <w:r w:rsidRPr="0074345C">
              <w:t xml:space="preserve">en materia </w:t>
            </w:r>
            <w:r w:rsidRPr="0074345C">
              <w:rPr>
                <w:szCs w:val="22"/>
              </w:rPr>
              <w:t xml:space="preserve">de patentes y </w:t>
            </w:r>
            <w:r w:rsidRPr="0074345C">
              <w:t>los participantes</w:t>
            </w:r>
            <w:r w:rsidRPr="0074345C">
              <w:rPr>
                <w:szCs w:val="22"/>
              </w:rPr>
              <w:t xml:space="preserve"> principales </w:t>
            </w:r>
            <w:r w:rsidRPr="0074345C">
              <w:t>d</w:t>
            </w:r>
            <w:r w:rsidRPr="0074345C">
              <w:rPr>
                <w:szCs w:val="22"/>
              </w:rPr>
              <w:t xml:space="preserve">el </w:t>
            </w:r>
            <w:r w:rsidRPr="0074345C">
              <w:t>sector</w:t>
            </w:r>
            <w:r w:rsidRPr="0074345C">
              <w:rPr>
                <w:szCs w:val="22"/>
              </w:rPr>
              <w:t xml:space="preserve"> </w:t>
            </w:r>
            <w:r w:rsidRPr="0074345C">
              <w:t>en el</w:t>
            </w:r>
            <w:r w:rsidRPr="0074345C">
              <w:rPr>
                <w:szCs w:val="22"/>
              </w:rPr>
              <w:t xml:space="preserve"> Convenio de Basilea (</w:t>
            </w:r>
            <w:r w:rsidRPr="0074345C">
              <w:t>PNUMA</w:t>
            </w:r>
            <w:r w:rsidRPr="0074345C">
              <w:rPr>
                <w:szCs w:val="22"/>
              </w:rPr>
              <w:t xml:space="preserve">).  Asimismo, los informes </w:t>
            </w:r>
            <w:r w:rsidRPr="0074345C">
              <w:t>aportan información</w:t>
            </w:r>
            <w:r w:rsidRPr="0074345C">
              <w:rPr>
                <w:szCs w:val="22"/>
              </w:rPr>
              <w:t xml:space="preserve"> a diversos debates que tienen lugar en el seno de la OMPI, como en el </w:t>
            </w:r>
            <w:r w:rsidRPr="0074345C">
              <w:rPr>
                <w:rStyle w:val="preferred"/>
              </w:rPr>
              <w:t>Comité Permanente sobre el Derecho de Patentes</w:t>
            </w:r>
            <w:r w:rsidRPr="0074345C">
              <w:rPr>
                <w:szCs w:val="22"/>
              </w:rPr>
              <w:t xml:space="preserve"> (SCP) y el </w:t>
            </w:r>
            <w:r w:rsidRPr="0074345C">
              <w:rPr>
                <w:rStyle w:val="preferred"/>
              </w:rPr>
              <w:t>Comité Intergubernamental sobre Propiedad Intelectual y Recursos Genéticos, Conocimientos Tradicionales y Folclore </w:t>
            </w:r>
            <w:r w:rsidRPr="0074345C">
              <w:rPr>
                <w:szCs w:val="22"/>
              </w:rPr>
              <w:t>(</w:t>
            </w:r>
            <w:r w:rsidRPr="0074345C">
              <w:t>CIG</w:t>
            </w:r>
            <w:r w:rsidRPr="0074345C">
              <w:rPr>
                <w:szCs w:val="22"/>
              </w:rPr>
              <w:t>), o</w:t>
            </w:r>
            <w:r w:rsidRPr="0074345C">
              <w:t xml:space="preserve"> complementan la labor de otra</w:t>
            </w:r>
            <w:r w:rsidRPr="0074345C">
              <w:rPr>
                <w:szCs w:val="22"/>
              </w:rPr>
              <w:t xml:space="preserve">s </w:t>
            </w:r>
            <w:r w:rsidRPr="0074345C">
              <w:t>esferas</w:t>
            </w:r>
            <w:r w:rsidRPr="0074345C">
              <w:rPr>
                <w:szCs w:val="22"/>
              </w:rPr>
              <w:t xml:space="preserve"> de la OMPI, como el informe PLR </w:t>
            </w:r>
            <w:r w:rsidRPr="0074345C">
              <w:t>relativo a los</w:t>
            </w:r>
            <w:r w:rsidRPr="0074345C">
              <w:rPr>
                <w:szCs w:val="22"/>
              </w:rPr>
              <w:t xml:space="preserve"> </w:t>
            </w:r>
            <w:r w:rsidRPr="0074345C">
              <w:rPr>
                <w:iCs/>
                <w:szCs w:val="22"/>
              </w:rPr>
              <w:t>dispositivos de asistencia para personas con discapacidad visual y auditiva</w:t>
            </w:r>
            <w:r w:rsidRPr="0074345C">
              <w:rPr>
                <w:szCs w:val="22"/>
              </w:rPr>
              <w:t xml:space="preserve">, que complementa </w:t>
            </w:r>
            <w:r w:rsidRPr="0074345C">
              <w:t xml:space="preserve">el trabajo </w:t>
            </w:r>
            <w:r w:rsidRPr="0074345C">
              <w:rPr>
                <w:szCs w:val="22"/>
              </w:rPr>
              <w:t>del Tratado de Marrakech mediante la identificación de los ámbitos relevantes para las tecnologías del Tratado.</w:t>
            </w:r>
          </w:p>
          <w:p w:rsidR="00691432" w:rsidRPr="0074345C" w:rsidRDefault="00691432" w:rsidP="00AA7A54">
            <w:pPr>
              <w:rPr>
                <w:szCs w:val="22"/>
              </w:rPr>
            </w:pPr>
          </w:p>
          <w:p w:rsidR="00691432" w:rsidRPr="0074345C" w:rsidRDefault="00691432" w:rsidP="00AA7A54">
            <w:pPr>
              <w:rPr>
                <w:szCs w:val="22"/>
              </w:rPr>
            </w:pPr>
            <w:r w:rsidRPr="0074345C">
              <w:rPr>
                <w:szCs w:val="22"/>
              </w:rPr>
              <w:t xml:space="preserve">En las fases I y II del proyecto se </w:t>
            </w:r>
            <w:r w:rsidRPr="0074345C">
              <w:t>demostró</w:t>
            </w:r>
            <w:r w:rsidRPr="0074345C">
              <w:rPr>
                <w:szCs w:val="22"/>
              </w:rPr>
              <w:t xml:space="preserve"> que la </w:t>
            </w:r>
            <w:r w:rsidRPr="0074345C">
              <w:t>elaboración</w:t>
            </w:r>
            <w:r w:rsidRPr="0074345C">
              <w:rPr>
                <w:szCs w:val="22"/>
              </w:rPr>
              <w:t xml:space="preserve"> de los informes </w:t>
            </w:r>
            <w:r w:rsidRPr="0074345C">
              <w:t>PLR</w:t>
            </w:r>
            <w:r w:rsidRPr="0074345C">
              <w:rPr>
                <w:szCs w:val="22"/>
              </w:rPr>
              <w:t xml:space="preserve"> es una tarea compleja, </w:t>
            </w:r>
            <w:r w:rsidRPr="0074345C">
              <w:t xml:space="preserve">en la que existen </w:t>
            </w:r>
            <w:r w:rsidRPr="0074345C">
              <w:rPr>
                <w:szCs w:val="22"/>
              </w:rPr>
              <w:t>sectores interesados y factores externos que contribuyen a</w:t>
            </w:r>
            <w:r w:rsidRPr="0074345C">
              <w:t xml:space="preserve"> la finalización del </w:t>
            </w:r>
            <w:r w:rsidRPr="0074345C">
              <w:rPr>
                <w:szCs w:val="22"/>
              </w:rPr>
              <w:t xml:space="preserve">calendario de ejecución y al éxito de cada informe.  El proyecto también </w:t>
            </w:r>
            <w:r w:rsidRPr="0074345C">
              <w:t xml:space="preserve">reveló </w:t>
            </w:r>
            <w:r w:rsidRPr="0074345C">
              <w:rPr>
                <w:szCs w:val="22"/>
              </w:rPr>
              <w:t>que, en func</w:t>
            </w:r>
            <w:r w:rsidRPr="0074345C">
              <w:t>ió</w:t>
            </w:r>
            <w:r w:rsidRPr="0074345C">
              <w:rPr>
                <w:szCs w:val="22"/>
              </w:rPr>
              <w:t>n del tema, las instituciones asociadas y el objetivo de cada informe</w:t>
            </w:r>
            <w:r w:rsidRPr="0074345C">
              <w:t>,</w:t>
            </w:r>
            <w:r w:rsidRPr="0074345C">
              <w:rPr>
                <w:szCs w:val="22"/>
              </w:rPr>
              <w:t xml:space="preserve"> </w:t>
            </w:r>
            <w:r w:rsidRPr="0074345C">
              <w:t xml:space="preserve">existen </w:t>
            </w:r>
            <w:r w:rsidRPr="0074345C">
              <w:rPr>
                <w:szCs w:val="22"/>
              </w:rPr>
              <w:t xml:space="preserve">diferentes </w:t>
            </w:r>
            <w:r w:rsidRPr="0074345C">
              <w:t>desafíos</w:t>
            </w:r>
            <w:r w:rsidRPr="0074345C">
              <w:rPr>
                <w:szCs w:val="22"/>
              </w:rPr>
              <w:t xml:space="preserve"> en la estrategia de búsqueda de patentes y </w:t>
            </w:r>
            <w:r w:rsidRPr="0074345C">
              <w:t>que han de abordarse con diverso</w:t>
            </w:r>
            <w:r w:rsidRPr="0074345C">
              <w:rPr>
                <w:szCs w:val="22"/>
              </w:rPr>
              <w:t xml:space="preserve">s </w:t>
            </w:r>
            <w:r w:rsidRPr="0074345C">
              <w:t>instrumentos</w:t>
            </w:r>
            <w:r w:rsidRPr="0074345C">
              <w:rPr>
                <w:szCs w:val="22"/>
              </w:rPr>
              <w:t xml:space="preserve">, bases de datos y tipos de análisis.  Por consiguiente, es fundamental </w:t>
            </w:r>
            <w:r w:rsidRPr="0074345C">
              <w:t xml:space="preserve">disponer de </w:t>
            </w:r>
            <w:r w:rsidRPr="0074345C">
              <w:rPr>
                <w:szCs w:val="22"/>
              </w:rPr>
              <w:t xml:space="preserve">una </w:t>
            </w:r>
            <w:r w:rsidRPr="0074345C">
              <w:t>b</w:t>
            </w:r>
            <w:r w:rsidRPr="0074345C">
              <w:rPr>
                <w:szCs w:val="22"/>
              </w:rPr>
              <w:t>uena coordinación</w:t>
            </w:r>
            <w:r w:rsidRPr="0074345C">
              <w:t xml:space="preserve"> y</w:t>
            </w:r>
            <w:r w:rsidRPr="0074345C">
              <w:rPr>
                <w:szCs w:val="22"/>
              </w:rPr>
              <w:t xml:space="preserve"> procedimientos establecidos para las partes en la medida de lo posible, </w:t>
            </w:r>
            <w:r w:rsidRPr="0074345C">
              <w:t xml:space="preserve">elegir con cuidado </w:t>
            </w:r>
            <w:r w:rsidRPr="0074345C">
              <w:rPr>
                <w:szCs w:val="22"/>
              </w:rPr>
              <w:t>las instituciones asociadas</w:t>
            </w:r>
            <w:r w:rsidRPr="0074345C">
              <w:t xml:space="preserve"> </w:t>
            </w:r>
            <w:r w:rsidRPr="0074345C">
              <w:rPr>
                <w:szCs w:val="22"/>
              </w:rPr>
              <w:t>y el tema, y</w:t>
            </w:r>
            <w:r w:rsidRPr="0074345C">
              <w:t>,</w:t>
            </w:r>
            <w:r w:rsidRPr="0074345C">
              <w:rPr>
                <w:szCs w:val="22"/>
              </w:rPr>
              <w:t xml:space="preserve"> </w:t>
            </w:r>
            <w:r w:rsidRPr="0074345C">
              <w:t>además,</w:t>
            </w:r>
            <w:r w:rsidRPr="0074345C">
              <w:rPr>
                <w:szCs w:val="22"/>
              </w:rPr>
              <w:t xml:space="preserve"> </w:t>
            </w:r>
            <w:r w:rsidRPr="0074345C">
              <w:t>elegir</w:t>
            </w:r>
            <w:r w:rsidRPr="0074345C">
              <w:rPr>
                <w:szCs w:val="22"/>
              </w:rPr>
              <w:t xml:space="preserve"> los tipos de análisis </w:t>
            </w:r>
            <w:r w:rsidRPr="0074345C">
              <w:t xml:space="preserve">de patentes </w:t>
            </w:r>
            <w:r w:rsidRPr="0074345C">
              <w:rPr>
                <w:szCs w:val="22"/>
              </w:rPr>
              <w:t xml:space="preserve">que han de incluirse en cada informe.  La experiencia ha demostrado que es fundamental establecer y mantener una </w:t>
            </w:r>
            <w:r w:rsidRPr="0074345C">
              <w:t>b</w:t>
            </w:r>
            <w:r w:rsidRPr="0074345C">
              <w:rPr>
                <w:szCs w:val="22"/>
              </w:rPr>
              <w:t xml:space="preserve">uena red en diversas </w:t>
            </w:r>
            <w:r w:rsidRPr="0074345C">
              <w:t>áreas</w:t>
            </w:r>
            <w:r w:rsidRPr="0074345C">
              <w:rPr>
                <w:szCs w:val="22"/>
              </w:rPr>
              <w:t xml:space="preserve"> de tecnologías y distintos sectores interesados con diferentes conocimientos, necesidades y experiencia para </w:t>
            </w:r>
            <w:r w:rsidRPr="0074345C">
              <w:t>la</w:t>
            </w:r>
            <w:r w:rsidRPr="0074345C">
              <w:rPr>
                <w:szCs w:val="22"/>
              </w:rPr>
              <w:t xml:space="preserve"> amplia difusión y </w:t>
            </w:r>
            <w:r w:rsidRPr="0074345C">
              <w:t xml:space="preserve">el </w:t>
            </w:r>
            <w:r w:rsidRPr="0074345C">
              <w:rPr>
                <w:szCs w:val="22"/>
              </w:rPr>
              <w:t xml:space="preserve">uso </w:t>
            </w:r>
            <w:r w:rsidRPr="0074345C">
              <w:t xml:space="preserve">extendido </w:t>
            </w:r>
            <w:r w:rsidRPr="0074345C">
              <w:rPr>
                <w:szCs w:val="22"/>
              </w:rPr>
              <w:t xml:space="preserve">de la información, para la labor </w:t>
            </w:r>
            <w:r w:rsidRPr="0074345C">
              <w:t>futura</w:t>
            </w:r>
            <w:r w:rsidRPr="0074345C">
              <w:rPr>
                <w:szCs w:val="22"/>
              </w:rPr>
              <w:t xml:space="preserve"> y</w:t>
            </w:r>
            <w:r w:rsidRPr="0074345C">
              <w:t>,</w:t>
            </w:r>
            <w:r w:rsidRPr="0074345C">
              <w:rPr>
                <w:szCs w:val="22"/>
              </w:rPr>
              <w:t xml:space="preserve"> también</w:t>
            </w:r>
            <w:r w:rsidRPr="0074345C">
              <w:t>,</w:t>
            </w:r>
            <w:r w:rsidRPr="0074345C">
              <w:rPr>
                <w:szCs w:val="22"/>
              </w:rPr>
              <w:t xml:space="preserve"> para sensibilizar </w:t>
            </w:r>
            <w:r w:rsidRPr="0074345C">
              <w:t>acerca de</w:t>
            </w:r>
            <w:r w:rsidRPr="0074345C">
              <w:rPr>
                <w:szCs w:val="22"/>
              </w:rPr>
              <w:t xml:space="preserve"> la información sobre patentes y su </w:t>
            </w:r>
            <w:r w:rsidRPr="0074345C">
              <w:t>utilización</w:t>
            </w:r>
            <w:r w:rsidRPr="0074345C">
              <w:rPr>
                <w:szCs w:val="22"/>
              </w:rPr>
              <w:t xml:space="preserve"> </w:t>
            </w:r>
            <w:r w:rsidRPr="0074345C">
              <w:t>a</w:t>
            </w:r>
            <w:r w:rsidRPr="0074345C">
              <w:rPr>
                <w:szCs w:val="22"/>
              </w:rPr>
              <w:t xml:space="preserve"> diversos públicos que tradicionalmente</w:t>
            </w:r>
            <w:r w:rsidRPr="0074345C">
              <w:t xml:space="preserve"> </w:t>
            </w:r>
            <w:r w:rsidRPr="0074345C">
              <w:rPr>
                <w:szCs w:val="22"/>
              </w:rPr>
              <w:t xml:space="preserve">no vienen utilizando información sobre patentes </w:t>
            </w:r>
            <w:r w:rsidRPr="0074345C">
              <w:t>ni</w:t>
            </w:r>
            <w:r w:rsidRPr="0074345C">
              <w:rPr>
                <w:szCs w:val="22"/>
              </w:rPr>
              <w:t xml:space="preserve"> incluyen la perspectiva de la P.I. en sus mecanismos de toma de decisiones. </w:t>
            </w:r>
            <w:r w:rsidRPr="0074345C">
              <w:t xml:space="preserve"> </w:t>
            </w:r>
            <w:r w:rsidRPr="0074345C">
              <w:rPr>
                <w:szCs w:val="22"/>
              </w:rPr>
              <w:t>Un aspect</w:t>
            </w:r>
            <w:r w:rsidRPr="0074345C">
              <w:t>o</w:t>
            </w:r>
            <w:r w:rsidRPr="0074345C">
              <w:rPr>
                <w:szCs w:val="22"/>
              </w:rPr>
              <w:t xml:space="preserve"> importante </w:t>
            </w:r>
            <w:r w:rsidRPr="0074345C">
              <w:t>para la difusión</w:t>
            </w:r>
            <w:r w:rsidRPr="0074345C">
              <w:rPr>
                <w:szCs w:val="22"/>
              </w:rPr>
              <w:t xml:space="preserve"> y la utilización de cada informe fue el compromiso de cada institución asociada después de </w:t>
            </w:r>
            <w:r w:rsidRPr="0074345C">
              <w:t>la elaboración</w:t>
            </w:r>
            <w:r w:rsidRPr="0074345C">
              <w:rPr>
                <w:szCs w:val="22"/>
              </w:rPr>
              <w:t xml:space="preserve"> </w:t>
            </w:r>
            <w:r w:rsidRPr="0074345C">
              <w:t>d</w:t>
            </w:r>
            <w:r w:rsidRPr="0074345C">
              <w:rPr>
                <w:szCs w:val="22"/>
              </w:rPr>
              <w:t xml:space="preserve">el informe. </w:t>
            </w:r>
            <w:r w:rsidRPr="0074345C">
              <w:t xml:space="preserve"> </w:t>
            </w:r>
            <w:r w:rsidRPr="0074345C">
              <w:rPr>
                <w:szCs w:val="22"/>
              </w:rPr>
              <w:t xml:space="preserve">Un ejemplo de esto fue el Convenio de Basilea (PNUMA), que, después del </w:t>
            </w:r>
            <w:r w:rsidRPr="0074345C">
              <w:t xml:space="preserve">acto de presentación </w:t>
            </w:r>
            <w:r w:rsidRPr="0074345C">
              <w:rPr>
                <w:szCs w:val="22"/>
              </w:rPr>
              <w:t xml:space="preserve">del informe, organizó dos eventos más, uno de ellos en la </w:t>
            </w:r>
            <w:r w:rsidRPr="0074345C">
              <w:rPr>
                <w:rStyle w:val="preferred"/>
              </w:rPr>
              <w:t>Unión Internacional de Telecomunicaciones </w:t>
            </w:r>
            <w:r w:rsidRPr="0074345C">
              <w:rPr>
                <w:szCs w:val="22"/>
              </w:rPr>
              <w:t xml:space="preserve">(UIT), y servicios de conferencias por Internet para Ministerios de Medio Ambiente y organismos de investigación medioambiental </w:t>
            </w:r>
            <w:r w:rsidRPr="0074345C">
              <w:t>en materia de</w:t>
            </w:r>
            <w:r w:rsidRPr="0074345C">
              <w:rPr>
                <w:szCs w:val="22"/>
              </w:rPr>
              <w:t xml:space="preserve"> información </w:t>
            </w:r>
            <w:r w:rsidRPr="0074345C">
              <w:t>sobre</w:t>
            </w:r>
            <w:r w:rsidRPr="0074345C">
              <w:rPr>
                <w:szCs w:val="22"/>
              </w:rPr>
              <w:t xml:space="preserve"> patentes y </w:t>
            </w:r>
            <w:r w:rsidRPr="0074345C">
              <w:t xml:space="preserve">con objeto de comunicar </w:t>
            </w:r>
            <w:r w:rsidRPr="0074345C">
              <w:rPr>
                <w:szCs w:val="22"/>
              </w:rPr>
              <w:t>los resultados principales del informe </w:t>
            </w:r>
            <w:r w:rsidRPr="0074345C">
              <w:t>PLR</w:t>
            </w:r>
            <w:r w:rsidRPr="0074345C">
              <w:rPr>
                <w:szCs w:val="22"/>
              </w:rPr>
              <w:t xml:space="preserve"> </w:t>
            </w:r>
            <w:r w:rsidRPr="0074345C">
              <w:t>relativo a</w:t>
            </w:r>
            <w:r w:rsidRPr="0074345C">
              <w:rPr>
                <w:szCs w:val="22"/>
              </w:rPr>
              <w:t xml:space="preserve">l reciclaje de residuos electrónicos.  Estas actividades permitieron la difusión de los resultados del informe </w:t>
            </w:r>
            <w:r w:rsidRPr="0074345C">
              <w:t>a</w:t>
            </w:r>
            <w:r w:rsidRPr="0074345C">
              <w:rPr>
                <w:szCs w:val="22"/>
              </w:rPr>
              <w:t xml:space="preserve"> público concreto de los Estados miembros con intereses específicos en los informes.</w:t>
            </w:r>
          </w:p>
          <w:p w:rsidR="00691432" w:rsidRPr="0074345C" w:rsidRDefault="00691432" w:rsidP="00AA7A54">
            <w:pPr>
              <w:rPr>
                <w:szCs w:val="22"/>
              </w:rPr>
            </w:pPr>
          </w:p>
          <w:p w:rsidR="00691432" w:rsidRPr="0074345C" w:rsidRDefault="00691432" w:rsidP="00AA7A54">
            <w:pPr>
              <w:rPr>
                <w:szCs w:val="22"/>
              </w:rPr>
            </w:pPr>
            <w:r w:rsidRPr="0074345C">
              <w:t>La</w:t>
            </w:r>
            <w:r w:rsidRPr="0074345C">
              <w:rPr>
                <w:szCs w:val="22"/>
              </w:rPr>
              <w:t xml:space="preserve">s </w:t>
            </w:r>
            <w:r w:rsidRPr="0074345C">
              <w:t>actividades</w:t>
            </w:r>
            <w:r w:rsidRPr="0074345C">
              <w:rPr>
                <w:szCs w:val="22"/>
              </w:rPr>
              <w:t xml:space="preserve"> de fortalecimiento de capacidades sobre análisis de patentes llevados a cabo en 2013 también demostraron el gran interés en esta esfera, y la necesidad de apoyo y comunicación entre oficinas de</w:t>
            </w:r>
            <w:r w:rsidRPr="0074345C">
              <w:t> </w:t>
            </w:r>
            <w:r w:rsidRPr="0074345C">
              <w:rPr>
                <w:szCs w:val="22"/>
              </w:rPr>
              <w:t xml:space="preserve">P.I., que prestan </w:t>
            </w:r>
            <w:r w:rsidRPr="0074345C">
              <w:t>—</w:t>
            </w:r>
            <w:r w:rsidRPr="0074345C">
              <w:rPr>
                <w:szCs w:val="22"/>
              </w:rPr>
              <w:t xml:space="preserve">o están interesadas en </w:t>
            </w:r>
            <w:r w:rsidRPr="0074345C">
              <w:lastRenderedPageBreak/>
              <w:t>prestar—</w:t>
            </w:r>
            <w:r w:rsidRPr="0074345C">
              <w:rPr>
                <w:szCs w:val="22"/>
              </w:rPr>
              <w:t xml:space="preserve"> servicios de análisis de patentes, y otro público que desee utilizar </w:t>
            </w:r>
            <w:r w:rsidRPr="0074345C">
              <w:t xml:space="preserve">instrumentos </w:t>
            </w:r>
            <w:r w:rsidRPr="0074345C">
              <w:rPr>
                <w:szCs w:val="22"/>
              </w:rPr>
              <w:t>de análisis de patentes para facilitar la toma de decisiones</w:t>
            </w:r>
            <w:r w:rsidRPr="0074345C">
              <w:t>,</w:t>
            </w:r>
            <w:r w:rsidRPr="0074345C">
              <w:rPr>
                <w:szCs w:val="22"/>
              </w:rPr>
              <w:t xml:space="preserve"> como pueda ser el caso de gobiernos, OIG, </w:t>
            </w:r>
            <w:r w:rsidRPr="0074345C">
              <w:t>ONG</w:t>
            </w:r>
            <w:r w:rsidRPr="0074345C">
              <w:rPr>
                <w:szCs w:val="22"/>
              </w:rPr>
              <w:t xml:space="preserve">, institutos de investigación, academias y Pymes.  Estas actividades no solo han </w:t>
            </w:r>
            <w:r w:rsidRPr="0074345C">
              <w:t>iniciado</w:t>
            </w:r>
            <w:r w:rsidRPr="0074345C">
              <w:rPr>
                <w:szCs w:val="22"/>
              </w:rPr>
              <w:t xml:space="preserve"> el diálogo </w:t>
            </w:r>
            <w:r w:rsidRPr="0074345C">
              <w:t xml:space="preserve">entre </w:t>
            </w:r>
            <w:r w:rsidRPr="0074345C">
              <w:rPr>
                <w:szCs w:val="22"/>
              </w:rPr>
              <w:t>diversas oficinas de</w:t>
            </w:r>
            <w:r w:rsidRPr="0074345C">
              <w:t> </w:t>
            </w:r>
            <w:r w:rsidRPr="0074345C">
              <w:rPr>
                <w:szCs w:val="22"/>
              </w:rPr>
              <w:t xml:space="preserve">P.I., sino </w:t>
            </w:r>
            <w:r w:rsidRPr="0074345C">
              <w:t xml:space="preserve">que </w:t>
            </w:r>
            <w:r w:rsidRPr="0074345C">
              <w:rPr>
                <w:szCs w:val="22"/>
              </w:rPr>
              <w:t xml:space="preserve">también </w:t>
            </w:r>
            <w:r w:rsidRPr="0074345C">
              <w:t xml:space="preserve">han propiciado </w:t>
            </w:r>
            <w:r w:rsidRPr="0074345C">
              <w:rPr>
                <w:szCs w:val="22"/>
              </w:rPr>
              <w:t>nuevos informes </w:t>
            </w:r>
            <w:r w:rsidRPr="0074345C">
              <w:t>PLR</w:t>
            </w:r>
            <w:r w:rsidRPr="0074345C">
              <w:rPr>
                <w:szCs w:val="22"/>
              </w:rPr>
              <w:t xml:space="preserve"> y proyectos de análisis de patentes.</w:t>
            </w:r>
          </w:p>
          <w:p w:rsidR="00691432" w:rsidRPr="0074345C" w:rsidRDefault="00691432" w:rsidP="00AA7A54">
            <w:pPr>
              <w:rPr>
                <w:szCs w:val="22"/>
              </w:rPr>
            </w:pPr>
          </w:p>
        </w:tc>
      </w:tr>
      <w:tr w:rsidR="006376E7" w:rsidRPr="0074345C" w:rsidTr="00AA7A54">
        <w:trPr>
          <w:trHeight w:val="140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691432" w:rsidRPr="0074345C" w:rsidRDefault="00691432" w:rsidP="00AA7A54">
            <w:pPr>
              <w:rPr>
                <w:szCs w:val="22"/>
              </w:rPr>
            </w:pPr>
          </w:p>
          <w:p w:rsidR="00691432" w:rsidRPr="0074345C" w:rsidRDefault="00691432" w:rsidP="00AA7A54">
            <w:pPr>
              <w:rPr>
                <w:szCs w:val="22"/>
              </w:rPr>
            </w:pPr>
            <w:r w:rsidRPr="0074345C">
              <w:rPr>
                <w:szCs w:val="22"/>
              </w:rPr>
              <w:t>Riesgos y medidas paliativas</w:t>
            </w:r>
          </w:p>
        </w:tc>
        <w:tc>
          <w:tcPr>
            <w:tcW w:w="6912"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pStyle w:val="Default"/>
              <w:rPr>
                <w:iCs/>
                <w:color w:val="auto"/>
                <w:sz w:val="22"/>
                <w:szCs w:val="22"/>
                <w:lang w:val="es-ES"/>
              </w:rPr>
            </w:pPr>
          </w:p>
          <w:p w:rsidR="00691432" w:rsidRPr="0074345C" w:rsidRDefault="00691432" w:rsidP="00AA7A54">
            <w:pPr>
              <w:rPr>
                <w:iCs/>
                <w:szCs w:val="22"/>
              </w:rPr>
            </w:pPr>
            <w:r w:rsidRPr="0074345C">
              <w:rPr>
                <w:iCs/>
                <w:szCs w:val="22"/>
              </w:rPr>
              <w:t>En el documento CDIP/10/13, que contiene una propuesta de proyecto, se identificaron los siguientes riesgos y se propusieron las siguientes medidas paliativas:</w:t>
            </w:r>
          </w:p>
          <w:p w:rsidR="00691432" w:rsidRPr="0074345C" w:rsidRDefault="00691432" w:rsidP="00AA7A54">
            <w:pPr>
              <w:rPr>
                <w:iCs/>
                <w:szCs w:val="22"/>
              </w:rPr>
            </w:pPr>
          </w:p>
          <w:p w:rsidR="00691432" w:rsidRPr="0074345C" w:rsidRDefault="00691432" w:rsidP="00AA7A54">
            <w:pPr>
              <w:rPr>
                <w:iCs/>
                <w:szCs w:val="22"/>
              </w:rPr>
            </w:pPr>
            <w:r w:rsidRPr="0074345C">
              <w:rPr>
                <w:iCs/>
                <w:szCs w:val="22"/>
              </w:rPr>
              <w:t>Riesgo 1</w:t>
            </w:r>
            <w:proofErr w:type="gramStart"/>
            <w:r w:rsidRPr="0074345C">
              <w:rPr>
                <w:iCs/>
                <w:szCs w:val="22"/>
              </w:rPr>
              <w:t>:  Ausencia</w:t>
            </w:r>
            <w:proofErr w:type="gramEnd"/>
            <w:r w:rsidRPr="0074345C">
              <w:rPr>
                <w:iCs/>
                <w:szCs w:val="22"/>
              </w:rPr>
              <w:t xml:space="preserve"> de manifestaciones de interés en relación con temas específicos para ulteriores informes PLR por parte de Estados miembros o instituciones de países en desarrollo.</w:t>
            </w:r>
          </w:p>
          <w:p w:rsidR="00691432" w:rsidRPr="0074345C" w:rsidRDefault="00691432" w:rsidP="00AA7A54">
            <w:pPr>
              <w:rPr>
                <w:iCs/>
                <w:szCs w:val="22"/>
              </w:rPr>
            </w:pPr>
          </w:p>
          <w:p w:rsidR="00691432" w:rsidRPr="0074345C" w:rsidRDefault="00691432" w:rsidP="00AA7A54">
            <w:pPr>
              <w:rPr>
                <w:iCs/>
                <w:szCs w:val="22"/>
              </w:rPr>
            </w:pPr>
            <w:r w:rsidRPr="0074345C">
              <w:rPr>
                <w:iCs/>
                <w:szCs w:val="22"/>
              </w:rPr>
              <w:t>Riesgo 2</w:t>
            </w:r>
            <w:proofErr w:type="gramStart"/>
            <w:r w:rsidRPr="0074345C">
              <w:rPr>
                <w:iCs/>
                <w:szCs w:val="22"/>
              </w:rPr>
              <w:t>:  Utilización</w:t>
            </w:r>
            <w:proofErr w:type="gramEnd"/>
            <w:r w:rsidRPr="0074345C">
              <w:rPr>
                <w:iCs/>
                <w:szCs w:val="22"/>
              </w:rPr>
              <w:t xml:space="preserve"> insuficiente de los informes.</w:t>
            </w:r>
          </w:p>
          <w:p w:rsidR="00691432" w:rsidRPr="0074345C" w:rsidRDefault="00691432" w:rsidP="00AA7A54">
            <w:pPr>
              <w:keepNext/>
              <w:keepLines/>
              <w:rPr>
                <w:iCs/>
                <w:szCs w:val="22"/>
              </w:rPr>
            </w:pPr>
          </w:p>
          <w:p w:rsidR="00691432" w:rsidRPr="0074345C" w:rsidRDefault="00691432" w:rsidP="00AA7A54">
            <w:pPr>
              <w:rPr>
                <w:iCs/>
                <w:szCs w:val="22"/>
              </w:rPr>
            </w:pPr>
            <w:r w:rsidRPr="0074345C">
              <w:rPr>
                <w:iCs/>
                <w:szCs w:val="22"/>
              </w:rPr>
              <w:t>Riesgo 3</w:t>
            </w:r>
            <w:proofErr w:type="gramStart"/>
            <w:r w:rsidRPr="0074345C">
              <w:rPr>
                <w:iCs/>
                <w:szCs w:val="22"/>
              </w:rPr>
              <w:t>:  Adecuación</w:t>
            </w:r>
            <w:proofErr w:type="gramEnd"/>
            <w:r w:rsidRPr="0074345C">
              <w:rPr>
                <w:iCs/>
                <w:szCs w:val="22"/>
              </w:rPr>
              <w:t xml:space="preserve"> del alcance de cada informe. </w:t>
            </w:r>
          </w:p>
          <w:p w:rsidR="00691432" w:rsidRPr="0074345C" w:rsidRDefault="00691432" w:rsidP="00AA7A54">
            <w:pPr>
              <w:rPr>
                <w:iCs/>
                <w:szCs w:val="22"/>
              </w:rPr>
            </w:pPr>
          </w:p>
          <w:p w:rsidR="00691432" w:rsidRPr="0074345C" w:rsidRDefault="00691432" w:rsidP="00AA7A54">
            <w:pPr>
              <w:pStyle w:val="Default"/>
              <w:rPr>
                <w:iCs/>
                <w:color w:val="auto"/>
                <w:sz w:val="22"/>
                <w:szCs w:val="22"/>
                <w:lang w:val="es-ES"/>
              </w:rPr>
            </w:pPr>
            <w:r w:rsidRPr="0074345C">
              <w:rPr>
                <w:iCs/>
                <w:color w:val="auto"/>
                <w:sz w:val="22"/>
                <w:szCs w:val="22"/>
                <w:lang w:val="es-ES"/>
              </w:rPr>
              <w:t>Durante la fase II, el riesgo antes mencionado sobre la ausencia de manifestaciones de interés en relación con temas específicos por parte de Estados miembros se materializó en parte, principalmente debido a que los recursos humanos limitados y las restricciones presupuestarias no permitieron realizar iniciativas adicionales con los Estados miembros.  No obstante, las actividades de sensibilización y fortalecimiento de capacidades llevadas a cabo durante la fase II permitieron manifestaciones de interés por parte de Estados miembros que dieron lugar a la elaboración actual de los informes PLR en el bienio 2014-15.</w:t>
            </w:r>
          </w:p>
          <w:p w:rsidR="00691432" w:rsidRPr="0074345C" w:rsidRDefault="00691432" w:rsidP="00AA7A54">
            <w:pPr>
              <w:pStyle w:val="Default"/>
              <w:rPr>
                <w:iCs/>
                <w:color w:val="auto"/>
                <w:sz w:val="22"/>
                <w:szCs w:val="22"/>
                <w:lang w:val="es-ES"/>
              </w:rPr>
            </w:pPr>
          </w:p>
          <w:p w:rsidR="00691432" w:rsidRPr="0074345C" w:rsidRDefault="00691432" w:rsidP="00AA7A54">
            <w:pPr>
              <w:rPr>
                <w:iCs/>
                <w:szCs w:val="22"/>
              </w:rPr>
            </w:pPr>
            <w:r w:rsidRPr="0074345C">
              <w:rPr>
                <w:iCs/>
                <w:szCs w:val="22"/>
              </w:rPr>
              <w:t>El segundo riesgo se mitigó con un aumento del número de actividades y canales de difusión, lo cual permitió facilitar datos sobre patentes a usuarios que tradicionalmente no utilizaban información sobre patentes, como los Ministerios de Medio Ambiente.  El tercer riesgo tampoco se materializó, gracias a la cuidadosa selección de los temas y el alcance de los informes, en estrecha colaboración con instituciones asociadas internas y externas.</w:t>
            </w:r>
          </w:p>
          <w:p w:rsidR="00691432" w:rsidRPr="0074345C" w:rsidRDefault="00691432" w:rsidP="00AA7A54">
            <w:pPr>
              <w:pStyle w:val="Default"/>
              <w:rPr>
                <w:iCs/>
                <w:color w:val="auto"/>
                <w:sz w:val="22"/>
                <w:szCs w:val="22"/>
                <w:lang w:val="es-ES"/>
              </w:rPr>
            </w:pPr>
          </w:p>
        </w:tc>
      </w:tr>
      <w:tr w:rsidR="006376E7" w:rsidRPr="0074345C" w:rsidTr="00AA7A54">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691432" w:rsidRPr="0074345C" w:rsidRDefault="00691432" w:rsidP="00AA7A54">
            <w:pPr>
              <w:rPr>
                <w:szCs w:val="22"/>
              </w:rPr>
            </w:pPr>
          </w:p>
          <w:p w:rsidR="00691432" w:rsidRPr="0074345C" w:rsidRDefault="00691432" w:rsidP="00AA7A54">
            <w:pPr>
              <w:rPr>
                <w:szCs w:val="22"/>
              </w:rPr>
            </w:pPr>
            <w:r w:rsidRPr="0074345C">
              <w:rPr>
                <w:szCs w:val="22"/>
              </w:rPr>
              <w:t xml:space="preserve">Porcentaje de ejecución del proyecto </w:t>
            </w:r>
          </w:p>
        </w:tc>
        <w:tc>
          <w:tcPr>
            <w:tcW w:w="6912"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rPr>
                <w:iCs/>
                <w:szCs w:val="22"/>
              </w:rPr>
            </w:pPr>
          </w:p>
          <w:p w:rsidR="00691432" w:rsidRPr="0074345C" w:rsidRDefault="00691432" w:rsidP="00AA7A54">
            <w:pPr>
              <w:rPr>
                <w:iCs/>
                <w:szCs w:val="22"/>
              </w:rPr>
            </w:pPr>
            <w:r w:rsidRPr="0074345C">
              <w:rPr>
                <w:iCs/>
                <w:szCs w:val="22"/>
              </w:rPr>
              <w:t>Porcentaje de utilización del presupuesto a finales de agosto de 2014</w:t>
            </w:r>
            <w:proofErr w:type="gramStart"/>
            <w:r w:rsidRPr="0074345C">
              <w:rPr>
                <w:iCs/>
                <w:szCs w:val="22"/>
              </w:rPr>
              <w:t>:  93</w:t>
            </w:r>
            <w:proofErr w:type="gramEnd"/>
            <w:r w:rsidRPr="0074345C">
              <w:rPr>
                <w:iCs/>
                <w:szCs w:val="22"/>
              </w:rPr>
              <w:t>%.</w:t>
            </w:r>
          </w:p>
          <w:p w:rsidR="00691432" w:rsidRPr="0074345C" w:rsidRDefault="00691432" w:rsidP="00AA7A54">
            <w:pPr>
              <w:rPr>
                <w:iCs/>
                <w:szCs w:val="22"/>
              </w:rPr>
            </w:pPr>
          </w:p>
        </w:tc>
      </w:tr>
      <w:tr w:rsidR="006376E7" w:rsidRPr="0074345C" w:rsidTr="00AA7A54">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691432" w:rsidRPr="0074345C" w:rsidRDefault="00691432" w:rsidP="00AA7A54">
            <w:pPr>
              <w:rPr>
                <w:szCs w:val="22"/>
              </w:rPr>
            </w:pPr>
          </w:p>
          <w:p w:rsidR="00691432" w:rsidRPr="0074345C" w:rsidRDefault="00691432" w:rsidP="00AA7A54">
            <w:pPr>
              <w:rPr>
                <w:szCs w:val="22"/>
              </w:rPr>
            </w:pPr>
            <w:r w:rsidRPr="0074345C">
              <w:rPr>
                <w:szCs w:val="22"/>
              </w:rPr>
              <w:t>Informes previos</w:t>
            </w:r>
          </w:p>
        </w:tc>
        <w:tc>
          <w:tcPr>
            <w:tcW w:w="6912" w:type="dxa"/>
            <w:tcBorders>
              <w:top w:val="single" w:sz="4" w:space="0" w:color="auto"/>
              <w:left w:val="single" w:sz="4" w:space="0" w:color="auto"/>
              <w:bottom w:val="single" w:sz="4" w:space="0" w:color="auto"/>
              <w:right w:val="single" w:sz="4" w:space="0" w:color="auto"/>
            </w:tcBorders>
          </w:tcPr>
          <w:p w:rsidR="00691432" w:rsidRPr="0074345C" w:rsidRDefault="00691432" w:rsidP="00AA7A54">
            <w:pPr>
              <w:pStyle w:val="Default"/>
              <w:rPr>
                <w:iCs/>
                <w:color w:val="auto"/>
                <w:sz w:val="22"/>
                <w:szCs w:val="22"/>
                <w:lang w:val="es-ES"/>
              </w:rPr>
            </w:pPr>
          </w:p>
          <w:p w:rsidR="00691432" w:rsidRPr="0074345C" w:rsidRDefault="00691432" w:rsidP="00AA7A54">
            <w:pPr>
              <w:pStyle w:val="Default"/>
              <w:rPr>
                <w:iCs/>
                <w:color w:val="auto"/>
                <w:sz w:val="22"/>
                <w:szCs w:val="22"/>
                <w:lang w:val="es-ES"/>
              </w:rPr>
            </w:pPr>
            <w:r w:rsidRPr="0074345C">
              <w:rPr>
                <w:iCs/>
                <w:color w:val="auto"/>
                <w:sz w:val="22"/>
                <w:szCs w:val="22"/>
                <w:lang w:val="es-ES"/>
              </w:rPr>
              <w:t>El primer informe sobre la marcha del proyecto, contenido en el documento CDIP/12/2, Anexo I, fue presentado en la 12ª sesión del CDIP de noviembre de 2013.</w:t>
            </w:r>
          </w:p>
          <w:p w:rsidR="00691432" w:rsidRPr="0074345C" w:rsidRDefault="00691432" w:rsidP="00AA7A54">
            <w:pPr>
              <w:pStyle w:val="Default"/>
              <w:rPr>
                <w:iCs/>
                <w:color w:val="auto"/>
                <w:sz w:val="22"/>
                <w:szCs w:val="22"/>
                <w:lang w:val="es-ES"/>
              </w:rPr>
            </w:pPr>
          </w:p>
        </w:tc>
      </w:tr>
      <w:tr w:rsidR="006376E7" w:rsidRPr="0074345C" w:rsidTr="00AA7A54">
        <w:trPr>
          <w:trHeight w:val="848"/>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rsidR="00691432" w:rsidRPr="0074345C" w:rsidRDefault="00691432" w:rsidP="00AA7A54">
            <w:pPr>
              <w:rPr>
                <w:szCs w:val="22"/>
              </w:rPr>
            </w:pPr>
          </w:p>
          <w:p w:rsidR="00691432" w:rsidRPr="0074345C" w:rsidRDefault="00691432" w:rsidP="00AA7A54">
            <w:pPr>
              <w:rPr>
                <w:szCs w:val="22"/>
              </w:rPr>
            </w:pPr>
            <w:r w:rsidRPr="0074345C">
              <w:rPr>
                <w:szCs w:val="22"/>
              </w:rPr>
              <w:t>Seguimiento</w:t>
            </w:r>
          </w:p>
        </w:tc>
        <w:tc>
          <w:tcPr>
            <w:tcW w:w="6912" w:type="dxa"/>
            <w:tcBorders>
              <w:top w:val="single" w:sz="4" w:space="0" w:color="auto"/>
              <w:left w:val="single" w:sz="4" w:space="0" w:color="auto"/>
              <w:bottom w:val="single" w:sz="4" w:space="0" w:color="auto"/>
              <w:right w:val="single" w:sz="4" w:space="0" w:color="auto"/>
            </w:tcBorders>
            <w:hideMark/>
          </w:tcPr>
          <w:p w:rsidR="00691432" w:rsidRPr="0074345C" w:rsidRDefault="00691432" w:rsidP="00AA7A54">
            <w:pPr>
              <w:pStyle w:val="Default"/>
              <w:rPr>
                <w:iCs/>
                <w:color w:val="auto"/>
                <w:sz w:val="22"/>
                <w:szCs w:val="22"/>
                <w:lang w:val="es-ES"/>
              </w:rPr>
            </w:pPr>
          </w:p>
          <w:p w:rsidR="00691432" w:rsidRPr="0074345C" w:rsidRDefault="00691432" w:rsidP="00AA7A54">
            <w:pPr>
              <w:pStyle w:val="Default"/>
              <w:rPr>
                <w:iCs/>
                <w:color w:val="auto"/>
                <w:sz w:val="22"/>
                <w:szCs w:val="22"/>
                <w:lang w:val="es-ES"/>
              </w:rPr>
            </w:pPr>
            <w:r w:rsidRPr="0074345C">
              <w:rPr>
                <w:iCs/>
                <w:color w:val="auto"/>
                <w:sz w:val="22"/>
                <w:szCs w:val="22"/>
                <w:lang w:val="es-ES"/>
              </w:rPr>
              <w:t xml:space="preserve">El proyecto se ha integrado como actividad ordinaria de la OMPI.  Como tal, se siguen elaborando informes PLR sobre temas de interés para los Estados miembros, sobre todo para los países en desarrollo.  Las guías se utilizarán como recurso y material didáctico </w:t>
            </w:r>
            <w:r w:rsidRPr="0074345C">
              <w:rPr>
                <w:iCs/>
                <w:color w:val="auto"/>
                <w:sz w:val="22"/>
                <w:szCs w:val="22"/>
                <w:lang w:val="es-ES"/>
              </w:rPr>
              <w:lastRenderedPageBreak/>
              <w:t>para los CATI y en las actividades de fortalecimiento de capacidades.  Las nuevas guías previstas sobre la utilización de herramientas de análisis de patentes de código abierto pueden emplearse para explorar la elaboración de los informes PLR mediante la utilización exclusivamente de bases de datos y herramientas de análisis de patentes de código abierto gratuitas como alternativa a la explotación de la información sobre patentes por parte de las oficinas de P.I. y otras entidades de países en desarrollo y PMA.</w:t>
            </w:r>
          </w:p>
          <w:p w:rsidR="00691432" w:rsidRPr="0074345C" w:rsidRDefault="00691432" w:rsidP="00AA7A54">
            <w:pPr>
              <w:pStyle w:val="Default"/>
              <w:rPr>
                <w:iCs/>
                <w:color w:val="auto"/>
                <w:sz w:val="22"/>
                <w:szCs w:val="22"/>
                <w:lang w:val="es-ES"/>
              </w:rPr>
            </w:pPr>
          </w:p>
          <w:p w:rsidR="00691432" w:rsidRPr="0074345C" w:rsidRDefault="00691432" w:rsidP="00AA7A54">
            <w:pPr>
              <w:pStyle w:val="Default"/>
              <w:rPr>
                <w:iCs/>
                <w:color w:val="auto"/>
                <w:sz w:val="22"/>
                <w:szCs w:val="22"/>
                <w:lang w:val="es-ES"/>
              </w:rPr>
            </w:pPr>
            <w:r w:rsidRPr="0074345C">
              <w:rPr>
                <w:iCs/>
                <w:color w:val="auto"/>
                <w:sz w:val="22"/>
                <w:szCs w:val="22"/>
                <w:lang w:val="es-ES"/>
              </w:rPr>
              <w:t>Asimismo, también se prevén una serie de actividades de seguimiento:</w:t>
            </w:r>
          </w:p>
          <w:p w:rsidR="00691432" w:rsidRPr="0074345C" w:rsidRDefault="00691432" w:rsidP="00AA7A54">
            <w:pPr>
              <w:pStyle w:val="Default"/>
              <w:rPr>
                <w:iCs/>
                <w:color w:val="auto"/>
                <w:sz w:val="22"/>
                <w:szCs w:val="22"/>
                <w:lang w:val="es-ES"/>
              </w:rPr>
            </w:pPr>
          </w:p>
          <w:p w:rsidR="00691432" w:rsidRPr="0074345C" w:rsidRDefault="00691432" w:rsidP="00AA7A54">
            <w:pPr>
              <w:pStyle w:val="Default"/>
              <w:rPr>
                <w:iCs/>
                <w:color w:val="auto"/>
                <w:sz w:val="22"/>
                <w:szCs w:val="22"/>
                <w:lang w:val="es-ES"/>
              </w:rPr>
            </w:pPr>
            <w:r w:rsidRPr="0074345C">
              <w:rPr>
                <w:iCs/>
                <w:color w:val="auto"/>
                <w:sz w:val="22"/>
                <w:szCs w:val="22"/>
                <w:lang w:val="es-ES"/>
              </w:rPr>
              <w:t>- La traducción de las infografías y los resúmenes de los informes a otros idiomas de trabajo de la Organización garantizará el acceso de más Estados miembros a la información incluida en los informes PLR.</w:t>
            </w:r>
          </w:p>
          <w:p w:rsidR="00691432" w:rsidRPr="0074345C" w:rsidRDefault="00691432" w:rsidP="00AA7A54">
            <w:pPr>
              <w:pStyle w:val="Default"/>
              <w:rPr>
                <w:iCs/>
                <w:color w:val="auto"/>
                <w:sz w:val="22"/>
                <w:szCs w:val="22"/>
                <w:lang w:val="es-ES"/>
              </w:rPr>
            </w:pPr>
          </w:p>
          <w:p w:rsidR="00691432" w:rsidRPr="0074345C" w:rsidRDefault="00691432" w:rsidP="00AA7A54">
            <w:pPr>
              <w:pStyle w:val="Default"/>
              <w:rPr>
                <w:iCs/>
                <w:color w:val="auto"/>
                <w:sz w:val="22"/>
                <w:szCs w:val="22"/>
                <w:lang w:val="es-ES"/>
              </w:rPr>
            </w:pPr>
            <w:r w:rsidRPr="0074345C">
              <w:rPr>
                <w:iCs/>
                <w:color w:val="auto"/>
                <w:sz w:val="22"/>
                <w:szCs w:val="22"/>
                <w:lang w:val="es-ES"/>
              </w:rPr>
              <w:t>- Mayor movilización de las cuestiones sustantivas de los Estados miembros a través de una estrecha cooperación con otros OIG, ya que resulta fundamental para sensibilizar sobre las actividades existentes y para difundir más los informes.</w:t>
            </w:r>
          </w:p>
          <w:p w:rsidR="00691432" w:rsidRPr="0074345C" w:rsidRDefault="00691432" w:rsidP="00AA7A54">
            <w:pPr>
              <w:pStyle w:val="Default"/>
              <w:rPr>
                <w:iCs/>
                <w:color w:val="auto"/>
                <w:sz w:val="22"/>
                <w:szCs w:val="22"/>
                <w:lang w:val="es-ES"/>
              </w:rPr>
            </w:pPr>
          </w:p>
          <w:p w:rsidR="00691432" w:rsidRPr="0074345C" w:rsidRDefault="00691432" w:rsidP="00AA7A54">
            <w:pPr>
              <w:pStyle w:val="Default"/>
              <w:rPr>
                <w:iCs/>
                <w:color w:val="auto"/>
                <w:sz w:val="22"/>
                <w:szCs w:val="22"/>
                <w:lang w:val="es-ES"/>
              </w:rPr>
            </w:pPr>
            <w:r w:rsidRPr="0074345C">
              <w:rPr>
                <w:iCs/>
                <w:color w:val="auto"/>
                <w:sz w:val="22"/>
                <w:szCs w:val="22"/>
                <w:lang w:val="es-ES"/>
              </w:rPr>
              <w:t>- Inclusión de los informes PLR y las guías sobre elaboración de informes PLR en los Centros de Apoyo a la Tecnología y la Innovación (CATI) como material didáctico y de información, así se garantizará el fortalecimiento de las capacidades en los CATI de varios Estados miembros y se reforzarán sus competencias en el ámbito del análisis de patentes a través de una mayor difusión de la información sobre patentes que se incluye en los informes.</w:t>
            </w:r>
          </w:p>
          <w:p w:rsidR="00691432" w:rsidRPr="0074345C" w:rsidRDefault="00691432" w:rsidP="00AA7A54">
            <w:pPr>
              <w:pStyle w:val="Default"/>
              <w:rPr>
                <w:i/>
                <w:iCs/>
                <w:color w:val="auto"/>
                <w:sz w:val="22"/>
                <w:szCs w:val="22"/>
                <w:lang w:val="es-ES"/>
              </w:rPr>
            </w:pPr>
          </w:p>
        </w:tc>
      </w:tr>
    </w:tbl>
    <w:p w:rsidR="00691432" w:rsidRPr="0074345C" w:rsidRDefault="00691432" w:rsidP="00691432">
      <w:r w:rsidRPr="0074345C">
        <w:lastRenderedPageBreak/>
        <w:br w:type="page"/>
      </w:r>
    </w:p>
    <w:tbl>
      <w:tblPr>
        <w:tblW w:w="9287" w:type="dxa"/>
        <w:tblLayout w:type="fixed"/>
        <w:tblLook w:val="01E0" w:firstRow="1" w:lastRow="1" w:firstColumn="1" w:lastColumn="1" w:noHBand="0" w:noVBand="0"/>
      </w:tblPr>
      <w:tblGrid>
        <w:gridCol w:w="9287"/>
      </w:tblGrid>
      <w:tr w:rsidR="00691432" w:rsidRPr="0074345C" w:rsidTr="00AA7A54">
        <w:trPr>
          <w:trHeight w:val="494"/>
        </w:trPr>
        <w:tc>
          <w:tcPr>
            <w:tcW w:w="9287" w:type="dxa"/>
            <w:vAlign w:val="center"/>
            <w:hideMark/>
          </w:tcPr>
          <w:p w:rsidR="00691432" w:rsidRPr="0074345C" w:rsidRDefault="00691432" w:rsidP="00AA7A54">
            <w:pPr>
              <w:rPr>
                <w:szCs w:val="22"/>
              </w:rPr>
            </w:pPr>
            <w:r w:rsidRPr="0074345C">
              <w:rPr>
                <w:szCs w:val="22"/>
              </w:rPr>
              <w:lastRenderedPageBreak/>
              <w:br w:type="page"/>
            </w:r>
            <w:r w:rsidRPr="0074345C">
              <w:rPr>
                <w:szCs w:val="22"/>
              </w:rPr>
              <w:br w:type="page"/>
              <w:t>EVALUACIÓN INTERNA DEL PROYECTO</w:t>
            </w:r>
          </w:p>
        </w:tc>
      </w:tr>
    </w:tbl>
    <w:p w:rsidR="00691432" w:rsidRPr="0074345C" w:rsidRDefault="00691432" w:rsidP="00691432">
      <w:pPr>
        <w:widowControl w:val="0"/>
        <w:autoSpaceDE w:val="0"/>
        <w:autoSpaceDN w:val="0"/>
        <w:adjustRightInd w:val="0"/>
        <w:rPr>
          <w:szCs w:val="22"/>
        </w:rPr>
      </w:pPr>
    </w:p>
    <w:p w:rsidR="00691432" w:rsidRPr="0074345C" w:rsidRDefault="00691432" w:rsidP="00691432">
      <w:pPr>
        <w:widowControl w:val="0"/>
        <w:autoSpaceDE w:val="0"/>
        <w:autoSpaceDN w:val="0"/>
        <w:adjustRightInd w:val="0"/>
        <w:rPr>
          <w:szCs w:val="22"/>
        </w:rPr>
      </w:pPr>
    </w:p>
    <w:p w:rsidR="00691432" w:rsidRPr="0074345C" w:rsidRDefault="00691432" w:rsidP="00691432">
      <w:pPr>
        <w:widowControl w:val="0"/>
        <w:autoSpaceDE w:val="0"/>
        <w:autoSpaceDN w:val="0"/>
        <w:adjustRightInd w:val="0"/>
        <w:rPr>
          <w:szCs w:val="22"/>
        </w:rPr>
      </w:pPr>
      <w:r w:rsidRPr="0074345C">
        <w:rPr>
          <w:szCs w:val="22"/>
        </w:rPr>
        <w:t>Clave de los colores</w:t>
      </w:r>
    </w:p>
    <w:p w:rsidR="00691432" w:rsidRPr="0074345C" w:rsidRDefault="00691432" w:rsidP="00691432">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91"/>
        <w:gridCol w:w="1628"/>
        <w:gridCol w:w="1744"/>
        <w:gridCol w:w="1838"/>
        <w:gridCol w:w="2705"/>
      </w:tblGrid>
      <w:tr w:rsidR="006376E7" w:rsidRPr="0074345C" w:rsidTr="00AA7A54">
        <w:trPr>
          <w:trHeight w:val="469"/>
        </w:trPr>
        <w:tc>
          <w:tcPr>
            <w:tcW w:w="1372"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widowControl w:val="0"/>
              <w:autoSpaceDE w:val="0"/>
              <w:autoSpaceDN w:val="0"/>
              <w:adjustRightInd w:val="0"/>
              <w:jc w:val="center"/>
              <w:rPr>
                <w:szCs w:val="22"/>
              </w:rPr>
            </w:pPr>
            <w:r w:rsidRPr="0074345C">
              <w:rPr>
                <w:noProof/>
                <w:szCs w:val="22"/>
              </w:rPr>
              <w:t>****</w:t>
            </w:r>
          </w:p>
        </w:tc>
        <w:tc>
          <w:tcPr>
            <w:tcW w:w="1628"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widowControl w:val="0"/>
              <w:autoSpaceDE w:val="0"/>
              <w:autoSpaceDN w:val="0"/>
              <w:adjustRightInd w:val="0"/>
              <w:jc w:val="center"/>
              <w:rPr>
                <w:szCs w:val="22"/>
              </w:rPr>
            </w:pPr>
            <w:r w:rsidRPr="0074345C">
              <w:rPr>
                <w:szCs w:val="22"/>
              </w:rPr>
              <w:t>***</w:t>
            </w:r>
          </w:p>
        </w:tc>
        <w:tc>
          <w:tcPr>
            <w:tcW w:w="1744"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widowControl w:val="0"/>
              <w:autoSpaceDE w:val="0"/>
              <w:autoSpaceDN w:val="0"/>
              <w:adjustRightInd w:val="0"/>
              <w:jc w:val="center"/>
              <w:rPr>
                <w:szCs w:val="22"/>
              </w:rPr>
            </w:pPr>
            <w:r w:rsidRPr="0074345C">
              <w:rPr>
                <w:szCs w:val="22"/>
              </w:rPr>
              <w:t>**</w:t>
            </w:r>
          </w:p>
        </w:tc>
        <w:tc>
          <w:tcPr>
            <w:tcW w:w="1838"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widowControl w:val="0"/>
              <w:autoSpaceDE w:val="0"/>
              <w:autoSpaceDN w:val="0"/>
              <w:adjustRightInd w:val="0"/>
              <w:jc w:val="center"/>
              <w:rPr>
                <w:szCs w:val="22"/>
              </w:rPr>
            </w:pPr>
            <w:r w:rsidRPr="0074345C">
              <w:rPr>
                <w:szCs w:val="22"/>
              </w:rPr>
              <w:t>NA</w:t>
            </w:r>
          </w:p>
        </w:tc>
        <w:tc>
          <w:tcPr>
            <w:tcW w:w="2705"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widowControl w:val="0"/>
              <w:autoSpaceDE w:val="0"/>
              <w:autoSpaceDN w:val="0"/>
              <w:adjustRightInd w:val="0"/>
              <w:jc w:val="center"/>
              <w:rPr>
                <w:szCs w:val="22"/>
              </w:rPr>
            </w:pPr>
            <w:r w:rsidRPr="0074345C">
              <w:rPr>
                <w:szCs w:val="22"/>
              </w:rPr>
              <w:t>SE/AD</w:t>
            </w:r>
          </w:p>
        </w:tc>
      </w:tr>
      <w:tr w:rsidR="00691432" w:rsidRPr="0074345C" w:rsidTr="00AA7A54">
        <w:tc>
          <w:tcPr>
            <w:tcW w:w="1372"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widowControl w:val="0"/>
              <w:autoSpaceDE w:val="0"/>
              <w:autoSpaceDN w:val="0"/>
              <w:adjustRightInd w:val="0"/>
              <w:jc w:val="center"/>
              <w:rPr>
                <w:szCs w:val="22"/>
              </w:rPr>
            </w:pPr>
            <w:r w:rsidRPr="0074345C">
              <w:rPr>
                <w:szCs w:val="22"/>
              </w:rPr>
              <w:t>Plenamente logrado.</w:t>
            </w:r>
          </w:p>
        </w:tc>
        <w:tc>
          <w:tcPr>
            <w:tcW w:w="1628"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widowControl w:val="0"/>
              <w:autoSpaceDE w:val="0"/>
              <w:autoSpaceDN w:val="0"/>
              <w:adjustRightInd w:val="0"/>
              <w:jc w:val="center"/>
              <w:rPr>
                <w:szCs w:val="22"/>
              </w:rPr>
            </w:pPr>
            <w:r w:rsidRPr="0074345C">
              <w:rPr>
                <w:szCs w:val="22"/>
              </w:rPr>
              <w:t>Avance notable</w:t>
            </w:r>
          </w:p>
        </w:tc>
        <w:tc>
          <w:tcPr>
            <w:tcW w:w="1744"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widowControl w:val="0"/>
              <w:autoSpaceDE w:val="0"/>
              <w:autoSpaceDN w:val="0"/>
              <w:adjustRightInd w:val="0"/>
              <w:jc w:val="center"/>
              <w:rPr>
                <w:szCs w:val="22"/>
              </w:rPr>
            </w:pPr>
            <w:r w:rsidRPr="0074345C">
              <w:rPr>
                <w:szCs w:val="22"/>
              </w:rPr>
              <w:t>Avance</w:t>
            </w:r>
          </w:p>
        </w:tc>
        <w:tc>
          <w:tcPr>
            <w:tcW w:w="1838"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widowControl w:val="0"/>
              <w:autoSpaceDE w:val="0"/>
              <w:autoSpaceDN w:val="0"/>
              <w:adjustRightInd w:val="0"/>
              <w:jc w:val="center"/>
              <w:rPr>
                <w:szCs w:val="22"/>
              </w:rPr>
            </w:pPr>
            <w:r w:rsidRPr="0074345C">
              <w:rPr>
                <w:szCs w:val="22"/>
              </w:rPr>
              <w:t>Ningún avance</w:t>
            </w:r>
          </w:p>
        </w:tc>
        <w:tc>
          <w:tcPr>
            <w:tcW w:w="2705"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widowControl w:val="0"/>
              <w:autoSpaceDE w:val="0"/>
              <w:autoSpaceDN w:val="0"/>
              <w:adjustRightInd w:val="0"/>
              <w:jc w:val="center"/>
              <w:rPr>
                <w:szCs w:val="22"/>
              </w:rPr>
            </w:pPr>
            <w:r w:rsidRPr="0074345C">
              <w:rPr>
                <w:szCs w:val="22"/>
              </w:rPr>
              <w:t>Sin evaluar /actividad discontinuada</w:t>
            </w:r>
          </w:p>
        </w:tc>
      </w:tr>
    </w:tbl>
    <w:p w:rsidR="00691432" w:rsidRPr="0074345C" w:rsidRDefault="00691432" w:rsidP="00691432">
      <w:pPr>
        <w:widowControl w:val="0"/>
        <w:tabs>
          <w:tab w:val="left" w:pos="0"/>
          <w:tab w:val="left" w:pos="3402"/>
          <w:tab w:val="left" w:pos="4111"/>
          <w:tab w:val="left" w:pos="5387"/>
        </w:tabs>
        <w:autoSpaceDE w:val="0"/>
        <w:autoSpaceDN w:val="0"/>
        <w:adjustRightInd w:val="0"/>
        <w:rPr>
          <w:szCs w:val="22"/>
        </w:rPr>
      </w:pPr>
    </w:p>
    <w:p w:rsidR="00691432" w:rsidRPr="0074345C" w:rsidRDefault="00691432" w:rsidP="00691432">
      <w:pPr>
        <w:widowControl w:val="0"/>
        <w:tabs>
          <w:tab w:val="left" w:pos="0"/>
          <w:tab w:val="left" w:pos="3402"/>
          <w:tab w:val="left" w:pos="4111"/>
          <w:tab w:val="left" w:pos="5387"/>
        </w:tabs>
        <w:autoSpaceDE w:val="0"/>
        <w:autoSpaceDN w:val="0"/>
        <w:adjustRightInd w:val="0"/>
        <w:rPr>
          <w:szCs w:val="22"/>
        </w:rPr>
      </w:pPr>
    </w:p>
    <w:tbl>
      <w:tblPr>
        <w:tblW w:w="9474"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2"/>
        <w:gridCol w:w="2695"/>
        <w:gridCol w:w="3403"/>
        <w:gridCol w:w="964"/>
      </w:tblGrid>
      <w:tr w:rsidR="006376E7" w:rsidRPr="0074345C" w:rsidTr="009F2FA4">
        <w:trPr>
          <w:trHeight w:val="616"/>
          <w:tblHeader/>
        </w:trPr>
        <w:tc>
          <w:tcPr>
            <w:tcW w:w="2412"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jc w:val="center"/>
              <w:rPr>
                <w:bCs/>
                <w:szCs w:val="22"/>
                <w:u w:val="single"/>
              </w:rPr>
            </w:pPr>
            <w:r w:rsidRPr="0074345C">
              <w:rPr>
                <w:bCs/>
                <w:szCs w:val="22"/>
                <w:u w:val="single"/>
              </w:rPr>
              <w:t>Productos del proyecto</w:t>
            </w:r>
            <w:r w:rsidRPr="0074345C">
              <w:rPr>
                <w:bCs/>
                <w:szCs w:val="22"/>
                <w:u w:val="single"/>
                <w:vertAlign w:val="superscript"/>
              </w:rPr>
              <w:footnoteReference w:id="12"/>
            </w:r>
          </w:p>
          <w:p w:rsidR="00691432" w:rsidRPr="0074345C" w:rsidRDefault="00691432" w:rsidP="00AA7A54">
            <w:pPr>
              <w:jc w:val="center"/>
              <w:rPr>
                <w:bCs/>
                <w:szCs w:val="22"/>
                <w:u w:val="single"/>
              </w:rPr>
            </w:pPr>
            <w:r w:rsidRPr="0074345C">
              <w:rPr>
                <w:bCs/>
                <w:szCs w:val="22"/>
                <w:u w:val="single"/>
              </w:rPr>
              <w:t>(Resultado previsto)</w:t>
            </w:r>
          </w:p>
        </w:tc>
        <w:tc>
          <w:tcPr>
            <w:tcW w:w="2695" w:type="dxa"/>
            <w:tcBorders>
              <w:top w:val="single" w:sz="2" w:space="0" w:color="000000"/>
              <w:left w:val="single" w:sz="2" w:space="0" w:color="000000"/>
              <w:bottom w:val="single" w:sz="2" w:space="0" w:color="000000"/>
              <w:right w:val="single" w:sz="2" w:space="0" w:color="000000"/>
            </w:tcBorders>
            <w:vAlign w:val="center"/>
          </w:tcPr>
          <w:p w:rsidR="00691432" w:rsidRPr="0074345C" w:rsidRDefault="00691432" w:rsidP="00AA7A54">
            <w:pPr>
              <w:jc w:val="center"/>
              <w:rPr>
                <w:bCs/>
                <w:szCs w:val="22"/>
                <w:u w:val="single"/>
              </w:rPr>
            </w:pPr>
          </w:p>
          <w:p w:rsidR="00691432" w:rsidRPr="0074345C" w:rsidRDefault="00691432" w:rsidP="00AA7A54">
            <w:pPr>
              <w:jc w:val="center"/>
              <w:rPr>
                <w:bCs/>
                <w:szCs w:val="22"/>
                <w:u w:val="single"/>
              </w:rPr>
            </w:pPr>
            <w:r w:rsidRPr="0074345C">
              <w:rPr>
                <w:bCs/>
                <w:szCs w:val="22"/>
                <w:u w:val="single"/>
              </w:rPr>
              <w:t>Indicadores de obtención de resultados</w:t>
            </w:r>
          </w:p>
          <w:p w:rsidR="00691432" w:rsidRPr="0074345C" w:rsidRDefault="00691432" w:rsidP="00AA7A54">
            <w:pPr>
              <w:jc w:val="center"/>
              <w:rPr>
                <w:bCs/>
                <w:szCs w:val="22"/>
                <w:u w:val="single"/>
              </w:rPr>
            </w:pPr>
          </w:p>
        </w:tc>
        <w:tc>
          <w:tcPr>
            <w:tcW w:w="3403"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jc w:val="center"/>
              <w:rPr>
                <w:rFonts w:eastAsia="MS Mincho"/>
                <w:bCs/>
                <w:szCs w:val="22"/>
                <w:u w:val="single"/>
                <w:lang w:eastAsia="ja-JP"/>
              </w:rPr>
            </w:pPr>
            <w:r w:rsidRPr="0074345C">
              <w:rPr>
                <w:rFonts w:eastAsia="MS Mincho"/>
                <w:bCs/>
                <w:szCs w:val="22"/>
                <w:u w:val="single"/>
                <w:lang w:eastAsia="ja-JP"/>
              </w:rPr>
              <w:t>Datos sobre el rendimiento</w:t>
            </w:r>
          </w:p>
        </w:tc>
        <w:tc>
          <w:tcPr>
            <w:tcW w:w="964" w:type="dxa"/>
            <w:tcBorders>
              <w:top w:val="single" w:sz="2" w:space="0" w:color="000000"/>
              <w:left w:val="single" w:sz="2" w:space="0" w:color="000000"/>
              <w:bottom w:val="single" w:sz="2" w:space="0" w:color="000000"/>
              <w:right w:val="single" w:sz="2" w:space="0" w:color="000000"/>
            </w:tcBorders>
            <w:vAlign w:val="center"/>
            <w:hideMark/>
          </w:tcPr>
          <w:p w:rsidR="00691432" w:rsidRPr="0074345C" w:rsidRDefault="00691432" w:rsidP="00AA7A54">
            <w:pPr>
              <w:jc w:val="center"/>
              <w:rPr>
                <w:bCs/>
                <w:szCs w:val="22"/>
                <w:u w:val="single"/>
              </w:rPr>
            </w:pPr>
            <w:r w:rsidRPr="0074345C">
              <w:rPr>
                <w:bCs/>
                <w:szCs w:val="22"/>
                <w:u w:val="single"/>
              </w:rPr>
              <w:t>Clave de colores</w:t>
            </w:r>
          </w:p>
        </w:tc>
      </w:tr>
      <w:tr w:rsidR="006376E7" w:rsidRPr="0074345C" w:rsidTr="009F2FA4">
        <w:trPr>
          <w:trHeight w:val="509"/>
        </w:trPr>
        <w:tc>
          <w:tcPr>
            <w:tcW w:w="2412"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rPr>
                <w:bCs/>
                <w:szCs w:val="22"/>
              </w:rPr>
            </w:pPr>
            <w:r w:rsidRPr="0074345C">
              <w:rPr>
                <w:bCs/>
                <w:szCs w:val="22"/>
              </w:rPr>
              <w:t>Elaboración de PLR en determinadas esferas de interés</w:t>
            </w:r>
          </w:p>
        </w:tc>
        <w:tc>
          <w:tcPr>
            <w:tcW w:w="2695"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rPr>
                <w:bCs/>
                <w:szCs w:val="22"/>
              </w:rPr>
            </w:pPr>
            <w:r w:rsidRPr="0074345C">
              <w:rPr>
                <w:bCs/>
                <w:szCs w:val="22"/>
              </w:rPr>
              <w:t>6 nuevos informes PLR completados en la fase II del proyecto y en colaboración con al menos dos nuevas instituciones asociadas</w:t>
            </w:r>
          </w:p>
        </w:tc>
        <w:tc>
          <w:tcPr>
            <w:tcW w:w="3403"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keepLines/>
              <w:numPr>
                <w:ilvl w:val="0"/>
                <w:numId w:val="23"/>
              </w:numPr>
              <w:tabs>
                <w:tab w:val="left" w:pos="709"/>
              </w:tabs>
              <w:rPr>
                <w:rFonts w:eastAsia="MS Mincho" w:cs="ArialMT"/>
                <w:szCs w:val="22"/>
                <w:lang w:eastAsia="ja-JP" w:bidi="th-TH"/>
              </w:rPr>
            </w:pPr>
            <w:r w:rsidRPr="0074345C">
              <w:t>Tecnologías de reciclaje de residuos electrónicos en cooperación con el PNUMA/la Secretaría del Convenio de Basilea (SBC);</w:t>
            </w:r>
          </w:p>
          <w:p w:rsidR="00691432" w:rsidRPr="0074345C" w:rsidRDefault="00691432" w:rsidP="00AA7A54">
            <w:pPr>
              <w:keepNext/>
              <w:keepLines/>
              <w:numPr>
                <w:ilvl w:val="0"/>
                <w:numId w:val="23"/>
              </w:numPr>
              <w:tabs>
                <w:tab w:val="left" w:pos="709"/>
              </w:tabs>
              <w:rPr>
                <w:rFonts w:eastAsia="MS Mincho" w:cs="ArialMT"/>
                <w:szCs w:val="22"/>
                <w:lang w:eastAsia="ja-JP" w:bidi="th-TH"/>
              </w:rPr>
            </w:pPr>
            <w:r w:rsidRPr="0074345C">
              <w:t xml:space="preserve">Recursos genéticos animales en cooperación con la División de Sanidad Animal de la </w:t>
            </w:r>
            <w:r w:rsidRPr="0074345C">
              <w:rPr>
                <w:rStyle w:val="es"/>
              </w:rPr>
              <w:t>Organización de las Naciones Unidas para la Alimentación y la Agricultura</w:t>
            </w:r>
            <w:r w:rsidRPr="0074345C">
              <w:t xml:space="preserve"> (FAO);</w:t>
            </w:r>
          </w:p>
          <w:p w:rsidR="00691432" w:rsidRPr="0074345C" w:rsidRDefault="00691432" w:rsidP="00AA7A54">
            <w:pPr>
              <w:keepNext/>
              <w:keepLines/>
              <w:numPr>
                <w:ilvl w:val="0"/>
                <w:numId w:val="23"/>
              </w:numPr>
              <w:tabs>
                <w:tab w:val="left" w:pos="709"/>
              </w:tabs>
              <w:rPr>
                <w:rFonts w:eastAsia="MS Mincho" w:cs="ArialMT"/>
                <w:szCs w:val="22"/>
                <w:lang w:eastAsia="ja-JP" w:bidi="th-TH"/>
              </w:rPr>
            </w:pPr>
            <w:r w:rsidRPr="0074345C">
              <w:t>Tecnologías relativas al acelerador de partículas y sus usos industriales y médicos en colaboración con la Organización Europea de Investigación Nuclear (CERN);</w:t>
            </w:r>
          </w:p>
          <w:p w:rsidR="00691432" w:rsidRPr="0074345C" w:rsidRDefault="00691432" w:rsidP="00AA7A54">
            <w:pPr>
              <w:keepNext/>
              <w:keepLines/>
              <w:numPr>
                <w:ilvl w:val="0"/>
                <w:numId w:val="23"/>
              </w:numPr>
              <w:tabs>
                <w:tab w:val="left" w:pos="709"/>
              </w:tabs>
              <w:rPr>
                <w:rFonts w:eastAsia="MS Mincho" w:cs="ArialMT"/>
                <w:szCs w:val="22"/>
                <w:lang w:eastAsia="ja-JP" w:bidi="th-TH"/>
              </w:rPr>
            </w:pPr>
            <w:r w:rsidRPr="0074345C">
              <w:t>Dispositivos de asistencia y tecnologías conexas para personas con discapacidad visual y auditiva;</w:t>
            </w:r>
          </w:p>
          <w:p w:rsidR="00691432" w:rsidRPr="0074345C" w:rsidRDefault="00691432" w:rsidP="00AA7A54">
            <w:pPr>
              <w:keepNext/>
              <w:keepLines/>
              <w:numPr>
                <w:ilvl w:val="0"/>
                <w:numId w:val="23"/>
              </w:numPr>
              <w:tabs>
                <w:tab w:val="left" w:pos="709"/>
              </w:tabs>
              <w:rPr>
                <w:rFonts w:eastAsia="MS Mincho" w:cs="ArialMT"/>
                <w:szCs w:val="22"/>
                <w:lang w:eastAsia="ja-JP" w:bidi="th-TH"/>
              </w:rPr>
            </w:pPr>
            <w:r w:rsidRPr="0074345C">
              <w:t xml:space="preserve">Informe actualizado sobre </w:t>
            </w:r>
            <w:proofErr w:type="spellStart"/>
            <w:r w:rsidRPr="0074345C">
              <w:t>Ritonavir</w:t>
            </w:r>
            <w:proofErr w:type="spellEnd"/>
            <w:r w:rsidRPr="0074345C">
              <w:t>;</w:t>
            </w:r>
          </w:p>
          <w:p w:rsidR="00691432" w:rsidRPr="0074345C" w:rsidRDefault="00691432" w:rsidP="00AA7A54">
            <w:pPr>
              <w:keepNext/>
              <w:keepLines/>
              <w:numPr>
                <w:ilvl w:val="0"/>
                <w:numId w:val="23"/>
              </w:numPr>
              <w:tabs>
                <w:tab w:val="left" w:pos="709"/>
              </w:tabs>
              <w:rPr>
                <w:rFonts w:eastAsia="MS Mincho" w:cs="ArialMT"/>
                <w:szCs w:val="22"/>
                <w:lang w:eastAsia="ja-JP" w:bidi="th-TH"/>
              </w:rPr>
            </w:pPr>
            <w:r w:rsidRPr="0074345C">
              <w:t>Determinadas enfermedades desatendidas.</w:t>
            </w:r>
          </w:p>
          <w:p w:rsidR="00691432" w:rsidRPr="0074345C" w:rsidRDefault="00691432" w:rsidP="00AA7A54">
            <w:pPr>
              <w:keepNext/>
              <w:keepLines/>
              <w:tabs>
                <w:tab w:val="left" w:pos="709"/>
              </w:tabs>
              <w:jc w:val="both"/>
            </w:pPr>
          </w:p>
          <w:p w:rsidR="00691432" w:rsidRPr="0074345C" w:rsidRDefault="00691432" w:rsidP="00AA7A54">
            <w:pPr>
              <w:keepNext/>
              <w:keepLines/>
              <w:tabs>
                <w:tab w:val="left" w:pos="709"/>
              </w:tabs>
            </w:pPr>
            <w:r w:rsidRPr="0074345C">
              <w:t xml:space="preserve">Tres nuevos colaboradores para la cooperación: PNUMA (Secretaría del Convenio de Basilea), el CERN y la División </w:t>
            </w:r>
            <w:r w:rsidRPr="0074345C">
              <w:lastRenderedPageBreak/>
              <w:t>de Sanidad Animal de la FAO.</w:t>
            </w:r>
          </w:p>
          <w:p w:rsidR="00691432" w:rsidRPr="0074345C" w:rsidRDefault="00691432" w:rsidP="00AA7A54">
            <w:pPr>
              <w:keepNext/>
              <w:keepLines/>
              <w:tabs>
                <w:tab w:val="left" w:pos="709"/>
              </w:tabs>
            </w:pPr>
          </w:p>
          <w:p w:rsidR="00691432" w:rsidRPr="0074345C" w:rsidRDefault="00691432" w:rsidP="00AA7A54">
            <w:pPr>
              <w:keepNext/>
              <w:keepLines/>
              <w:tabs>
                <w:tab w:val="left" w:pos="709"/>
              </w:tabs>
            </w:pPr>
            <w:r w:rsidRPr="0074345C">
              <w:t>Además, se añadieron 7 infografías al sitio web de la OMPI sobre informes PLR.</w:t>
            </w:r>
          </w:p>
          <w:p w:rsidR="00691432" w:rsidRPr="0074345C" w:rsidRDefault="00691432" w:rsidP="00AA7A54">
            <w:pPr>
              <w:rPr>
                <w:szCs w:val="22"/>
              </w:rPr>
            </w:pPr>
          </w:p>
        </w:tc>
        <w:tc>
          <w:tcPr>
            <w:tcW w:w="964"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jc w:val="center"/>
              <w:rPr>
                <w:szCs w:val="22"/>
              </w:rPr>
            </w:pPr>
            <w:r w:rsidRPr="0074345C">
              <w:rPr>
                <w:szCs w:val="22"/>
              </w:rPr>
              <w:lastRenderedPageBreak/>
              <w:t>****</w:t>
            </w:r>
          </w:p>
        </w:tc>
      </w:tr>
      <w:tr w:rsidR="006376E7" w:rsidRPr="0074345C" w:rsidTr="009F2FA4">
        <w:trPr>
          <w:trHeight w:val="509"/>
        </w:trPr>
        <w:tc>
          <w:tcPr>
            <w:tcW w:w="2412"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pPr>
            <w:r w:rsidRPr="0074345C">
              <w:lastRenderedPageBreak/>
              <w:t>Mejora del sitio web sobre informes PLR con información adicional para facilitar la difusión de los mismos</w:t>
            </w:r>
          </w:p>
          <w:p w:rsidR="00691432" w:rsidRPr="0074345C" w:rsidRDefault="00691432" w:rsidP="00AA7A54">
            <w:pPr>
              <w:keepNext/>
              <w:rPr>
                <w:bCs/>
                <w:szCs w:val="22"/>
              </w:rPr>
            </w:pPr>
          </w:p>
        </w:tc>
        <w:tc>
          <w:tcPr>
            <w:tcW w:w="2695"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pPr>
            <w:r w:rsidRPr="0074345C">
              <w:t>Adición en el sitio web, durante la fase II, de 20 informes PLR elaborados en la OMPI y en otras instituciones</w:t>
            </w:r>
          </w:p>
          <w:p w:rsidR="00691432" w:rsidRPr="0074345C" w:rsidRDefault="00691432" w:rsidP="00AA7A54">
            <w:pPr>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pPr>
            <w:r w:rsidRPr="0074345C">
              <w:t>Durante la fase II, se añadieron en el sitio web 51 nuevos informes PLR externos.</w:t>
            </w:r>
          </w:p>
        </w:tc>
        <w:tc>
          <w:tcPr>
            <w:tcW w:w="964"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rPr>
                <w:szCs w:val="22"/>
              </w:rPr>
            </w:pPr>
            <w:r w:rsidRPr="0074345C">
              <w:rPr>
                <w:szCs w:val="22"/>
              </w:rPr>
              <w:t>****</w:t>
            </w:r>
          </w:p>
        </w:tc>
      </w:tr>
      <w:tr w:rsidR="006376E7" w:rsidRPr="0074345C" w:rsidTr="009F2FA4">
        <w:trPr>
          <w:trHeight w:val="509"/>
        </w:trPr>
        <w:tc>
          <w:tcPr>
            <w:tcW w:w="2412"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 w:rsidR="00691432" w:rsidRPr="0074345C" w:rsidRDefault="00691432" w:rsidP="00AA7A54">
            <w:pPr>
              <w:rPr>
                <w:bCs/>
                <w:szCs w:val="22"/>
              </w:rPr>
            </w:pPr>
            <w:r w:rsidRPr="0074345C">
              <w:rPr>
                <w:bCs/>
                <w:szCs w:val="22"/>
              </w:rPr>
              <w:t>Intercambio de experiencias y prácticas más extendidas entre las oficinas de P.I. y otras instituciones relacionadas con la P.I. (CATI, OTT).</w:t>
            </w:r>
          </w:p>
        </w:tc>
        <w:tc>
          <w:tcPr>
            <w:tcW w:w="2695"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 w:rsidR="00691432" w:rsidRPr="0074345C" w:rsidRDefault="00691432" w:rsidP="00AA7A54">
            <w:r w:rsidRPr="0074345C">
              <w:t>Organización de una conferencia o un taller regional sobre análisis de patentes y participación en otras actividades.</w:t>
            </w:r>
          </w:p>
        </w:tc>
        <w:tc>
          <w:tcPr>
            <w:tcW w:w="3403"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 w:rsidR="00691432" w:rsidRPr="0074345C" w:rsidRDefault="00691432" w:rsidP="00AA7A54">
            <w:r w:rsidRPr="0074345C">
              <w:t>Se celebraron dos talleres regionales sobre análisis de patentes en Río de Janeiro, Brasil, en agosto de 2013, y en Manila, Filipinas, en diciembre de 2013, en colaboración con el Instituto Nacional de la Propiedad Industrial (INPI) del Brasil y la Oficina de Propiedad Intelectual de Filipinas (IPOPHL), respectivamente.  Durante estos talleres, oficinas de P.I. de diversos países de América Central, América Latina y Asia Sudoriental participaron y presentaron sus intereses, desafíos, necesidades y experiencias en materia de análisis de patentes.</w:t>
            </w:r>
          </w:p>
          <w:p w:rsidR="00691432" w:rsidRPr="0074345C" w:rsidRDefault="00691432" w:rsidP="00AA7A54">
            <w:pPr>
              <w:rPr>
                <w:szCs w:val="22"/>
              </w:rPr>
            </w:pPr>
          </w:p>
        </w:tc>
        <w:tc>
          <w:tcPr>
            <w:tcW w:w="964"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jc w:val="center"/>
              <w:rPr>
                <w:szCs w:val="22"/>
              </w:rPr>
            </w:pPr>
          </w:p>
          <w:p w:rsidR="00691432" w:rsidRPr="0074345C" w:rsidRDefault="00691432" w:rsidP="00AA7A54">
            <w:pPr>
              <w:rPr>
                <w:szCs w:val="22"/>
              </w:rPr>
            </w:pPr>
            <w:r w:rsidRPr="0074345C">
              <w:rPr>
                <w:szCs w:val="22"/>
              </w:rPr>
              <w:t>****</w:t>
            </w:r>
          </w:p>
        </w:tc>
      </w:tr>
      <w:tr w:rsidR="006376E7" w:rsidRPr="0074345C" w:rsidTr="009F2FA4">
        <w:trPr>
          <w:trHeight w:val="509"/>
        </w:trPr>
        <w:tc>
          <w:tcPr>
            <w:tcW w:w="2412"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 w:rsidR="00691432" w:rsidRPr="0074345C" w:rsidRDefault="00691432" w:rsidP="00AA7A54">
            <w:pPr>
              <w:rPr>
                <w:bCs/>
                <w:szCs w:val="22"/>
              </w:rPr>
            </w:pPr>
            <w:r w:rsidRPr="0074345C">
              <w:rPr>
                <w:bCs/>
                <w:szCs w:val="22"/>
              </w:rPr>
              <w:t>Elaborar directrices metodológicas para la elaboración de los  PLR</w:t>
            </w:r>
          </w:p>
        </w:tc>
        <w:tc>
          <w:tcPr>
            <w:tcW w:w="2695"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pPr>
          </w:p>
          <w:p w:rsidR="00691432" w:rsidRPr="0074345C" w:rsidRDefault="00691432" w:rsidP="00AA7A54">
            <w:pPr>
              <w:keepNext/>
            </w:pPr>
            <w:r w:rsidRPr="0074345C">
              <w:t>Tarea finalizada en los 12 meses posteriores al inicio de la fase II del proyecto</w:t>
            </w:r>
          </w:p>
          <w:p w:rsidR="00691432" w:rsidRPr="0074345C" w:rsidRDefault="00691432" w:rsidP="00AA7A54">
            <w:pPr>
              <w:ind w:firstLine="720"/>
              <w:rPr>
                <w:szCs w:val="22"/>
              </w:rPr>
            </w:pPr>
          </w:p>
        </w:tc>
        <w:tc>
          <w:tcPr>
            <w:tcW w:w="3403"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 w:rsidR="00691432" w:rsidRPr="0074345C" w:rsidRDefault="00691432" w:rsidP="00AA7A54">
            <w:r w:rsidRPr="0074345C">
              <w:t>Un experto externo elaboró las directrices, con ayuda y revisión de la OMPI, teniendo en cuenta las opiniones recibidas durante los dos talleres regionales por parte de las oficinas de P.I. y de los participantes.</w:t>
            </w:r>
          </w:p>
        </w:tc>
        <w:tc>
          <w:tcPr>
            <w:tcW w:w="964"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rPr>
                <w:szCs w:val="22"/>
              </w:rPr>
            </w:pPr>
          </w:p>
          <w:p w:rsidR="00691432" w:rsidRPr="0074345C" w:rsidRDefault="00691432" w:rsidP="00AA7A54">
            <w:pPr>
              <w:rPr>
                <w:szCs w:val="22"/>
              </w:rPr>
            </w:pPr>
            <w:r w:rsidRPr="0074345C">
              <w:rPr>
                <w:szCs w:val="22"/>
              </w:rPr>
              <w:t>****</w:t>
            </w:r>
          </w:p>
        </w:tc>
      </w:tr>
    </w:tbl>
    <w:p w:rsidR="00691432" w:rsidRPr="0074345C" w:rsidRDefault="00691432" w:rsidP="00691432">
      <w:pPr>
        <w:tabs>
          <w:tab w:val="left" w:pos="9060"/>
        </w:tabs>
        <w:rPr>
          <w:szCs w:val="22"/>
        </w:rPr>
      </w:pPr>
    </w:p>
    <w:tbl>
      <w:tblPr>
        <w:tblW w:w="9474" w:type="dxa"/>
        <w:tblInd w:w="-34" w:type="dxa"/>
        <w:tblLayout w:type="fixed"/>
        <w:tblLook w:val="01E0" w:firstRow="1" w:lastRow="1" w:firstColumn="1" w:lastColumn="1" w:noHBand="0" w:noVBand="0"/>
      </w:tblPr>
      <w:tblGrid>
        <w:gridCol w:w="2412"/>
        <w:gridCol w:w="2695"/>
        <w:gridCol w:w="3403"/>
        <w:gridCol w:w="964"/>
      </w:tblGrid>
      <w:tr w:rsidR="006376E7" w:rsidRPr="0074345C" w:rsidTr="009F2FA4">
        <w:trPr>
          <w:trHeight w:val="616"/>
          <w:tblHeader/>
        </w:trPr>
        <w:tc>
          <w:tcPr>
            <w:tcW w:w="2412"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keepNext/>
              <w:keepLines/>
              <w:rPr>
                <w:szCs w:val="22"/>
              </w:rPr>
            </w:pPr>
            <w:r w:rsidRPr="0074345C">
              <w:rPr>
                <w:szCs w:val="22"/>
              </w:rPr>
              <w:lastRenderedPageBreak/>
              <w:br w:type="page"/>
            </w:r>
          </w:p>
          <w:p w:rsidR="00691432" w:rsidRPr="0074345C" w:rsidRDefault="00691432" w:rsidP="00AA7A54">
            <w:pPr>
              <w:keepNext/>
              <w:keepLines/>
              <w:rPr>
                <w:szCs w:val="22"/>
              </w:rPr>
            </w:pPr>
            <w:r w:rsidRPr="0074345C">
              <w:rPr>
                <w:szCs w:val="22"/>
              </w:rPr>
              <w:t>Objetivos del proyecto</w:t>
            </w:r>
          </w:p>
        </w:tc>
        <w:tc>
          <w:tcPr>
            <w:tcW w:w="2695"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keepLines/>
              <w:rPr>
                <w:szCs w:val="22"/>
              </w:rPr>
            </w:pPr>
          </w:p>
          <w:p w:rsidR="00691432" w:rsidRPr="0074345C" w:rsidRDefault="00691432" w:rsidP="00AA7A54">
            <w:pPr>
              <w:keepNext/>
              <w:keepLines/>
              <w:rPr>
                <w:szCs w:val="22"/>
              </w:rPr>
            </w:pPr>
            <w:r w:rsidRPr="0074345C">
              <w:rPr>
                <w:szCs w:val="22"/>
              </w:rPr>
              <w:t xml:space="preserve">Indicadores de cumplimiento de los objetivos(s) </w:t>
            </w:r>
          </w:p>
          <w:p w:rsidR="00691432" w:rsidRPr="0074345C" w:rsidRDefault="00691432" w:rsidP="00AA7A54">
            <w:pPr>
              <w:keepNext/>
              <w:keepLines/>
              <w:rPr>
                <w:szCs w:val="22"/>
              </w:rPr>
            </w:pPr>
            <w:r w:rsidRPr="0074345C">
              <w:rPr>
                <w:szCs w:val="22"/>
              </w:rPr>
              <w:t>(Indicadores de resultado)</w:t>
            </w:r>
          </w:p>
          <w:p w:rsidR="00691432" w:rsidRPr="0074345C" w:rsidRDefault="00691432" w:rsidP="00AA7A54">
            <w:pPr>
              <w:keepNext/>
              <w:keepLines/>
              <w:rPr>
                <w:szCs w:val="22"/>
              </w:rPr>
            </w:pPr>
          </w:p>
        </w:tc>
        <w:tc>
          <w:tcPr>
            <w:tcW w:w="3403"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keepNext/>
              <w:keepLines/>
              <w:rPr>
                <w:rFonts w:eastAsia="MS Mincho"/>
                <w:szCs w:val="22"/>
                <w:lang w:eastAsia="ja-JP"/>
              </w:rPr>
            </w:pPr>
          </w:p>
          <w:p w:rsidR="00691432" w:rsidRPr="0074345C" w:rsidRDefault="00691432" w:rsidP="00AA7A54">
            <w:pPr>
              <w:keepNext/>
              <w:keepLines/>
              <w:rPr>
                <w:rFonts w:eastAsia="MS Mincho"/>
                <w:szCs w:val="22"/>
                <w:lang w:eastAsia="ja-JP"/>
              </w:rPr>
            </w:pPr>
            <w:r w:rsidRPr="0074345C">
              <w:rPr>
                <w:rFonts w:eastAsia="MS Mincho"/>
                <w:szCs w:val="22"/>
                <w:lang w:eastAsia="ja-JP"/>
              </w:rPr>
              <w:t>Datos sobre el rendimiento</w:t>
            </w:r>
          </w:p>
        </w:tc>
        <w:tc>
          <w:tcPr>
            <w:tcW w:w="964" w:type="dxa"/>
            <w:tcBorders>
              <w:top w:val="single" w:sz="2" w:space="0" w:color="000000"/>
              <w:left w:val="single" w:sz="2" w:space="0" w:color="000000"/>
              <w:bottom w:val="single" w:sz="2" w:space="0" w:color="000000"/>
              <w:right w:val="single" w:sz="2" w:space="0" w:color="000000"/>
            </w:tcBorders>
            <w:hideMark/>
          </w:tcPr>
          <w:p w:rsidR="00691432" w:rsidRPr="0074345C" w:rsidRDefault="00691432" w:rsidP="00AA7A54">
            <w:pPr>
              <w:keepNext/>
              <w:keepLines/>
              <w:rPr>
                <w:bCs/>
                <w:szCs w:val="22"/>
              </w:rPr>
            </w:pPr>
          </w:p>
          <w:p w:rsidR="00691432" w:rsidRPr="0074345C" w:rsidRDefault="00691432" w:rsidP="00AA7A54">
            <w:pPr>
              <w:keepNext/>
              <w:keepLines/>
              <w:rPr>
                <w:bCs/>
                <w:szCs w:val="22"/>
              </w:rPr>
            </w:pPr>
            <w:r w:rsidRPr="0074345C">
              <w:rPr>
                <w:bCs/>
                <w:szCs w:val="22"/>
              </w:rPr>
              <w:t>Clave de colores</w:t>
            </w:r>
          </w:p>
        </w:tc>
      </w:tr>
      <w:tr w:rsidR="006376E7" w:rsidRPr="0074345C" w:rsidTr="009F2FA4">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keepLines/>
            </w:pPr>
          </w:p>
          <w:p w:rsidR="00691432" w:rsidRPr="0074345C" w:rsidRDefault="00691432" w:rsidP="00AA7A54">
            <w:pPr>
              <w:keepNext/>
              <w:keepLines/>
              <w:rPr>
                <w:b/>
                <w:szCs w:val="22"/>
              </w:rPr>
            </w:pPr>
            <w:r w:rsidRPr="0074345C">
              <w:t>Mejor acceso a las tecnologías divulgadas en las publicaciones de patentes y un mayor conocimiento de las tendencias en el ámbito de las patentes y los modelos de innovación en áreas específicas de la tecnología.</w:t>
            </w:r>
          </w:p>
        </w:tc>
        <w:tc>
          <w:tcPr>
            <w:tcW w:w="2695"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 w:rsidR="00691432" w:rsidRPr="0074345C" w:rsidRDefault="00691432" w:rsidP="00AA7A54">
            <w:r w:rsidRPr="0074345C">
              <w:t>- El 75% de las instituciones asociadas en la elaboración de los informes PLR ha manifestado satisfacción con la calidad del informe correspondiente;</w:t>
            </w:r>
          </w:p>
          <w:p w:rsidR="00691432" w:rsidRPr="0074345C" w:rsidRDefault="00691432" w:rsidP="00AA7A54"/>
          <w:p w:rsidR="00691432" w:rsidRPr="0074345C" w:rsidRDefault="00691432" w:rsidP="00AA7A54">
            <w:r w:rsidRPr="0074345C">
              <w:t>-</w:t>
            </w:r>
            <w:r w:rsidRPr="0074345C">
              <w:rPr>
                <w:bCs/>
              </w:rPr>
              <w:t xml:space="preserve"> El 75% de las instituciones asociadas considera que el informe es útil para sus propias actividades;</w:t>
            </w:r>
          </w:p>
          <w:p w:rsidR="00691432" w:rsidRPr="0074345C" w:rsidRDefault="00691432" w:rsidP="00AA7A54">
            <w:pPr>
              <w:rPr>
                <w:bCs/>
              </w:rPr>
            </w:pPr>
          </w:p>
          <w:p w:rsidR="00691432" w:rsidRPr="0074345C" w:rsidRDefault="00691432" w:rsidP="00AA7A54">
            <w:pPr>
              <w:rPr>
                <w:bCs/>
              </w:rPr>
            </w:pPr>
            <w:r w:rsidRPr="0074345C">
              <w:rPr>
                <w:bCs/>
              </w:rPr>
              <w:t>- Al menos el 60%, entre otros usuarios y lectores de informes PLR, ha manifestado satisfacción con la calidad de los contenidos de cada informe (resultados concretos y metodologías de búsqueda;  únicamente usuarios que han respondido a las respectivas encuestas);</w:t>
            </w:r>
          </w:p>
          <w:p w:rsidR="00691432" w:rsidRPr="0074345C" w:rsidRDefault="00691432" w:rsidP="00AA7A54">
            <w:pPr>
              <w:rPr>
                <w:bCs/>
              </w:rPr>
            </w:pPr>
          </w:p>
          <w:p w:rsidR="00691432" w:rsidRPr="0074345C" w:rsidRDefault="00691432" w:rsidP="00AA7A54">
            <w:pPr>
              <w:rPr>
                <w:bCs/>
              </w:rPr>
            </w:pPr>
            <w:r w:rsidRPr="0074345C">
              <w:rPr>
                <w:bCs/>
              </w:rPr>
              <w:t>- El 30%, entre otros usuarios, considera que los informes son útiles para sus propias actividades (por ejemplo, la metodología de búsqueda);</w:t>
            </w:r>
          </w:p>
          <w:p w:rsidR="00691432" w:rsidRPr="0074345C" w:rsidRDefault="00691432" w:rsidP="00AA7A54">
            <w:pPr>
              <w:rPr>
                <w:bCs/>
              </w:rPr>
            </w:pPr>
          </w:p>
          <w:p w:rsidR="00691432" w:rsidRPr="0074345C" w:rsidRDefault="00691432" w:rsidP="00AA7A54">
            <w:pPr>
              <w:rPr>
                <w:bCs/>
              </w:rPr>
            </w:pPr>
            <w:r w:rsidRPr="0074345C">
              <w:rPr>
                <w:bCs/>
              </w:rPr>
              <w:t>- Al menos un 20% más de visitas del sitio web de la OMPI sobre informes PLR con respecto a la fase I;</w:t>
            </w:r>
          </w:p>
          <w:p w:rsidR="00691432" w:rsidRPr="0074345C" w:rsidRDefault="00691432" w:rsidP="00AA7A54">
            <w:pPr>
              <w:rPr>
                <w:bCs/>
              </w:rPr>
            </w:pPr>
          </w:p>
          <w:p w:rsidR="00691432" w:rsidRPr="0074345C" w:rsidRDefault="00691432" w:rsidP="00AA7A54">
            <w:pPr>
              <w:rPr>
                <w:bCs/>
              </w:rPr>
            </w:pPr>
            <w:r w:rsidRPr="0074345C">
              <w:rPr>
                <w:bCs/>
              </w:rPr>
              <w:t>- Una frecuencia de descargas un 20% mayor con respecto a la fase I.</w:t>
            </w:r>
          </w:p>
          <w:p w:rsidR="00691432" w:rsidRPr="0074345C" w:rsidRDefault="00691432" w:rsidP="00AA7A54">
            <w:pPr>
              <w:keepNext/>
              <w:keepLines/>
              <w:rPr>
                <w:b/>
                <w:szCs w:val="22"/>
              </w:rPr>
            </w:pPr>
          </w:p>
        </w:tc>
        <w:tc>
          <w:tcPr>
            <w:tcW w:w="3403"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rPr>
                <w:bCs/>
              </w:rPr>
            </w:pPr>
          </w:p>
          <w:p w:rsidR="00691432" w:rsidRPr="0074345C" w:rsidRDefault="00691432" w:rsidP="00AA7A54">
            <w:pPr>
              <w:rPr>
                <w:bCs/>
              </w:rPr>
            </w:pPr>
            <w:r w:rsidRPr="0074345C">
              <w:rPr>
                <w:bCs/>
              </w:rPr>
              <w:t>Instituciones asociadas:  alrededor de 20</w:t>
            </w:r>
          </w:p>
          <w:p w:rsidR="00691432" w:rsidRPr="0074345C" w:rsidRDefault="00691432" w:rsidP="00AA7A54">
            <w:pPr>
              <w:rPr>
                <w:bCs/>
              </w:rPr>
            </w:pPr>
            <w:r w:rsidRPr="0074345C">
              <w:rPr>
                <w:bCs/>
              </w:rPr>
              <w:t xml:space="preserve">Nº de visitas:  19.401 (una sola pulsación del ratón) </w:t>
            </w:r>
          </w:p>
          <w:p w:rsidR="00691432" w:rsidRPr="0074345C" w:rsidRDefault="00691432" w:rsidP="00AA7A54">
            <w:pPr>
              <w:rPr>
                <w:bCs/>
              </w:rPr>
            </w:pPr>
            <w:r w:rsidRPr="0074345C">
              <w:rPr>
                <w:bCs/>
              </w:rPr>
              <w:t xml:space="preserve">Nº de descargas:  26.487 (PDF) </w:t>
            </w:r>
          </w:p>
          <w:p w:rsidR="00691432" w:rsidRPr="0074345C" w:rsidRDefault="00691432" w:rsidP="00AA7A54">
            <w:pPr>
              <w:rPr>
                <w:bCs/>
              </w:rPr>
            </w:pPr>
            <w:r w:rsidRPr="0074345C">
              <w:rPr>
                <w:bCs/>
              </w:rPr>
              <w:t>El informe PLR sobre residuos electrónicos, publicado el 12 de diciembre de 2013, recibió más de 1.000 visitas en dos semanas.</w:t>
            </w:r>
          </w:p>
          <w:p w:rsidR="00691432" w:rsidRPr="0074345C" w:rsidRDefault="00691432" w:rsidP="00AA7A54">
            <w:pPr>
              <w:rPr>
                <w:bCs/>
              </w:rPr>
            </w:pPr>
          </w:p>
          <w:p w:rsidR="00691432" w:rsidRPr="0074345C" w:rsidRDefault="00691432" w:rsidP="00AA7A54">
            <w:pPr>
              <w:rPr>
                <w:bCs/>
              </w:rPr>
            </w:pPr>
            <w:r w:rsidRPr="0074345C">
              <w:rPr>
                <w:bCs/>
              </w:rPr>
              <w:t>Nota: no fue posible comparar el número de visitas o descargas con respecto a la fase I, pues, por motivos técnicos, no se proporcionaron estadísticas constantes durante la fase I del proyecto y, por tanto, no se pudo realizar la comparación con la fase II.</w:t>
            </w:r>
          </w:p>
          <w:p w:rsidR="00691432" w:rsidRPr="0074345C" w:rsidRDefault="00691432" w:rsidP="00AA7A54">
            <w:pPr>
              <w:rPr>
                <w:bCs/>
              </w:rPr>
            </w:pPr>
          </w:p>
          <w:p w:rsidR="00691432" w:rsidRPr="0074345C" w:rsidRDefault="00691432" w:rsidP="00AA7A54">
            <w:pPr>
              <w:rPr>
                <w:bCs/>
              </w:rPr>
            </w:pPr>
          </w:p>
          <w:p w:rsidR="00691432" w:rsidRPr="0074345C" w:rsidRDefault="00691432" w:rsidP="00AA7A54">
            <w:pPr>
              <w:rPr>
                <w:bCs/>
              </w:rPr>
            </w:pPr>
            <w:r w:rsidRPr="0074345C">
              <w:rPr>
                <w:bCs/>
              </w:rPr>
              <w:t>En marzo de 2014 se realizó una encuesta de satisfacción sobre los informes PLR que recibió 39 respuestas (3 usuarios de primer nivel y 36 usuarios de segundo nivel).  Los resultados indicaron que aproximadamente el 70% de los usuarios estaban satisfechos con la calidad de los informes:</w:t>
            </w:r>
          </w:p>
          <w:p w:rsidR="00691432" w:rsidRPr="0074345C" w:rsidRDefault="00691432" w:rsidP="00AA7A54">
            <w:pPr>
              <w:rPr>
                <w:bCs/>
              </w:rPr>
            </w:pPr>
          </w:p>
          <w:p w:rsidR="00691432" w:rsidRPr="0074345C" w:rsidRDefault="00691432" w:rsidP="00AA7A54">
            <w:pPr>
              <w:rPr>
                <w:bCs/>
              </w:rPr>
            </w:pPr>
            <w:r w:rsidRPr="0074345C">
              <w:rPr>
                <w:bCs/>
              </w:rPr>
              <w:t>El 78% consideraba excelente o muy buena la presentación de los aspectos técnicos.</w:t>
            </w:r>
          </w:p>
          <w:p w:rsidR="00691432" w:rsidRPr="0074345C" w:rsidRDefault="00691432" w:rsidP="00AA7A54">
            <w:pPr>
              <w:rPr>
                <w:bCs/>
              </w:rPr>
            </w:pPr>
            <w:r w:rsidRPr="0074345C">
              <w:rPr>
                <w:bCs/>
              </w:rPr>
              <w:t>El 69% consideraba excelente o muy buena la presentación de los resultados.</w:t>
            </w:r>
          </w:p>
          <w:p w:rsidR="00691432" w:rsidRPr="0074345C" w:rsidRDefault="00691432" w:rsidP="00AA7A54">
            <w:pPr>
              <w:keepNext/>
              <w:keepLines/>
              <w:rPr>
                <w:bCs/>
              </w:rPr>
            </w:pPr>
            <w:r w:rsidRPr="0074345C">
              <w:rPr>
                <w:bCs/>
              </w:rPr>
              <w:t>El 69% consideraba que los informes estaban muy estrechamente relacionados o estrechamente relacionados con su trabajo.</w:t>
            </w:r>
          </w:p>
          <w:p w:rsidR="00691432" w:rsidRPr="0074345C" w:rsidRDefault="00691432" w:rsidP="00AA7A54">
            <w:pPr>
              <w:keepNext/>
              <w:keepLines/>
              <w:rPr>
                <w:bCs/>
              </w:rPr>
            </w:pPr>
          </w:p>
          <w:p w:rsidR="00691432" w:rsidRPr="0074345C" w:rsidRDefault="00691432" w:rsidP="00AA7A54">
            <w:pPr>
              <w:keepNext/>
              <w:keepLines/>
              <w:rPr>
                <w:rFonts w:eastAsia="MS Mincho"/>
                <w:b/>
                <w:szCs w:val="22"/>
                <w:lang w:eastAsia="ja-JP"/>
              </w:rPr>
            </w:pPr>
          </w:p>
        </w:tc>
        <w:tc>
          <w:tcPr>
            <w:tcW w:w="964"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keepLines/>
              <w:jc w:val="center"/>
              <w:rPr>
                <w:szCs w:val="22"/>
              </w:rPr>
            </w:pPr>
          </w:p>
          <w:p w:rsidR="00691432" w:rsidRPr="0074345C" w:rsidRDefault="00691432" w:rsidP="00AA7A54">
            <w:pPr>
              <w:keepNext/>
              <w:keepLines/>
              <w:jc w:val="center"/>
              <w:rPr>
                <w:szCs w:val="22"/>
              </w:rPr>
            </w:pPr>
            <w:r w:rsidRPr="0074345C">
              <w:rPr>
                <w:szCs w:val="22"/>
              </w:rPr>
              <w:t>****</w:t>
            </w:r>
          </w:p>
        </w:tc>
      </w:tr>
      <w:tr w:rsidR="006376E7" w:rsidRPr="0074345C" w:rsidTr="009F2FA4">
        <w:trPr>
          <w:trHeight w:val="616"/>
          <w:tblHeader/>
        </w:trPr>
        <w:tc>
          <w:tcPr>
            <w:tcW w:w="2412"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keepLines/>
            </w:pPr>
          </w:p>
          <w:p w:rsidR="00691432" w:rsidRPr="0074345C" w:rsidRDefault="00691432" w:rsidP="00AA7A54">
            <w:pPr>
              <w:keepNext/>
              <w:keepLines/>
            </w:pPr>
            <w:r w:rsidRPr="0074345C">
              <w:t>Mejora de las capacidades de las instituciones de los países en desarrollo en la utilización y elaboración de informes PLR</w:t>
            </w:r>
          </w:p>
          <w:p w:rsidR="00691432" w:rsidRPr="0074345C" w:rsidRDefault="00691432" w:rsidP="00AA7A54">
            <w:pPr>
              <w:keepNext/>
              <w:keepLines/>
              <w:rPr>
                <w:b/>
                <w:szCs w:val="22"/>
              </w:rPr>
            </w:pPr>
          </w:p>
        </w:tc>
        <w:tc>
          <w:tcPr>
            <w:tcW w:w="2695"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 w:rsidR="00691432" w:rsidRPr="0074345C" w:rsidRDefault="00691432" w:rsidP="00AA7A54">
            <w:r w:rsidRPr="0074345C">
              <w:t>- El 75% de los participantes en la conferencia o taller regional considera que su comprensión del análisis de patentes ha mejorado considerablemente;</w:t>
            </w:r>
          </w:p>
          <w:p w:rsidR="00691432" w:rsidRPr="0074345C" w:rsidRDefault="00691432" w:rsidP="00AA7A54"/>
          <w:p w:rsidR="00691432" w:rsidRPr="0074345C" w:rsidRDefault="00691432" w:rsidP="00AA7A54">
            <w:r w:rsidRPr="0074345C">
              <w:t>- El 75% de los usuarios o lectores de las directrices de elaboración de informes PLR está satisfecho con la calidad de las directrices;</w:t>
            </w:r>
          </w:p>
          <w:p w:rsidR="00691432" w:rsidRPr="0074345C" w:rsidRDefault="00691432" w:rsidP="00AA7A54">
            <w:pPr>
              <w:keepNext/>
              <w:keepLines/>
            </w:pPr>
          </w:p>
          <w:p w:rsidR="00691432" w:rsidRPr="0074345C" w:rsidRDefault="00691432" w:rsidP="00AA7A54">
            <w:pPr>
              <w:keepNext/>
              <w:keepLines/>
            </w:pPr>
            <w:r w:rsidRPr="0074345C">
              <w:t>- El 30% de los usuarios o lectores de las directrices de elaboración de informes PLR considera que las directrices son útiles para sus propias actividades.</w:t>
            </w:r>
          </w:p>
        </w:tc>
        <w:tc>
          <w:tcPr>
            <w:tcW w:w="3403"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keepLines/>
              <w:rPr>
                <w:bCs/>
              </w:rPr>
            </w:pPr>
          </w:p>
          <w:p w:rsidR="00691432" w:rsidRPr="0074345C" w:rsidRDefault="00691432" w:rsidP="00AA7A54">
            <w:pPr>
              <w:keepNext/>
              <w:keepLines/>
              <w:rPr>
                <w:bCs/>
              </w:rPr>
            </w:pPr>
            <w:r w:rsidRPr="0074345C">
              <w:rPr>
                <w:bCs/>
              </w:rPr>
              <w:t>Según los cuestionarios de evaluación rellenados por los participantes de los talleres celebrados en Río de Janeiro y Manila, más del 75% reconoció la utilidad de los talleres para su trabajo diario y se mostró extremadamente positivo acerca de la utilidad y la calidad de la información proporcionada, en la que se reflejaban todos los capítulos de las directrices, con lo que se indica la satisfacción de los participantes con las directrices, de las cuales se les entregó un proyecto.  No se preparó una encuesta independiente sobre las directrices como tal, pues se prevé realizarla transcurrido algún tiempo desde la publicación de las directrices.</w:t>
            </w:r>
          </w:p>
          <w:p w:rsidR="00691432" w:rsidRPr="0074345C" w:rsidRDefault="00691432" w:rsidP="00AA7A54">
            <w:pPr>
              <w:keepNext/>
              <w:keepLines/>
              <w:rPr>
                <w:rFonts w:eastAsia="MS Mincho"/>
                <w:b/>
                <w:szCs w:val="22"/>
                <w:lang w:eastAsia="ja-JP"/>
              </w:rPr>
            </w:pPr>
          </w:p>
        </w:tc>
        <w:tc>
          <w:tcPr>
            <w:tcW w:w="964" w:type="dxa"/>
            <w:tcBorders>
              <w:top w:val="single" w:sz="2" w:space="0" w:color="000000"/>
              <w:left w:val="single" w:sz="2" w:space="0" w:color="000000"/>
              <w:bottom w:val="single" w:sz="2" w:space="0" w:color="000000"/>
              <w:right w:val="single" w:sz="2" w:space="0" w:color="000000"/>
            </w:tcBorders>
          </w:tcPr>
          <w:p w:rsidR="00691432" w:rsidRPr="0074345C" w:rsidRDefault="00691432" w:rsidP="00AA7A54">
            <w:pPr>
              <w:keepNext/>
              <w:keepLines/>
              <w:jc w:val="center"/>
              <w:rPr>
                <w:szCs w:val="22"/>
              </w:rPr>
            </w:pPr>
          </w:p>
          <w:p w:rsidR="00691432" w:rsidRPr="0074345C" w:rsidRDefault="00691432" w:rsidP="00AA7A54">
            <w:pPr>
              <w:keepNext/>
              <w:keepLines/>
              <w:jc w:val="center"/>
              <w:rPr>
                <w:szCs w:val="22"/>
              </w:rPr>
            </w:pPr>
            <w:r w:rsidRPr="0074345C">
              <w:rPr>
                <w:szCs w:val="22"/>
              </w:rPr>
              <w:t>****</w:t>
            </w:r>
          </w:p>
        </w:tc>
      </w:tr>
    </w:tbl>
    <w:p w:rsidR="00691432" w:rsidRPr="0074345C" w:rsidRDefault="00691432" w:rsidP="00691432">
      <w:pPr>
        <w:rPr>
          <w:szCs w:val="22"/>
        </w:rPr>
      </w:pPr>
    </w:p>
    <w:p w:rsidR="00691432" w:rsidRPr="0074345C" w:rsidRDefault="00691432" w:rsidP="00691432"/>
    <w:p w:rsidR="00691432" w:rsidRPr="0074345C" w:rsidRDefault="00691432" w:rsidP="00691432"/>
    <w:p w:rsidR="00691432" w:rsidRPr="0074345C" w:rsidRDefault="00691432" w:rsidP="00691432">
      <w:pPr>
        <w:tabs>
          <w:tab w:val="left" w:pos="5670"/>
        </w:tabs>
        <w:sectPr w:rsidR="00691432" w:rsidRPr="0074345C" w:rsidSect="00E00028">
          <w:headerReference w:type="default" r:id="rId72"/>
          <w:headerReference w:type="first" r:id="rId73"/>
          <w:endnotePr>
            <w:numFmt w:val="decimal"/>
          </w:endnotePr>
          <w:pgSz w:w="11907" w:h="16840" w:code="9"/>
          <w:pgMar w:top="567" w:right="1134" w:bottom="1418" w:left="1418" w:header="510" w:footer="1021" w:gutter="0"/>
          <w:pgNumType w:start="1"/>
          <w:cols w:space="720"/>
          <w:titlePg/>
          <w:docGrid w:linePitch="299"/>
        </w:sectPr>
      </w:pPr>
      <w:r w:rsidRPr="0074345C">
        <w:tab/>
        <w:t>[Sigue el Anexo XII]</w:t>
      </w:r>
    </w:p>
    <w:p w:rsidR="00ED053D" w:rsidRPr="0074345C" w:rsidRDefault="00ED053D" w:rsidP="00691432"/>
    <w:p w:rsidR="00691432" w:rsidRPr="0074345C" w:rsidRDefault="00691432" w:rsidP="00691432">
      <w:pPr>
        <w:rPr>
          <w:bCs/>
        </w:rPr>
      </w:pPr>
      <w:r w:rsidRPr="0074345C">
        <w:rPr>
          <w:bCs/>
          <w:i/>
        </w:rPr>
        <w:t xml:space="preserve">Recomendación 1. </w:t>
      </w:r>
      <w:r w:rsidRPr="0074345C">
        <w:rPr>
          <w:bCs/>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691432" w:rsidRPr="0074345C" w:rsidRDefault="00691432" w:rsidP="00691432">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7398"/>
      </w:tblGrid>
      <w:tr w:rsidR="006376E7" w:rsidRPr="0074345C" w:rsidTr="00AA7A54">
        <w:trPr>
          <w:trHeight w:val="374"/>
          <w:tblHeader/>
        </w:trPr>
        <w:tc>
          <w:tcPr>
            <w:tcW w:w="6403" w:type="dxa"/>
            <w:shd w:val="clear" w:color="auto" w:fill="auto"/>
            <w:vAlign w:val="center"/>
          </w:tcPr>
          <w:p w:rsidR="00691432" w:rsidRPr="0074345C" w:rsidRDefault="00691432" w:rsidP="00AA7A54">
            <w:pPr>
              <w:keepNext/>
              <w:autoSpaceDE w:val="0"/>
              <w:spacing w:before="240" w:after="60"/>
              <w:outlineLvl w:val="2"/>
              <w:rPr>
                <w:bCs/>
                <w:szCs w:val="26"/>
                <w:u w:val="single"/>
              </w:rPr>
            </w:pPr>
            <w:r w:rsidRPr="0074345C">
              <w:t>Estrategias de aplicación</w:t>
            </w:r>
          </w:p>
          <w:p w:rsidR="00691432" w:rsidRPr="0074345C" w:rsidRDefault="00691432" w:rsidP="00AA7A54"/>
        </w:tc>
        <w:tc>
          <w:tcPr>
            <w:tcW w:w="7398" w:type="dxa"/>
            <w:tcBorders>
              <w:bottom w:val="single" w:sz="4" w:space="0" w:color="auto"/>
            </w:tcBorders>
            <w:shd w:val="clear" w:color="auto" w:fill="auto"/>
            <w:vAlign w:val="center"/>
          </w:tcPr>
          <w:p w:rsidR="00691432" w:rsidRPr="0074345C" w:rsidRDefault="00691432" w:rsidP="00AA7A54">
            <w:pPr>
              <w:keepNext/>
              <w:autoSpaceDE w:val="0"/>
              <w:spacing w:before="240" w:after="60"/>
              <w:outlineLvl w:val="2"/>
              <w:rPr>
                <w:bCs/>
                <w:szCs w:val="26"/>
                <w:u w:val="single"/>
              </w:rPr>
            </w:pPr>
            <w:r w:rsidRPr="0074345C">
              <w:rPr>
                <w:bCs/>
                <w:szCs w:val="26"/>
                <w:u w:val="single"/>
              </w:rPr>
              <w:t>Logros</w:t>
            </w:r>
          </w:p>
          <w:p w:rsidR="00691432" w:rsidRPr="0074345C" w:rsidRDefault="00691432" w:rsidP="00AA7A54"/>
        </w:tc>
      </w:tr>
      <w:tr w:rsidR="006376E7" w:rsidRPr="0074345C" w:rsidTr="00AA7A54">
        <w:tblPrEx>
          <w:tblCellMar>
            <w:top w:w="108" w:type="dxa"/>
            <w:bottom w:w="108" w:type="dxa"/>
          </w:tblCellMar>
        </w:tblPrEx>
        <w:trPr>
          <w:trHeight w:val="5041"/>
        </w:trPr>
        <w:tc>
          <w:tcPr>
            <w:tcW w:w="6403" w:type="dxa"/>
            <w:shd w:val="clear" w:color="auto" w:fill="auto"/>
          </w:tcPr>
          <w:p w:rsidR="00691432" w:rsidRPr="0074345C" w:rsidRDefault="00691432" w:rsidP="00AA7A54"/>
          <w:p w:rsidR="00691432" w:rsidRPr="0074345C" w:rsidRDefault="00691432" w:rsidP="00AA7A54">
            <w:r w:rsidRPr="0074345C">
              <w:t>La asistencia técnica se emprendió a instancias de los Estados miembros y se concibió, formuló y aplicó tras mantener extensas consultas y en estrecha cooperación con los países interesados, con el fin de responder plena y específicamente a sus necesidades, prioridades y niveles de desarrollo, centrando especialmente la atención en las necesidades de los países menos adelantados (PMA).</w:t>
            </w:r>
          </w:p>
          <w:p w:rsidR="00691432" w:rsidRPr="0074345C" w:rsidRDefault="00691432" w:rsidP="00AA7A54"/>
          <w:p w:rsidR="00691432" w:rsidRPr="0074345C" w:rsidRDefault="00691432" w:rsidP="00AA7A54">
            <w:r w:rsidRPr="0074345C">
              <w:t>Se prestó asistencia a los países para formular estrategias nacionales de propiedad intelectual (P.I.), dando participación a todas las partes interesadas.  El objetivo global de esas estrategias fue contribuir al desarrollo económico, social, cultural y tecnológico de los países beneficiarios mediante la utilización eficaz del sistema de P.I.</w:t>
            </w:r>
          </w:p>
          <w:p w:rsidR="00691432" w:rsidRPr="0074345C" w:rsidRDefault="00691432" w:rsidP="00AA7A54"/>
          <w:p w:rsidR="00691432" w:rsidRPr="0074345C" w:rsidRDefault="00691432" w:rsidP="00AA7A54">
            <w:r w:rsidRPr="0074345C">
              <w:t>La responsabilidad de elaboración de los procesos, recayó principalmente en los países interesados, manteniendo la OMPI el pleno compromiso de brindar toda la asistencia técnica y la cooperación necesarias de manera eficiente, oportuna y económica.</w:t>
            </w:r>
          </w:p>
        </w:tc>
        <w:tc>
          <w:tcPr>
            <w:tcW w:w="7398" w:type="dxa"/>
            <w:shd w:val="clear" w:color="auto" w:fill="auto"/>
          </w:tcPr>
          <w:p w:rsidR="00691432" w:rsidRPr="0074345C" w:rsidRDefault="00691432" w:rsidP="00AA7A54"/>
          <w:p w:rsidR="00691432" w:rsidRPr="0074345C" w:rsidRDefault="00691432" w:rsidP="00AA7A54">
            <w:r w:rsidRPr="0074345C">
              <w:t xml:space="preserve">Se han elaborado y se ejecutan actividades de asistencia técnica en materia de P.I. y programas de formación en todas las regiones, teniendo en cuenta las necesidades específicas de los países y su nivel de desarrollo. </w:t>
            </w:r>
          </w:p>
          <w:p w:rsidR="00691432" w:rsidRPr="0074345C" w:rsidRDefault="00691432" w:rsidP="00AA7A54"/>
          <w:p w:rsidR="00691432" w:rsidRPr="0074345C" w:rsidRDefault="00691432" w:rsidP="00AA7A54">
            <w:pPr>
              <w:autoSpaceDE w:val="0"/>
            </w:pPr>
            <w:r w:rsidRPr="0074345C">
              <w:t xml:space="preserve">Las actividades de asistencia técnica emprendidas en el período al que se refiere el informe están incluidas en la base de datos de asistencia técnica en materia de P.I. (IP–TAD):  </w:t>
            </w:r>
            <w:r w:rsidRPr="0074345C">
              <w:rPr>
                <w:u w:val="single"/>
              </w:rPr>
              <w:t>http://www.wipo.int/tad/es/</w:t>
            </w:r>
          </w:p>
          <w:p w:rsidR="00691432" w:rsidRPr="0074345C" w:rsidRDefault="00691432" w:rsidP="00AA7A54"/>
          <w:p w:rsidR="00691432" w:rsidRPr="0074345C" w:rsidRDefault="00691432" w:rsidP="00AA7A54">
            <w:pPr>
              <w:rPr>
                <w:bCs/>
              </w:rPr>
            </w:pPr>
            <w:r w:rsidRPr="0074345C">
              <w:rPr>
                <w:bCs/>
              </w:rPr>
              <w:t>Se aprobaron planes y estrategias nacionales de P.I. en 11 países (3 de África, 3 de Asia y el Pacífico, 3 de la región de América Latina y el Caribe y 2 de la región árabe) y se pusieron en marcha en 32 países (13 de África, 8 de Asia y el Pacífico, 8 de la región de América Latina y el Caribe y 3 de la región árabe).</w:t>
            </w:r>
          </w:p>
          <w:p w:rsidR="00691432" w:rsidRPr="0074345C" w:rsidRDefault="00691432" w:rsidP="00AA7A54"/>
          <w:p w:rsidR="00691432" w:rsidRPr="0074345C" w:rsidRDefault="00691432" w:rsidP="00AA7A54">
            <w:r w:rsidRPr="0074345C">
              <w:t xml:space="preserve">Además de las actividades registradas en la base de datos IP–TAD, puede encontrarse más información sobre los logros relativos a esta recomendación en el Informe sobre el rendimiento de los programas en 2012/13 (documento WO/PBC/22/8), en particular en los programas 9 y 10. </w:t>
            </w:r>
          </w:p>
        </w:tc>
      </w:tr>
    </w:tbl>
    <w:p w:rsidR="00691432" w:rsidRPr="0074345C" w:rsidRDefault="00691432" w:rsidP="00691432">
      <w:pPr>
        <w:rPr>
          <w:bCs/>
          <w:i/>
          <w:szCs w:val="22"/>
        </w:rPr>
      </w:pPr>
    </w:p>
    <w:p w:rsidR="00691432" w:rsidRPr="0074345C" w:rsidRDefault="00691432" w:rsidP="00691432">
      <w:pPr>
        <w:rPr>
          <w:bCs/>
          <w:i/>
          <w:szCs w:val="22"/>
        </w:rPr>
      </w:pPr>
    </w:p>
    <w:p w:rsidR="00691432" w:rsidRPr="0074345C" w:rsidRDefault="00691432" w:rsidP="00691432">
      <w:pPr>
        <w:rPr>
          <w:bCs/>
          <w:i/>
          <w:szCs w:val="22"/>
        </w:rPr>
      </w:pPr>
      <w:r w:rsidRPr="0074345C">
        <w:rPr>
          <w:bCs/>
          <w:i/>
          <w:szCs w:val="22"/>
        </w:rPr>
        <w:br w:type="page"/>
      </w:r>
    </w:p>
    <w:p w:rsidR="00691432" w:rsidRPr="0074345C" w:rsidRDefault="00691432" w:rsidP="00691432">
      <w:pPr>
        <w:rPr>
          <w:bCs/>
        </w:rPr>
      </w:pPr>
      <w:r w:rsidRPr="0074345C">
        <w:rPr>
          <w:bCs/>
          <w:i/>
        </w:rPr>
        <w:lastRenderedPageBreak/>
        <w:t>Recomendación 3</w:t>
      </w:r>
      <w:proofErr w:type="gramStart"/>
      <w:r w:rsidRPr="0074345C">
        <w:rPr>
          <w:bCs/>
          <w:i/>
        </w:rPr>
        <w:t xml:space="preserve">: </w:t>
      </w:r>
      <w:r w:rsidRPr="0074345C">
        <w:rPr>
          <w:bCs/>
        </w:rPr>
        <w:t xml:space="preserve"> Aumentar</w:t>
      </w:r>
      <w:proofErr w:type="gramEnd"/>
      <w:r w:rsidRPr="0074345C">
        <w:rPr>
          <w:bCs/>
        </w:rPr>
        <w:t xml:space="preserve">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p w:rsidR="00691432" w:rsidRPr="0074345C" w:rsidRDefault="00691432" w:rsidP="00691432">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8822"/>
      </w:tblGrid>
      <w:tr w:rsidR="006376E7" w:rsidRPr="0074345C" w:rsidTr="00AA7A54">
        <w:trPr>
          <w:trHeight w:val="392"/>
          <w:tblHeader/>
        </w:trPr>
        <w:tc>
          <w:tcPr>
            <w:tcW w:w="4928" w:type="dxa"/>
            <w:tcBorders>
              <w:bottom w:val="single" w:sz="4" w:space="0" w:color="auto"/>
            </w:tcBorders>
            <w:shd w:val="clear" w:color="auto" w:fill="auto"/>
          </w:tcPr>
          <w:p w:rsidR="00691432" w:rsidRPr="0074345C" w:rsidRDefault="00691432" w:rsidP="00AA7A54">
            <w:pPr>
              <w:keepNext/>
              <w:autoSpaceDE w:val="0"/>
              <w:spacing w:before="240" w:after="60"/>
              <w:outlineLvl w:val="2"/>
              <w:rPr>
                <w:bCs/>
                <w:u w:val="single"/>
              </w:rPr>
            </w:pPr>
            <w:r w:rsidRPr="0074345C">
              <w:rPr>
                <w:bCs/>
                <w:u w:val="single"/>
              </w:rPr>
              <w:t>Estrategias de ejecución</w:t>
            </w:r>
          </w:p>
        </w:tc>
        <w:tc>
          <w:tcPr>
            <w:tcW w:w="8822" w:type="dxa"/>
            <w:tcBorders>
              <w:bottom w:val="single" w:sz="4" w:space="0" w:color="auto"/>
            </w:tcBorders>
            <w:shd w:val="clear" w:color="auto" w:fill="auto"/>
            <w:vAlign w:val="center"/>
          </w:tcPr>
          <w:p w:rsidR="00691432" w:rsidRPr="0074345C" w:rsidRDefault="00691432" w:rsidP="00AA7A54">
            <w:pPr>
              <w:keepNext/>
              <w:autoSpaceDE w:val="0"/>
              <w:spacing w:before="240" w:after="60"/>
              <w:outlineLvl w:val="2"/>
              <w:rPr>
                <w:bCs/>
                <w:szCs w:val="26"/>
                <w:u w:val="single"/>
              </w:rPr>
            </w:pPr>
            <w:r w:rsidRPr="0074345C">
              <w:rPr>
                <w:bCs/>
                <w:szCs w:val="26"/>
                <w:u w:val="single"/>
              </w:rPr>
              <w:t>Logros</w:t>
            </w:r>
          </w:p>
          <w:p w:rsidR="00691432" w:rsidRPr="0074345C" w:rsidRDefault="00691432" w:rsidP="00AA7A54"/>
        </w:tc>
      </w:tr>
      <w:tr w:rsidR="00691432" w:rsidRPr="0074345C" w:rsidTr="00AA7A54">
        <w:tblPrEx>
          <w:tblCellMar>
            <w:top w:w="108" w:type="dxa"/>
            <w:bottom w:w="108" w:type="dxa"/>
          </w:tblCellMar>
        </w:tblPrEx>
        <w:trPr>
          <w:trHeight w:val="6447"/>
        </w:trPr>
        <w:tc>
          <w:tcPr>
            <w:tcW w:w="4928" w:type="dxa"/>
            <w:tcBorders>
              <w:bottom w:val="single" w:sz="4" w:space="0" w:color="auto"/>
            </w:tcBorders>
            <w:shd w:val="clear" w:color="auto" w:fill="auto"/>
          </w:tcPr>
          <w:p w:rsidR="00691432" w:rsidRPr="0074345C" w:rsidRDefault="00691432" w:rsidP="00AA7A54">
            <w:pPr>
              <w:keepNext/>
              <w:autoSpaceDE w:val="0"/>
              <w:spacing w:before="240" w:after="60"/>
              <w:outlineLvl w:val="3"/>
              <w:rPr>
                <w:bCs/>
                <w:i/>
                <w:szCs w:val="28"/>
              </w:rPr>
            </w:pPr>
            <w:r w:rsidRPr="0074345C">
              <w:rPr>
                <w:bCs/>
                <w:i/>
                <w:szCs w:val="28"/>
              </w:rPr>
              <w:t>Fomentar una cultura de la P.I. orientada hacia el desarrollo y una mayor sensibilización del público acerca de la P.I.</w:t>
            </w:r>
          </w:p>
          <w:p w:rsidR="00691432" w:rsidRPr="0074345C" w:rsidRDefault="00691432" w:rsidP="00AA7A54">
            <w:pPr>
              <w:rPr>
                <w:u w:val="single"/>
              </w:rPr>
            </w:pPr>
          </w:p>
          <w:p w:rsidR="00691432" w:rsidRPr="0074345C" w:rsidRDefault="00691432" w:rsidP="00AA7A54">
            <w:r w:rsidRPr="0074345C">
              <w:t>Sigue siendo parte integrante de los programas y actividades de la OMPI fomentar la concienciación, en todos los sectores de la sociedad, acerca de la importancia de la función que desempeña la P.I. en el desarrollo nacional, así como el debate y el diálogo equilibrado y con conocimiento de causa sobre las cuestiones de P.I.  Como parte del proceso de fomentar una cultura de la P.I. orientada hacia el desarrollo, la OMPI promueve la participación de todas las partes interesadas en el ámbito nacional mediante distintos programas y actividades.  Algunos programas están hechos a medida para las instituciones públicas, las partes interesadas en la P.I. y sus usuarios, y se dirigen a distintos sectores de la sociedad, entre otros, las universidades y los centros de investigación, las Pymes, las industrias culturales, los diplomáticos, los funcionarios del poder judicial, los funcionarios gubernamentales y la sociedad civil.</w:t>
            </w:r>
          </w:p>
        </w:tc>
        <w:tc>
          <w:tcPr>
            <w:tcW w:w="8822" w:type="dxa"/>
            <w:tcBorders>
              <w:bottom w:val="single" w:sz="4" w:space="0" w:color="auto"/>
            </w:tcBorders>
            <w:shd w:val="clear" w:color="auto" w:fill="auto"/>
          </w:tcPr>
          <w:p w:rsidR="00691432" w:rsidRPr="0074345C" w:rsidRDefault="00691432" w:rsidP="00AA7A54"/>
          <w:p w:rsidR="00691432" w:rsidRPr="0074345C" w:rsidRDefault="00691432" w:rsidP="00AA7A54">
            <w:pPr>
              <w:rPr>
                <w:szCs w:val="22"/>
              </w:rPr>
            </w:pPr>
            <w:r w:rsidRPr="0074345C">
              <w:rPr>
                <w:szCs w:val="22"/>
              </w:rPr>
              <w:t>El sitio web reestructurado de la OMPI se lanzó en noviembre de 2013 para satisfacer las necesidades de diferentes grupos interesados.  Se recibieron comentarios positivos de los usuarios.</w:t>
            </w:r>
          </w:p>
          <w:p w:rsidR="00691432" w:rsidRPr="0074345C" w:rsidRDefault="00691432" w:rsidP="00AA7A54">
            <w:pPr>
              <w:rPr>
                <w:szCs w:val="22"/>
              </w:rPr>
            </w:pPr>
          </w:p>
          <w:p w:rsidR="00691432" w:rsidRPr="0074345C" w:rsidRDefault="00691432" w:rsidP="00AA7A54">
            <w:pPr>
              <w:rPr>
                <w:szCs w:val="22"/>
              </w:rPr>
            </w:pPr>
          </w:p>
          <w:p w:rsidR="00691432" w:rsidRPr="0074345C" w:rsidRDefault="00691432" w:rsidP="00AA7A54">
            <w:pPr>
              <w:rPr>
                <w:szCs w:val="22"/>
              </w:rPr>
            </w:pPr>
            <w:r w:rsidRPr="0074345C">
              <w:rPr>
                <w:szCs w:val="22"/>
              </w:rPr>
              <w:t xml:space="preserve">Mejora en el acceso a la información y los conocimientos sobre P.I., en particular por medio de la presencia de la Organización en medios sociales como Twitter, </w:t>
            </w:r>
            <w:proofErr w:type="spellStart"/>
            <w:r w:rsidRPr="0074345C">
              <w:rPr>
                <w:szCs w:val="22"/>
              </w:rPr>
              <w:t>Flickr</w:t>
            </w:r>
            <w:proofErr w:type="spellEnd"/>
            <w:r w:rsidRPr="0074345C">
              <w:rPr>
                <w:szCs w:val="22"/>
              </w:rPr>
              <w:t xml:space="preserve"> (intercambio de fotografías) o </w:t>
            </w:r>
            <w:proofErr w:type="spellStart"/>
            <w:r w:rsidRPr="0074345C">
              <w:rPr>
                <w:szCs w:val="22"/>
              </w:rPr>
              <w:t>Scribd</w:t>
            </w:r>
            <w:proofErr w:type="spellEnd"/>
            <w:r w:rsidRPr="0074345C">
              <w:rPr>
                <w:szCs w:val="22"/>
              </w:rPr>
              <w:t xml:space="preserve"> (intercambio de publicaciones).</w:t>
            </w:r>
          </w:p>
          <w:p w:rsidR="00691432" w:rsidRPr="0074345C" w:rsidRDefault="00691432" w:rsidP="00AA7A54">
            <w:pPr>
              <w:rPr>
                <w:szCs w:val="22"/>
              </w:rPr>
            </w:pPr>
          </w:p>
          <w:p w:rsidR="00691432" w:rsidRPr="0074345C" w:rsidRDefault="00691432" w:rsidP="00AA7A54">
            <w:r w:rsidRPr="0074345C">
              <w:t xml:space="preserve">Comprensión más amplia de la función de la P.I. para los encargados de la formulación de políticas y para el público en general por medio de una utilización extensa del canal de la OMPI en </w:t>
            </w:r>
            <w:proofErr w:type="spellStart"/>
            <w:r w:rsidRPr="0074345C">
              <w:t>Youtube</w:t>
            </w:r>
            <w:proofErr w:type="spellEnd"/>
            <w:r w:rsidRPr="0074345C">
              <w:t>.</w:t>
            </w:r>
          </w:p>
          <w:p w:rsidR="00691432" w:rsidRPr="0074345C" w:rsidRDefault="00691432" w:rsidP="00AA7A54"/>
          <w:p w:rsidR="00691432" w:rsidRPr="0074345C" w:rsidRDefault="00691432" w:rsidP="00AA7A54">
            <w:r w:rsidRPr="0074345C">
              <w:t>Ampliación de la base de datos IP </w:t>
            </w:r>
            <w:proofErr w:type="spellStart"/>
            <w:r w:rsidRPr="0074345C">
              <w:t>Advantage</w:t>
            </w:r>
            <w:proofErr w:type="spellEnd"/>
            <w:r w:rsidRPr="0074345C">
              <w:t xml:space="preserve"> de los casos de éxito en materia de P.I. para recibir más de </w:t>
            </w:r>
            <w:r w:rsidRPr="0074345C">
              <w:rPr>
                <w:szCs w:val="22"/>
              </w:rPr>
              <w:t>312.000 visitas en 2012/13.</w:t>
            </w:r>
          </w:p>
          <w:p w:rsidR="00691432" w:rsidRPr="0074345C" w:rsidRDefault="00691432" w:rsidP="00AA7A54">
            <w:pPr>
              <w:rPr>
                <w:szCs w:val="22"/>
              </w:rPr>
            </w:pPr>
          </w:p>
          <w:p w:rsidR="00691432" w:rsidRPr="0074345C" w:rsidRDefault="00691432" w:rsidP="00AA7A54">
            <w:r w:rsidRPr="0074345C">
              <w:t>Además de las actividades registradas en la base de datos IP–TAD, puede encontrarse más información sobre los logros relativos a esta recomendación en el Informe sobre el rendimiento de los programas en 2012/13 (documento WO/PBC/22/8), en particular en el programa 19.</w:t>
            </w:r>
          </w:p>
        </w:tc>
      </w:tr>
    </w:tbl>
    <w:p w:rsidR="00691432" w:rsidRPr="0074345C" w:rsidRDefault="00691432" w:rsidP="00691432">
      <w:pPr>
        <w:rPr>
          <w:bCs/>
        </w:rPr>
      </w:pPr>
    </w:p>
    <w:p w:rsidR="00691432" w:rsidRPr="0074345C" w:rsidRDefault="00691432" w:rsidP="00691432">
      <w:pPr>
        <w:rPr>
          <w:bCs/>
        </w:rPr>
      </w:pPr>
    </w:p>
    <w:p w:rsidR="00691432" w:rsidRPr="0074345C" w:rsidRDefault="00691432" w:rsidP="00691432">
      <w:pPr>
        <w:spacing w:after="200" w:line="276" w:lineRule="auto"/>
        <w:rPr>
          <w:bCs/>
          <w:i/>
          <w:i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386"/>
        <w:gridCol w:w="9364"/>
      </w:tblGrid>
      <w:tr w:rsidR="006376E7" w:rsidRPr="0074345C" w:rsidTr="00AA7A54">
        <w:trPr>
          <w:trHeight w:val="1035"/>
        </w:trPr>
        <w:tc>
          <w:tcPr>
            <w:tcW w:w="4386" w:type="dxa"/>
            <w:shd w:val="clear" w:color="auto" w:fill="auto"/>
          </w:tcPr>
          <w:p w:rsidR="00691432" w:rsidRPr="0074345C" w:rsidRDefault="00691432" w:rsidP="00AA7A54">
            <w:pPr>
              <w:keepNext/>
              <w:autoSpaceDE w:val="0"/>
              <w:spacing w:before="240" w:after="60"/>
              <w:outlineLvl w:val="3"/>
              <w:rPr>
                <w:bCs/>
                <w:i/>
                <w:szCs w:val="28"/>
              </w:rPr>
            </w:pPr>
            <w:r w:rsidRPr="0074345C">
              <w:rPr>
                <w:bCs/>
                <w:i/>
                <w:szCs w:val="28"/>
              </w:rPr>
              <w:t>Introducir la P.I. en los diferentes niveles de enseñanza</w:t>
            </w:r>
          </w:p>
          <w:p w:rsidR="00691432" w:rsidRPr="0074345C" w:rsidRDefault="00691432" w:rsidP="00AA7A54">
            <w:pPr>
              <w:rPr>
                <w:bCs/>
              </w:rPr>
            </w:pPr>
          </w:p>
          <w:p w:rsidR="00691432" w:rsidRPr="0074345C" w:rsidRDefault="00691432" w:rsidP="00AA7A54">
            <w:r w:rsidRPr="0074345C">
              <w:t>La OMPI ofreció y creó programas conjuntos con instituciones académicas en los que se otorgaron títulos o diplomas.  La OMPI estableció vínculos de cooperación estratégica con instituciones académicas, especialmente de países en desarrollo, PMA y países con economías en transición.  En este tipo de actividades, también se elaboró material didáctico y de formación y planes de estudios sobre P.I.  Se elaboraron nuevos cursos de enseñanza a distancia que pasaron a formar parte de los planes de estudios de las instituciones.  Se hizo hincapié especialmente en seguir incluyendo en los programas de la Academia de la OMPI los aspectos del sistema de P.I. relacionados con el desarrollo.</w:t>
            </w:r>
          </w:p>
        </w:tc>
        <w:tc>
          <w:tcPr>
            <w:tcW w:w="9364" w:type="dxa"/>
            <w:tcBorders>
              <w:bottom w:val="single" w:sz="4" w:space="0" w:color="auto"/>
            </w:tcBorders>
            <w:shd w:val="clear" w:color="auto" w:fill="auto"/>
          </w:tcPr>
          <w:p w:rsidR="00691432" w:rsidRPr="0074345C" w:rsidRDefault="00691432" w:rsidP="00AA7A54"/>
          <w:p w:rsidR="00691432" w:rsidRPr="0074345C" w:rsidRDefault="00691432" w:rsidP="00AA7A54">
            <w:r w:rsidRPr="0074345C">
              <w:t xml:space="preserve">Los principios de la Agenda para el Desarrollo siguen integrándose en los programas de la Academia. </w:t>
            </w:r>
          </w:p>
          <w:p w:rsidR="00691432" w:rsidRPr="0074345C" w:rsidRDefault="00691432" w:rsidP="00AA7A54"/>
          <w:p w:rsidR="00691432" w:rsidRPr="0074345C" w:rsidRDefault="00691432" w:rsidP="00AA7A54">
            <w:pPr>
              <w:rPr>
                <w:bCs/>
                <w:szCs w:val="22"/>
              </w:rPr>
            </w:pPr>
            <w:r w:rsidRPr="0074345C">
              <w:rPr>
                <w:bCs/>
                <w:szCs w:val="22"/>
              </w:rPr>
              <w:t>Programas de formación presencial para funcionarios gubernamentales elaborados en colaboración con autoridades de propiedad industrial o derecho de autor en una serie de países.</w:t>
            </w:r>
          </w:p>
          <w:p w:rsidR="00691432" w:rsidRPr="0074345C" w:rsidRDefault="00691432" w:rsidP="00AA7A54">
            <w:pPr>
              <w:rPr>
                <w:bCs/>
                <w:szCs w:val="22"/>
              </w:rPr>
            </w:pPr>
          </w:p>
          <w:p w:rsidR="00691432" w:rsidRPr="0074345C" w:rsidRDefault="00691432" w:rsidP="00AA7A54">
            <w:pPr>
              <w:rPr>
                <w:rFonts w:eastAsia="MS Mincho"/>
                <w:szCs w:val="22"/>
                <w:lang w:eastAsia="ja-JP"/>
              </w:rPr>
            </w:pPr>
            <w:r w:rsidRPr="0074345C">
              <w:rPr>
                <w:rFonts w:eastAsia="MS Mincho"/>
                <w:szCs w:val="22"/>
                <w:lang w:eastAsia="ja-JP"/>
              </w:rPr>
              <w:t>Programa de enseñanza a distancia mejorado para atraer a estudiantes y otros participantes de todo el mundo, con una oferta de 14 cursos en 11 idiomas y más de 80.000 participantes de 189 países.</w:t>
            </w:r>
          </w:p>
          <w:p w:rsidR="00691432" w:rsidRPr="0074345C" w:rsidRDefault="00691432" w:rsidP="00AA7A54">
            <w:pPr>
              <w:rPr>
                <w:rFonts w:eastAsia="MS Mincho"/>
                <w:szCs w:val="22"/>
                <w:lang w:eastAsia="ja-JP"/>
              </w:rPr>
            </w:pPr>
          </w:p>
          <w:p w:rsidR="00691432" w:rsidRPr="0074345C" w:rsidRDefault="00691432" w:rsidP="00AA7A54">
            <w:pPr>
              <w:rPr>
                <w:bCs/>
                <w:szCs w:val="22"/>
              </w:rPr>
            </w:pPr>
            <w:r w:rsidRPr="0074345C">
              <w:rPr>
                <w:bCs/>
                <w:szCs w:val="22"/>
              </w:rPr>
              <w:t>Una serie de programas de máster conjuntos en Derecho de la P.I. y otras actividades desarrolladas y llevadas a cabo en el marco del programa de instituciones académicas, a fin de promover los estudios superiores en P.I.</w:t>
            </w:r>
          </w:p>
          <w:p w:rsidR="00691432" w:rsidRPr="0074345C" w:rsidRDefault="00691432" w:rsidP="00AA7A54"/>
          <w:p w:rsidR="00691432" w:rsidRPr="0074345C" w:rsidRDefault="00691432" w:rsidP="00AA7A54"/>
          <w:p w:rsidR="00691432" w:rsidRPr="0074345C" w:rsidRDefault="00691432" w:rsidP="00AA7A54">
            <w:r w:rsidRPr="0074345C">
              <w:t xml:space="preserve">Los más recientes Programas de Enseñanza y Formación de la Academia de la OMPI se publicaron a finales de 2013, y presentan de forma clara y transparente los contenidos de todos los programas de formación de la Academia de la OMPI, así como las entidades asociadas.  Esta información se puede consultar en: </w:t>
            </w:r>
            <w:hyperlink r:id="rId74" w:history="1">
              <w:r w:rsidRPr="0074345C">
                <w:rPr>
                  <w:rStyle w:val="Hyperlink"/>
                  <w:color w:val="auto"/>
                </w:rPr>
                <w:t>http://www.wipo.int/export/sites/www/freepublications/es/training/467/wipo_pub_467_2014.pdf</w:t>
              </w:r>
            </w:hyperlink>
            <w:r w:rsidRPr="0074345C">
              <w:t xml:space="preserve"> </w:t>
            </w:r>
          </w:p>
          <w:p w:rsidR="00691432" w:rsidRPr="0074345C" w:rsidRDefault="00691432" w:rsidP="00AA7A54">
            <w:r w:rsidRPr="0074345C">
              <w:t xml:space="preserve">Además de las actividades registradas en la base de datos IP–TAD, puede encontrarse más información sobre los logros relativos a esta recomendación en el Informe sobre el rendimiento de los programas 2012/13 (documento WO/PBC/22/8), en particular en el programa 11. </w:t>
            </w:r>
          </w:p>
          <w:p w:rsidR="00691432" w:rsidRPr="0074345C" w:rsidRDefault="00691432" w:rsidP="00AA7A54"/>
        </w:tc>
      </w:tr>
    </w:tbl>
    <w:p w:rsidR="00691432" w:rsidRPr="0074345C" w:rsidRDefault="00691432" w:rsidP="00691432">
      <w:pPr>
        <w:spacing w:after="200" w:line="276" w:lineRule="auto"/>
        <w:rPr>
          <w:bCs/>
        </w:rPr>
      </w:pPr>
      <w:r w:rsidRPr="0074345C">
        <w:rPr>
          <w:bCs/>
          <w:i/>
          <w:iCs/>
        </w:rPr>
        <w:br w:type="page"/>
      </w:r>
      <w:r w:rsidRPr="0074345C">
        <w:rPr>
          <w:bCs/>
          <w:i/>
          <w:iCs/>
        </w:rPr>
        <w:lastRenderedPageBreak/>
        <w:t>Recomendación 4</w:t>
      </w:r>
      <w:proofErr w:type="gramStart"/>
      <w:r w:rsidRPr="0074345C">
        <w:rPr>
          <w:bCs/>
          <w:i/>
          <w:iCs/>
        </w:rPr>
        <w:t>:</w:t>
      </w:r>
      <w:r w:rsidRPr="0074345C">
        <w:rPr>
          <w:bCs/>
          <w:iCs/>
        </w:rPr>
        <w:t xml:space="preserve">  Destacar</w:t>
      </w:r>
      <w:proofErr w:type="gramEnd"/>
      <w:r w:rsidRPr="0074345C">
        <w:rPr>
          <w:bCs/>
          <w:iCs/>
        </w:rPr>
        <w:t>, en particular, las necesidades de las Pymes y las instituciones de investigación científica, así como las industrias culturales, y asistir a los Estados miembros, cuando éstos lo soliciten, en el establecimiento de estrategias nacionales adecuadas en el campo de la P.I.</w:t>
      </w:r>
    </w:p>
    <w:p w:rsidR="00691432" w:rsidRPr="0074345C" w:rsidRDefault="00691432" w:rsidP="00691432">
      <w:pPr>
        <w:rPr>
          <w:bCs/>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513"/>
      </w:tblGrid>
      <w:tr w:rsidR="006376E7" w:rsidRPr="0074345C" w:rsidTr="00AA7A54">
        <w:trPr>
          <w:trHeight w:val="392"/>
          <w:tblHeader/>
        </w:trPr>
        <w:tc>
          <w:tcPr>
            <w:tcW w:w="6379" w:type="dxa"/>
            <w:shd w:val="clear" w:color="auto" w:fill="auto"/>
          </w:tcPr>
          <w:p w:rsidR="00691432" w:rsidRPr="0074345C" w:rsidRDefault="00691432" w:rsidP="00AA7A54">
            <w:pPr>
              <w:keepNext/>
              <w:autoSpaceDE w:val="0"/>
              <w:spacing w:before="240" w:after="60"/>
              <w:outlineLvl w:val="2"/>
              <w:rPr>
                <w:bCs/>
                <w:u w:val="single"/>
              </w:rPr>
            </w:pPr>
            <w:r w:rsidRPr="0074345C">
              <w:rPr>
                <w:bCs/>
                <w:u w:val="single"/>
              </w:rPr>
              <w:t>Estrategias de ejecución</w:t>
            </w:r>
          </w:p>
        </w:tc>
        <w:tc>
          <w:tcPr>
            <w:tcW w:w="7513" w:type="dxa"/>
            <w:shd w:val="clear" w:color="auto" w:fill="auto"/>
            <w:vAlign w:val="center"/>
          </w:tcPr>
          <w:p w:rsidR="00691432" w:rsidRPr="0074345C" w:rsidRDefault="00691432" w:rsidP="00AA7A54">
            <w:pPr>
              <w:keepNext/>
              <w:autoSpaceDE w:val="0"/>
              <w:spacing w:before="240" w:after="60"/>
              <w:outlineLvl w:val="2"/>
              <w:rPr>
                <w:bCs/>
                <w:szCs w:val="26"/>
                <w:u w:val="single"/>
              </w:rPr>
            </w:pPr>
            <w:r w:rsidRPr="0074345C">
              <w:rPr>
                <w:bCs/>
                <w:szCs w:val="26"/>
                <w:u w:val="single"/>
              </w:rPr>
              <w:t>Logros</w:t>
            </w:r>
          </w:p>
          <w:p w:rsidR="00691432" w:rsidRPr="0074345C" w:rsidRDefault="00691432" w:rsidP="00AA7A54"/>
        </w:tc>
      </w:tr>
      <w:tr w:rsidR="006376E7" w:rsidRPr="0074345C" w:rsidTr="00AA7A54">
        <w:tblPrEx>
          <w:tblCellMar>
            <w:top w:w="108" w:type="dxa"/>
            <w:bottom w:w="108" w:type="dxa"/>
          </w:tblCellMar>
        </w:tblPrEx>
        <w:tc>
          <w:tcPr>
            <w:tcW w:w="6379" w:type="dxa"/>
            <w:shd w:val="clear" w:color="auto" w:fill="auto"/>
          </w:tcPr>
          <w:p w:rsidR="00691432" w:rsidRPr="0074345C" w:rsidRDefault="00691432" w:rsidP="00AA7A54">
            <w:pPr>
              <w:autoSpaceDE w:val="0"/>
              <w:spacing w:before="240" w:after="60"/>
              <w:outlineLvl w:val="3"/>
              <w:rPr>
                <w:bCs/>
                <w:i/>
                <w:szCs w:val="28"/>
              </w:rPr>
            </w:pPr>
            <w:r w:rsidRPr="0074345C">
              <w:rPr>
                <w:bCs/>
                <w:i/>
                <w:szCs w:val="28"/>
              </w:rPr>
              <w:t>Estrategia para las Pymes</w:t>
            </w:r>
          </w:p>
          <w:p w:rsidR="00691432" w:rsidRPr="0074345C" w:rsidRDefault="00691432" w:rsidP="00AA7A54"/>
          <w:p w:rsidR="00691432" w:rsidRPr="0074345C" w:rsidRDefault="00691432" w:rsidP="00AA7A54">
            <w:pPr>
              <w:widowControl w:val="0"/>
            </w:pPr>
            <w:r w:rsidRPr="0074345C">
              <w:t>Facilitar el desarrollo de políticas y estrategias adecuadas en el campo de la P.I. para las Pymes a través de los Estados miembros.</w:t>
            </w: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r w:rsidRPr="0074345C">
              <w:t>Mejorar la capacidad de las Pymes y las instituciones que las apoyan para utilizar mejor el sistema de P.I. con el fin de fomentar la competitividad.</w:t>
            </w: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r w:rsidRPr="0074345C">
              <w:t>Elaborar contenidos relacionados con las Pymes para orientar las actividades de fortalecimiento de capacidades y formación dirigiéndolas principalmente a las instituciones que apoyan a las Pymes.</w:t>
            </w: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p>
          <w:p w:rsidR="00691432" w:rsidRPr="0074345C" w:rsidRDefault="00691432" w:rsidP="00AA7A54">
            <w:pPr>
              <w:widowControl w:val="0"/>
            </w:pPr>
            <w:r w:rsidRPr="0074345C">
              <w:lastRenderedPageBreak/>
              <w:t xml:space="preserve">Se procuró en particular respaldar los países en desarrollo, fortaleciendo los vínculos entre las instituciones de investigación, la industria local y las Pymes, para crear asociaciones entre las instituciones públicas y privadas con el fin de maximizar el valor de los activos de P.I. y crear sinergias entre los organismos de apoyo a la ciencia, el comercio, la cultura y el gobierno. </w:t>
            </w:r>
          </w:p>
          <w:p w:rsidR="00691432" w:rsidRPr="0074345C" w:rsidRDefault="00691432" w:rsidP="00AA7A54"/>
          <w:p w:rsidR="00691432" w:rsidRPr="0074345C" w:rsidRDefault="00691432" w:rsidP="00AA7A54">
            <w:r w:rsidRPr="0074345C">
              <w:t>Además, la OMPI siguió fomentando mediante diversas actividades la sensibilización en general acerca de la importancia de la P.I. para la competitividad de las empresas y fortaleciendo las capacidades en el ámbito local ofreciendo formación a formadores por medio de talleres y seminarios y otro tipo de actividades presenciales, así como mediante la creación y difusión de material (artículos y publicaciones impresos y en línea, productos multimedia, etc.) sobre la P.I. y las empresas.</w:t>
            </w:r>
          </w:p>
        </w:tc>
        <w:tc>
          <w:tcPr>
            <w:tcW w:w="7513" w:type="dxa"/>
            <w:shd w:val="clear" w:color="auto" w:fill="auto"/>
          </w:tcPr>
          <w:p w:rsidR="00691432" w:rsidRPr="0074345C" w:rsidRDefault="00691432" w:rsidP="00AA7A54"/>
          <w:p w:rsidR="00691432" w:rsidRPr="0074345C" w:rsidRDefault="00691432" w:rsidP="00AA7A54"/>
          <w:p w:rsidR="00691432" w:rsidRPr="0074345C" w:rsidRDefault="00691432" w:rsidP="00AA7A54"/>
          <w:p w:rsidR="00691432" w:rsidRPr="0074345C" w:rsidRDefault="00691432" w:rsidP="00AA7A54">
            <w:r w:rsidRPr="0074345C">
              <w:t>20 mesas redondas en 18 países, durante el programa de formación de formadores sobre gestión de la P.I., en las que se facilitó información valiosa a los encargados de formular políticas y a las instituciones que apoyan a las Pymes para desarrollar estrategias de P.I. adecuadas para las Pymes.</w:t>
            </w:r>
          </w:p>
          <w:p w:rsidR="00691432" w:rsidRPr="0074345C" w:rsidRDefault="00691432" w:rsidP="00AA7A54"/>
          <w:p w:rsidR="00691432" w:rsidRPr="0074345C" w:rsidRDefault="00691432" w:rsidP="00AA7A54">
            <w:r w:rsidRPr="0074345C">
              <w:t>Vínculos con investigaciones, estudios y prácticas óptimas en materia de P.I. y relacionados con las Pymes, publicados en el boletín de noticias mensual sobre las Pymes que proporciona</w:t>
            </w:r>
            <w:r w:rsidRPr="0074345C">
              <w:rPr>
                <w:i/>
              </w:rPr>
              <w:t xml:space="preserve"> </w:t>
            </w:r>
            <w:r w:rsidRPr="0074345C">
              <w:t>información y conocimientos adicionales a las instituciones que apoyan a las Pymes.</w:t>
            </w:r>
          </w:p>
          <w:p w:rsidR="00691432" w:rsidRPr="0074345C" w:rsidRDefault="00691432" w:rsidP="00AA7A54"/>
          <w:p w:rsidR="00691432" w:rsidRPr="0074345C" w:rsidRDefault="00691432" w:rsidP="00AA7A54">
            <w:r w:rsidRPr="0074345C">
              <w:t xml:space="preserve">20 programas de formación de formadores en gestión eficaz de activos de P.I. </w:t>
            </w:r>
            <w:r w:rsidRPr="0074345C">
              <w:rPr>
                <w:szCs w:val="22"/>
              </w:rPr>
              <w:t>por parte de las Pymes, impartidos en 18 países de cinco regiones, beneficiaron a unos 1.000 participantes.</w:t>
            </w:r>
          </w:p>
          <w:p w:rsidR="00691432" w:rsidRPr="0074345C" w:rsidRDefault="00691432" w:rsidP="00AA7A54">
            <w:pPr>
              <w:rPr>
                <w:szCs w:val="22"/>
              </w:rPr>
            </w:pPr>
          </w:p>
          <w:p w:rsidR="00691432" w:rsidRPr="0074345C" w:rsidRDefault="00691432" w:rsidP="00AA7A54">
            <w:pPr>
              <w:rPr>
                <w:szCs w:val="22"/>
              </w:rPr>
            </w:pPr>
            <w:r w:rsidRPr="0074345C">
              <w:rPr>
                <w:szCs w:val="22"/>
              </w:rPr>
              <w:t>Amplia distribución del boletín electrónico mensual sobre las Pymes, en seis idiomas de las Naciones Unidas, entre más de 40.000 suscriptores de todo el mundo, a través de la página web dedicada a las Pymes.</w:t>
            </w:r>
          </w:p>
          <w:p w:rsidR="00691432" w:rsidRPr="0074345C" w:rsidRDefault="00691432" w:rsidP="00AA7A54"/>
          <w:p w:rsidR="00691432" w:rsidRPr="0074345C" w:rsidRDefault="00691432" w:rsidP="00AA7A54">
            <w:pPr>
              <w:rPr>
                <w:szCs w:val="22"/>
              </w:rPr>
            </w:pPr>
            <w:r w:rsidRPr="0074345C">
              <w:rPr>
                <w:szCs w:val="22"/>
              </w:rPr>
              <w:t>Actividades finalizadas o en curso sobre publicaciones nuevas y actualizadas relacionadas con las Pymes.</w:t>
            </w:r>
          </w:p>
          <w:p w:rsidR="00691432" w:rsidRPr="0074345C" w:rsidRDefault="00691432" w:rsidP="00AA7A54">
            <w:pPr>
              <w:rPr>
                <w:szCs w:val="22"/>
              </w:rPr>
            </w:pPr>
          </w:p>
          <w:p w:rsidR="00691432" w:rsidRPr="0074345C" w:rsidRDefault="00691432" w:rsidP="00AA7A54">
            <w:pPr>
              <w:rPr>
                <w:szCs w:val="22"/>
              </w:rPr>
            </w:pPr>
            <w:r w:rsidRPr="0074345C">
              <w:rPr>
                <w:szCs w:val="22"/>
              </w:rPr>
              <w:t xml:space="preserve">Se comenzó a trabajar en una versión para dispositivos móviles del instrumento multimedios IP </w:t>
            </w:r>
            <w:proofErr w:type="spellStart"/>
            <w:r w:rsidRPr="0074345C">
              <w:rPr>
                <w:szCs w:val="22"/>
              </w:rPr>
              <w:t>Panorama</w:t>
            </w:r>
            <w:r w:rsidRPr="0074345C">
              <w:rPr>
                <w:vertAlign w:val="superscript"/>
              </w:rPr>
              <w:t>TM</w:t>
            </w:r>
            <w:proofErr w:type="spellEnd"/>
            <w:r w:rsidRPr="0074345C">
              <w:t>.</w:t>
            </w:r>
          </w:p>
          <w:p w:rsidR="00691432" w:rsidRPr="0074345C" w:rsidRDefault="00691432" w:rsidP="00AA7A54">
            <w:pPr>
              <w:rPr>
                <w:szCs w:val="22"/>
              </w:rPr>
            </w:pPr>
          </w:p>
          <w:p w:rsidR="00691432" w:rsidRPr="0074345C" w:rsidRDefault="00691432" w:rsidP="00AA7A54"/>
          <w:p w:rsidR="00691432" w:rsidRPr="0074345C" w:rsidRDefault="00691432" w:rsidP="00AA7A54">
            <w:r w:rsidRPr="0074345C">
              <w:t>Además de las actividades registradas en la base de datos IP–TAD, puede encontrarse más información sobre los logros relativos a esta recomendación en el Informe sobre el rendimiento de los programas 2012/13 (documento WO/PBC/22/8), en particular en el programa 30.</w:t>
            </w:r>
          </w:p>
        </w:tc>
      </w:tr>
      <w:tr w:rsidR="006376E7" w:rsidRPr="0074345C" w:rsidTr="00AA7A54">
        <w:tblPrEx>
          <w:tblCellMar>
            <w:top w:w="108" w:type="dxa"/>
            <w:bottom w:w="108" w:type="dxa"/>
          </w:tblCellMar>
        </w:tblPrEx>
        <w:tc>
          <w:tcPr>
            <w:tcW w:w="6379" w:type="dxa"/>
            <w:shd w:val="clear" w:color="auto" w:fill="auto"/>
          </w:tcPr>
          <w:p w:rsidR="00691432" w:rsidRPr="0074345C" w:rsidRDefault="00691432" w:rsidP="00AA7A54">
            <w:pPr>
              <w:keepNext/>
              <w:autoSpaceDE w:val="0"/>
              <w:spacing w:before="240" w:after="60"/>
              <w:outlineLvl w:val="3"/>
              <w:rPr>
                <w:bCs/>
                <w:i/>
                <w:szCs w:val="28"/>
              </w:rPr>
            </w:pPr>
            <w:r w:rsidRPr="0074345C">
              <w:rPr>
                <w:bCs/>
                <w:i/>
                <w:szCs w:val="28"/>
              </w:rPr>
              <w:lastRenderedPageBreak/>
              <w:t>Estrategia para las industrias creativas</w:t>
            </w:r>
          </w:p>
          <w:p w:rsidR="00691432" w:rsidRPr="0074345C" w:rsidRDefault="00691432" w:rsidP="00AA7A54"/>
          <w:p w:rsidR="00691432" w:rsidRPr="0074345C" w:rsidRDefault="00691432" w:rsidP="00AA7A54">
            <w:r w:rsidRPr="0074345C">
              <w:t xml:space="preserve">Se realizaron estudios sobre la contribución económica de las industrias relacionadas con el derecho de autor.  El objetivo principal de esos estudios era permitir a los países identificar las industrias relacionadas con el derecho de autor y realizar un análisis comparativo de la contribución económica de esas industrias en relación con otros sectores de la economía o industrias similares en otros países.  Además, los estudios permitieron a los encargados de formular políticas determinar las opciones políticas adecuadas. </w:t>
            </w:r>
          </w:p>
          <w:p w:rsidR="00691432" w:rsidRPr="0074345C" w:rsidRDefault="00691432" w:rsidP="00AA7A54"/>
          <w:p w:rsidR="00691432" w:rsidRPr="0074345C" w:rsidRDefault="00691432" w:rsidP="00AA7A54">
            <w:r w:rsidRPr="0074345C">
              <w:t>Asimismo, se elaboró material práctico para determinados sectores creativos a fin de satisfacer las necesidades de cada sector y se utilizó en seminarios celebrados en varios países.</w:t>
            </w:r>
          </w:p>
          <w:p w:rsidR="00691432" w:rsidRPr="0074345C" w:rsidRDefault="00691432" w:rsidP="00AA7A54"/>
          <w:p w:rsidR="00691432" w:rsidRPr="0074345C" w:rsidRDefault="00691432" w:rsidP="00AA7A54">
            <w:r w:rsidRPr="0074345C">
              <w:t>Se establecieron y fomentaron vínculos de cooperación con gobiernos y organizaciones internacionales interesados.</w:t>
            </w:r>
          </w:p>
        </w:tc>
        <w:tc>
          <w:tcPr>
            <w:tcW w:w="7513" w:type="dxa"/>
            <w:shd w:val="clear" w:color="auto" w:fill="auto"/>
          </w:tcPr>
          <w:p w:rsidR="00691432" w:rsidRPr="0074345C" w:rsidRDefault="00691432" w:rsidP="00AA7A54"/>
          <w:p w:rsidR="00691432" w:rsidRPr="0074345C" w:rsidRDefault="00691432" w:rsidP="00AA7A54">
            <w:r w:rsidRPr="0074345C">
              <w:t xml:space="preserve">Se facilitó asistencia a los países para la recopilación de pruebas sobre el rendimiento de sus sectores creativos. </w:t>
            </w:r>
          </w:p>
          <w:p w:rsidR="00691432" w:rsidRPr="0074345C" w:rsidRDefault="00691432" w:rsidP="00AA7A54"/>
          <w:p w:rsidR="00691432" w:rsidRPr="0074345C" w:rsidRDefault="00691432" w:rsidP="00AA7A54">
            <w:r w:rsidRPr="0074345C">
              <w:t xml:space="preserve">El número de actividades de sensibilización y capacitación en la esfera de las industrias creativas se incrementó en los países de todas las regiones. </w:t>
            </w:r>
          </w:p>
          <w:p w:rsidR="00691432" w:rsidRPr="0074345C" w:rsidRDefault="00691432" w:rsidP="00AA7A54"/>
          <w:p w:rsidR="00691432" w:rsidRPr="0074345C" w:rsidRDefault="00691432" w:rsidP="00AA7A54">
            <w:r w:rsidRPr="0074345C">
              <w:t xml:space="preserve">Se elaboraron instrumentos para los creadores y se emplearon ampliamente en las actividades de sensibilización y fortalecimiento de las capacidades;  para difundir su uso, estos instrumentos se han traducido al francés y al español, y algunos de ellos al árabe, al chino y al ruso. </w:t>
            </w:r>
          </w:p>
          <w:p w:rsidR="00691432" w:rsidRPr="0074345C" w:rsidRDefault="00691432" w:rsidP="00AA7A54"/>
          <w:p w:rsidR="00691432" w:rsidRPr="0074345C" w:rsidRDefault="00691432" w:rsidP="00AA7A54">
            <w:r w:rsidRPr="0074345C">
              <w:t xml:space="preserve">Tres países utilizaron los estudios de la OMPI para desarrollar estrategias relacionadas con la industria cultural. </w:t>
            </w:r>
          </w:p>
          <w:p w:rsidR="00691432" w:rsidRPr="0074345C" w:rsidRDefault="00691432" w:rsidP="00AA7A54"/>
          <w:p w:rsidR="00691432" w:rsidRPr="0074345C" w:rsidRDefault="00691432" w:rsidP="00AA7A54">
            <w:r w:rsidRPr="0074345C">
              <w:t xml:space="preserve">Además de las actividades registradas en la base de datos IP–TAD, puede encontrarse más información sobre los logros relativos a esta recomendación en el Informe sobre el rendimiento de los programas 2012/13 (documento WO/PBC/22/8), en particular en el programa 3. </w:t>
            </w:r>
          </w:p>
        </w:tc>
      </w:tr>
      <w:tr w:rsidR="006376E7" w:rsidRPr="0074345C" w:rsidTr="00AA7A54">
        <w:tblPrEx>
          <w:tblCellMar>
            <w:top w:w="108" w:type="dxa"/>
            <w:bottom w:w="108" w:type="dxa"/>
          </w:tblCellMar>
        </w:tblPrEx>
        <w:trPr>
          <w:cantSplit/>
        </w:trPr>
        <w:tc>
          <w:tcPr>
            <w:tcW w:w="6379" w:type="dxa"/>
            <w:shd w:val="clear" w:color="auto" w:fill="auto"/>
          </w:tcPr>
          <w:p w:rsidR="00691432" w:rsidRPr="0074345C" w:rsidRDefault="00691432" w:rsidP="00AA7A54">
            <w:pPr>
              <w:keepNext/>
              <w:autoSpaceDE w:val="0"/>
              <w:spacing w:before="240" w:after="60"/>
              <w:outlineLvl w:val="3"/>
              <w:rPr>
                <w:bCs/>
                <w:i/>
                <w:szCs w:val="28"/>
              </w:rPr>
            </w:pPr>
            <w:r w:rsidRPr="0074345C">
              <w:rPr>
                <w:bCs/>
                <w:i/>
                <w:szCs w:val="28"/>
              </w:rPr>
              <w:lastRenderedPageBreak/>
              <w:t>Estrategia para las universidades y las instituciones de investigación</w:t>
            </w:r>
          </w:p>
          <w:p w:rsidR="00691432" w:rsidRPr="0074345C" w:rsidRDefault="00691432" w:rsidP="00AA7A54"/>
          <w:p w:rsidR="00691432" w:rsidRPr="0074345C" w:rsidRDefault="00691432" w:rsidP="00AA7A54">
            <w:r w:rsidRPr="0074345C">
              <w:t xml:space="preserve">Se han intensificado considerablemente las actividades de apoyo a instituciones de investigación (incluidas las universidades) a raíz de la demanda creciente de los Estados miembros.  El apoyo se centró en tres tipos de actividades principalmente.  En primer lugar, se apoyó a las instituciones de I+D y a las universidades con miras a elaborar políticas institucionales de P.I. que faciliten la gestión de los activos de P.I. conforme a sus misiones y mandatos.  En segundo lugar, la OMPI apoyó la creación de redes de instituciones de I+D con centros de P.I. a fin de que los Estados miembros puedan establecer infraestructuras rentables en materia de innovación.  </w:t>
            </w:r>
          </w:p>
          <w:p w:rsidR="00691432" w:rsidRPr="0074345C" w:rsidRDefault="00691432" w:rsidP="00AA7A54"/>
          <w:p w:rsidR="00691432" w:rsidRPr="0074345C" w:rsidRDefault="00691432" w:rsidP="00AA7A54">
            <w:r w:rsidRPr="0074345C">
              <w:t>En tercer lugar, la OMPI ofreció programas adaptados de formación práctica en negociación de licencias de tecnología, evaluación de patentes, redacción de solicitudes de patente y gestión y comercialización de tecnología para las instituciones de I+D y las universidades, según lo solicitado</w:t>
            </w:r>
          </w:p>
          <w:p w:rsidR="00691432" w:rsidRPr="0074345C" w:rsidRDefault="00691432" w:rsidP="00AA7A54">
            <w:pPr>
              <w:rPr>
                <w:u w:val="single"/>
              </w:rPr>
            </w:pPr>
          </w:p>
        </w:tc>
        <w:tc>
          <w:tcPr>
            <w:tcW w:w="7513" w:type="dxa"/>
            <w:shd w:val="clear" w:color="auto" w:fill="auto"/>
          </w:tcPr>
          <w:p w:rsidR="00691432" w:rsidRPr="0074345C" w:rsidRDefault="00691432" w:rsidP="00AA7A54">
            <w:pPr>
              <w:keepNext/>
              <w:autoSpaceDE w:val="0"/>
              <w:spacing w:before="240" w:after="60"/>
              <w:outlineLvl w:val="2"/>
              <w:rPr>
                <w:bCs/>
                <w:szCs w:val="22"/>
              </w:rPr>
            </w:pPr>
            <w:r w:rsidRPr="0074345C">
              <w:rPr>
                <w:bCs/>
                <w:szCs w:val="22"/>
              </w:rPr>
              <w:t>Mayor comprensión de la importancia de un marco jurídico sobre gestión de los derechos de P.I. y una infraestructura adecuada (unidades de gestión de la tecnología) para una transferencia de conocimientos eficaz y sistemática de universidades e instituciones de I+D a asociados del sector.  Fortalecimiento de las capacidades de expertos nacionales para definir políticas institucionales en materia de derechos de P.I. para instituciones académicas mediante la organización de programas de formación específicos sobre fortalecimiento de capacidades que permitan redactar la política institucional en materia de P.I., y que proporcione una metodología y directrices ajustadas, así como ejemplos relevantes de políticas.</w:t>
            </w:r>
          </w:p>
          <w:p w:rsidR="00691432" w:rsidRPr="0074345C" w:rsidRDefault="00691432" w:rsidP="00AA7A54">
            <w:pPr>
              <w:keepNext/>
              <w:autoSpaceDE w:val="0"/>
              <w:spacing w:before="240" w:after="60"/>
              <w:outlineLvl w:val="2"/>
              <w:rPr>
                <w:bCs/>
                <w:szCs w:val="22"/>
              </w:rPr>
            </w:pPr>
            <w:r w:rsidRPr="0074345C">
              <w:rPr>
                <w:bCs/>
                <w:szCs w:val="22"/>
              </w:rPr>
              <w:t>Refuerzo de conocimientos y perfeccionamiento de competencias a más de 1.000 expertos nacionales de países en desarrollo y países en transición por medio de 24 programas de formación adaptados a cada caso que se impartieron en Estados miembros de la OMPI durante un año en los ámbitos de gestión de derechos de P.I., transferencia de tecnología e innovación, redacción de solicitudes de patente, valoración de activos de P.I. y negociación de licencias de tecnología.</w:t>
            </w:r>
          </w:p>
          <w:p w:rsidR="00691432" w:rsidRPr="0074345C" w:rsidRDefault="00691432" w:rsidP="00AA7A54">
            <w:pPr>
              <w:keepNext/>
              <w:autoSpaceDE w:val="0"/>
              <w:spacing w:before="240" w:after="60"/>
              <w:outlineLvl w:val="2"/>
              <w:rPr>
                <w:bCs/>
              </w:rPr>
            </w:pPr>
            <w:r w:rsidRPr="0074345C">
              <w:rPr>
                <w:bCs/>
                <w:szCs w:val="22"/>
              </w:rPr>
              <w:t>Mayor sensibilización en relación con los beneficios de las redes de colaboración en el ámbito de la P.I. en el plano nacional e internacional mediante la organización de reuniones y foros para oficinas de transferencia de tecnología y administradores de tecnología, a fin de crear condiciones favorables para su cooperación y asociación profesional.</w:t>
            </w:r>
          </w:p>
          <w:p w:rsidR="00691432" w:rsidRPr="0074345C" w:rsidRDefault="00691432" w:rsidP="00AA7A54">
            <w:pPr>
              <w:keepNext/>
              <w:autoSpaceDE w:val="0"/>
              <w:spacing w:before="240" w:after="60"/>
              <w:outlineLvl w:val="2"/>
              <w:rPr>
                <w:bCs/>
              </w:rPr>
            </w:pPr>
            <w:r w:rsidRPr="0074345C">
              <w:t xml:space="preserve">Además de las actividades registradas en la base de datos IP–TAD, puede encontrarse más información sobre los logros relativos a esta recomendación en el Informe sobre el rendimiento de los programas 2012/13 (documento WO/PBC/22/8), en particular en el programa </w:t>
            </w:r>
            <w:r w:rsidRPr="0074345C">
              <w:rPr>
                <w:bCs/>
              </w:rPr>
              <w:t xml:space="preserve">30. </w:t>
            </w:r>
          </w:p>
          <w:p w:rsidR="00691432" w:rsidRPr="0074345C" w:rsidRDefault="00691432" w:rsidP="00AA7A54">
            <w:pPr>
              <w:autoSpaceDE w:val="0"/>
              <w:autoSpaceDN w:val="0"/>
              <w:adjustRightInd w:val="0"/>
              <w:rPr>
                <w:szCs w:val="22"/>
              </w:rPr>
            </w:pPr>
          </w:p>
        </w:tc>
      </w:tr>
      <w:tr w:rsidR="006376E7" w:rsidRPr="0074345C" w:rsidTr="00AA7A54">
        <w:tblPrEx>
          <w:tblCellMar>
            <w:top w:w="108" w:type="dxa"/>
            <w:bottom w:w="108" w:type="dxa"/>
          </w:tblCellMar>
        </w:tblPrEx>
        <w:trPr>
          <w:cantSplit/>
          <w:trHeight w:val="903"/>
        </w:trPr>
        <w:tc>
          <w:tcPr>
            <w:tcW w:w="6379" w:type="dxa"/>
            <w:shd w:val="clear" w:color="auto" w:fill="auto"/>
          </w:tcPr>
          <w:p w:rsidR="00691432" w:rsidRPr="0074345C" w:rsidRDefault="00691432" w:rsidP="00AA7A54">
            <w:pPr>
              <w:keepNext/>
              <w:autoSpaceDE w:val="0"/>
              <w:spacing w:before="240" w:after="60"/>
              <w:outlineLvl w:val="3"/>
              <w:rPr>
                <w:bCs/>
                <w:i/>
                <w:szCs w:val="28"/>
              </w:rPr>
            </w:pPr>
            <w:r w:rsidRPr="0074345C">
              <w:rPr>
                <w:bCs/>
                <w:i/>
                <w:szCs w:val="28"/>
              </w:rPr>
              <w:lastRenderedPageBreak/>
              <w:t xml:space="preserve">Estrategia para apoyar la elaboración de estrategias nacionales de P.I. </w:t>
            </w:r>
          </w:p>
          <w:p w:rsidR="00691432" w:rsidRPr="0074345C" w:rsidRDefault="00691432" w:rsidP="00AA7A54"/>
          <w:p w:rsidR="00691432" w:rsidRPr="0074345C" w:rsidRDefault="00691432" w:rsidP="00AA7A54">
            <w:r w:rsidRPr="0074345C">
              <w:t>Apoyo a los Estados miembros para que integren las estrategias de P.I. en la planificación nacional de desarrollo económico.  Esta tarea conllevó la elaboración de herramientas prácticas en las que se hizo hincapié en la importancia de las opciones nacionales para elaborar y poner en práctica estrategias de P.I.  Al elaborar estrategias nacionales de P.I. se tuvieron en cuenta las necesidades de las Pymes y de las instituciones de investigación científica, así como las del ámbito de las industrias culturales.</w:t>
            </w:r>
          </w:p>
          <w:p w:rsidR="00691432" w:rsidRPr="0074345C" w:rsidRDefault="00691432" w:rsidP="00AA7A54">
            <w:pPr>
              <w:rPr>
                <w:u w:val="single"/>
              </w:rPr>
            </w:pPr>
          </w:p>
        </w:tc>
        <w:tc>
          <w:tcPr>
            <w:tcW w:w="7513" w:type="dxa"/>
            <w:shd w:val="clear" w:color="auto" w:fill="auto"/>
          </w:tcPr>
          <w:p w:rsidR="00691432" w:rsidRPr="0074345C" w:rsidRDefault="00691432" w:rsidP="00AA7A54"/>
          <w:p w:rsidR="00691432" w:rsidRPr="0074345C" w:rsidRDefault="00691432" w:rsidP="00AA7A54">
            <w:r w:rsidRPr="0074345C">
              <w:t>Se elaboró una serie de herramientas prácticas como metodología para la formulación de estrategias nacionales de P.I. en el marco del proyecto sobre Mejora de la capacidad de las instituciones de P.I. de ámbito nacional, subregional y regional y de los respectivos usuarios (CDIP/3/INF/2).</w:t>
            </w:r>
          </w:p>
          <w:p w:rsidR="00691432" w:rsidRPr="0074345C" w:rsidRDefault="00691432" w:rsidP="00AA7A54"/>
          <w:p w:rsidR="00691432" w:rsidRPr="0074345C" w:rsidRDefault="00691432" w:rsidP="00AA7A54">
            <w:r w:rsidRPr="0074345C">
              <w:t>Se completaron estrategias nacionales de P.I. que emplean metodología de la OMPI en seis países piloto.  La metodología se ha incorporado en la actividad ordinaria de la Organización.</w:t>
            </w:r>
          </w:p>
          <w:p w:rsidR="00691432" w:rsidRPr="0074345C" w:rsidRDefault="00691432" w:rsidP="00AA7A54"/>
          <w:p w:rsidR="00691432" w:rsidRPr="0074345C" w:rsidRDefault="00691432" w:rsidP="00AA7A54">
            <w:r w:rsidRPr="0074345C">
              <w:t xml:space="preserve">Un gran número de Estados miembros se beneficiaron de la asistencia de la OMPI en relación con sus procesos de evaluación/auditoría nacionales en materia de P.I. y/o la formulación de estrategias nacionales de P.I.  </w:t>
            </w:r>
          </w:p>
          <w:p w:rsidR="00691432" w:rsidRPr="0074345C" w:rsidRDefault="00691432" w:rsidP="00AA7A54"/>
          <w:p w:rsidR="00691432" w:rsidRPr="0074345C" w:rsidRDefault="00691432" w:rsidP="00AA7A54">
            <w:r w:rsidRPr="0074345C">
              <w:t xml:space="preserve">Además de las actividades registradas en la base de datos IP–TAD, puede encontrarse más información sobre los logros relativos a esta recomendación en el Informe sobre el rendimiento de los programas 2012/13 (documento WO/PBC/22/8), en particular en los programas 9 y 10. </w:t>
            </w:r>
          </w:p>
        </w:tc>
      </w:tr>
      <w:tr w:rsidR="006376E7" w:rsidRPr="0074345C" w:rsidTr="00AA7A54">
        <w:tblPrEx>
          <w:tblCellMar>
            <w:top w:w="108" w:type="dxa"/>
            <w:bottom w:w="108" w:type="dxa"/>
          </w:tblCellMar>
        </w:tblPrEx>
        <w:trPr>
          <w:trHeight w:val="1410"/>
        </w:trPr>
        <w:tc>
          <w:tcPr>
            <w:tcW w:w="6379" w:type="dxa"/>
            <w:shd w:val="clear" w:color="auto" w:fill="auto"/>
          </w:tcPr>
          <w:p w:rsidR="00691432" w:rsidRPr="0074345C" w:rsidRDefault="00691432" w:rsidP="00AA7A54"/>
          <w:p w:rsidR="00691432" w:rsidRPr="0074345C" w:rsidRDefault="00691432" w:rsidP="00AA7A54">
            <w:r w:rsidRPr="0074345C">
              <w:t>Contribuye a la aplicación de la recomendación Nº 4 un proyecto temático sobre propiedad intelectual y desarrollo de las marcas de producto para el fomento de las empresas de países en desarrollo y países menos adelantados (PMA) (CDIP/5/5).</w:t>
            </w:r>
          </w:p>
        </w:tc>
        <w:tc>
          <w:tcPr>
            <w:tcW w:w="7513" w:type="dxa"/>
            <w:shd w:val="clear" w:color="auto" w:fill="auto"/>
          </w:tcPr>
          <w:p w:rsidR="00691432" w:rsidRPr="0074345C" w:rsidRDefault="00691432" w:rsidP="00AA7A54"/>
          <w:p w:rsidR="00691432" w:rsidRPr="0074345C" w:rsidRDefault="00691432" w:rsidP="00AA7A54">
            <w:r w:rsidRPr="0074345C">
              <w:t>El proyecto se ejecutó en tres países piloto, a saber, Panamá, Tailandia y Uganda</w:t>
            </w:r>
            <w:r w:rsidRPr="0074345C">
              <w:rPr>
                <w:rStyle w:val="FootnoteReference"/>
              </w:rPr>
              <w:footnoteReference w:id="13"/>
            </w:r>
            <w:r w:rsidRPr="0074345C">
              <w:t>.</w:t>
            </w:r>
          </w:p>
          <w:p w:rsidR="00691432" w:rsidRPr="0074345C" w:rsidRDefault="00691432" w:rsidP="00AA7A54"/>
          <w:p w:rsidR="00691432" w:rsidRPr="0074345C" w:rsidRDefault="00691432" w:rsidP="00AA7A54">
            <w:r w:rsidRPr="0074345C">
              <w:t>Se elaboraron productos específicos a la P.I. y estrategias de desarrollo de marcas con el fin de conferir valor a las características únicas y al gran potencial de las marcas de los productos.</w:t>
            </w:r>
          </w:p>
          <w:p w:rsidR="00691432" w:rsidRPr="0074345C" w:rsidRDefault="00691432" w:rsidP="00AA7A54"/>
          <w:p w:rsidR="00691432" w:rsidRPr="0074345C" w:rsidRDefault="00691432" w:rsidP="00AA7A54">
            <w:r w:rsidRPr="0074345C">
              <w:t xml:space="preserve">Véanse los informes sobre la marcha de las actividades y los informes de </w:t>
            </w:r>
            <w:r w:rsidRPr="0074345C">
              <w:lastRenderedPageBreak/>
              <w:t xml:space="preserve">evaluación </w:t>
            </w:r>
            <w:hyperlink r:id="rId75" w:tgtFrame="_self" w:history="1">
              <w:r w:rsidRPr="0074345C">
                <w:rPr>
                  <w:rStyle w:val="Hyperlink"/>
                  <w:color w:val="auto"/>
                </w:rPr>
                <w:t>CDIP/8/2</w:t>
              </w:r>
            </w:hyperlink>
            <w:r w:rsidRPr="0074345C">
              <w:t xml:space="preserve">, </w:t>
            </w:r>
            <w:hyperlink r:id="rId76" w:tgtFrame="_self" w:history="1">
              <w:r w:rsidRPr="0074345C">
                <w:rPr>
                  <w:rStyle w:val="Hyperlink"/>
                  <w:color w:val="auto"/>
                </w:rPr>
                <w:t>CDIP/10/2</w:t>
              </w:r>
            </w:hyperlink>
            <w:r w:rsidRPr="0074345C">
              <w:t xml:space="preserve"> y </w:t>
            </w:r>
            <w:hyperlink r:id="rId77" w:tgtFrame="_self" w:history="1">
              <w:r w:rsidRPr="0074345C">
                <w:rPr>
                  <w:rStyle w:val="Hyperlink"/>
                  <w:color w:val="auto"/>
                </w:rPr>
                <w:t>CDIP/12/2</w:t>
              </w:r>
            </w:hyperlink>
            <w:r w:rsidRPr="0074345C">
              <w:t xml:space="preserve">, y el informe de evaluación </w:t>
            </w:r>
            <w:hyperlink r:id="rId78" w:tgtFrame="_self" w:history="1">
              <w:r w:rsidRPr="0074345C">
                <w:rPr>
                  <w:rStyle w:val="Hyperlink"/>
                  <w:color w:val="auto"/>
                </w:rPr>
                <w:t>CDIP/13/3</w:t>
              </w:r>
            </w:hyperlink>
            <w:r w:rsidRPr="0074345C">
              <w:rPr>
                <w:rStyle w:val="Hyperlink"/>
                <w:color w:val="auto"/>
              </w:rPr>
              <w:t>.</w:t>
            </w:r>
          </w:p>
        </w:tc>
      </w:tr>
    </w:tbl>
    <w:p w:rsidR="00691432" w:rsidRPr="0074345C" w:rsidRDefault="00691432" w:rsidP="00691432">
      <w:pPr>
        <w:rPr>
          <w:bCs/>
          <w:i/>
          <w:szCs w:val="22"/>
        </w:rPr>
      </w:pPr>
    </w:p>
    <w:p w:rsidR="00691432" w:rsidRPr="0074345C" w:rsidRDefault="00691432" w:rsidP="00691432">
      <w:pPr>
        <w:rPr>
          <w:bCs/>
          <w:i/>
          <w:szCs w:val="22"/>
        </w:rPr>
      </w:pPr>
    </w:p>
    <w:p w:rsidR="00691432" w:rsidRPr="0074345C" w:rsidRDefault="00691432" w:rsidP="00691432">
      <w:pPr>
        <w:spacing w:after="200" w:line="276" w:lineRule="auto"/>
        <w:rPr>
          <w:b/>
        </w:rPr>
      </w:pPr>
      <w:r w:rsidRPr="0074345C">
        <w:rPr>
          <w:i/>
        </w:rPr>
        <w:t>Recomendación 6</w:t>
      </w:r>
      <w:proofErr w:type="gramStart"/>
      <w:r w:rsidRPr="0074345C">
        <w:rPr>
          <w:i/>
        </w:rPr>
        <w:t xml:space="preserve">: </w:t>
      </w:r>
      <w:r w:rsidRPr="0074345C">
        <w:t xml:space="preserve"> El</w:t>
      </w:r>
      <w:proofErr w:type="gramEnd"/>
      <w:r w:rsidRPr="0074345C">
        <w:t xml:space="preserve"> personal y los consultores de la OMPI encargados de la asistencia técnica seguirán siendo neutrales y responsables, prestando particular atención al Código de Ética Profesional en vigor y evitando eventuales conflictos de interés.   La OMPI elaborará una lista de los consultores en materia de asistencia técnica al servicio de la OMPI, lista que será ampliamente difundida entre sus Estados miembros.</w:t>
      </w:r>
    </w:p>
    <w:p w:rsidR="00691432" w:rsidRPr="0074345C" w:rsidRDefault="00691432" w:rsidP="00691432">
      <w:pPr>
        <w:rPr>
          <w:b/>
        </w:rPr>
      </w:pPr>
    </w:p>
    <w:p w:rsidR="00691432" w:rsidRPr="0074345C" w:rsidRDefault="00691432" w:rsidP="00691432">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1"/>
        <w:gridCol w:w="9279"/>
      </w:tblGrid>
      <w:tr w:rsidR="006376E7" w:rsidRPr="0074345C" w:rsidTr="00AA7A54">
        <w:trPr>
          <w:trHeight w:val="392"/>
          <w:tblHeader/>
        </w:trPr>
        <w:tc>
          <w:tcPr>
            <w:tcW w:w="6044" w:type="dxa"/>
            <w:shd w:val="clear" w:color="auto" w:fill="auto"/>
          </w:tcPr>
          <w:p w:rsidR="00691432" w:rsidRPr="0074345C" w:rsidRDefault="00691432" w:rsidP="00AA7A54">
            <w:pPr>
              <w:keepNext/>
              <w:autoSpaceDE w:val="0"/>
              <w:spacing w:before="240" w:after="60"/>
              <w:outlineLvl w:val="2"/>
              <w:rPr>
                <w:bCs/>
                <w:u w:val="single"/>
              </w:rPr>
            </w:pPr>
            <w:r w:rsidRPr="0074345C">
              <w:rPr>
                <w:bCs/>
                <w:u w:val="single"/>
              </w:rPr>
              <w:t>Estrategias de ejecución</w:t>
            </w:r>
          </w:p>
        </w:tc>
        <w:tc>
          <w:tcPr>
            <w:tcW w:w="8806" w:type="dxa"/>
            <w:shd w:val="clear" w:color="auto" w:fill="auto"/>
            <w:vAlign w:val="center"/>
          </w:tcPr>
          <w:p w:rsidR="00691432" w:rsidRPr="0074345C" w:rsidRDefault="00691432" w:rsidP="00AA7A54">
            <w:pPr>
              <w:keepNext/>
              <w:autoSpaceDE w:val="0"/>
              <w:spacing w:before="240" w:after="60"/>
              <w:outlineLvl w:val="2"/>
              <w:rPr>
                <w:bCs/>
                <w:szCs w:val="26"/>
                <w:u w:val="single"/>
              </w:rPr>
            </w:pPr>
            <w:r w:rsidRPr="0074345C">
              <w:rPr>
                <w:bCs/>
                <w:szCs w:val="26"/>
                <w:u w:val="single"/>
              </w:rPr>
              <w:t>Logros</w:t>
            </w:r>
          </w:p>
          <w:p w:rsidR="00691432" w:rsidRPr="0074345C" w:rsidRDefault="00691432" w:rsidP="00AA7A54"/>
        </w:tc>
      </w:tr>
      <w:tr w:rsidR="006376E7" w:rsidRPr="0074345C" w:rsidTr="00AA7A54">
        <w:tblPrEx>
          <w:tblCellMar>
            <w:top w:w="108" w:type="dxa"/>
            <w:bottom w:w="108" w:type="dxa"/>
          </w:tblCellMar>
        </w:tblPrEx>
        <w:tc>
          <w:tcPr>
            <w:tcW w:w="6044" w:type="dxa"/>
            <w:shd w:val="clear" w:color="auto" w:fill="auto"/>
          </w:tcPr>
          <w:p w:rsidR="00691432" w:rsidRPr="0074345C" w:rsidRDefault="00691432" w:rsidP="00AA7A54">
            <w:r w:rsidRPr="0074345C">
              <w:t>Incorporar las normas de conducta de la administración pública internacional de las Naciones Unidas en los contratos suscritos con todos los empleados de la OMPI, incluidos los consultores contratados por la Organización.</w:t>
            </w:r>
          </w:p>
          <w:p w:rsidR="00691432" w:rsidRPr="0074345C" w:rsidRDefault="00691432" w:rsidP="00AA7A54"/>
        </w:tc>
        <w:tc>
          <w:tcPr>
            <w:tcW w:w="8806" w:type="dxa"/>
            <w:shd w:val="clear" w:color="auto" w:fill="auto"/>
          </w:tcPr>
          <w:p w:rsidR="00691432" w:rsidRPr="0074345C" w:rsidRDefault="00691432" w:rsidP="00AA7A54">
            <w:r w:rsidRPr="0074345C">
              <w:t>Las Normas de Conducta de la Comisión de Administración Pública Internacional para la Administración Pública Internacional de las Naciones Unidas se incorporaron oficialmente en el nuevo Estatuto y el Reglamento del Personal de la OMPI el 1º de enero de 2013.</w:t>
            </w:r>
          </w:p>
        </w:tc>
      </w:tr>
      <w:tr w:rsidR="006376E7" w:rsidRPr="0074345C" w:rsidTr="00AA7A54">
        <w:tblPrEx>
          <w:tblCellMar>
            <w:top w:w="108" w:type="dxa"/>
            <w:bottom w:w="108" w:type="dxa"/>
          </w:tblCellMar>
        </w:tblPrEx>
        <w:tc>
          <w:tcPr>
            <w:tcW w:w="6044" w:type="dxa"/>
            <w:shd w:val="clear" w:color="auto" w:fill="auto"/>
          </w:tcPr>
          <w:p w:rsidR="00691432" w:rsidRPr="0074345C" w:rsidRDefault="00691432" w:rsidP="00AA7A54">
            <w:r w:rsidRPr="0074345C">
              <w:t>Fomentar la sensibilización acerca de los sistemas de ética e integridad y conocer más adecuadamente su importancia.</w:t>
            </w:r>
          </w:p>
          <w:p w:rsidR="00691432" w:rsidRPr="0074345C" w:rsidRDefault="00691432" w:rsidP="00AA7A54"/>
        </w:tc>
        <w:tc>
          <w:tcPr>
            <w:tcW w:w="8806" w:type="dxa"/>
            <w:shd w:val="clear" w:color="auto" w:fill="auto"/>
          </w:tcPr>
          <w:p w:rsidR="00691432" w:rsidRPr="0074345C" w:rsidRDefault="00691432" w:rsidP="00AA7A54">
            <w:r w:rsidRPr="0074345C">
              <w:t>Se creó una Oficina de Ética Profesional de la OMPI y se redactó un proyecto de Código de deontología, tras haber solicitado al Consejo del Personal y al personal de la OMPI que formularan comentarios al respecto.  La Recomendación se integró en el programa por presupuestos de la OMPI, a lo que siguió la finalización del Programa de Alineación Estratégica (PAE), en concreto con la conclusión en 2013 de un programa global de formación en ética e integridad.</w:t>
            </w:r>
          </w:p>
          <w:p w:rsidR="00691432" w:rsidRPr="0074345C" w:rsidRDefault="00691432" w:rsidP="00AA7A54"/>
        </w:tc>
      </w:tr>
      <w:tr w:rsidR="006376E7" w:rsidRPr="0074345C" w:rsidTr="00AA7A54">
        <w:tblPrEx>
          <w:tblCellMar>
            <w:top w:w="108" w:type="dxa"/>
            <w:bottom w:w="108" w:type="dxa"/>
          </w:tblCellMar>
        </w:tblPrEx>
        <w:tc>
          <w:tcPr>
            <w:tcW w:w="6044" w:type="dxa"/>
            <w:shd w:val="clear" w:color="auto" w:fill="auto"/>
          </w:tcPr>
          <w:p w:rsidR="00691432" w:rsidRPr="0074345C" w:rsidRDefault="00691432" w:rsidP="00AA7A54">
            <w:r w:rsidRPr="0074345C">
              <w:lastRenderedPageBreak/>
              <w:t>Fomentar la capacidad de la OMPI para investigar las infracciones en la Organización.</w:t>
            </w:r>
          </w:p>
          <w:p w:rsidR="00691432" w:rsidRPr="0074345C" w:rsidRDefault="00691432" w:rsidP="00AA7A54"/>
        </w:tc>
        <w:tc>
          <w:tcPr>
            <w:tcW w:w="8806" w:type="dxa"/>
            <w:shd w:val="clear" w:color="auto" w:fill="auto"/>
          </w:tcPr>
          <w:p w:rsidR="00691432" w:rsidRPr="0074345C" w:rsidRDefault="00691432" w:rsidP="00AA7A54">
            <w:pPr>
              <w:keepNext/>
              <w:autoSpaceDE w:val="0"/>
              <w:outlineLvl w:val="2"/>
            </w:pPr>
            <w:r w:rsidRPr="0074345C">
              <w:t>Se publicó en agosto de 2010 el Manual sobre los procedimientos de investigación, en el que se brinda un conjunto completo de normas de ordenamiento de las investigaciones. (</w:t>
            </w:r>
            <w:hyperlink r:id="rId79" w:history="1">
              <w:r w:rsidRPr="0074345C">
                <w:rPr>
                  <w:u w:val="single"/>
                </w:rPr>
                <w:t>http://www.wipo.int/export/sites/www/about-wipo/en/oversight/iaod/investigations/pdf/investigation_procedure_manual.pdf</w:t>
              </w:r>
            </w:hyperlink>
            <w:r w:rsidRPr="0074345C">
              <w:t xml:space="preserve">)  </w:t>
            </w:r>
          </w:p>
          <w:p w:rsidR="00691432" w:rsidRPr="0074345C" w:rsidRDefault="00691432" w:rsidP="00AA7A54">
            <w:pPr>
              <w:keepNext/>
              <w:autoSpaceDE w:val="0"/>
              <w:outlineLvl w:val="2"/>
            </w:pPr>
            <w:r w:rsidRPr="0074345C">
              <w:t>Posteriormente, la política de investigación (</w:t>
            </w:r>
            <w:hyperlink r:id="rId80" w:history="1">
              <w:r w:rsidRPr="0074345C">
                <w:rPr>
                  <w:rStyle w:val="Hyperlink"/>
                  <w:color w:val="auto"/>
                </w:rPr>
                <w:t>http://www.wipo.int/export/sites/www/about-wipo/en/oversight/iaod/investigations/pdf/investigation_policy_2014.pdf</w:t>
              </w:r>
            </w:hyperlink>
            <w:r w:rsidRPr="0074345C">
              <w:t>), que brinda el marco y establece los principios rectores para la función de investigación, se preparó previa consulta con los Estados miembros y se publicó el 24 de enero de 2014.  El Manual sobre los procedimientos de investigación se revisó para que se tuviera en cuenta el marco establecido por la política, y la 2ª edición se publicó el 24 de enero de 2014 (</w:t>
            </w:r>
            <w:hyperlink r:id="rId81" w:history="1">
              <w:r w:rsidRPr="0074345C">
                <w:rPr>
                  <w:rStyle w:val="Hyperlink"/>
                  <w:color w:val="auto"/>
                </w:rPr>
                <w:t>http://www.wipo.int/export/sites/www/about-wipo/en/oversight/iaod/investigations/pdf/investigation_procedures_manual_2nd_edition.pdf</w:t>
              </w:r>
            </w:hyperlink>
            <w:r w:rsidRPr="0074345C">
              <w:t>).</w:t>
            </w:r>
          </w:p>
          <w:p w:rsidR="00691432" w:rsidRPr="0074345C" w:rsidRDefault="00691432" w:rsidP="00AA7A54">
            <w:pPr>
              <w:keepNext/>
            </w:pPr>
          </w:p>
          <w:p w:rsidR="00691432" w:rsidRPr="0074345C" w:rsidRDefault="00691432" w:rsidP="00AA7A54">
            <w:pPr>
              <w:keepNext/>
            </w:pPr>
            <w:r w:rsidRPr="0074345C">
              <w:t xml:space="preserve">En la revisión de 2012 del Estatuto y Reglamento del Personal se reafirmó la obligación de que todo el personal comunique toda clase de irregularidad (artículo 1.7 </w:t>
            </w:r>
            <w:hyperlink r:id="rId82" w:history="1">
              <w:r w:rsidRPr="0074345C">
                <w:rPr>
                  <w:rStyle w:val="Hyperlink"/>
                  <w:color w:val="auto"/>
                </w:rPr>
                <w:t>http://www.wipo.int/export/sites/www/erecruitment/en/pdf/staff_rules_part_a.pdf</w:t>
              </w:r>
            </w:hyperlink>
            <w:r w:rsidRPr="0074345C">
              <w:t>).</w:t>
            </w:r>
          </w:p>
          <w:p w:rsidR="00691432" w:rsidRPr="0074345C" w:rsidRDefault="00691432" w:rsidP="00AA7A54">
            <w:pPr>
              <w:keepNext/>
            </w:pPr>
          </w:p>
          <w:p w:rsidR="00691432" w:rsidRPr="0074345C" w:rsidRDefault="00691432" w:rsidP="00AA7A54">
            <w:pPr>
              <w:keepNext/>
            </w:pPr>
            <w:r w:rsidRPr="0074345C">
              <w:t>En dicha edición revisada del Estatuto y Reglamento del Personal se define la protección de los denunciantes de irregularidades.  Los principios se definieron posteriormente en una orden de servicio sobre la Política de protección de los denunciantes de irregularidades.  La política está a disposición de todo el personal de la OMPI.</w:t>
            </w:r>
          </w:p>
        </w:tc>
      </w:tr>
      <w:tr w:rsidR="006376E7" w:rsidRPr="0074345C" w:rsidTr="00AA7A54">
        <w:tblPrEx>
          <w:tblCellMar>
            <w:top w:w="108" w:type="dxa"/>
            <w:bottom w:w="108" w:type="dxa"/>
          </w:tblCellMar>
        </w:tblPrEx>
        <w:tc>
          <w:tcPr>
            <w:tcW w:w="6044" w:type="dxa"/>
            <w:shd w:val="clear" w:color="auto" w:fill="auto"/>
          </w:tcPr>
          <w:p w:rsidR="00691432" w:rsidRPr="0074345C" w:rsidRDefault="00691432" w:rsidP="00AA7A54">
            <w:r w:rsidRPr="0074345C">
              <w:t>Crear y poner a disposición de los usuarios una lista de consultores de la OMPI en materia de asistencia técnica.</w:t>
            </w:r>
          </w:p>
        </w:tc>
        <w:tc>
          <w:tcPr>
            <w:tcW w:w="8806" w:type="dxa"/>
            <w:shd w:val="clear" w:color="auto" w:fill="auto"/>
          </w:tcPr>
          <w:p w:rsidR="00691432" w:rsidRPr="0074345C" w:rsidRDefault="00691432" w:rsidP="00AA7A54">
            <w:pPr>
              <w:autoSpaceDE w:val="0"/>
            </w:pPr>
            <w:r w:rsidRPr="0074345C">
              <w:t xml:space="preserve">Se actualizó la lista de consultores, que se integró en el proyecto sobre Base de Datos de Asistencia Técnica en materia de Propiedad Intelectual (IP–TAD). </w:t>
            </w:r>
            <w:r w:rsidRPr="0074345C">
              <w:br/>
              <w:t xml:space="preserve">La base de datos está disponible en:  </w:t>
            </w:r>
            <w:r w:rsidRPr="0074345C">
              <w:rPr>
                <w:u w:val="single"/>
              </w:rPr>
              <w:t>http://www.wipo.int/roc/es/index.jsp</w:t>
            </w:r>
          </w:p>
          <w:p w:rsidR="00691432" w:rsidRPr="0074345C" w:rsidRDefault="00691432" w:rsidP="00AA7A54"/>
          <w:p w:rsidR="00691432" w:rsidRPr="0074345C" w:rsidRDefault="00691432" w:rsidP="00AA7A54"/>
        </w:tc>
      </w:tr>
    </w:tbl>
    <w:p w:rsidR="00691432" w:rsidRPr="0074345C" w:rsidRDefault="00691432" w:rsidP="00691432"/>
    <w:p w:rsidR="00691432" w:rsidRPr="0074345C" w:rsidRDefault="00691432" w:rsidP="00691432">
      <w:pPr>
        <w:rPr>
          <w:bCs/>
        </w:rPr>
      </w:pPr>
      <w:r w:rsidRPr="0074345C">
        <w:br w:type="page"/>
      </w:r>
      <w:r w:rsidRPr="0074345C">
        <w:rPr>
          <w:i/>
        </w:rPr>
        <w:lastRenderedPageBreak/>
        <w:t>Recomendación 7:</w:t>
      </w:r>
      <w:r w:rsidRPr="0074345C">
        <w:rPr>
          <w:b/>
          <w:i/>
        </w:rPr>
        <w:t xml:space="preserve"> </w:t>
      </w:r>
      <w:r w:rsidRPr="0074345C">
        <w:t xml:space="preserve"> 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rsidR="00691432" w:rsidRPr="0074345C" w:rsidRDefault="00691432" w:rsidP="00691432">
      <w:pPr>
        <w:rPr>
          <w:b/>
        </w:rPr>
      </w:pPr>
    </w:p>
    <w:p w:rsidR="00691432" w:rsidRPr="0074345C" w:rsidRDefault="00691432" w:rsidP="00691432">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471"/>
      </w:tblGrid>
      <w:tr w:rsidR="006376E7" w:rsidRPr="0074345C" w:rsidTr="00AA7A54">
        <w:trPr>
          <w:trHeight w:val="392"/>
          <w:tblHeader/>
        </w:trPr>
        <w:tc>
          <w:tcPr>
            <w:tcW w:w="6379" w:type="dxa"/>
            <w:shd w:val="clear" w:color="auto" w:fill="auto"/>
          </w:tcPr>
          <w:p w:rsidR="00691432" w:rsidRPr="0074345C" w:rsidRDefault="00691432" w:rsidP="00AA7A54">
            <w:pPr>
              <w:keepNext/>
              <w:autoSpaceDE w:val="0"/>
              <w:spacing w:before="240" w:after="60"/>
              <w:outlineLvl w:val="2"/>
              <w:rPr>
                <w:bCs/>
                <w:u w:val="single"/>
              </w:rPr>
            </w:pPr>
            <w:r w:rsidRPr="0074345C">
              <w:rPr>
                <w:bCs/>
                <w:u w:val="single"/>
              </w:rPr>
              <w:t>Estrategias de ejecución</w:t>
            </w:r>
          </w:p>
        </w:tc>
        <w:tc>
          <w:tcPr>
            <w:tcW w:w="8471" w:type="dxa"/>
            <w:shd w:val="clear" w:color="auto" w:fill="auto"/>
            <w:vAlign w:val="center"/>
          </w:tcPr>
          <w:p w:rsidR="00691432" w:rsidRPr="0074345C" w:rsidRDefault="00691432" w:rsidP="00AA7A54">
            <w:pPr>
              <w:keepNext/>
              <w:autoSpaceDE w:val="0"/>
              <w:spacing w:before="240" w:after="60"/>
              <w:outlineLvl w:val="2"/>
              <w:rPr>
                <w:bCs/>
                <w:szCs w:val="26"/>
                <w:u w:val="single"/>
              </w:rPr>
            </w:pPr>
            <w:r w:rsidRPr="0074345C">
              <w:rPr>
                <w:bCs/>
                <w:szCs w:val="26"/>
                <w:u w:val="single"/>
              </w:rPr>
              <w:t>Logros</w:t>
            </w:r>
          </w:p>
          <w:p w:rsidR="00691432" w:rsidRPr="0074345C" w:rsidRDefault="00691432" w:rsidP="00AA7A54"/>
        </w:tc>
      </w:tr>
      <w:tr w:rsidR="006376E7" w:rsidRPr="0074345C" w:rsidTr="00AA7A54">
        <w:tblPrEx>
          <w:tblCellMar>
            <w:top w:w="108" w:type="dxa"/>
            <w:bottom w:w="108" w:type="dxa"/>
          </w:tblCellMar>
        </w:tblPrEx>
        <w:trPr>
          <w:trHeight w:val="935"/>
        </w:trPr>
        <w:tc>
          <w:tcPr>
            <w:tcW w:w="6379" w:type="dxa"/>
            <w:shd w:val="clear" w:color="auto" w:fill="auto"/>
          </w:tcPr>
          <w:p w:rsidR="00691432" w:rsidRPr="0074345C" w:rsidRDefault="00691432" w:rsidP="00AA7A54">
            <w:r w:rsidRPr="0074345C">
              <w:t>La OMPI proporciona a quien lo solicite asistencia y asesoramiento legislativos para prevenir o resolver cualquier problema relacionado con prácticas anticompetitivas en materia de P.I.  Ello incluye el examen del alcance de los derechos exclusivos de P.I., entre otras cosas, las excepciones y limitaciones que cabe imponer a esos derechos, así como el uso de opciones jurídicas como las licencias obligatorias y otras medidas contempladas en las normas internacionales.  También se brinda asesoramiento a quien lo solicite sobre cuestiones relacionadas con cláusulas que limiten el comercio y otras cláusulas de los contratos de licencia de derechos de P.I. que puedan perjudicar la competencia.</w:t>
            </w:r>
          </w:p>
          <w:p w:rsidR="00691432" w:rsidRPr="0074345C" w:rsidRDefault="00691432" w:rsidP="00AA7A54"/>
          <w:p w:rsidR="00691432" w:rsidRPr="0074345C" w:rsidRDefault="00691432" w:rsidP="00AA7A54">
            <w:r w:rsidRPr="0074345C">
              <w:t xml:space="preserve">Además, en el marco de esta recomendación, se elaboró y ejecutó un proyecto temático sobre P.I. y políticas en materia de competencia (documento CDIP/4/4 Rev.). </w:t>
            </w:r>
          </w:p>
          <w:p w:rsidR="00691432" w:rsidRPr="0074345C" w:rsidRDefault="00691432" w:rsidP="00AA7A54"/>
        </w:tc>
        <w:tc>
          <w:tcPr>
            <w:tcW w:w="8471" w:type="dxa"/>
            <w:shd w:val="clear" w:color="auto" w:fill="auto"/>
          </w:tcPr>
          <w:p w:rsidR="00691432" w:rsidRPr="0074345C" w:rsidRDefault="00691432" w:rsidP="00AA7A54">
            <w:pPr>
              <w:rPr>
                <w:rFonts w:eastAsia="Times New Roman"/>
                <w:szCs w:val="22"/>
                <w:lang w:eastAsia="en-US"/>
              </w:rPr>
            </w:pPr>
            <w:r w:rsidRPr="0074345C">
              <w:rPr>
                <w:rFonts w:eastAsia="Times New Roman"/>
                <w:szCs w:val="22"/>
                <w:lang w:eastAsia="en-US"/>
              </w:rPr>
              <w:t>Promoción de la cooperación, formal o informal, entre las oficinas nacionales de  P.I. y las autoridades competentes en materia de competencia, con el fin de asegurar un intercambio de información regular.</w:t>
            </w:r>
          </w:p>
          <w:p w:rsidR="00691432" w:rsidRPr="0074345C" w:rsidRDefault="00691432" w:rsidP="00AA7A54">
            <w:pPr>
              <w:rPr>
                <w:rFonts w:eastAsia="Times New Roman"/>
                <w:szCs w:val="22"/>
                <w:lang w:eastAsia="en-US"/>
              </w:rPr>
            </w:pPr>
          </w:p>
          <w:p w:rsidR="00691432" w:rsidRPr="0074345C" w:rsidRDefault="00691432" w:rsidP="00AA7A54">
            <w:pPr>
              <w:rPr>
                <w:rFonts w:eastAsia="Times New Roman"/>
                <w:szCs w:val="22"/>
                <w:lang w:eastAsia="en-US"/>
              </w:rPr>
            </w:pPr>
            <w:r w:rsidRPr="0074345C">
              <w:rPr>
                <w:rFonts w:eastAsia="Times New Roman"/>
                <w:szCs w:val="22"/>
                <w:lang w:eastAsia="en-US"/>
              </w:rPr>
              <w:t>Mejora de la comprensión de la interrelación entre la P.I. y la competencia en diversas esferas complejas, como la concesión y denegación de licencias, los consorcios de patentes, y la adquisición y el uso de las patentes en la industria de los teléfonos inteligentes.</w:t>
            </w:r>
          </w:p>
          <w:p w:rsidR="00691432" w:rsidRPr="0074345C" w:rsidRDefault="00691432" w:rsidP="00AA7A54">
            <w:pPr>
              <w:rPr>
                <w:rFonts w:eastAsia="Times New Roman"/>
                <w:szCs w:val="22"/>
                <w:lang w:eastAsia="en-US"/>
              </w:rPr>
            </w:pPr>
          </w:p>
          <w:p w:rsidR="00691432" w:rsidRPr="0074345C" w:rsidRDefault="00691432" w:rsidP="00AA7A54">
            <w:pPr>
              <w:rPr>
                <w:rFonts w:eastAsia="Times New Roman"/>
                <w:szCs w:val="22"/>
                <w:lang w:eastAsia="en-US"/>
              </w:rPr>
            </w:pPr>
            <w:r w:rsidRPr="0074345C">
              <w:t>Mayor cooperación y colaboración entre las Secretarías de la OCDE, UNCTAD, OMPI y OMT.</w:t>
            </w:r>
          </w:p>
          <w:p w:rsidR="00691432" w:rsidRPr="0074345C" w:rsidRDefault="00691432" w:rsidP="00AA7A54"/>
          <w:p w:rsidR="00691432" w:rsidRPr="0074345C" w:rsidRDefault="00691432" w:rsidP="00AA7A54">
            <w:pPr>
              <w:rPr>
                <w:rFonts w:eastAsia="Times New Roman"/>
                <w:szCs w:val="22"/>
                <w:lang w:eastAsia="en-US"/>
              </w:rPr>
            </w:pPr>
            <w:r w:rsidRPr="0074345C">
              <w:rPr>
                <w:rFonts w:eastAsia="Times New Roman"/>
                <w:szCs w:val="22"/>
                <w:lang w:eastAsia="en-US"/>
              </w:rPr>
              <w:t xml:space="preserve">Se ejecutó con éxito el proyecto sobre propiedad intelectual y políticas en materia de competencia (documento CDIP/4/4 Rev.).  Se ha elaborado un informe de evaluación del proyecto, que se sometió a examen del CDIP en su novena sesión (documento CDIP/9/8). La labor de integración de las recomendaciones formuladas por el evaluador sigue en curso.  </w:t>
            </w:r>
          </w:p>
          <w:p w:rsidR="00691432" w:rsidRPr="0074345C" w:rsidRDefault="00691432" w:rsidP="00AA7A54"/>
          <w:p w:rsidR="00691432" w:rsidRPr="0074345C" w:rsidRDefault="00691432" w:rsidP="00AA7A54">
            <w:r w:rsidRPr="0074345C">
              <w:t>Además de las actividades registradas en la base de datos IP–TAD, puede encontrarse más información sobre los logros relativos a esta recomendación en el Informe sobre el rendimiento de los programas 2012/13 (documento WO/PBC/22/8), en particular en el programa 18.</w:t>
            </w:r>
          </w:p>
        </w:tc>
      </w:tr>
    </w:tbl>
    <w:p w:rsidR="00691432" w:rsidRPr="0074345C" w:rsidRDefault="00691432" w:rsidP="00691432">
      <w:pPr>
        <w:rPr>
          <w:bCs/>
          <w:szCs w:val="22"/>
        </w:rPr>
      </w:pPr>
      <w:r w:rsidRPr="0074345C">
        <w:rPr>
          <w:b/>
        </w:rPr>
        <w:br w:type="page"/>
      </w:r>
      <w:r w:rsidRPr="0074345C">
        <w:rPr>
          <w:i/>
        </w:rPr>
        <w:lastRenderedPageBreak/>
        <w:t>Recomendación 11</w:t>
      </w:r>
      <w:proofErr w:type="gramStart"/>
      <w:r w:rsidRPr="0074345C">
        <w:rPr>
          <w:i/>
        </w:rPr>
        <w:t>:</w:t>
      </w:r>
      <w:r w:rsidRPr="0074345C">
        <w:t xml:space="preserve">  Ayudar</w:t>
      </w:r>
      <w:proofErr w:type="gramEnd"/>
      <w:r w:rsidRPr="0074345C">
        <w:t xml:space="preserve">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rsidR="00691432" w:rsidRPr="0074345C" w:rsidRDefault="00691432" w:rsidP="00691432">
      <w:pPr>
        <w:rPr>
          <w:bCs/>
        </w:rPr>
      </w:pPr>
    </w:p>
    <w:p w:rsidR="00691432" w:rsidRPr="0074345C" w:rsidRDefault="00691432" w:rsidP="00691432">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9009"/>
      </w:tblGrid>
      <w:tr w:rsidR="006376E7" w:rsidRPr="0074345C" w:rsidTr="006376E7">
        <w:trPr>
          <w:trHeight w:val="392"/>
          <w:tblHeader/>
        </w:trPr>
        <w:tc>
          <w:tcPr>
            <w:tcW w:w="5954" w:type="dxa"/>
            <w:shd w:val="clear" w:color="auto" w:fill="auto"/>
          </w:tcPr>
          <w:p w:rsidR="00691432" w:rsidRPr="0074345C" w:rsidRDefault="00691432" w:rsidP="00AA7A54">
            <w:pPr>
              <w:keepNext/>
              <w:autoSpaceDE w:val="0"/>
              <w:spacing w:before="240" w:after="60"/>
              <w:outlineLvl w:val="2"/>
              <w:rPr>
                <w:bCs/>
                <w:u w:val="single"/>
              </w:rPr>
            </w:pPr>
            <w:r w:rsidRPr="0074345C">
              <w:rPr>
                <w:bCs/>
                <w:u w:val="single"/>
              </w:rPr>
              <w:t>Estrategias de ejecución</w:t>
            </w:r>
          </w:p>
        </w:tc>
        <w:tc>
          <w:tcPr>
            <w:tcW w:w="9009" w:type="dxa"/>
            <w:shd w:val="clear" w:color="auto" w:fill="auto"/>
            <w:vAlign w:val="center"/>
          </w:tcPr>
          <w:p w:rsidR="00691432" w:rsidRPr="0074345C" w:rsidRDefault="00691432" w:rsidP="00AA7A54">
            <w:pPr>
              <w:keepNext/>
              <w:autoSpaceDE w:val="0"/>
              <w:spacing w:before="240" w:after="60"/>
              <w:outlineLvl w:val="2"/>
              <w:rPr>
                <w:bCs/>
                <w:szCs w:val="26"/>
                <w:u w:val="single"/>
              </w:rPr>
            </w:pPr>
            <w:r w:rsidRPr="0074345C">
              <w:rPr>
                <w:bCs/>
                <w:szCs w:val="26"/>
                <w:u w:val="single"/>
              </w:rPr>
              <w:t>Logros</w:t>
            </w:r>
          </w:p>
          <w:p w:rsidR="00691432" w:rsidRPr="0074345C" w:rsidRDefault="00691432" w:rsidP="00AA7A54"/>
        </w:tc>
      </w:tr>
      <w:tr w:rsidR="006376E7" w:rsidRPr="0074345C" w:rsidTr="006376E7">
        <w:tblPrEx>
          <w:tblCellMar>
            <w:top w:w="108" w:type="dxa"/>
            <w:bottom w:w="108" w:type="dxa"/>
          </w:tblCellMar>
        </w:tblPrEx>
        <w:tc>
          <w:tcPr>
            <w:tcW w:w="5954" w:type="dxa"/>
            <w:shd w:val="clear" w:color="auto" w:fill="auto"/>
          </w:tcPr>
          <w:p w:rsidR="00691432" w:rsidRPr="0074345C" w:rsidRDefault="00691432" w:rsidP="00AA7A54">
            <w:r w:rsidRPr="0074345C">
              <w:t>Impartir cursos de formación en protección de la P.I. y redacción de solicitudes de patente para científicos, investigadores, administradores de tecnología, inventores y abogados a fin de mejorar los conocimientos sobre el sistema de patentes y de P.I., fortalecer la capacidad de utilización del sistema de patentes por parte de los generadores de P.I., las universidades y las instituciones de I+D en el plano nacional, mediante la aplicación de diferentes estrategias de patentes y el uso de las herramientas disponibles, con el fin de utilizar eficazmente sus creaciones para conseguir un desarrollo sostenible en los países en desarrollo y los PMA.</w:t>
            </w:r>
          </w:p>
          <w:p w:rsidR="00691432" w:rsidRPr="0074345C" w:rsidRDefault="00691432" w:rsidP="00AA7A54"/>
          <w:p w:rsidR="00691432" w:rsidRPr="0074345C" w:rsidRDefault="00691432" w:rsidP="00AA7A54">
            <w:r w:rsidRPr="0074345C">
              <w:t>Elaborar herramientas prácticas para prestar asistencia a los Estados miembros y a sus instituciones de I+D en la creación y aplicación eficaz de sistemas de transferencia de tecnología.</w:t>
            </w:r>
          </w:p>
          <w:p w:rsidR="00691432" w:rsidRPr="0074345C" w:rsidRDefault="00691432" w:rsidP="00AA7A54"/>
          <w:p w:rsidR="00691432" w:rsidRPr="0074345C" w:rsidRDefault="00691432" w:rsidP="00AA7A54">
            <w:r w:rsidRPr="0074345C">
              <w:t>Fomentar el uso de la información sobre patentes y el acceso a la misma.</w:t>
            </w:r>
          </w:p>
        </w:tc>
        <w:tc>
          <w:tcPr>
            <w:tcW w:w="9009" w:type="dxa"/>
            <w:shd w:val="clear" w:color="auto" w:fill="auto"/>
          </w:tcPr>
          <w:p w:rsidR="00691432" w:rsidRPr="0074345C" w:rsidRDefault="00691432" w:rsidP="00AA7A54">
            <w:r w:rsidRPr="0074345C">
              <w:t>Se impartieron 9 talleres sobre redacción de solicitudes de patente y 7 cursos complementarios de enseñanza a distancia en redacción de reivindicaciones de patente para mejorar las competencias de científicos, administradores de tecnología y abogados de patentes de países en desarrollo y PMA sobre cómo proteger las invenciones, redactar solicitudes de patente y elaborar sus estrategias empresariales y en materia de patentes mediante la utilización de la información sobre patentes y las ventajas de los sistemas de P.I. y los mecanismos de registro, entre ellos el PCT.</w:t>
            </w:r>
          </w:p>
          <w:p w:rsidR="00691432" w:rsidRPr="0074345C" w:rsidRDefault="00691432" w:rsidP="00AA7A54"/>
          <w:p w:rsidR="00691432" w:rsidRPr="0074345C" w:rsidRDefault="00691432" w:rsidP="00AA7A54">
            <w:r w:rsidRPr="0074345C">
              <w:t>Mayor capacidad de universidades e instituciones de I+D para transferir conocimientos y tecnología a la industria apoyando el desarrollo de capital humano de gestión tecnológica y profesionales cualificados capaces de gestionar la creación, el desarrollo y la comercialización de activos intangibles en el contexto de la I+D;  para ello, se han impartido 15 cursos de comercialización de la P.I. en países en desarrollo y países en transición sobre gestión de derechos de P.I., valoración de la P.I. y concesión de licencias.</w:t>
            </w:r>
          </w:p>
          <w:p w:rsidR="00691432" w:rsidRPr="0074345C" w:rsidRDefault="00691432" w:rsidP="00AA7A54"/>
          <w:p w:rsidR="00691432" w:rsidRPr="0074345C" w:rsidRDefault="00691432" w:rsidP="00AA7A54">
            <w:r w:rsidRPr="0074345C">
              <w:t xml:space="preserve">Mejor comprensión de las oportunidades comerciales y los riesgos que derivan de los acuerdos de concesión de licencias para proteger los intereses comerciales. </w:t>
            </w:r>
          </w:p>
          <w:p w:rsidR="00691432" w:rsidRPr="0074345C" w:rsidRDefault="00691432" w:rsidP="00AA7A54"/>
          <w:p w:rsidR="00691432" w:rsidRPr="0074345C" w:rsidRDefault="00691432" w:rsidP="00AA7A54">
            <w:r w:rsidRPr="0074345C">
              <w:t>Mayor capacidad de los administradores de tecnología para efectuar aportaciones valiosas a la negociación y al contenido de los acuerdos de transferencia de tecnología.</w:t>
            </w:r>
          </w:p>
          <w:p w:rsidR="00691432" w:rsidRPr="0074345C" w:rsidRDefault="00691432" w:rsidP="00AA7A54"/>
          <w:p w:rsidR="00691432" w:rsidRPr="0074345C" w:rsidRDefault="00691432" w:rsidP="00AA7A54">
            <w:r w:rsidRPr="0074345C">
              <w:t>Creación de nuevos mecanismos de información para garantizar un apoyo más adaptado a los Estados miembros y sus instituciones en el ámbito de la comercialización y la protección de la P.I.;</w:t>
            </w:r>
          </w:p>
          <w:p w:rsidR="00691432" w:rsidRPr="0074345C" w:rsidRDefault="00691432" w:rsidP="00AA7A54"/>
          <w:p w:rsidR="00691432" w:rsidRPr="0074345C" w:rsidRDefault="00691432" w:rsidP="00AA7A54">
            <w:r w:rsidRPr="0074345C">
              <w:t xml:space="preserve">Traducción de herramientas prácticas de transferencia de tecnología a los idiomas </w:t>
            </w:r>
            <w:r w:rsidRPr="0074345C">
              <w:lastRenderedPageBreak/>
              <w:t>nacionales para facilitar la difusión de los conocimientos en los países en desarrollo.</w:t>
            </w:r>
          </w:p>
          <w:p w:rsidR="00691432" w:rsidRPr="0074345C" w:rsidRDefault="00691432" w:rsidP="00AA7A54"/>
          <w:p w:rsidR="00691432" w:rsidRPr="0074345C" w:rsidRDefault="00691432" w:rsidP="00AA7A54">
            <w:r w:rsidRPr="0074345C">
              <w:t>Mayor capacidad para buscar en bases de datos de patentes y comprender e interpretar los documentos de patentes.</w:t>
            </w:r>
          </w:p>
          <w:p w:rsidR="00691432" w:rsidRPr="0074345C" w:rsidRDefault="00691432" w:rsidP="00AA7A54"/>
          <w:p w:rsidR="00691432" w:rsidRPr="0074345C" w:rsidRDefault="00691432" w:rsidP="00AA7A54">
            <w:pPr>
              <w:rPr>
                <w:rStyle w:val="Hyperlink"/>
                <w:color w:val="auto"/>
              </w:rPr>
            </w:pPr>
            <w:r w:rsidRPr="0074345C">
              <w:rPr>
                <w:rStyle w:val="Hyperlink"/>
                <w:color w:val="auto"/>
                <w:u w:val="none"/>
              </w:rPr>
              <w:t xml:space="preserve">Mejora del acceso general a la P.I. y a los conocimientos a través de la base de datos de WIPO </w:t>
            </w:r>
            <w:proofErr w:type="spellStart"/>
            <w:r w:rsidRPr="0074345C">
              <w:rPr>
                <w:rStyle w:val="Hyperlink"/>
                <w:color w:val="auto"/>
                <w:u w:val="none"/>
              </w:rPr>
              <w:t>Re:Search</w:t>
            </w:r>
            <w:proofErr w:type="spellEnd"/>
            <w:r w:rsidRPr="0074345C">
              <w:rPr>
                <w:rStyle w:val="Hyperlink"/>
                <w:color w:val="auto"/>
                <w:u w:val="none"/>
              </w:rPr>
              <w:t xml:space="preserve">, disponible en: </w:t>
            </w:r>
            <w:hyperlink r:id="rId83" w:history="1">
              <w:r w:rsidRPr="0074345C">
                <w:rPr>
                  <w:rStyle w:val="Hyperlink"/>
                  <w:color w:val="auto"/>
                </w:rPr>
                <w:t>http://www.wipo.int/research/en/</w:t>
              </w:r>
            </w:hyperlink>
          </w:p>
          <w:p w:rsidR="00691432" w:rsidRPr="0074345C" w:rsidRDefault="00691432" w:rsidP="00AA7A54"/>
          <w:p w:rsidR="00691432" w:rsidRPr="0074345C" w:rsidRDefault="00691432" w:rsidP="00AA7A54">
            <w:r w:rsidRPr="0074345C">
              <w:t>Servicios a las instituciones de P.I. y  a las pequeñas y medianas empresas (Pymes), prestados a través del Servicio de Información sobre patentes de la OMPI para países en desarrollo (WPIS).</w:t>
            </w:r>
          </w:p>
          <w:p w:rsidR="00691432" w:rsidRPr="0074345C" w:rsidRDefault="00691432" w:rsidP="00AA7A54"/>
          <w:p w:rsidR="00691432" w:rsidRPr="0074345C" w:rsidRDefault="00691432" w:rsidP="00AA7A54">
            <w:r w:rsidRPr="0074345C">
              <w:t>Posteriormente, se completó la fase II de los proyectos de la Agenda para el Desarrollo sobre acceso a bases de datos especializadas (CDIP/9/9) y creación de instrumentos de acceso a la información sobre patentes (CDIP/10/13).  Los informes de evaluación de estos proyectos se presentarán en la presente sesión del CDIP.  En la decimotercera sesión del Comité se aprobó una fase II del proyecto sobre fortalecimiento de capacidades en el uso de información técnica y científica relativa a tecnologías apropiadas para solucionar determinados problemas de desarrollo (CDIP/13/9), la cual se está ejecutando actualmente.</w:t>
            </w:r>
          </w:p>
          <w:p w:rsidR="00691432" w:rsidRPr="0074345C" w:rsidRDefault="00691432" w:rsidP="00AA7A54"/>
          <w:p w:rsidR="00691432" w:rsidRPr="0074345C" w:rsidRDefault="00691432" w:rsidP="00AA7A54">
            <w:r w:rsidRPr="0074345C">
              <w:t xml:space="preserve">Además de las actividades registradas en la base de datos IP–TAD, puede encontrarse más información sobre los logros relativos a esta recomendación en:  a) el Informe sobre el rendimiento de los programas en 2012/2013 (documento WO/PBC/22/8), en particular en los programas 1, 14 y 30;  y b) el Informe sobre la marcha de las actividades del proyecto </w:t>
            </w:r>
            <w:r w:rsidRPr="0074345C">
              <w:rPr>
                <w:iCs/>
              </w:rPr>
              <w:t>Fortalecimiento de capacidades en el uso de información técnica y científica relativa a tecnologías apropiadas para solucionar determinados problemas de desarrollo – Fase II,</w:t>
            </w:r>
            <w:r w:rsidRPr="0074345C">
              <w:t xml:space="preserve"> que figura en el Anexo VII del presente documento.</w:t>
            </w:r>
          </w:p>
          <w:p w:rsidR="00691432" w:rsidRPr="0074345C" w:rsidRDefault="00691432" w:rsidP="00AA7A54"/>
        </w:tc>
      </w:tr>
      <w:tr w:rsidR="006376E7" w:rsidRPr="0074345C" w:rsidTr="006376E7">
        <w:tblPrEx>
          <w:tblCellMar>
            <w:top w:w="108" w:type="dxa"/>
            <w:bottom w:w="108" w:type="dxa"/>
          </w:tblCellMar>
        </w:tblPrEx>
        <w:tc>
          <w:tcPr>
            <w:tcW w:w="5954" w:type="dxa"/>
            <w:tcBorders>
              <w:top w:val="single" w:sz="4" w:space="0" w:color="auto"/>
              <w:left w:val="single" w:sz="4" w:space="0" w:color="auto"/>
              <w:bottom w:val="single" w:sz="4" w:space="0" w:color="auto"/>
              <w:right w:val="single" w:sz="4" w:space="0" w:color="auto"/>
            </w:tcBorders>
            <w:shd w:val="clear" w:color="auto" w:fill="auto"/>
          </w:tcPr>
          <w:p w:rsidR="00691432" w:rsidRPr="0074345C" w:rsidRDefault="00691432" w:rsidP="006376E7">
            <w:pPr>
              <w:keepNext/>
              <w:keepLines/>
            </w:pPr>
            <w:r w:rsidRPr="0074345C">
              <w:lastRenderedPageBreak/>
              <w:t>Fomentar la sensibilización acerca de los aspectos teóricos y prácticos de la gestión colectiva de varias categorías de obras protegidas por derecho de autor, así como en lo que atañe a los artistas intérpretes y ejecutantes.</w:t>
            </w:r>
          </w:p>
          <w:p w:rsidR="00691432" w:rsidRPr="0074345C" w:rsidRDefault="00691432" w:rsidP="006376E7">
            <w:pPr>
              <w:keepNext/>
              <w:keepLines/>
            </w:pPr>
          </w:p>
        </w:tc>
        <w:tc>
          <w:tcPr>
            <w:tcW w:w="9009" w:type="dxa"/>
            <w:tcBorders>
              <w:top w:val="single" w:sz="4" w:space="0" w:color="auto"/>
              <w:left w:val="single" w:sz="4" w:space="0" w:color="auto"/>
              <w:bottom w:val="single" w:sz="4" w:space="0" w:color="auto"/>
              <w:right w:val="single" w:sz="4" w:space="0" w:color="auto"/>
            </w:tcBorders>
            <w:shd w:val="clear" w:color="auto" w:fill="auto"/>
          </w:tcPr>
          <w:p w:rsidR="00691432" w:rsidRPr="0074345C" w:rsidRDefault="00691432" w:rsidP="006376E7">
            <w:pPr>
              <w:keepNext/>
              <w:keepLines/>
            </w:pPr>
            <w:r w:rsidRPr="0074345C">
              <w:t>Mejora de la concienciación y fomento de la capacidad en los Estados miembros en lo que atañe a las nuevas cuestiones relacionadas con la gestión colectiva del derecho de autor.  En este sentido, se presentará en la presente sesión del CDIP un estudio sobre la negociación colectiva de derechos y la gestión colectiva de derechos en el sector audiovisual, realizado en el marco del proyecto Fortalecimiento y desarrollo del sector audiovisual en Burkina Faso y en determinados países de África (CDIP/9/13).</w:t>
            </w:r>
          </w:p>
          <w:p w:rsidR="00691432" w:rsidRPr="0074345C" w:rsidRDefault="00691432" w:rsidP="006376E7">
            <w:pPr>
              <w:keepNext/>
              <w:keepLines/>
            </w:pPr>
          </w:p>
          <w:p w:rsidR="00691432" w:rsidRPr="0074345C" w:rsidRDefault="00691432" w:rsidP="006376E7">
            <w:pPr>
              <w:keepNext/>
              <w:keepLines/>
            </w:pPr>
            <w:r w:rsidRPr="0074345C">
              <w:t xml:space="preserve">Además de las actividades registradas en la base de datos IP–TAD, puede encontrarse más información sobre los logros relativos a esta recomendación en el Informe sobre el rendimiento de los programas 2012/13 (documento WO/PBC/22/8), en particular en el programa 3. </w:t>
            </w:r>
          </w:p>
        </w:tc>
      </w:tr>
    </w:tbl>
    <w:p w:rsidR="00691432" w:rsidRPr="0074345C" w:rsidRDefault="00691432" w:rsidP="00691432"/>
    <w:p w:rsidR="00691432" w:rsidRPr="0074345C" w:rsidRDefault="00691432" w:rsidP="00691432">
      <w:pPr>
        <w:rPr>
          <w:bCs/>
          <w:szCs w:val="22"/>
        </w:rPr>
      </w:pPr>
      <w:r w:rsidRPr="0074345C">
        <w:br w:type="page"/>
      </w:r>
      <w:r w:rsidRPr="0074345C">
        <w:rPr>
          <w:i/>
        </w:rPr>
        <w:lastRenderedPageBreak/>
        <w:t>Recomendación 12:</w:t>
      </w:r>
      <w:r w:rsidRPr="0074345C">
        <w:rPr>
          <w:b/>
        </w:rPr>
        <w:t xml:space="preserve"> </w:t>
      </w:r>
      <w:r w:rsidRPr="0074345C">
        <w:t>Facilitar la incorporación de las cuestiones de desarrollo a las actividades y los debates de asistencia técnica y de otra índole que lleva a cabo la OMPI, con arreglo a su mandato.</w:t>
      </w:r>
    </w:p>
    <w:p w:rsidR="00691432" w:rsidRPr="0074345C" w:rsidRDefault="00691432" w:rsidP="00691432">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rPr>
        <w:tc>
          <w:tcPr>
            <w:tcW w:w="6379" w:type="dxa"/>
            <w:shd w:val="clear" w:color="auto" w:fill="auto"/>
          </w:tcPr>
          <w:p w:rsidR="00AA7A54" w:rsidRPr="0074345C" w:rsidRDefault="00AA7A54" w:rsidP="00AA7A54">
            <w:pPr>
              <w:keepNext/>
              <w:autoSpaceDE w:val="0"/>
              <w:spacing w:before="240" w:after="60"/>
              <w:outlineLvl w:val="2"/>
              <w:rPr>
                <w:bCs/>
                <w:u w:val="single"/>
              </w:rPr>
            </w:pPr>
            <w:r w:rsidRPr="0074345C">
              <w:rPr>
                <w:bCs/>
                <w:u w:val="single"/>
              </w:rPr>
              <w:t>Estrategias de ejecución</w:t>
            </w:r>
          </w:p>
        </w:tc>
        <w:tc>
          <w:tcPr>
            <w:tcW w:w="7371" w:type="dxa"/>
            <w:shd w:val="clear" w:color="auto" w:fill="auto"/>
            <w:vAlign w:val="center"/>
          </w:tcPr>
          <w:p w:rsidR="00AA7A54" w:rsidRPr="0074345C" w:rsidRDefault="00AA7A54" w:rsidP="00AA7A54">
            <w:pPr>
              <w:keepNext/>
              <w:autoSpaceDE w:val="0"/>
              <w:spacing w:before="240" w:after="60"/>
              <w:outlineLvl w:val="2"/>
              <w:rPr>
                <w:bCs/>
                <w:szCs w:val="26"/>
                <w:u w:val="single"/>
              </w:rPr>
            </w:pPr>
            <w:r w:rsidRPr="0074345C">
              <w:rPr>
                <w:bCs/>
                <w:szCs w:val="26"/>
                <w:u w:val="single"/>
              </w:rPr>
              <w:t>Logros</w:t>
            </w:r>
          </w:p>
          <w:p w:rsidR="00AA7A54" w:rsidRPr="0074345C" w:rsidRDefault="00AA7A54" w:rsidP="00AA7A54"/>
        </w:tc>
      </w:tr>
      <w:tr w:rsidR="006376E7" w:rsidRPr="0074345C" w:rsidTr="00AA7A54">
        <w:tblPrEx>
          <w:tblCellMar>
            <w:top w:w="108" w:type="dxa"/>
            <w:bottom w:w="108" w:type="dxa"/>
          </w:tblCellMar>
        </w:tblPrEx>
        <w:trPr>
          <w:trHeight w:val="2715"/>
        </w:trPr>
        <w:tc>
          <w:tcPr>
            <w:tcW w:w="6379" w:type="dxa"/>
            <w:shd w:val="clear" w:color="auto" w:fill="auto"/>
          </w:tcPr>
          <w:p w:rsidR="00AA7A54" w:rsidRPr="0074345C" w:rsidRDefault="00AA7A54" w:rsidP="00AA7A54">
            <w:r w:rsidRPr="0074345C">
              <w:t>A fin de facilitar la incorporación de las cuestiones de desarrollo a todas las esferas de la labor de la OMPI, y especialmente a las actividades fundamentales y de asistencia técnica, en el presupuesto por programas se ha velado por que las recomendaciones adoptadas en el marco de la Agenda de la OMPI para el Desarrollo queden reflejadas debidamente en todos los programas pertinentes.</w:t>
            </w:r>
          </w:p>
          <w:p w:rsidR="00AA7A54" w:rsidRPr="0074345C" w:rsidRDefault="00AA7A54" w:rsidP="00AA7A54"/>
          <w:p w:rsidR="00AA7A54" w:rsidRPr="0074345C" w:rsidRDefault="00AA7A54" w:rsidP="00AA7A54">
            <w:r w:rsidRPr="0074345C">
              <w:t>En concreto, se han incluido referencias a determinadas recomendaciones de la Agenda para el Desarrollo en las descripciones de cada uno de los programas y se ha creado una nueva sección denominada “Vínculos con la Agenda para el Desarrollo” en todos los programas.  De este modo, se ha podido incorporar la Agenda para el Desarrollo al proceso de programación que tiene lugar habitualmente en la OMPI para velar por que se aplique realmente (véase el presupuesto por programas revisado de 2010/11 para obtener informaciones detalladas acerca de la manera en que se ha incorporado la Agenda para el Desarrollo a las actividades de la OMPI).véase el presupuesto por programas  2010/2010).</w:t>
            </w:r>
          </w:p>
        </w:tc>
        <w:tc>
          <w:tcPr>
            <w:tcW w:w="7371" w:type="dxa"/>
            <w:shd w:val="clear" w:color="auto" w:fill="auto"/>
          </w:tcPr>
          <w:p w:rsidR="00AA7A54" w:rsidRPr="0074345C" w:rsidRDefault="00AA7A54" w:rsidP="00AA7A54">
            <w:r w:rsidRPr="0074345C">
              <w:t>Se integró la dimensión del desarrollo, así como los proyectos y recomendaciones de la Agenda para el Desarrollo, en el presupuesto por programas del bienio 2014/15, por conducto de las nueve metas estratégicas.  Esto se refleja en la cuota asignada al desarrollo de los resultados previstos, un total de 38 a nivel de la Organización, de los que 29 cuentan con dicha cuota.</w:t>
            </w:r>
          </w:p>
          <w:p w:rsidR="00AA7A54" w:rsidRPr="0074345C" w:rsidRDefault="00AA7A54" w:rsidP="00AA7A54"/>
          <w:p w:rsidR="00AA7A54" w:rsidRPr="0074345C" w:rsidRDefault="00AA7A54" w:rsidP="00AA7A54">
            <w:r w:rsidRPr="0074345C">
              <w:t>Respecto a los proyectos de la Agenda para el Desarrollo, su integración en el marco de planificación bienal, y en el de presentación de informes, de la Organización para 2012/13 y 2014/15 se ha llevado a cabo con arreglo al examen del proceso presupuestario aplicado a los proyectos propuestos por el Comité de Desarrollo y Propiedad Intelectual (CDIP) para dar aplicación a las recomendaciones de la Agenda para el Desarrollo (documento A/51/7 Rev.) aprobado por las Asambleas de la OMPI en 2013.</w:t>
            </w:r>
          </w:p>
          <w:p w:rsidR="00AA7A54" w:rsidRPr="0074345C" w:rsidRDefault="00AA7A54" w:rsidP="00AA7A54"/>
          <w:p w:rsidR="00AA7A54" w:rsidRPr="0074345C" w:rsidRDefault="00AA7A54" w:rsidP="00AA7A54">
            <w:pPr>
              <w:pStyle w:val="ListParagraph"/>
              <w:ind w:left="0"/>
              <w:rPr>
                <w:lang w:val="es-ES"/>
              </w:rPr>
            </w:pPr>
            <w:r w:rsidRPr="0074345C">
              <w:rPr>
                <w:lang w:val="es-ES"/>
              </w:rPr>
              <w:t xml:space="preserve">Para obtener más información sobre los logros relativos a este recomendación sírvanse remitirse a: </w:t>
            </w:r>
          </w:p>
          <w:p w:rsidR="00AA7A54" w:rsidRPr="0074345C" w:rsidRDefault="00AA7A54" w:rsidP="00AA7A54">
            <w:pPr>
              <w:pStyle w:val="ListParagraph"/>
              <w:ind w:left="0"/>
              <w:rPr>
                <w:lang w:val="es-ES"/>
              </w:rPr>
            </w:pPr>
          </w:p>
          <w:p w:rsidR="00AA7A54" w:rsidRPr="0074345C" w:rsidRDefault="00AA7A54" w:rsidP="00AA7A54">
            <w:pPr>
              <w:pStyle w:val="ListParagraph"/>
              <w:numPr>
                <w:ilvl w:val="1"/>
                <w:numId w:val="27"/>
              </w:numPr>
              <w:contextualSpacing w:val="0"/>
              <w:rPr>
                <w:lang w:val="es-ES"/>
              </w:rPr>
            </w:pPr>
            <w:r w:rsidRPr="0074345C">
              <w:rPr>
                <w:lang w:val="es-ES"/>
              </w:rPr>
              <w:t>Informe sobre el rendimiento de los programas en 2012/13 (documento WO/PBC/22/8);  y</w:t>
            </w:r>
          </w:p>
          <w:p w:rsidR="00AA7A54" w:rsidRPr="0074345C" w:rsidRDefault="00AA7A54" w:rsidP="00AA7A54">
            <w:pPr>
              <w:pStyle w:val="ListParagraph"/>
              <w:ind w:left="0"/>
              <w:rPr>
                <w:lang w:val="es-ES"/>
              </w:rPr>
            </w:pPr>
          </w:p>
          <w:p w:rsidR="00AA7A54" w:rsidRPr="0074345C" w:rsidRDefault="00AA7A54" w:rsidP="00AA7A54">
            <w:pPr>
              <w:pStyle w:val="ListParagraph"/>
              <w:numPr>
                <w:ilvl w:val="1"/>
                <w:numId w:val="27"/>
              </w:numPr>
              <w:contextualSpacing w:val="0"/>
              <w:rPr>
                <w:lang w:val="es-ES"/>
              </w:rPr>
            </w:pPr>
            <w:r w:rsidRPr="0074345C">
              <w:rPr>
                <w:lang w:val="es-ES"/>
              </w:rPr>
              <w:t xml:space="preserve">El informe de evaluación sobre el proyecto “Mejora del marco de la OMPI de gestión por resultados para respaldar la supervisión y evaluación de las actividades de desarrollo” (CDIP/12/4).  </w:t>
            </w:r>
          </w:p>
        </w:tc>
      </w:tr>
    </w:tbl>
    <w:p w:rsidR="00AA7A54" w:rsidRPr="0074345C" w:rsidRDefault="00AA7A54" w:rsidP="00AA7A54">
      <w:pPr>
        <w:rPr>
          <w:b/>
        </w:rPr>
      </w:pPr>
    </w:p>
    <w:p w:rsidR="00AA7A54" w:rsidRPr="0074345C" w:rsidRDefault="00AA7A54" w:rsidP="00AA7A54">
      <w:pPr>
        <w:rPr>
          <w:bCs/>
          <w:szCs w:val="22"/>
        </w:rPr>
      </w:pPr>
      <w:r w:rsidRPr="0074345C">
        <w:rPr>
          <w:b/>
        </w:rPr>
        <w:br w:type="page"/>
      </w:r>
      <w:r w:rsidRPr="0074345C">
        <w:rPr>
          <w:i/>
        </w:rPr>
        <w:lastRenderedPageBreak/>
        <w:t>Recomendación 13</w:t>
      </w:r>
      <w:proofErr w:type="gramStart"/>
      <w:r w:rsidRPr="0074345C">
        <w:rPr>
          <w:i/>
        </w:rPr>
        <w:t>:</w:t>
      </w:r>
      <w:r w:rsidRPr="0074345C">
        <w:t xml:space="preserve">  La</w:t>
      </w:r>
      <w:proofErr w:type="gramEnd"/>
      <w:r w:rsidRPr="0074345C">
        <w:t xml:space="preserve">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p w:rsidR="00AA7A54" w:rsidRPr="0074345C" w:rsidRDefault="00AA7A54" w:rsidP="00AA7A54">
      <w:pPr>
        <w:rPr>
          <w:bCs/>
          <w:szCs w:val="22"/>
        </w:rPr>
      </w:pPr>
    </w:p>
    <w:p w:rsidR="00AA7A54" w:rsidRPr="0074345C" w:rsidRDefault="00AA7A54" w:rsidP="00AA7A54">
      <w:pPr>
        <w:rPr>
          <w:bCs/>
          <w:szCs w:val="22"/>
        </w:rPr>
      </w:pPr>
      <w:r w:rsidRPr="0074345C">
        <w:rPr>
          <w:bCs/>
          <w:i/>
          <w:szCs w:val="22"/>
        </w:rPr>
        <w:t>Recomendación 14:</w:t>
      </w:r>
      <w:r w:rsidRPr="0074345C">
        <w:rPr>
          <w:bCs/>
          <w:szCs w:val="22"/>
        </w:rPr>
        <w:t xml:space="preserve">  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p w:rsidR="00AA7A54" w:rsidRPr="0074345C" w:rsidRDefault="00AA7A54" w:rsidP="00AA7A54">
      <w:pPr>
        <w:rPr>
          <w:bCs/>
          <w:szCs w:val="22"/>
        </w:rPr>
      </w:pPr>
    </w:p>
    <w:p w:rsidR="00AA7A54" w:rsidRPr="0074345C" w:rsidRDefault="00AA7A54" w:rsidP="00AA7A54">
      <w:pPr>
        <w:rPr>
          <w:bCs/>
          <w:szCs w:val="22"/>
        </w:rPr>
      </w:pPr>
      <w:r w:rsidRPr="0074345C">
        <w:rPr>
          <w:bCs/>
          <w:i/>
          <w:szCs w:val="22"/>
        </w:rPr>
        <w:t>Recomendación 17</w:t>
      </w:r>
      <w:proofErr w:type="gramStart"/>
      <w:r w:rsidRPr="0074345C">
        <w:rPr>
          <w:bCs/>
          <w:i/>
          <w:szCs w:val="22"/>
        </w:rPr>
        <w:t xml:space="preserve">:  </w:t>
      </w:r>
      <w:r w:rsidRPr="0074345C">
        <w:rPr>
          <w:bCs/>
          <w:szCs w:val="22"/>
        </w:rPr>
        <w:t>En</w:t>
      </w:r>
      <w:proofErr w:type="gramEnd"/>
      <w:r w:rsidRPr="0074345C">
        <w:rPr>
          <w:bCs/>
          <w:szCs w:val="22"/>
        </w:rPr>
        <w:t xml:space="preserve"> sus actividades, entre las que figuran las actividades normativas, la OMPI deberá tener en cuenta las flexibilidades establecidas en los acuerdos de P.I. internacionales, especialmente aquellas que afectan a los países en desarrollo y PMA.</w:t>
      </w:r>
    </w:p>
    <w:p w:rsidR="00AA7A54" w:rsidRPr="0074345C" w:rsidRDefault="00AA7A54" w:rsidP="00AA7A54">
      <w:pPr>
        <w:rPr>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blHeader/>
        </w:trPr>
        <w:tc>
          <w:tcPr>
            <w:tcW w:w="6379" w:type="dxa"/>
            <w:shd w:val="clear" w:color="auto" w:fill="auto"/>
          </w:tcPr>
          <w:p w:rsidR="00AA7A54" w:rsidRPr="0074345C" w:rsidRDefault="00AA7A54" w:rsidP="00AA7A54">
            <w:pPr>
              <w:keepNext/>
              <w:autoSpaceDE w:val="0"/>
              <w:spacing w:before="240" w:after="60"/>
              <w:outlineLvl w:val="2"/>
              <w:rPr>
                <w:bCs/>
                <w:u w:val="single"/>
              </w:rPr>
            </w:pPr>
            <w:r w:rsidRPr="0074345C">
              <w:rPr>
                <w:bCs/>
                <w:u w:val="single"/>
              </w:rPr>
              <w:lastRenderedPageBreak/>
              <w:t>Estrategias de ejecución</w:t>
            </w:r>
          </w:p>
        </w:tc>
        <w:tc>
          <w:tcPr>
            <w:tcW w:w="7371" w:type="dxa"/>
            <w:shd w:val="clear" w:color="auto" w:fill="auto"/>
            <w:vAlign w:val="center"/>
          </w:tcPr>
          <w:p w:rsidR="00AA7A54" w:rsidRPr="0074345C" w:rsidRDefault="00AA7A54" w:rsidP="00AA7A54">
            <w:pPr>
              <w:keepNext/>
              <w:autoSpaceDE w:val="0"/>
              <w:spacing w:before="240" w:after="60"/>
              <w:outlineLvl w:val="2"/>
              <w:rPr>
                <w:bCs/>
                <w:szCs w:val="26"/>
                <w:u w:val="single"/>
              </w:rPr>
            </w:pPr>
            <w:r w:rsidRPr="0074345C">
              <w:rPr>
                <w:bCs/>
                <w:szCs w:val="26"/>
                <w:u w:val="single"/>
              </w:rPr>
              <w:t>Logros</w:t>
            </w:r>
          </w:p>
          <w:p w:rsidR="00AA7A54" w:rsidRPr="0074345C" w:rsidRDefault="00AA7A54" w:rsidP="00AA7A54"/>
        </w:tc>
      </w:tr>
      <w:tr w:rsidR="006376E7" w:rsidRPr="0074345C" w:rsidTr="00AA7A54">
        <w:tblPrEx>
          <w:tblCellMar>
            <w:top w:w="108" w:type="dxa"/>
            <w:bottom w:w="108" w:type="dxa"/>
          </w:tblCellMar>
        </w:tblPrEx>
        <w:trPr>
          <w:trHeight w:val="5639"/>
        </w:trPr>
        <w:tc>
          <w:tcPr>
            <w:tcW w:w="6379" w:type="dxa"/>
            <w:shd w:val="clear" w:color="auto" w:fill="auto"/>
          </w:tcPr>
          <w:p w:rsidR="00AA7A54" w:rsidRPr="0074345C" w:rsidRDefault="00AA7A54" w:rsidP="00AA7A54">
            <w:r w:rsidRPr="0074345C">
              <w:t>La asistencia técnica en la esfera de las flexibilidades se centra en el ámbito legislativo, la concienciación y la capacitación. Esa asistencia se suministra por varios medios, entre ellos:</w:t>
            </w:r>
          </w:p>
          <w:p w:rsidR="00AA7A54" w:rsidRPr="0074345C" w:rsidRDefault="00AA7A54" w:rsidP="00AA7A54"/>
          <w:p w:rsidR="00AA7A54" w:rsidRPr="0074345C" w:rsidRDefault="00AA7A54" w:rsidP="00AA7A54">
            <w:pPr>
              <w:numPr>
                <w:ilvl w:val="0"/>
                <w:numId w:val="24"/>
              </w:numPr>
              <w:autoSpaceDE w:val="0"/>
              <w:autoSpaceDN w:val="0"/>
              <w:adjustRightInd w:val="0"/>
            </w:pPr>
            <w:r w:rsidRPr="0074345C">
              <w:t>consultas de alto nivel;</w:t>
            </w:r>
          </w:p>
          <w:p w:rsidR="00AA7A54" w:rsidRPr="0074345C" w:rsidRDefault="00AA7A54" w:rsidP="00AA7A54">
            <w:pPr>
              <w:numPr>
                <w:ilvl w:val="0"/>
                <w:numId w:val="24"/>
              </w:numPr>
              <w:autoSpaceDE w:val="0"/>
              <w:autoSpaceDN w:val="0"/>
              <w:adjustRightInd w:val="0"/>
            </w:pPr>
            <w:r w:rsidRPr="0074345C">
              <w:t>debate y preparación de proyectos de legislación;</w:t>
            </w:r>
          </w:p>
          <w:p w:rsidR="00AA7A54" w:rsidRPr="0074345C" w:rsidRDefault="00AA7A54" w:rsidP="00AA7A54">
            <w:pPr>
              <w:numPr>
                <w:ilvl w:val="0"/>
                <w:numId w:val="24"/>
              </w:numPr>
              <w:autoSpaceDE w:val="0"/>
              <w:autoSpaceDN w:val="0"/>
              <w:adjustRightInd w:val="0"/>
            </w:pPr>
            <w:r w:rsidRPr="0074345C">
              <w:t>examen de los proyectos de legislación y normativas y asesoramiento al respecto;</w:t>
            </w:r>
          </w:p>
          <w:p w:rsidR="00AA7A54" w:rsidRPr="0074345C" w:rsidRDefault="00AA7A54" w:rsidP="00AA7A54">
            <w:pPr>
              <w:numPr>
                <w:ilvl w:val="0"/>
                <w:numId w:val="24"/>
              </w:numPr>
              <w:autoSpaceDE w:val="0"/>
              <w:autoSpaceDN w:val="0"/>
              <w:adjustRightInd w:val="0"/>
            </w:pPr>
            <w:r w:rsidRPr="0074345C">
              <w:t>organización y participación en reuniones;</w:t>
            </w:r>
          </w:p>
          <w:p w:rsidR="00AA7A54" w:rsidRPr="0074345C" w:rsidRDefault="00AA7A54" w:rsidP="00AA7A54">
            <w:pPr>
              <w:numPr>
                <w:ilvl w:val="0"/>
                <w:numId w:val="24"/>
              </w:numPr>
              <w:autoSpaceDE w:val="0"/>
              <w:autoSpaceDN w:val="0"/>
              <w:adjustRightInd w:val="0"/>
            </w:pPr>
            <w:r w:rsidRPr="0074345C">
              <w:t xml:space="preserve">misiones técnicas de expertos y visitas de estudio; </w:t>
            </w:r>
          </w:p>
          <w:p w:rsidR="00AA7A54" w:rsidRPr="0074345C" w:rsidRDefault="00AA7A54" w:rsidP="00AA7A54">
            <w:pPr>
              <w:numPr>
                <w:ilvl w:val="0"/>
                <w:numId w:val="24"/>
              </w:numPr>
              <w:autoSpaceDE w:val="0"/>
              <w:autoSpaceDN w:val="0"/>
              <w:adjustRightInd w:val="0"/>
            </w:pPr>
            <w:r w:rsidRPr="0074345C">
              <w:t xml:space="preserve">visitas técnicas de funcionarios gubernamentales de las capitales; y </w:t>
            </w:r>
          </w:p>
          <w:p w:rsidR="00AA7A54" w:rsidRPr="0074345C" w:rsidRDefault="00AA7A54" w:rsidP="00AA7A54">
            <w:pPr>
              <w:numPr>
                <w:ilvl w:val="0"/>
                <w:numId w:val="24"/>
              </w:numPr>
              <w:autoSpaceDE w:val="0"/>
              <w:autoSpaceDN w:val="0"/>
              <w:adjustRightInd w:val="0"/>
            </w:pPr>
            <w:r w:rsidRPr="0074345C">
              <w:t xml:space="preserve">formación y capacitación de los responsables locales de la formulación de políticas. </w:t>
            </w:r>
          </w:p>
          <w:p w:rsidR="00AA7A54" w:rsidRPr="0074345C" w:rsidRDefault="00AA7A54" w:rsidP="00AA7A54"/>
          <w:p w:rsidR="00AA7A54" w:rsidRPr="0074345C" w:rsidRDefault="00AA7A54" w:rsidP="00AA7A54">
            <w:r w:rsidRPr="0074345C">
              <w:t xml:space="preserve">La asistencia legislativa en materia de flexibilidades se realiza </w:t>
            </w:r>
            <w:r w:rsidRPr="0074345C">
              <w:rPr>
                <w:i/>
              </w:rPr>
              <w:t>ex parte</w:t>
            </w:r>
            <w:r w:rsidRPr="0074345C">
              <w:t>, y tiene carácter bilateral y confidencial;  se presta del modo más rápido posible en función de los recursos disponibles.  Ese tipo de asistencia permite a los encargados de formular políticas y a los expertos jurídicos de los países en desarrollo y de los países menos adelantados tomar decisiones con conocimiento de causa sobre el uso de las opciones jurídicas y de las flexibilidades previstas en el marco jurídico internacional, incluido el Acuerdo sobre los ADPIC, en el grado de aplicación en su legislación nacional.</w:t>
            </w:r>
          </w:p>
          <w:p w:rsidR="00AA7A54" w:rsidRPr="0074345C" w:rsidRDefault="00AA7A54" w:rsidP="00AA7A54"/>
          <w:p w:rsidR="00AA7A54" w:rsidRPr="0074345C" w:rsidRDefault="00AA7A54" w:rsidP="00AA7A54">
            <w:r w:rsidRPr="0074345C">
              <w:t xml:space="preserve">En el marco del Acuerdo OMPI/OMC, la OMPI proporciona con carácter neutral y confidencial cooperación técnica y asesoramiento jurídico y legislativo a países en desarrollo y a PMA para la aplicación del Acuerdo sobre los ADPIC, teniendo en cuenta las distintas opciones legislativas.  En ese sentido, </w:t>
            </w:r>
            <w:r w:rsidRPr="0074345C">
              <w:lastRenderedPageBreak/>
              <w:t>se han organizado reuniones y consultas conjuntas con la OMC para mejorar la cooperación mutua.</w:t>
            </w:r>
          </w:p>
          <w:p w:rsidR="00AA7A54" w:rsidRPr="0074345C" w:rsidRDefault="00AA7A54" w:rsidP="00AA7A54"/>
          <w:p w:rsidR="00AA7A54" w:rsidRPr="0074345C" w:rsidRDefault="00AA7A54" w:rsidP="00AA7A54">
            <w:r w:rsidRPr="0074345C">
              <w:t>También se presta asistencia a los países, previa petición, sobre la adhesión a tratados internacionales y su aplicación, como en el caso de los acuerdos regionales, teniendo en cuenta las prioridades y objetivos de desarrollo nacionales.  Se tienen en cuenta plenamente disposiciones concretas relacionadas con los países menos adelantados y sus necesidades especiales.</w:t>
            </w:r>
          </w:p>
          <w:p w:rsidR="00AA7A54" w:rsidRPr="0074345C" w:rsidRDefault="00AA7A54" w:rsidP="00AA7A54"/>
          <w:p w:rsidR="00AA7A54" w:rsidRPr="0074345C" w:rsidRDefault="00AA7A54" w:rsidP="00AA7A54">
            <w:r w:rsidRPr="0074345C">
              <w:t xml:space="preserve">La asistencia legislativa referida a la concienciación sobre las flexibilidades y a la aplicación de estas en el sistema de propiedad intelectual se facilita a petición de los países, y toma en consideración las prioridades y necesidades nacionales específicas. </w:t>
            </w:r>
          </w:p>
          <w:p w:rsidR="00AA7A54" w:rsidRPr="0074345C" w:rsidRDefault="00AA7A54" w:rsidP="00AA7A54"/>
          <w:p w:rsidR="00AA7A54" w:rsidRPr="0074345C" w:rsidRDefault="00AA7A54" w:rsidP="00AA7A54">
            <w:r w:rsidRPr="0074345C">
              <w:t>En las actividades de normalización, se han tomado medidas para velar por que las actividades SCP, el SCT, SCCR y el CIG tomen debida cuenta de las flexibilidades en los acuerdos internacionales en materia de propiedad intelectual.</w:t>
            </w:r>
          </w:p>
          <w:p w:rsidR="00AA7A54" w:rsidRPr="0074345C" w:rsidRDefault="00AA7A54" w:rsidP="00AA7A54"/>
          <w:p w:rsidR="00AA7A54" w:rsidRPr="0074345C" w:rsidRDefault="00AA7A54" w:rsidP="00AA7A54">
            <w:r w:rsidRPr="0074345C">
              <w:t>El asesoramiento de la OMPI sobre legislación tiene en consideración las normas que pueden aplicarse de modo flexible, con las necesidades sociales y económicas de cada país siempre presentes.</w:t>
            </w:r>
          </w:p>
        </w:tc>
        <w:tc>
          <w:tcPr>
            <w:tcW w:w="7371" w:type="dxa"/>
            <w:shd w:val="clear" w:color="auto" w:fill="auto"/>
          </w:tcPr>
          <w:p w:rsidR="00AA7A54" w:rsidRPr="0074345C" w:rsidRDefault="00AA7A54" w:rsidP="00AA7A54">
            <w:r w:rsidRPr="0074345C">
              <w:lastRenderedPageBreak/>
              <w:t>Mayor sensibilización y creación de capacidad en los Estados miembros para la utilización de la información sobre la aplicación de flexibilidades en el sistema de propiedad intelectual.</w:t>
            </w:r>
          </w:p>
          <w:p w:rsidR="00AA7A54" w:rsidRPr="0074345C" w:rsidRDefault="00AA7A54" w:rsidP="00AA7A54"/>
          <w:p w:rsidR="00AA7A54" w:rsidRPr="0074345C" w:rsidRDefault="00AA7A54" w:rsidP="00AA7A54">
            <w:r w:rsidRPr="0074345C">
              <w:t xml:space="preserve">A los Estados miembros que piden asesoramiento sobre la legislación vigente o en fase de proyecto se proporciona información sobre toda la gama de posibilidades en materia de políticas y legislación que tienen a su disposición para aplicar las flexibilidades del sistema de propiedad intelectual que más se ajusten a las prioridades y capacidades nacionales. </w:t>
            </w:r>
          </w:p>
          <w:p w:rsidR="00AA7A54" w:rsidRPr="0074345C" w:rsidRDefault="00AA7A54" w:rsidP="00AA7A54"/>
          <w:p w:rsidR="00AA7A54" w:rsidRPr="0074345C" w:rsidRDefault="00AA7A54" w:rsidP="00AA7A54">
            <w:r w:rsidRPr="0074345C">
              <w:t xml:space="preserve">Las distintas actividades de la OMPI que se dirigen a ayudar a los Estados miembros en la elaboración de estrategias en materia de propiedad intelectual e innovación están coordinadas en toda la Organización, e incluyen elementos destinados a velar por que los países puedan tener en cuenta las flexibilidades al diseñar estrategias nacionales en materia de propiedad intelectual para promover el desarrollo. </w:t>
            </w:r>
          </w:p>
          <w:p w:rsidR="00AA7A54" w:rsidRPr="0074345C" w:rsidRDefault="00AA7A54" w:rsidP="00AA7A54"/>
          <w:p w:rsidR="00AA7A54" w:rsidRPr="0074345C" w:rsidRDefault="00AA7A54" w:rsidP="00AA7A54">
            <w:r w:rsidRPr="0074345C">
              <w:t xml:space="preserve">Actualización del sitio web, que ahora ofrece recursos acerca de la labor realizada sobre las flexibilidades en la OMPI y recursos conexos de otras organizaciones intergubernamentales  internacionales. </w:t>
            </w:r>
          </w:p>
          <w:p w:rsidR="00AA7A54" w:rsidRPr="0074345C" w:rsidRDefault="00AA7A54" w:rsidP="00AA7A54"/>
          <w:p w:rsidR="00AA7A54" w:rsidRPr="0074345C" w:rsidRDefault="00AA7A54" w:rsidP="00AA7A54">
            <w:r w:rsidRPr="0074345C">
              <w:t>La segunda parte del documento sobre Flexibilidades en materia de patentes en el marco jurídico multilateral y su aplicación legislativa en los planos nacional y regional se examinó en la séptima sesión del CDIP.  Los comentarios formulados por las delegaciones están reflejados en un documento aparte (CDIP/7/3 </w:t>
            </w:r>
            <w:proofErr w:type="spellStart"/>
            <w:r w:rsidRPr="0074345C">
              <w:t>Add</w:t>
            </w:r>
            <w:proofErr w:type="spellEnd"/>
            <w:r w:rsidRPr="0074345C">
              <w:t>.).</w:t>
            </w:r>
          </w:p>
          <w:p w:rsidR="00AA7A54" w:rsidRPr="0074345C" w:rsidRDefault="00AA7A54" w:rsidP="00AA7A54"/>
          <w:p w:rsidR="00AA7A54" w:rsidRPr="0074345C" w:rsidRDefault="00AA7A54" w:rsidP="00AA7A54">
            <w:r w:rsidRPr="0074345C">
              <w:t xml:space="preserve">Durante la novena sesión del CDIP, los delegados examinaron varios temas que se analizarán en un documento sobre flexibilidades relativas a las patentes.  A ese respecto, se invitó a los Estados miembros a </w:t>
            </w:r>
            <w:r w:rsidRPr="0074345C">
              <w:lastRenderedPageBreak/>
              <w:t>formular comentarios sobre cuatro nuevos temas (C.N. 3345 de 18 de julio de 2012).  La Secretaría consolidó esos comentarios, junto con información adicional, en un documento que constituirá la base de los debates sobre la labor futura en la décima sesión</w:t>
            </w:r>
          </w:p>
          <w:p w:rsidR="00AA7A54" w:rsidRPr="0074345C" w:rsidRDefault="00AA7A54" w:rsidP="00AA7A54"/>
          <w:p w:rsidR="00AA7A54" w:rsidRPr="0074345C" w:rsidRDefault="00AA7A54" w:rsidP="00AA7A54">
            <w:r w:rsidRPr="0074345C">
              <w:t xml:space="preserve">Durante la undécima sesión del CDIP, el Comité prosiguió el examen de la labor futura sobre las flexibilidades en materia de patentes en el marco jurídico multilateral (CDIP/10/11 and CDIP/10/11 </w:t>
            </w:r>
            <w:proofErr w:type="spellStart"/>
            <w:r w:rsidRPr="0074345C">
              <w:t>Add</w:t>
            </w:r>
            <w:proofErr w:type="spellEnd"/>
            <w:r w:rsidRPr="0074345C">
              <w:t xml:space="preserve">.). </w:t>
            </w:r>
          </w:p>
          <w:p w:rsidR="00AA7A54" w:rsidRPr="0074345C" w:rsidRDefault="00AA7A54" w:rsidP="00AA7A54"/>
          <w:p w:rsidR="00AA7A54" w:rsidRPr="0074345C" w:rsidRDefault="00AA7A54" w:rsidP="00AA7A54">
            <w:r w:rsidRPr="0074345C">
              <w:t xml:space="preserve">En su decimotercera sesión, el Comité examinó un documento (CDIP/13/10) sobre las siguientes flexibilidades: </w:t>
            </w:r>
          </w:p>
          <w:p w:rsidR="00AA7A54" w:rsidRPr="0074345C" w:rsidRDefault="00AA7A54" w:rsidP="00AA7A54"/>
          <w:p w:rsidR="00AA7A54" w:rsidRPr="0074345C" w:rsidRDefault="00AA7A54" w:rsidP="00AA7A54">
            <w:r w:rsidRPr="0074345C">
              <w:t>(i) el alcance de la exclusión de la patentabilidad de los vegetales (artículo 27 del Acuerdo sobre los ADPIC); y</w:t>
            </w:r>
          </w:p>
          <w:p w:rsidR="00AA7A54" w:rsidRPr="0074345C" w:rsidRDefault="00AA7A54" w:rsidP="00AA7A54"/>
          <w:p w:rsidR="00AA7A54" w:rsidRPr="0074345C" w:rsidRDefault="00AA7A54" w:rsidP="00AA7A54">
            <w:r w:rsidRPr="0074345C">
              <w:t xml:space="preserve">(ii) flexibilidades con respecto a la patentabilidad, o la exclusión de la patentabilidad, de invenciones relacionadas con </w:t>
            </w:r>
            <w:r w:rsidRPr="0074345C">
              <w:rPr>
                <w:i/>
              </w:rPr>
              <w:t xml:space="preserve">software </w:t>
            </w:r>
            <w:r w:rsidRPr="0074345C">
              <w:t>(artículo 27 del Acuerdo sobre los ADPIC);</w:t>
            </w:r>
          </w:p>
          <w:p w:rsidR="00AA7A54" w:rsidRPr="0074345C" w:rsidRDefault="00AA7A54" w:rsidP="00AA7A54"/>
          <w:p w:rsidR="00AA7A54" w:rsidRPr="0074345C" w:rsidRDefault="00AA7A54" w:rsidP="00AA7A54">
            <w:pPr>
              <w:autoSpaceDE w:val="0"/>
            </w:pPr>
            <w:r w:rsidRPr="0074345C">
              <w:t>Además de las actividades registradas en la base de datos IP–TAD, puede encontrarse más información sobre las actividades de la OMPI relacionadas con las flexibilidades en las actividades de la OMPI de asistencia técnica y establecimiento de normas en las páginas del sitio web de la OMPI sobre flexibilidades en el sistema de propiedad intelectual (P.I.) (</w:t>
            </w:r>
            <w:hyperlink r:id="rId84" w:history="1">
              <w:r w:rsidRPr="0074345C">
                <w:rPr>
                  <w:u w:val="single"/>
                </w:rPr>
                <w:t>http://www.wipo.int/ip-development/en/agenda/flexibilities/</w:t>
              </w:r>
            </w:hyperlink>
            <w:r w:rsidRPr="0074345C">
              <w:rPr>
                <w:rFonts w:ascii="ZWAdobeF" w:hAnsi="ZWAdobeF" w:cs="ZWAdobeF"/>
                <w:sz w:val="2"/>
                <w:szCs w:val="2"/>
              </w:rPr>
              <w:t>H</w:t>
            </w:r>
            <w:r w:rsidRPr="0074345C">
              <w:t xml:space="preserve">), así como en el documento CDIP/9/11, y en el Informe sobre el rendimiento de los programas en 2012/13 (documento WO/PBC/22/8), en particular en los programas 1, 2, 3, 4, 8, 9 y 10. </w:t>
            </w:r>
          </w:p>
        </w:tc>
      </w:tr>
    </w:tbl>
    <w:p w:rsidR="00AA7A54" w:rsidRPr="0074345C" w:rsidRDefault="00AA7A54" w:rsidP="00AA7A54">
      <w:pPr>
        <w:rPr>
          <w:b/>
        </w:rPr>
      </w:pPr>
    </w:p>
    <w:p w:rsidR="00AA7A54" w:rsidRPr="0074345C" w:rsidRDefault="00AA7A54" w:rsidP="00AA7A54"/>
    <w:p w:rsidR="00AA7A54" w:rsidRPr="0074345C" w:rsidRDefault="00AA7A54" w:rsidP="00AA7A54">
      <w:pPr>
        <w:rPr>
          <w:bCs/>
          <w:i/>
        </w:rPr>
      </w:pPr>
      <w:r w:rsidRPr="0074345C">
        <w:rPr>
          <w:bCs/>
          <w:i/>
        </w:rPr>
        <w:br w:type="page"/>
      </w:r>
    </w:p>
    <w:p w:rsidR="00AA7A54" w:rsidRPr="0074345C" w:rsidRDefault="00AA7A54" w:rsidP="00AA7A54">
      <w:pPr>
        <w:rPr>
          <w:bCs/>
        </w:rPr>
      </w:pPr>
      <w:r w:rsidRPr="0074345C">
        <w:rPr>
          <w:bCs/>
          <w:i/>
        </w:rPr>
        <w:lastRenderedPageBreak/>
        <w:t>Recomendación 15</w:t>
      </w:r>
      <w:proofErr w:type="gramStart"/>
      <w:r w:rsidRPr="0074345C">
        <w:rPr>
          <w:bCs/>
          <w:i/>
        </w:rPr>
        <w:t xml:space="preserve">: </w:t>
      </w:r>
      <w:r w:rsidRPr="0074345C">
        <w:rPr>
          <w:bCs/>
        </w:rPr>
        <w:t xml:space="preserve"> Las</w:t>
      </w:r>
      <w:proofErr w:type="gramEnd"/>
      <w:r w:rsidRPr="0074345C">
        <w:rPr>
          <w:bCs/>
        </w:rPr>
        <w:t xml:space="preserve"> actividades normativas deberán:</w:t>
      </w:r>
    </w:p>
    <w:p w:rsidR="00AA7A54" w:rsidRPr="0074345C" w:rsidRDefault="00AA7A54" w:rsidP="00AA7A54">
      <w:pPr>
        <w:rPr>
          <w:bCs/>
        </w:rPr>
      </w:pPr>
    </w:p>
    <w:p w:rsidR="00AA7A54" w:rsidRPr="0074345C" w:rsidRDefault="0074345C" w:rsidP="0074345C">
      <w:pPr>
        <w:spacing w:after="220"/>
        <w:ind w:left="567"/>
      </w:pPr>
      <w:r>
        <w:t>a)</w:t>
      </w:r>
      <w:r>
        <w:tab/>
      </w:r>
      <w:r w:rsidR="00AA7A54" w:rsidRPr="0074345C">
        <w:t xml:space="preserve">ser inclusivas y estar orientadas hacia los miembros; </w:t>
      </w:r>
    </w:p>
    <w:p w:rsidR="00AA7A54" w:rsidRPr="0074345C" w:rsidRDefault="0074345C" w:rsidP="0074345C">
      <w:pPr>
        <w:spacing w:after="220"/>
        <w:ind w:left="567"/>
      </w:pPr>
      <w:r>
        <w:t>b)</w:t>
      </w:r>
      <w:r>
        <w:tab/>
      </w:r>
      <w:r w:rsidR="00AA7A54" w:rsidRPr="0074345C">
        <w:t xml:space="preserve">tener en cuenta los distintos niveles de desarrollo; </w:t>
      </w:r>
    </w:p>
    <w:p w:rsidR="00AA7A54" w:rsidRPr="0074345C" w:rsidRDefault="0074345C" w:rsidP="0074345C">
      <w:pPr>
        <w:spacing w:after="220"/>
        <w:ind w:left="567"/>
      </w:pPr>
      <w:r>
        <w:t>c)</w:t>
      </w:r>
      <w:r>
        <w:tab/>
      </w:r>
      <w:r w:rsidR="00AA7A54" w:rsidRPr="0074345C">
        <w:t>tomar en consideración el equilibrio entre los costos y los beneficios;  y</w:t>
      </w:r>
    </w:p>
    <w:p w:rsidR="00AA7A54" w:rsidRPr="0074345C" w:rsidRDefault="0074345C" w:rsidP="0074345C">
      <w:pPr>
        <w:spacing w:after="220"/>
        <w:ind w:left="567"/>
      </w:pPr>
      <w:r>
        <w:t>d)</w:t>
      </w:r>
      <w:r>
        <w:tab/>
      </w:r>
      <w:r w:rsidR="00AA7A54" w:rsidRPr="0074345C">
        <w:t>ser un proceso participativo que tenga en cuenta los intereses y las prioridades de todos los Estados miembros y el punto de vista de otras partes interesadas, por ejemplo, las organizaciones intergubernamentales y no gubernamentales acreditadas;  estar en consonancia con el principio de neutralidad de la Secretaría de la OMPI.</w:t>
      </w:r>
    </w:p>
    <w:p w:rsidR="00AA7A54" w:rsidRPr="0074345C" w:rsidRDefault="00AA7A54" w:rsidP="00AA7A54">
      <w:pPr>
        <w:rPr>
          <w:bCs/>
        </w:rPr>
      </w:pPr>
      <w:r w:rsidRPr="0074345C">
        <w:rPr>
          <w:bCs/>
          <w:i/>
        </w:rPr>
        <w:t>Recomendación 21</w:t>
      </w:r>
      <w:proofErr w:type="gramStart"/>
      <w:r w:rsidRPr="0074345C">
        <w:rPr>
          <w:bCs/>
          <w:i/>
        </w:rPr>
        <w:t>:</w:t>
      </w:r>
      <w:r w:rsidRPr="0074345C">
        <w:rPr>
          <w:b/>
          <w:bCs/>
          <w:i/>
        </w:rPr>
        <w:t xml:space="preserve"> </w:t>
      </w:r>
      <w:r w:rsidRPr="0074345C">
        <w:rPr>
          <w:bCs/>
        </w:rPr>
        <w:t xml:space="preserve"> Antes</w:t>
      </w:r>
      <w:proofErr w:type="gramEnd"/>
      <w:r w:rsidRPr="0074345C">
        <w:rPr>
          <w:bCs/>
        </w:rPr>
        <w:t xml:space="preserve">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los PMA.</w:t>
      </w:r>
    </w:p>
    <w:p w:rsidR="00AA7A54" w:rsidRPr="0074345C" w:rsidRDefault="00AA7A54" w:rsidP="00AA7A54">
      <w:pPr>
        <w:rPr>
          <w:bCs/>
        </w:rPr>
      </w:pPr>
    </w:p>
    <w:p w:rsidR="00AA7A54" w:rsidRPr="0074345C" w:rsidRDefault="00AA7A54" w:rsidP="00AA7A54">
      <w:pPr>
        <w:rPr>
          <w:bCs/>
        </w:rPr>
      </w:pPr>
      <w:r w:rsidRPr="0074345C">
        <w:rPr>
          <w:bCs/>
          <w:i/>
        </w:rPr>
        <w:t>Recomendación 44</w:t>
      </w:r>
      <w:proofErr w:type="gramStart"/>
      <w:r w:rsidRPr="0074345C">
        <w:rPr>
          <w:bCs/>
          <w:i/>
        </w:rPr>
        <w:t>:</w:t>
      </w:r>
      <w:r w:rsidRPr="0074345C">
        <w:rPr>
          <w:bCs/>
        </w:rPr>
        <w:t xml:space="preserve">  De</w:t>
      </w:r>
      <w:proofErr w:type="gramEnd"/>
      <w:r w:rsidRPr="0074345C">
        <w:rPr>
          <w:bCs/>
        </w:rPr>
        <w:t xml:space="preserv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Éstas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p>
    <w:p w:rsidR="006376E7" w:rsidRPr="0074345C" w:rsidRDefault="006376E7" w:rsidP="00AA7A54">
      <w:pPr>
        <w:rPr>
          <w:bCs/>
        </w:rPr>
      </w:pPr>
    </w:p>
    <w:p w:rsidR="00AA7A54" w:rsidRPr="0074345C" w:rsidRDefault="00AA7A54" w:rsidP="00AA7A5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blHeader/>
        </w:trPr>
        <w:tc>
          <w:tcPr>
            <w:tcW w:w="6379" w:type="dxa"/>
            <w:shd w:val="clear" w:color="auto" w:fill="auto"/>
          </w:tcPr>
          <w:p w:rsidR="00AA7A54" w:rsidRPr="0074345C" w:rsidRDefault="00AA7A54" w:rsidP="00AA7A54">
            <w:pPr>
              <w:keepNext/>
              <w:autoSpaceDE w:val="0"/>
              <w:spacing w:before="240" w:after="60"/>
              <w:outlineLvl w:val="2"/>
              <w:rPr>
                <w:bCs/>
                <w:u w:val="single"/>
              </w:rPr>
            </w:pPr>
            <w:r w:rsidRPr="0074345C">
              <w:rPr>
                <w:bCs/>
                <w:u w:val="single"/>
              </w:rPr>
              <w:t>Estrategias de ejecución</w:t>
            </w:r>
          </w:p>
        </w:tc>
        <w:tc>
          <w:tcPr>
            <w:tcW w:w="7371" w:type="dxa"/>
            <w:shd w:val="clear" w:color="auto" w:fill="auto"/>
            <w:vAlign w:val="center"/>
          </w:tcPr>
          <w:p w:rsidR="00AA7A54" w:rsidRPr="0074345C" w:rsidRDefault="00AA7A54" w:rsidP="006376E7">
            <w:pPr>
              <w:keepNext/>
              <w:autoSpaceDE w:val="0"/>
              <w:spacing w:before="240" w:after="60"/>
              <w:outlineLvl w:val="2"/>
            </w:pPr>
            <w:r w:rsidRPr="0074345C">
              <w:rPr>
                <w:bCs/>
                <w:szCs w:val="26"/>
                <w:u w:val="single"/>
              </w:rPr>
              <w:t>Logros</w:t>
            </w:r>
          </w:p>
        </w:tc>
      </w:tr>
      <w:tr w:rsidR="006376E7" w:rsidRPr="0074345C" w:rsidTr="00AA7A54">
        <w:tblPrEx>
          <w:tblCellMar>
            <w:top w:w="108" w:type="dxa"/>
            <w:bottom w:w="108" w:type="dxa"/>
          </w:tblCellMar>
        </w:tblPrEx>
        <w:trPr>
          <w:trHeight w:val="2037"/>
        </w:trPr>
        <w:tc>
          <w:tcPr>
            <w:tcW w:w="6379" w:type="dxa"/>
            <w:shd w:val="clear" w:color="auto" w:fill="auto"/>
          </w:tcPr>
          <w:p w:rsidR="00AA7A54" w:rsidRPr="0074345C" w:rsidRDefault="00AA7A54" w:rsidP="00AA7A54">
            <w:r w:rsidRPr="0074345C">
              <w:t>Estas recomendaciones se ha</w:t>
            </w:r>
            <w:r w:rsidR="006376E7" w:rsidRPr="0074345C">
              <w:t>n</w:t>
            </w:r>
            <w:r w:rsidRPr="0074345C">
              <w:t xml:space="preserve"> aplicado en el contexto del Comité Permanente sobre el Derecho de Patentes (SCP), el Comité Permanente de Derecho de Autor y Derechos Conexos (SCCR), el Comité Intergubernamental sobre Propiedad Intelectual y Recursos Genéticos, Conocimientos Tradicionales y Folclore (CIG) y el Comité Permanente sobre el Derecho de Marcas, Diseños Industriales e Indicaciones Geográficas (SCT). </w:t>
            </w:r>
          </w:p>
          <w:p w:rsidR="006376E7" w:rsidRPr="0074345C" w:rsidRDefault="006376E7" w:rsidP="00AA7A54"/>
          <w:p w:rsidR="00AA7A54" w:rsidRPr="0074345C" w:rsidRDefault="00AA7A54" w:rsidP="00AA7A54">
            <w:r w:rsidRPr="0074345C">
              <w:t xml:space="preserve">La OMPI financia la asistencia a sus actividades normativas de los participantes designados procedentes de los países en </w:t>
            </w:r>
            <w:r w:rsidRPr="0074345C">
              <w:lastRenderedPageBreak/>
              <w:t>desarrollo.</w:t>
            </w:r>
          </w:p>
          <w:p w:rsidR="00AA7A54" w:rsidRPr="0074345C" w:rsidRDefault="00AA7A54" w:rsidP="00AA7A54"/>
          <w:p w:rsidR="00AA7A54" w:rsidRPr="0074345C" w:rsidRDefault="00AA7A54" w:rsidP="00AA7A54">
            <w:r w:rsidRPr="0074345C">
              <w:t>Dichas actividades son fruto de un proceso impulsado por los Estados miembros, el cual reviste carácter equilibrado —en la relación de costos y beneficios—, flexible e inclusivo.</w:t>
            </w:r>
          </w:p>
          <w:p w:rsidR="00AA7A54" w:rsidRPr="0074345C" w:rsidRDefault="00AA7A54" w:rsidP="00AA7A54"/>
        </w:tc>
        <w:tc>
          <w:tcPr>
            <w:tcW w:w="7371" w:type="dxa"/>
            <w:shd w:val="clear" w:color="auto" w:fill="auto"/>
          </w:tcPr>
          <w:p w:rsidR="00AA7A54" w:rsidRPr="0074345C" w:rsidRDefault="00AA7A54" w:rsidP="00AA7A54">
            <w:r w:rsidRPr="0074345C">
              <w:lastRenderedPageBreak/>
              <w:t>En sus sesiones 19ª y 20ª, celebradas en febrero de 2013 y enero de 2014, el SCP continuó examinando las siguientes cuestiones</w:t>
            </w:r>
            <w:proofErr w:type="gramStart"/>
            <w:r w:rsidRPr="0074345C">
              <w:t>:  i</w:t>
            </w:r>
            <w:proofErr w:type="gramEnd"/>
            <w:r w:rsidRPr="0074345C">
              <w:t>) las excepciones y limitaciones a los derechos conferidos por las patentes;  ii) la calidad de las patentes, incluidos los sistemas de oposición;  iii) las patentes y la salud;  iv) prerrogativa del secreto profesional en la relación cliente-asesor de patentes;  y v) transferencia de tecnología.</w:t>
            </w:r>
          </w:p>
          <w:p w:rsidR="00AA7A54" w:rsidRPr="0074345C" w:rsidRDefault="00AA7A54" w:rsidP="00AA7A54"/>
          <w:p w:rsidR="00AA7A54" w:rsidRPr="0074345C" w:rsidRDefault="00AA7A54" w:rsidP="00AA7A54">
            <w:r w:rsidRPr="0074345C">
              <w:t>El SCP examinó las cuestiones mencionadas fundándose en varios estudios preparados por la Secretaría o encargados a expertos académicos, como también en propuestas presentadas por algunos Estados miembros.</w:t>
            </w:r>
          </w:p>
          <w:p w:rsidR="00AA7A54" w:rsidRPr="0074345C" w:rsidRDefault="00AA7A54" w:rsidP="00AA7A54">
            <w:pPr>
              <w:spacing w:after="120" w:line="260" w:lineRule="atLeast"/>
              <w:contextualSpacing/>
              <w:rPr>
                <w:szCs w:val="22"/>
              </w:rPr>
            </w:pPr>
          </w:p>
          <w:p w:rsidR="00AA7A54" w:rsidRPr="0074345C" w:rsidRDefault="00AA7A54" w:rsidP="00AA7A54">
            <w:pPr>
              <w:spacing w:after="120" w:line="260" w:lineRule="atLeast"/>
              <w:contextualSpacing/>
              <w:rPr>
                <w:szCs w:val="22"/>
              </w:rPr>
            </w:pPr>
            <w:r w:rsidRPr="0074345C">
              <w:rPr>
                <w:szCs w:val="22"/>
              </w:rPr>
              <w:t xml:space="preserve">El </w:t>
            </w:r>
            <w:r w:rsidR="006376E7" w:rsidRPr="0074345C">
              <w:rPr>
                <w:szCs w:val="22"/>
              </w:rPr>
              <w:t>SCCR</w:t>
            </w:r>
            <w:r w:rsidRPr="0074345C">
              <w:rPr>
                <w:szCs w:val="22"/>
              </w:rPr>
              <w:t xml:space="preserve"> celebró sus sesiones 26ª y 27ª en diciembre de 2013 y mayo de 2014.  El Comité se dedicó a </w:t>
            </w:r>
            <w:r w:rsidRPr="0074345C">
              <w:t>examinar la cuestión de las limitaciones y excepciones en los ámbitos de la educación, las bibliotecas, los archivos y la protección de los organismos de radiodifusión.  Se presentó un informe sobre la labor del Comité a la Asamblea General de la OMPI.  (Véase el documento WO/GA/46/5).</w:t>
            </w:r>
          </w:p>
          <w:p w:rsidR="00AA7A54" w:rsidRPr="0074345C" w:rsidRDefault="00AA7A54" w:rsidP="00AA7A54">
            <w:pPr>
              <w:spacing w:after="120" w:line="260" w:lineRule="atLeast"/>
              <w:contextualSpacing/>
              <w:rPr>
                <w:szCs w:val="22"/>
              </w:rPr>
            </w:pPr>
          </w:p>
          <w:p w:rsidR="00AA7A54" w:rsidRPr="0074345C" w:rsidRDefault="00AA7A54" w:rsidP="00AA7A54">
            <w:pPr>
              <w:spacing w:after="120" w:line="260" w:lineRule="atLeast"/>
              <w:contextualSpacing/>
              <w:rPr>
                <w:szCs w:val="22"/>
              </w:rPr>
            </w:pPr>
            <w:r w:rsidRPr="0074345C">
              <w:rPr>
                <w:szCs w:val="22"/>
              </w:rPr>
              <w:t xml:space="preserve">En su cuadragésimo tercer período de sesiones (21º ordinario), celebrado en septiembre/octubre de 2013, la Asamblea General de la OMPI acordó renovar el mandato del CIG para el bienio 2014/15.  También se llegó a un acuerdo acerca del programa del trabajo del CIG para 2014.  Con arreglo a su nuevo mandato y al programa de trabajo, el </w:t>
            </w:r>
            <w:r w:rsidRPr="0074345C">
              <w:t xml:space="preserve">CIG se reunió tres veces en 2014, y su labor se centró en la negociación, consolidación e inclusión de los proyectos de texto sobre recursos genéticos, los conocimientos tradicionales y las expresiones culturales tradicionales.  El CIG también examinó cuestiones intersectoriales y evaluó el progreso realizado.  Se presentó un informe (documento WO/GA/46/6 titulado </w:t>
            </w:r>
            <w:r w:rsidR="006376E7" w:rsidRPr="0074345C">
              <w:t>“</w:t>
            </w:r>
            <w:r w:rsidRPr="0074345C">
              <w:rPr>
                <w:bCs/>
              </w:rPr>
              <w:t>Asuntos relativos al Comité Intergubernamental sobre Propiedad Intelectual y Recursos Genéticos, Conocimientos Tradicionales y Folclore (CIG</w:t>
            </w:r>
            <w:r w:rsidRPr="0074345C">
              <w:t>)</w:t>
            </w:r>
            <w:r w:rsidR="006376E7" w:rsidRPr="0074345C">
              <w:t>”</w:t>
            </w:r>
            <w:r w:rsidRPr="0074345C">
              <w:t>) a la Asamblea General de la OMPI en septiembre de 2014.</w:t>
            </w:r>
          </w:p>
          <w:p w:rsidR="00AA7A54" w:rsidRPr="0074345C" w:rsidRDefault="00AA7A54" w:rsidP="00AA7A54"/>
          <w:p w:rsidR="00AA7A54" w:rsidRPr="0074345C" w:rsidRDefault="00AA7A54" w:rsidP="00AA7A54">
            <w:r w:rsidRPr="0074345C">
              <w:t>En sus sesiones 30ª y 31ª, celebradas en noviembre de 2013 y marzo de 2014, el SCT siguió trabajando para lograr un acuerdo internacional sobre la legislación en materia de diseños industriales.  Los Estados miembros presentaron propuestas concretas de artículos para su inclusión en un posible tratado sobre derecho de los diseños industriales, de conformidad con las recomendaciones 1, 2, 9, 10, 11 y 12 de la Agenda para el Desarrollo.</w:t>
            </w:r>
          </w:p>
          <w:p w:rsidR="00AA7A54" w:rsidRPr="0074345C" w:rsidRDefault="00AA7A54" w:rsidP="00AA7A54"/>
          <w:p w:rsidR="00AA7A54" w:rsidRPr="0074345C" w:rsidRDefault="00AA7A54" w:rsidP="00AA7A54">
            <w:r w:rsidRPr="0074345C">
              <w:t xml:space="preserve">Para obtener más información sobre los logros relacionados con esta recomendación, véase:  </w:t>
            </w:r>
          </w:p>
          <w:p w:rsidR="00AA7A54" w:rsidRPr="0074345C" w:rsidRDefault="00AA7A54" w:rsidP="00AA7A54"/>
          <w:p w:rsidR="00AA7A54" w:rsidRPr="0074345C" w:rsidRDefault="00AA7A54" w:rsidP="00AA7A54">
            <w:r w:rsidRPr="0074345C">
              <w:t>a) Informe sobre el rendimiento de los programas en 2012/13 (documento WO/PBC/22/8), en particular en los programas 1, 2, 3 y 4; y</w:t>
            </w:r>
          </w:p>
          <w:p w:rsidR="00AA7A54" w:rsidRPr="0074345C" w:rsidRDefault="00AA7A54" w:rsidP="00AA7A54"/>
          <w:p w:rsidR="00AA7A54" w:rsidRPr="0074345C" w:rsidRDefault="00AA7A54" w:rsidP="00AA7A54">
            <w:r w:rsidRPr="0074345C">
              <w:t>b) el siguiente documento presentado en el cuadragésimo sexto período de sesiones (25º extraordinario) de la Asamblea General de la OMPI (WO/GA/46/7)</w:t>
            </w:r>
            <w:proofErr w:type="gramStart"/>
            <w:r w:rsidRPr="0074345C">
              <w:t>:  Informes</w:t>
            </w:r>
            <w:proofErr w:type="gramEnd"/>
            <w:r w:rsidRPr="0074345C">
              <w:t xml:space="preserve"> sobre los demás comités de la OMPI.</w:t>
            </w:r>
          </w:p>
          <w:p w:rsidR="00AA7A54" w:rsidRPr="0074345C" w:rsidRDefault="00AA7A54" w:rsidP="00AA7A54"/>
        </w:tc>
      </w:tr>
    </w:tbl>
    <w:p w:rsidR="00AA7A54" w:rsidRPr="0074345C" w:rsidRDefault="00AA7A54" w:rsidP="00AA7A54">
      <w:pPr>
        <w:rPr>
          <w:b/>
        </w:rPr>
      </w:pPr>
    </w:p>
    <w:p w:rsidR="00AA7A54" w:rsidRPr="0074345C" w:rsidRDefault="00AA7A54" w:rsidP="00AA7A54">
      <w:pPr>
        <w:rPr>
          <w:bCs/>
        </w:rPr>
      </w:pPr>
      <w:r w:rsidRPr="0074345C">
        <w:br w:type="page"/>
      </w:r>
    </w:p>
    <w:p w:rsidR="00AA7A54" w:rsidRPr="0074345C" w:rsidRDefault="00AA7A54" w:rsidP="00AA7A54">
      <w:pPr>
        <w:rPr>
          <w:bCs/>
        </w:rPr>
      </w:pPr>
      <w:r w:rsidRPr="0074345C">
        <w:rPr>
          <w:bCs/>
          <w:i/>
        </w:rPr>
        <w:lastRenderedPageBreak/>
        <w:t>Recomendación 16</w:t>
      </w:r>
      <w:proofErr w:type="gramStart"/>
      <w:r w:rsidRPr="0074345C">
        <w:rPr>
          <w:bCs/>
          <w:i/>
        </w:rPr>
        <w:t>:</w:t>
      </w:r>
      <w:r w:rsidRPr="0074345C">
        <w:rPr>
          <w:bCs/>
        </w:rPr>
        <w:t xml:space="preserve">  Considerar</w:t>
      </w:r>
      <w:proofErr w:type="gramEnd"/>
      <w:r w:rsidRPr="0074345C">
        <w:rPr>
          <w:bCs/>
        </w:rPr>
        <w:t xml:space="preserve"> la preservación del dominio público en los procesos normativos de la OMPI y profundizar el análisis de las consecuencias y los beneficios de un dominio público abundante y accesible.</w:t>
      </w:r>
    </w:p>
    <w:p w:rsidR="00AA7A54" w:rsidRPr="0074345C" w:rsidRDefault="00AA7A54" w:rsidP="00AA7A54">
      <w:pPr>
        <w:rPr>
          <w:bCs/>
        </w:rPr>
      </w:pPr>
    </w:p>
    <w:p w:rsidR="00AA7A54" w:rsidRPr="0074345C" w:rsidRDefault="00AA7A54" w:rsidP="00AA7A54">
      <w:pPr>
        <w:rPr>
          <w:bCs/>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rPr>
        <w:tc>
          <w:tcPr>
            <w:tcW w:w="6379" w:type="dxa"/>
            <w:shd w:val="clear" w:color="auto" w:fill="auto"/>
            <w:vAlign w:val="center"/>
          </w:tcPr>
          <w:p w:rsidR="00AA7A54" w:rsidRPr="0074345C" w:rsidRDefault="00AA7A54" w:rsidP="00AA7A54">
            <w:pPr>
              <w:rPr>
                <w:u w:val="single"/>
              </w:rPr>
            </w:pPr>
          </w:p>
          <w:p w:rsidR="00AA7A54" w:rsidRPr="0074345C" w:rsidRDefault="00AA7A54" w:rsidP="00AA7A54">
            <w:pPr>
              <w:rPr>
                <w:u w:val="single"/>
              </w:rPr>
            </w:pPr>
            <w:r w:rsidRPr="0074345C">
              <w:rPr>
                <w:u w:val="single"/>
              </w:rPr>
              <w:t>Estrategias de ejecución</w:t>
            </w:r>
          </w:p>
          <w:p w:rsidR="00AA7A54" w:rsidRPr="0074345C" w:rsidRDefault="00AA7A54" w:rsidP="00AA7A54">
            <w:pPr>
              <w:rPr>
                <w:u w:val="single"/>
              </w:rPr>
            </w:pPr>
          </w:p>
        </w:tc>
        <w:tc>
          <w:tcPr>
            <w:tcW w:w="7371" w:type="dxa"/>
            <w:shd w:val="clear" w:color="auto" w:fill="auto"/>
            <w:vAlign w:val="center"/>
          </w:tcPr>
          <w:p w:rsidR="00AA7A54" w:rsidRPr="0074345C" w:rsidRDefault="00AA7A54" w:rsidP="00AA7A54">
            <w:pPr>
              <w:rPr>
                <w:u w:val="single"/>
              </w:rPr>
            </w:pPr>
          </w:p>
          <w:p w:rsidR="00AA7A54" w:rsidRPr="0074345C" w:rsidRDefault="00AA7A54" w:rsidP="00AA7A54">
            <w:pPr>
              <w:rPr>
                <w:u w:val="single"/>
              </w:rPr>
            </w:pPr>
            <w:r w:rsidRPr="0074345C">
              <w:rPr>
                <w:u w:val="single"/>
              </w:rPr>
              <w:t>Logros</w:t>
            </w:r>
          </w:p>
          <w:p w:rsidR="00AA7A54" w:rsidRPr="0074345C" w:rsidRDefault="00AA7A54" w:rsidP="00AA7A54">
            <w:pPr>
              <w:rPr>
                <w:u w:val="single"/>
              </w:rPr>
            </w:pPr>
          </w:p>
        </w:tc>
      </w:tr>
      <w:tr w:rsidR="006376E7" w:rsidRPr="0074345C" w:rsidTr="00AA7A54">
        <w:tblPrEx>
          <w:tblCellMar>
            <w:top w:w="108" w:type="dxa"/>
            <w:bottom w:w="108" w:type="dxa"/>
          </w:tblCellMar>
        </w:tblPrEx>
        <w:tc>
          <w:tcPr>
            <w:tcW w:w="6379" w:type="dxa"/>
            <w:shd w:val="clear" w:color="auto" w:fill="auto"/>
          </w:tcPr>
          <w:p w:rsidR="00AA7A54" w:rsidRPr="0074345C" w:rsidRDefault="00AA7A54" w:rsidP="00AA7A54">
            <w:r w:rsidRPr="0074345C">
              <w:t xml:space="preserve">Esta recomendación formó parte de un proyecto temático sobre la P.I. y el dominio público (documento CDIP/4/3) y de un proyecto sobre las patentes y el dominio público (documento CDIP/7/5/Rev.).  </w:t>
            </w:r>
          </w:p>
          <w:p w:rsidR="00AA7A54" w:rsidRPr="0074345C" w:rsidRDefault="00AA7A54" w:rsidP="00AA7A54"/>
          <w:p w:rsidR="00AA7A54" w:rsidRPr="0074345C" w:rsidRDefault="00AA7A54" w:rsidP="00AA7A54">
            <w:r w:rsidRPr="0074345C">
              <w:t>Además, la recomendación también ha sido aplicada en el campo de los conocimientos tradicionales, en el que se combinaron medidas prácticas y jurídicas para velar por que los conocimientos tradicionales que se encuentran sin lugar a duda en el dominio público no sean objeto de patentes concedidas erróneamente</w:t>
            </w:r>
          </w:p>
          <w:p w:rsidR="00AA7A54" w:rsidRPr="0074345C" w:rsidRDefault="00AA7A54" w:rsidP="00AA7A54"/>
        </w:tc>
        <w:tc>
          <w:tcPr>
            <w:tcW w:w="7371" w:type="dxa"/>
            <w:shd w:val="clear" w:color="auto" w:fill="auto"/>
          </w:tcPr>
          <w:p w:rsidR="00AA7A54" w:rsidRPr="0074345C" w:rsidRDefault="00AA7A54" w:rsidP="00AA7A54">
            <w:pPr>
              <w:rPr>
                <w:rFonts w:eastAsia="Times New Roman"/>
                <w:szCs w:val="22"/>
                <w:lang w:eastAsia="en-US"/>
              </w:rPr>
            </w:pPr>
            <w:r w:rsidRPr="0074345C">
              <w:rPr>
                <w:rFonts w:eastAsia="Times New Roman"/>
                <w:szCs w:val="22"/>
                <w:lang w:eastAsia="en-US"/>
              </w:rPr>
              <w:t xml:space="preserve">El proyecto sobre la P.I. y el dominio público (documento CDIP/4/3 Rev.) se ejecutó con éxito.  Se ha elaborado un informe de evaluación del proyecto, que se sometió a examen del CDIP en su novena sesión (documento CDIP/9/7).  El proyecto se incorporó en los programas regulares pertinentes. </w:t>
            </w:r>
          </w:p>
          <w:p w:rsidR="00AA7A54" w:rsidRPr="0074345C" w:rsidRDefault="00AA7A54" w:rsidP="00AA7A54">
            <w:pPr>
              <w:rPr>
                <w:rFonts w:eastAsia="Times New Roman"/>
                <w:szCs w:val="22"/>
                <w:lang w:eastAsia="en-US"/>
              </w:rPr>
            </w:pPr>
          </w:p>
          <w:p w:rsidR="00AA7A54" w:rsidRPr="0074345C" w:rsidRDefault="00AA7A54" w:rsidP="00AA7A54">
            <w:r w:rsidRPr="0074345C">
              <w:t>El proyecto sobre patentes y dominio público finalizó, y se presentó un informe de evaluación interna (CDIP/13/7) al CDIP en su decimotercera sesión.  En el marco de este proyecto, se presentó un Resumen del estudio sobre las patentes y el dominio público (II) (CDIP/12/INF/2 Rev.) al Comité en su vigésima sesión.</w:t>
            </w:r>
          </w:p>
          <w:p w:rsidR="00AA7A54" w:rsidRPr="0074345C" w:rsidRDefault="00AA7A54" w:rsidP="00AA7A54"/>
          <w:p w:rsidR="00AA7A54" w:rsidRPr="0074345C" w:rsidRDefault="00AA7A54" w:rsidP="00AA7A54">
            <w:r w:rsidRPr="0074345C">
              <w:t>Siguieron tomándose en debida consideración en el proceso de elaboración de normas del CIG los límites, la función y los confines del dominio público, y su relación con la protección de los CC.TT. y las ECT.</w:t>
            </w:r>
          </w:p>
          <w:p w:rsidR="00AA7A54" w:rsidRPr="0074345C" w:rsidRDefault="00AA7A54" w:rsidP="00AA7A54"/>
          <w:p w:rsidR="00AA7A54" w:rsidRPr="0074345C" w:rsidRDefault="00AA7A54" w:rsidP="00AA7A54">
            <w:r w:rsidRPr="0074345C">
              <w:t>Directrices, recursos de información y otros instrumentos de esa índole diseñados para coadyuvar en las actividades prácticas destinadas a reconocer mejor los CC.TT. divulgados y evitar la concesión indebida de patentes.</w:t>
            </w:r>
          </w:p>
          <w:p w:rsidR="00AA7A54" w:rsidRPr="0074345C" w:rsidRDefault="00AA7A54" w:rsidP="00AA7A54"/>
          <w:p w:rsidR="00AA7A54" w:rsidRPr="0074345C" w:rsidRDefault="00AA7A54" w:rsidP="00AA7A54">
            <w:r w:rsidRPr="0074345C">
              <w:t xml:space="preserve">Además de las actividades registradas en la base de datos IP–TAD, puede encontrarse más información sobre los logros relativos a estas recomendaciones en el Informe sobre el rendimiento de los programas 2012/13 (documento WO/PBC/22/8), en particular en los programas 1, 2, 3 y 4. </w:t>
            </w:r>
          </w:p>
          <w:p w:rsidR="00AA7A54" w:rsidRPr="0074345C" w:rsidRDefault="00AA7A54" w:rsidP="00AA7A54"/>
        </w:tc>
      </w:tr>
    </w:tbl>
    <w:p w:rsidR="00AA7A54" w:rsidRPr="0074345C" w:rsidRDefault="00AA7A54" w:rsidP="00AA7A54">
      <w:pPr>
        <w:rPr>
          <w:b/>
        </w:rPr>
      </w:pPr>
    </w:p>
    <w:p w:rsidR="00AA7A54" w:rsidRPr="0074345C" w:rsidRDefault="00AA7A54" w:rsidP="00AA7A54">
      <w:pPr>
        <w:rPr>
          <w:b/>
        </w:rPr>
      </w:pPr>
    </w:p>
    <w:p w:rsidR="00AA7A54" w:rsidRPr="0074345C" w:rsidRDefault="00AA7A54" w:rsidP="00AA7A54">
      <w:pPr>
        <w:rPr>
          <w:b/>
        </w:rPr>
      </w:pPr>
    </w:p>
    <w:p w:rsidR="00AA7A54" w:rsidRPr="0074345C" w:rsidRDefault="00AA7A54" w:rsidP="00AA7A54">
      <w:pPr>
        <w:rPr>
          <w:b/>
        </w:rPr>
      </w:pPr>
    </w:p>
    <w:p w:rsidR="00AA7A54" w:rsidRPr="0074345C" w:rsidRDefault="00AA7A54" w:rsidP="00AA7A54">
      <w:pPr>
        <w:rPr>
          <w:bCs/>
        </w:rPr>
      </w:pPr>
      <w:r w:rsidRPr="0074345C">
        <w:rPr>
          <w:bCs/>
          <w:i/>
        </w:rPr>
        <w:t>Recomendación 18</w:t>
      </w:r>
      <w:proofErr w:type="gramStart"/>
      <w:r w:rsidRPr="0074345C">
        <w:rPr>
          <w:bCs/>
          <w:i/>
        </w:rPr>
        <w:t>:</w:t>
      </w:r>
      <w:r w:rsidRPr="0074345C">
        <w:rPr>
          <w:bCs/>
        </w:rPr>
        <w:t xml:space="preserve">  Instar</w:t>
      </w:r>
      <w:proofErr w:type="gramEnd"/>
      <w:r w:rsidRPr="0074345C">
        <w:rPr>
          <w:bCs/>
        </w:rPr>
        <w:t xml:space="preserve"> al Comité Intergubernamental a agilizar el proceso sobre la protección de recursos genéticos, conocimientos tradicionales y folclore, sin perjuicio de ningún posible resultado, como pueda ser la elaboración de un instrumento o instrumentos de dimensión internacional.</w:t>
      </w:r>
    </w:p>
    <w:p w:rsidR="00AA7A54" w:rsidRPr="0074345C" w:rsidRDefault="00AA7A54" w:rsidP="00AA7A54">
      <w:pPr>
        <w:rPr>
          <w:bCs/>
        </w:rPr>
      </w:pPr>
    </w:p>
    <w:p w:rsidR="00AA7A54" w:rsidRPr="0074345C" w:rsidRDefault="00AA7A54" w:rsidP="00AA7A5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rPr>
        <w:tc>
          <w:tcPr>
            <w:tcW w:w="6379" w:type="dxa"/>
            <w:shd w:val="clear" w:color="auto" w:fill="auto"/>
          </w:tcPr>
          <w:p w:rsidR="00AA7A54" w:rsidRPr="0074345C" w:rsidRDefault="00AA7A54" w:rsidP="00AA7A54">
            <w:pPr>
              <w:keepNext/>
              <w:autoSpaceDE w:val="0"/>
              <w:spacing w:before="240" w:after="60"/>
              <w:outlineLvl w:val="2"/>
              <w:rPr>
                <w:bCs/>
                <w:u w:val="single"/>
              </w:rPr>
            </w:pPr>
            <w:r w:rsidRPr="0074345C">
              <w:rPr>
                <w:bCs/>
                <w:u w:val="single"/>
              </w:rPr>
              <w:t>Estrategias de ejecución</w:t>
            </w:r>
          </w:p>
        </w:tc>
        <w:tc>
          <w:tcPr>
            <w:tcW w:w="7371" w:type="dxa"/>
            <w:shd w:val="clear" w:color="auto" w:fill="auto"/>
            <w:vAlign w:val="center"/>
          </w:tcPr>
          <w:p w:rsidR="00AA7A54" w:rsidRPr="0074345C" w:rsidRDefault="00AA7A54" w:rsidP="00AA7A54">
            <w:pPr>
              <w:keepNext/>
              <w:autoSpaceDE w:val="0"/>
              <w:spacing w:before="240" w:after="60"/>
              <w:outlineLvl w:val="2"/>
              <w:rPr>
                <w:bCs/>
                <w:szCs w:val="26"/>
                <w:u w:val="single"/>
              </w:rPr>
            </w:pPr>
            <w:r w:rsidRPr="0074345C">
              <w:rPr>
                <w:bCs/>
                <w:szCs w:val="26"/>
                <w:u w:val="single"/>
              </w:rPr>
              <w:t>Logros</w:t>
            </w:r>
          </w:p>
          <w:p w:rsidR="00AA7A54" w:rsidRPr="0074345C" w:rsidRDefault="00AA7A54" w:rsidP="00AA7A54"/>
        </w:tc>
      </w:tr>
      <w:tr w:rsidR="006376E7" w:rsidRPr="0074345C" w:rsidTr="00AA7A54">
        <w:tblPrEx>
          <w:tblCellMar>
            <w:top w:w="108" w:type="dxa"/>
            <w:bottom w:w="108" w:type="dxa"/>
          </w:tblCellMar>
        </w:tblPrEx>
        <w:tc>
          <w:tcPr>
            <w:tcW w:w="6379" w:type="dxa"/>
            <w:shd w:val="clear" w:color="auto" w:fill="auto"/>
          </w:tcPr>
          <w:p w:rsidR="00AA7A54" w:rsidRPr="0074345C" w:rsidRDefault="00AA7A54" w:rsidP="00AA7A54">
            <w:r w:rsidRPr="0074345C">
              <w:t>La labor que realiza el CIG obedece a los debates planteados por los Estados miembros, con arreglo al mandato y al programa de trabajo establecidos por la Asamblea General.  Atendiendo a la solicitud de los Estados miembros, la Secretaría pone a disposición importantes recursos y conocimientos destinados a facilitar las negociaciones en el CIG.</w:t>
            </w:r>
          </w:p>
        </w:tc>
        <w:tc>
          <w:tcPr>
            <w:tcW w:w="7371" w:type="dxa"/>
            <w:shd w:val="clear" w:color="auto" w:fill="auto"/>
          </w:tcPr>
          <w:p w:rsidR="00AA7A54" w:rsidRPr="0074345C" w:rsidRDefault="00AA7A54" w:rsidP="00AA7A54">
            <w:pPr>
              <w:rPr>
                <w:bCs/>
                <w:lang w:eastAsia="en-CA"/>
              </w:rPr>
            </w:pPr>
            <w:r w:rsidRPr="0074345C">
              <w:rPr>
                <w:bCs/>
                <w:lang w:eastAsia="en-CA"/>
              </w:rPr>
              <w:t>En 2013, la Asamblea General de la OMPI renovó el mandato del CIG para el bienio 2014/2015, y aprobó el programa de trabajo del CIG para 2014.</w:t>
            </w:r>
          </w:p>
          <w:p w:rsidR="00AA7A54" w:rsidRPr="0074345C" w:rsidRDefault="00AA7A54" w:rsidP="00AA7A54">
            <w:pPr>
              <w:rPr>
                <w:bCs/>
                <w:lang w:eastAsia="en-CA"/>
              </w:rPr>
            </w:pPr>
          </w:p>
          <w:p w:rsidR="00AA7A54" w:rsidRPr="0074345C" w:rsidRDefault="00AA7A54" w:rsidP="00AA7A54">
            <w:pPr>
              <w:autoSpaceDE w:val="0"/>
            </w:pPr>
            <w:r w:rsidRPr="0074345C">
              <w:t xml:space="preserve">El CIG se reunió en tres ocasiones en 2014.  Para obtener más información sobre los logros relativos a este recomendación, sírvanse remitirse a:  </w:t>
            </w:r>
          </w:p>
          <w:p w:rsidR="00AA7A54" w:rsidRPr="0074345C" w:rsidRDefault="00AA7A54" w:rsidP="00AA7A54">
            <w:pPr>
              <w:autoSpaceDE w:val="0"/>
            </w:pPr>
          </w:p>
          <w:p w:rsidR="00AA7A54" w:rsidRPr="0074345C" w:rsidRDefault="00AA7A54" w:rsidP="00AA7A54">
            <w:pPr>
              <w:autoSpaceDE w:val="0"/>
            </w:pPr>
            <w:r w:rsidRPr="0074345C">
              <w:t xml:space="preserve">a)  Informe sobre el rendimiento de los programas en 2012/13 (documento WO/PBC/22/8), en particular el programa 4; y </w:t>
            </w:r>
          </w:p>
          <w:p w:rsidR="00AA7A54" w:rsidRPr="0074345C" w:rsidRDefault="00AA7A54" w:rsidP="00AA7A54">
            <w:pPr>
              <w:autoSpaceDE w:val="0"/>
            </w:pPr>
          </w:p>
          <w:p w:rsidR="00AA7A54" w:rsidRPr="0074345C" w:rsidRDefault="00AA7A54" w:rsidP="00AA7A54">
            <w:pPr>
              <w:autoSpaceDE w:val="0"/>
            </w:pPr>
            <w:r w:rsidRPr="0074345C">
              <w:t>b)  documento: WO/GA/46/6 (</w:t>
            </w:r>
            <w:r w:rsidRPr="0074345C">
              <w:rPr>
                <w:i/>
              </w:rPr>
              <w:t>Asuntos relativos al Comité Intergubernamental sobre Propiedad Intelectual y Recursos Genéticos, Conocimientos Tradicionales y Folclore (CIG)</w:t>
            </w:r>
            <w:r w:rsidRPr="0074345C">
              <w:t>).</w:t>
            </w:r>
          </w:p>
          <w:p w:rsidR="00AA7A54" w:rsidRPr="0074345C" w:rsidRDefault="00AA7A54" w:rsidP="00AA7A54"/>
        </w:tc>
      </w:tr>
    </w:tbl>
    <w:p w:rsidR="00AA7A54" w:rsidRPr="0074345C" w:rsidRDefault="00AA7A54" w:rsidP="00AA7A54">
      <w:pPr>
        <w:rPr>
          <w:b/>
        </w:rPr>
      </w:pPr>
    </w:p>
    <w:p w:rsidR="00AA7A54" w:rsidRPr="0074345C" w:rsidRDefault="00AA7A54" w:rsidP="00AA7A54">
      <w:pPr>
        <w:rPr>
          <w:bCs/>
        </w:rPr>
      </w:pPr>
      <w:r w:rsidRPr="0074345C">
        <w:rPr>
          <w:b/>
        </w:rPr>
        <w:br w:type="page"/>
      </w:r>
      <w:r w:rsidRPr="0074345C">
        <w:rPr>
          <w:i/>
        </w:rPr>
        <w:lastRenderedPageBreak/>
        <w:t xml:space="preserve">Recomendación 19:  </w:t>
      </w:r>
      <w:r w:rsidRPr="0074345C">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AA7A54" w:rsidRPr="0074345C" w:rsidRDefault="00AA7A54" w:rsidP="00AA7A54">
      <w:pPr>
        <w:rPr>
          <w:bCs/>
        </w:rPr>
      </w:pPr>
    </w:p>
    <w:p w:rsidR="00AA7A54" w:rsidRPr="0074345C" w:rsidRDefault="00AA7A54" w:rsidP="00AA7A5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blHeader/>
        </w:trPr>
        <w:tc>
          <w:tcPr>
            <w:tcW w:w="6379" w:type="dxa"/>
            <w:shd w:val="clear" w:color="auto" w:fill="auto"/>
          </w:tcPr>
          <w:p w:rsidR="00AA7A54" w:rsidRPr="0074345C" w:rsidRDefault="00AA7A54" w:rsidP="00AA7A54">
            <w:pPr>
              <w:keepNext/>
              <w:autoSpaceDE w:val="0"/>
              <w:spacing w:before="240" w:after="60"/>
              <w:outlineLvl w:val="2"/>
              <w:rPr>
                <w:bCs/>
                <w:u w:val="single"/>
              </w:rPr>
            </w:pPr>
            <w:r w:rsidRPr="0074345C">
              <w:rPr>
                <w:bCs/>
                <w:u w:val="single"/>
              </w:rPr>
              <w:t>Estrategias de ejecución</w:t>
            </w:r>
          </w:p>
        </w:tc>
        <w:tc>
          <w:tcPr>
            <w:tcW w:w="7371" w:type="dxa"/>
            <w:shd w:val="clear" w:color="auto" w:fill="auto"/>
            <w:vAlign w:val="center"/>
          </w:tcPr>
          <w:p w:rsidR="00AA7A54" w:rsidRPr="0074345C" w:rsidRDefault="00AA7A54" w:rsidP="00AA7A54">
            <w:pPr>
              <w:keepNext/>
              <w:autoSpaceDE w:val="0"/>
              <w:spacing w:before="240" w:after="60"/>
              <w:outlineLvl w:val="2"/>
              <w:rPr>
                <w:bCs/>
                <w:szCs w:val="26"/>
                <w:u w:val="single"/>
              </w:rPr>
            </w:pPr>
            <w:r w:rsidRPr="0074345C">
              <w:rPr>
                <w:bCs/>
                <w:szCs w:val="26"/>
                <w:u w:val="single"/>
              </w:rPr>
              <w:t>Logros</w:t>
            </w:r>
          </w:p>
          <w:p w:rsidR="00AA7A54" w:rsidRPr="0074345C" w:rsidRDefault="00AA7A54" w:rsidP="00AA7A54"/>
        </w:tc>
      </w:tr>
      <w:tr w:rsidR="006376E7" w:rsidRPr="0074345C" w:rsidTr="00AA7A54">
        <w:tblPrEx>
          <w:tblCellMar>
            <w:top w:w="108" w:type="dxa"/>
            <w:bottom w:w="108" w:type="dxa"/>
          </w:tblCellMar>
        </w:tblPrEx>
        <w:tc>
          <w:tcPr>
            <w:tcW w:w="6379" w:type="dxa"/>
            <w:shd w:val="clear" w:color="auto" w:fill="auto"/>
          </w:tcPr>
          <w:p w:rsidR="00AA7A54" w:rsidRPr="0074345C" w:rsidRDefault="00AA7A54" w:rsidP="00AA7A54"/>
          <w:p w:rsidR="00AA7A54" w:rsidRPr="0074345C" w:rsidRDefault="00AA7A54" w:rsidP="00AA7A54">
            <w:r w:rsidRPr="0074345C">
              <w:t>Además de la aplicación de esta recomendación por los programas 1, 3, 14, 15 y 18, como se describe en el Informe sobre el rendimiento de los programas en 2012, la recomendación 19 se aborda en los siguientes proyectos aprobados por el Comité de Desarrollo y Propiedad Intelectual (CDIP).:</w:t>
            </w:r>
          </w:p>
          <w:p w:rsidR="00AA7A54" w:rsidRPr="0074345C" w:rsidRDefault="00AA7A54" w:rsidP="00AA7A54"/>
          <w:p w:rsidR="00AA7A54" w:rsidRPr="0074345C" w:rsidRDefault="00AA7A54" w:rsidP="00AA7A54">
            <w:pPr>
              <w:numPr>
                <w:ilvl w:val="0"/>
                <w:numId w:val="26"/>
              </w:numPr>
              <w:autoSpaceDE w:val="0"/>
              <w:autoSpaceDN w:val="0"/>
              <w:adjustRightInd w:val="0"/>
            </w:pPr>
            <w:r w:rsidRPr="0074345C">
              <w:t xml:space="preserve">El proyecto sobre la propiedad intelectual, las tecnologías de la información y la comunicación (TIC), la brecha digital y el acceso a los conocimientos (documento CDIP/4/5 Rev.); </w:t>
            </w:r>
          </w:p>
          <w:p w:rsidR="00AA7A54" w:rsidRPr="0074345C" w:rsidRDefault="00AA7A54" w:rsidP="00AA7A54">
            <w:pPr>
              <w:autoSpaceDE w:val="0"/>
              <w:autoSpaceDN w:val="0"/>
              <w:adjustRightInd w:val="0"/>
              <w:ind w:left="567"/>
            </w:pPr>
          </w:p>
          <w:p w:rsidR="00AA7A54" w:rsidRPr="0074345C" w:rsidRDefault="00AA7A54" w:rsidP="00AA7A54">
            <w:pPr>
              <w:numPr>
                <w:ilvl w:val="0"/>
                <w:numId w:val="26"/>
              </w:numPr>
              <w:autoSpaceDE w:val="0"/>
              <w:autoSpaceDN w:val="0"/>
              <w:adjustRightInd w:val="0"/>
            </w:pPr>
            <w:r w:rsidRPr="0074345C">
              <w:t>Proyecto sobre creación de instrumentos de acceso a la información sobre patentes (CDIP/4/6);</w:t>
            </w:r>
          </w:p>
          <w:p w:rsidR="00AA7A54" w:rsidRPr="0074345C" w:rsidRDefault="00AA7A54" w:rsidP="00AA7A54">
            <w:pPr>
              <w:autoSpaceDE w:val="0"/>
              <w:autoSpaceDN w:val="0"/>
              <w:adjustRightInd w:val="0"/>
              <w:ind w:left="567"/>
            </w:pPr>
          </w:p>
          <w:p w:rsidR="00AA7A54" w:rsidRPr="0074345C" w:rsidRDefault="00AA7A54" w:rsidP="00AA7A54">
            <w:pPr>
              <w:numPr>
                <w:ilvl w:val="0"/>
                <w:numId w:val="26"/>
              </w:numPr>
              <w:autoSpaceDE w:val="0"/>
              <w:autoSpaceDN w:val="0"/>
              <w:adjustRightInd w:val="0"/>
            </w:pPr>
            <w:r w:rsidRPr="0074345C">
              <w:t>El proyecto sobre fortalecimiento de capacidades en el uso de información técnica y científica relativa a tecnologías apropiadas para solucionar determinados problemas de desarrollo (CDIP/5/6 Rev.).</w:t>
            </w:r>
          </w:p>
          <w:p w:rsidR="00AA7A54" w:rsidRPr="0074345C" w:rsidRDefault="00AA7A54" w:rsidP="00AA7A54">
            <w:pPr>
              <w:pStyle w:val="ListParagraph"/>
              <w:rPr>
                <w:lang w:val="es-ES"/>
              </w:rPr>
            </w:pPr>
          </w:p>
          <w:p w:rsidR="00AA7A54" w:rsidRPr="0074345C" w:rsidRDefault="00AA7A54" w:rsidP="00AA7A54">
            <w:pPr>
              <w:numPr>
                <w:ilvl w:val="0"/>
                <w:numId w:val="26"/>
              </w:numPr>
              <w:autoSpaceDE w:val="0"/>
              <w:autoSpaceDN w:val="0"/>
              <w:adjustRightInd w:val="0"/>
            </w:pPr>
            <w:r w:rsidRPr="0074345C">
              <w:t>Proyecto sobre creación de instrumentos de acceso a la información sobre patentes - Fase II (CDIP/10/13);  y</w:t>
            </w:r>
          </w:p>
          <w:p w:rsidR="00AA7A54" w:rsidRPr="0074345C" w:rsidRDefault="00AA7A54" w:rsidP="00AA7A54">
            <w:pPr>
              <w:autoSpaceDE w:val="0"/>
              <w:autoSpaceDN w:val="0"/>
              <w:adjustRightInd w:val="0"/>
              <w:ind w:left="567"/>
            </w:pPr>
          </w:p>
          <w:p w:rsidR="00AA7A54" w:rsidRPr="0074345C" w:rsidRDefault="00AA7A54" w:rsidP="00AA7A54">
            <w:pPr>
              <w:numPr>
                <w:ilvl w:val="0"/>
                <w:numId w:val="26"/>
              </w:numPr>
              <w:autoSpaceDE w:val="0"/>
              <w:autoSpaceDN w:val="0"/>
              <w:adjustRightInd w:val="0"/>
            </w:pPr>
            <w:r w:rsidRPr="0074345C">
              <w:rPr>
                <w:bCs/>
                <w:lang w:eastAsia="en-CA"/>
              </w:rPr>
              <w:t xml:space="preserve">Intensificación de la cooperación Sur-Sur en materia de P.I. y desarrollo entre los países en desarrollo y los PMA </w:t>
            </w:r>
            <w:r w:rsidRPr="0074345C">
              <w:t>(CDIP/7/6).</w:t>
            </w:r>
          </w:p>
          <w:p w:rsidR="00AA7A54" w:rsidRPr="0074345C" w:rsidRDefault="00AA7A54" w:rsidP="00AA7A54">
            <w:pPr>
              <w:ind w:left="720"/>
            </w:pPr>
          </w:p>
          <w:p w:rsidR="00AA7A54" w:rsidRPr="0074345C" w:rsidRDefault="00AA7A54" w:rsidP="00AA7A54">
            <w:pPr>
              <w:ind w:left="720"/>
            </w:pPr>
          </w:p>
          <w:p w:rsidR="00AA7A54" w:rsidRPr="0074345C" w:rsidRDefault="00AA7A54" w:rsidP="00AA7A54">
            <w:pPr>
              <w:ind w:left="720"/>
            </w:pPr>
          </w:p>
          <w:p w:rsidR="00AA7A54" w:rsidRPr="0074345C" w:rsidRDefault="00AA7A54" w:rsidP="00AA7A54">
            <w:pPr>
              <w:autoSpaceDE w:val="0"/>
              <w:autoSpaceDN w:val="0"/>
              <w:adjustRightInd w:val="0"/>
            </w:pPr>
            <w:r w:rsidRPr="0074345C">
              <w:t xml:space="preserve">Esta recomendación también es abordada por: </w:t>
            </w:r>
          </w:p>
          <w:p w:rsidR="00AA7A54" w:rsidRPr="0074345C" w:rsidRDefault="00AA7A54" w:rsidP="00AA7A54">
            <w:pPr>
              <w:autoSpaceDE w:val="0"/>
              <w:autoSpaceDN w:val="0"/>
              <w:adjustRightInd w:val="0"/>
              <w:ind w:left="567"/>
            </w:pPr>
          </w:p>
          <w:p w:rsidR="00AA7A54" w:rsidRPr="0074345C" w:rsidRDefault="00AA7A54" w:rsidP="00AA7A54">
            <w:pPr>
              <w:pStyle w:val="ListParagraph"/>
              <w:numPr>
                <w:ilvl w:val="0"/>
                <w:numId w:val="29"/>
              </w:numPr>
              <w:autoSpaceDE w:val="0"/>
              <w:autoSpaceDN w:val="0"/>
              <w:adjustRightInd w:val="0"/>
              <w:ind w:left="612" w:firstLine="0"/>
              <w:contextualSpacing w:val="0"/>
              <w:rPr>
                <w:lang w:val="es-ES"/>
              </w:rPr>
            </w:pPr>
            <w:r w:rsidRPr="0074345C">
              <w:rPr>
                <w:lang w:val="es-ES"/>
              </w:rPr>
              <w:t>El proyecto sobre propiedad intelectual y transferencia de tecnología:  desafíos comunes y búsqueda de soluciones (documento CDIP/6/4 Rev.), que está en ejecución desde enero de 2011; y</w:t>
            </w:r>
          </w:p>
          <w:p w:rsidR="00AA7A54" w:rsidRPr="0074345C" w:rsidRDefault="00AA7A54" w:rsidP="00AA7A54">
            <w:pPr>
              <w:pStyle w:val="ListParagraph"/>
              <w:autoSpaceDE w:val="0"/>
              <w:autoSpaceDN w:val="0"/>
              <w:adjustRightInd w:val="0"/>
              <w:ind w:left="612"/>
              <w:rPr>
                <w:lang w:val="es-ES"/>
              </w:rPr>
            </w:pPr>
          </w:p>
          <w:p w:rsidR="00AA7A54" w:rsidRPr="0074345C" w:rsidRDefault="00AA7A54" w:rsidP="00AA7A54">
            <w:pPr>
              <w:pStyle w:val="ListParagraph"/>
              <w:numPr>
                <w:ilvl w:val="0"/>
                <w:numId w:val="29"/>
              </w:numPr>
              <w:autoSpaceDE w:val="0"/>
              <w:autoSpaceDN w:val="0"/>
              <w:adjustRightInd w:val="0"/>
              <w:ind w:left="612" w:firstLine="0"/>
              <w:contextualSpacing w:val="0"/>
              <w:rPr>
                <w:lang w:val="es-ES"/>
              </w:rPr>
            </w:pPr>
            <w:r w:rsidRPr="0074345C">
              <w:rPr>
                <w:lang w:val="es-ES"/>
              </w:rPr>
              <w:t>El proyecto sobre fortalecimiento de capacidades en el uso de información técnica y científica relativa a tecnologías apropiadas para solucionar determinados problemas de desarrollo – fase II (CDIP/13/9), que está en ejecución desde junio de 2014.</w:t>
            </w:r>
          </w:p>
          <w:p w:rsidR="00AA7A54" w:rsidRPr="0074345C" w:rsidRDefault="00AA7A54" w:rsidP="00AA7A54">
            <w:pPr>
              <w:autoSpaceDE w:val="0"/>
              <w:autoSpaceDN w:val="0"/>
              <w:adjustRightInd w:val="0"/>
              <w:ind w:left="567"/>
            </w:pPr>
          </w:p>
          <w:p w:rsidR="00AA7A54" w:rsidRPr="0074345C" w:rsidRDefault="00AA7A54" w:rsidP="00AA7A54">
            <w:pPr>
              <w:pStyle w:val="ListParagraph"/>
              <w:rPr>
                <w:lang w:val="es-ES"/>
              </w:rPr>
            </w:pPr>
          </w:p>
          <w:p w:rsidR="00AA7A54" w:rsidRPr="0074345C" w:rsidRDefault="00AA7A54" w:rsidP="00AA7A54">
            <w:pPr>
              <w:pStyle w:val="ListParagraph"/>
              <w:rPr>
                <w:lang w:val="es-ES"/>
              </w:rPr>
            </w:pPr>
          </w:p>
          <w:p w:rsidR="00AA7A54" w:rsidRPr="0074345C" w:rsidRDefault="00AA7A54" w:rsidP="00AA7A54">
            <w:pPr>
              <w:autoSpaceDE w:val="0"/>
              <w:autoSpaceDN w:val="0"/>
              <w:adjustRightInd w:val="0"/>
              <w:ind w:left="567"/>
            </w:pPr>
          </w:p>
        </w:tc>
        <w:tc>
          <w:tcPr>
            <w:tcW w:w="7371" w:type="dxa"/>
            <w:shd w:val="clear" w:color="auto" w:fill="auto"/>
          </w:tcPr>
          <w:p w:rsidR="00AA7A54" w:rsidRPr="0074345C" w:rsidRDefault="00AA7A54" w:rsidP="00AA7A54"/>
          <w:p w:rsidR="00AA7A54" w:rsidRPr="0074345C" w:rsidRDefault="00AA7A54" w:rsidP="00AA7A54">
            <w:r w:rsidRPr="0074345C">
              <w:t xml:space="preserve">Además de las actividades registradas en la base de datos IP–TAD, puede encontrarse más información sobre los logros relativos a esta recomendación en el Informe sobre el rendimiento de los programas 2012/13 (documento WO/PBC/22/8), en particular en los programas 1, 3, 9, 14 y 15. </w:t>
            </w:r>
          </w:p>
          <w:p w:rsidR="00AA7A54" w:rsidRPr="0074345C" w:rsidRDefault="00AA7A54" w:rsidP="00AA7A54"/>
          <w:p w:rsidR="00AA7A54" w:rsidRPr="0074345C" w:rsidRDefault="00AA7A54" w:rsidP="00AA7A54">
            <w:r w:rsidRPr="0074345C">
              <w:t>Para obtener más información, véanse el Informe de evaluación sobre el proyecto relativo a la propiedad intelectual, las tecnologías de la información y la comunicación (TIC), la brecha digital y el acceso a los conocimientos – Resumen (CDIP/10/5), el Resumen del informe de evaluación del proyecto de creación de instrumentos de acceso a la información sobre patentes (CDIP/10/6), el Informe de evaluación del proyecto sobre Fortalecimiento de capacidades en el uso de información técnica y científica relativa a tecnologías apropiadas para solucionar determinados problemas de desarrollo (recomendaciones 19, 30 y 31) (CDIP/12/3), el Resumen del Informe de evaluación del proyecto relativo a la intensificación de la cooperación Sur-Sur en materia de P.I. y desarrollo entre los países en desarrollo y los PMA</w:t>
            </w:r>
            <w:r w:rsidRPr="0074345C">
              <w:rPr>
                <w:bCs/>
                <w:lang w:eastAsia="en-CA"/>
              </w:rPr>
              <w:t xml:space="preserve"> </w:t>
            </w:r>
            <w:r w:rsidRPr="0074345C">
              <w:t>(CDIP/13/4) y el Proyecto sobre creación de instrumentos de acceso a la información sobre patentes – Fase II (que se ha de presentar en la presente sesión del Comité).</w:t>
            </w:r>
          </w:p>
          <w:p w:rsidR="00AA7A54" w:rsidRPr="0074345C" w:rsidRDefault="00AA7A54" w:rsidP="00AA7A54"/>
          <w:p w:rsidR="00AA7A54" w:rsidRPr="0074345C" w:rsidRDefault="00AA7A54" w:rsidP="00AA7A54">
            <w:r w:rsidRPr="0074345C">
              <w:t xml:space="preserve">Véanse además los informes de situación sobre los dos proyectos restantes que figuran respectivamente en los Anexos II y VII del presente documento. </w:t>
            </w:r>
          </w:p>
          <w:p w:rsidR="00AA7A54" w:rsidRPr="0074345C" w:rsidRDefault="00AA7A54" w:rsidP="00AA7A54">
            <w:pPr>
              <w:rPr>
                <w:b/>
              </w:rPr>
            </w:pPr>
          </w:p>
        </w:tc>
      </w:tr>
    </w:tbl>
    <w:p w:rsidR="00AA7A54" w:rsidRPr="0074345C" w:rsidRDefault="00AA7A54" w:rsidP="00AA7A54">
      <w:pPr>
        <w:rPr>
          <w:b/>
        </w:rPr>
      </w:pPr>
    </w:p>
    <w:p w:rsidR="00AA7A54" w:rsidRPr="0074345C" w:rsidRDefault="00AA7A54" w:rsidP="00AA7A54">
      <w:pPr>
        <w:rPr>
          <w:bCs/>
        </w:rPr>
      </w:pPr>
      <w:r w:rsidRPr="0074345C">
        <w:rPr>
          <w:b/>
        </w:rPr>
        <w:br w:type="page"/>
      </w:r>
      <w:r w:rsidRPr="0074345C">
        <w:rPr>
          <w:i/>
        </w:rPr>
        <w:lastRenderedPageBreak/>
        <w:t>Recomendación 35</w:t>
      </w:r>
      <w:proofErr w:type="gramStart"/>
      <w:r w:rsidRPr="0074345C">
        <w:rPr>
          <w:i/>
        </w:rPr>
        <w:t>:</w:t>
      </w:r>
      <w:r w:rsidRPr="0074345C">
        <w:t xml:space="preserve">  Solicitar</w:t>
      </w:r>
      <w:proofErr w:type="gramEnd"/>
      <w:r w:rsidRPr="0074345C">
        <w:t xml:space="preserve"> a la OMPI que emprenda, a petición de los Estados miembros, nuevos estudios destinados a evaluar las consecuencias económicas, sociales y culturales de la utilización de sistemas de P.I. en dichos Estados.</w:t>
      </w:r>
    </w:p>
    <w:p w:rsidR="00AA7A54" w:rsidRPr="0074345C" w:rsidRDefault="00AA7A54" w:rsidP="00AA7A54">
      <w:pPr>
        <w:rPr>
          <w:bCs/>
        </w:rPr>
      </w:pPr>
    </w:p>
    <w:p w:rsidR="00AA7A54" w:rsidRPr="0074345C" w:rsidRDefault="00AA7A54" w:rsidP="00AA7A54">
      <w:pPr>
        <w:rPr>
          <w:bCs/>
        </w:rPr>
      </w:pPr>
      <w:r w:rsidRPr="0074345C">
        <w:rPr>
          <w:bCs/>
          <w:i/>
        </w:rPr>
        <w:t>Recomendación 37</w:t>
      </w:r>
      <w:proofErr w:type="gramStart"/>
      <w:r w:rsidRPr="0074345C">
        <w:rPr>
          <w:bCs/>
          <w:i/>
        </w:rPr>
        <w:t>:</w:t>
      </w:r>
      <w:r w:rsidRPr="0074345C">
        <w:rPr>
          <w:bCs/>
        </w:rPr>
        <w:t xml:space="preserve">  La</w:t>
      </w:r>
      <w:proofErr w:type="gramEnd"/>
      <w:r w:rsidRPr="0074345C">
        <w:rPr>
          <w:bCs/>
        </w:rPr>
        <w:t xml:space="preserve"> OMPI podrá efectuar estudios, a petición de los interesados y conforme a lo dispuesto por los Estados miembros, sobre la protección de la propiedad intelectual, a fin de determinar las posibles relaciones y la mutua incidencia entre la P.I. y el desarrollo.</w:t>
      </w:r>
    </w:p>
    <w:p w:rsidR="00AA7A54" w:rsidRPr="0074345C" w:rsidRDefault="00AA7A54" w:rsidP="00AA7A54">
      <w:pPr>
        <w:rPr>
          <w:bCs/>
        </w:rPr>
      </w:pPr>
    </w:p>
    <w:p w:rsidR="00AA7A54" w:rsidRPr="0074345C" w:rsidRDefault="00AA7A54" w:rsidP="00AA7A54">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rPr>
        <w:tc>
          <w:tcPr>
            <w:tcW w:w="6379" w:type="dxa"/>
            <w:shd w:val="clear" w:color="auto" w:fill="auto"/>
            <w:vAlign w:val="center"/>
          </w:tcPr>
          <w:p w:rsidR="00AA7A54" w:rsidRPr="0074345C" w:rsidRDefault="00AA7A54" w:rsidP="00AA7A54">
            <w:pPr>
              <w:pStyle w:val="Heading3"/>
            </w:pPr>
            <w:r w:rsidRPr="0074345C">
              <w:t>Estrategias de ejecución</w:t>
            </w:r>
          </w:p>
          <w:p w:rsidR="00AA7A54" w:rsidRPr="0074345C" w:rsidRDefault="00AA7A54" w:rsidP="00AA7A54"/>
        </w:tc>
        <w:tc>
          <w:tcPr>
            <w:tcW w:w="7371" w:type="dxa"/>
            <w:shd w:val="clear" w:color="auto" w:fill="auto"/>
            <w:vAlign w:val="center"/>
          </w:tcPr>
          <w:p w:rsidR="00AA7A54" w:rsidRPr="0074345C" w:rsidRDefault="00AA7A54" w:rsidP="00AA7A54">
            <w:pPr>
              <w:pStyle w:val="Heading3"/>
            </w:pPr>
            <w:r w:rsidRPr="0074345C">
              <w:t>Logros</w:t>
            </w:r>
          </w:p>
          <w:p w:rsidR="00AA7A54" w:rsidRPr="0074345C" w:rsidRDefault="00AA7A54" w:rsidP="00AA7A54"/>
        </w:tc>
      </w:tr>
      <w:tr w:rsidR="006376E7" w:rsidRPr="0074345C" w:rsidTr="00AA7A54">
        <w:tblPrEx>
          <w:tblCellMar>
            <w:top w:w="108" w:type="dxa"/>
            <w:bottom w:w="108" w:type="dxa"/>
          </w:tblCellMar>
        </w:tblPrEx>
        <w:trPr>
          <w:trHeight w:val="990"/>
        </w:trPr>
        <w:tc>
          <w:tcPr>
            <w:tcW w:w="6379" w:type="dxa"/>
            <w:shd w:val="clear" w:color="auto" w:fill="auto"/>
          </w:tcPr>
          <w:p w:rsidR="00AA7A54" w:rsidRPr="0074345C" w:rsidRDefault="00AA7A54" w:rsidP="00AA7A54">
            <w:r w:rsidRPr="0074345C">
              <w:t>Fortalecer la capacidad de los economistas, sobre todo los de los países en desarrollo y los países con economías en transición, para emprender estudios empíricos sobre los aspectos económicos de la propiedad intelectual</w:t>
            </w:r>
          </w:p>
          <w:p w:rsidR="00AA7A54" w:rsidRPr="0074345C" w:rsidRDefault="00AA7A54" w:rsidP="00AA7A54"/>
        </w:tc>
        <w:tc>
          <w:tcPr>
            <w:tcW w:w="7371" w:type="dxa"/>
            <w:shd w:val="clear" w:color="auto" w:fill="auto"/>
          </w:tcPr>
          <w:p w:rsidR="00AA7A54" w:rsidRPr="0074345C" w:rsidRDefault="00AA7A54" w:rsidP="00AA7A54">
            <w:r w:rsidRPr="0074345C">
              <w:t>Publicación de un enfoque analítico centrado en la economía</w:t>
            </w:r>
            <w:proofErr w:type="gramStart"/>
            <w:r w:rsidRPr="0074345C">
              <w:t>:  el</w:t>
            </w:r>
            <w:proofErr w:type="gramEnd"/>
            <w:r w:rsidRPr="0074345C">
              <w:t xml:space="preserve"> Informe mundial sobre la propiedad intelectual:  Las marcas:  Reputación e imagen en el mercado mundial.</w:t>
            </w:r>
          </w:p>
          <w:p w:rsidR="00AA7A54" w:rsidRPr="0074345C" w:rsidRDefault="00AA7A54" w:rsidP="00AA7A54"/>
          <w:p w:rsidR="00AA7A54" w:rsidRPr="0074345C" w:rsidRDefault="00AA7A54" w:rsidP="00AA7A54">
            <w:r w:rsidRPr="0074345C">
              <w:t>Publicación de 7 documentos de trabajo económicos sobre diferentes aspectos de la P.I. y el rendimiento económico.</w:t>
            </w:r>
          </w:p>
          <w:p w:rsidR="00AA7A54" w:rsidRPr="0074345C" w:rsidRDefault="00AA7A54" w:rsidP="00AA7A54"/>
        </w:tc>
      </w:tr>
      <w:tr w:rsidR="006376E7" w:rsidRPr="0074345C" w:rsidTr="00AA7A54">
        <w:tblPrEx>
          <w:tblCellMar>
            <w:top w:w="108" w:type="dxa"/>
            <w:bottom w:w="108" w:type="dxa"/>
          </w:tblCellMar>
        </w:tblPrEx>
        <w:tc>
          <w:tcPr>
            <w:tcW w:w="6379" w:type="dxa"/>
            <w:shd w:val="clear" w:color="auto" w:fill="auto"/>
          </w:tcPr>
          <w:p w:rsidR="00AA7A54" w:rsidRPr="0074345C" w:rsidRDefault="00AA7A54" w:rsidP="00AA7A54">
            <w:r w:rsidRPr="0074345C">
              <w:t>Redacción de documentos de referencia para ofrecer un panorama general de los estudios económicos empíricos en materia de derechos de propiedad intelectual, señalar las lagunas en materia de investigación, y proponer nuevos campos de investigación</w:t>
            </w:r>
          </w:p>
          <w:p w:rsidR="00AA7A54" w:rsidRPr="0074345C" w:rsidRDefault="00AA7A54" w:rsidP="00AA7A54"/>
        </w:tc>
        <w:tc>
          <w:tcPr>
            <w:tcW w:w="7371" w:type="dxa"/>
            <w:shd w:val="clear" w:color="auto" w:fill="auto"/>
          </w:tcPr>
          <w:p w:rsidR="00AA7A54" w:rsidRPr="0074345C" w:rsidRDefault="00AA7A54" w:rsidP="00AA7A54">
            <w:r w:rsidRPr="0074345C">
              <w:t>Publicación de una nueva base de datos de literatura económica en el sitio web de la OMPI, que proporciona una visión general de la literatura académica principal que ha influido en el pensamiento en el ámbito de los aspectos económicos de la P.I.  Esta base de datos es un punto de partida práctico para investigadores, responsables de la formulación de políticas y cualquier persona interesada en los aspectos económicos de la P.I.</w:t>
            </w:r>
          </w:p>
        </w:tc>
      </w:tr>
      <w:tr w:rsidR="006376E7" w:rsidRPr="0074345C" w:rsidTr="00AA7A54">
        <w:tblPrEx>
          <w:tblCellMar>
            <w:top w:w="108" w:type="dxa"/>
            <w:bottom w:w="108" w:type="dxa"/>
          </w:tblCellMar>
        </w:tblPrEx>
        <w:tc>
          <w:tcPr>
            <w:tcW w:w="6379" w:type="dxa"/>
            <w:shd w:val="clear" w:color="auto" w:fill="auto"/>
          </w:tcPr>
          <w:p w:rsidR="00AA7A54" w:rsidRPr="0074345C" w:rsidRDefault="00AA7A54" w:rsidP="00AA7A54">
            <w:r w:rsidRPr="0074345C">
              <w:t>Estas recomendaciones fueron abordadas directamente por el proyecto titulado "Proyecto sobre propiedad intelectual y desarrollo socioeconómico” (Proyecto DA_35_37_01, que se expone en el documento CDIP/5/7 Rev.).</w:t>
            </w:r>
          </w:p>
        </w:tc>
        <w:tc>
          <w:tcPr>
            <w:tcW w:w="7371" w:type="dxa"/>
            <w:shd w:val="clear" w:color="auto" w:fill="auto"/>
          </w:tcPr>
          <w:p w:rsidR="00AA7A54" w:rsidRPr="0074345C" w:rsidRDefault="00AA7A54" w:rsidP="00AA7A54">
            <w:r w:rsidRPr="0074345C">
              <w:t>Proyecto terminado.  Un informe de evaluación del proyecto ha sido presentado a la sesión en curso del CDIP.</w:t>
            </w:r>
          </w:p>
          <w:p w:rsidR="00AA7A54" w:rsidRPr="0074345C" w:rsidRDefault="00AA7A54" w:rsidP="00AA7A54"/>
          <w:p w:rsidR="00AA7A54" w:rsidRPr="0074345C" w:rsidRDefault="00AA7A54" w:rsidP="00AA7A54">
            <w:r w:rsidRPr="0074345C">
              <w:t xml:space="preserve">Además de las actividades registradas en la base de datos IP–TAD, puede encontrarse más información sobre los logros relativos a estas recomendaciones en el Informe sobre el rendimiento de los programas 2012/13 (documento WO/PBC/22/8), en particular en el programa 16. </w:t>
            </w:r>
          </w:p>
        </w:tc>
      </w:tr>
    </w:tbl>
    <w:p w:rsidR="00AA7A54" w:rsidRPr="0074345C" w:rsidRDefault="00AA7A54" w:rsidP="00AA7A54">
      <w:pPr>
        <w:rPr>
          <w:bCs/>
        </w:rPr>
      </w:pPr>
      <w:r w:rsidRPr="0074345C">
        <w:rPr>
          <w:b/>
        </w:rPr>
        <w:br w:type="page"/>
      </w:r>
      <w:r w:rsidRPr="0074345C">
        <w:rPr>
          <w:i/>
        </w:rPr>
        <w:lastRenderedPageBreak/>
        <w:t>Recomendación 42</w:t>
      </w:r>
      <w:proofErr w:type="gramStart"/>
      <w:r w:rsidRPr="0074345C">
        <w:rPr>
          <w:i/>
        </w:rPr>
        <w:t>:</w:t>
      </w:r>
      <w:r w:rsidRPr="0074345C">
        <w:t xml:space="preserve">  Incrementar</w:t>
      </w:r>
      <w:proofErr w:type="gramEnd"/>
      <w:r w:rsidRPr="0074345C">
        <w:t xml:space="preserve"> las medidas destinadas a garantizar una amplia participación de la sociedad civil en general en las actividades de la OMPI, de conformidad con sus criterios relativos a la admisión y acreditación de ONG, manteniendo el examen de esta cuestión.</w:t>
      </w:r>
    </w:p>
    <w:p w:rsidR="00AA7A54" w:rsidRPr="0074345C" w:rsidRDefault="00AA7A54" w:rsidP="00AA7A54">
      <w:pPr>
        <w:rPr>
          <w:b/>
        </w:rPr>
      </w:pPr>
    </w:p>
    <w:p w:rsidR="00AA7A54" w:rsidRPr="0074345C" w:rsidRDefault="00AA7A54" w:rsidP="00AA7A54">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6376E7" w:rsidRPr="0074345C" w:rsidTr="00AA7A54">
        <w:trPr>
          <w:trHeight w:val="392"/>
        </w:trPr>
        <w:tc>
          <w:tcPr>
            <w:tcW w:w="6379" w:type="dxa"/>
            <w:shd w:val="clear" w:color="auto" w:fill="auto"/>
            <w:vAlign w:val="center"/>
          </w:tcPr>
          <w:p w:rsidR="00AA7A54" w:rsidRPr="0074345C" w:rsidRDefault="00AA7A54" w:rsidP="00AA7A54">
            <w:pPr>
              <w:pStyle w:val="Heading3"/>
            </w:pPr>
            <w:r w:rsidRPr="0074345C">
              <w:t>Estrategias de ejecución</w:t>
            </w:r>
          </w:p>
          <w:p w:rsidR="00AA7A54" w:rsidRPr="0074345C" w:rsidRDefault="00AA7A54" w:rsidP="00AA7A54"/>
        </w:tc>
        <w:tc>
          <w:tcPr>
            <w:tcW w:w="7371" w:type="dxa"/>
            <w:shd w:val="clear" w:color="auto" w:fill="auto"/>
            <w:vAlign w:val="center"/>
          </w:tcPr>
          <w:p w:rsidR="00AA7A54" w:rsidRPr="0074345C" w:rsidRDefault="00AA7A54" w:rsidP="00AA7A54">
            <w:pPr>
              <w:pStyle w:val="Heading3"/>
            </w:pPr>
            <w:r w:rsidRPr="0074345C">
              <w:t>Logros</w:t>
            </w:r>
          </w:p>
          <w:p w:rsidR="00AA7A54" w:rsidRPr="0074345C" w:rsidRDefault="00AA7A54" w:rsidP="00AA7A54"/>
        </w:tc>
      </w:tr>
      <w:tr w:rsidR="006376E7" w:rsidRPr="0074345C" w:rsidTr="00AA7A54">
        <w:tblPrEx>
          <w:tblCellMar>
            <w:top w:w="108" w:type="dxa"/>
            <w:bottom w:w="108" w:type="dxa"/>
          </w:tblCellMar>
        </w:tblPrEx>
        <w:tc>
          <w:tcPr>
            <w:tcW w:w="6379" w:type="dxa"/>
            <w:shd w:val="clear" w:color="auto" w:fill="auto"/>
          </w:tcPr>
          <w:p w:rsidR="00AA7A54" w:rsidRPr="0074345C" w:rsidRDefault="00AA7A54" w:rsidP="00AA7A54">
            <w:r w:rsidRPr="0074345C">
              <w:t>Los actuales procedimientos y requisitos vigentes para la concesión de la condición de observador ante la OMPI, a las entidades no gubernamentales e intergubernamentales interesadas, siguen siendo conformes con esta recomendación.  El trámite de examen previo a la concesión de la condición de observador a una organización sirve a dos propósitos</w:t>
            </w:r>
            <w:proofErr w:type="gramStart"/>
            <w:r w:rsidRPr="0074345C">
              <w:t>:  velar</w:t>
            </w:r>
            <w:proofErr w:type="gramEnd"/>
            <w:r w:rsidRPr="0074345C">
              <w:t xml:space="preserve"> por la seriedad y solvencia del solicitante y determinar la importancia de sus actividades en lo que se refiere al campo de la P.I.;  en consecuencia, se entiende que es preciso seguir en esta misma dirección.  Por otra parte, en el caso de las solicitudes presentadas por ONG nacionales, la costumbre de mantener consultas con el Estado en cuestión ha resultado importante y útil para lograr que participen organizaciones que sean afines a las actividades de la OMPI y a las recomendaciones de la Agenda para el Desarrollo.  Más allá de estos procedimientos de acreditación, la OMPI sigue identificando y favoreciendo iniciativas que faciliten la participación activa de los observadores, y la sociedad civil en general, en sus actividades.</w:t>
            </w:r>
          </w:p>
          <w:p w:rsidR="00AA7A54" w:rsidRPr="0074345C" w:rsidRDefault="00AA7A54" w:rsidP="00AA7A54"/>
        </w:tc>
        <w:tc>
          <w:tcPr>
            <w:tcW w:w="7371" w:type="dxa"/>
            <w:shd w:val="clear" w:color="auto" w:fill="auto"/>
          </w:tcPr>
          <w:p w:rsidR="00AA7A54" w:rsidRPr="0074345C" w:rsidRDefault="00AA7A54" w:rsidP="00AA7A54">
            <w:r w:rsidRPr="0074345C">
              <w:t>Se ha puesto en práctica la recomendación en lo que se refiere a la participación en las Asambleas de la OMPI y en los órganos subsidiarios correspondientes, así como en diferentes reuniones organizadas por la OMPI, como los siguientes Comités</w:t>
            </w:r>
            <w:proofErr w:type="gramStart"/>
            <w:r w:rsidRPr="0074345C">
              <w:t>:  SCP</w:t>
            </w:r>
            <w:proofErr w:type="gramEnd"/>
            <w:r w:rsidRPr="0074345C">
              <w:t>, SCCR, SCT, CIG y CDIP.</w:t>
            </w:r>
          </w:p>
          <w:p w:rsidR="00AA7A54" w:rsidRPr="0074345C" w:rsidRDefault="00AA7A54" w:rsidP="00AA7A54"/>
          <w:p w:rsidR="00AA7A54" w:rsidRPr="0074345C" w:rsidRDefault="00AA7A54" w:rsidP="00AA7A54">
            <w:r w:rsidRPr="0074345C">
              <w:t>La OMPI también ha mejorado las medidas para garantizar una mayor participación de la sociedad civil en sus actividades y mantiene una estrecha cooperación y colaboración con sectores interesados no gubernamentales mediante eventos paralelos, sesiones informativas, talleres y otro tipo de foros que facilitan intercambios valiosos con participantes no gubernamentales.</w:t>
            </w:r>
          </w:p>
          <w:p w:rsidR="00AA7A54" w:rsidRPr="0074345C" w:rsidRDefault="00AA7A54" w:rsidP="00AA7A54"/>
          <w:p w:rsidR="00AA7A54" w:rsidRPr="0074345C" w:rsidRDefault="00AA7A54" w:rsidP="00AA7A54">
            <w:r w:rsidRPr="0074345C">
              <w:t>El Director General organizó la segunda reunión anual abierta con todas las ONG acreditadas en febrero de 2013.</w:t>
            </w:r>
          </w:p>
          <w:p w:rsidR="00AA7A54" w:rsidRPr="0074345C" w:rsidRDefault="00AA7A54" w:rsidP="00AA7A54"/>
          <w:p w:rsidR="00AA7A54" w:rsidRPr="0074345C" w:rsidRDefault="00AA7A54" w:rsidP="00AA7A54">
            <w:r w:rsidRPr="0074345C">
              <w:t>El Foro de la OMPI de 2013, organizado en el contexto de la quincuagésima quinta serie de reuniones de las Asambleas de los Estados miembros de la OMPI, ofreció otra plataforma de diálogo con innovadores sobresalientes y visionarios sobre el potencial que encierran sus respectivas ideas para mejorar la calidad de nuestras vidas.</w:t>
            </w:r>
          </w:p>
          <w:p w:rsidR="00AA7A54" w:rsidRPr="0074345C" w:rsidRDefault="00AA7A54" w:rsidP="00AA7A54"/>
          <w:p w:rsidR="00AA7A54" w:rsidRPr="0074345C" w:rsidRDefault="00AA7A54" w:rsidP="00AA7A54">
            <w:r w:rsidRPr="0074345C">
              <w:t>Durante 2013, seis organizaciones no gubernamentales (ONG) internacionales y seis ONG nacionales obtuvieron la condición de observador en la OMPI.</w:t>
            </w:r>
          </w:p>
        </w:tc>
      </w:tr>
    </w:tbl>
    <w:p w:rsidR="00AA7A54" w:rsidRPr="0074345C" w:rsidRDefault="00AA7A54" w:rsidP="00AA7A54">
      <w:pPr>
        <w:rPr>
          <w:bCs/>
        </w:rPr>
      </w:pPr>
    </w:p>
    <w:p w:rsidR="00AA7A54" w:rsidRPr="0074345C" w:rsidRDefault="00AA7A54" w:rsidP="00AA7A54"/>
    <w:p w:rsidR="00AA7A54" w:rsidRPr="0074345C" w:rsidRDefault="00AA7A54" w:rsidP="00AA7A54">
      <w:pPr>
        <w:ind w:left="4536"/>
        <w:jc w:val="center"/>
      </w:pPr>
      <w:r w:rsidRPr="0074345C">
        <w:rPr>
          <w:rFonts w:eastAsia="Times New Roman"/>
          <w:szCs w:val="22"/>
          <w:lang w:eastAsia="en-US"/>
        </w:rPr>
        <w:t>[Fin del Anexo XII y del documento]</w:t>
      </w:r>
    </w:p>
    <w:p w:rsidR="00691432" w:rsidRPr="0074345C" w:rsidRDefault="00691432" w:rsidP="00691432"/>
    <w:sectPr w:rsidR="00691432" w:rsidRPr="0074345C" w:rsidSect="00691432">
      <w:headerReference w:type="default" r:id="rId85"/>
      <w:headerReference w:type="first" r:id="rId86"/>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35" w:rsidRDefault="00E21235">
      <w:r>
        <w:separator/>
      </w:r>
    </w:p>
  </w:endnote>
  <w:endnote w:type="continuationSeparator" w:id="0">
    <w:p w:rsidR="00E21235" w:rsidRPr="009D30E6" w:rsidRDefault="00E21235" w:rsidP="007E663E">
      <w:pPr>
        <w:rPr>
          <w:sz w:val="17"/>
          <w:szCs w:val="17"/>
        </w:rPr>
      </w:pPr>
      <w:r w:rsidRPr="009D30E6">
        <w:rPr>
          <w:sz w:val="17"/>
          <w:szCs w:val="17"/>
        </w:rPr>
        <w:separator/>
      </w:r>
    </w:p>
    <w:p w:rsidR="00E21235" w:rsidRPr="007E663E" w:rsidRDefault="00E21235" w:rsidP="007E663E">
      <w:pPr>
        <w:spacing w:after="60"/>
        <w:rPr>
          <w:sz w:val="17"/>
          <w:szCs w:val="17"/>
        </w:rPr>
      </w:pPr>
      <w:r>
        <w:rPr>
          <w:sz w:val="17"/>
        </w:rPr>
        <w:t>[Continuación de la nota de la página anterior]</w:t>
      </w:r>
    </w:p>
  </w:endnote>
  <w:endnote w:type="continuationNotice" w:id="1">
    <w:p w:rsidR="00E21235" w:rsidRPr="007E663E" w:rsidRDefault="00E2123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WAdobeF">
    <w:altName w:val="Times New Roman"/>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08" w:rsidRDefault="003A2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08" w:rsidRDefault="003A2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08" w:rsidRDefault="003A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35" w:rsidRDefault="00E21235">
      <w:r>
        <w:separator/>
      </w:r>
    </w:p>
  </w:footnote>
  <w:footnote w:type="continuationSeparator" w:id="0">
    <w:p w:rsidR="00E21235" w:rsidRPr="009D30E6" w:rsidRDefault="00E21235" w:rsidP="007E663E">
      <w:pPr>
        <w:rPr>
          <w:sz w:val="17"/>
          <w:szCs w:val="17"/>
        </w:rPr>
      </w:pPr>
      <w:r w:rsidRPr="009D30E6">
        <w:rPr>
          <w:sz w:val="17"/>
          <w:szCs w:val="17"/>
        </w:rPr>
        <w:separator/>
      </w:r>
    </w:p>
    <w:p w:rsidR="00E21235" w:rsidRPr="007E663E" w:rsidRDefault="00E21235" w:rsidP="007E663E">
      <w:pPr>
        <w:spacing w:after="60"/>
        <w:rPr>
          <w:sz w:val="17"/>
          <w:szCs w:val="17"/>
        </w:rPr>
      </w:pPr>
      <w:r>
        <w:rPr>
          <w:sz w:val="17"/>
        </w:rPr>
        <w:t>[Continuación de la nota de la página anterior]</w:t>
      </w:r>
    </w:p>
  </w:footnote>
  <w:footnote w:type="continuationNotice" w:id="1">
    <w:p w:rsidR="00E21235" w:rsidRPr="007E663E" w:rsidRDefault="00E21235" w:rsidP="007E663E">
      <w:pPr>
        <w:spacing w:before="60"/>
        <w:jc w:val="right"/>
        <w:rPr>
          <w:sz w:val="17"/>
          <w:szCs w:val="17"/>
        </w:rPr>
      </w:pPr>
      <w:r w:rsidRPr="007E663E">
        <w:rPr>
          <w:sz w:val="17"/>
          <w:szCs w:val="17"/>
        </w:rPr>
        <w:t>[Sigue la nota en la página siguiente]</w:t>
      </w:r>
    </w:p>
  </w:footnote>
  <w:footnote w:id="2">
    <w:p w:rsidR="000D6BE4" w:rsidRPr="00F17914" w:rsidRDefault="000D6BE4" w:rsidP="00F17914">
      <w:pPr>
        <w:pStyle w:val="FootnoteText"/>
        <w:tabs>
          <w:tab w:val="left" w:pos="567"/>
          <w:tab w:val="left" w:pos="1134"/>
          <w:tab w:val="left" w:pos="1701"/>
          <w:tab w:val="left" w:pos="2268"/>
          <w:tab w:val="left" w:pos="2835"/>
          <w:tab w:val="left" w:pos="3402"/>
          <w:tab w:val="left" w:pos="3969"/>
          <w:tab w:val="left" w:pos="4536"/>
          <w:tab w:val="left" w:pos="5103"/>
          <w:tab w:val="left" w:pos="5670"/>
        </w:tabs>
        <w:rPr>
          <w:szCs w:val="18"/>
          <w:lang w:val="es-ES_tradnl"/>
        </w:rPr>
      </w:pPr>
      <w:bookmarkStart w:id="5" w:name="OLE_LINK1"/>
      <w:bookmarkStart w:id="6" w:name="OLE_LINK2"/>
      <w:bookmarkStart w:id="7" w:name="_Hlk331668138"/>
      <w:r w:rsidRPr="00385D62">
        <w:rPr>
          <w:rStyle w:val="FootnoteReference"/>
          <w:sz w:val="20"/>
        </w:rPr>
        <w:footnoteRef/>
      </w:r>
      <w:r w:rsidRPr="00F17914">
        <w:rPr>
          <w:sz w:val="20"/>
          <w:lang w:val="es-ES_tradnl"/>
        </w:rPr>
        <w:t xml:space="preserve"> </w:t>
      </w:r>
      <w:r w:rsidRPr="00F17914">
        <w:rPr>
          <w:sz w:val="20"/>
          <w:lang w:val="es-ES_tradnl"/>
        </w:rPr>
        <w:tab/>
      </w:r>
      <w:r w:rsidRPr="00955BC8">
        <w:rPr>
          <w:bCs/>
          <w:szCs w:val="18"/>
        </w:rPr>
        <w:t>Según la sección 3.2 del documento original del proyecto</w:t>
      </w:r>
      <w:r w:rsidRPr="00F17914">
        <w:rPr>
          <w:szCs w:val="18"/>
          <w:lang w:val="es-ES_tradnl"/>
        </w:rPr>
        <w:t>.</w:t>
      </w:r>
      <w:bookmarkEnd w:id="5"/>
      <w:bookmarkEnd w:id="6"/>
      <w:bookmarkEnd w:id="7"/>
      <w:r>
        <w:rPr>
          <w:szCs w:val="18"/>
          <w:lang w:val="es-ES_tradnl"/>
        </w:rPr>
        <w:tab/>
      </w:r>
    </w:p>
  </w:footnote>
  <w:footnote w:id="3">
    <w:p w:rsidR="000D6BE4" w:rsidRPr="00F17914" w:rsidRDefault="000D6BE4" w:rsidP="004B4F57">
      <w:pPr>
        <w:pStyle w:val="FootnoteText"/>
        <w:rPr>
          <w:szCs w:val="18"/>
          <w:lang w:val="es-ES_tradnl"/>
        </w:rPr>
      </w:pPr>
      <w:r w:rsidRPr="00385D62">
        <w:rPr>
          <w:rStyle w:val="FootnoteReference"/>
          <w:sz w:val="20"/>
        </w:rPr>
        <w:footnoteRef/>
      </w:r>
      <w:r w:rsidRPr="00F17914">
        <w:rPr>
          <w:sz w:val="20"/>
          <w:lang w:val="es-ES_tradnl"/>
        </w:rPr>
        <w:t xml:space="preserve"> </w:t>
      </w:r>
      <w:r w:rsidRPr="00F17914">
        <w:rPr>
          <w:sz w:val="20"/>
          <w:lang w:val="es-ES_tradnl"/>
        </w:rPr>
        <w:tab/>
      </w:r>
      <w:r>
        <w:rPr>
          <w:sz w:val="20"/>
          <w:lang w:val="es-ES_tradnl"/>
        </w:rPr>
        <w:t>Según la sección 3.2 del documento original del proyecto.</w:t>
      </w:r>
    </w:p>
  </w:footnote>
  <w:footnote w:id="4">
    <w:p w:rsidR="000D6BE4" w:rsidRPr="00F17914" w:rsidRDefault="000D6BE4" w:rsidP="004B4F57">
      <w:pPr>
        <w:pStyle w:val="FootnoteText"/>
        <w:rPr>
          <w:szCs w:val="18"/>
          <w:lang w:val="es-ES_tradnl"/>
        </w:rPr>
      </w:pPr>
      <w:r w:rsidRPr="00385D62">
        <w:rPr>
          <w:rStyle w:val="FootnoteReference"/>
          <w:sz w:val="20"/>
        </w:rPr>
        <w:footnoteRef/>
      </w:r>
      <w:r w:rsidRPr="00F17914">
        <w:rPr>
          <w:sz w:val="20"/>
          <w:lang w:val="es-ES_tradnl"/>
        </w:rPr>
        <w:t xml:space="preserve"> </w:t>
      </w:r>
      <w:r w:rsidRPr="00F17914">
        <w:rPr>
          <w:sz w:val="20"/>
          <w:lang w:val="es-ES_tradnl"/>
        </w:rPr>
        <w:tab/>
      </w:r>
      <w:r>
        <w:rPr>
          <w:sz w:val="20"/>
          <w:lang w:val="es-ES_tradnl"/>
        </w:rPr>
        <w:t>Según la sección 3.2 del documento original del proyecto.</w:t>
      </w:r>
    </w:p>
  </w:footnote>
  <w:footnote w:id="5">
    <w:p w:rsidR="000D6BE4" w:rsidRPr="00F17914" w:rsidRDefault="000D6BE4" w:rsidP="00FD48C3">
      <w:pPr>
        <w:pStyle w:val="FootnoteText"/>
        <w:rPr>
          <w:szCs w:val="18"/>
          <w:lang w:val="es-ES_tradnl"/>
        </w:rPr>
      </w:pPr>
      <w:r w:rsidRPr="00385D62">
        <w:rPr>
          <w:rStyle w:val="FootnoteReference"/>
          <w:sz w:val="20"/>
        </w:rPr>
        <w:footnoteRef/>
      </w:r>
      <w:r w:rsidRPr="00F17914">
        <w:rPr>
          <w:sz w:val="20"/>
          <w:lang w:val="es-ES_tradnl"/>
        </w:rPr>
        <w:t xml:space="preserve"> </w:t>
      </w:r>
      <w:r w:rsidRPr="00F17914">
        <w:rPr>
          <w:sz w:val="20"/>
          <w:lang w:val="es-ES_tradnl"/>
        </w:rPr>
        <w:tab/>
      </w:r>
      <w:r>
        <w:rPr>
          <w:sz w:val="20"/>
          <w:lang w:val="es-ES_tradnl"/>
        </w:rPr>
        <w:t>Según la sección 3.2 del documento original del proyecto.</w:t>
      </w:r>
    </w:p>
  </w:footnote>
  <w:footnote w:id="6">
    <w:p w:rsidR="000D6BE4" w:rsidRPr="00F17914" w:rsidRDefault="000D6BE4" w:rsidP="00F17914">
      <w:pPr>
        <w:pStyle w:val="FootnoteText"/>
        <w:rPr>
          <w:szCs w:val="18"/>
          <w:lang w:val="es-ES_tradnl"/>
        </w:rPr>
      </w:pPr>
      <w:r w:rsidRPr="00385D62">
        <w:rPr>
          <w:rStyle w:val="FootnoteReference"/>
          <w:sz w:val="20"/>
        </w:rPr>
        <w:footnoteRef/>
      </w:r>
      <w:r w:rsidRPr="00F17914">
        <w:rPr>
          <w:sz w:val="20"/>
          <w:lang w:val="es-ES_tradnl"/>
        </w:rPr>
        <w:t xml:space="preserve"> </w:t>
      </w:r>
      <w:r w:rsidRPr="00F17914">
        <w:rPr>
          <w:sz w:val="20"/>
          <w:lang w:val="es-ES_tradnl"/>
        </w:rPr>
        <w:tab/>
      </w:r>
      <w:r>
        <w:rPr>
          <w:sz w:val="20"/>
          <w:lang w:val="es-ES_tradnl"/>
        </w:rPr>
        <w:t>Según la sección 3.2 del documento original del proyecto.</w:t>
      </w:r>
    </w:p>
    <w:p w:rsidR="000D6BE4" w:rsidRPr="00F17914" w:rsidRDefault="000D6BE4" w:rsidP="00FD48C3">
      <w:pPr>
        <w:pStyle w:val="FootnoteText"/>
        <w:rPr>
          <w:szCs w:val="18"/>
          <w:lang w:val="es-ES_tradnl"/>
        </w:rPr>
      </w:pPr>
    </w:p>
  </w:footnote>
  <w:footnote w:id="7">
    <w:p w:rsidR="000D6BE4" w:rsidRPr="00B4557E" w:rsidRDefault="000D6BE4" w:rsidP="009B4891">
      <w:pPr>
        <w:pStyle w:val="FootnoteText"/>
        <w:rPr>
          <w:lang w:val="es-ES_tradnl"/>
        </w:rPr>
      </w:pPr>
      <w:r w:rsidRPr="00385D62">
        <w:rPr>
          <w:rStyle w:val="FootnoteReference"/>
        </w:rPr>
        <w:footnoteRef/>
      </w:r>
      <w:r w:rsidRPr="00B4557E">
        <w:rPr>
          <w:lang w:val="es-ES_tradnl"/>
        </w:rPr>
        <w:t xml:space="preserve"> </w:t>
      </w:r>
      <w:r w:rsidRPr="00B4557E">
        <w:rPr>
          <w:lang w:val="es-ES_tradnl"/>
        </w:rPr>
        <w:tab/>
        <w:t xml:space="preserve">De conformidad con el documento original del proyecto, </w:t>
      </w:r>
      <w:r>
        <w:rPr>
          <w:lang w:val="es-ES_tradnl"/>
        </w:rPr>
        <w:t>sección</w:t>
      </w:r>
      <w:r w:rsidRPr="00B4557E">
        <w:rPr>
          <w:lang w:val="es-ES_tradnl"/>
        </w:rPr>
        <w:t xml:space="preserve"> 3.2.</w:t>
      </w:r>
    </w:p>
  </w:footnote>
  <w:footnote w:id="8">
    <w:p w:rsidR="000D6BE4" w:rsidRPr="0041787F" w:rsidRDefault="000D6BE4" w:rsidP="00ED053D">
      <w:pPr>
        <w:pStyle w:val="FootnoteText"/>
        <w:rPr>
          <w:szCs w:val="18"/>
        </w:rPr>
      </w:pPr>
      <w:r w:rsidRPr="00385D62">
        <w:rPr>
          <w:rStyle w:val="FootnoteReference"/>
          <w:sz w:val="20"/>
        </w:rPr>
        <w:footnoteRef/>
      </w:r>
      <w:r w:rsidRPr="0041787F">
        <w:rPr>
          <w:sz w:val="20"/>
        </w:rPr>
        <w:t xml:space="preserve"> </w:t>
      </w:r>
      <w:r w:rsidRPr="0041787F">
        <w:rPr>
          <w:sz w:val="20"/>
        </w:rPr>
        <w:tab/>
      </w:r>
      <w:r w:rsidRPr="0041787F">
        <w:rPr>
          <w:szCs w:val="18"/>
        </w:rPr>
        <w:t xml:space="preserve">Según la sección 3.2 del </w:t>
      </w:r>
      <w:r>
        <w:rPr>
          <w:szCs w:val="18"/>
        </w:rPr>
        <w:t>documento original del proyecto</w:t>
      </w:r>
      <w:r w:rsidRPr="0041787F">
        <w:rPr>
          <w:szCs w:val="18"/>
        </w:rPr>
        <w:t>.</w:t>
      </w:r>
    </w:p>
  </w:footnote>
  <w:footnote w:id="9">
    <w:p w:rsidR="000D6BE4" w:rsidRPr="009E6DBE" w:rsidRDefault="000D6BE4" w:rsidP="00ED053D">
      <w:pPr>
        <w:pStyle w:val="FootnoteText"/>
        <w:rPr>
          <w:color w:val="808080"/>
        </w:rPr>
      </w:pPr>
      <w:r w:rsidRPr="00385D62">
        <w:rPr>
          <w:rStyle w:val="FootnoteReference"/>
        </w:rPr>
        <w:footnoteRef/>
      </w:r>
      <w:r w:rsidRPr="00122E8E">
        <w:rPr>
          <w:lang w:val="es-ES_tradnl"/>
        </w:rPr>
        <w:t xml:space="preserve">  </w:t>
      </w:r>
      <w:r w:rsidRPr="009E6DBE">
        <w:rPr>
          <w:color w:val="808080"/>
        </w:rPr>
        <w:t>Horario reducido de 200 a 160 horas en la octava sesión del CDIP (noviembre de 2012)</w:t>
      </w:r>
    </w:p>
  </w:footnote>
  <w:footnote w:id="10">
    <w:p w:rsidR="000D6BE4" w:rsidRPr="00F65593" w:rsidRDefault="000D6BE4" w:rsidP="00ED053D">
      <w:pPr>
        <w:pStyle w:val="FootnoteText"/>
        <w:rPr>
          <w:sz w:val="16"/>
          <w:szCs w:val="16"/>
        </w:rPr>
      </w:pPr>
      <w:r w:rsidRPr="00385D62">
        <w:rPr>
          <w:rStyle w:val="FootnoteReference"/>
          <w:sz w:val="16"/>
          <w:szCs w:val="16"/>
        </w:rPr>
        <w:footnoteRef/>
      </w:r>
      <w:r w:rsidRPr="008704F2">
        <w:rPr>
          <w:sz w:val="16"/>
          <w:szCs w:val="16"/>
        </w:rPr>
        <w:t xml:space="preserve"> </w:t>
      </w:r>
      <w:r w:rsidRPr="008704F2">
        <w:rPr>
          <w:sz w:val="16"/>
          <w:szCs w:val="16"/>
        </w:rPr>
        <w:tab/>
        <w:t>Según la sección</w:t>
      </w:r>
      <w:r>
        <w:rPr>
          <w:sz w:val="16"/>
          <w:szCs w:val="16"/>
        </w:rPr>
        <w:t> </w:t>
      </w:r>
      <w:r w:rsidRPr="008704F2">
        <w:rPr>
          <w:sz w:val="16"/>
          <w:szCs w:val="16"/>
        </w:rPr>
        <w:t>3.</w:t>
      </w:r>
      <w:r>
        <w:rPr>
          <w:sz w:val="16"/>
          <w:szCs w:val="16"/>
        </w:rPr>
        <w:t>2</w:t>
      </w:r>
      <w:r w:rsidRPr="008704F2">
        <w:rPr>
          <w:sz w:val="16"/>
          <w:szCs w:val="16"/>
        </w:rPr>
        <w:t xml:space="preserve"> del document</w:t>
      </w:r>
      <w:r>
        <w:rPr>
          <w:sz w:val="16"/>
          <w:szCs w:val="16"/>
        </w:rPr>
        <w:t>o</w:t>
      </w:r>
      <w:r w:rsidRPr="008704F2">
        <w:rPr>
          <w:sz w:val="16"/>
          <w:szCs w:val="16"/>
        </w:rPr>
        <w:t xml:space="preserve"> original del proye</w:t>
      </w:r>
      <w:r>
        <w:rPr>
          <w:sz w:val="16"/>
          <w:szCs w:val="16"/>
        </w:rPr>
        <w:t>cto</w:t>
      </w:r>
      <w:r w:rsidRPr="008704F2">
        <w:rPr>
          <w:sz w:val="16"/>
          <w:szCs w:val="16"/>
        </w:rPr>
        <w:t>.</w:t>
      </w:r>
    </w:p>
  </w:footnote>
  <w:footnote w:id="11">
    <w:p w:rsidR="000D6BE4" w:rsidRPr="00F65593" w:rsidRDefault="000D6BE4" w:rsidP="00691432">
      <w:pPr>
        <w:pStyle w:val="FootnoteText"/>
      </w:pPr>
      <w:r w:rsidRPr="00385D62">
        <w:rPr>
          <w:rStyle w:val="FootnoteReference"/>
          <w:rFonts w:asciiTheme="minorBidi" w:hAnsiTheme="minorBidi" w:cstheme="minorBidi"/>
          <w:szCs w:val="18"/>
        </w:rPr>
        <w:footnoteRef/>
      </w:r>
      <w:r w:rsidRPr="00F65593">
        <w:rPr>
          <w:rFonts w:asciiTheme="minorBidi" w:hAnsiTheme="minorBidi" w:cstheme="minorBidi"/>
          <w:szCs w:val="18"/>
        </w:rPr>
        <w:t xml:space="preserve"> </w:t>
      </w:r>
      <w:hyperlink r:id="rId1" w:history="1">
        <w:r w:rsidRPr="00F65593">
          <w:rPr>
            <w:rStyle w:val="Hyperlink"/>
            <w:rFonts w:asciiTheme="minorBidi" w:hAnsiTheme="minorBidi" w:cstheme="minorBidi"/>
            <w:szCs w:val="18"/>
          </w:rPr>
          <w:t>http://www.wipo.int/patentscope/en/programs/patent_landscapes/</w:t>
        </w:r>
      </w:hyperlink>
      <w:r w:rsidRPr="00F65593">
        <w:t xml:space="preserve"> </w:t>
      </w:r>
    </w:p>
  </w:footnote>
  <w:footnote w:id="12">
    <w:p w:rsidR="000D6BE4" w:rsidRPr="00D45CB1" w:rsidRDefault="000D6BE4" w:rsidP="00691432">
      <w:pPr>
        <w:pStyle w:val="FootnoteText"/>
        <w:rPr>
          <w:sz w:val="16"/>
          <w:szCs w:val="16"/>
        </w:rPr>
      </w:pPr>
      <w:r w:rsidRPr="00385D62">
        <w:rPr>
          <w:rStyle w:val="FootnoteReference"/>
          <w:sz w:val="16"/>
          <w:szCs w:val="16"/>
        </w:rPr>
        <w:footnoteRef/>
      </w:r>
      <w:r w:rsidRPr="00D45CB1">
        <w:rPr>
          <w:sz w:val="16"/>
          <w:szCs w:val="16"/>
        </w:rPr>
        <w:t xml:space="preserve"> </w:t>
      </w:r>
      <w:r w:rsidRPr="00D45CB1">
        <w:rPr>
          <w:sz w:val="16"/>
          <w:szCs w:val="16"/>
        </w:rPr>
        <w:tab/>
        <w:t>Según la sección 3.2 del document</w:t>
      </w:r>
      <w:r>
        <w:rPr>
          <w:sz w:val="16"/>
          <w:szCs w:val="16"/>
        </w:rPr>
        <w:t>o</w:t>
      </w:r>
      <w:r w:rsidRPr="00D45CB1">
        <w:rPr>
          <w:sz w:val="16"/>
          <w:szCs w:val="16"/>
        </w:rPr>
        <w:t xml:space="preserve"> original del proye</w:t>
      </w:r>
      <w:r>
        <w:rPr>
          <w:sz w:val="16"/>
          <w:szCs w:val="16"/>
        </w:rPr>
        <w:t>cto</w:t>
      </w:r>
      <w:r w:rsidRPr="00D45CB1">
        <w:rPr>
          <w:sz w:val="16"/>
          <w:szCs w:val="16"/>
        </w:rPr>
        <w:t>.</w:t>
      </w:r>
    </w:p>
  </w:footnote>
  <w:footnote w:id="13">
    <w:p w:rsidR="000D6BE4" w:rsidRPr="004537BD" w:rsidRDefault="000D6BE4" w:rsidP="00691432">
      <w:pPr>
        <w:pStyle w:val="FootnoteText"/>
      </w:pPr>
      <w:r w:rsidRPr="00385D62">
        <w:rPr>
          <w:rStyle w:val="FootnoteReference"/>
        </w:rPr>
        <w:footnoteRef/>
      </w:r>
      <w:r w:rsidRPr="004537BD">
        <w:t xml:space="preserve"> Informe de evaluación (CDIP/13/3) dispo</w:t>
      </w:r>
      <w:r>
        <w:t>nible en</w:t>
      </w:r>
      <w:r w:rsidRPr="004537BD">
        <w:t xml:space="preserve">:  </w:t>
      </w:r>
      <w:hyperlink r:id="rId2" w:history="1">
        <w:r w:rsidRPr="004537BD">
          <w:rPr>
            <w:rStyle w:val="Hyperlink"/>
          </w:rPr>
          <w:t>http://www.wipo.int/meetings/en/doc_details.jsp?doc_id=268876</w:t>
        </w:r>
      </w:hyperlink>
      <w:r w:rsidRPr="004537B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08" w:rsidRDefault="003A250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08" w:rsidRDefault="003A25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E4" w:rsidRPr="003A2508" w:rsidRDefault="000D6BE4" w:rsidP="003A2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234E99"/>
    <w:multiLevelType w:val="hybridMultilevel"/>
    <w:tmpl w:val="30602D7E"/>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3470218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FC230B"/>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07B54FAF"/>
    <w:multiLevelType w:val="multilevel"/>
    <w:tmpl w:val="3E00E56C"/>
    <w:lvl w:ilvl="0">
      <w:start w:val="1"/>
      <w:numFmt w:val="lowerRoman"/>
      <w:lvlText w:val="%1)"/>
      <w:lvlJc w:val="left"/>
      <w:pPr>
        <w:tabs>
          <w:tab w:val="num" w:pos="567"/>
        </w:tabs>
        <w:ind w:left="567" w:firstLine="0"/>
      </w:pPr>
      <w:rPr>
        <w:rFonts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0A9D5641"/>
    <w:multiLevelType w:val="hybridMultilevel"/>
    <w:tmpl w:val="C27A3B8A"/>
    <w:lvl w:ilvl="0" w:tplc="10C21F94">
      <w:start w:val="1"/>
      <w:numFmt w:val="lowerRoman"/>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6337E1"/>
    <w:multiLevelType w:val="hybridMultilevel"/>
    <w:tmpl w:val="E6C83A1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A4877D9"/>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1E1E19FB"/>
    <w:multiLevelType w:val="hybridMultilevel"/>
    <w:tmpl w:val="7C10F55E"/>
    <w:lvl w:ilvl="0" w:tplc="C2D85FAA">
      <w:start w:val="1"/>
      <w:numFmt w:val="lowerLetter"/>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0">
    <w:nsid w:val="1EBF3094"/>
    <w:multiLevelType w:val="hybridMultilevel"/>
    <w:tmpl w:val="D1A06036"/>
    <w:lvl w:ilvl="0" w:tplc="078CED50">
      <w:start w:val="993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1DB1559"/>
    <w:multiLevelType w:val="multilevel"/>
    <w:tmpl w:val="EDBAAC1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lang w:val="en-U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5">
    <w:nsid w:val="3A477F56"/>
    <w:multiLevelType w:val="hybridMultilevel"/>
    <w:tmpl w:val="AE3A6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C875534"/>
    <w:multiLevelType w:val="multilevel"/>
    <w:tmpl w:val="D88887F8"/>
    <w:lvl w:ilvl="0">
      <w:start w:val="1"/>
      <w:numFmt w:val="lowerLetter"/>
      <w:lvlText w:val="%1)"/>
      <w:lvlJc w:val="left"/>
      <w:pPr>
        <w:tabs>
          <w:tab w:val="num" w:pos="567"/>
        </w:tabs>
        <w:ind w:left="567" w:firstLine="0"/>
      </w:pPr>
      <w:rPr>
        <w:rFonts w:hint="default"/>
        <w:color w:val="808080"/>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nsid w:val="3D3A2C7E"/>
    <w:multiLevelType w:val="multilevel"/>
    <w:tmpl w:val="3E14D678"/>
    <w:lvl w:ilvl="0">
      <w:start w:val="1"/>
      <w:numFmt w:val="lowerRoman"/>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8C916AC"/>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405B6D"/>
    <w:multiLevelType w:val="hybridMultilevel"/>
    <w:tmpl w:val="4D320DD2"/>
    <w:lvl w:ilvl="0" w:tplc="93A00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AA2F40"/>
    <w:multiLevelType w:val="hybridMultilevel"/>
    <w:tmpl w:val="B19C1F1C"/>
    <w:lvl w:ilvl="0" w:tplc="3ACE795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6AA0BFE"/>
    <w:multiLevelType w:val="hybridMultilevel"/>
    <w:tmpl w:val="5F768F26"/>
    <w:lvl w:ilvl="0" w:tplc="6270EE06">
      <w:start w:val="1"/>
      <w:numFmt w:val="bullet"/>
      <w:lvlText w:val="-"/>
      <w:lvlJc w:val="left"/>
      <w:pPr>
        <w:tabs>
          <w:tab w:val="num" w:pos="927"/>
        </w:tabs>
        <w:ind w:left="360" w:firstLine="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72E520A"/>
    <w:multiLevelType w:val="hybridMultilevel"/>
    <w:tmpl w:val="4D7884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87E1F05"/>
    <w:multiLevelType w:val="hybridMultilevel"/>
    <w:tmpl w:val="8E04B1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87F3DA5"/>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7">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nsid w:val="5A2F7EAD"/>
    <w:multiLevelType w:val="hybridMultilevel"/>
    <w:tmpl w:val="86FA842E"/>
    <w:lvl w:ilvl="0" w:tplc="4B94F0B2">
      <w:start w:val="1"/>
      <w:numFmt w:val="upperLetter"/>
      <w:lvlText w:val="%1."/>
      <w:lvlJc w:val="left"/>
      <w:pPr>
        <w:ind w:left="720" w:hanging="360"/>
      </w:pPr>
      <w:rPr>
        <w:rFonts w:eastAsia="Times New Roman" w:cs="Arial"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B705F"/>
    <w:multiLevelType w:val="multilevel"/>
    <w:tmpl w:val="394204CE"/>
    <w:lvl w:ilvl="0">
      <w:start w:val="1"/>
      <w:numFmt w:val="lowerLetter"/>
      <w:lvlRestart w:val="0"/>
      <w:lvlText w:val="(%1)"/>
      <w:lvlJc w:val="left"/>
      <w:pPr>
        <w:tabs>
          <w:tab w:val="num" w:pos="0"/>
        </w:tabs>
        <w:ind w:left="0" w:firstLine="0"/>
      </w:pPr>
      <w:rPr>
        <w:rFonts w:ascii="Arial" w:eastAsia="SimSun" w:hAnsi="Arial" w:cs="Arial"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B1C0EAE"/>
    <w:multiLevelType w:val="hybridMultilevel"/>
    <w:tmpl w:val="B3E4B6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AD4CB3"/>
    <w:multiLevelType w:val="multilevel"/>
    <w:tmpl w:val="909402FC"/>
    <w:lvl w:ilvl="0">
      <w:start w:val="1"/>
      <w:numFmt w:val="lowerLetter"/>
      <w:lvlRestart w:val="0"/>
      <w:lvlText w:val="(%1)"/>
      <w:lvlJc w:val="left"/>
      <w:pPr>
        <w:tabs>
          <w:tab w:val="num" w:pos="567"/>
        </w:tabs>
        <w:ind w:left="567" w:firstLine="0"/>
      </w:pPr>
      <w:rPr>
        <w:rFonts w:ascii="Arial" w:eastAsia="SimSun" w:hAnsi="Arial" w:cs="Arial" w:hint="default"/>
        <w:color w:val="808080"/>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2">
    <w:nsid w:val="666D2CA6"/>
    <w:multiLevelType w:val="multilevel"/>
    <w:tmpl w:val="DDD4997A"/>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ascii="Arial" w:eastAsia="Malgun Gothic" w:hAnsi="Arial" w:cs="Arial"/>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3">
    <w:nsid w:val="66800216"/>
    <w:multiLevelType w:val="hybridMultilevel"/>
    <w:tmpl w:val="1810692C"/>
    <w:lvl w:ilvl="0" w:tplc="6CD49F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6131C7"/>
    <w:multiLevelType w:val="hybridMultilevel"/>
    <w:tmpl w:val="EAAA283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79D3551"/>
    <w:multiLevelType w:val="multilevel"/>
    <w:tmpl w:val="C46A8D70"/>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lang w:val="es-ES_tradnl"/>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36">
    <w:nsid w:val="680C5CA4"/>
    <w:multiLevelType w:val="hybridMultilevel"/>
    <w:tmpl w:val="1B806EA6"/>
    <w:lvl w:ilvl="0" w:tplc="644042B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C50A04"/>
    <w:multiLevelType w:val="hybridMultilevel"/>
    <w:tmpl w:val="F44EE856"/>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nsid w:val="6A0F7EE3"/>
    <w:multiLevelType w:val="hybridMultilevel"/>
    <w:tmpl w:val="CF6866F8"/>
    <w:lvl w:ilvl="0" w:tplc="E46A3948">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1D74BB"/>
    <w:multiLevelType w:val="hybridMultilevel"/>
    <w:tmpl w:val="C56E97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32F3315"/>
    <w:multiLevelType w:val="hybridMultilevel"/>
    <w:tmpl w:val="D8F233D0"/>
    <w:lvl w:ilvl="0" w:tplc="B9A0CB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302FC1"/>
    <w:multiLevelType w:val="hybridMultilevel"/>
    <w:tmpl w:val="6C22CC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7FE2453"/>
    <w:multiLevelType w:val="multilevel"/>
    <w:tmpl w:val="64DA6932"/>
    <w:lvl w:ilvl="0">
      <w:start w:val="1"/>
      <w:numFmt w:val="lowerRoman"/>
      <w:lvlText w:val="%1)"/>
      <w:lvlJc w:val="left"/>
      <w:pPr>
        <w:tabs>
          <w:tab w:val="num" w:pos="0"/>
        </w:tabs>
        <w:ind w:left="0" w:firstLine="0"/>
      </w:pPr>
      <w:rPr>
        <w:rFonts w:hint="default"/>
        <w:color w:val="auto"/>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3">
    <w:nsid w:val="7D531A43"/>
    <w:multiLevelType w:val="hybridMultilevel"/>
    <w:tmpl w:val="3B6AB95E"/>
    <w:lvl w:ilvl="0" w:tplc="94F857E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7EE86246"/>
    <w:multiLevelType w:val="hybridMultilevel"/>
    <w:tmpl w:val="794830DC"/>
    <w:lvl w:ilvl="0" w:tplc="CC4AD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0"/>
  </w:num>
  <w:num w:numId="4">
    <w:abstractNumId w:val="20"/>
  </w:num>
  <w:num w:numId="5">
    <w:abstractNumId w:val="2"/>
  </w:num>
  <w:num w:numId="6">
    <w:abstractNumId w:val="11"/>
  </w:num>
  <w:num w:numId="7">
    <w:abstractNumId w:val="15"/>
  </w:num>
  <w:num w:numId="8">
    <w:abstractNumId w:val="34"/>
  </w:num>
  <w:num w:numId="9">
    <w:abstractNumId w:val="5"/>
  </w:num>
  <w:num w:numId="10">
    <w:abstractNumId w:val="43"/>
  </w:num>
  <w:num w:numId="11">
    <w:abstractNumId w:val="37"/>
  </w:num>
  <w:num w:numId="12">
    <w:abstractNumId w:val="29"/>
  </w:num>
  <w:num w:numId="13">
    <w:abstractNumId w:val="4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0"/>
  </w:num>
  <w:num w:numId="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8"/>
  </w:num>
  <w:num w:numId="23">
    <w:abstractNumId w:val="38"/>
  </w:num>
  <w:num w:numId="24">
    <w:abstractNumId w:val="13"/>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2"/>
  </w:num>
  <w:num w:numId="28">
    <w:abstractNumId w:val="17"/>
  </w:num>
  <w:num w:numId="29">
    <w:abstractNumId w:val="22"/>
  </w:num>
  <w:num w:numId="30">
    <w:abstractNumId w:val="33"/>
  </w:num>
  <w:num w:numId="31">
    <w:abstractNumId w:val="7"/>
  </w:num>
  <w:num w:numId="32">
    <w:abstractNumId w:val="30"/>
  </w:num>
  <w:num w:numId="33">
    <w:abstractNumId w:val="32"/>
  </w:num>
  <w:num w:numId="34">
    <w:abstractNumId w:val="26"/>
  </w:num>
  <w:num w:numId="35">
    <w:abstractNumId w:val="27"/>
  </w:num>
  <w:num w:numId="36">
    <w:abstractNumId w:val="35"/>
  </w:num>
  <w:num w:numId="37">
    <w:abstractNumId w:val="8"/>
  </w:num>
  <w:num w:numId="38">
    <w:abstractNumId w:val="3"/>
  </w:num>
  <w:num w:numId="39">
    <w:abstractNumId w:val="19"/>
  </w:num>
  <w:num w:numId="40">
    <w:abstractNumId w:val="21"/>
  </w:num>
  <w:num w:numId="41">
    <w:abstractNumId w:val="10"/>
  </w:num>
  <w:num w:numId="42">
    <w:abstractNumId w:val="44"/>
  </w:num>
  <w:num w:numId="43">
    <w:abstractNumId w:val="1"/>
  </w:num>
  <w:num w:numId="44">
    <w:abstractNumId w:val="36"/>
  </w:num>
  <w:num w:numId="45">
    <w:abstractNumId w:val="39"/>
  </w:num>
  <w:num w:numId="46">
    <w:abstractNumId w:val="25"/>
  </w:num>
  <w:num w:numId="47">
    <w:abstractNumId w:val="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WorkspaceSTS\EN-ES\IP in General\Meetings"/>
    <w:docVar w:name="TextBaseURL" w:val="empty"/>
    <w:docVar w:name="UILng" w:val="en"/>
  </w:docVars>
  <w:rsids>
    <w:rsidRoot w:val="00FD3586"/>
    <w:rsid w:val="00000502"/>
    <w:rsid w:val="00004086"/>
    <w:rsid w:val="00010686"/>
    <w:rsid w:val="000357F9"/>
    <w:rsid w:val="00037286"/>
    <w:rsid w:val="00040C95"/>
    <w:rsid w:val="00052915"/>
    <w:rsid w:val="00060026"/>
    <w:rsid w:val="000723D2"/>
    <w:rsid w:val="00083425"/>
    <w:rsid w:val="00083838"/>
    <w:rsid w:val="00094CFE"/>
    <w:rsid w:val="00095C9A"/>
    <w:rsid w:val="000B1CE3"/>
    <w:rsid w:val="000C11F8"/>
    <w:rsid w:val="000C1CD8"/>
    <w:rsid w:val="000D6BE4"/>
    <w:rsid w:val="000D769F"/>
    <w:rsid w:val="000E1A70"/>
    <w:rsid w:val="000E3BB3"/>
    <w:rsid w:val="000F2B97"/>
    <w:rsid w:val="000F5E56"/>
    <w:rsid w:val="0010188F"/>
    <w:rsid w:val="00107936"/>
    <w:rsid w:val="00111999"/>
    <w:rsid w:val="00122E8E"/>
    <w:rsid w:val="00123116"/>
    <w:rsid w:val="001268F5"/>
    <w:rsid w:val="001357B4"/>
    <w:rsid w:val="001362EE"/>
    <w:rsid w:val="0014268C"/>
    <w:rsid w:val="0015217E"/>
    <w:rsid w:val="00152CEA"/>
    <w:rsid w:val="001537B7"/>
    <w:rsid w:val="0017185D"/>
    <w:rsid w:val="00172F8F"/>
    <w:rsid w:val="001832A6"/>
    <w:rsid w:val="001873D4"/>
    <w:rsid w:val="00193CE1"/>
    <w:rsid w:val="001A0B9B"/>
    <w:rsid w:val="001D3128"/>
    <w:rsid w:val="001F4D0F"/>
    <w:rsid w:val="002034F4"/>
    <w:rsid w:val="00204C4F"/>
    <w:rsid w:val="002159B5"/>
    <w:rsid w:val="002164FF"/>
    <w:rsid w:val="00222954"/>
    <w:rsid w:val="00243288"/>
    <w:rsid w:val="002471D5"/>
    <w:rsid w:val="00247D03"/>
    <w:rsid w:val="002634C4"/>
    <w:rsid w:val="00293A68"/>
    <w:rsid w:val="002C3A86"/>
    <w:rsid w:val="002C6B7B"/>
    <w:rsid w:val="002D1BE8"/>
    <w:rsid w:val="002E0F47"/>
    <w:rsid w:val="002E3CC3"/>
    <w:rsid w:val="002F4E68"/>
    <w:rsid w:val="00301D88"/>
    <w:rsid w:val="00322244"/>
    <w:rsid w:val="003260F8"/>
    <w:rsid w:val="003272C2"/>
    <w:rsid w:val="00333227"/>
    <w:rsid w:val="00333A3A"/>
    <w:rsid w:val="003431FC"/>
    <w:rsid w:val="0035014C"/>
    <w:rsid w:val="00354647"/>
    <w:rsid w:val="003665EB"/>
    <w:rsid w:val="0036706E"/>
    <w:rsid w:val="00377273"/>
    <w:rsid w:val="003845C1"/>
    <w:rsid w:val="00385D62"/>
    <w:rsid w:val="00387287"/>
    <w:rsid w:val="00392985"/>
    <w:rsid w:val="003A2508"/>
    <w:rsid w:val="003B2FA3"/>
    <w:rsid w:val="003C4A81"/>
    <w:rsid w:val="003D71A5"/>
    <w:rsid w:val="003E210D"/>
    <w:rsid w:val="003E48F1"/>
    <w:rsid w:val="003E5A3B"/>
    <w:rsid w:val="003F2760"/>
    <w:rsid w:val="003F347A"/>
    <w:rsid w:val="00400CAC"/>
    <w:rsid w:val="0040425D"/>
    <w:rsid w:val="004137F8"/>
    <w:rsid w:val="00423E3E"/>
    <w:rsid w:val="00427AF4"/>
    <w:rsid w:val="00436B00"/>
    <w:rsid w:val="004466EC"/>
    <w:rsid w:val="00446C66"/>
    <w:rsid w:val="0045231F"/>
    <w:rsid w:val="004647DA"/>
    <w:rsid w:val="00472126"/>
    <w:rsid w:val="004765E6"/>
    <w:rsid w:val="00477808"/>
    <w:rsid w:val="00477D6B"/>
    <w:rsid w:val="0048031E"/>
    <w:rsid w:val="004934C6"/>
    <w:rsid w:val="004A6C37"/>
    <w:rsid w:val="004B0731"/>
    <w:rsid w:val="004B4F57"/>
    <w:rsid w:val="004D4285"/>
    <w:rsid w:val="004D64A6"/>
    <w:rsid w:val="004D7859"/>
    <w:rsid w:val="004E297D"/>
    <w:rsid w:val="00502F27"/>
    <w:rsid w:val="0051717A"/>
    <w:rsid w:val="00527523"/>
    <w:rsid w:val="005332F0"/>
    <w:rsid w:val="005348F1"/>
    <w:rsid w:val="00540AEB"/>
    <w:rsid w:val="0055013B"/>
    <w:rsid w:val="0055532D"/>
    <w:rsid w:val="00565AA1"/>
    <w:rsid w:val="00571B99"/>
    <w:rsid w:val="00581E65"/>
    <w:rsid w:val="00582344"/>
    <w:rsid w:val="0059125F"/>
    <w:rsid w:val="00592134"/>
    <w:rsid w:val="00593CA4"/>
    <w:rsid w:val="005A1A79"/>
    <w:rsid w:val="005A70EE"/>
    <w:rsid w:val="005A7EBB"/>
    <w:rsid w:val="005F647C"/>
    <w:rsid w:val="00603C0D"/>
    <w:rsid w:val="00603D5D"/>
    <w:rsid w:val="0060525B"/>
    <w:rsid w:val="00605827"/>
    <w:rsid w:val="006069B0"/>
    <w:rsid w:val="00611EA6"/>
    <w:rsid w:val="00613E98"/>
    <w:rsid w:val="00622061"/>
    <w:rsid w:val="00622511"/>
    <w:rsid w:val="0063236A"/>
    <w:rsid w:val="006336DE"/>
    <w:rsid w:val="006376E7"/>
    <w:rsid w:val="006447C9"/>
    <w:rsid w:val="00654620"/>
    <w:rsid w:val="006549C2"/>
    <w:rsid w:val="00655AC1"/>
    <w:rsid w:val="0065674F"/>
    <w:rsid w:val="0066589D"/>
    <w:rsid w:val="00675021"/>
    <w:rsid w:val="0067694D"/>
    <w:rsid w:val="0069127C"/>
    <w:rsid w:val="00691432"/>
    <w:rsid w:val="00692B6F"/>
    <w:rsid w:val="00693BF1"/>
    <w:rsid w:val="006A06C6"/>
    <w:rsid w:val="006A5FCE"/>
    <w:rsid w:val="006B1E5C"/>
    <w:rsid w:val="006C056D"/>
    <w:rsid w:val="006C15CC"/>
    <w:rsid w:val="006C59C3"/>
    <w:rsid w:val="006D36A3"/>
    <w:rsid w:val="006D57B3"/>
    <w:rsid w:val="006D7A7B"/>
    <w:rsid w:val="006E05D6"/>
    <w:rsid w:val="006E27CC"/>
    <w:rsid w:val="006E588F"/>
    <w:rsid w:val="00702991"/>
    <w:rsid w:val="007116D2"/>
    <w:rsid w:val="0071265D"/>
    <w:rsid w:val="007224C8"/>
    <w:rsid w:val="007225B4"/>
    <w:rsid w:val="0074140A"/>
    <w:rsid w:val="0074345C"/>
    <w:rsid w:val="0075674A"/>
    <w:rsid w:val="00761353"/>
    <w:rsid w:val="00762E5C"/>
    <w:rsid w:val="00766341"/>
    <w:rsid w:val="00772747"/>
    <w:rsid w:val="00773E6B"/>
    <w:rsid w:val="00781843"/>
    <w:rsid w:val="00792417"/>
    <w:rsid w:val="00794BE2"/>
    <w:rsid w:val="00797EC3"/>
    <w:rsid w:val="007B71FE"/>
    <w:rsid w:val="007D781E"/>
    <w:rsid w:val="007E663E"/>
    <w:rsid w:val="007F3D3A"/>
    <w:rsid w:val="007F756E"/>
    <w:rsid w:val="008106D2"/>
    <w:rsid w:val="00815082"/>
    <w:rsid w:val="008478D6"/>
    <w:rsid w:val="00852D1D"/>
    <w:rsid w:val="00860760"/>
    <w:rsid w:val="00870CE1"/>
    <w:rsid w:val="00875AE7"/>
    <w:rsid w:val="00876265"/>
    <w:rsid w:val="0088395E"/>
    <w:rsid w:val="00891684"/>
    <w:rsid w:val="00891CFD"/>
    <w:rsid w:val="008A6A79"/>
    <w:rsid w:val="008B2CC1"/>
    <w:rsid w:val="008B4034"/>
    <w:rsid w:val="008E6BD6"/>
    <w:rsid w:val="009019AD"/>
    <w:rsid w:val="009056DB"/>
    <w:rsid w:val="0090731E"/>
    <w:rsid w:val="00916512"/>
    <w:rsid w:val="00926B1A"/>
    <w:rsid w:val="009312E0"/>
    <w:rsid w:val="0093614A"/>
    <w:rsid w:val="0095061B"/>
    <w:rsid w:val="00955BC8"/>
    <w:rsid w:val="00966A22"/>
    <w:rsid w:val="00967C83"/>
    <w:rsid w:val="009705BE"/>
    <w:rsid w:val="00972C15"/>
    <w:rsid w:val="00972F03"/>
    <w:rsid w:val="009937A2"/>
    <w:rsid w:val="009A0C8B"/>
    <w:rsid w:val="009A66CB"/>
    <w:rsid w:val="009A7CE7"/>
    <w:rsid w:val="009B0092"/>
    <w:rsid w:val="009B0173"/>
    <w:rsid w:val="009B4891"/>
    <w:rsid w:val="009B6241"/>
    <w:rsid w:val="009C3165"/>
    <w:rsid w:val="009C7A8E"/>
    <w:rsid w:val="009E13C2"/>
    <w:rsid w:val="009E3144"/>
    <w:rsid w:val="009E6DBE"/>
    <w:rsid w:val="009F2FA4"/>
    <w:rsid w:val="009F6A9D"/>
    <w:rsid w:val="00A04ECE"/>
    <w:rsid w:val="00A16FC0"/>
    <w:rsid w:val="00A224FD"/>
    <w:rsid w:val="00A32C9E"/>
    <w:rsid w:val="00A4402C"/>
    <w:rsid w:val="00A50874"/>
    <w:rsid w:val="00A62DF8"/>
    <w:rsid w:val="00A72644"/>
    <w:rsid w:val="00A77F5C"/>
    <w:rsid w:val="00A852CA"/>
    <w:rsid w:val="00A916B9"/>
    <w:rsid w:val="00AA7A54"/>
    <w:rsid w:val="00AB0061"/>
    <w:rsid w:val="00AB613D"/>
    <w:rsid w:val="00AC0857"/>
    <w:rsid w:val="00AC0CD4"/>
    <w:rsid w:val="00AE7F20"/>
    <w:rsid w:val="00B03D68"/>
    <w:rsid w:val="00B05496"/>
    <w:rsid w:val="00B21631"/>
    <w:rsid w:val="00B30D83"/>
    <w:rsid w:val="00B3379B"/>
    <w:rsid w:val="00B4557E"/>
    <w:rsid w:val="00B46E3A"/>
    <w:rsid w:val="00B65A0A"/>
    <w:rsid w:val="00B67CDC"/>
    <w:rsid w:val="00B72D36"/>
    <w:rsid w:val="00B81B4B"/>
    <w:rsid w:val="00B849C7"/>
    <w:rsid w:val="00B85A3C"/>
    <w:rsid w:val="00B91F31"/>
    <w:rsid w:val="00B96917"/>
    <w:rsid w:val="00B97C8D"/>
    <w:rsid w:val="00BC4164"/>
    <w:rsid w:val="00BD041E"/>
    <w:rsid w:val="00BD2DCC"/>
    <w:rsid w:val="00BD637F"/>
    <w:rsid w:val="00BD793B"/>
    <w:rsid w:val="00BE415F"/>
    <w:rsid w:val="00C05E5A"/>
    <w:rsid w:val="00C160F9"/>
    <w:rsid w:val="00C34C97"/>
    <w:rsid w:val="00C40A6E"/>
    <w:rsid w:val="00C41C5E"/>
    <w:rsid w:val="00C855F1"/>
    <w:rsid w:val="00C90559"/>
    <w:rsid w:val="00C94642"/>
    <w:rsid w:val="00C95117"/>
    <w:rsid w:val="00CA2251"/>
    <w:rsid w:val="00CA36D4"/>
    <w:rsid w:val="00CB289A"/>
    <w:rsid w:val="00CB29B2"/>
    <w:rsid w:val="00CB6D81"/>
    <w:rsid w:val="00CC6E0D"/>
    <w:rsid w:val="00CD07A5"/>
    <w:rsid w:val="00CD3311"/>
    <w:rsid w:val="00D1202E"/>
    <w:rsid w:val="00D229EF"/>
    <w:rsid w:val="00D244E7"/>
    <w:rsid w:val="00D24812"/>
    <w:rsid w:val="00D26FB6"/>
    <w:rsid w:val="00D26FFB"/>
    <w:rsid w:val="00D40A9E"/>
    <w:rsid w:val="00D56C7C"/>
    <w:rsid w:val="00D57A2B"/>
    <w:rsid w:val="00D71B4D"/>
    <w:rsid w:val="00D74422"/>
    <w:rsid w:val="00D81509"/>
    <w:rsid w:val="00D90289"/>
    <w:rsid w:val="00D906EF"/>
    <w:rsid w:val="00D93D55"/>
    <w:rsid w:val="00DA5C75"/>
    <w:rsid w:val="00DA79A9"/>
    <w:rsid w:val="00DB0848"/>
    <w:rsid w:val="00DC4C60"/>
    <w:rsid w:val="00DC4E5F"/>
    <w:rsid w:val="00DC677B"/>
    <w:rsid w:val="00DD1550"/>
    <w:rsid w:val="00DF02BB"/>
    <w:rsid w:val="00DF6098"/>
    <w:rsid w:val="00DF750F"/>
    <w:rsid w:val="00E00028"/>
    <w:rsid w:val="00E0079A"/>
    <w:rsid w:val="00E00971"/>
    <w:rsid w:val="00E21235"/>
    <w:rsid w:val="00E21384"/>
    <w:rsid w:val="00E328EB"/>
    <w:rsid w:val="00E40965"/>
    <w:rsid w:val="00E444DA"/>
    <w:rsid w:val="00E45C84"/>
    <w:rsid w:val="00E504E5"/>
    <w:rsid w:val="00E52637"/>
    <w:rsid w:val="00E54CE4"/>
    <w:rsid w:val="00E5505A"/>
    <w:rsid w:val="00E631C1"/>
    <w:rsid w:val="00E651BB"/>
    <w:rsid w:val="00EB0C87"/>
    <w:rsid w:val="00EB3B9E"/>
    <w:rsid w:val="00EB6DF9"/>
    <w:rsid w:val="00EB779E"/>
    <w:rsid w:val="00EB7A3E"/>
    <w:rsid w:val="00EB7F08"/>
    <w:rsid w:val="00EC401A"/>
    <w:rsid w:val="00EC57E9"/>
    <w:rsid w:val="00ED053D"/>
    <w:rsid w:val="00ED2674"/>
    <w:rsid w:val="00ED3696"/>
    <w:rsid w:val="00ED5712"/>
    <w:rsid w:val="00ED5802"/>
    <w:rsid w:val="00EE168B"/>
    <w:rsid w:val="00EE3E96"/>
    <w:rsid w:val="00EF0462"/>
    <w:rsid w:val="00EF530A"/>
    <w:rsid w:val="00EF6622"/>
    <w:rsid w:val="00F010AE"/>
    <w:rsid w:val="00F0180A"/>
    <w:rsid w:val="00F10CBE"/>
    <w:rsid w:val="00F14B54"/>
    <w:rsid w:val="00F17914"/>
    <w:rsid w:val="00F23313"/>
    <w:rsid w:val="00F2566B"/>
    <w:rsid w:val="00F31194"/>
    <w:rsid w:val="00F55408"/>
    <w:rsid w:val="00F66152"/>
    <w:rsid w:val="00F80845"/>
    <w:rsid w:val="00F84474"/>
    <w:rsid w:val="00F911EE"/>
    <w:rsid w:val="00FA0F0D"/>
    <w:rsid w:val="00FA1113"/>
    <w:rsid w:val="00FA5186"/>
    <w:rsid w:val="00FA7969"/>
    <w:rsid w:val="00FC18DD"/>
    <w:rsid w:val="00FD0EDD"/>
    <w:rsid w:val="00FD23C9"/>
    <w:rsid w:val="00FD3586"/>
    <w:rsid w:val="00FD48C3"/>
    <w:rsid w:val="00FD59D1"/>
    <w:rsid w:val="00FE1122"/>
    <w:rsid w:val="00FF2A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styleId="ListParagraph">
    <w:name w:val="List Paragraph"/>
    <w:basedOn w:val="Normal"/>
    <w:uiPriority w:val="34"/>
    <w:qFormat/>
    <w:rsid w:val="00502F27"/>
    <w:pPr>
      <w:ind w:left="720"/>
      <w:contextualSpacing/>
    </w:pPr>
    <w:rPr>
      <w:lang w:val="en-US"/>
    </w:rPr>
  </w:style>
  <w:style w:type="character" w:styleId="Hyperlink">
    <w:name w:val="Hyperlink"/>
    <w:rsid w:val="00502F27"/>
    <w:rPr>
      <w:color w:val="0000FF"/>
      <w:u w:val="single"/>
    </w:rPr>
  </w:style>
  <w:style w:type="character" w:styleId="FootnoteReference">
    <w:name w:val="footnote reference"/>
    <w:aliases w:val="callout"/>
    <w:rsid w:val="00502F27"/>
    <w:rPr>
      <w:vertAlign w:val="superscript"/>
    </w:rPr>
  </w:style>
  <w:style w:type="character" w:customStyle="1" w:styleId="Heading3Char">
    <w:name w:val="Heading 3 Char"/>
    <w:link w:val="Heading3"/>
    <w:rsid w:val="00502F27"/>
    <w:rPr>
      <w:rFonts w:ascii="Arial" w:eastAsia="SimSun" w:hAnsi="Arial" w:cs="Arial"/>
      <w:bCs/>
      <w:sz w:val="22"/>
      <w:szCs w:val="26"/>
      <w:u w:val="single"/>
      <w:lang w:val="es-ES" w:eastAsia="zh-CN"/>
    </w:rPr>
  </w:style>
  <w:style w:type="character" w:styleId="CommentReference">
    <w:name w:val="annotation reference"/>
    <w:uiPriority w:val="99"/>
    <w:rsid w:val="00502F27"/>
    <w:rPr>
      <w:sz w:val="16"/>
      <w:szCs w:val="16"/>
    </w:rPr>
  </w:style>
  <w:style w:type="character" w:customStyle="1" w:styleId="CommentTextChar">
    <w:name w:val="Comment Text Char"/>
    <w:link w:val="CommentText"/>
    <w:uiPriority w:val="99"/>
    <w:semiHidden/>
    <w:rsid w:val="00502F27"/>
    <w:rPr>
      <w:rFonts w:ascii="Arial" w:eastAsia="SimSun" w:hAnsi="Arial" w:cs="Arial"/>
      <w:sz w:val="18"/>
      <w:lang w:val="es-ES" w:eastAsia="zh-CN"/>
    </w:rPr>
  </w:style>
  <w:style w:type="character" w:customStyle="1" w:styleId="HeaderChar">
    <w:name w:val="Header Char"/>
    <w:basedOn w:val="DefaultParagraphFont"/>
    <w:link w:val="Header"/>
    <w:uiPriority w:val="99"/>
    <w:rsid w:val="00502F2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02F27"/>
    <w:rPr>
      <w:rFonts w:ascii="Arial" w:eastAsia="SimSun" w:hAnsi="Arial" w:cs="Arial"/>
      <w:sz w:val="18"/>
      <w:lang w:val="es-ES" w:eastAsia="zh-CN"/>
    </w:rPr>
  </w:style>
  <w:style w:type="paragraph" w:customStyle="1" w:styleId="Endofdocument">
    <w:name w:val="End of document"/>
    <w:basedOn w:val="Normal"/>
    <w:link w:val="EndofdocumentChar"/>
    <w:rsid w:val="00502F27"/>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502F27"/>
    <w:rPr>
      <w:sz w:val="24"/>
    </w:rPr>
  </w:style>
  <w:style w:type="character" w:customStyle="1" w:styleId="FooterChar">
    <w:name w:val="Footer Char"/>
    <w:basedOn w:val="DefaultParagraphFont"/>
    <w:link w:val="Footer"/>
    <w:semiHidden/>
    <w:rsid w:val="00502F27"/>
    <w:rPr>
      <w:rFonts w:ascii="Arial" w:eastAsia="SimSun" w:hAnsi="Arial" w:cs="Arial"/>
      <w:sz w:val="22"/>
      <w:lang w:val="es-ES" w:eastAsia="zh-CN"/>
    </w:rPr>
  </w:style>
  <w:style w:type="character" w:customStyle="1" w:styleId="Heading1Char">
    <w:name w:val="Heading 1 Char"/>
    <w:link w:val="Heading1"/>
    <w:locked/>
    <w:rsid w:val="00502F27"/>
    <w:rPr>
      <w:rFonts w:ascii="Arial" w:eastAsia="SimSun" w:hAnsi="Arial" w:cs="Arial"/>
      <w:b/>
      <w:bCs/>
      <w:caps/>
      <w:kern w:val="32"/>
      <w:sz w:val="22"/>
      <w:szCs w:val="32"/>
      <w:lang w:val="es-ES" w:eastAsia="zh-CN"/>
    </w:rPr>
  </w:style>
  <w:style w:type="character" w:customStyle="1" w:styleId="Heading2Char">
    <w:name w:val="Heading 2 Char"/>
    <w:link w:val="Heading2"/>
    <w:locked/>
    <w:rsid w:val="00502F27"/>
    <w:rPr>
      <w:rFonts w:ascii="Arial" w:eastAsia="SimSun" w:hAnsi="Arial" w:cs="Arial"/>
      <w:bCs/>
      <w:iCs/>
      <w:caps/>
      <w:sz w:val="22"/>
      <w:szCs w:val="28"/>
      <w:lang w:val="es-ES" w:eastAsia="zh-CN"/>
    </w:rPr>
  </w:style>
  <w:style w:type="paragraph" w:customStyle="1" w:styleId="Default">
    <w:name w:val="Default"/>
    <w:rsid w:val="00502F2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02F27"/>
    <w:rPr>
      <w:rFonts w:ascii="Arial" w:eastAsia="SimSun" w:hAnsi="Arial" w:cs="Arial"/>
      <w:sz w:val="22"/>
      <w:lang w:eastAsia="zh-CN"/>
    </w:rPr>
  </w:style>
  <w:style w:type="character" w:customStyle="1" w:styleId="Heading4Char">
    <w:name w:val="Heading 4 Char"/>
    <w:basedOn w:val="DefaultParagraphFont"/>
    <w:link w:val="Heading4"/>
    <w:rsid w:val="00502F27"/>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rsid w:val="00502F27"/>
    <w:rPr>
      <w:rFonts w:ascii="Arial" w:eastAsia="SimSun" w:hAnsi="Arial" w:cs="Arial"/>
      <w:sz w:val="22"/>
      <w:lang w:val="es-ES" w:eastAsia="zh-CN"/>
    </w:rPr>
  </w:style>
  <w:style w:type="paragraph" w:customStyle="1" w:styleId="CarCar">
    <w:name w:val="Car Car"/>
    <w:basedOn w:val="Normal"/>
    <w:rsid w:val="00502F27"/>
    <w:pPr>
      <w:spacing w:after="160" w:line="240" w:lineRule="exact"/>
    </w:pPr>
    <w:rPr>
      <w:rFonts w:ascii="Verdana" w:eastAsia="Times New Roman" w:hAnsi="Verdana" w:cs="Times New Roman"/>
      <w:sz w:val="20"/>
      <w:lang w:val="en-GB" w:eastAsia="en-US"/>
    </w:rPr>
  </w:style>
  <w:style w:type="character" w:customStyle="1" w:styleId="Endofdocument-AnnexChar">
    <w:name w:val="[End of document - Annex] Char"/>
    <w:link w:val="Endofdocument-Annex"/>
    <w:rsid w:val="00502F27"/>
    <w:rPr>
      <w:rFonts w:ascii="Arial" w:eastAsia="SimSun" w:hAnsi="Arial" w:cs="Arial"/>
      <w:sz w:val="22"/>
      <w:lang w:eastAsia="zh-CN"/>
    </w:rPr>
  </w:style>
  <w:style w:type="character" w:styleId="FollowedHyperlink">
    <w:name w:val="FollowedHyperlink"/>
    <w:basedOn w:val="DefaultParagraphFont"/>
    <w:rsid w:val="00D26FB6"/>
    <w:rPr>
      <w:color w:val="800080" w:themeColor="followedHyperlink"/>
      <w:u w:val="single"/>
    </w:rPr>
  </w:style>
  <w:style w:type="character" w:styleId="Strong">
    <w:name w:val="Strong"/>
    <w:basedOn w:val="DefaultParagraphFont"/>
    <w:qFormat/>
    <w:rsid w:val="00761353"/>
    <w:rPr>
      <w:b/>
      <w:bCs/>
    </w:rPr>
  </w:style>
  <w:style w:type="paragraph" w:styleId="CommentSubject">
    <w:name w:val="annotation subject"/>
    <w:basedOn w:val="CommentText"/>
    <w:next w:val="CommentText"/>
    <w:link w:val="CommentSubjectChar"/>
    <w:rsid w:val="00C41C5E"/>
    <w:rPr>
      <w:b/>
      <w:bCs/>
      <w:sz w:val="20"/>
    </w:rPr>
  </w:style>
  <w:style w:type="character" w:customStyle="1" w:styleId="CommentSubjectChar">
    <w:name w:val="Comment Subject Char"/>
    <w:basedOn w:val="CommentTextChar"/>
    <w:link w:val="CommentSubject"/>
    <w:rsid w:val="00C41C5E"/>
    <w:rPr>
      <w:rFonts w:ascii="Arial" w:eastAsia="SimSun" w:hAnsi="Arial" w:cs="Arial"/>
      <w:b/>
      <w:bCs/>
      <w:sz w:val="18"/>
      <w:lang w:val="es-ES" w:eastAsia="zh-CN"/>
    </w:rPr>
  </w:style>
  <w:style w:type="character" w:styleId="Emphasis">
    <w:name w:val="Emphasis"/>
    <w:basedOn w:val="DefaultParagraphFont"/>
    <w:uiPriority w:val="20"/>
    <w:qFormat/>
    <w:rsid w:val="0074140A"/>
    <w:rPr>
      <w:b/>
      <w:bCs/>
      <w:i w:val="0"/>
      <w:iCs w:val="0"/>
    </w:rPr>
  </w:style>
  <w:style w:type="character" w:customStyle="1" w:styleId="st1">
    <w:name w:val="st1"/>
    <w:basedOn w:val="DefaultParagraphFont"/>
    <w:rsid w:val="0074140A"/>
  </w:style>
  <w:style w:type="character" w:customStyle="1" w:styleId="preferred">
    <w:name w:val="preferred"/>
    <w:basedOn w:val="DefaultParagraphFont"/>
    <w:rsid w:val="00ED053D"/>
  </w:style>
  <w:style w:type="character" w:customStyle="1" w:styleId="admitted">
    <w:name w:val="admitted"/>
    <w:basedOn w:val="DefaultParagraphFont"/>
    <w:rsid w:val="00ED053D"/>
  </w:style>
  <w:style w:type="character" w:customStyle="1" w:styleId="es">
    <w:name w:val="es"/>
    <w:basedOn w:val="DefaultParagraphFont"/>
    <w:rsid w:val="00ED0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paragraph" w:styleId="ListParagraph">
    <w:name w:val="List Paragraph"/>
    <w:basedOn w:val="Normal"/>
    <w:uiPriority w:val="34"/>
    <w:qFormat/>
    <w:rsid w:val="00502F27"/>
    <w:pPr>
      <w:ind w:left="720"/>
      <w:contextualSpacing/>
    </w:pPr>
    <w:rPr>
      <w:lang w:val="en-US"/>
    </w:rPr>
  </w:style>
  <w:style w:type="character" w:styleId="Hyperlink">
    <w:name w:val="Hyperlink"/>
    <w:rsid w:val="00502F27"/>
    <w:rPr>
      <w:color w:val="0000FF"/>
      <w:u w:val="single"/>
    </w:rPr>
  </w:style>
  <w:style w:type="character" w:styleId="FootnoteReference">
    <w:name w:val="footnote reference"/>
    <w:aliases w:val="callout"/>
    <w:rsid w:val="00502F27"/>
    <w:rPr>
      <w:vertAlign w:val="superscript"/>
    </w:rPr>
  </w:style>
  <w:style w:type="character" w:customStyle="1" w:styleId="Heading3Char">
    <w:name w:val="Heading 3 Char"/>
    <w:link w:val="Heading3"/>
    <w:rsid w:val="00502F27"/>
    <w:rPr>
      <w:rFonts w:ascii="Arial" w:eastAsia="SimSun" w:hAnsi="Arial" w:cs="Arial"/>
      <w:bCs/>
      <w:sz w:val="22"/>
      <w:szCs w:val="26"/>
      <w:u w:val="single"/>
      <w:lang w:val="es-ES" w:eastAsia="zh-CN"/>
    </w:rPr>
  </w:style>
  <w:style w:type="character" w:styleId="CommentReference">
    <w:name w:val="annotation reference"/>
    <w:uiPriority w:val="99"/>
    <w:rsid w:val="00502F27"/>
    <w:rPr>
      <w:sz w:val="16"/>
      <w:szCs w:val="16"/>
    </w:rPr>
  </w:style>
  <w:style w:type="character" w:customStyle="1" w:styleId="CommentTextChar">
    <w:name w:val="Comment Text Char"/>
    <w:link w:val="CommentText"/>
    <w:uiPriority w:val="99"/>
    <w:semiHidden/>
    <w:rsid w:val="00502F27"/>
    <w:rPr>
      <w:rFonts w:ascii="Arial" w:eastAsia="SimSun" w:hAnsi="Arial" w:cs="Arial"/>
      <w:sz w:val="18"/>
      <w:lang w:val="es-ES" w:eastAsia="zh-CN"/>
    </w:rPr>
  </w:style>
  <w:style w:type="character" w:customStyle="1" w:styleId="HeaderChar">
    <w:name w:val="Header Char"/>
    <w:basedOn w:val="DefaultParagraphFont"/>
    <w:link w:val="Header"/>
    <w:uiPriority w:val="99"/>
    <w:rsid w:val="00502F27"/>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02F27"/>
    <w:rPr>
      <w:rFonts w:ascii="Arial" w:eastAsia="SimSun" w:hAnsi="Arial" w:cs="Arial"/>
      <w:sz w:val="18"/>
      <w:lang w:val="es-ES" w:eastAsia="zh-CN"/>
    </w:rPr>
  </w:style>
  <w:style w:type="paragraph" w:customStyle="1" w:styleId="Endofdocument">
    <w:name w:val="End of document"/>
    <w:basedOn w:val="Normal"/>
    <w:link w:val="EndofdocumentChar"/>
    <w:rsid w:val="00502F27"/>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502F27"/>
    <w:rPr>
      <w:sz w:val="24"/>
    </w:rPr>
  </w:style>
  <w:style w:type="character" w:customStyle="1" w:styleId="FooterChar">
    <w:name w:val="Footer Char"/>
    <w:basedOn w:val="DefaultParagraphFont"/>
    <w:link w:val="Footer"/>
    <w:semiHidden/>
    <w:rsid w:val="00502F27"/>
    <w:rPr>
      <w:rFonts w:ascii="Arial" w:eastAsia="SimSun" w:hAnsi="Arial" w:cs="Arial"/>
      <w:sz w:val="22"/>
      <w:lang w:val="es-ES" w:eastAsia="zh-CN"/>
    </w:rPr>
  </w:style>
  <w:style w:type="character" w:customStyle="1" w:styleId="Heading1Char">
    <w:name w:val="Heading 1 Char"/>
    <w:link w:val="Heading1"/>
    <w:locked/>
    <w:rsid w:val="00502F27"/>
    <w:rPr>
      <w:rFonts w:ascii="Arial" w:eastAsia="SimSun" w:hAnsi="Arial" w:cs="Arial"/>
      <w:b/>
      <w:bCs/>
      <w:caps/>
      <w:kern w:val="32"/>
      <w:sz w:val="22"/>
      <w:szCs w:val="32"/>
      <w:lang w:val="es-ES" w:eastAsia="zh-CN"/>
    </w:rPr>
  </w:style>
  <w:style w:type="character" w:customStyle="1" w:styleId="Heading2Char">
    <w:name w:val="Heading 2 Char"/>
    <w:link w:val="Heading2"/>
    <w:locked/>
    <w:rsid w:val="00502F27"/>
    <w:rPr>
      <w:rFonts w:ascii="Arial" w:eastAsia="SimSun" w:hAnsi="Arial" w:cs="Arial"/>
      <w:bCs/>
      <w:iCs/>
      <w:caps/>
      <w:sz w:val="22"/>
      <w:szCs w:val="28"/>
      <w:lang w:val="es-ES" w:eastAsia="zh-CN"/>
    </w:rPr>
  </w:style>
  <w:style w:type="paragraph" w:customStyle="1" w:styleId="Default">
    <w:name w:val="Default"/>
    <w:rsid w:val="00502F2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02F27"/>
    <w:rPr>
      <w:rFonts w:ascii="Arial" w:eastAsia="SimSun" w:hAnsi="Arial" w:cs="Arial"/>
      <w:sz w:val="22"/>
      <w:lang w:eastAsia="zh-CN"/>
    </w:rPr>
  </w:style>
  <w:style w:type="character" w:customStyle="1" w:styleId="Heading4Char">
    <w:name w:val="Heading 4 Char"/>
    <w:basedOn w:val="DefaultParagraphFont"/>
    <w:link w:val="Heading4"/>
    <w:rsid w:val="00502F27"/>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rsid w:val="00502F27"/>
    <w:rPr>
      <w:rFonts w:ascii="Arial" w:eastAsia="SimSun" w:hAnsi="Arial" w:cs="Arial"/>
      <w:sz w:val="22"/>
      <w:lang w:val="es-ES" w:eastAsia="zh-CN"/>
    </w:rPr>
  </w:style>
  <w:style w:type="paragraph" w:customStyle="1" w:styleId="CarCar">
    <w:name w:val="Car Car"/>
    <w:basedOn w:val="Normal"/>
    <w:rsid w:val="00502F27"/>
    <w:pPr>
      <w:spacing w:after="160" w:line="240" w:lineRule="exact"/>
    </w:pPr>
    <w:rPr>
      <w:rFonts w:ascii="Verdana" w:eastAsia="Times New Roman" w:hAnsi="Verdana" w:cs="Times New Roman"/>
      <w:sz w:val="20"/>
      <w:lang w:val="en-GB" w:eastAsia="en-US"/>
    </w:rPr>
  </w:style>
  <w:style w:type="character" w:customStyle="1" w:styleId="Endofdocument-AnnexChar">
    <w:name w:val="[End of document - Annex] Char"/>
    <w:link w:val="Endofdocument-Annex"/>
    <w:rsid w:val="00502F27"/>
    <w:rPr>
      <w:rFonts w:ascii="Arial" w:eastAsia="SimSun" w:hAnsi="Arial" w:cs="Arial"/>
      <w:sz w:val="22"/>
      <w:lang w:eastAsia="zh-CN"/>
    </w:rPr>
  </w:style>
  <w:style w:type="character" w:styleId="FollowedHyperlink">
    <w:name w:val="FollowedHyperlink"/>
    <w:basedOn w:val="DefaultParagraphFont"/>
    <w:rsid w:val="00D26FB6"/>
    <w:rPr>
      <w:color w:val="800080" w:themeColor="followedHyperlink"/>
      <w:u w:val="single"/>
    </w:rPr>
  </w:style>
  <w:style w:type="character" w:styleId="Strong">
    <w:name w:val="Strong"/>
    <w:basedOn w:val="DefaultParagraphFont"/>
    <w:qFormat/>
    <w:rsid w:val="00761353"/>
    <w:rPr>
      <w:b/>
      <w:bCs/>
    </w:rPr>
  </w:style>
  <w:style w:type="paragraph" w:styleId="CommentSubject">
    <w:name w:val="annotation subject"/>
    <w:basedOn w:val="CommentText"/>
    <w:next w:val="CommentText"/>
    <w:link w:val="CommentSubjectChar"/>
    <w:rsid w:val="00C41C5E"/>
    <w:rPr>
      <w:b/>
      <w:bCs/>
      <w:sz w:val="20"/>
    </w:rPr>
  </w:style>
  <w:style w:type="character" w:customStyle="1" w:styleId="CommentSubjectChar">
    <w:name w:val="Comment Subject Char"/>
    <w:basedOn w:val="CommentTextChar"/>
    <w:link w:val="CommentSubject"/>
    <w:rsid w:val="00C41C5E"/>
    <w:rPr>
      <w:rFonts w:ascii="Arial" w:eastAsia="SimSun" w:hAnsi="Arial" w:cs="Arial"/>
      <w:b/>
      <w:bCs/>
      <w:sz w:val="18"/>
      <w:lang w:val="es-ES" w:eastAsia="zh-CN"/>
    </w:rPr>
  </w:style>
  <w:style w:type="character" w:styleId="Emphasis">
    <w:name w:val="Emphasis"/>
    <w:basedOn w:val="DefaultParagraphFont"/>
    <w:uiPriority w:val="20"/>
    <w:qFormat/>
    <w:rsid w:val="0074140A"/>
    <w:rPr>
      <w:b/>
      <w:bCs/>
      <w:i w:val="0"/>
      <w:iCs w:val="0"/>
    </w:rPr>
  </w:style>
  <w:style w:type="character" w:customStyle="1" w:styleId="st1">
    <w:name w:val="st1"/>
    <w:basedOn w:val="DefaultParagraphFont"/>
    <w:rsid w:val="0074140A"/>
  </w:style>
  <w:style w:type="character" w:customStyle="1" w:styleId="preferred">
    <w:name w:val="preferred"/>
    <w:basedOn w:val="DefaultParagraphFont"/>
    <w:rsid w:val="00ED053D"/>
  </w:style>
  <w:style w:type="character" w:customStyle="1" w:styleId="admitted">
    <w:name w:val="admitted"/>
    <w:basedOn w:val="DefaultParagraphFont"/>
    <w:rsid w:val="00ED053D"/>
  </w:style>
  <w:style w:type="character" w:customStyle="1" w:styleId="es">
    <w:name w:val="es"/>
    <w:basedOn w:val="DefaultParagraphFont"/>
    <w:rsid w:val="00ED0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wipo.int/edocs/mdocs/mdocs/en/cdip_9/cdip_9_inf_4.pdf" TargetMode="External"/><Relationship Id="rId26" Type="http://schemas.openxmlformats.org/officeDocument/2006/relationships/hyperlink" Target="http://www.wipo.int/edocs/mdocs/mdocs/en/cdip_9/cdip_9_inf_4.pdf" TargetMode="External"/><Relationship Id="rId39" Type="http://schemas.openxmlformats.org/officeDocument/2006/relationships/hyperlink" Target="http://www.wipo.int/meetings/es/details.jsp?meeting_id=31762" TargetMode="External"/><Relationship Id="rId21" Type="http://schemas.openxmlformats.org/officeDocument/2006/relationships/hyperlink" Target="http://www.wipo.int/meetings/en/details.jsp?meeting_id=31263" TargetMode="External"/><Relationship Id="rId34" Type="http://schemas.openxmlformats.org/officeDocument/2006/relationships/header" Target="header7.xml"/><Relationship Id="rId42" Type="http://schemas.openxmlformats.org/officeDocument/2006/relationships/hyperlink" Target="http://www.wipo.int/meetings/en/doc_details.jsp?doc_id=186340" TargetMode="External"/><Relationship Id="rId47" Type="http://schemas.openxmlformats.org/officeDocument/2006/relationships/header" Target="header8.xml"/><Relationship Id="rId50" Type="http://schemas.openxmlformats.org/officeDocument/2006/relationships/header" Target="header10.xml"/><Relationship Id="rId55" Type="http://schemas.openxmlformats.org/officeDocument/2006/relationships/hyperlink" Target="http://www.wipo.int/meetings/en/doc_details.jsp?doc_id=268822" TargetMode="External"/><Relationship Id="rId63" Type="http://schemas.openxmlformats.org/officeDocument/2006/relationships/header" Target="header18.xml"/><Relationship Id="rId68" Type="http://schemas.openxmlformats.org/officeDocument/2006/relationships/header" Target="header21.xml"/><Relationship Id="rId76" Type="http://schemas.openxmlformats.org/officeDocument/2006/relationships/hyperlink" Target="http://www.wipo.int/meetings/en/doc_details.jsp?doc_id=217828" TargetMode="External"/><Relationship Id="rId84" Type="http://schemas.openxmlformats.org/officeDocument/2006/relationships/hyperlink" Target="http://www.wipo.int/ip-development/en/agenda/flexibilities/" TargetMode="Externa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www.wipo.int/meetings/en/doc_details.jsp?doc_id=217828" TargetMode="External"/><Relationship Id="rId11" Type="http://schemas.openxmlformats.org/officeDocument/2006/relationships/footer" Target="footer1.xml"/><Relationship Id="rId24" Type="http://schemas.openxmlformats.org/officeDocument/2006/relationships/hyperlink" Target="http://www.wipo.int/meetings/en/details.jsp?meeting_id=31243" TargetMode="External"/><Relationship Id="rId32" Type="http://schemas.openxmlformats.org/officeDocument/2006/relationships/hyperlink" Target="http://www.wipo.int/edocs/mdocs/mdocs/en/cdip_9/cdip_9_inf_4.pdf" TargetMode="External"/><Relationship Id="rId37" Type="http://schemas.openxmlformats.org/officeDocument/2006/relationships/hyperlink" Target="http://www.wipo.int/edocs/mdocs/mdocs/es/cdip_8/cdip_8_inf_7.pdf" TargetMode="External"/><Relationship Id="rId40" Type="http://schemas.openxmlformats.org/officeDocument/2006/relationships/hyperlink" Target="http://www.wipo.int/pressroom/en/stories/collaborative_innovation.html" TargetMode="External"/><Relationship Id="rId45" Type="http://schemas.openxmlformats.org/officeDocument/2006/relationships/hyperlink" Target="http://www.wipo.int/meetings/es/details.jsp?meeting_id=31762" TargetMode="External"/><Relationship Id="rId53" Type="http://schemas.openxmlformats.org/officeDocument/2006/relationships/hyperlink" Target="http://www.wipo.int/meetings/es/details.jsp?meeting_id=30462" TargetMode="External"/><Relationship Id="rId58" Type="http://schemas.openxmlformats.org/officeDocument/2006/relationships/header" Target="header14.xml"/><Relationship Id="rId66" Type="http://schemas.openxmlformats.org/officeDocument/2006/relationships/hyperlink" Target="https://www3.wipo.int/confluence/display/ppenipa/Start-Up+National+IP+Academies" TargetMode="External"/><Relationship Id="rId74" Type="http://schemas.openxmlformats.org/officeDocument/2006/relationships/hyperlink" Target="http://www.wipo.int/export/sites/www/freepublications/es/training/467/wipo_pub_467_2014.pdf" TargetMode="External"/><Relationship Id="rId79" Type="http://schemas.openxmlformats.org/officeDocument/2006/relationships/hyperlink" Target="http://www.wipo.int/export/sites/www/about-wipo/en/oversight/iaod/investigations/pdf/investigation_procedure_manual.pdf"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7.xml"/><Relationship Id="rId82" Type="http://schemas.openxmlformats.org/officeDocument/2006/relationships/hyperlink" Target="http://www.wipo.int/export/sites/www/erecruitment/en/pdf/staff_rules_part_a.pdf" TargetMode="External"/><Relationship Id="rId19" Type="http://schemas.openxmlformats.org/officeDocument/2006/relationships/hyperlink" Target="http://www.wipo.int/meetings/en/doc_details.jsp?doc_id=24974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wipo.int/meetings/en/details.jsp?meeting_id=30703" TargetMode="External"/><Relationship Id="rId27" Type="http://schemas.openxmlformats.org/officeDocument/2006/relationships/hyperlink" Target="http://www.wipo.int/meetings/en/doc_details.jsp?doc_id=249743" TargetMode="External"/><Relationship Id="rId30" Type="http://schemas.openxmlformats.org/officeDocument/2006/relationships/hyperlink" Target="http://www.wipo.int/meetings/en/doc_details.jsp?doc_id=249743" TargetMode="External"/><Relationship Id="rId35" Type="http://schemas.openxmlformats.org/officeDocument/2006/relationships/hyperlink" Target="http://www.wipo.int/edocs/mdocs/mdocs/es/cdip_6/cdip_6_6_rev.pdf" TargetMode="External"/><Relationship Id="rId43" Type="http://schemas.openxmlformats.org/officeDocument/2006/relationships/hyperlink" Target="http://www.wipo.int/meetings/en/doc_details.jsp?doc_id=217828" TargetMode="External"/><Relationship Id="rId48" Type="http://schemas.openxmlformats.org/officeDocument/2006/relationships/header" Target="header9.xml"/><Relationship Id="rId56" Type="http://schemas.openxmlformats.org/officeDocument/2006/relationships/header" Target="header12.xml"/><Relationship Id="rId64" Type="http://schemas.openxmlformats.org/officeDocument/2006/relationships/header" Target="header19.xml"/><Relationship Id="rId69" Type="http://schemas.openxmlformats.org/officeDocument/2006/relationships/header" Target="header22.xml"/><Relationship Id="rId77" Type="http://schemas.openxmlformats.org/officeDocument/2006/relationships/hyperlink" Target="http://www.wipo.int/meetings/en/doc_details.jsp?doc_id=249743" TargetMode="External"/><Relationship Id="rId8" Type="http://schemas.openxmlformats.org/officeDocument/2006/relationships/image" Target="media/image1.jpeg"/><Relationship Id="rId51" Type="http://schemas.openxmlformats.org/officeDocument/2006/relationships/header" Target="header11.xml"/><Relationship Id="rId72" Type="http://schemas.openxmlformats.org/officeDocument/2006/relationships/header" Target="header25.xml"/><Relationship Id="rId80" Type="http://schemas.openxmlformats.org/officeDocument/2006/relationships/hyperlink" Target="http://www.wipo.int/export/sites/www/about-wipo/en/oversight/iaod/investigations/pdf/investigation_policy_2014.pdf" TargetMode="External"/><Relationship Id="rId85" Type="http://schemas.openxmlformats.org/officeDocument/2006/relationships/header" Target="header27.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www.wipo.int/edocs/mdocs/mdocs/en/cdip_9/cdip_9_inf_4.pdf" TargetMode="External"/><Relationship Id="rId25" Type="http://schemas.openxmlformats.org/officeDocument/2006/relationships/hyperlink" Target="http://www.wipo.int/edocs/mdocs/mdocs/en/cdip_9/cdip_9_inf_4.pdf" TargetMode="External"/><Relationship Id="rId33" Type="http://schemas.openxmlformats.org/officeDocument/2006/relationships/header" Target="header6.xml"/><Relationship Id="rId38" Type="http://schemas.openxmlformats.org/officeDocument/2006/relationships/hyperlink" Target="http://www.wipo.int/meetings/es/details.jsp?meeting_id=26782" TargetMode="External"/><Relationship Id="rId46" Type="http://schemas.openxmlformats.org/officeDocument/2006/relationships/hyperlink" Target="http://www.wipo.int/pressroom/es/stories/collaborative_innovation.html" TargetMode="External"/><Relationship Id="rId59" Type="http://schemas.openxmlformats.org/officeDocument/2006/relationships/header" Target="header15.xml"/><Relationship Id="rId67" Type="http://schemas.openxmlformats.org/officeDocument/2006/relationships/header" Target="header20.xml"/><Relationship Id="rId20" Type="http://schemas.openxmlformats.org/officeDocument/2006/relationships/hyperlink" Target="http://www.wipo.int/meetings/en/details.jsp?meeting_id=28643" TargetMode="External"/><Relationship Id="rId41" Type="http://schemas.openxmlformats.org/officeDocument/2006/relationships/hyperlink" Target="http://www.wipo.int/meetings/en/doc_details.jsp?doc_id=249743" TargetMode="External"/><Relationship Id="rId54" Type="http://schemas.openxmlformats.org/officeDocument/2006/relationships/hyperlink" Target="http://www.wipo.int/meetings/es/doc_details.jsp?doc_id=268822" TargetMode="External"/><Relationship Id="rId62" Type="http://schemas.openxmlformats.org/officeDocument/2006/relationships/hyperlink" Target="http://www.wipo.int/export/sites/www/TISC%20/en/doc/TISC%20_2011_survey_report.pdf" TargetMode="External"/><Relationship Id="rId70" Type="http://schemas.openxmlformats.org/officeDocument/2006/relationships/header" Target="header23.xml"/><Relationship Id="rId75" Type="http://schemas.openxmlformats.org/officeDocument/2006/relationships/hyperlink" Target="http://www.wipo.int/meetings/en/doc_details.jsp?doc_id=186340" TargetMode="External"/><Relationship Id="rId83" Type="http://schemas.openxmlformats.org/officeDocument/2006/relationships/hyperlink" Target="http://www.wipo.int/research/en/"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wipo.int/meetings/en/details.jsp?meeting_id=31242" TargetMode="External"/><Relationship Id="rId28" Type="http://schemas.openxmlformats.org/officeDocument/2006/relationships/hyperlink" Target="http://www.wipo.int/meetings/en/doc_details.jsp?doc_id=186340" TargetMode="External"/><Relationship Id="rId36" Type="http://schemas.openxmlformats.org/officeDocument/2006/relationships/hyperlink" Target="http://www.wipo.int/meetings/en/doc_details.jsp?doc_id=249743" TargetMode="External"/><Relationship Id="rId49" Type="http://schemas.openxmlformats.org/officeDocument/2006/relationships/hyperlink" Target="http://www.wipo.int/meetings/es/doc_details.jsp?doc_id=283200" TargetMode="External"/><Relationship Id="rId57" Type="http://schemas.openxmlformats.org/officeDocument/2006/relationships/header" Target="header13.xml"/><Relationship Id="rId10" Type="http://schemas.openxmlformats.org/officeDocument/2006/relationships/header" Target="header2.xml"/><Relationship Id="rId31" Type="http://schemas.openxmlformats.org/officeDocument/2006/relationships/hyperlink" Target="http://www.wipo.int/edocs/mdocs/mdocs/en/cdip_9/cdip_9_inf_4.pdf" TargetMode="External"/><Relationship Id="rId44" Type="http://schemas.openxmlformats.org/officeDocument/2006/relationships/hyperlink" Target="http://www.wipo.int/meetings/en/doc_details.jsp?doc_id=249743" TargetMode="External"/><Relationship Id="rId52" Type="http://schemas.openxmlformats.org/officeDocument/2006/relationships/hyperlink" Target="http://www.wipo.int/edocs/mdocs/mdocs/es/cdip_13/cdip_13_summary.pdf" TargetMode="External"/><Relationship Id="rId60" Type="http://schemas.openxmlformats.org/officeDocument/2006/relationships/header" Target="header16.xml"/><Relationship Id="rId65" Type="http://schemas.openxmlformats.org/officeDocument/2006/relationships/hyperlink" Target="http://api.sic.gov.co/" TargetMode="External"/><Relationship Id="rId73" Type="http://schemas.openxmlformats.org/officeDocument/2006/relationships/header" Target="header26.xml"/><Relationship Id="rId78" Type="http://schemas.openxmlformats.org/officeDocument/2006/relationships/hyperlink" Target="http://www.wipo.int/meetings/en/doc_details.jsp?doc_id=268876" TargetMode="External"/><Relationship Id="rId81" Type="http://schemas.openxmlformats.org/officeDocument/2006/relationships/hyperlink" Target="http://www.wipo.int/export/sites/www/about-wipo/en/oversight/iaod/investigations/pdf/investigation_procedures_manual_2nd_edition.pdf" TargetMode="External"/><Relationship Id="rId86" Type="http://schemas.openxmlformats.org/officeDocument/2006/relationships/header" Target="header28.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268876" TargetMode="External"/><Relationship Id="rId1" Type="http://schemas.openxmlformats.org/officeDocument/2006/relationships/hyperlink" Target="http://www.wipo.int/patentscope/en/programs/patent_landsc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39798</Words>
  <Characters>226854</Characters>
  <Application>Microsoft Office Word</Application>
  <DocSecurity>0</DocSecurity>
  <Lines>1890</Lines>
  <Paragraphs>532</Paragraphs>
  <ScaleCrop>false</ScaleCrop>
  <Company/>
  <LinksUpToDate>false</LinksUpToDate>
  <CharactersWithSpaces>266120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2014-10-17T13:37:00Z</dcterms:created>
  <dcterms:modified xsi:type="dcterms:W3CDTF">2014-10-17T13:38:00Z</dcterms:modified>
</cp:coreProperties>
</file>