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57630" w:rsidRPr="00C5763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57630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57630" w:rsidRDefault="00CA41B3" w:rsidP="00AB613D">
            <w:r w:rsidRPr="00C57630">
              <w:rPr>
                <w:noProof/>
                <w:lang w:val="en-US" w:eastAsia="en-US"/>
              </w:rPr>
              <w:drawing>
                <wp:inline distT="0" distB="0" distL="0" distR="0" wp14:anchorId="6CB09E04" wp14:editId="4EAAFAB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57630" w:rsidRDefault="001C310D" w:rsidP="001C310D">
            <w:pPr>
              <w:jc w:val="right"/>
            </w:pPr>
            <w:r w:rsidRPr="00C57630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C57630" w:rsidRPr="00C57630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57630" w:rsidRDefault="00DB2335" w:rsidP="001C435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7630">
              <w:rPr>
                <w:rFonts w:ascii="Arial Black" w:hAnsi="Arial Black"/>
                <w:caps/>
                <w:sz w:val="15"/>
              </w:rPr>
              <w:t>CDIP/13/</w:t>
            </w:r>
            <w:bookmarkStart w:id="0" w:name="Code"/>
            <w:bookmarkEnd w:id="0"/>
            <w:r w:rsidR="009F0469" w:rsidRPr="00C57630">
              <w:rPr>
                <w:rFonts w:ascii="Arial Black" w:hAnsi="Arial Black"/>
                <w:caps/>
                <w:sz w:val="15"/>
              </w:rPr>
              <w:t>INF/</w:t>
            </w:r>
            <w:r w:rsidR="001C435A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C57630" w:rsidRPr="00C5763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57630" w:rsidRDefault="00330B1A" w:rsidP="001C31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7630">
              <w:rPr>
                <w:rFonts w:ascii="Arial Black" w:hAnsi="Arial Black"/>
                <w:sz w:val="15"/>
                <w:lang w:val="es-ES_tradnl"/>
              </w:rPr>
              <w:t>ORIGINAL</w:t>
            </w:r>
            <w:r w:rsidR="001C310D" w:rsidRPr="00C57630">
              <w:rPr>
                <w:rFonts w:ascii="Arial Black" w:hAnsi="Arial Black"/>
                <w:sz w:val="15"/>
                <w:lang w:val="es-ES_tradnl"/>
              </w:rPr>
              <w:t>:  INGLÉS</w:t>
            </w:r>
          </w:p>
        </w:tc>
      </w:tr>
      <w:tr w:rsidR="00C57630" w:rsidRPr="00C5763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57630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7630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57630">
              <w:rPr>
                <w:rFonts w:ascii="Arial Black" w:hAnsi="Arial Black"/>
                <w:caps/>
                <w:sz w:val="15"/>
              </w:rPr>
              <w:t>:</w:t>
            </w:r>
            <w:r w:rsidR="00F84474" w:rsidRPr="00C5763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5763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9F0469" w:rsidRPr="00C57630">
              <w:rPr>
                <w:rFonts w:ascii="Arial Black" w:hAnsi="Arial Black"/>
                <w:caps/>
                <w:sz w:val="15"/>
              </w:rPr>
              <w:t>15 de abril de 2014</w:t>
            </w:r>
          </w:p>
        </w:tc>
      </w:tr>
    </w:tbl>
    <w:p w:rsidR="004F75F9" w:rsidRPr="00C57630" w:rsidRDefault="004F75F9" w:rsidP="008B2CC1"/>
    <w:p w:rsidR="004F75F9" w:rsidRPr="00C57630" w:rsidRDefault="004F75F9" w:rsidP="008B2CC1"/>
    <w:p w:rsidR="004F75F9" w:rsidRPr="00C57630" w:rsidRDefault="004F75F9" w:rsidP="008B2CC1"/>
    <w:p w:rsidR="004F75F9" w:rsidRPr="00C57630" w:rsidRDefault="004F75F9" w:rsidP="008B2CC1"/>
    <w:p w:rsidR="004F75F9" w:rsidRPr="00C57630" w:rsidRDefault="004F75F9" w:rsidP="008B2CC1"/>
    <w:p w:rsidR="004F75F9" w:rsidRPr="00C57630" w:rsidRDefault="00591659" w:rsidP="00B67CDC">
      <w:pPr>
        <w:rPr>
          <w:b/>
          <w:sz w:val="28"/>
          <w:szCs w:val="28"/>
        </w:rPr>
      </w:pPr>
      <w:r w:rsidRPr="00C57630">
        <w:rPr>
          <w:b/>
          <w:sz w:val="28"/>
          <w:szCs w:val="28"/>
        </w:rPr>
        <w:t>Comité de Desarrollo y Propiedad Intelectual (CDIP)</w:t>
      </w:r>
    </w:p>
    <w:p w:rsidR="004F75F9" w:rsidRPr="00C57630" w:rsidRDefault="004F75F9" w:rsidP="003845C1"/>
    <w:p w:rsidR="004F75F9" w:rsidRPr="00C57630" w:rsidRDefault="004F75F9" w:rsidP="003845C1"/>
    <w:p w:rsidR="004F75F9" w:rsidRPr="00C57630" w:rsidRDefault="00591659" w:rsidP="00B67CDC">
      <w:pPr>
        <w:rPr>
          <w:b/>
          <w:sz w:val="24"/>
          <w:szCs w:val="24"/>
        </w:rPr>
      </w:pPr>
      <w:r w:rsidRPr="00C57630">
        <w:rPr>
          <w:b/>
          <w:sz w:val="24"/>
          <w:szCs w:val="24"/>
        </w:rPr>
        <w:t>Decimotercera sesión</w:t>
      </w:r>
    </w:p>
    <w:p w:rsidR="004F75F9" w:rsidRPr="00C57630" w:rsidRDefault="00591659" w:rsidP="00B67CDC">
      <w:pPr>
        <w:rPr>
          <w:b/>
          <w:sz w:val="24"/>
          <w:szCs w:val="24"/>
        </w:rPr>
      </w:pPr>
      <w:r w:rsidRPr="00C57630">
        <w:rPr>
          <w:b/>
          <w:sz w:val="24"/>
          <w:szCs w:val="24"/>
        </w:rPr>
        <w:t>Ginebra, 19 a 23 de mayo de 2014</w:t>
      </w:r>
    </w:p>
    <w:p w:rsidR="004F75F9" w:rsidRPr="00C57630" w:rsidRDefault="004F75F9" w:rsidP="008B2CC1"/>
    <w:p w:rsidR="004F75F9" w:rsidRPr="00C57630" w:rsidRDefault="004F75F9" w:rsidP="008B2CC1"/>
    <w:p w:rsidR="004F75F9" w:rsidRPr="00C57630" w:rsidRDefault="004F75F9" w:rsidP="008B2CC1"/>
    <w:p w:rsidR="004F75F9" w:rsidRPr="00C57630" w:rsidRDefault="001C310D" w:rsidP="001C310D">
      <w:pPr>
        <w:rPr>
          <w:caps/>
          <w:sz w:val="24"/>
          <w:lang w:val="es-ES_tradnl"/>
        </w:rPr>
      </w:pPr>
      <w:bookmarkStart w:id="2" w:name="TitleOfDoc"/>
      <w:bookmarkEnd w:id="2"/>
      <w:r w:rsidRPr="00C57630">
        <w:rPr>
          <w:sz w:val="24"/>
          <w:lang w:val="es-ES_tradnl"/>
        </w:rPr>
        <w:t>RESUMEN DEL ANÁLISIS COMPARADO DE LOS REGÍMENES NACIONALES DE RENUNCIA VOLUNTARIA AL DERECHO DE AUTOR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330B1A" w:rsidRDefault="000536C4" w:rsidP="000536C4">
      <w:pPr>
        <w:rPr>
          <w:i/>
          <w:lang w:val="es-ES_tradnl"/>
        </w:rPr>
      </w:pPr>
      <w:bookmarkStart w:id="3" w:name="Prepared"/>
      <w:bookmarkEnd w:id="3"/>
      <w:proofErr w:type="gramStart"/>
      <w:r w:rsidRPr="00330B1A">
        <w:rPr>
          <w:i/>
          <w:lang w:val="es-ES_tradnl"/>
        </w:rPr>
        <w:t>preparado</w:t>
      </w:r>
      <w:proofErr w:type="gramEnd"/>
      <w:r w:rsidRPr="00330B1A">
        <w:rPr>
          <w:i/>
          <w:lang w:val="es-ES_tradnl"/>
        </w:rPr>
        <w:t xml:space="preserve"> por el Dr. </w:t>
      </w:r>
      <w:proofErr w:type="spellStart"/>
      <w:r w:rsidRPr="00330B1A">
        <w:rPr>
          <w:i/>
          <w:lang w:val="es-ES_tradnl"/>
        </w:rPr>
        <w:t>Andres</w:t>
      </w:r>
      <w:proofErr w:type="spellEnd"/>
      <w:r w:rsidRPr="00330B1A">
        <w:rPr>
          <w:i/>
          <w:lang w:val="es-ES_tradnl"/>
        </w:rPr>
        <w:t xml:space="preserve"> </w:t>
      </w:r>
      <w:proofErr w:type="spellStart"/>
      <w:r w:rsidRPr="00330B1A">
        <w:rPr>
          <w:i/>
          <w:lang w:val="es-ES_tradnl"/>
        </w:rPr>
        <w:t>Guadamuz</w:t>
      </w:r>
      <w:proofErr w:type="spellEnd"/>
      <w:r w:rsidRPr="00330B1A">
        <w:rPr>
          <w:i/>
          <w:lang w:val="es-ES_tradnl"/>
        </w:rPr>
        <w:t>, Profesor Titular de Derecho de propiedad intelectual, Universidad de Sussex, Reino Unido</w:t>
      </w:r>
      <w:r w:rsidRPr="00330B1A">
        <w:rPr>
          <w:rStyle w:val="FootnoteReference"/>
          <w:i/>
          <w:lang w:val="en-GB"/>
        </w:rPr>
        <w:footnoteReference w:id="2"/>
      </w:r>
    </w:p>
    <w:p w:rsidR="004F75F9" w:rsidRPr="00AF5398" w:rsidRDefault="004F75F9" w:rsidP="0029214D">
      <w:pPr>
        <w:rPr>
          <w:i/>
          <w:lang w:val="es-ES_tradnl"/>
        </w:rPr>
      </w:pPr>
    </w:p>
    <w:p w:rsidR="004F75F9" w:rsidRPr="00AF5398" w:rsidRDefault="004F75F9" w:rsidP="0029214D">
      <w:pPr>
        <w:rPr>
          <w:lang w:val="es-ES_tradnl"/>
        </w:rPr>
      </w:pPr>
    </w:p>
    <w:p w:rsidR="004F75F9" w:rsidRPr="00AF5398" w:rsidRDefault="004F75F9" w:rsidP="0029214D">
      <w:pPr>
        <w:rPr>
          <w:lang w:val="es-ES_tradnl"/>
        </w:rPr>
      </w:pPr>
    </w:p>
    <w:p w:rsidR="004F75F9" w:rsidRPr="00582A9D" w:rsidRDefault="000536C4" w:rsidP="00330B1A">
      <w:pPr>
        <w:pStyle w:val="ONUMFS"/>
        <w:rPr>
          <w:lang w:val="es-ES_tradnl"/>
        </w:rPr>
      </w:pPr>
      <w:r w:rsidRPr="00C57630">
        <w:rPr>
          <w:lang w:val="es-ES_tradnl"/>
        </w:rPr>
        <w:t>El Comité de Desarrollo y Propiedad Intelectual (CDIP), en su novena sesión celebrada en mayo de 2012, examinó el documento titulado “Posibles hipótesis y opciones en relación con las Recomendaciones 1.c</w:t>
      </w:r>
      <w:r w:rsidR="00330B1A">
        <w:rPr>
          <w:lang w:val="es-ES_tradnl"/>
        </w:rPr>
        <w:t>)</w:t>
      </w:r>
      <w:r w:rsidRPr="00C57630">
        <w:rPr>
          <w:lang w:val="es-ES_tradnl"/>
        </w:rPr>
        <w:t>, 1.f</w:t>
      </w:r>
      <w:r w:rsidR="00330B1A">
        <w:rPr>
          <w:lang w:val="es-ES_tradnl"/>
        </w:rPr>
        <w:t>)</w:t>
      </w:r>
      <w:r w:rsidRPr="00C57630">
        <w:rPr>
          <w:lang w:val="es-ES_tradnl"/>
        </w:rPr>
        <w:t xml:space="preserve"> y 2.a</w:t>
      </w:r>
      <w:r w:rsidR="00330B1A">
        <w:rPr>
          <w:lang w:val="es-ES_tradnl"/>
        </w:rPr>
        <w:t>)</w:t>
      </w:r>
      <w:r w:rsidRPr="00C57630">
        <w:rPr>
          <w:lang w:val="es-ES_tradnl"/>
        </w:rPr>
        <w:t xml:space="preserve"> del estudio exploratorio sobre el derecho de autor y los derechos conexos y el dominio público” (CDIP/9/INF/2).</w:t>
      </w:r>
      <w:r w:rsidR="0029214D" w:rsidRPr="00C57630">
        <w:rPr>
          <w:lang w:val="es-ES_tradnl"/>
        </w:rPr>
        <w:t xml:space="preserve">  </w:t>
      </w:r>
      <w:r w:rsidR="000653F7" w:rsidRPr="00C57630">
        <w:rPr>
          <w:lang w:val="es-ES_tradnl"/>
        </w:rPr>
        <w:t>Con respecto a la recomendación 1.c),  se</w:t>
      </w:r>
      <w:r w:rsidR="00582A9D">
        <w:rPr>
          <w:lang w:val="es-ES_tradnl"/>
        </w:rPr>
        <w:t xml:space="preserve"> decidió presentar</w:t>
      </w:r>
      <w:r w:rsidR="000653F7" w:rsidRPr="00C57630">
        <w:rPr>
          <w:lang w:val="es-ES_tradnl"/>
        </w:rPr>
        <w:t xml:space="preserve"> </w:t>
      </w:r>
      <w:r w:rsidR="00582A9D">
        <w:rPr>
          <w:lang w:val="es-ES_tradnl"/>
        </w:rPr>
        <w:t xml:space="preserve">en la próxima sesión </w:t>
      </w:r>
      <w:r w:rsidR="00582A9D" w:rsidRPr="00C57630">
        <w:rPr>
          <w:lang w:val="es-ES_tradnl"/>
        </w:rPr>
        <w:t xml:space="preserve">del Comité </w:t>
      </w:r>
      <w:r w:rsidR="000653F7" w:rsidRPr="00C57630">
        <w:rPr>
          <w:lang w:val="es-ES_tradnl"/>
        </w:rPr>
        <w:t>una propuesta de mandato para un Estudio Comparativo sobre renuncia al derecho de autor.</w:t>
      </w:r>
    </w:p>
    <w:p w:rsidR="004F75F9" w:rsidRPr="00F91721" w:rsidRDefault="000653F7" w:rsidP="00330B1A">
      <w:pPr>
        <w:pStyle w:val="ONUMFS"/>
        <w:rPr>
          <w:lang w:val="es-ES_tradnl"/>
        </w:rPr>
      </w:pPr>
      <w:r w:rsidRPr="00C57630">
        <w:rPr>
          <w:lang w:val="es-ES_tradnl"/>
        </w:rPr>
        <w:t>El Comité examinó el mandato (CDIP/10/14) en su décima sesión, celebrada en noviembre de 2012, y pidió a la Secretaría que lleve a cabo el Estudio, teniendo en cuenta los comentarios de los Estados miembros.</w:t>
      </w:r>
    </w:p>
    <w:p w:rsidR="004F75F9" w:rsidRPr="00F91721" w:rsidRDefault="000653F7" w:rsidP="00330B1A">
      <w:pPr>
        <w:pStyle w:val="ONUMFS"/>
        <w:rPr>
          <w:lang w:val="es-ES_tradnl"/>
        </w:rPr>
      </w:pPr>
      <w:r w:rsidRPr="00C57630">
        <w:rPr>
          <w:lang w:val="es-ES_tradnl"/>
        </w:rPr>
        <w:t xml:space="preserve">En consecuencia, en el Anexo del presente documento figura un resumen del “Análisis comparado de los regímenes nacionales de renuncia voluntaria al derecho de autor”, preparado por el Dr. </w:t>
      </w:r>
      <w:proofErr w:type="spellStart"/>
      <w:r w:rsidRPr="00C57630">
        <w:rPr>
          <w:lang w:val="es-ES_tradnl"/>
        </w:rPr>
        <w:t>Andres</w:t>
      </w:r>
      <w:proofErr w:type="spellEnd"/>
      <w:r w:rsidRPr="00C57630">
        <w:rPr>
          <w:lang w:val="es-ES_tradnl"/>
        </w:rPr>
        <w:t xml:space="preserve"> </w:t>
      </w:r>
      <w:proofErr w:type="spellStart"/>
      <w:r w:rsidRPr="00C57630">
        <w:rPr>
          <w:lang w:val="es-ES_tradnl"/>
        </w:rPr>
        <w:t>Guadamuz</w:t>
      </w:r>
      <w:proofErr w:type="spellEnd"/>
      <w:r w:rsidRPr="00C57630">
        <w:rPr>
          <w:lang w:val="es-ES_tradnl"/>
        </w:rPr>
        <w:t>, Profesor Titular de Derecho de propiedad intelectual, Universidad de Sussex, Reino Unido.</w:t>
      </w:r>
    </w:p>
    <w:p w:rsidR="004F75F9" w:rsidRPr="00F91721" w:rsidRDefault="000653F7" w:rsidP="000653F7">
      <w:pPr>
        <w:pStyle w:val="Endofdocument-Annex"/>
        <w:rPr>
          <w:i/>
          <w:iCs/>
          <w:lang w:val="es-ES_tradnl"/>
        </w:rPr>
      </w:pPr>
      <w:r w:rsidRPr="00C57630">
        <w:rPr>
          <w:i/>
          <w:iCs/>
          <w:lang w:val="es-ES_tradnl"/>
        </w:rPr>
        <w:t>4.</w:t>
      </w:r>
      <w:r w:rsidRPr="00C57630">
        <w:rPr>
          <w:iCs/>
          <w:lang w:val="es-ES_tradnl"/>
        </w:rPr>
        <w:t xml:space="preserve"> </w:t>
      </w:r>
      <w:r w:rsidRPr="00C57630">
        <w:rPr>
          <w:i/>
          <w:iCs/>
          <w:lang w:val="es-ES_tradnl"/>
        </w:rPr>
        <w:t>Se invita al CDIP a tomar nota de la información contenida en el Anexo del presente documento.</w:t>
      </w:r>
    </w:p>
    <w:p w:rsidR="004F75F9" w:rsidRPr="00F91721" w:rsidRDefault="004F75F9" w:rsidP="0029214D">
      <w:pPr>
        <w:pStyle w:val="Endofdocument-Annex"/>
        <w:rPr>
          <w:lang w:val="es-ES_tradnl"/>
        </w:rPr>
      </w:pPr>
    </w:p>
    <w:p w:rsidR="004F75F9" w:rsidRPr="00F91721" w:rsidRDefault="004F75F9" w:rsidP="0029214D">
      <w:pPr>
        <w:pStyle w:val="Endofdocument-Annex"/>
        <w:rPr>
          <w:lang w:val="es-ES_tradnl"/>
        </w:rPr>
      </w:pPr>
    </w:p>
    <w:p w:rsidR="004F75F9" w:rsidRPr="00F91721" w:rsidRDefault="000653F7" w:rsidP="000653F7">
      <w:pPr>
        <w:pStyle w:val="Endofdocument-Annex"/>
        <w:rPr>
          <w:lang w:val="es-ES_tradnl"/>
        </w:rPr>
      </w:pPr>
      <w:r w:rsidRPr="00C57630">
        <w:rPr>
          <w:lang w:val="es-ES_tradnl"/>
        </w:rPr>
        <w:t>[Sigue el Anexo]</w:t>
      </w:r>
    </w:p>
    <w:p w:rsidR="0029214D" w:rsidRPr="00F91721" w:rsidRDefault="0029214D" w:rsidP="0029214D">
      <w:pPr>
        <w:pStyle w:val="Endofdocument-Annex"/>
        <w:rPr>
          <w:lang w:val="es-ES_tradnl"/>
        </w:rPr>
        <w:sectPr w:rsidR="0029214D" w:rsidRPr="00F91721" w:rsidSect="0029214D">
          <w:headerReference w:type="default" r:id="rId9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</w:p>
    <w:p w:rsidR="004F75F9" w:rsidRPr="00F91721" w:rsidRDefault="00330B1A" w:rsidP="000653F7">
      <w:pPr>
        <w:pStyle w:val="Heading1"/>
        <w:rPr>
          <w:lang w:val="es-ES_tradnl"/>
        </w:rPr>
      </w:pPr>
      <w:r>
        <w:rPr>
          <w:caps w:val="0"/>
          <w:lang w:val="es-ES_tradnl"/>
        </w:rPr>
        <w:lastRenderedPageBreak/>
        <w:t>RESUMEN</w:t>
      </w:r>
    </w:p>
    <w:p w:rsidR="004F75F9" w:rsidRPr="00F91721" w:rsidRDefault="004F75F9" w:rsidP="0029214D">
      <w:pPr>
        <w:rPr>
          <w:lang w:val="es-ES_tradnl"/>
        </w:rPr>
      </w:pPr>
    </w:p>
    <w:p w:rsidR="004F75F9" w:rsidRPr="00C57630" w:rsidRDefault="004F79D8" w:rsidP="007D1FE2">
      <w:pPr>
        <w:rPr>
          <w:lang w:val="es-ES_tradnl"/>
        </w:rPr>
      </w:pPr>
      <w:r w:rsidRPr="00C57630">
        <w:rPr>
          <w:lang w:val="es-ES_tradnl"/>
        </w:rPr>
        <w:t xml:space="preserve">El informe es producto de la labor que está realizando el Comité de Desarrollo y Propiedad Intelectual (CDIP), derivada de un informe en el que se analizan los diferentes aspectos del derecho de autor y el dominio público, escrito por la Profesora de Cátedra </w:t>
      </w:r>
      <w:proofErr w:type="spellStart"/>
      <w:r w:rsidRPr="00C57630">
        <w:rPr>
          <w:lang w:val="es-ES_tradnl"/>
        </w:rPr>
        <w:t>Séverine</w:t>
      </w:r>
      <w:proofErr w:type="spellEnd"/>
      <w:r w:rsidRPr="00C57630">
        <w:rPr>
          <w:lang w:val="es-ES_tradnl"/>
        </w:rPr>
        <w:t xml:space="preserve"> </w:t>
      </w:r>
      <w:proofErr w:type="spellStart"/>
      <w:r w:rsidRPr="00C57630">
        <w:rPr>
          <w:lang w:val="es-ES_tradnl"/>
        </w:rPr>
        <w:t>Dusollier</w:t>
      </w:r>
      <w:proofErr w:type="spellEnd"/>
      <w:r w:rsidRPr="00C57630">
        <w:rPr>
          <w:lang w:val="es-ES_tradnl"/>
        </w:rPr>
        <w:t xml:space="preserve"> (CDIP/4/3/REV./STUDY/INF/1).</w:t>
      </w:r>
      <w:r w:rsidR="0029214D" w:rsidRPr="00F91721">
        <w:rPr>
          <w:lang w:val="es-ES_tradnl"/>
        </w:rPr>
        <w:t xml:space="preserve">  </w:t>
      </w:r>
      <w:r w:rsidR="007D1FE2" w:rsidRPr="00C57630">
        <w:rPr>
          <w:lang w:val="es-ES_tradnl"/>
        </w:rPr>
        <w:t xml:space="preserve">Como consecuencia </w:t>
      </w:r>
      <w:r w:rsidR="0011284B" w:rsidRPr="00C57630">
        <w:rPr>
          <w:lang w:val="es-ES_tradnl"/>
        </w:rPr>
        <w:t xml:space="preserve">de las cuestiones planteadas </w:t>
      </w:r>
      <w:r w:rsidR="007D1FE2" w:rsidRPr="00C57630">
        <w:rPr>
          <w:lang w:val="es-ES_tradnl"/>
        </w:rPr>
        <w:t>en</w:t>
      </w:r>
      <w:r w:rsidR="0011284B" w:rsidRPr="00C57630">
        <w:rPr>
          <w:lang w:val="es-ES_tradnl"/>
        </w:rPr>
        <w:t xml:space="preserve"> el</w:t>
      </w:r>
      <w:r w:rsidR="007D1FE2" w:rsidRPr="00C57630">
        <w:rPr>
          <w:lang w:val="es-ES_tradnl"/>
        </w:rPr>
        <w:t xml:space="preserve"> informe, la Organización Mundial de la Propiedad Intelectual (OMPI) encargó la confección del presente estudio para determinar </w:t>
      </w:r>
      <w:r w:rsidR="007C583F" w:rsidRPr="00C57630">
        <w:rPr>
          <w:lang w:val="es-ES_tradnl"/>
        </w:rPr>
        <w:t>qué problemas jurídicos entraña</w:t>
      </w:r>
      <w:r w:rsidR="007D1FE2" w:rsidRPr="00C57630">
        <w:rPr>
          <w:lang w:val="es-ES_tradnl"/>
        </w:rPr>
        <w:t xml:space="preserve"> la renuncia al derecho de autor.</w:t>
      </w:r>
      <w:r w:rsidR="0029214D" w:rsidRPr="00C57630">
        <w:rPr>
          <w:lang w:val="es-ES_tradnl"/>
        </w:rPr>
        <w:t xml:space="preserve"> 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C57630" w:rsidRDefault="006370ED" w:rsidP="007D73BE">
      <w:pPr>
        <w:rPr>
          <w:lang w:val="es-ES_tradnl"/>
        </w:rPr>
      </w:pPr>
      <w:r w:rsidRPr="00C57630">
        <w:rPr>
          <w:lang w:val="es-ES_tradnl"/>
        </w:rPr>
        <w:t xml:space="preserve">En el informe se estudia en primer lugar cuál es </w:t>
      </w:r>
      <w:r w:rsidR="00956D2B" w:rsidRPr="00C57630">
        <w:rPr>
          <w:lang w:val="es-ES_tradnl"/>
        </w:rPr>
        <w:t>justificación que subyace a</w:t>
      </w:r>
      <w:r w:rsidRPr="00C57630">
        <w:rPr>
          <w:lang w:val="es-ES_tradnl"/>
        </w:rPr>
        <w:t xml:space="preserve"> los derechos de autor, ya que esto puede tener cierta</w:t>
      </w:r>
      <w:r w:rsidR="00BD424B" w:rsidRPr="00C57630">
        <w:rPr>
          <w:lang w:val="es-ES_tradnl"/>
        </w:rPr>
        <w:t xml:space="preserve"> incidencia</w:t>
      </w:r>
      <w:r w:rsidRPr="00C57630">
        <w:rPr>
          <w:lang w:val="es-ES_tradnl"/>
        </w:rPr>
        <w:t xml:space="preserve"> en la decisión de un país de autorizar o no a un autor a que realice una declaración voluntaria que derive en la extinción de sus derechos.</w:t>
      </w:r>
      <w:r w:rsidR="0029214D" w:rsidRPr="00C57630">
        <w:rPr>
          <w:lang w:val="es-ES_tradnl"/>
        </w:rPr>
        <w:t xml:space="preserve">  </w:t>
      </w:r>
      <w:r w:rsidRPr="00C57630">
        <w:rPr>
          <w:lang w:val="es-ES_tradnl"/>
        </w:rPr>
        <w:t xml:space="preserve">Se puede concebir el derecho de autor de varias maneras: como un derecho natural, una retribución a los creadores, un estímulo de la actividad creativa, un derecho de </w:t>
      </w:r>
      <w:r w:rsidR="00BE3719" w:rsidRPr="00C57630">
        <w:rPr>
          <w:lang w:val="es-ES_tradnl"/>
        </w:rPr>
        <w:t>propiedad</w:t>
      </w:r>
      <w:r w:rsidRPr="00C57630">
        <w:rPr>
          <w:lang w:val="es-ES_tradnl"/>
        </w:rPr>
        <w:t>, una retribución económica o como parte del interés público.</w:t>
      </w:r>
      <w:r w:rsidR="0029214D" w:rsidRPr="00F91721">
        <w:rPr>
          <w:lang w:val="es-ES_tradnl"/>
        </w:rPr>
        <w:t xml:space="preserve">  </w:t>
      </w:r>
      <w:r w:rsidR="00BD424B" w:rsidRPr="00C57630">
        <w:rPr>
          <w:lang w:val="es-ES_tradnl"/>
        </w:rPr>
        <w:t xml:space="preserve">Se analizan dos </w:t>
      </w:r>
      <w:r w:rsidRPr="00C57630">
        <w:rPr>
          <w:lang w:val="es-ES_tradnl"/>
        </w:rPr>
        <w:t>justificaciones, la moral y la utilitaria.</w:t>
      </w:r>
      <w:r w:rsidR="0029214D" w:rsidRPr="00582A9D">
        <w:rPr>
          <w:lang w:val="es-ES_tradnl"/>
        </w:rPr>
        <w:t xml:space="preserve">  </w:t>
      </w:r>
      <w:r w:rsidR="001F1A61">
        <w:rPr>
          <w:lang w:val="es-ES_tradnl"/>
        </w:rPr>
        <w:t>En el marco de</w:t>
      </w:r>
      <w:r w:rsidR="00582A9D">
        <w:rPr>
          <w:lang w:val="es-ES_tradnl"/>
        </w:rPr>
        <w:t xml:space="preserve"> la justificación moral,</w:t>
      </w:r>
      <w:r w:rsidR="00E37F35" w:rsidRPr="00C57630">
        <w:rPr>
          <w:lang w:val="es-ES_tradnl"/>
        </w:rPr>
        <w:t xml:space="preserve"> la propiedad intelectual </w:t>
      </w:r>
      <w:r w:rsidR="00582A9D">
        <w:rPr>
          <w:lang w:val="es-ES_tradnl"/>
        </w:rPr>
        <w:t>es el</w:t>
      </w:r>
      <w:r w:rsidR="001F1A61">
        <w:rPr>
          <w:lang w:val="es-ES_tradnl"/>
        </w:rPr>
        <w:t xml:space="preserve"> resultado </w:t>
      </w:r>
      <w:r w:rsidR="00E37F35" w:rsidRPr="00C57630">
        <w:rPr>
          <w:lang w:val="es-ES_tradnl"/>
        </w:rPr>
        <w:t xml:space="preserve">natural del derecho </w:t>
      </w:r>
      <w:r w:rsidR="00582A9D">
        <w:rPr>
          <w:lang w:val="es-ES_tradnl"/>
        </w:rPr>
        <w:t xml:space="preserve">que ejerce </w:t>
      </w:r>
      <w:r w:rsidR="00E37F35" w:rsidRPr="00C57630">
        <w:rPr>
          <w:lang w:val="es-ES_tradnl"/>
        </w:rPr>
        <w:t>el creador sobre todo lo que produce.</w:t>
      </w:r>
      <w:r w:rsidR="0029214D" w:rsidRPr="00C57630">
        <w:rPr>
          <w:lang w:val="es-ES_tradnl"/>
        </w:rPr>
        <w:t xml:space="preserve">  </w:t>
      </w:r>
      <w:r w:rsidR="007D73BE" w:rsidRPr="00C57630">
        <w:rPr>
          <w:lang w:val="es-ES_tradnl"/>
        </w:rPr>
        <w:t>El componente moral del</w:t>
      </w:r>
      <w:r w:rsidR="00BD424B" w:rsidRPr="00C57630">
        <w:rPr>
          <w:lang w:val="es-ES_tradnl"/>
        </w:rPr>
        <w:t xml:space="preserve"> derecho de autor fue cediéndole terreno al</w:t>
      </w:r>
      <w:r w:rsidR="007D73BE" w:rsidRPr="00C57630">
        <w:rPr>
          <w:lang w:val="es-ES_tradnl"/>
        </w:rPr>
        <w:t xml:space="preserve"> </w:t>
      </w:r>
      <w:r w:rsidR="00BB72FB" w:rsidRPr="00C57630">
        <w:rPr>
          <w:lang w:val="es-ES_tradnl"/>
        </w:rPr>
        <w:t>patrimonial</w:t>
      </w:r>
      <w:r w:rsidR="007D73BE" w:rsidRPr="00C57630">
        <w:rPr>
          <w:lang w:val="es-ES_tradnl"/>
        </w:rPr>
        <w:t xml:space="preserve">. </w:t>
      </w:r>
      <w:r w:rsidR="007C583F" w:rsidRPr="00C57630">
        <w:rPr>
          <w:lang w:val="es-ES_tradnl"/>
        </w:rPr>
        <w:t>Ahora bien</w:t>
      </w:r>
      <w:r w:rsidR="007D73BE" w:rsidRPr="00C57630">
        <w:rPr>
          <w:lang w:val="es-ES_tradnl"/>
        </w:rPr>
        <w:t>,</w:t>
      </w:r>
      <w:r w:rsidR="00BD424B" w:rsidRPr="00C57630">
        <w:rPr>
          <w:lang w:val="es-ES_tradnl"/>
        </w:rPr>
        <w:t xml:space="preserve"> el que sigan ocupando su lugar los</w:t>
      </w:r>
      <w:r w:rsidR="007D73BE" w:rsidRPr="00C57630">
        <w:rPr>
          <w:lang w:val="es-ES_tradnl"/>
        </w:rPr>
        <w:t xml:space="preserve"> derechos morales, de particular importancia en los </w:t>
      </w:r>
      <w:r w:rsidR="007C583F" w:rsidRPr="00C57630">
        <w:rPr>
          <w:lang w:val="es-ES_tradnl"/>
        </w:rPr>
        <w:t>países</w:t>
      </w:r>
      <w:r w:rsidR="007D73BE" w:rsidRPr="00C57630">
        <w:rPr>
          <w:lang w:val="es-ES_tradnl"/>
        </w:rPr>
        <w:t xml:space="preserve"> de tradición jurídica romanista, </w:t>
      </w:r>
      <w:r w:rsidR="00BD424B" w:rsidRPr="00C57630">
        <w:rPr>
          <w:lang w:val="es-ES_tradnl"/>
        </w:rPr>
        <w:t>mantiene</w:t>
      </w:r>
      <w:r w:rsidR="001F1A61">
        <w:rPr>
          <w:lang w:val="es-ES_tradnl"/>
        </w:rPr>
        <w:t xml:space="preserve"> claramente</w:t>
      </w:r>
      <w:r w:rsidR="00BD424B" w:rsidRPr="00C57630">
        <w:rPr>
          <w:lang w:val="es-ES_tradnl"/>
        </w:rPr>
        <w:t xml:space="preserve"> vigente la caracterización </w:t>
      </w:r>
      <w:r w:rsidR="007D73BE" w:rsidRPr="00C57630">
        <w:rPr>
          <w:lang w:val="es-ES_tradnl"/>
        </w:rPr>
        <w:t>del derecho de autor como derecho de la personalidad.</w:t>
      </w:r>
      <w:r w:rsidR="0029214D" w:rsidRPr="00C57630">
        <w:rPr>
          <w:lang w:val="es-ES_tradnl"/>
        </w:rPr>
        <w:t xml:space="preserve"> 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C57630" w:rsidRDefault="007D73BE" w:rsidP="007D73BE">
      <w:pPr>
        <w:rPr>
          <w:lang w:val="es-ES_tradnl"/>
        </w:rPr>
      </w:pPr>
      <w:r w:rsidRPr="00C57630">
        <w:rPr>
          <w:lang w:val="es-ES_tradnl"/>
        </w:rPr>
        <w:t>Por otro lado, la justificación utilitaria del derecho de autor</w:t>
      </w:r>
      <w:r w:rsidR="001F1A61">
        <w:rPr>
          <w:lang w:val="es-ES_tradnl"/>
        </w:rPr>
        <w:t xml:space="preserve"> suele partir del supuesto que la protección conferida persigue el objetivo utilitario de </w:t>
      </w:r>
      <w:r w:rsidRPr="00C57630">
        <w:rPr>
          <w:lang w:val="es-ES_tradnl"/>
        </w:rPr>
        <w:t>fomentar la creación</w:t>
      </w:r>
      <w:r w:rsidR="00BE3719" w:rsidRPr="00C57630">
        <w:rPr>
          <w:lang w:val="es-ES_tradnl"/>
        </w:rPr>
        <w:t>,</w:t>
      </w:r>
      <w:r w:rsidRPr="00C57630">
        <w:rPr>
          <w:lang w:val="es-ES_tradnl"/>
        </w:rPr>
        <w:t xml:space="preserve"> retribuyendo a los autores y a los inventores con medios para </w:t>
      </w:r>
      <w:r w:rsidR="00BE3719" w:rsidRPr="00C57630">
        <w:rPr>
          <w:lang w:val="es-ES_tradnl"/>
        </w:rPr>
        <w:t>que recuperen</w:t>
      </w:r>
      <w:r w:rsidRPr="00C57630">
        <w:rPr>
          <w:lang w:val="es-ES_tradnl"/>
        </w:rPr>
        <w:t xml:space="preserve"> su inversión.</w:t>
      </w:r>
      <w:r w:rsidR="0029214D" w:rsidRPr="00C57630">
        <w:rPr>
          <w:lang w:val="es-ES_tradnl"/>
        </w:rPr>
        <w:t xml:space="preserve">  </w:t>
      </w:r>
      <w:r w:rsidR="00A4692C" w:rsidRPr="00C57630">
        <w:rPr>
          <w:lang w:val="es-ES_tradnl"/>
        </w:rPr>
        <w:t>Allí donde</w:t>
      </w:r>
      <w:r w:rsidRPr="00C57630">
        <w:rPr>
          <w:lang w:val="es-ES_tradnl"/>
        </w:rPr>
        <w:t xml:space="preserve"> prevalece esta filosofía, los derechos </w:t>
      </w:r>
      <w:r w:rsidR="00BB72FB" w:rsidRPr="00C57630">
        <w:rPr>
          <w:lang w:val="es-ES_tradnl"/>
        </w:rPr>
        <w:t>patrimoniale</w:t>
      </w:r>
      <w:r w:rsidRPr="00C57630">
        <w:rPr>
          <w:lang w:val="es-ES_tradnl"/>
        </w:rPr>
        <w:t>s suelen ser más importantes.</w:t>
      </w:r>
      <w:r w:rsidR="0029214D" w:rsidRPr="00C57630">
        <w:rPr>
          <w:lang w:val="es-ES_tradnl"/>
        </w:rPr>
        <w:t xml:space="preserve"> 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C57630" w:rsidRDefault="00A4692C" w:rsidP="00FF657F">
      <w:pPr>
        <w:rPr>
          <w:lang w:val="es-ES_tradnl"/>
        </w:rPr>
      </w:pPr>
      <w:r w:rsidRPr="00C57630">
        <w:rPr>
          <w:lang w:val="es-ES_tradnl"/>
        </w:rPr>
        <w:t>Además, el informe</w:t>
      </w:r>
      <w:r w:rsidR="00FF657F" w:rsidRPr="00C57630">
        <w:rPr>
          <w:lang w:val="es-ES_tradnl"/>
        </w:rPr>
        <w:t xml:space="preserve"> examina el tema del dominio público a través de un prisma negat</w:t>
      </w:r>
      <w:r w:rsidRPr="00C57630">
        <w:rPr>
          <w:lang w:val="es-ES_tradnl"/>
        </w:rPr>
        <w:t xml:space="preserve">ivo y otro positivo, es decir, </w:t>
      </w:r>
      <w:r w:rsidR="00FF657F" w:rsidRPr="00C57630">
        <w:rPr>
          <w:lang w:val="es-ES_tradnl"/>
        </w:rPr>
        <w:t>el dominio público entendido como la ausencia de derechos de autor o bien como un espacio que no solo merece existir y ser objeto de protección</w:t>
      </w:r>
      <w:r w:rsidR="00BE3719" w:rsidRPr="00C57630">
        <w:rPr>
          <w:lang w:val="es-ES_tradnl"/>
        </w:rPr>
        <w:t>,</w:t>
      </w:r>
      <w:r w:rsidR="00FF657F" w:rsidRPr="00C57630">
        <w:rPr>
          <w:lang w:val="es-ES_tradnl"/>
        </w:rPr>
        <w:t xml:space="preserve"> sino que también es una esfera en la que los titulares de derechos de autor pueden </w:t>
      </w:r>
      <w:r w:rsidR="001F1A61">
        <w:rPr>
          <w:lang w:val="es-ES_tradnl"/>
        </w:rPr>
        <w:t>ceder</w:t>
      </w:r>
      <w:r w:rsidR="00FF657F" w:rsidRPr="00C57630">
        <w:rPr>
          <w:lang w:val="es-ES_tradnl"/>
        </w:rPr>
        <w:t xml:space="preserve"> sus obras de forma voluntaria, si así lo desean.</w:t>
      </w:r>
      <w:r w:rsidR="0029214D" w:rsidRPr="00C57630">
        <w:rPr>
          <w:lang w:val="es-ES_tradnl"/>
        </w:rPr>
        <w:t xml:space="preserve"> 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C57630" w:rsidRDefault="00143A9B" w:rsidP="00353875">
      <w:pPr>
        <w:rPr>
          <w:lang w:val="es-ES_tradnl"/>
        </w:rPr>
      </w:pPr>
      <w:r>
        <w:rPr>
          <w:lang w:val="es-ES_tradnl"/>
        </w:rPr>
        <w:t>Esta dicotomía es un aspecto fundamental de la</w:t>
      </w:r>
      <w:r w:rsidR="00FF657F" w:rsidRPr="00C57630">
        <w:rPr>
          <w:lang w:val="es-ES_tradnl"/>
        </w:rPr>
        <w:t xml:space="preserve"> renuncia al derecho de autor.</w:t>
      </w:r>
      <w:r w:rsidR="00FF657F" w:rsidRPr="00C57630">
        <w:rPr>
          <w:rStyle w:val="FootnoteReference"/>
          <w:lang w:val="en-GB"/>
        </w:rPr>
        <w:footnoteReference w:id="3"/>
      </w:r>
      <w:r w:rsidR="0029214D" w:rsidRPr="00C57630">
        <w:rPr>
          <w:lang w:val="es-ES_tradnl"/>
        </w:rPr>
        <w:t xml:space="preserve">  </w:t>
      </w:r>
      <w:r w:rsidR="00BE3719" w:rsidRPr="00C57630">
        <w:rPr>
          <w:lang w:val="es-ES_tradnl"/>
        </w:rPr>
        <w:t>Si se concibe e</w:t>
      </w:r>
      <w:r w:rsidR="00353875" w:rsidRPr="00C57630">
        <w:rPr>
          <w:lang w:val="es-ES_tradnl"/>
        </w:rPr>
        <w:t>l derecho de autor como un mero derecho que el autor o propieta</w:t>
      </w:r>
      <w:r w:rsidR="00BE3719" w:rsidRPr="00C57630">
        <w:rPr>
          <w:lang w:val="es-ES_tradnl"/>
        </w:rPr>
        <w:t>rio pueden ceder cuando lo estiman</w:t>
      </w:r>
      <w:r w:rsidR="00353875" w:rsidRPr="00C57630">
        <w:rPr>
          <w:lang w:val="es-ES_tradnl"/>
        </w:rPr>
        <w:t xml:space="preserve"> oportuno, pues entonces la consecuencia lógica sería que los titulares de derecho cedan su propiedad de la manera que consideren conveniente, incluso</w:t>
      </w:r>
      <w:r w:rsidR="00A4692C" w:rsidRPr="00C57630">
        <w:rPr>
          <w:lang w:val="es-ES_tradnl"/>
        </w:rPr>
        <w:t xml:space="preserve"> renunciando unilateralmente a é</w:t>
      </w:r>
      <w:r w:rsidR="00353875" w:rsidRPr="00C57630">
        <w:rPr>
          <w:lang w:val="es-ES_tradnl"/>
        </w:rPr>
        <w:t>sta.</w:t>
      </w:r>
      <w:r w:rsidR="0029214D" w:rsidRPr="00C57630">
        <w:rPr>
          <w:lang w:val="es-ES_tradnl"/>
        </w:rPr>
        <w:t xml:space="preserve">  </w:t>
      </w:r>
      <w:r w:rsidR="00353875" w:rsidRPr="00C57630">
        <w:rPr>
          <w:lang w:val="es-ES_tradnl"/>
        </w:rPr>
        <w:t xml:space="preserve">El problema </w:t>
      </w:r>
      <w:r w:rsidR="00A4692C" w:rsidRPr="00C57630">
        <w:rPr>
          <w:lang w:val="es-ES_tradnl"/>
        </w:rPr>
        <w:t>estriba</w:t>
      </w:r>
      <w:r w:rsidR="00353875" w:rsidRPr="00C57630">
        <w:rPr>
          <w:lang w:val="es-ES_tradnl"/>
        </w:rPr>
        <w:t xml:space="preserve"> en que el derecho no fue objeto de </w:t>
      </w:r>
      <w:r w:rsidR="00BB72FB" w:rsidRPr="00C57630">
        <w:rPr>
          <w:lang w:val="es-ES_tradnl"/>
        </w:rPr>
        <w:t>armonización</w:t>
      </w:r>
      <w:r w:rsidR="00353875" w:rsidRPr="00C57630">
        <w:rPr>
          <w:lang w:val="es-ES_tradnl"/>
        </w:rPr>
        <w:t xml:space="preserve"> en este ámbito.</w:t>
      </w:r>
      <w:r w:rsidR="0029214D" w:rsidRPr="00C57630">
        <w:rPr>
          <w:lang w:val="es-ES_tradnl"/>
        </w:rPr>
        <w:t xml:space="preserve">  </w:t>
      </w:r>
      <w:r w:rsidR="00117CCB" w:rsidRPr="00C57630">
        <w:rPr>
          <w:lang w:val="es-ES_tradnl"/>
        </w:rPr>
        <w:t>Muchos</w:t>
      </w:r>
      <w:r w:rsidR="00353875" w:rsidRPr="00C57630">
        <w:rPr>
          <w:lang w:val="es-ES_tradnl"/>
        </w:rPr>
        <w:t xml:space="preserve"> </w:t>
      </w:r>
      <w:r w:rsidR="00BE3719" w:rsidRPr="00C57630">
        <w:rPr>
          <w:lang w:val="es-ES_tradnl"/>
        </w:rPr>
        <w:t>sistemas</w:t>
      </w:r>
      <w:r w:rsidR="00353875" w:rsidRPr="00C57630">
        <w:rPr>
          <w:lang w:val="es-ES_tradnl"/>
        </w:rPr>
        <w:t xml:space="preserve"> jurídicos prohíben esta práctica, mientras que otros prevén disposiciones que la avalan, tal como se desprende del análisis pormen</w:t>
      </w:r>
      <w:r w:rsidR="00090797" w:rsidRPr="00C57630">
        <w:rPr>
          <w:lang w:val="es-ES_tradnl"/>
        </w:rPr>
        <w:t>orizado que figura en el</w:t>
      </w:r>
      <w:r w:rsidR="00BE3719" w:rsidRPr="00C57630">
        <w:rPr>
          <w:lang w:val="es-ES_tradnl"/>
        </w:rPr>
        <w:t xml:space="preserve"> segundo apartado</w:t>
      </w:r>
      <w:r w:rsidR="00353875" w:rsidRPr="00C57630">
        <w:rPr>
          <w:lang w:val="es-ES_tradnl"/>
        </w:rPr>
        <w:t xml:space="preserve"> del informe.</w:t>
      </w:r>
      <w:r w:rsidR="0029214D" w:rsidRPr="00C57630">
        <w:rPr>
          <w:lang w:val="es-ES_tradnl"/>
        </w:rPr>
        <w:t xml:space="preserve">  </w:t>
      </w:r>
      <w:r w:rsidR="00353875" w:rsidRPr="00C57630">
        <w:rPr>
          <w:lang w:val="es-ES_tradnl"/>
        </w:rPr>
        <w:t xml:space="preserve">La falta de claridad dimana principalmente de la naturaleza misma del derecho de autor y del dominio público, que se abordaron en los anteriores párrafos. </w:t>
      </w:r>
      <w:r w:rsidR="00BE3719" w:rsidRPr="00F91721">
        <w:rPr>
          <w:lang w:val="es-ES_tradnl"/>
        </w:rPr>
        <w:t xml:space="preserve"> </w:t>
      </w:r>
      <w:r w:rsidR="00353875" w:rsidRPr="00C57630">
        <w:rPr>
          <w:lang w:val="es-ES_tradnl"/>
        </w:rPr>
        <w:t xml:space="preserve">Si el derecho de autor fuera </w:t>
      </w:r>
      <w:r w:rsidR="00090797" w:rsidRPr="00C57630">
        <w:rPr>
          <w:lang w:val="es-ES_tradnl"/>
        </w:rPr>
        <w:t xml:space="preserve">un derecho patrimonial </w:t>
      </w:r>
      <w:r w:rsidR="00353875" w:rsidRPr="00C57630">
        <w:rPr>
          <w:lang w:val="es-ES_tradnl"/>
        </w:rPr>
        <w:t>asimila</w:t>
      </w:r>
      <w:r w:rsidR="00090797" w:rsidRPr="00C57630">
        <w:rPr>
          <w:lang w:val="es-ES_tradnl"/>
        </w:rPr>
        <w:t xml:space="preserve">ble </w:t>
      </w:r>
      <w:r w:rsidR="00353875" w:rsidRPr="00C57630">
        <w:rPr>
          <w:lang w:val="es-ES_tradnl"/>
        </w:rPr>
        <w:t>al con</w:t>
      </w:r>
      <w:r w:rsidR="00090797" w:rsidRPr="00C57630">
        <w:rPr>
          <w:lang w:val="es-ES_tradnl"/>
        </w:rPr>
        <w:t>cepto tradicional de propiedad</w:t>
      </w:r>
      <w:r w:rsidR="00353875" w:rsidRPr="00C57630">
        <w:rPr>
          <w:lang w:val="es-ES_tradnl"/>
        </w:rPr>
        <w:t xml:space="preserve">, los propietarios tendrían que poder alquilar, vender e incluso ceder estos derechos. </w:t>
      </w:r>
      <w:r w:rsidR="0029214D" w:rsidRPr="00F91721">
        <w:rPr>
          <w:lang w:val="es-ES_tradnl"/>
        </w:rPr>
        <w:t xml:space="preserve"> </w:t>
      </w:r>
      <w:r w:rsidR="00353875" w:rsidRPr="00C57630">
        <w:rPr>
          <w:lang w:val="es-ES_tradnl"/>
        </w:rPr>
        <w:t>Si, por otro lado, el derecho de autor se equiparara a un derecho inalienable de la personalidad, no resultaría posible renunciar al mismo, de la misma manera que es imposible renunciar a los derechos humanos.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C57630" w:rsidRDefault="00143A9B" w:rsidP="00BB72FB">
      <w:pPr>
        <w:rPr>
          <w:lang w:val="es-ES_tradnl"/>
        </w:rPr>
      </w:pPr>
      <w:r w:rsidRPr="00143A9B">
        <w:rPr>
          <w:lang w:val="es-ES_tradnl"/>
        </w:rPr>
        <w:t xml:space="preserve">Los </w:t>
      </w:r>
      <w:r w:rsidR="00BB72FB" w:rsidRPr="00143A9B">
        <w:rPr>
          <w:lang w:val="es-ES_tradnl"/>
        </w:rPr>
        <w:t>derechos morales</w:t>
      </w:r>
      <w:r w:rsidRPr="00143A9B">
        <w:rPr>
          <w:lang w:val="es-ES_tradnl"/>
        </w:rPr>
        <w:t xml:space="preserve"> son considerados como</w:t>
      </w:r>
      <w:r w:rsidR="00BB72FB" w:rsidRPr="00143A9B">
        <w:rPr>
          <w:lang w:val="es-ES_tradnl"/>
        </w:rPr>
        <w:t xml:space="preserve"> </w:t>
      </w:r>
      <w:r w:rsidRPr="00143A9B">
        <w:rPr>
          <w:lang w:val="es-ES_tradnl"/>
        </w:rPr>
        <w:t>uno de los principales frenos a la</w:t>
      </w:r>
      <w:r w:rsidR="00BB72FB" w:rsidRPr="00143A9B">
        <w:rPr>
          <w:lang w:val="es-ES_tradnl"/>
        </w:rPr>
        <w:t xml:space="preserve"> </w:t>
      </w:r>
      <w:r w:rsidR="00090797" w:rsidRPr="00143A9B">
        <w:rPr>
          <w:lang w:val="es-ES_tradnl"/>
        </w:rPr>
        <w:t>cesión de obras a</w:t>
      </w:r>
      <w:r w:rsidR="00BB72FB" w:rsidRPr="00143A9B">
        <w:rPr>
          <w:lang w:val="es-ES_tradnl"/>
        </w:rPr>
        <w:t>l dominio público.</w:t>
      </w:r>
      <w:r w:rsidR="0029214D" w:rsidRPr="00C57630">
        <w:rPr>
          <w:lang w:val="es-ES_tradnl"/>
        </w:rPr>
        <w:t xml:space="preserve">  </w:t>
      </w:r>
      <w:r w:rsidR="00BB72FB" w:rsidRPr="00C57630">
        <w:rPr>
          <w:lang w:val="es-ES_tradnl"/>
        </w:rPr>
        <w:t xml:space="preserve">Si bien algunos </w:t>
      </w:r>
      <w:r w:rsidR="000801E1" w:rsidRPr="00C57630">
        <w:rPr>
          <w:lang w:val="es-ES_tradnl"/>
        </w:rPr>
        <w:t>sistemas</w:t>
      </w:r>
      <w:r w:rsidR="00BB72FB" w:rsidRPr="00C57630">
        <w:rPr>
          <w:lang w:val="es-ES_tradnl"/>
        </w:rPr>
        <w:t xml:space="preserve"> jurídicos contemplan la posibilidad de renunciar a los derechos morales, la mayoría de los países los consideran inalienables.</w:t>
      </w:r>
      <w:r w:rsidR="0029214D" w:rsidRPr="00C57630">
        <w:rPr>
          <w:lang w:val="es-ES_tradnl"/>
        </w:rPr>
        <w:t xml:space="preserve"> </w:t>
      </w:r>
    </w:p>
    <w:p w:rsidR="004F75F9" w:rsidRPr="00C57630" w:rsidRDefault="00440AF0" w:rsidP="004F75F9">
      <w:pPr>
        <w:rPr>
          <w:lang w:val="es-ES_tradnl"/>
        </w:rPr>
      </w:pPr>
      <w:r w:rsidRPr="00C57630">
        <w:rPr>
          <w:lang w:val="es-ES_tradnl"/>
        </w:rPr>
        <w:t>Aquí es donde entra en juego la</w:t>
      </w:r>
      <w:r w:rsidR="00090797" w:rsidRPr="00C57630">
        <w:rPr>
          <w:lang w:val="es-ES_tradnl"/>
        </w:rPr>
        <w:t xml:space="preserve"> cuestión de la</w:t>
      </w:r>
      <w:r w:rsidRPr="00C57630">
        <w:rPr>
          <w:lang w:val="es-ES_tradnl"/>
        </w:rPr>
        <w:t xml:space="preserve"> naturaleza del derecho de autor.</w:t>
      </w:r>
      <w:r w:rsidR="0029214D" w:rsidRPr="00C57630">
        <w:rPr>
          <w:lang w:val="es-ES_tradnl"/>
        </w:rPr>
        <w:t xml:space="preserve">  </w:t>
      </w:r>
      <w:r w:rsidRPr="00C57630">
        <w:rPr>
          <w:lang w:val="es-ES_tradnl"/>
        </w:rPr>
        <w:t>En algunos sistemas jurídicos, el derecho de autor es de naturaleza monista, es decir que la dimensión moral del derecho de autor se considera parte integral e indivisible de la dimensión patrimonial.</w:t>
      </w:r>
      <w:r w:rsidR="0029214D" w:rsidRPr="00F91721">
        <w:rPr>
          <w:lang w:val="es-ES_tradnl"/>
        </w:rPr>
        <w:t xml:space="preserve">  </w:t>
      </w:r>
      <w:r w:rsidR="008813A8" w:rsidRPr="00C57630">
        <w:rPr>
          <w:lang w:val="es-ES_tradnl"/>
        </w:rPr>
        <w:t xml:space="preserve">En otros, el derecho de autor es de naturaleza dualista, lo cual significa que los derechos morales y los patrimoniales </w:t>
      </w:r>
      <w:r w:rsidR="00090797" w:rsidRPr="00C57630">
        <w:rPr>
          <w:lang w:val="es-ES_tradnl"/>
        </w:rPr>
        <w:t>van por carriles separados</w:t>
      </w:r>
      <w:r w:rsidR="008813A8" w:rsidRPr="00C57630">
        <w:rPr>
          <w:lang w:val="es-ES_tradnl"/>
        </w:rPr>
        <w:t>.</w:t>
      </w:r>
      <w:r w:rsidR="0029214D" w:rsidRPr="00C57630">
        <w:rPr>
          <w:lang w:val="es-ES_tradnl"/>
        </w:rPr>
        <w:t xml:space="preserve">  </w:t>
      </w:r>
      <w:r w:rsidR="008813A8" w:rsidRPr="00C57630">
        <w:rPr>
          <w:lang w:val="es-ES_tradnl"/>
        </w:rPr>
        <w:t xml:space="preserve">En los sistemas jurídicos monistas, el derecho de autor solo puede ser objeto de una licencia y queda prohibida toda renuncia. </w:t>
      </w:r>
      <w:r w:rsidR="00090797" w:rsidRPr="00F91721">
        <w:rPr>
          <w:lang w:val="es-ES_tradnl"/>
        </w:rPr>
        <w:t xml:space="preserve"> </w:t>
      </w:r>
      <w:r w:rsidR="00090797" w:rsidRPr="00C57630">
        <w:rPr>
          <w:lang w:val="es-ES_tradnl"/>
        </w:rPr>
        <w:t>No obstante</w:t>
      </w:r>
      <w:r w:rsidR="008813A8" w:rsidRPr="00C57630">
        <w:rPr>
          <w:lang w:val="es-ES_tradnl"/>
        </w:rPr>
        <w:t xml:space="preserve">, la mayoría de los sistemas jurídicos suelen ser de naturaleza dualista, lo que permite disociar los derechos morales de la dimensión patrimonial y hace posible recurrir a todo tipo de concesiones parciales o totales de estos derechos, incluida la </w:t>
      </w:r>
      <w:r w:rsidR="004F75F9" w:rsidRPr="00C57630">
        <w:rPr>
          <w:lang w:val="es-ES_tradnl"/>
        </w:rPr>
        <w:t>transferencia</w:t>
      </w:r>
      <w:r w:rsidR="008813A8" w:rsidRPr="00C57630">
        <w:rPr>
          <w:lang w:val="es-ES_tradnl"/>
        </w:rPr>
        <w:t xml:space="preserve"> plena. </w:t>
      </w:r>
      <w:r w:rsidR="00F07025" w:rsidRPr="00F91721">
        <w:rPr>
          <w:lang w:val="es-ES_tradnl"/>
        </w:rPr>
        <w:t xml:space="preserve"> </w:t>
      </w:r>
      <w:r w:rsidR="004F75F9" w:rsidRPr="00C57630">
        <w:rPr>
          <w:lang w:val="es-ES_tradnl"/>
        </w:rPr>
        <w:t>En el caso de los sistemas dualistas, la renuncia voluntaria es posible si está contemplada en el ordenamiento jurídico.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C57630" w:rsidRDefault="004F75F9" w:rsidP="004F75F9">
      <w:pPr>
        <w:rPr>
          <w:lang w:val="es-ES_tradnl"/>
        </w:rPr>
      </w:pPr>
      <w:r w:rsidRPr="00C57630">
        <w:rPr>
          <w:lang w:val="es-ES_tradnl"/>
        </w:rPr>
        <w:t>El informe también aborda la cuestión de la irrevocabilidad.</w:t>
      </w:r>
      <w:r w:rsidR="0029214D" w:rsidRPr="00C57630">
        <w:rPr>
          <w:lang w:val="es-ES_tradnl"/>
        </w:rPr>
        <w:t xml:space="preserve">  </w:t>
      </w:r>
      <w:r w:rsidRPr="00B56782">
        <w:rPr>
          <w:lang w:val="es-ES_tradnl"/>
        </w:rPr>
        <w:t xml:space="preserve">Es motivo de preocupación para algunos el hecho de que la cesión al dominio público sea definitiva e irrevocable, lo cual puede interpretarse </w:t>
      </w:r>
      <w:r w:rsidR="00143A9B" w:rsidRPr="00B56782">
        <w:rPr>
          <w:lang w:val="es-ES_tradnl"/>
        </w:rPr>
        <w:t xml:space="preserve">en cierta forma </w:t>
      </w:r>
      <w:r w:rsidRPr="00B56782">
        <w:rPr>
          <w:lang w:val="es-ES_tradnl"/>
        </w:rPr>
        <w:t xml:space="preserve">como un obstáculo </w:t>
      </w:r>
      <w:r w:rsidR="00B56782" w:rsidRPr="00B56782">
        <w:rPr>
          <w:lang w:val="es-ES_tradnl"/>
        </w:rPr>
        <w:t>a que tenga lugar la renuncia</w:t>
      </w:r>
      <w:r w:rsidRPr="00B56782">
        <w:rPr>
          <w:lang w:val="es-ES_tradnl"/>
        </w:rPr>
        <w:t xml:space="preserve"> derecho de autor.</w:t>
      </w:r>
      <w:r w:rsidR="0029214D" w:rsidRPr="00C57630">
        <w:rPr>
          <w:lang w:val="es-ES_tradnl"/>
        </w:rPr>
        <w:t xml:space="preserve">  </w:t>
      </w:r>
      <w:r w:rsidRPr="00C57630">
        <w:rPr>
          <w:lang w:val="es-ES_tradnl"/>
        </w:rPr>
        <w:t>El infor</w:t>
      </w:r>
      <w:r w:rsidR="00B56782">
        <w:rPr>
          <w:lang w:val="es-ES_tradnl"/>
        </w:rPr>
        <w:t>me concluye que, a pesar de todo</w:t>
      </w:r>
      <w:r w:rsidRPr="00C57630">
        <w:rPr>
          <w:lang w:val="es-ES_tradnl"/>
        </w:rPr>
        <w:t xml:space="preserve">, esto no tendría por qué </w:t>
      </w:r>
      <w:r w:rsidR="00F07025" w:rsidRPr="00C57630">
        <w:rPr>
          <w:lang w:val="es-ES_tradnl"/>
        </w:rPr>
        <w:t>plantear</w:t>
      </w:r>
      <w:r w:rsidRPr="00C57630">
        <w:rPr>
          <w:lang w:val="es-ES_tradnl"/>
        </w:rPr>
        <w:t xml:space="preserve"> problema, ya que las pruebas empíricas apuntan a que los autores toman decisiones con conocimiento de causa; motivo por</w:t>
      </w:r>
      <w:r w:rsidR="00F07025" w:rsidRPr="00C57630">
        <w:rPr>
          <w:lang w:val="es-ES_tradnl"/>
        </w:rPr>
        <w:t xml:space="preserve"> el cual</w:t>
      </w:r>
      <w:r w:rsidRPr="00C57630">
        <w:rPr>
          <w:lang w:val="es-ES_tradnl"/>
        </w:rPr>
        <w:t xml:space="preserve"> es muy poco probable</w:t>
      </w:r>
      <w:r w:rsidR="00F07025" w:rsidRPr="00C57630">
        <w:rPr>
          <w:lang w:val="es-ES_tradnl"/>
        </w:rPr>
        <w:t xml:space="preserve"> que decidan dar marcha atrás en lo sucesivo</w:t>
      </w:r>
      <w:r w:rsidRPr="00C57630">
        <w:rPr>
          <w:lang w:val="es-ES_tradnl"/>
        </w:rPr>
        <w:t>.</w:t>
      </w:r>
      <w:r w:rsidR="0029214D" w:rsidRPr="00C57630">
        <w:rPr>
          <w:lang w:val="es-ES_tradnl"/>
        </w:rPr>
        <w:t xml:space="preserve"> 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F91721" w:rsidRDefault="00747CF7" w:rsidP="005549B0">
      <w:pPr>
        <w:rPr>
          <w:lang w:val="es-ES_tradnl"/>
        </w:rPr>
      </w:pPr>
      <w:r w:rsidRPr="00C57630">
        <w:rPr>
          <w:lang w:val="es-ES_tradnl"/>
        </w:rPr>
        <w:t xml:space="preserve">La siguiente sección del informe </w:t>
      </w:r>
      <w:r w:rsidR="00F07025" w:rsidRPr="00C57630">
        <w:rPr>
          <w:lang w:val="es-ES_tradnl"/>
        </w:rPr>
        <w:t>analiza</w:t>
      </w:r>
      <w:r w:rsidRPr="00C57630">
        <w:rPr>
          <w:lang w:val="es-ES_tradnl"/>
        </w:rPr>
        <w:t xml:space="preserve"> nueve sistemas jurídicos para determin</w:t>
      </w:r>
      <w:r w:rsidR="00F07025" w:rsidRPr="00C57630">
        <w:rPr>
          <w:lang w:val="es-ES_tradnl"/>
        </w:rPr>
        <w:t xml:space="preserve">ar si sus respectivos regímenes de derecho de autor </w:t>
      </w:r>
      <w:r w:rsidRPr="00C57630">
        <w:rPr>
          <w:lang w:val="es-ES_tradnl"/>
        </w:rPr>
        <w:t>autoriza</w:t>
      </w:r>
      <w:r w:rsidR="00F07025" w:rsidRPr="00C57630">
        <w:rPr>
          <w:lang w:val="es-ES_tradnl"/>
        </w:rPr>
        <w:t>n</w:t>
      </w:r>
      <w:r w:rsidRPr="00C57630">
        <w:rPr>
          <w:lang w:val="es-ES_tradnl"/>
        </w:rPr>
        <w:t xml:space="preserve"> la cesión al dominio público.</w:t>
      </w:r>
      <w:r w:rsidR="0029214D" w:rsidRPr="00C57630">
        <w:rPr>
          <w:lang w:val="es-ES_tradnl"/>
        </w:rPr>
        <w:t xml:space="preserve">  </w:t>
      </w:r>
      <w:r w:rsidRPr="00C57630">
        <w:rPr>
          <w:lang w:val="es-ES_tradnl"/>
        </w:rPr>
        <w:t xml:space="preserve">De los nueve países objeto del estudio, cuatro autorizan la renuncia al derecho de autor de manera inequívoca, mientras que </w:t>
      </w:r>
      <w:r w:rsidR="00F07025" w:rsidRPr="00C57630">
        <w:rPr>
          <w:lang w:val="es-ES_tradnl"/>
        </w:rPr>
        <w:t xml:space="preserve">la legislación de </w:t>
      </w:r>
      <w:r w:rsidRPr="00C57630">
        <w:rPr>
          <w:lang w:val="es-ES_tradnl"/>
        </w:rPr>
        <w:t>los cinco restantes</w:t>
      </w:r>
      <w:r w:rsidR="00F07025" w:rsidRPr="00C57630">
        <w:rPr>
          <w:lang w:val="es-ES_tradnl"/>
        </w:rPr>
        <w:t xml:space="preserve"> no aborda la cuestión, por lo cual queda abierta</w:t>
      </w:r>
      <w:r w:rsidRPr="00C57630">
        <w:rPr>
          <w:lang w:val="es-ES_tradnl"/>
        </w:rPr>
        <w:t xml:space="preserve"> a interpretación.</w:t>
      </w:r>
      <w:r w:rsidR="0029214D" w:rsidRPr="00C57630">
        <w:rPr>
          <w:lang w:val="es-ES_tradnl"/>
        </w:rPr>
        <w:t xml:space="preserve">  </w:t>
      </w:r>
      <w:r w:rsidR="005549B0" w:rsidRPr="00C57630">
        <w:rPr>
          <w:lang w:val="es-ES_tradnl"/>
        </w:rPr>
        <w:t>Por otro lado, la mayoría de los países prohíben renunciar a los derechos, lo que abona la teoría dualista del derecho de autor.</w:t>
      </w:r>
      <w:r w:rsidR="0029214D" w:rsidRPr="00F91721">
        <w:rPr>
          <w:lang w:val="es-ES_tradnl"/>
        </w:rPr>
        <w:t xml:space="preserve"> </w:t>
      </w:r>
    </w:p>
    <w:p w:rsidR="004F75F9" w:rsidRPr="00F91721" w:rsidRDefault="004F75F9" w:rsidP="0029214D">
      <w:pPr>
        <w:rPr>
          <w:lang w:val="es-ES_tradnl"/>
        </w:rPr>
      </w:pPr>
    </w:p>
    <w:p w:rsidR="0029214D" w:rsidRPr="00C57630" w:rsidRDefault="000801E1" w:rsidP="005549B0">
      <w:pPr>
        <w:rPr>
          <w:b/>
          <w:lang w:val="en-GB"/>
        </w:rPr>
      </w:pPr>
      <w:r w:rsidRPr="00C57630">
        <w:rPr>
          <w:b/>
          <w:lang w:val="es-ES_tradnl"/>
        </w:rPr>
        <w:t>Cuadro</w:t>
      </w:r>
      <w:r w:rsidR="0029214D" w:rsidRPr="00C57630">
        <w:rPr>
          <w:b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C57630" w:rsidRPr="00C57630" w:rsidTr="00FA357F">
        <w:tc>
          <w:tcPr>
            <w:tcW w:w="2493" w:type="dxa"/>
          </w:tcPr>
          <w:p w:rsidR="0029214D" w:rsidRPr="00C57630" w:rsidRDefault="005549B0" w:rsidP="005549B0">
            <w:pPr>
              <w:rPr>
                <w:b/>
                <w:lang w:val="en-GB"/>
              </w:rPr>
            </w:pPr>
            <w:r w:rsidRPr="00C57630">
              <w:rPr>
                <w:b/>
                <w:lang w:val="es-ES_tradnl"/>
              </w:rPr>
              <w:t>País</w:t>
            </w:r>
          </w:p>
        </w:tc>
        <w:tc>
          <w:tcPr>
            <w:tcW w:w="2493" w:type="dxa"/>
          </w:tcPr>
          <w:p w:rsidR="0029214D" w:rsidRPr="00C57630" w:rsidRDefault="005549B0" w:rsidP="005549B0">
            <w:pPr>
              <w:rPr>
                <w:b/>
                <w:lang w:val="en-GB"/>
              </w:rPr>
            </w:pPr>
            <w:r w:rsidRPr="0056601F">
              <w:rPr>
                <w:b/>
                <w:lang w:val="es-ES_tradnl"/>
              </w:rPr>
              <w:t xml:space="preserve">¿Autoriza </w:t>
            </w:r>
            <w:r w:rsidR="00F07025" w:rsidRPr="0056601F">
              <w:rPr>
                <w:b/>
                <w:lang w:val="es-ES_tradnl"/>
              </w:rPr>
              <w:t xml:space="preserve">la </w:t>
            </w:r>
            <w:r w:rsidRPr="0056601F">
              <w:rPr>
                <w:b/>
                <w:lang w:val="es-ES_tradnl"/>
              </w:rPr>
              <w:t>renuncia voluntaria?</w:t>
            </w:r>
          </w:p>
        </w:tc>
        <w:tc>
          <w:tcPr>
            <w:tcW w:w="2493" w:type="dxa"/>
          </w:tcPr>
          <w:p w:rsidR="0029214D" w:rsidRPr="00AF5398" w:rsidRDefault="005549B0" w:rsidP="005549B0">
            <w:pPr>
              <w:rPr>
                <w:b/>
                <w:lang w:val="es-ES_tradnl"/>
              </w:rPr>
            </w:pPr>
            <w:r w:rsidRPr="00C57630">
              <w:rPr>
                <w:b/>
                <w:lang w:val="es-ES_tradnl"/>
              </w:rPr>
              <w:t>Autoriza renunciar a los derechos morales</w:t>
            </w:r>
            <w:proofErr w:type="gramStart"/>
            <w:r w:rsidRPr="00C57630">
              <w:rPr>
                <w:b/>
                <w:lang w:val="es-ES_tradnl"/>
              </w:rPr>
              <w:t>?</w:t>
            </w:r>
            <w:proofErr w:type="gramEnd"/>
          </w:p>
        </w:tc>
      </w:tr>
      <w:tr w:rsidR="00C57630" w:rsidRPr="00C57630" w:rsidTr="00FA357F">
        <w:tc>
          <w:tcPr>
            <w:tcW w:w="2493" w:type="dxa"/>
          </w:tcPr>
          <w:p w:rsidR="0029214D" w:rsidRPr="00C57630" w:rsidRDefault="005549B0" w:rsidP="005549B0">
            <w:pPr>
              <w:rPr>
                <w:lang w:val="en-GB"/>
              </w:rPr>
            </w:pPr>
            <w:r w:rsidRPr="00C57630">
              <w:rPr>
                <w:lang w:val="es-ES_tradnl"/>
              </w:rPr>
              <w:t>Brasil</w:t>
            </w:r>
          </w:p>
        </w:tc>
        <w:tc>
          <w:tcPr>
            <w:tcW w:w="2493" w:type="dxa"/>
          </w:tcPr>
          <w:p w:rsidR="0029214D" w:rsidRPr="00C57630" w:rsidRDefault="005549B0" w:rsidP="005549B0">
            <w:pPr>
              <w:rPr>
                <w:lang w:val="en-GB"/>
              </w:rPr>
            </w:pPr>
            <w:r w:rsidRPr="00C57630">
              <w:rPr>
                <w:lang w:val="es-ES_tradnl"/>
              </w:rPr>
              <w:t>No queda claro</w:t>
            </w:r>
          </w:p>
        </w:tc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No</w:t>
            </w:r>
          </w:p>
        </w:tc>
      </w:tr>
      <w:tr w:rsidR="00C57630" w:rsidRPr="00C57630" w:rsidTr="00FA357F"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Chile</w:t>
            </w:r>
          </w:p>
        </w:tc>
        <w:tc>
          <w:tcPr>
            <w:tcW w:w="2493" w:type="dxa"/>
          </w:tcPr>
          <w:p w:rsidR="0029214D" w:rsidRPr="00C57630" w:rsidRDefault="005549B0" w:rsidP="005549B0">
            <w:pPr>
              <w:rPr>
                <w:lang w:val="en-GB"/>
              </w:rPr>
            </w:pPr>
            <w:r w:rsidRPr="00C57630">
              <w:rPr>
                <w:lang w:val="es-ES_tradnl"/>
              </w:rPr>
              <w:t>Sí</w:t>
            </w:r>
          </w:p>
        </w:tc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No</w:t>
            </w:r>
          </w:p>
        </w:tc>
      </w:tr>
      <w:tr w:rsidR="00C57630" w:rsidRPr="00C57630" w:rsidTr="00FA357F"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China</w:t>
            </w:r>
          </w:p>
        </w:tc>
        <w:tc>
          <w:tcPr>
            <w:tcW w:w="2493" w:type="dxa"/>
          </w:tcPr>
          <w:p w:rsidR="0029214D" w:rsidRPr="00C57630" w:rsidRDefault="005549B0" w:rsidP="005549B0">
            <w:pPr>
              <w:rPr>
                <w:lang w:val="en-GB"/>
              </w:rPr>
            </w:pPr>
            <w:r w:rsidRPr="00C57630">
              <w:rPr>
                <w:lang w:val="es-ES_tradnl"/>
              </w:rPr>
              <w:t>No queda claro</w:t>
            </w:r>
          </w:p>
        </w:tc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No</w:t>
            </w:r>
          </w:p>
        </w:tc>
      </w:tr>
      <w:tr w:rsidR="00C57630" w:rsidRPr="00C57630" w:rsidTr="00FA357F"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Colombia</w:t>
            </w:r>
          </w:p>
        </w:tc>
        <w:tc>
          <w:tcPr>
            <w:tcW w:w="2493" w:type="dxa"/>
          </w:tcPr>
          <w:p w:rsidR="0029214D" w:rsidRPr="00C57630" w:rsidRDefault="005549B0" w:rsidP="005549B0">
            <w:pPr>
              <w:rPr>
                <w:lang w:val="en-GB"/>
              </w:rPr>
            </w:pPr>
            <w:r w:rsidRPr="00C57630">
              <w:rPr>
                <w:lang w:val="es-ES_tradnl"/>
              </w:rPr>
              <w:t>Sí</w:t>
            </w:r>
          </w:p>
        </w:tc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No</w:t>
            </w:r>
          </w:p>
        </w:tc>
      </w:tr>
      <w:tr w:rsidR="00C57630" w:rsidRPr="00C57630" w:rsidTr="00FA357F">
        <w:tc>
          <w:tcPr>
            <w:tcW w:w="2493" w:type="dxa"/>
          </w:tcPr>
          <w:p w:rsidR="0029214D" w:rsidRPr="00C57630" w:rsidRDefault="005549B0" w:rsidP="005549B0">
            <w:pPr>
              <w:rPr>
                <w:lang w:val="en-GB"/>
              </w:rPr>
            </w:pPr>
            <w:r w:rsidRPr="00C57630">
              <w:rPr>
                <w:lang w:val="es-ES_tradnl"/>
              </w:rPr>
              <w:t>Egipto</w:t>
            </w:r>
          </w:p>
        </w:tc>
        <w:tc>
          <w:tcPr>
            <w:tcW w:w="2493" w:type="dxa"/>
          </w:tcPr>
          <w:p w:rsidR="0029214D" w:rsidRPr="00C57630" w:rsidRDefault="005549B0" w:rsidP="005549B0">
            <w:pPr>
              <w:rPr>
                <w:lang w:val="en-GB"/>
              </w:rPr>
            </w:pPr>
            <w:r w:rsidRPr="00C57630">
              <w:rPr>
                <w:lang w:val="es-ES_tradnl"/>
              </w:rPr>
              <w:t>No queda claro</w:t>
            </w:r>
          </w:p>
        </w:tc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No</w:t>
            </w:r>
          </w:p>
        </w:tc>
      </w:tr>
      <w:tr w:rsidR="00C57630" w:rsidRPr="00C57630" w:rsidTr="00FA357F">
        <w:tc>
          <w:tcPr>
            <w:tcW w:w="2493" w:type="dxa"/>
          </w:tcPr>
          <w:p w:rsidR="0029214D" w:rsidRPr="00C57630" w:rsidRDefault="005549B0" w:rsidP="005549B0">
            <w:pPr>
              <w:rPr>
                <w:lang w:val="en-GB"/>
              </w:rPr>
            </w:pPr>
            <w:r w:rsidRPr="00C57630">
              <w:rPr>
                <w:lang w:val="es-ES_tradnl"/>
              </w:rPr>
              <w:t>Francia</w:t>
            </w:r>
          </w:p>
        </w:tc>
        <w:tc>
          <w:tcPr>
            <w:tcW w:w="2493" w:type="dxa"/>
          </w:tcPr>
          <w:p w:rsidR="0029214D" w:rsidRPr="00C57630" w:rsidRDefault="005549B0" w:rsidP="005549B0">
            <w:pPr>
              <w:rPr>
                <w:lang w:val="en-GB"/>
              </w:rPr>
            </w:pPr>
            <w:r w:rsidRPr="00C57630">
              <w:rPr>
                <w:lang w:val="es-ES_tradnl"/>
              </w:rPr>
              <w:t>No queda claro</w:t>
            </w:r>
          </w:p>
        </w:tc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No</w:t>
            </w:r>
          </w:p>
        </w:tc>
      </w:tr>
      <w:tr w:rsidR="00C57630" w:rsidRPr="00C57630" w:rsidTr="00FA357F"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India</w:t>
            </w:r>
          </w:p>
        </w:tc>
        <w:tc>
          <w:tcPr>
            <w:tcW w:w="2493" w:type="dxa"/>
          </w:tcPr>
          <w:p w:rsidR="0029214D" w:rsidRPr="00C57630" w:rsidRDefault="008C34B8" w:rsidP="008C34B8">
            <w:pPr>
              <w:rPr>
                <w:lang w:val="en-GB"/>
              </w:rPr>
            </w:pPr>
            <w:r w:rsidRPr="00C57630">
              <w:rPr>
                <w:lang w:val="es-ES_tradnl"/>
              </w:rPr>
              <w:t>Sí</w:t>
            </w:r>
          </w:p>
        </w:tc>
        <w:tc>
          <w:tcPr>
            <w:tcW w:w="2493" w:type="dxa"/>
          </w:tcPr>
          <w:p w:rsidR="0029214D" w:rsidRPr="00C57630" w:rsidRDefault="008C34B8" w:rsidP="008C34B8">
            <w:pPr>
              <w:rPr>
                <w:lang w:val="en-GB"/>
              </w:rPr>
            </w:pPr>
            <w:r w:rsidRPr="00C57630">
              <w:rPr>
                <w:lang w:val="es-ES_tradnl"/>
              </w:rPr>
              <w:t>No queda claro</w:t>
            </w:r>
          </w:p>
        </w:tc>
      </w:tr>
      <w:tr w:rsidR="00C57630" w:rsidRPr="00C57630" w:rsidTr="00FA357F">
        <w:tc>
          <w:tcPr>
            <w:tcW w:w="2493" w:type="dxa"/>
          </w:tcPr>
          <w:p w:rsidR="0029214D" w:rsidRPr="00C57630" w:rsidRDefault="008C34B8" w:rsidP="008C34B8">
            <w:pPr>
              <w:rPr>
                <w:lang w:val="en-GB"/>
              </w:rPr>
            </w:pPr>
            <w:proofErr w:type="spellStart"/>
            <w:r w:rsidRPr="00C57630">
              <w:rPr>
                <w:lang w:val="es-ES_tradnl"/>
              </w:rPr>
              <w:t>Kenya</w:t>
            </w:r>
            <w:proofErr w:type="spellEnd"/>
          </w:p>
        </w:tc>
        <w:tc>
          <w:tcPr>
            <w:tcW w:w="2493" w:type="dxa"/>
          </w:tcPr>
          <w:p w:rsidR="0029214D" w:rsidRPr="00C57630" w:rsidRDefault="008C34B8" w:rsidP="008C34B8">
            <w:pPr>
              <w:rPr>
                <w:lang w:val="en-GB"/>
              </w:rPr>
            </w:pPr>
            <w:r w:rsidRPr="00C57630">
              <w:rPr>
                <w:lang w:val="es-ES_tradnl"/>
              </w:rPr>
              <w:t>Sí</w:t>
            </w:r>
          </w:p>
        </w:tc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No</w:t>
            </w:r>
          </w:p>
        </w:tc>
      </w:tr>
      <w:tr w:rsidR="00C57630" w:rsidRPr="00C57630" w:rsidTr="00FA357F">
        <w:tc>
          <w:tcPr>
            <w:tcW w:w="2493" w:type="dxa"/>
          </w:tcPr>
          <w:p w:rsidR="0029214D" w:rsidRPr="00C57630" w:rsidRDefault="008C34B8" w:rsidP="008C34B8">
            <w:pPr>
              <w:rPr>
                <w:lang w:val="en-GB"/>
              </w:rPr>
            </w:pPr>
            <w:r w:rsidRPr="00C57630">
              <w:rPr>
                <w:lang w:val="es-ES_tradnl"/>
              </w:rPr>
              <w:t>República de Corea</w:t>
            </w:r>
          </w:p>
        </w:tc>
        <w:tc>
          <w:tcPr>
            <w:tcW w:w="2493" w:type="dxa"/>
          </w:tcPr>
          <w:p w:rsidR="0029214D" w:rsidRPr="00C57630" w:rsidRDefault="008C34B8" w:rsidP="008C34B8">
            <w:pPr>
              <w:rPr>
                <w:lang w:val="en-GB"/>
              </w:rPr>
            </w:pPr>
            <w:r w:rsidRPr="00C57630">
              <w:rPr>
                <w:lang w:val="es-ES_tradnl"/>
              </w:rPr>
              <w:t>No queda claro</w:t>
            </w:r>
          </w:p>
        </w:tc>
        <w:tc>
          <w:tcPr>
            <w:tcW w:w="2493" w:type="dxa"/>
          </w:tcPr>
          <w:p w:rsidR="0029214D" w:rsidRPr="00C57630" w:rsidRDefault="0029214D" w:rsidP="00FA357F">
            <w:pPr>
              <w:rPr>
                <w:lang w:val="en-GB"/>
              </w:rPr>
            </w:pPr>
            <w:r w:rsidRPr="00C57630">
              <w:rPr>
                <w:lang w:val="en-GB"/>
              </w:rPr>
              <w:t>No</w:t>
            </w:r>
          </w:p>
        </w:tc>
      </w:tr>
    </w:tbl>
    <w:p w:rsidR="004F75F9" w:rsidRPr="00C57630" w:rsidRDefault="004F75F9" w:rsidP="0029214D">
      <w:pPr>
        <w:rPr>
          <w:lang w:val="en-GB"/>
        </w:rPr>
      </w:pPr>
    </w:p>
    <w:p w:rsidR="004F75F9" w:rsidRPr="00C57630" w:rsidRDefault="008C34B8" w:rsidP="002D2FDC">
      <w:pPr>
        <w:rPr>
          <w:lang w:val="es-ES_tradnl"/>
        </w:rPr>
      </w:pPr>
      <w:r w:rsidRPr="00C57630">
        <w:rPr>
          <w:lang w:val="es-ES_tradnl"/>
        </w:rPr>
        <w:t>En el apartado final del informe se abordan aspectos prácticos de la renuncia al derecho de autor.</w:t>
      </w:r>
      <w:r w:rsidR="0029214D" w:rsidRPr="00F91721">
        <w:rPr>
          <w:lang w:val="es-ES_tradnl"/>
        </w:rPr>
        <w:t xml:space="preserve">  </w:t>
      </w:r>
      <w:r w:rsidR="001A453A" w:rsidRPr="00C57630">
        <w:rPr>
          <w:lang w:val="es-ES_tradnl"/>
        </w:rPr>
        <w:t>Teniendo en cuenta que la situación jurídica en lo relativo a la renuncia no está clara, los autores que deseen proceder a una cesión al dominio público, cualquiera sea su tipo, quizás prefieran evitar la incertidumbre reinante y opten por la alternativa de la concesión de licencias, cuyos efectos son similares</w:t>
      </w:r>
      <w:r w:rsidR="00C57630" w:rsidRPr="00C57630">
        <w:rPr>
          <w:lang w:val="es-ES_tradnl"/>
        </w:rPr>
        <w:t xml:space="preserve"> a</w:t>
      </w:r>
      <w:r w:rsidR="001A453A" w:rsidRPr="00C57630">
        <w:rPr>
          <w:lang w:val="es-ES_tradnl"/>
        </w:rPr>
        <w:t xml:space="preserve"> los que </w:t>
      </w:r>
      <w:r w:rsidR="000801E1" w:rsidRPr="00C57630">
        <w:rPr>
          <w:lang w:val="es-ES_tradnl"/>
        </w:rPr>
        <w:t>surtirían</w:t>
      </w:r>
      <w:r w:rsidR="001A453A" w:rsidRPr="00C57630">
        <w:rPr>
          <w:lang w:val="es-ES_tradnl"/>
        </w:rPr>
        <w:t xml:space="preserve"> cuando vence el período de protección que el derecho de autor le confiere a la obra.</w:t>
      </w:r>
      <w:r w:rsidR="0029214D" w:rsidRPr="00C57630">
        <w:rPr>
          <w:lang w:val="es-ES_tradnl"/>
        </w:rPr>
        <w:t xml:space="preserve">  </w:t>
      </w:r>
      <w:r w:rsidR="001A453A" w:rsidRPr="00C57630">
        <w:rPr>
          <w:lang w:val="es-ES_tradnl"/>
        </w:rPr>
        <w:t xml:space="preserve">Esto es posible mediante la aplicación de sistemas de </w:t>
      </w:r>
      <w:r w:rsidR="000801E1" w:rsidRPr="00C57630">
        <w:rPr>
          <w:lang w:val="es-ES_tradnl"/>
        </w:rPr>
        <w:t>licencias</w:t>
      </w:r>
      <w:r w:rsidR="001A453A" w:rsidRPr="00C57630">
        <w:rPr>
          <w:lang w:val="es-ES_tradnl"/>
        </w:rPr>
        <w:t xml:space="preserve"> abiertas.</w:t>
      </w:r>
      <w:r w:rsidR="0029214D" w:rsidRPr="00F91721">
        <w:rPr>
          <w:lang w:val="es-ES_tradnl"/>
        </w:rPr>
        <w:t xml:space="preserve">  </w:t>
      </w:r>
      <w:r w:rsidR="00E75B3C" w:rsidRPr="00C57630">
        <w:rPr>
          <w:lang w:val="es-ES_tradnl"/>
        </w:rPr>
        <w:t xml:space="preserve">Se están analizando más en profundidad dos sistemas de licencias, a saber,  </w:t>
      </w:r>
      <w:r w:rsidR="00476F99">
        <w:rPr>
          <w:lang w:val="es-ES_tradnl"/>
        </w:rPr>
        <w:t xml:space="preserve">los sistemas de licencias de explotación o de cesión al dominio público tales como </w:t>
      </w:r>
      <w:proofErr w:type="spellStart"/>
      <w:r w:rsidR="00E75B3C" w:rsidRPr="00C57630">
        <w:rPr>
          <w:i/>
          <w:lang w:val="es-ES_tradnl"/>
        </w:rPr>
        <w:t>Creative</w:t>
      </w:r>
      <w:proofErr w:type="spellEnd"/>
      <w:r w:rsidR="00E75B3C" w:rsidRPr="00C57630">
        <w:rPr>
          <w:i/>
          <w:lang w:val="es-ES_tradnl"/>
        </w:rPr>
        <w:t xml:space="preserve"> </w:t>
      </w:r>
      <w:proofErr w:type="spellStart"/>
      <w:r w:rsidR="00E75B3C" w:rsidRPr="00C57630">
        <w:rPr>
          <w:i/>
          <w:lang w:val="es-ES_tradnl"/>
        </w:rPr>
        <w:t>Commons</w:t>
      </w:r>
      <w:proofErr w:type="spellEnd"/>
      <w:r w:rsidR="00E75B3C" w:rsidRPr="00C57630">
        <w:rPr>
          <w:i/>
          <w:lang w:val="es-ES_tradnl"/>
        </w:rPr>
        <w:t xml:space="preserve"> Zero</w:t>
      </w:r>
      <w:r w:rsidR="00E75B3C" w:rsidRPr="00C57630">
        <w:rPr>
          <w:lang w:val="es-ES_tradnl"/>
        </w:rPr>
        <w:t xml:space="preserve"> (CC0) y </w:t>
      </w:r>
      <w:r w:rsidR="00E75B3C" w:rsidRPr="00C57630">
        <w:rPr>
          <w:i/>
          <w:lang w:val="es-ES_tradnl"/>
        </w:rPr>
        <w:t xml:space="preserve">Open Data </w:t>
      </w:r>
      <w:proofErr w:type="spellStart"/>
      <w:r w:rsidR="00E75B3C" w:rsidRPr="00C57630">
        <w:rPr>
          <w:i/>
          <w:lang w:val="es-ES_tradnl"/>
        </w:rPr>
        <w:t>Commons</w:t>
      </w:r>
      <w:proofErr w:type="spellEnd"/>
      <w:r w:rsidR="00E75B3C" w:rsidRPr="00C57630">
        <w:rPr>
          <w:lang w:val="es-ES_tradnl"/>
        </w:rPr>
        <w:t>.</w:t>
      </w:r>
      <w:r w:rsidR="0029214D" w:rsidRPr="00476F99">
        <w:rPr>
          <w:lang w:val="es-ES_tradnl"/>
        </w:rPr>
        <w:t xml:space="preserve">  </w:t>
      </w:r>
      <w:r w:rsidR="00E75B3C" w:rsidRPr="00C57630">
        <w:rPr>
          <w:lang w:val="es-ES_tradnl"/>
        </w:rPr>
        <w:t>Amb</w:t>
      </w:r>
      <w:r w:rsidR="000801E1" w:rsidRPr="00C57630">
        <w:rPr>
          <w:lang w:val="es-ES_tradnl"/>
        </w:rPr>
        <w:t xml:space="preserve">os cumplen una doble función.  </w:t>
      </w:r>
      <w:r w:rsidR="00C57630" w:rsidRPr="00C57630">
        <w:rPr>
          <w:lang w:val="es-ES_tradnl"/>
        </w:rPr>
        <w:t>Por un lado, permiten operar una cesión directa de la obra al dominio público</w:t>
      </w:r>
      <w:r w:rsidR="00E75B3C" w:rsidRPr="00C57630">
        <w:rPr>
          <w:lang w:val="es-ES_tradnl"/>
        </w:rPr>
        <w:t>.</w:t>
      </w:r>
      <w:r w:rsidR="0029214D" w:rsidRPr="00C57630">
        <w:rPr>
          <w:lang w:val="es-ES_tradnl"/>
        </w:rPr>
        <w:t xml:space="preserve">  </w:t>
      </w:r>
      <w:r w:rsidR="00C57630" w:rsidRPr="00C57630">
        <w:rPr>
          <w:lang w:val="es-ES_tradnl"/>
        </w:rPr>
        <w:t>Por otro, prevén cláusulas alternativas,</w:t>
      </w:r>
      <w:r w:rsidR="00E75B3C" w:rsidRPr="00C57630">
        <w:rPr>
          <w:lang w:val="es-ES_tradnl"/>
        </w:rPr>
        <w:t xml:space="preserve"> en caso de no ser posible renunciar al derecho de autor.</w:t>
      </w:r>
      <w:r w:rsidR="0029214D" w:rsidRPr="00C57630">
        <w:rPr>
          <w:lang w:val="es-ES_tradnl"/>
        </w:rPr>
        <w:t xml:space="preserve">  </w:t>
      </w:r>
      <w:r w:rsidR="002D2FDC" w:rsidRPr="00C57630">
        <w:rPr>
          <w:lang w:val="es-ES_tradnl"/>
        </w:rPr>
        <w:t xml:space="preserve">Estas </w:t>
      </w:r>
      <w:r w:rsidR="002D2FDC" w:rsidRPr="00C57630">
        <w:rPr>
          <w:lang w:val="es-ES_tradnl"/>
        </w:rPr>
        <w:lastRenderedPageBreak/>
        <w:t xml:space="preserve">cláusulas prevén la concesión de una licencia respecto de una obra, que surte el mismo efecto que si la obra </w:t>
      </w:r>
      <w:r w:rsidR="00C57630" w:rsidRPr="00C57630">
        <w:rPr>
          <w:lang w:val="es-ES_tradnl"/>
        </w:rPr>
        <w:t>pasase a formar parte de</w:t>
      </w:r>
      <w:r w:rsidR="002D2FDC" w:rsidRPr="00C57630">
        <w:rPr>
          <w:lang w:val="es-ES_tradnl"/>
        </w:rPr>
        <w:t>l dominio público.</w:t>
      </w:r>
      <w:r w:rsidR="0029214D" w:rsidRPr="00C57630">
        <w:rPr>
          <w:lang w:val="es-ES_tradnl"/>
        </w:rPr>
        <w:t xml:space="preserve"> 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C57630" w:rsidRDefault="002D2FDC" w:rsidP="002D2FDC">
      <w:pPr>
        <w:rPr>
          <w:lang w:val="es-ES_tradnl"/>
        </w:rPr>
      </w:pPr>
      <w:r w:rsidRPr="00C57630">
        <w:rPr>
          <w:lang w:val="es-ES_tradnl"/>
        </w:rPr>
        <w:t xml:space="preserve">El informe </w:t>
      </w:r>
      <w:r w:rsidR="007276A9" w:rsidRPr="00C57630">
        <w:rPr>
          <w:lang w:val="es-ES_tradnl"/>
        </w:rPr>
        <w:t>termina brindando</w:t>
      </w:r>
      <w:r w:rsidRPr="00C57630">
        <w:rPr>
          <w:lang w:val="es-ES_tradnl"/>
        </w:rPr>
        <w:t xml:space="preserve"> una serie de ejemplos de renuncia al derecho de autor, principalmente de instituciones públicas que destinan datos y ciertas obras al dominio público, principalmente mediante una cesión al dominio público como la prevista por el CC0.</w:t>
      </w:r>
      <w:r w:rsidR="0029214D" w:rsidRPr="00C57630">
        <w:rPr>
          <w:lang w:val="es-ES_tradnl"/>
        </w:rPr>
        <w:t xml:space="preserve"> </w:t>
      </w:r>
    </w:p>
    <w:p w:rsidR="004F75F9" w:rsidRPr="00C57630" w:rsidRDefault="004F75F9" w:rsidP="0029214D">
      <w:pPr>
        <w:rPr>
          <w:lang w:val="es-ES_tradnl"/>
        </w:rPr>
      </w:pPr>
    </w:p>
    <w:p w:rsidR="004F75F9" w:rsidRPr="00F91721" w:rsidRDefault="000801E1" w:rsidP="000801E1">
      <w:pPr>
        <w:rPr>
          <w:lang w:val="es-ES_tradnl"/>
        </w:rPr>
      </w:pPr>
      <w:r w:rsidRPr="00520877">
        <w:rPr>
          <w:lang w:val="es-ES_tradnl"/>
        </w:rPr>
        <w:t xml:space="preserve">El informe concluye que si bien los </w:t>
      </w:r>
      <w:r w:rsidR="00476F99" w:rsidRPr="00520877">
        <w:rPr>
          <w:lang w:val="es-ES_tradnl"/>
        </w:rPr>
        <w:t>problemas jurídicos relativos a</w:t>
      </w:r>
      <w:r w:rsidRPr="00520877">
        <w:rPr>
          <w:lang w:val="es-ES_tradnl"/>
        </w:rPr>
        <w:t xml:space="preserve"> la cesión al dominio público </w:t>
      </w:r>
      <w:r w:rsidR="00520877" w:rsidRPr="00520877">
        <w:rPr>
          <w:lang w:val="es-ES_tradnl"/>
        </w:rPr>
        <w:t>están lejos de resolverse</w:t>
      </w:r>
      <w:r w:rsidRPr="00520877">
        <w:rPr>
          <w:lang w:val="es-ES_tradnl"/>
        </w:rPr>
        <w:t xml:space="preserve">, las soluciones de concesión de licencias como </w:t>
      </w:r>
      <w:proofErr w:type="spellStart"/>
      <w:r w:rsidRPr="00520877">
        <w:rPr>
          <w:i/>
          <w:lang w:val="es-ES_tradnl"/>
        </w:rPr>
        <w:t>Creative</w:t>
      </w:r>
      <w:proofErr w:type="spellEnd"/>
      <w:r w:rsidRPr="00520877">
        <w:rPr>
          <w:i/>
          <w:lang w:val="es-ES_tradnl"/>
        </w:rPr>
        <w:t xml:space="preserve"> </w:t>
      </w:r>
      <w:proofErr w:type="spellStart"/>
      <w:r w:rsidRPr="00520877">
        <w:rPr>
          <w:i/>
          <w:lang w:val="es-ES_tradnl"/>
        </w:rPr>
        <w:t>Commons</w:t>
      </w:r>
      <w:proofErr w:type="spellEnd"/>
      <w:r w:rsidRPr="00520877">
        <w:rPr>
          <w:i/>
          <w:lang w:val="es-ES_tradnl"/>
        </w:rPr>
        <w:t xml:space="preserve"> (CC)</w:t>
      </w:r>
      <w:r w:rsidRPr="00520877">
        <w:rPr>
          <w:lang w:val="es-ES_tradnl"/>
        </w:rPr>
        <w:t xml:space="preserve"> crean un entorno </w:t>
      </w:r>
      <w:r w:rsidR="00476F99" w:rsidRPr="00520877">
        <w:rPr>
          <w:lang w:val="es-ES_tradnl"/>
        </w:rPr>
        <w:t xml:space="preserve">que </w:t>
      </w:r>
      <w:r w:rsidR="00520877" w:rsidRPr="00520877">
        <w:rPr>
          <w:lang w:val="es-ES_tradnl"/>
        </w:rPr>
        <w:t>permite ponerlos en perspectiva</w:t>
      </w:r>
      <w:r w:rsidRPr="00520877">
        <w:rPr>
          <w:lang w:val="es-ES_tradnl"/>
        </w:rPr>
        <w:t>.</w:t>
      </w:r>
      <w:r w:rsidR="0029214D" w:rsidRPr="00520877">
        <w:rPr>
          <w:lang w:val="es-ES_tradnl"/>
        </w:rPr>
        <w:t xml:space="preserve">  </w:t>
      </w:r>
      <w:r w:rsidRPr="00520877">
        <w:rPr>
          <w:lang w:val="es-ES_tradnl"/>
        </w:rPr>
        <w:t>Como resultado, se pueden compartir las obras sin restricciones, lo cual, para fines prácticos, equivale a que el autor haya cedido con éxito su obra al dominio público.</w:t>
      </w:r>
    </w:p>
    <w:p w:rsidR="004F75F9" w:rsidRPr="00F91721" w:rsidRDefault="004F75F9" w:rsidP="0029214D">
      <w:pPr>
        <w:rPr>
          <w:lang w:val="es-ES_tradnl"/>
        </w:rPr>
      </w:pPr>
    </w:p>
    <w:p w:rsidR="004F75F9" w:rsidRDefault="004F75F9" w:rsidP="0029214D">
      <w:pPr>
        <w:rPr>
          <w:lang w:val="es-ES_tradnl"/>
        </w:rPr>
      </w:pPr>
    </w:p>
    <w:p w:rsidR="00F91721" w:rsidRPr="00F91721" w:rsidRDefault="00F91721" w:rsidP="0029214D">
      <w:pPr>
        <w:rPr>
          <w:lang w:val="es-ES_tradnl"/>
        </w:rPr>
      </w:pPr>
    </w:p>
    <w:p w:rsidR="004F75F9" w:rsidRPr="00F91721" w:rsidRDefault="00F91721" w:rsidP="0029214D">
      <w:pPr>
        <w:pStyle w:val="Endofdocument-Annex"/>
        <w:rPr>
          <w:lang w:val="es-ES_tradnl"/>
        </w:rPr>
      </w:pPr>
      <w:r w:rsidRPr="00F91721">
        <w:rPr>
          <w:lang w:val="es-ES_tradnl"/>
        </w:rPr>
        <w:t>[Fin del Anexo y del documento</w:t>
      </w:r>
      <w:r>
        <w:rPr>
          <w:lang w:val="es-ES_tradnl"/>
        </w:rPr>
        <w:t>]</w:t>
      </w:r>
    </w:p>
    <w:p w:rsidR="004F75F9" w:rsidRPr="00F91721" w:rsidRDefault="004F75F9" w:rsidP="0029214D">
      <w:pPr>
        <w:pStyle w:val="Endofdocument-Annex"/>
        <w:rPr>
          <w:lang w:val="es-ES_tradnl"/>
        </w:rPr>
      </w:pPr>
    </w:p>
    <w:p w:rsidR="00152CEA" w:rsidRPr="00F91721" w:rsidRDefault="00152CEA" w:rsidP="0029214D">
      <w:pPr>
        <w:pStyle w:val="Endofdocument-Annex"/>
        <w:rPr>
          <w:lang w:val="es-ES_tradnl"/>
        </w:rPr>
      </w:pPr>
      <w:bookmarkStart w:id="4" w:name="_GoBack"/>
      <w:bookmarkEnd w:id="4"/>
    </w:p>
    <w:sectPr w:rsidR="00152CEA" w:rsidRPr="00F91721" w:rsidSect="0029214D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7A" w:rsidRDefault="00597C7A">
      <w:r>
        <w:separator/>
      </w:r>
    </w:p>
  </w:endnote>
  <w:endnote w:type="continuationSeparator" w:id="0">
    <w:p w:rsidR="00597C7A" w:rsidRPr="009D30E6" w:rsidRDefault="00597C7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97C7A" w:rsidRPr="007E663E" w:rsidRDefault="00597C7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97C7A" w:rsidRPr="007E663E" w:rsidRDefault="00597C7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7A" w:rsidRDefault="00597C7A">
      <w:r>
        <w:separator/>
      </w:r>
    </w:p>
  </w:footnote>
  <w:footnote w:type="continuationSeparator" w:id="0">
    <w:p w:rsidR="00597C7A" w:rsidRPr="009D30E6" w:rsidRDefault="00597C7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97C7A" w:rsidRPr="007E663E" w:rsidRDefault="00597C7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97C7A" w:rsidRPr="007E663E" w:rsidRDefault="00597C7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0536C4" w:rsidRPr="004A19BE" w:rsidRDefault="000536C4" w:rsidP="000801E1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4A19BE">
        <w:rPr>
          <w:lang w:val="es-ES_tradnl"/>
        </w:rPr>
        <w:t xml:space="preserve"> </w:t>
      </w:r>
      <w:r w:rsidRPr="004A19BE">
        <w:rPr>
          <w:lang w:val="es-ES_tradnl"/>
        </w:rPr>
        <w:tab/>
      </w:r>
      <w:r w:rsidR="00330B1A">
        <w:rPr>
          <w:lang w:val="es-ES_tradnl"/>
        </w:rPr>
        <w:t>Las opiniones expresadas en el e</w:t>
      </w:r>
      <w:r w:rsidR="004A19BE" w:rsidRPr="004A19BE">
        <w:rPr>
          <w:lang w:val="es-ES_tradnl"/>
        </w:rPr>
        <w:t xml:space="preserve">studio corresponden a los autores y no reflejan necesariamente el punto de vista de la Secretaría de la OMPI ni de los Estados miembros de la Organización. </w:t>
      </w:r>
    </w:p>
  </w:footnote>
  <w:footnote w:id="3">
    <w:p w:rsidR="00FF657F" w:rsidRPr="0011284B" w:rsidRDefault="00FF657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="00330B1A">
        <w:rPr>
          <w:lang w:val="es-ES_tradnl"/>
        </w:rPr>
        <w:tab/>
      </w:r>
      <w:r w:rsidR="00BE3719" w:rsidRPr="00BE3719">
        <w:rPr>
          <w:lang w:val="es-ES_tradnl"/>
        </w:rPr>
        <w:t xml:space="preserve">Cabe dedicarle una acotación a la terminología empleada en este informe. </w:t>
      </w:r>
      <w:r w:rsidR="0011284B">
        <w:rPr>
          <w:lang w:val="es-ES_tradnl"/>
        </w:rPr>
        <w:t>Es probable que l</w:t>
      </w:r>
      <w:r w:rsidR="00BE3719" w:rsidRPr="0011284B">
        <w:rPr>
          <w:lang w:val="es-ES_tradnl"/>
        </w:rPr>
        <w:t>os términos del inglés</w:t>
      </w:r>
      <w:r w:rsidRPr="0011284B">
        <w:rPr>
          <w:lang w:val="es-ES_tradnl"/>
        </w:rPr>
        <w:t xml:space="preserve"> “</w:t>
      </w:r>
      <w:proofErr w:type="spellStart"/>
      <w:r w:rsidRPr="0011284B">
        <w:rPr>
          <w:lang w:val="es-ES_tradnl"/>
        </w:rPr>
        <w:t>relinquishment</w:t>
      </w:r>
      <w:proofErr w:type="spellEnd"/>
      <w:r w:rsidRPr="0011284B">
        <w:rPr>
          <w:lang w:val="es-ES_tradnl"/>
        </w:rPr>
        <w:t xml:space="preserve">” </w:t>
      </w:r>
      <w:r w:rsidR="00BE3719" w:rsidRPr="0011284B">
        <w:rPr>
          <w:lang w:val="es-ES_tradnl"/>
        </w:rPr>
        <w:t>y</w:t>
      </w:r>
      <w:r w:rsidRPr="0011284B">
        <w:rPr>
          <w:lang w:val="es-ES_tradnl"/>
        </w:rPr>
        <w:t xml:space="preserve"> “</w:t>
      </w:r>
      <w:proofErr w:type="spellStart"/>
      <w:r w:rsidRPr="0011284B">
        <w:rPr>
          <w:lang w:val="es-ES_tradnl"/>
        </w:rPr>
        <w:t>renouncement</w:t>
      </w:r>
      <w:proofErr w:type="spellEnd"/>
      <w:r w:rsidRPr="0011284B">
        <w:rPr>
          <w:lang w:val="es-ES_tradnl"/>
        </w:rPr>
        <w:t>”</w:t>
      </w:r>
      <w:r w:rsidR="00BE3719" w:rsidRPr="0011284B">
        <w:rPr>
          <w:lang w:val="es-ES_tradnl"/>
        </w:rPr>
        <w:t>, en español “renuncia”</w:t>
      </w:r>
      <w:r w:rsidR="00F64118">
        <w:rPr>
          <w:lang w:val="es-ES_tradnl"/>
        </w:rPr>
        <w:t>,</w:t>
      </w:r>
      <w:r w:rsidR="0011284B">
        <w:rPr>
          <w:lang w:val="es-ES_tradnl"/>
        </w:rPr>
        <w:t xml:space="preserve"> tengan una connotación negativa, en particular para aquellos que quieren ampliar el alcance del dominio público. Por ello es que en algunos círculos</w:t>
      </w:r>
      <w:r w:rsidRPr="0011284B">
        <w:rPr>
          <w:lang w:val="es-ES_tradnl"/>
        </w:rPr>
        <w:t xml:space="preserve"> </w:t>
      </w:r>
      <w:r w:rsidR="0011284B">
        <w:rPr>
          <w:lang w:val="es-ES_tradnl"/>
        </w:rPr>
        <w:t xml:space="preserve">se da preferencia al término “cesión”, como en el caso de la expresión “cesión de una obra al dominio público”. </w:t>
      </w:r>
      <w:r w:rsidR="00F64118">
        <w:rPr>
          <w:lang w:val="es-ES_tradnl"/>
        </w:rPr>
        <w:t xml:space="preserve"> En un intento por no plegarse a</w:t>
      </w:r>
      <w:r w:rsidR="0011284B">
        <w:rPr>
          <w:lang w:val="es-ES_tradnl"/>
        </w:rPr>
        <w:t xml:space="preserve"> esta distinción, en el informe se emplean ambos términos de forma indistinta</w:t>
      </w:r>
      <w:r w:rsidRPr="0011284B">
        <w:rPr>
          <w:lang w:val="es-ES_tradn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4D" w:rsidRDefault="0029214D" w:rsidP="00477D6B">
    <w:pPr>
      <w:jc w:val="right"/>
    </w:pPr>
    <w:r>
      <w:t>CDIP/13/INF/</w:t>
    </w:r>
    <w:r w:rsidR="001C435A">
      <w:t>6</w:t>
    </w:r>
  </w:p>
  <w:p w:rsidR="0029214D" w:rsidRDefault="0029214D" w:rsidP="00477D6B">
    <w:pPr>
      <w:jc w:val="right"/>
    </w:pPr>
    <w:r>
      <w:t>ANEXO</w:t>
    </w:r>
  </w:p>
  <w:p w:rsidR="0029214D" w:rsidRDefault="0029214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9F0469" w:rsidP="00477D6B">
    <w:pPr>
      <w:jc w:val="right"/>
    </w:pPr>
    <w:bookmarkStart w:id="5" w:name="Code2"/>
    <w:bookmarkEnd w:id="5"/>
    <w:r>
      <w:t>C</w:t>
    </w:r>
    <w:r w:rsidR="001C435A">
      <w:t>DIP/13/INF/6</w:t>
    </w:r>
  </w:p>
  <w:p w:rsidR="00AE7F20" w:rsidRDefault="0029214D" w:rsidP="00477D6B">
    <w:pPr>
      <w:jc w:val="right"/>
    </w:pPr>
    <w:r>
      <w:t xml:space="preserve">Anexo,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1C435A">
      <w:rPr>
        <w:noProof/>
      </w:rPr>
      <w:t>2</w:t>
    </w:r>
    <w:r w:rsidR="00AE7F20"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4D" w:rsidRDefault="0029214D" w:rsidP="0029214D">
    <w:pPr>
      <w:jc w:val="right"/>
    </w:pPr>
    <w:r>
      <w:t>CDIP/13/INF/</w:t>
    </w:r>
    <w:r w:rsidR="001C435A">
      <w:t>6</w:t>
    </w:r>
  </w:p>
  <w:p w:rsidR="0029214D" w:rsidRDefault="0029214D" w:rsidP="0029214D">
    <w:pPr>
      <w:jc w:val="right"/>
    </w:pPr>
    <w:r>
      <w:t>ANEXO</w:t>
    </w:r>
  </w:p>
  <w:p w:rsidR="0029214D" w:rsidRDefault="0029214D" w:rsidP="0029214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9F0469"/>
    <w:rsid w:val="00010686"/>
    <w:rsid w:val="00052915"/>
    <w:rsid w:val="000536C4"/>
    <w:rsid w:val="000653F7"/>
    <w:rsid w:val="000801E1"/>
    <w:rsid w:val="00090797"/>
    <w:rsid w:val="000E3BB3"/>
    <w:rsid w:val="000F5E56"/>
    <w:rsid w:val="0011284B"/>
    <w:rsid w:val="00117CCB"/>
    <w:rsid w:val="001362EE"/>
    <w:rsid w:val="00143A9B"/>
    <w:rsid w:val="00152CEA"/>
    <w:rsid w:val="001832A6"/>
    <w:rsid w:val="001A453A"/>
    <w:rsid w:val="001C310D"/>
    <w:rsid w:val="001C435A"/>
    <w:rsid w:val="001F1A61"/>
    <w:rsid w:val="002634C4"/>
    <w:rsid w:val="0029214D"/>
    <w:rsid w:val="002D2FDC"/>
    <w:rsid w:val="002E0F47"/>
    <w:rsid w:val="002F4E68"/>
    <w:rsid w:val="00330B1A"/>
    <w:rsid w:val="00353875"/>
    <w:rsid w:val="00354647"/>
    <w:rsid w:val="00377273"/>
    <w:rsid w:val="003845C1"/>
    <w:rsid w:val="00387287"/>
    <w:rsid w:val="003E48F1"/>
    <w:rsid w:val="003F347A"/>
    <w:rsid w:val="00423E3E"/>
    <w:rsid w:val="00427AF4"/>
    <w:rsid w:val="00440AF0"/>
    <w:rsid w:val="0045231F"/>
    <w:rsid w:val="004647DA"/>
    <w:rsid w:val="00476F99"/>
    <w:rsid w:val="00477808"/>
    <w:rsid w:val="00477D6B"/>
    <w:rsid w:val="004A19BE"/>
    <w:rsid w:val="004A6C37"/>
    <w:rsid w:val="004E297D"/>
    <w:rsid w:val="004F75F9"/>
    <w:rsid w:val="004F79D8"/>
    <w:rsid w:val="00520877"/>
    <w:rsid w:val="005332F0"/>
    <w:rsid w:val="0055013B"/>
    <w:rsid w:val="005549B0"/>
    <w:rsid w:val="0056601F"/>
    <w:rsid w:val="00571B99"/>
    <w:rsid w:val="00582A9D"/>
    <w:rsid w:val="00591659"/>
    <w:rsid w:val="00597C7A"/>
    <w:rsid w:val="00605827"/>
    <w:rsid w:val="006370ED"/>
    <w:rsid w:val="00675021"/>
    <w:rsid w:val="006A06C6"/>
    <w:rsid w:val="006F3448"/>
    <w:rsid w:val="007224C8"/>
    <w:rsid w:val="007276A9"/>
    <w:rsid w:val="00747CF7"/>
    <w:rsid w:val="00794BE2"/>
    <w:rsid w:val="007B71FE"/>
    <w:rsid w:val="007C583F"/>
    <w:rsid w:val="007D1FE2"/>
    <w:rsid w:val="007D73BE"/>
    <w:rsid w:val="007D781E"/>
    <w:rsid w:val="007E663E"/>
    <w:rsid w:val="00815082"/>
    <w:rsid w:val="008813A8"/>
    <w:rsid w:val="0088395E"/>
    <w:rsid w:val="008B2CC1"/>
    <w:rsid w:val="008C34B8"/>
    <w:rsid w:val="008E6BD6"/>
    <w:rsid w:val="0090731E"/>
    <w:rsid w:val="00956D2B"/>
    <w:rsid w:val="00966A22"/>
    <w:rsid w:val="00972F03"/>
    <w:rsid w:val="009A0C8B"/>
    <w:rsid w:val="009A6A14"/>
    <w:rsid w:val="009B6241"/>
    <w:rsid w:val="009F0469"/>
    <w:rsid w:val="00A16FC0"/>
    <w:rsid w:val="00A32C9E"/>
    <w:rsid w:val="00A4692C"/>
    <w:rsid w:val="00AB613D"/>
    <w:rsid w:val="00AE7F20"/>
    <w:rsid w:val="00AF5398"/>
    <w:rsid w:val="00B56782"/>
    <w:rsid w:val="00B65A0A"/>
    <w:rsid w:val="00B67CDC"/>
    <w:rsid w:val="00B72BC0"/>
    <w:rsid w:val="00B72D36"/>
    <w:rsid w:val="00BB72FB"/>
    <w:rsid w:val="00BC4164"/>
    <w:rsid w:val="00BD2DCC"/>
    <w:rsid w:val="00BD424B"/>
    <w:rsid w:val="00BE3719"/>
    <w:rsid w:val="00C57630"/>
    <w:rsid w:val="00C90559"/>
    <w:rsid w:val="00CA2251"/>
    <w:rsid w:val="00CA41B3"/>
    <w:rsid w:val="00D56C7C"/>
    <w:rsid w:val="00D71B4D"/>
    <w:rsid w:val="00D90289"/>
    <w:rsid w:val="00D93D55"/>
    <w:rsid w:val="00DB2335"/>
    <w:rsid w:val="00DC4C60"/>
    <w:rsid w:val="00E0079A"/>
    <w:rsid w:val="00E37F35"/>
    <w:rsid w:val="00E444DA"/>
    <w:rsid w:val="00E45C84"/>
    <w:rsid w:val="00E504E5"/>
    <w:rsid w:val="00E75B3C"/>
    <w:rsid w:val="00EB7A3E"/>
    <w:rsid w:val="00EC401A"/>
    <w:rsid w:val="00EF530A"/>
    <w:rsid w:val="00EF6622"/>
    <w:rsid w:val="00F07025"/>
    <w:rsid w:val="00F55408"/>
    <w:rsid w:val="00F64118"/>
    <w:rsid w:val="00F66152"/>
    <w:rsid w:val="00F80845"/>
    <w:rsid w:val="00F84474"/>
    <w:rsid w:val="00F91721"/>
    <w:rsid w:val="00FA0F0D"/>
    <w:rsid w:val="00FD59D1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DB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B2335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uiPriority w:val="59"/>
    <w:rsid w:val="00292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R"/>
    <w:rsid w:val="0029214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29214D"/>
    <w:rPr>
      <w:rFonts w:ascii="Arial" w:eastAsia="SimSun" w:hAnsi="Arial" w:cs="Arial"/>
      <w:sz w:val="18"/>
      <w:lang w:val="es-E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9214D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Char">
    <w:name w:val="Char 字元 字元"/>
    <w:basedOn w:val="Normal"/>
    <w:rsid w:val="00F9172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DB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B2335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uiPriority w:val="59"/>
    <w:rsid w:val="00292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R"/>
    <w:rsid w:val="0029214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29214D"/>
    <w:rPr>
      <w:rFonts w:ascii="Arial" w:eastAsia="SimSun" w:hAnsi="Arial" w:cs="Arial"/>
      <w:sz w:val="18"/>
      <w:lang w:val="es-E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9214D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Char">
    <w:name w:val="Char 字元 字元"/>
    <w:basedOn w:val="Normal"/>
    <w:rsid w:val="00F9172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13 (S).dotm</Template>
  <TotalTime>3</TotalTime>
  <Pages>4</Pages>
  <Words>1547</Words>
  <Characters>8119</Characters>
  <Application>Microsoft Office Word</Application>
  <DocSecurity>0</DocSecurity>
  <Lines>165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CDIP/13/inf_10</vt:lpstr>
    </vt:vector>
  </TitlesOfParts>
  <Company>WIPO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CDIP/13/inf_10</dc:title>
  <dc:creator>BOU LLORET Amparo</dc:creator>
  <dc:description>MB_x000d_
22.04.14</dc:description>
  <cp:lastModifiedBy>BRACI Biljana</cp:lastModifiedBy>
  <cp:revision>3</cp:revision>
  <cp:lastPrinted>2014-04-23T18:31:00Z</cp:lastPrinted>
  <dcterms:created xsi:type="dcterms:W3CDTF">2014-04-24T08:59:00Z</dcterms:created>
  <dcterms:modified xsi:type="dcterms:W3CDTF">2014-05-07T12:49:00Z</dcterms:modified>
</cp:coreProperties>
</file>