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57A26" w:rsidTr="00765EDC">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157A26" w:rsidRDefault="0012266C" w:rsidP="00AB613D">
            <w:r>
              <w:rPr>
                <w:noProof/>
                <w:lang w:val="en-US" w:eastAsia="en-US"/>
              </w:rPr>
              <w:drawing>
                <wp:inline distT="0" distB="0" distL="0" distR="0">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157A26" w:rsidRDefault="00E504E5" w:rsidP="00AB613D">
            <w:pPr>
              <w:jc w:val="right"/>
            </w:pPr>
            <w:r w:rsidRPr="00157A26">
              <w:rPr>
                <w:b/>
                <w:sz w:val="40"/>
                <w:szCs w:val="40"/>
              </w:rPr>
              <w:t>S</w:t>
            </w:r>
          </w:p>
        </w:tc>
      </w:tr>
      <w:tr w:rsidR="00765EDC" w:rsidRPr="00157A26" w:rsidTr="00AB613D">
        <w:trPr>
          <w:trHeight w:hRule="exact" w:val="340"/>
        </w:trPr>
        <w:tc>
          <w:tcPr>
            <w:tcW w:w="9356" w:type="dxa"/>
            <w:gridSpan w:val="3"/>
            <w:tcBorders>
              <w:top w:val="single" w:sz="4" w:space="0" w:color="auto"/>
            </w:tcBorders>
            <w:tcMar>
              <w:top w:w="170" w:type="dxa"/>
              <w:left w:w="0" w:type="dxa"/>
              <w:right w:w="0" w:type="dxa"/>
            </w:tcMar>
            <w:vAlign w:val="bottom"/>
          </w:tcPr>
          <w:p w:rsidR="00765EDC" w:rsidRPr="00157A26" w:rsidRDefault="00765EDC" w:rsidP="00BF2C12">
            <w:pPr>
              <w:jc w:val="right"/>
              <w:rPr>
                <w:rFonts w:ascii="Arial Black" w:hAnsi="Arial Black"/>
                <w:caps/>
                <w:sz w:val="15"/>
              </w:rPr>
            </w:pPr>
            <w:r w:rsidRPr="00157A26">
              <w:rPr>
                <w:rFonts w:ascii="Arial Black" w:hAnsi="Arial Black"/>
                <w:caps/>
                <w:sz w:val="15"/>
              </w:rPr>
              <w:t xml:space="preserve">cdip/11/INF/4  </w:t>
            </w:r>
          </w:p>
        </w:tc>
      </w:tr>
      <w:tr w:rsidR="00765EDC" w:rsidRPr="00157A26" w:rsidTr="00AB613D">
        <w:trPr>
          <w:trHeight w:hRule="exact" w:val="170"/>
        </w:trPr>
        <w:tc>
          <w:tcPr>
            <w:tcW w:w="9356" w:type="dxa"/>
            <w:gridSpan w:val="3"/>
            <w:noWrap/>
            <w:tcMar>
              <w:left w:w="0" w:type="dxa"/>
              <w:right w:w="0" w:type="dxa"/>
            </w:tcMar>
            <w:vAlign w:val="bottom"/>
          </w:tcPr>
          <w:p w:rsidR="00765EDC" w:rsidRPr="00157A26" w:rsidRDefault="00765EDC" w:rsidP="00765EDC">
            <w:pPr>
              <w:jc w:val="right"/>
              <w:rPr>
                <w:rFonts w:ascii="Arial Black" w:hAnsi="Arial Black"/>
                <w:caps/>
                <w:sz w:val="15"/>
              </w:rPr>
            </w:pPr>
            <w:r w:rsidRPr="00157A26">
              <w:rPr>
                <w:rFonts w:ascii="Arial Black" w:hAnsi="Arial Black"/>
                <w:caps/>
                <w:sz w:val="15"/>
              </w:rPr>
              <w:t xml:space="preserve">ORIGINAL:  </w:t>
            </w:r>
            <w:bookmarkStart w:id="0" w:name="Original"/>
            <w:bookmarkEnd w:id="0"/>
            <w:r w:rsidRPr="00157A26">
              <w:rPr>
                <w:rFonts w:ascii="Arial Black" w:hAnsi="Arial Black"/>
                <w:caps/>
                <w:sz w:val="15"/>
              </w:rPr>
              <w:t>INGLÉS</w:t>
            </w:r>
          </w:p>
        </w:tc>
      </w:tr>
      <w:tr w:rsidR="00765EDC" w:rsidRPr="00157A26" w:rsidTr="00AB613D">
        <w:trPr>
          <w:trHeight w:hRule="exact" w:val="198"/>
        </w:trPr>
        <w:tc>
          <w:tcPr>
            <w:tcW w:w="9356" w:type="dxa"/>
            <w:gridSpan w:val="3"/>
            <w:tcMar>
              <w:left w:w="0" w:type="dxa"/>
              <w:right w:w="0" w:type="dxa"/>
            </w:tcMar>
            <w:vAlign w:val="bottom"/>
          </w:tcPr>
          <w:p w:rsidR="00765EDC" w:rsidRPr="00157A26" w:rsidRDefault="00765EDC" w:rsidP="00765EDC">
            <w:pPr>
              <w:jc w:val="right"/>
              <w:rPr>
                <w:rFonts w:ascii="Arial Black" w:hAnsi="Arial Black"/>
                <w:caps/>
                <w:sz w:val="15"/>
              </w:rPr>
            </w:pPr>
            <w:r w:rsidRPr="00157A26">
              <w:rPr>
                <w:rFonts w:ascii="Arial Black" w:hAnsi="Arial Black"/>
                <w:caps/>
                <w:sz w:val="15"/>
              </w:rPr>
              <w:t xml:space="preserve">FECHA:  </w:t>
            </w:r>
            <w:bookmarkStart w:id="1" w:name="Date"/>
            <w:bookmarkEnd w:id="1"/>
            <w:r w:rsidRPr="00157A26">
              <w:rPr>
                <w:rFonts w:ascii="Arial Black" w:hAnsi="Arial Black"/>
                <w:caps/>
                <w:sz w:val="15"/>
              </w:rPr>
              <w:t>2 DE ABRIL DE 2013</w:t>
            </w:r>
          </w:p>
        </w:tc>
      </w:tr>
    </w:tbl>
    <w:p w:rsidR="008B2CC1" w:rsidRPr="00157A26" w:rsidRDefault="008B2CC1" w:rsidP="008B2CC1"/>
    <w:p w:rsidR="008B2CC1" w:rsidRPr="00157A26" w:rsidRDefault="008B2CC1" w:rsidP="008B2CC1"/>
    <w:p w:rsidR="008B2CC1" w:rsidRPr="00157A26" w:rsidRDefault="008B2CC1" w:rsidP="008B2CC1"/>
    <w:p w:rsidR="008B2CC1" w:rsidRPr="00157A26" w:rsidRDefault="008B2CC1" w:rsidP="008B2CC1"/>
    <w:p w:rsidR="008B2CC1" w:rsidRPr="00157A26" w:rsidRDefault="008B2CC1" w:rsidP="008B2CC1"/>
    <w:p w:rsidR="00FC3E47" w:rsidRPr="00157A26" w:rsidRDefault="00FC3E47" w:rsidP="00FC3E47">
      <w:pPr>
        <w:rPr>
          <w:b/>
          <w:sz w:val="28"/>
          <w:szCs w:val="28"/>
        </w:rPr>
      </w:pPr>
      <w:r w:rsidRPr="00157A26">
        <w:rPr>
          <w:b/>
          <w:sz w:val="28"/>
          <w:szCs w:val="28"/>
        </w:rPr>
        <w:t>Comité de Desarrollo y Propiedad Intelectual (CDIP)</w:t>
      </w:r>
    </w:p>
    <w:p w:rsidR="003845C1" w:rsidRPr="00157A26" w:rsidRDefault="003845C1" w:rsidP="003845C1"/>
    <w:p w:rsidR="003845C1" w:rsidRPr="00157A26" w:rsidRDefault="003845C1" w:rsidP="003845C1"/>
    <w:p w:rsidR="00FC3E47" w:rsidRPr="00157A26" w:rsidRDefault="00765EDC" w:rsidP="00FC3E47">
      <w:pPr>
        <w:rPr>
          <w:b/>
          <w:sz w:val="24"/>
          <w:szCs w:val="24"/>
        </w:rPr>
      </w:pPr>
      <w:r w:rsidRPr="00157A26">
        <w:rPr>
          <w:b/>
          <w:sz w:val="24"/>
          <w:szCs w:val="24"/>
        </w:rPr>
        <w:t>Undécima</w:t>
      </w:r>
      <w:r w:rsidR="00FC3E47" w:rsidRPr="00157A26">
        <w:rPr>
          <w:b/>
          <w:sz w:val="24"/>
          <w:szCs w:val="24"/>
        </w:rPr>
        <w:t xml:space="preserve"> sesión</w:t>
      </w:r>
    </w:p>
    <w:p w:rsidR="00FC3E47" w:rsidRPr="00157A26" w:rsidRDefault="00765EDC" w:rsidP="00FC3E47">
      <w:pPr>
        <w:rPr>
          <w:b/>
          <w:sz w:val="24"/>
          <w:szCs w:val="24"/>
        </w:rPr>
      </w:pPr>
      <w:r w:rsidRPr="00157A26">
        <w:rPr>
          <w:b/>
          <w:sz w:val="24"/>
          <w:szCs w:val="24"/>
        </w:rPr>
        <w:t>Ginebra, 13 a 17</w:t>
      </w:r>
      <w:r w:rsidR="00FC3E47" w:rsidRPr="00157A26">
        <w:rPr>
          <w:b/>
          <w:sz w:val="24"/>
          <w:szCs w:val="24"/>
        </w:rPr>
        <w:t xml:space="preserve"> de </w:t>
      </w:r>
      <w:r w:rsidRPr="00157A26">
        <w:rPr>
          <w:b/>
          <w:sz w:val="24"/>
          <w:szCs w:val="24"/>
        </w:rPr>
        <w:t>mayo</w:t>
      </w:r>
      <w:r w:rsidR="00FC3E47" w:rsidRPr="00157A26">
        <w:rPr>
          <w:b/>
          <w:sz w:val="24"/>
          <w:szCs w:val="24"/>
        </w:rPr>
        <w:t xml:space="preserve"> de 2012</w:t>
      </w:r>
    </w:p>
    <w:p w:rsidR="00765EDC" w:rsidRPr="00157A26" w:rsidRDefault="00765EDC" w:rsidP="00765EDC"/>
    <w:p w:rsidR="00765EDC" w:rsidRPr="00726055" w:rsidRDefault="00765EDC" w:rsidP="00765EDC">
      <w:pPr>
        <w:rPr>
          <w:u w:val="single"/>
        </w:rPr>
      </w:pPr>
    </w:p>
    <w:p w:rsidR="00765EDC" w:rsidRPr="00157A26" w:rsidRDefault="00765EDC" w:rsidP="00765EDC"/>
    <w:p w:rsidR="00765EDC" w:rsidRPr="00157A26" w:rsidRDefault="00765EDC" w:rsidP="00765EDC">
      <w:pPr>
        <w:rPr>
          <w:caps/>
          <w:sz w:val="24"/>
        </w:rPr>
      </w:pPr>
      <w:bookmarkStart w:id="2" w:name="TitleOfDoc"/>
      <w:bookmarkEnd w:id="2"/>
      <w:r w:rsidRPr="00157A26">
        <w:rPr>
          <w:caps/>
          <w:sz w:val="24"/>
        </w:rPr>
        <w:t xml:space="preserve">LA PROPIEDAD INTELECTUAL Y EL DESARROLLO </w:t>
      </w:r>
      <w:r w:rsidR="00DA00A6" w:rsidRPr="00157A26">
        <w:rPr>
          <w:caps/>
          <w:sz w:val="24"/>
        </w:rPr>
        <w:t>SOCIOECONÓMICO</w:t>
      </w:r>
      <w:r w:rsidRPr="00157A26">
        <w:rPr>
          <w:caps/>
          <w:sz w:val="24"/>
        </w:rPr>
        <w:br/>
        <w:t>E</w:t>
      </w:r>
      <w:r w:rsidR="00490ED5">
        <w:rPr>
          <w:caps/>
          <w:sz w:val="24"/>
        </w:rPr>
        <w:t>STUDIO DE PAÍS</w:t>
      </w:r>
      <w:proofErr w:type="gramStart"/>
      <w:r w:rsidR="00490ED5">
        <w:rPr>
          <w:caps/>
          <w:sz w:val="24"/>
        </w:rPr>
        <w:t>:  CHILE</w:t>
      </w:r>
      <w:proofErr w:type="gramEnd"/>
      <w:r w:rsidR="00490ED5">
        <w:rPr>
          <w:rStyle w:val="FootnoteReference"/>
          <w:caps/>
          <w:sz w:val="24"/>
        </w:rPr>
        <w:footnoteReference w:id="2"/>
      </w:r>
    </w:p>
    <w:p w:rsidR="00765EDC" w:rsidRPr="00157A26" w:rsidRDefault="00765EDC" w:rsidP="00765EDC"/>
    <w:p w:rsidR="00765EDC" w:rsidRPr="00157A26" w:rsidRDefault="00765EDC" w:rsidP="00765EDC">
      <w:pPr>
        <w:rPr>
          <w:i/>
        </w:rPr>
      </w:pPr>
      <w:bookmarkStart w:id="3" w:name="Prepared"/>
      <w:bookmarkEnd w:id="3"/>
      <w:r w:rsidRPr="00157A26">
        <w:rPr>
          <w:i/>
        </w:rPr>
        <w:t>preparado por Sra. María José Abud Sittler, Economista, Departamento de Estudio y Políticas Públicas, Instituto Nacional de Propiedad Industrial (INAPI), Santiago de Chile</w:t>
      </w:r>
    </w:p>
    <w:p w:rsidR="00765EDC" w:rsidRPr="00157A26" w:rsidRDefault="00765EDC" w:rsidP="00765EDC">
      <w:pPr>
        <w:rPr>
          <w:i/>
        </w:rPr>
      </w:pPr>
    </w:p>
    <w:p w:rsidR="00765EDC" w:rsidRPr="00157A26" w:rsidRDefault="00765EDC" w:rsidP="00765EDC">
      <w:pPr>
        <w:outlineLvl w:val="0"/>
        <w:rPr>
          <w:i/>
        </w:rPr>
      </w:pPr>
      <w:r w:rsidRPr="00157A26">
        <w:rPr>
          <w:i/>
        </w:rPr>
        <w:t>Sra. Bronwyn Hall, Catedrática de Tecnología y Economía, Departamento de Economía, Universidad de California, Berkeley, Estados Unidos de América</w:t>
      </w:r>
    </w:p>
    <w:p w:rsidR="00765EDC" w:rsidRPr="00157A26" w:rsidRDefault="00765EDC" w:rsidP="00765EDC">
      <w:pPr>
        <w:rPr>
          <w:i/>
        </w:rPr>
      </w:pPr>
    </w:p>
    <w:p w:rsidR="00765EDC" w:rsidRPr="00157A26" w:rsidRDefault="00765EDC" w:rsidP="00765EDC">
      <w:pPr>
        <w:outlineLvl w:val="0"/>
        <w:rPr>
          <w:i/>
        </w:rPr>
      </w:pPr>
      <w:r w:rsidRPr="00157A26">
        <w:rPr>
          <w:i/>
        </w:rPr>
        <w:t xml:space="preserve">Sr. Christian Helmers, Catedrático, Universidad Carlos III de Madrid, </w:t>
      </w:r>
      <w:r w:rsidR="002C0870" w:rsidRPr="00157A26">
        <w:rPr>
          <w:i/>
        </w:rPr>
        <w:t>Departamento</w:t>
      </w:r>
      <w:r w:rsidRPr="00157A26">
        <w:rPr>
          <w:i/>
        </w:rPr>
        <w:t xml:space="preserve"> de Economía, Getafe, España</w:t>
      </w:r>
    </w:p>
    <w:p w:rsidR="00765EDC" w:rsidRPr="00157A26" w:rsidRDefault="00765EDC" w:rsidP="00675F4F"/>
    <w:p w:rsidR="00765EDC" w:rsidRPr="00157A26" w:rsidRDefault="00765EDC" w:rsidP="00675F4F"/>
    <w:p w:rsidR="00765EDC" w:rsidRPr="00157A26" w:rsidRDefault="00765EDC" w:rsidP="00675F4F"/>
    <w:p w:rsidR="00765EDC" w:rsidRPr="00157A26" w:rsidRDefault="00765EDC" w:rsidP="00675F4F"/>
    <w:p w:rsidR="009532B4" w:rsidRPr="00157A26" w:rsidRDefault="00765EDC" w:rsidP="00675F4F">
      <w:pPr>
        <w:pStyle w:val="ONUMFS"/>
      </w:pPr>
      <w:r w:rsidRPr="00157A26">
        <w:t>En el Anexo del presente</w:t>
      </w:r>
      <w:r w:rsidR="00CF2E54">
        <w:t xml:space="preserve"> documento figura un</w:t>
      </w:r>
      <w:r w:rsidRPr="00157A26">
        <w:t xml:space="preserve"> estudio sobre la utilización de la propiedad intelectual en Chile, preparado en el marco del proyecto sobre propiedad intelectual y desarrollo socioeconómico (documento CDIP/5/7 Rev.)</w:t>
      </w:r>
      <w:r w:rsidR="00157A26" w:rsidRPr="00157A26">
        <w:t>.  D</w:t>
      </w:r>
      <w:r w:rsidRPr="00157A26">
        <w:t xml:space="preserve">icho </w:t>
      </w:r>
      <w:r w:rsidR="002C0870" w:rsidRPr="00157A26">
        <w:t>estudio</w:t>
      </w:r>
      <w:r w:rsidRPr="00157A26">
        <w:t xml:space="preserve"> ha sido preparado bajo la coordinación de la Secretaría de la OMPI y en </w:t>
      </w:r>
      <w:r w:rsidR="002C0870" w:rsidRPr="00157A26">
        <w:t>colaboración</w:t>
      </w:r>
      <w:r w:rsidRPr="00157A26">
        <w:t xml:space="preserve"> con el </w:t>
      </w:r>
      <w:r w:rsidRPr="00157A26">
        <w:rPr>
          <w:i/>
          <w:iCs/>
        </w:rPr>
        <w:t>Instituto Nacional de Propiedad Industrial</w:t>
      </w:r>
      <w:r w:rsidRPr="00157A26">
        <w:t xml:space="preserve"> (INAPI) de Chile</w:t>
      </w:r>
      <w:r w:rsidR="009532B4" w:rsidRPr="00157A26">
        <w:t>.</w:t>
      </w:r>
    </w:p>
    <w:p w:rsidR="00765EDC" w:rsidRPr="00675F4F" w:rsidRDefault="00765EDC" w:rsidP="00675F4F">
      <w:pPr>
        <w:pStyle w:val="ONUMFS"/>
        <w:ind w:left="4962"/>
        <w:rPr>
          <w:i/>
        </w:rPr>
      </w:pPr>
      <w:r w:rsidRPr="00675F4F">
        <w:rPr>
          <w:i/>
        </w:rPr>
        <w:t xml:space="preserve">Se invita al </w:t>
      </w:r>
      <w:r w:rsidR="002C0870" w:rsidRPr="00675F4F">
        <w:rPr>
          <w:i/>
        </w:rPr>
        <w:t xml:space="preserve">CDIP </w:t>
      </w:r>
      <w:r w:rsidRPr="00675F4F">
        <w:rPr>
          <w:i/>
        </w:rPr>
        <w:t xml:space="preserve">a tomar nota de la </w:t>
      </w:r>
      <w:r w:rsidR="002C0870" w:rsidRPr="00675F4F">
        <w:rPr>
          <w:i/>
        </w:rPr>
        <w:t>información contenida en el Anexo del presente documento</w:t>
      </w:r>
      <w:r w:rsidRPr="00675F4F">
        <w:rPr>
          <w:i/>
        </w:rPr>
        <w:t>.</w:t>
      </w:r>
    </w:p>
    <w:p w:rsidR="00765EDC" w:rsidRPr="00675F4F" w:rsidRDefault="00765EDC" w:rsidP="00675F4F">
      <w:pPr>
        <w:pStyle w:val="Endofdocument-Annex"/>
        <w:ind w:hanging="584"/>
        <w:rPr>
          <w:rFonts w:cs="Times New Roman"/>
          <w:szCs w:val="22"/>
          <w:u w:val="single"/>
          <w:lang w:val="es-ES"/>
        </w:rPr>
      </w:pPr>
    </w:p>
    <w:p w:rsidR="00765EDC" w:rsidRDefault="00765EDC" w:rsidP="00D217BF">
      <w:pPr>
        <w:pStyle w:val="Endofdocument-Annex"/>
        <w:tabs>
          <w:tab w:val="left" w:pos="8222"/>
        </w:tabs>
        <w:ind w:hanging="584"/>
        <w:rPr>
          <w:rFonts w:cs="Times New Roman"/>
          <w:szCs w:val="22"/>
          <w:lang w:val="es-ES"/>
        </w:rPr>
      </w:pPr>
      <w:r w:rsidRPr="00157A26">
        <w:rPr>
          <w:rFonts w:cs="Times New Roman"/>
          <w:szCs w:val="22"/>
          <w:lang w:val="es-ES"/>
        </w:rPr>
        <w:t>[</w:t>
      </w:r>
      <w:r w:rsidR="002C0870" w:rsidRPr="00157A26">
        <w:rPr>
          <w:rFonts w:cs="Times New Roman"/>
          <w:szCs w:val="22"/>
          <w:lang w:val="es-ES"/>
        </w:rPr>
        <w:t>Sigue el Anexo</w:t>
      </w:r>
      <w:r w:rsidRPr="00157A26">
        <w:rPr>
          <w:rFonts w:cs="Times New Roman"/>
          <w:szCs w:val="22"/>
          <w:lang w:val="es-ES"/>
        </w:rPr>
        <w:t>]</w:t>
      </w:r>
    </w:p>
    <w:p w:rsidR="00D22A49" w:rsidRDefault="00D22A49" w:rsidP="00765EDC">
      <w:pPr>
        <w:pStyle w:val="Endofdocument-Annex"/>
        <w:ind w:hanging="584"/>
        <w:rPr>
          <w:rFonts w:cs="Times New Roman"/>
          <w:szCs w:val="22"/>
          <w:lang w:val="es-ES"/>
        </w:rPr>
      </w:pPr>
    </w:p>
    <w:p w:rsidR="00D22A49" w:rsidRPr="00157A26" w:rsidRDefault="00D22A49" w:rsidP="00765EDC">
      <w:pPr>
        <w:pStyle w:val="Endofdocument-Annex"/>
        <w:ind w:hanging="584"/>
        <w:rPr>
          <w:rFonts w:cs="Times New Roman"/>
          <w:szCs w:val="22"/>
          <w:lang w:val="es-ES"/>
        </w:rPr>
        <w:sectPr w:rsidR="00D22A49" w:rsidRPr="00157A26" w:rsidSect="000641C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FE276F" w:rsidRDefault="00FE276F" w:rsidP="007D7739">
      <w:pPr>
        <w:rPr>
          <w:u w:val="single"/>
        </w:rPr>
      </w:pPr>
    </w:p>
    <w:p w:rsidR="008B2CC1" w:rsidRPr="004C3144" w:rsidRDefault="001568B7" w:rsidP="007D7739">
      <w:pPr>
        <w:rPr>
          <w:u w:val="single"/>
        </w:rPr>
      </w:pPr>
      <w:r w:rsidRPr="004C3144">
        <w:rPr>
          <w:u w:val="single"/>
        </w:rPr>
        <w:t>Resumen</w:t>
      </w:r>
    </w:p>
    <w:p w:rsidR="001568B7" w:rsidRPr="004C3144" w:rsidRDefault="001568B7" w:rsidP="007D7739">
      <w:pPr>
        <w:rPr>
          <w:u w:val="single"/>
        </w:rPr>
      </w:pPr>
    </w:p>
    <w:p w:rsidR="00EB448A" w:rsidRDefault="001568B7" w:rsidP="004C3144">
      <w:pPr>
        <w:pStyle w:val="ONUMFS"/>
        <w:numPr>
          <w:ilvl w:val="0"/>
          <w:numId w:val="0"/>
        </w:numPr>
        <w:spacing w:after="0"/>
      </w:pPr>
      <w:r w:rsidRPr="00446CAC">
        <w:t xml:space="preserve">En los últimos decenios </w:t>
      </w:r>
      <w:r w:rsidR="00EB448A" w:rsidRPr="00446CAC">
        <w:t xml:space="preserve">han sido profundos los cambios que se han acusado en todo el mundo en la utilización del sistema de propiedad intelectual (P.I.).  Varios factores explican esos cambios:  en primer lugar, el </w:t>
      </w:r>
      <w:r w:rsidR="00675F4F" w:rsidRPr="00446CAC">
        <w:t xml:space="preserve">notable </w:t>
      </w:r>
      <w:r w:rsidR="00EB448A" w:rsidRPr="00446CAC">
        <w:t xml:space="preserve">aumento de la inversión en la creación de activos inmateriales.  En segundo lugar, la mayor integración internacional de las economías nacionales ha inducido a las empresas a </w:t>
      </w:r>
      <w:r w:rsidR="00675F4F" w:rsidRPr="00446CAC">
        <w:t>solicitar con más frecuencia protección por P.I. en vario</w:t>
      </w:r>
      <w:r w:rsidR="00EB448A" w:rsidRPr="00446CAC">
        <w:t xml:space="preserve">s </w:t>
      </w:r>
      <w:r w:rsidR="00675F4F" w:rsidRPr="00446CAC">
        <w:t>países</w:t>
      </w:r>
      <w:r w:rsidR="00EB448A" w:rsidRPr="00446CAC">
        <w:t xml:space="preserve">, incluidas varias economías de medianos ingresos.  En tercer lugar, se han realizado reformas considerables en las políticas nacionales de propiedad intelectual.  Y en cuarto lugar, los progresos tecnológicos y </w:t>
      </w:r>
      <w:r w:rsidR="00675F4F" w:rsidRPr="00446CAC">
        <w:t xml:space="preserve">la evolución de </w:t>
      </w:r>
      <w:r w:rsidR="00EB448A" w:rsidRPr="00446CAC">
        <w:t xml:space="preserve">los </w:t>
      </w:r>
      <w:r w:rsidR="00675F4F" w:rsidRPr="00446CAC">
        <w:t xml:space="preserve">medios para hacer negocios, </w:t>
      </w:r>
      <w:r w:rsidR="00EB448A" w:rsidRPr="00446CAC">
        <w:t xml:space="preserve">fomentados por las </w:t>
      </w:r>
      <w:r w:rsidR="00675F4F" w:rsidRPr="00446CAC">
        <w:t xml:space="preserve">nuevas posibilidades técnicas, </w:t>
      </w:r>
      <w:r w:rsidR="00EB448A" w:rsidRPr="00446CAC">
        <w:t xml:space="preserve">la complejidad </w:t>
      </w:r>
      <w:r w:rsidR="00675F4F" w:rsidRPr="00446CAC">
        <w:t xml:space="preserve">del sector </w:t>
      </w:r>
      <w:r w:rsidR="00EB448A" w:rsidRPr="00446CAC">
        <w:t xml:space="preserve">y la presión </w:t>
      </w:r>
      <w:r w:rsidR="00675F4F" w:rsidRPr="00446CAC">
        <w:t>de la competencia</w:t>
      </w:r>
      <w:r w:rsidR="00EB448A" w:rsidRPr="00446CAC">
        <w:t xml:space="preserve">, ha llevado a las </w:t>
      </w:r>
      <w:r w:rsidR="005239DC">
        <w:t xml:space="preserve">empresas </w:t>
      </w:r>
      <w:r w:rsidR="00EB448A" w:rsidRPr="00446CAC">
        <w:t xml:space="preserve">a adaptar </w:t>
      </w:r>
      <w:r w:rsidR="00675F4F" w:rsidRPr="00446CAC">
        <w:t>sus métodos de</w:t>
      </w:r>
      <w:r w:rsidR="00EB448A" w:rsidRPr="00446CAC">
        <w:t xml:space="preserve"> gestión de la innovación, lo que con frecuencia ha supuesto la adopción de estrategias más dinámicas de gestión de la P.I. y </w:t>
      </w:r>
      <w:r w:rsidR="00675F4F" w:rsidRPr="00446CAC">
        <w:t xml:space="preserve">de </w:t>
      </w:r>
      <w:r w:rsidR="00EB448A" w:rsidRPr="00446CAC">
        <w:t>presentación de solicitudes de activos de P.I.</w:t>
      </w:r>
    </w:p>
    <w:p w:rsidR="004C3144" w:rsidRPr="00446CAC" w:rsidRDefault="004C3144" w:rsidP="004C3144">
      <w:pPr>
        <w:pStyle w:val="ONUMFS"/>
        <w:numPr>
          <w:ilvl w:val="0"/>
          <w:numId w:val="0"/>
        </w:numPr>
        <w:spacing w:after="0"/>
      </w:pPr>
    </w:p>
    <w:p w:rsidR="00EB448A" w:rsidRDefault="00EB448A" w:rsidP="00FE276F">
      <w:pPr>
        <w:pStyle w:val="ONUMFS"/>
        <w:numPr>
          <w:ilvl w:val="0"/>
          <w:numId w:val="0"/>
        </w:numPr>
        <w:spacing w:after="0"/>
      </w:pPr>
      <w:r w:rsidRPr="00446CAC">
        <w:t xml:space="preserve">Los cambios que han resultado en el panorama de la P.I. han suscitado numerosas preguntas acerca de la función que desempeña el sistema de P.I. en el proceso de innovación.  Hasta la fecha, </w:t>
      </w:r>
      <w:r w:rsidR="00675F4F" w:rsidRPr="00446CAC">
        <w:t>la literatura económica</w:t>
      </w:r>
      <w:r w:rsidRPr="00446CAC">
        <w:t xml:space="preserve"> se ha centrado primordialmente en los países de altos ingresos y poca es la documentación de que se dispone acerca de la función de la P.I. en las economías de medianos ingresos.  Parece haber dos razones que explican esa laguna.  En primer lugar, en términos absolutos, en esos países se ha producido el mayor aumento en la utilización de la P.I., lo que ha fomentado un interés público considerable por las cuestiones de la protección de la P.I.  A ello vienen a añadirse los esfuerzos realizados por las oficinas de P.I. </w:t>
      </w:r>
      <w:r w:rsidR="00333C7A" w:rsidRPr="00446CAC">
        <w:t xml:space="preserve">y los investigadores académicos </w:t>
      </w:r>
      <w:r w:rsidRPr="00446CAC">
        <w:t>de los países de altos ingresos, que se ha</w:t>
      </w:r>
      <w:r w:rsidR="00333C7A" w:rsidRPr="00446CAC">
        <w:t>n tra</w:t>
      </w:r>
      <w:r w:rsidRPr="00446CAC">
        <w:t xml:space="preserve">ducido en la creación de bases de datos sobre patentes a nivel micro que han permitido realizar una amplia gama de investigaciones empíricas.  Por el momento no existe una infraestructura de datos comparable </w:t>
      </w:r>
      <w:r w:rsidR="00333C7A" w:rsidRPr="00446CAC">
        <w:t>para</w:t>
      </w:r>
      <w:r w:rsidRPr="00446CAC">
        <w:t xml:space="preserve"> las </w:t>
      </w:r>
      <w:r w:rsidR="00333C7A" w:rsidRPr="00446CAC">
        <w:t>economías de medianos ingresos.</w:t>
      </w:r>
    </w:p>
    <w:p w:rsidR="00FE276F" w:rsidRPr="00446CAC" w:rsidRDefault="00FE276F" w:rsidP="00FE276F">
      <w:pPr>
        <w:pStyle w:val="ONUMFS"/>
        <w:numPr>
          <w:ilvl w:val="0"/>
          <w:numId w:val="0"/>
        </w:numPr>
        <w:spacing w:after="0"/>
      </w:pPr>
    </w:p>
    <w:p w:rsidR="00EB448A" w:rsidRDefault="00EB448A" w:rsidP="00FE276F">
      <w:pPr>
        <w:pStyle w:val="ONUMFS"/>
        <w:numPr>
          <w:ilvl w:val="0"/>
          <w:numId w:val="0"/>
        </w:numPr>
        <w:spacing w:after="0"/>
      </w:pPr>
      <w:r w:rsidRPr="00446CAC">
        <w:t xml:space="preserve">En el presente </w:t>
      </w:r>
      <w:r w:rsidR="00D217BF" w:rsidRPr="00446CAC">
        <w:t>estudio</w:t>
      </w:r>
      <w:r w:rsidRPr="00446CAC">
        <w:t xml:space="preserve"> se exponen los resultados de una iniciativa conjunta </w:t>
      </w:r>
      <w:r w:rsidR="00D217BF" w:rsidRPr="00446CAC">
        <w:t>del</w:t>
      </w:r>
      <w:r w:rsidRPr="00446CAC">
        <w:t xml:space="preserve"> Instituto Nacional de Propiedad Industrial de Chile (INAPI) y la OMPI para establecer una amplia base de datos en Chile acerca de la utilización de la P.I.  La base de datos contiene todas las solicitudes cursadas en Chile en el períod</w:t>
      </w:r>
      <w:r w:rsidR="00157A26" w:rsidRPr="00446CAC">
        <w:t>o 1</w:t>
      </w:r>
      <w:r w:rsidRPr="00446CAC">
        <w:t>991</w:t>
      </w:r>
      <w:r w:rsidRPr="00446CAC">
        <w:noBreakHyphen/>
        <w:t xml:space="preserve">2010 en lo que respecta a las patentes y al registro de marcas, modelos de utilidad y diseños.  Una de las tareas fundamentales en la compilación de datos </w:t>
      </w:r>
      <w:r w:rsidR="00D217BF" w:rsidRPr="00446CAC">
        <w:t>ha sido</w:t>
      </w:r>
      <w:r w:rsidRPr="00446CAC">
        <w:t xml:space="preserve"> armonizar los nombres de los solicitantes </w:t>
      </w:r>
      <w:r w:rsidR="00D217BF" w:rsidRPr="00446CAC">
        <w:t xml:space="preserve">e identificar cada solicitante </w:t>
      </w:r>
      <w:r w:rsidR="005239DC">
        <w:t>con cada una de</w:t>
      </w:r>
      <w:r w:rsidRPr="00446CAC">
        <w:t xml:space="preserve"> las cuatro formas de P.I.  Además, </w:t>
      </w:r>
      <w:r w:rsidR="00D217BF" w:rsidRPr="00446CAC">
        <w:t>los datos se han clasificado en función de la lista de</w:t>
      </w:r>
      <w:r w:rsidRPr="00446CAC">
        <w:t xml:space="preserve"> empresas del Instituto Nacional de Estadísticas (INE), específicamente, la Encuesta Nacional Industrial Anual (ENIA) así como</w:t>
      </w:r>
      <w:r w:rsidR="00D217BF" w:rsidRPr="00446CAC">
        <w:t xml:space="preserve"> de</w:t>
      </w:r>
      <w:r w:rsidRPr="00446CAC">
        <w:t xml:space="preserve"> cinco </w:t>
      </w:r>
      <w:r w:rsidR="00D217BF" w:rsidRPr="00446CAC">
        <w:t>ciclos</w:t>
      </w:r>
      <w:r w:rsidRPr="00446CAC">
        <w:t xml:space="preserve"> (1997</w:t>
      </w:r>
      <w:r w:rsidRPr="00446CAC">
        <w:noBreakHyphen/>
        <w:t xml:space="preserve">2008) de la </w:t>
      </w:r>
      <w:r w:rsidR="00D217BF" w:rsidRPr="00446CAC">
        <w:t xml:space="preserve">encuesta sobre la </w:t>
      </w:r>
      <w:r w:rsidRPr="00446CAC">
        <w:t xml:space="preserve">innovación </w:t>
      </w:r>
      <w:r w:rsidR="00D217BF" w:rsidRPr="00446CAC">
        <w:t>en Chile</w:t>
      </w:r>
      <w:r w:rsidR="00333C7A" w:rsidRPr="00446CAC">
        <w:t xml:space="preserve"> (INNOVACIÓN).</w:t>
      </w:r>
    </w:p>
    <w:p w:rsidR="00FE276F" w:rsidRPr="00446CAC" w:rsidRDefault="00FE276F" w:rsidP="00FE276F">
      <w:pPr>
        <w:pStyle w:val="ONUMFS"/>
        <w:numPr>
          <w:ilvl w:val="0"/>
          <w:numId w:val="0"/>
        </w:numPr>
        <w:spacing w:after="0"/>
      </w:pPr>
    </w:p>
    <w:p w:rsidR="000A585C" w:rsidRDefault="00665B72" w:rsidP="00FE276F">
      <w:pPr>
        <w:pStyle w:val="ONUMFS"/>
        <w:numPr>
          <w:ilvl w:val="0"/>
          <w:numId w:val="0"/>
        </w:numPr>
        <w:spacing w:after="0"/>
      </w:pPr>
      <w:r w:rsidRPr="00446CAC">
        <w:t xml:space="preserve">Chile constituye un </w:t>
      </w:r>
      <w:r w:rsidR="00D217BF" w:rsidRPr="00446CAC">
        <w:t>modelo</w:t>
      </w:r>
      <w:r w:rsidRPr="00446CAC">
        <w:t xml:space="preserve"> interesante para estudiar la función que desempeña la P.I. en el proceso de innovación de una economía de medianos ingresos.  En los últimos decenios, Chile ha logrado un considerable crecimiento económico pero sigue dependiendo en gran medida de materias primas y productos agrícolas com</w:t>
      </w:r>
      <w:r w:rsidR="009532B4" w:rsidRPr="00446CAC">
        <w:t xml:space="preserve">o </w:t>
      </w:r>
      <w:r w:rsidR="00D217BF" w:rsidRPr="00446CAC">
        <w:t>base</w:t>
      </w:r>
      <w:r w:rsidR="009532B4" w:rsidRPr="00446CAC">
        <w:t xml:space="preserve"> de sus exportaciones</w:t>
      </w:r>
      <w:r w:rsidR="00157A26" w:rsidRPr="00446CAC">
        <w:t>.  C</w:t>
      </w:r>
      <w:r w:rsidRPr="00446CAC">
        <w:t xml:space="preserve">abe señalar que Chile ha tomado la iniciativa para integrarse en la economía mundial mediante un gran número de acuerdos comerciales de índole bilateral y regional.  Además, ha modificado su legislación de P.I. varias veces durante los últimos dos decenios, concretamente, ha reforzado considerablemente la protección de la P.I.  Además, </w:t>
      </w:r>
      <w:r w:rsidR="00D217BF" w:rsidRPr="00446CAC">
        <w:t>gran número</w:t>
      </w:r>
      <w:r w:rsidRPr="00446CAC">
        <w:t xml:space="preserve"> de sus universidades </w:t>
      </w:r>
      <w:r w:rsidR="00D217BF" w:rsidRPr="00446CAC">
        <w:t xml:space="preserve">centran muchas de sus actividades en la realización </w:t>
      </w:r>
      <w:r w:rsidRPr="00446CAC">
        <w:t xml:space="preserve">de investigaciones.  </w:t>
      </w:r>
      <w:r w:rsidR="000A585C" w:rsidRPr="00446CAC">
        <w:t>Uno de los imperativos más importantes para los encargados de la formulación de políticas en Chile es orientar las fuentes del crecimiento económico hacia nuevos sectores y aumentar la productividad de la economía mediante la innovación.</w:t>
      </w:r>
    </w:p>
    <w:p w:rsidR="00FE276F" w:rsidRPr="00446CAC" w:rsidRDefault="00FE276F" w:rsidP="00FE276F">
      <w:pPr>
        <w:pStyle w:val="ONUMFS"/>
        <w:numPr>
          <w:ilvl w:val="0"/>
          <w:numId w:val="0"/>
        </w:numPr>
        <w:spacing w:after="0"/>
      </w:pPr>
    </w:p>
    <w:p w:rsidR="00E00CE4" w:rsidRDefault="000A585C" w:rsidP="00FE276F">
      <w:pPr>
        <w:pStyle w:val="ONUMFS"/>
        <w:numPr>
          <w:ilvl w:val="0"/>
          <w:numId w:val="0"/>
        </w:numPr>
        <w:spacing w:after="0"/>
      </w:pPr>
      <w:r w:rsidRPr="00446CAC">
        <w:lastRenderedPageBreak/>
        <w:t>La nueva base de datos, en adelante denominada base de datos INAPI</w:t>
      </w:r>
      <w:r w:rsidRPr="00446CAC">
        <w:noBreakHyphen/>
        <w:t xml:space="preserve">OMPI, </w:t>
      </w:r>
      <w:r w:rsidR="00D217BF" w:rsidRPr="00446CAC">
        <w:t>va a permitir que se realicen</w:t>
      </w:r>
      <w:r w:rsidRPr="00446CAC">
        <w:t xml:space="preserve"> nuevas investigaciones</w:t>
      </w:r>
      <w:r w:rsidR="00D217BF" w:rsidRPr="00446CAC">
        <w:t>, lo</w:t>
      </w:r>
      <w:r w:rsidRPr="00446CAC">
        <w:t xml:space="preserve"> que </w:t>
      </w:r>
      <w:r w:rsidR="00D217BF" w:rsidRPr="00446CAC">
        <w:t xml:space="preserve">a su vez aumentará </w:t>
      </w:r>
      <w:r w:rsidRPr="00446CAC">
        <w:t xml:space="preserve">nuestra comprensión de la función que desempeñan las patentes en el sistema de innovación de Chile </w:t>
      </w:r>
      <w:r w:rsidR="00E00CE4" w:rsidRPr="00446CAC">
        <w:t xml:space="preserve">y </w:t>
      </w:r>
      <w:r w:rsidR="00D217BF" w:rsidRPr="00446CAC">
        <w:t xml:space="preserve">pondrá sobre el tapete </w:t>
      </w:r>
      <w:r w:rsidR="00E00CE4" w:rsidRPr="00446CAC">
        <w:t>nuevas cuestiones</w:t>
      </w:r>
      <w:r w:rsidR="00D217BF" w:rsidRPr="00446CAC">
        <w:t>.</w:t>
      </w:r>
      <w:r w:rsidR="00E00CE4" w:rsidRPr="00446CAC">
        <w:t xml:space="preserve">  En el documento se empieza por realizar un panorama descriptivo de la utilización de la P.I. en Chile.</w:t>
      </w:r>
    </w:p>
    <w:p w:rsidR="004C3144" w:rsidRPr="00446CAC" w:rsidRDefault="004C3144" w:rsidP="004C3144">
      <w:pPr>
        <w:pStyle w:val="ONUMFS"/>
        <w:numPr>
          <w:ilvl w:val="0"/>
          <w:numId w:val="0"/>
        </w:numPr>
        <w:spacing w:after="0"/>
      </w:pPr>
    </w:p>
    <w:p w:rsidR="00E00CE4" w:rsidRDefault="00E00CE4" w:rsidP="004C3144">
      <w:pPr>
        <w:pStyle w:val="ONUMFS"/>
        <w:numPr>
          <w:ilvl w:val="0"/>
          <w:numId w:val="0"/>
        </w:numPr>
        <w:spacing w:after="0"/>
      </w:pPr>
      <w:r w:rsidRPr="00446CAC">
        <w:t xml:space="preserve">Del análisis realizado cabe deducir que el número </w:t>
      </w:r>
      <w:r w:rsidR="000C6BBC" w:rsidRPr="00446CAC">
        <w:t>solicitudes de patente presentadas se ha triplicado con creces desde que se promulgara la legislación de P.I. en 1991.  No obstante, como en la mayor parte de los demás países de medianos ingresos, la utilización de</w:t>
      </w:r>
      <w:r w:rsidR="00D217BF" w:rsidRPr="00446CAC">
        <w:t xml:space="preserve"> las</w:t>
      </w:r>
      <w:r w:rsidR="000C6BBC" w:rsidRPr="00446CAC">
        <w:t xml:space="preserve"> patentes, tal como queda reflejada en el número </w:t>
      </w:r>
      <w:r w:rsidR="0089102E" w:rsidRPr="00446CAC">
        <w:t>total de solicitudes presentadas, que fue de algo más d</w:t>
      </w:r>
      <w:r w:rsidR="00157A26" w:rsidRPr="00446CAC">
        <w:t>e 3</w:t>
      </w:r>
      <w:r w:rsidR="0089102E" w:rsidRPr="00446CAC">
        <w:t>.000 e</w:t>
      </w:r>
      <w:r w:rsidR="00157A26" w:rsidRPr="00446CAC">
        <w:t>n 2</w:t>
      </w:r>
      <w:r w:rsidR="0089102E" w:rsidRPr="00446CAC">
        <w:t xml:space="preserve">008, sigue siendo relativamente modesta.  En cambio, las marcas se utilizan de forma muy intensa.  A diferencia de ello, en los últimos dos decenios fue escasa la utilización de los modelos de utilidad y los diseños industriales, incluso </w:t>
      </w:r>
      <w:r w:rsidR="00D217BF" w:rsidRPr="00446CAC">
        <w:t>en comparación</w:t>
      </w:r>
      <w:r w:rsidR="0089102E" w:rsidRPr="00446CAC">
        <w:t xml:space="preserve"> con países con niveles </w:t>
      </w:r>
      <w:r w:rsidR="00D217BF" w:rsidRPr="00446CAC">
        <w:t xml:space="preserve">similares </w:t>
      </w:r>
      <w:r w:rsidR="0089102E" w:rsidRPr="00446CAC">
        <w:t>de ingresos.</w:t>
      </w:r>
    </w:p>
    <w:p w:rsidR="004C3144" w:rsidRPr="00446CAC" w:rsidRDefault="004C3144" w:rsidP="004C3144">
      <w:pPr>
        <w:pStyle w:val="ONUMFS"/>
        <w:numPr>
          <w:ilvl w:val="0"/>
          <w:numId w:val="0"/>
        </w:numPr>
        <w:spacing w:after="0"/>
      </w:pPr>
    </w:p>
    <w:p w:rsidR="0038487D" w:rsidRDefault="00D22A49" w:rsidP="004C3144">
      <w:pPr>
        <w:pStyle w:val="ONUMFS"/>
        <w:numPr>
          <w:ilvl w:val="0"/>
          <w:numId w:val="0"/>
        </w:numPr>
        <w:spacing w:after="0"/>
      </w:pPr>
      <w:r w:rsidRPr="00446CAC">
        <w:t xml:space="preserve">En nuestros </w:t>
      </w:r>
      <w:r w:rsidR="00B23509" w:rsidRPr="00446CAC">
        <w:t>datos se pone de relieve que en Chile, más de</w:t>
      </w:r>
      <w:r w:rsidR="00446CAC" w:rsidRPr="00446CAC">
        <w:t>l 9</w:t>
      </w:r>
      <w:r w:rsidR="00B23509" w:rsidRPr="00446CAC">
        <w:t>0% de las solicitudes de patentes son presentadas por no residentes.  De ellas, la mayoría son presentadas por multinacionales farmacéuticas y empresas químicas, a diferencia de lo que sucede en los países desarrollados, en los que las empresas del sector de las tecnologías complejas son las que mayor número de solicitudes de patente presentan.  La utilización de los diseños industriales se atribuye también en su gran mayoría a no residentes, si se tiene en cuenta que sólo e</w:t>
      </w:r>
      <w:r w:rsidR="00446CAC" w:rsidRPr="00446CAC">
        <w:t>l 1</w:t>
      </w:r>
      <w:r w:rsidR="00B23509" w:rsidRPr="00446CAC">
        <w:t>6% de las solicitudes de registro de diseños industriales procede de residentes en el país.  La cosa difiere mucho en lo que se refiere a las marcas, por cuanto la presentación de solicitudes de registro</w:t>
      </w:r>
      <w:r w:rsidR="0038487D" w:rsidRPr="00446CAC">
        <w:t xml:space="preserve"> corre a cargo en su gran mayoría a entidades nacionales, y lo mismo cabe decir de los modelos de utilidad.  Las marcas se utilizan ampliamente en todos los sectores de la economía.  Los productos agrícolas son objeto de la mayor parte de las solicitudes de registro de marcas que se presentan, productos</w:t>
      </w:r>
      <w:r w:rsidR="00D217BF" w:rsidRPr="00446CAC">
        <w:t xml:space="preserve"> entre</w:t>
      </w:r>
      <w:r w:rsidR="0038487D" w:rsidRPr="00446CAC">
        <w:t xml:space="preserve"> los cuales cabe destacar el vino y los productos frutales.  Gran parte también de las marcas que se utilizan guardan relación con los productos farmacéuticos.</w:t>
      </w:r>
    </w:p>
    <w:p w:rsidR="004C3144" w:rsidRPr="00446CAC" w:rsidRDefault="004C3144" w:rsidP="004C3144">
      <w:pPr>
        <w:pStyle w:val="ONUMFS"/>
        <w:numPr>
          <w:ilvl w:val="0"/>
          <w:numId w:val="0"/>
        </w:numPr>
        <w:spacing w:after="0"/>
      </w:pPr>
    </w:p>
    <w:p w:rsidR="00210EE5" w:rsidRDefault="00A830C6" w:rsidP="004C3144">
      <w:pPr>
        <w:pStyle w:val="ONUMFS"/>
        <w:numPr>
          <w:ilvl w:val="0"/>
          <w:numId w:val="0"/>
        </w:numPr>
        <w:spacing w:after="0"/>
      </w:pPr>
      <w:r w:rsidRPr="00446CAC">
        <w:t>La</w:t>
      </w:r>
      <w:r w:rsidR="0038487D" w:rsidRPr="00446CAC">
        <w:t xml:space="preserve"> mayor parte de las patentes </w:t>
      </w:r>
      <w:r w:rsidR="00B641C6">
        <w:t>que se conceden van a parar a menos de las</w:t>
      </w:r>
      <w:r w:rsidR="0038487D" w:rsidRPr="00446CAC">
        <w:t xml:space="preserve"> empresas.  No obstante, es considerable el número de universidades chilenas que presentan solicitudes de patente, por lo que se sitúan entre los principales titulares de patentes que residen en el país.  </w:t>
      </w:r>
      <w:r w:rsidR="00B641C6">
        <w:t>A ella</w:t>
      </w:r>
      <w:r w:rsidR="00210EE5" w:rsidRPr="00446CAC">
        <w:t xml:space="preserve">s vienen a sumarse empresas de la industria minera y de empresas químicas y de productos para el consumo.  En lo que a las marcas se refiere, la presentación de solicitudes de registro procede tanto de empresas como de individuos.  A diferencia de lo que sucede con las patentes, varias empresas chilenas se cuentan entre los que más solicitudes de registro de marcas presentan, en su mayoría, empresas de </w:t>
      </w:r>
      <w:r w:rsidR="00B641C6">
        <w:t xml:space="preserve">la </w:t>
      </w:r>
      <w:r w:rsidR="00210EE5" w:rsidRPr="00446CAC">
        <w:t>industria de productos para el consumo.</w:t>
      </w:r>
    </w:p>
    <w:p w:rsidR="004C3144" w:rsidRPr="00446CAC" w:rsidRDefault="004C3144" w:rsidP="004C3144">
      <w:pPr>
        <w:pStyle w:val="ONUMFS"/>
        <w:numPr>
          <w:ilvl w:val="0"/>
          <w:numId w:val="0"/>
        </w:numPr>
        <w:spacing w:after="0"/>
      </w:pPr>
    </w:p>
    <w:p w:rsidR="0084126D" w:rsidRDefault="00210EE5" w:rsidP="004C3144">
      <w:pPr>
        <w:pStyle w:val="ONUMFS"/>
        <w:numPr>
          <w:ilvl w:val="0"/>
          <w:numId w:val="0"/>
        </w:numPr>
        <w:spacing w:after="0"/>
      </w:pPr>
      <w:r w:rsidRPr="00446CAC">
        <w:t>En lo que se refiere al origen de la presentación de solicitudes por parte de no residentes, los datos apuntan a que la mayor parte de la</w:t>
      </w:r>
      <w:r w:rsidR="00B641C6">
        <w:t>s</w:t>
      </w:r>
      <w:r w:rsidRPr="00446CAC">
        <w:t xml:space="preserve"> solicitudes </w:t>
      </w:r>
      <w:r w:rsidR="00B641C6">
        <w:t xml:space="preserve">presentadas </w:t>
      </w:r>
      <w:r w:rsidRPr="00446CAC">
        <w:t xml:space="preserve">no residentes para los cuatro </w:t>
      </w:r>
      <w:r w:rsidR="00B641C6">
        <w:t>tipos</w:t>
      </w:r>
      <w:r w:rsidRPr="00446CAC">
        <w:t xml:space="preserve"> de P.I. procede de los Estados Unidos </w:t>
      </w:r>
      <w:r w:rsidR="00B641C6">
        <w:t xml:space="preserve">de América </w:t>
      </w:r>
      <w:r w:rsidRPr="00446CAC">
        <w:t xml:space="preserve">y de Europa.  </w:t>
      </w:r>
      <w:r w:rsidR="0084126D" w:rsidRPr="00446CAC">
        <w:t>Los países sudamericanos representan, en cambio, una pequeña proporción de las solicitudes presentadas.  En lo que se refiere a las patentes, representan únicamente e</w:t>
      </w:r>
      <w:r w:rsidR="00446CAC" w:rsidRPr="00446CAC">
        <w:t>l 2</w:t>
      </w:r>
      <w:r w:rsidR="0084126D" w:rsidRPr="00446CAC">
        <w:t>% de todas las solicitudes presentadas entr</w:t>
      </w:r>
      <w:r w:rsidR="00446CAC" w:rsidRPr="00446CAC">
        <w:t>e 1</w:t>
      </w:r>
      <w:r w:rsidR="0084126D" w:rsidRPr="00446CAC">
        <w:t xml:space="preserve">991 </w:t>
      </w:r>
      <w:r w:rsidR="00446CAC" w:rsidRPr="00446CAC">
        <w:t>y 2</w:t>
      </w:r>
      <w:r w:rsidR="0084126D" w:rsidRPr="00446CAC">
        <w:t>010, mientras que juntos, los Estados Unidos de América y la UE representan más de</w:t>
      </w:r>
      <w:r w:rsidR="00446CAC" w:rsidRPr="00446CAC">
        <w:t>l 8</w:t>
      </w:r>
      <w:r w:rsidR="0084126D" w:rsidRPr="00446CAC">
        <w:t>0% de las solicitudes presentadas.  De esas solicitudes, la mayor parte son presentadas por empresas farmacéuticas y empresas de productos para el consumo.</w:t>
      </w:r>
    </w:p>
    <w:p w:rsidR="004C3144" w:rsidRPr="00446CAC" w:rsidRDefault="004C3144" w:rsidP="004C3144">
      <w:pPr>
        <w:pStyle w:val="ONUMFS"/>
        <w:numPr>
          <w:ilvl w:val="0"/>
          <w:numId w:val="0"/>
        </w:numPr>
        <w:spacing w:after="0"/>
      </w:pPr>
    </w:p>
    <w:p w:rsidR="0084126D" w:rsidRDefault="0084126D" w:rsidP="004C3144">
      <w:pPr>
        <w:pStyle w:val="ONUMFS"/>
        <w:numPr>
          <w:ilvl w:val="0"/>
          <w:numId w:val="0"/>
        </w:numPr>
        <w:spacing w:after="0"/>
      </w:pPr>
      <w:r w:rsidRPr="00446CAC">
        <w:t xml:space="preserve">En el análisis también se examina la utilización conjunta de </w:t>
      </w:r>
      <w:r w:rsidR="00B641C6">
        <w:t>varios</w:t>
      </w:r>
      <w:r w:rsidRPr="00446CAC">
        <w:t xml:space="preserve"> derechos de P.I.  Más de</w:t>
      </w:r>
      <w:r w:rsidR="00446CAC" w:rsidRPr="00446CAC">
        <w:t>l 9</w:t>
      </w:r>
      <w:r w:rsidRPr="00446CAC">
        <w:t>0% de</w:t>
      </w:r>
      <w:r w:rsidR="00B641C6">
        <w:t xml:space="preserve"> los solicitantes sólo presenta</w:t>
      </w:r>
      <w:r w:rsidRPr="00446CAC">
        <w:t xml:space="preserve"> solicitudes de registro de marcas y menos de</w:t>
      </w:r>
      <w:r w:rsidR="00446CAC" w:rsidRPr="00446CAC">
        <w:t>l 5</w:t>
      </w:r>
      <w:r w:rsidRPr="00446CAC">
        <w:t>%</w:t>
      </w:r>
      <w:r w:rsidR="00CF2E54">
        <w:t> </w:t>
      </w:r>
      <w:r w:rsidRPr="00446CAC">
        <w:t>de los solicitantes presenta sólo solicitudes respecto de patentes.  Los solicitantes que presentan solicitudes en relación con más de un tipo de derecho de P.I. no son frecuentes y representan sólo e</w:t>
      </w:r>
      <w:r w:rsidR="00446CAC" w:rsidRPr="00446CAC">
        <w:t>l 2</w:t>
      </w:r>
      <w:r w:rsidRPr="00446CAC">
        <w:t xml:space="preserve">%.  La utilización conjunta de distintos derechos de P.I. se </w:t>
      </w:r>
      <w:r w:rsidRPr="00446CAC">
        <w:lastRenderedPageBreak/>
        <w:t>limita a las patentes y las marcas así como las marcas y los diseños industriales.  Si se realiza un desglose por solicitante se observa que gran parte de las universidades presentan solicitudes tanto de paten</w:t>
      </w:r>
      <w:r w:rsidR="00333C7A" w:rsidRPr="00446CAC">
        <w:t>te como de registro de marcas.</w:t>
      </w:r>
    </w:p>
    <w:p w:rsidR="004C3144" w:rsidRPr="00446CAC" w:rsidRDefault="004C3144" w:rsidP="004C3144">
      <w:pPr>
        <w:pStyle w:val="ONUMFS"/>
        <w:numPr>
          <w:ilvl w:val="0"/>
          <w:numId w:val="0"/>
        </w:numPr>
        <w:spacing w:after="0"/>
      </w:pPr>
    </w:p>
    <w:p w:rsidR="0084126D" w:rsidRDefault="0084126D" w:rsidP="004C3144">
      <w:pPr>
        <w:pStyle w:val="ONUMFS"/>
        <w:numPr>
          <w:ilvl w:val="0"/>
          <w:numId w:val="0"/>
        </w:numPr>
        <w:spacing w:after="0"/>
      </w:pPr>
      <w:r w:rsidRPr="00446CAC">
        <w:t xml:space="preserve">Los datos apuntan a que, en promedio, las marcas </w:t>
      </w:r>
      <w:r w:rsidR="00B641C6">
        <w:t>guardaban relación con</w:t>
      </w:r>
      <w:r w:rsidR="00446CAC" w:rsidRPr="00446CAC">
        <w:t> 2</w:t>
      </w:r>
      <w:r w:rsidRPr="00446CAC">
        <w:t>,5 clases de la Clasificación de Niza hast</w:t>
      </w:r>
      <w:r w:rsidR="00446CAC" w:rsidRPr="00446CAC">
        <w:t>a 2</w:t>
      </w:r>
      <w:r w:rsidRPr="00446CAC">
        <w:t>005.  Debido a un cambio en la legislación e</w:t>
      </w:r>
      <w:r w:rsidR="00B641C6">
        <w:t>n ese mismo año</w:t>
      </w:r>
      <w:r w:rsidRPr="00446CAC">
        <w:t>, el promedio de clases descendió considerablemente para situarse e</w:t>
      </w:r>
      <w:r w:rsidR="00446CAC" w:rsidRPr="00446CAC">
        <w:t>n 1</w:t>
      </w:r>
      <w:r w:rsidRPr="00446CAC">
        <w:t>,3 e</w:t>
      </w:r>
      <w:r w:rsidR="00446CAC" w:rsidRPr="00446CAC">
        <w:t>n 2</w:t>
      </w:r>
      <w:r w:rsidRPr="00446CAC">
        <w:t xml:space="preserve">006.  Un descenso en el </w:t>
      </w:r>
      <w:r w:rsidR="00B641C6">
        <w:t>número</w:t>
      </w:r>
      <w:r w:rsidRPr="00446CAC">
        <w:t xml:space="preserve"> de clases de </w:t>
      </w:r>
      <w:r w:rsidR="00B641C6">
        <w:t>productos explica esa disminución</w:t>
      </w:r>
      <w:r w:rsidRPr="00446CAC">
        <w:t xml:space="preserve">.  A diferencia de ello, el promedio de clases de servicios ha ido aumentando </w:t>
      </w:r>
      <w:r w:rsidR="00B641C6">
        <w:t xml:space="preserve">de forma constante </w:t>
      </w:r>
      <w:r w:rsidRPr="00446CAC">
        <w:t>con el tiempo, lo que refleja la naturaleza del cambio jurídico que se produjo e</w:t>
      </w:r>
      <w:r w:rsidR="00446CAC" w:rsidRPr="00446CAC">
        <w:t>n 2</w:t>
      </w:r>
      <w:r w:rsidRPr="00446CAC">
        <w:t>005, y que no afectó a la presentación de solicitudes en lo que resp</w:t>
      </w:r>
      <w:r w:rsidR="00333C7A" w:rsidRPr="00446CAC">
        <w:t>ecta a las clases de servicios.</w:t>
      </w:r>
    </w:p>
    <w:p w:rsidR="004C3144" w:rsidRPr="00446CAC" w:rsidRDefault="004C3144" w:rsidP="004C3144">
      <w:pPr>
        <w:pStyle w:val="ONUMFS"/>
        <w:numPr>
          <w:ilvl w:val="0"/>
          <w:numId w:val="0"/>
        </w:numPr>
        <w:spacing w:after="0"/>
      </w:pPr>
    </w:p>
    <w:p w:rsidR="00722323" w:rsidRDefault="00B641C6" w:rsidP="004C3144">
      <w:pPr>
        <w:pStyle w:val="ONUMFS"/>
        <w:numPr>
          <w:ilvl w:val="0"/>
          <w:numId w:val="0"/>
        </w:numPr>
        <w:spacing w:after="0"/>
      </w:pPr>
      <w:r w:rsidRPr="00446CAC">
        <w:t xml:space="preserve">La </w:t>
      </w:r>
      <w:r>
        <w:t>base INAPI</w:t>
      </w:r>
      <w:r>
        <w:noBreakHyphen/>
        <w:t>OMPI permite</w:t>
      </w:r>
      <w:r w:rsidR="0084126D" w:rsidRPr="00446CAC">
        <w:t xml:space="preserve"> identificar la</w:t>
      </w:r>
      <w:r w:rsidR="005239DC">
        <w:t>s</w:t>
      </w:r>
      <w:r w:rsidR="0084126D" w:rsidRPr="00446CAC">
        <w:t xml:space="preserve"> </w:t>
      </w:r>
      <w:r>
        <w:t>solicitudes de patente</w:t>
      </w:r>
      <w:r w:rsidR="005239DC">
        <w:t>s en las que la patente se concede a varios titulares</w:t>
      </w:r>
      <w:r>
        <w:t>, dato</w:t>
      </w:r>
      <w:r w:rsidR="0084126D" w:rsidRPr="00446CAC">
        <w:t xml:space="preserve"> interesante por cuanto </w:t>
      </w:r>
      <w:r>
        <w:t>indica el grado de</w:t>
      </w:r>
      <w:r w:rsidR="0084126D" w:rsidRPr="00446CAC">
        <w:t xml:space="preserve"> cooperación en iniciativas de investigación</w:t>
      </w:r>
      <w:r>
        <w:t xml:space="preserve"> que existe</w:t>
      </w:r>
      <w:r w:rsidR="0084126D" w:rsidRPr="00446CAC">
        <w:t xml:space="preserve"> entre universidades y empresas así como entre competidores en el mercado.  Como en otros países, las patentes </w:t>
      </w:r>
      <w:r>
        <w:t xml:space="preserve">objeto de </w:t>
      </w:r>
      <w:r w:rsidR="005239DC">
        <w:t xml:space="preserve">titularidad </w:t>
      </w:r>
      <w:r w:rsidR="0084126D" w:rsidRPr="00446CAC">
        <w:t>conjunta representan una pequeña parte de la</w:t>
      </w:r>
      <w:r>
        <w:t>s</w:t>
      </w:r>
      <w:r w:rsidR="0084126D" w:rsidRPr="00446CAC">
        <w:t xml:space="preserve"> solicitudes de patente </w:t>
      </w:r>
      <w:r>
        <w:t xml:space="preserve">presentadas </w:t>
      </w:r>
      <w:r w:rsidR="0084126D" w:rsidRPr="00446CAC">
        <w:t>en Chile, en promedio, menos de</w:t>
      </w:r>
      <w:r w:rsidR="00446CAC" w:rsidRPr="00446CAC">
        <w:t>l 3</w:t>
      </w:r>
      <w:r w:rsidR="0084126D" w:rsidRPr="00446CAC">
        <w:t>% entr</w:t>
      </w:r>
      <w:r w:rsidR="00446CAC" w:rsidRPr="00446CAC">
        <w:t>e 1</w:t>
      </w:r>
      <w:r w:rsidR="0084126D" w:rsidRPr="00446CAC">
        <w:t xml:space="preserve">991 </w:t>
      </w:r>
      <w:r w:rsidR="00446CAC" w:rsidRPr="00446CAC">
        <w:t>y 2</w:t>
      </w:r>
      <w:r w:rsidR="0084126D" w:rsidRPr="00446CAC">
        <w:t xml:space="preserve">010.  La mayor parte de las patentes </w:t>
      </w:r>
      <w:r>
        <w:t xml:space="preserve">de </w:t>
      </w:r>
      <w:r w:rsidR="005239DC">
        <w:t xml:space="preserve">titularidad </w:t>
      </w:r>
      <w:r w:rsidR="0084126D" w:rsidRPr="00446CAC">
        <w:t xml:space="preserve">conjunta </w:t>
      </w:r>
      <w:r>
        <w:t>corresponde a</w:t>
      </w:r>
      <w:r w:rsidR="0084126D" w:rsidRPr="00446CAC">
        <w:t xml:space="preserve"> empresas no residentes y</w:t>
      </w:r>
      <w:r>
        <w:t xml:space="preserve"> existen poco</w:t>
      </w:r>
      <w:r w:rsidR="0084126D" w:rsidRPr="00446CAC">
        <w:t xml:space="preserve">s </w:t>
      </w:r>
      <w:r>
        <w:t>ejemplos de</w:t>
      </w:r>
      <w:r w:rsidR="0084126D" w:rsidRPr="00446CAC">
        <w:t xml:space="preserve"> cooperación internacional</w:t>
      </w:r>
      <w:r w:rsidR="00722323" w:rsidRPr="00446CAC">
        <w:t xml:space="preserve">.  El porcentaje de patentes de </w:t>
      </w:r>
      <w:r w:rsidR="005239DC">
        <w:t xml:space="preserve">titularidad </w:t>
      </w:r>
      <w:r w:rsidR="00722323" w:rsidRPr="00446CAC">
        <w:t xml:space="preserve">conjunta con </w:t>
      </w:r>
      <w:r w:rsidR="005239DC">
        <w:t xml:space="preserve">titulares </w:t>
      </w:r>
      <w:r w:rsidR="00722323" w:rsidRPr="00446CAC">
        <w:t xml:space="preserve">residentes y </w:t>
      </w:r>
      <w:r w:rsidR="005239DC">
        <w:t xml:space="preserve">titulares </w:t>
      </w:r>
      <w:r w:rsidR="00722323" w:rsidRPr="00446CAC">
        <w:t>no residentes es de sólo e</w:t>
      </w:r>
      <w:r w:rsidR="00446CAC" w:rsidRPr="00446CAC">
        <w:t>l 8</w:t>
      </w:r>
      <w:r w:rsidR="00722323" w:rsidRPr="00446CAC">
        <w:t xml:space="preserve">%.  </w:t>
      </w:r>
      <w:r w:rsidR="002B555C">
        <w:t xml:space="preserve">En lo que respecta a las universidades, la </w:t>
      </w:r>
      <w:r w:rsidR="005239DC">
        <w:t xml:space="preserve">titularidad </w:t>
      </w:r>
      <w:r w:rsidR="00722323" w:rsidRPr="00446CAC">
        <w:t>conjunta representa cerca de</w:t>
      </w:r>
      <w:r w:rsidR="00446CAC" w:rsidRPr="00446CAC">
        <w:t>l 2</w:t>
      </w:r>
      <w:r w:rsidR="00722323" w:rsidRPr="00446CAC">
        <w:t xml:space="preserve">0% de las patentes de </w:t>
      </w:r>
      <w:r w:rsidR="005239DC">
        <w:t xml:space="preserve">titularidad </w:t>
      </w:r>
      <w:r w:rsidR="00722323" w:rsidRPr="00446CAC">
        <w:t>conjunta, lo que apunta a que existe una importante colaboración entre universidades y empresas.</w:t>
      </w:r>
    </w:p>
    <w:p w:rsidR="004C3144" w:rsidRPr="00446CAC" w:rsidRDefault="004C3144" w:rsidP="004C3144">
      <w:pPr>
        <w:pStyle w:val="ONUMFS"/>
        <w:numPr>
          <w:ilvl w:val="0"/>
          <w:numId w:val="0"/>
        </w:numPr>
        <w:spacing w:after="0"/>
      </w:pPr>
    </w:p>
    <w:p w:rsidR="00990112" w:rsidRDefault="00771997" w:rsidP="004C3144">
      <w:pPr>
        <w:pStyle w:val="ONUMFS"/>
        <w:numPr>
          <w:ilvl w:val="0"/>
          <w:numId w:val="0"/>
        </w:numPr>
        <w:spacing w:after="0"/>
      </w:pPr>
      <w:r w:rsidRPr="00446CAC">
        <w:t>Por último, se analizan las solicitudes internacionales de patentes presentadas en las que al menos hay</w:t>
      </w:r>
      <w:r w:rsidR="002B555C">
        <w:t>a</w:t>
      </w:r>
      <w:r w:rsidRPr="00446CAC">
        <w:t xml:space="preserve"> un </w:t>
      </w:r>
      <w:r w:rsidR="005239DC">
        <w:t xml:space="preserve">titular </w:t>
      </w:r>
      <w:r w:rsidRPr="00446CAC">
        <w:t>o inventor chileno.  Se pone así en evidencia que sólo una pequeña parte de los titulares de patente residentes presentan también solicitudes de protección por patente en otros países.  No obstante, ese porcentaje pasó de</w:t>
      </w:r>
      <w:r w:rsidR="00446CAC" w:rsidRPr="00446CAC">
        <w:t>l 2</w:t>
      </w:r>
      <w:r w:rsidRPr="00446CAC">
        <w:t>% e</w:t>
      </w:r>
      <w:r w:rsidR="00446CAC" w:rsidRPr="00446CAC">
        <w:t>n 1</w:t>
      </w:r>
      <w:r w:rsidRPr="00446CAC">
        <w:t>992 a cerca de</w:t>
      </w:r>
      <w:r w:rsidR="00446CAC" w:rsidRPr="00446CAC">
        <w:t>l 1</w:t>
      </w:r>
      <w:r w:rsidRPr="00446CAC">
        <w:t>0% a partir d</w:t>
      </w:r>
      <w:r w:rsidR="00446CAC" w:rsidRPr="00446CAC">
        <w:t>e 2</w:t>
      </w:r>
      <w:r w:rsidRPr="00446CAC">
        <w:t xml:space="preserve">006.  Los datos también ponen en evidencia que la mitad de las invenciones relacionadas con familias de patentes otorgadas a residentes chilenos procede de Chile.  </w:t>
      </w:r>
      <w:r w:rsidR="00990112" w:rsidRPr="00446CAC">
        <w:t xml:space="preserve">Las oficinas de primera presentación más importantes en el extranjero son las de Estados Unidos de América y Europa.  Rara vez son utilizadas las oficinas de otros países de América del Sur como oficinas de primera presentación.  </w:t>
      </w:r>
      <w:r w:rsidR="00990112" w:rsidRPr="00446CAC">
        <w:rPr>
          <w:snapToGrid w:val="0"/>
        </w:rPr>
        <w:t>Sudáfrica</w:t>
      </w:r>
      <w:r w:rsidR="00990112" w:rsidRPr="00446CAC">
        <w:t>, China y México han pasado a ser, desde el añ</w:t>
      </w:r>
      <w:r w:rsidR="00446CAC" w:rsidRPr="00446CAC">
        <w:t>o 2</w:t>
      </w:r>
      <w:r w:rsidR="00990112" w:rsidRPr="00446CAC">
        <w:t>000, importantes destinos en las solicitudes de protección por patente presentadas por solicitantes chilenos.  En las solicitudes internacionales presentadas por residentes chilenos sobresalen las patentes relacionadas con la industria minera y los productos químicos así como las solicitudes de patente presentadas por universidades.</w:t>
      </w:r>
    </w:p>
    <w:p w:rsidR="004C3144" w:rsidRPr="00446CAC" w:rsidRDefault="004C3144" w:rsidP="004C3144">
      <w:pPr>
        <w:pStyle w:val="ONUMFS"/>
        <w:numPr>
          <w:ilvl w:val="0"/>
          <w:numId w:val="0"/>
        </w:numPr>
        <w:spacing w:after="0"/>
      </w:pPr>
    </w:p>
    <w:p w:rsidR="00990112" w:rsidRDefault="00990112" w:rsidP="004C3144">
      <w:pPr>
        <w:pStyle w:val="ONUMFS"/>
        <w:numPr>
          <w:ilvl w:val="0"/>
          <w:numId w:val="0"/>
        </w:numPr>
        <w:spacing w:after="0"/>
      </w:pPr>
      <w:r w:rsidRPr="00446CAC">
        <w:t>En general, el presente estudio constituye un ejemplo de investigación empírica que puede realizarse para determinar de qué forma se utiliza la propiedad intelectual en los países de medianos ingresos una vez se instaura una infraestructura de datos adecuada.  Además, en el estudio se demuestra la importancia de incluir otros derechos de P.I. además de las patentes en este tipo de análisis y de examinar cómo puede</w:t>
      </w:r>
      <w:r w:rsidR="002B555C">
        <w:t>n</w:t>
      </w:r>
      <w:r w:rsidRPr="00446CAC">
        <w:t xml:space="preserve"> utilizarse de forma conjunta los diferentes tipos de P.I. en lugar </w:t>
      </w:r>
      <w:r w:rsidR="00333C7A" w:rsidRPr="00446CAC">
        <w:t>de utilizarse de forma aislada.</w:t>
      </w:r>
    </w:p>
    <w:p w:rsidR="004C3144" w:rsidRPr="00446CAC" w:rsidRDefault="004C3144" w:rsidP="004C3144">
      <w:pPr>
        <w:pStyle w:val="ONUMFS"/>
        <w:numPr>
          <w:ilvl w:val="0"/>
          <w:numId w:val="0"/>
        </w:numPr>
        <w:spacing w:after="0"/>
      </w:pPr>
    </w:p>
    <w:p w:rsidR="00C2704D" w:rsidRPr="00446CAC" w:rsidRDefault="00990112" w:rsidP="004C3144">
      <w:pPr>
        <w:pStyle w:val="ONUMFS"/>
        <w:numPr>
          <w:ilvl w:val="0"/>
          <w:numId w:val="0"/>
        </w:numPr>
        <w:spacing w:after="0"/>
      </w:pPr>
      <w:r w:rsidRPr="00446CAC">
        <w:t xml:space="preserve">Los ejemplos expuestos en el presente estudio aportan importantes informaciones que permiten comprender mejor la función que desempeña la P.I. en la economía chilena.  Ese evidente que esos ejemplos no permiten conocer exactamente todos los efectos que tienen las políticas que se han adoptado en materia de P.I. en el comportamiento de los solicitantes ni tampoco en los resultados económicos.  De ahí que sea necesario proceder a un examen detenido y basado en la nueva infraestructura de datos.  A ese respecto cabe señalar que actualmente están en curso de realización y serán publicados por separado dos estudios analíticos, uno sobre la incidencia y los efectos de la usurpación de marcas así </w:t>
      </w:r>
      <w:r w:rsidRPr="00446CAC">
        <w:lastRenderedPageBreak/>
        <w:t>como acerca de la función que desempeñan las patentes en el sector farmacéutico nacional</w:t>
      </w:r>
      <w:r w:rsidR="00C2704D" w:rsidRPr="00446CAC">
        <w:t>.</w:t>
      </w:r>
    </w:p>
    <w:p w:rsidR="001A2943" w:rsidRDefault="001A2943" w:rsidP="004C3144">
      <w:pPr>
        <w:pStyle w:val="ONUMFS"/>
        <w:numPr>
          <w:ilvl w:val="0"/>
          <w:numId w:val="0"/>
        </w:numPr>
        <w:rPr>
          <w:lang w:val="es-ES_tradnl"/>
        </w:rPr>
      </w:pPr>
      <w:bookmarkStart w:id="4" w:name="_Toc359312052"/>
    </w:p>
    <w:p w:rsidR="00FA7282" w:rsidRDefault="00FA7282">
      <w:pPr>
        <w:rPr>
          <w:lang w:val="es-ES_tradnl"/>
        </w:rPr>
      </w:pPr>
      <w:r>
        <w:rPr>
          <w:lang w:val="es-ES_tradnl"/>
        </w:rPr>
        <w:br w:type="page"/>
      </w:r>
    </w:p>
    <w:p w:rsidR="001A2943" w:rsidRPr="000A19E1" w:rsidRDefault="001A2943" w:rsidP="001A2943">
      <w:pPr>
        <w:pStyle w:val="Heading1"/>
        <w:rPr>
          <w:lang w:val="es-ES_tradnl"/>
        </w:rPr>
      </w:pPr>
      <w:bookmarkStart w:id="5" w:name="_GoBack"/>
      <w:bookmarkEnd w:id="5"/>
      <w:r w:rsidRPr="004C3144">
        <w:rPr>
          <w:b w:val="0"/>
          <w:lang w:val="es-ES_tradnl"/>
        </w:rPr>
        <w:lastRenderedPageBreak/>
        <w:t>1.</w:t>
      </w:r>
      <w:bookmarkEnd w:id="4"/>
      <w:r>
        <w:rPr>
          <w:lang w:val="es-ES_tradnl"/>
        </w:rPr>
        <w:tab/>
      </w:r>
      <w:r w:rsidR="00546FD0" w:rsidRPr="004C3144">
        <w:rPr>
          <w:b w:val="0"/>
          <w:caps w:val="0"/>
          <w:u w:val="single"/>
          <w:lang w:val="es-ES_tradnl"/>
        </w:rPr>
        <w:t>Introducción</w:t>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Las pasadas décadas han mostrado profundos cambios en el uso del sistema de propiedad intelectual (P.I.) a nivel mundial.</w:t>
      </w:r>
      <w:r>
        <w:rPr>
          <w:szCs w:val="22"/>
          <w:lang w:val="es-ES_tradnl"/>
        </w:rPr>
        <w:t xml:space="preserve"> </w:t>
      </w:r>
      <w:r w:rsidR="003B1DFE">
        <w:rPr>
          <w:szCs w:val="22"/>
          <w:lang w:val="es-ES_tradnl"/>
        </w:rPr>
        <w:t xml:space="preserve"> </w:t>
      </w:r>
      <w:r w:rsidRPr="000A19E1">
        <w:rPr>
          <w:szCs w:val="22"/>
          <w:lang w:val="es-ES_tradnl"/>
        </w:rPr>
        <w:t>Diversas fuerzas han motorizado estos cambios.</w:t>
      </w:r>
      <w:r w:rsidR="003B1DFE">
        <w:rPr>
          <w:szCs w:val="22"/>
          <w:lang w:val="es-ES_tradnl"/>
        </w:rPr>
        <w:t xml:space="preserve"> </w:t>
      </w:r>
      <w:r>
        <w:rPr>
          <w:szCs w:val="22"/>
          <w:lang w:val="es-ES_tradnl"/>
        </w:rPr>
        <w:t xml:space="preserve"> </w:t>
      </w:r>
      <w:r w:rsidRPr="000A19E1">
        <w:rPr>
          <w:szCs w:val="22"/>
          <w:lang w:val="es-ES_tradnl"/>
        </w:rPr>
        <w:t>En primer lugar, la inversión en creación de activos intangibles se ha incrementado marcadamente.</w:t>
      </w:r>
      <w:r>
        <w:rPr>
          <w:szCs w:val="22"/>
          <w:lang w:val="es-ES_tradnl"/>
        </w:rPr>
        <w:t xml:space="preserve"> </w:t>
      </w:r>
      <w:r w:rsidR="003B1DFE">
        <w:rPr>
          <w:szCs w:val="22"/>
          <w:lang w:val="es-ES_tradnl"/>
        </w:rPr>
        <w:t xml:space="preserve"> </w:t>
      </w:r>
      <w:r w:rsidRPr="000A19E1">
        <w:rPr>
          <w:szCs w:val="22"/>
          <w:lang w:val="es-ES_tradnl"/>
        </w:rPr>
        <w:t>Por ejemplo, el gasto global en I+D casi se duplicó en términos reales entre 1993 y 2009.</w:t>
      </w:r>
      <w:r>
        <w:rPr>
          <w:szCs w:val="22"/>
          <w:lang w:val="es-ES_tradnl"/>
        </w:rPr>
        <w:t xml:space="preserve"> </w:t>
      </w:r>
      <w:r w:rsidR="003B1DFE">
        <w:rPr>
          <w:szCs w:val="22"/>
          <w:lang w:val="es-ES_tradnl"/>
        </w:rPr>
        <w:t xml:space="preserve"> </w:t>
      </w:r>
      <w:r w:rsidRPr="000A19E1">
        <w:rPr>
          <w:szCs w:val="22"/>
          <w:lang w:val="es-ES_tradnl"/>
        </w:rPr>
        <w:t>Los datos disponibles sugieren también la existencia de una inversión creciente en otros intangibles tales como diseños y marcas.</w:t>
      </w:r>
      <w:r w:rsidRPr="000A19E1">
        <w:rPr>
          <w:rStyle w:val="FootnoteReference"/>
          <w:szCs w:val="22"/>
          <w:lang w:val="es-ES_tradnl"/>
        </w:rPr>
        <w:t xml:space="preserve"> </w:t>
      </w:r>
      <w:r w:rsidRPr="000A19E1">
        <w:rPr>
          <w:rStyle w:val="FootnoteReference"/>
          <w:szCs w:val="22"/>
          <w:lang w:val="es-ES_tradnl"/>
        </w:rPr>
        <w:footnoteReference w:id="3"/>
      </w:r>
      <w:r>
        <w:rPr>
          <w:szCs w:val="22"/>
          <w:lang w:val="es-ES_tradnl"/>
        </w:rPr>
        <w:t xml:space="preserve"> </w:t>
      </w:r>
      <w:r w:rsidR="003B1DFE">
        <w:rPr>
          <w:szCs w:val="22"/>
          <w:lang w:val="es-ES_tradnl"/>
        </w:rPr>
        <w:t xml:space="preserve"> </w:t>
      </w:r>
      <w:r w:rsidRPr="000A19E1">
        <w:rPr>
          <w:szCs w:val="22"/>
          <w:lang w:val="es-ES_tradnl"/>
        </w:rPr>
        <w:t xml:space="preserve">En segundo lugar, la creciente integración internacional de las economías nacionales </w:t>
      </w:r>
      <w:r w:rsidRPr="000A19E1">
        <w:rPr>
          <w:szCs w:val="22"/>
          <w:lang w:val="es-ES_tradnl"/>
        </w:rPr>
        <w:noBreakHyphen/>
        <w:t>generalmente referenciada como globalización</w:t>
      </w:r>
      <w:r w:rsidRPr="000A19E1">
        <w:rPr>
          <w:szCs w:val="22"/>
          <w:lang w:val="es-ES_tradnl"/>
        </w:rPr>
        <w:noBreakHyphen/>
        <w:t xml:space="preserve"> ha impulsado a los </w:t>
      </w:r>
      <w:r>
        <w:rPr>
          <w:szCs w:val="22"/>
          <w:lang w:val="es-ES_tradnl"/>
        </w:rPr>
        <w:t>titulares</w:t>
      </w:r>
      <w:r w:rsidRPr="000A19E1">
        <w:rPr>
          <w:szCs w:val="22"/>
          <w:lang w:val="es-ES_tradnl"/>
        </w:rPr>
        <w:t xml:space="preserve"> de </w:t>
      </w:r>
      <w:r>
        <w:rPr>
          <w:szCs w:val="22"/>
          <w:lang w:val="es-ES_tradnl"/>
        </w:rPr>
        <w:t>P.I.</w:t>
      </w:r>
      <w:r w:rsidRPr="000A19E1">
        <w:rPr>
          <w:szCs w:val="22"/>
          <w:lang w:val="es-ES_tradnl"/>
        </w:rPr>
        <w:t xml:space="preserve"> a buscar más frecuentemente la protección en el extranjero y, de hecho, en un mayor número de países.</w:t>
      </w:r>
      <w:r w:rsidRPr="000A19E1">
        <w:rPr>
          <w:rStyle w:val="FootnoteReference"/>
          <w:szCs w:val="22"/>
          <w:lang w:val="es-ES_tradnl"/>
        </w:rPr>
        <w:footnoteReference w:id="4"/>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En tercer lugar, las políticas nacionales de </w:t>
      </w:r>
      <w:r>
        <w:rPr>
          <w:szCs w:val="22"/>
          <w:lang w:val="es-ES_tradnl"/>
        </w:rPr>
        <w:t>P.I.</w:t>
      </w:r>
      <w:r w:rsidRPr="000A19E1">
        <w:rPr>
          <w:szCs w:val="22"/>
          <w:lang w:val="es-ES_tradnl"/>
        </w:rPr>
        <w:t xml:space="preserve"> han experimentado sustanciales reformas con implicancias significativas sobre la conducta de los solicitantes de derechos de P.I.</w:t>
      </w:r>
      <w:r>
        <w:rPr>
          <w:szCs w:val="22"/>
          <w:lang w:val="es-ES_tradnl"/>
        </w:rPr>
        <w:t xml:space="preserve"> </w:t>
      </w:r>
      <w:r w:rsidR="003B1DFE">
        <w:rPr>
          <w:szCs w:val="22"/>
          <w:lang w:val="es-ES_tradnl"/>
        </w:rPr>
        <w:t xml:space="preserve"> </w:t>
      </w:r>
      <w:r w:rsidRPr="000A19E1">
        <w:rPr>
          <w:szCs w:val="22"/>
          <w:lang w:val="es-ES_tradnl"/>
        </w:rPr>
        <w:t xml:space="preserve">Los acuerdos internacionales </w:t>
      </w:r>
      <w:r w:rsidRPr="000A19E1">
        <w:rPr>
          <w:szCs w:val="22"/>
          <w:lang w:val="es-ES_tradnl"/>
        </w:rPr>
        <w:noBreakHyphen/>
        <w:t xml:space="preserve">especialmente el Acuerdo sobre los Aspectos de los Derechos de Propiedad Intelectual relacionados con el Comercio (ADPIC) </w:t>
      </w:r>
      <w:r w:rsidRPr="000A19E1">
        <w:rPr>
          <w:szCs w:val="22"/>
          <w:lang w:val="es-ES_tradnl"/>
        </w:rPr>
        <w:noBreakHyphen/>
        <w:t xml:space="preserve"> han sido importantes impulsores de las reformas legales.</w:t>
      </w:r>
      <w:r w:rsidR="003B1DFE">
        <w:rPr>
          <w:szCs w:val="22"/>
          <w:lang w:val="es-ES_tradnl"/>
        </w:rPr>
        <w:t xml:space="preserve"> </w:t>
      </w:r>
      <w:r>
        <w:rPr>
          <w:szCs w:val="22"/>
          <w:lang w:val="es-ES_tradnl"/>
        </w:rPr>
        <w:t xml:space="preserve"> </w:t>
      </w:r>
      <w:r w:rsidRPr="000A19E1">
        <w:rPr>
          <w:szCs w:val="22"/>
          <w:lang w:val="es-ES_tradnl"/>
        </w:rPr>
        <w:t>Como resultado de ello, los países en desarrollo han fortalecido significativamente los derechos de P.I. durante las pasadas dos décadas.</w:t>
      </w:r>
      <w:r>
        <w:rPr>
          <w:szCs w:val="22"/>
          <w:lang w:val="es-ES_tradnl"/>
        </w:rPr>
        <w:t xml:space="preserve"> </w:t>
      </w:r>
      <w:r w:rsidR="003B1DFE">
        <w:rPr>
          <w:szCs w:val="22"/>
          <w:lang w:val="es-ES_tradnl"/>
        </w:rPr>
        <w:t xml:space="preserve"> </w:t>
      </w:r>
      <w:r w:rsidRPr="000A19E1">
        <w:rPr>
          <w:szCs w:val="22"/>
          <w:lang w:val="es-ES_tradnl"/>
        </w:rPr>
        <w:t>También se han realizado crecientes esfuerzos tendientes a la armonización de los estándares de procedimiento y la creación de sistemas de registros regionales e internacionales.</w:t>
      </w:r>
      <w:r>
        <w:rPr>
          <w:szCs w:val="22"/>
          <w:lang w:val="es-ES_tradnl"/>
        </w:rPr>
        <w:t xml:space="preserve"> </w:t>
      </w:r>
      <w:r w:rsidR="003B1DFE">
        <w:rPr>
          <w:szCs w:val="22"/>
          <w:lang w:val="es-ES_tradnl"/>
        </w:rPr>
        <w:t xml:space="preserve"> </w:t>
      </w:r>
      <w:r w:rsidRPr="000A19E1">
        <w:rPr>
          <w:szCs w:val="22"/>
          <w:lang w:val="es-ES_tradnl"/>
        </w:rPr>
        <w:t>Los avances tecnológicos han contribuido con frecuencia a las reformas legales en la medida que han generado la necesidad de adaptar las políticas de P.I. a la naturaleza evolutiva del progreso tecnológico.</w:t>
      </w:r>
      <w:r>
        <w:rPr>
          <w:szCs w:val="22"/>
          <w:lang w:val="es-ES_tradnl"/>
        </w:rPr>
        <w:t xml:space="preserve"> </w:t>
      </w:r>
      <w:r w:rsidR="003B1DFE">
        <w:rPr>
          <w:szCs w:val="22"/>
          <w:lang w:val="es-ES_tradnl"/>
        </w:rPr>
        <w:t xml:space="preserve"> </w:t>
      </w:r>
      <w:r w:rsidRPr="000A19E1">
        <w:rPr>
          <w:szCs w:val="22"/>
          <w:lang w:val="es-ES_tradnl"/>
        </w:rPr>
        <w:t xml:space="preserve">Por último, la evolución de los modelos de negocio </w:t>
      </w:r>
      <w:r w:rsidRPr="000A19E1">
        <w:rPr>
          <w:szCs w:val="22"/>
          <w:lang w:val="es-ES_tradnl"/>
        </w:rPr>
        <w:noBreakHyphen/>
        <w:t>impulsada por las oportunidades tecnológicas y las presiones competitivas</w:t>
      </w:r>
      <w:r w:rsidRPr="000A19E1">
        <w:rPr>
          <w:szCs w:val="22"/>
          <w:lang w:val="es-ES_tradnl"/>
        </w:rPr>
        <w:noBreakHyphen/>
        <w:t xml:space="preserve"> ha llevado a las empresas a adaptar sus estrategias de gestión de la innovación, afectando de manera importante la forma en que utilizan el sistema de P.I.</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Los cambios registrados en el ámbito de la P.I. han suscitado numerosas preguntas nuevas sobre el papel que desempeña el sistema de P.I. en el proceso de innovación.</w:t>
      </w:r>
      <w:r>
        <w:rPr>
          <w:szCs w:val="22"/>
          <w:lang w:val="es-ES_tradnl"/>
        </w:rPr>
        <w:t xml:space="preserve"> </w:t>
      </w:r>
      <w:r w:rsidR="003B1DFE">
        <w:rPr>
          <w:szCs w:val="22"/>
          <w:lang w:val="es-ES_tradnl"/>
        </w:rPr>
        <w:t xml:space="preserve"> </w:t>
      </w:r>
      <w:r w:rsidRPr="000A19E1">
        <w:rPr>
          <w:szCs w:val="22"/>
          <w:lang w:val="es-ES_tradnl"/>
        </w:rPr>
        <w:t>Por ejemplo, ¿cuán importantes son para las empresas los diferentes derechos de P.I. en la apropiación de los retornos de las inversiones</w:t>
      </w:r>
      <w:r>
        <w:rPr>
          <w:szCs w:val="22"/>
          <w:lang w:val="es-ES_tradnl"/>
        </w:rPr>
        <w:t xml:space="preserve"> </w:t>
      </w:r>
      <w:r w:rsidRPr="000A19E1">
        <w:rPr>
          <w:szCs w:val="22"/>
          <w:lang w:val="es-ES_tradnl"/>
        </w:rPr>
        <w:t>en el campo de las nuevas tecnologías?</w:t>
      </w:r>
      <w:r>
        <w:rPr>
          <w:szCs w:val="22"/>
          <w:lang w:val="es-ES_tradnl"/>
        </w:rPr>
        <w:t xml:space="preserve"> </w:t>
      </w:r>
      <w:r w:rsidRPr="000A19E1">
        <w:rPr>
          <w:szCs w:val="22"/>
          <w:lang w:val="es-ES_tradnl"/>
        </w:rPr>
        <w:t>¿Cómo afecta la densidad de patentes en tecnologías complejas al comportamiento innovador y las estrategias de comercialización?</w:t>
      </w:r>
      <w:r>
        <w:rPr>
          <w:szCs w:val="22"/>
          <w:lang w:val="es-ES_tradnl"/>
        </w:rPr>
        <w:t xml:space="preserve"> </w:t>
      </w:r>
      <w:r w:rsidRPr="000A19E1">
        <w:rPr>
          <w:szCs w:val="22"/>
          <w:lang w:val="es-ES_tradnl"/>
        </w:rPr>
        <w:t>¿Cómo pueden las oficinas de P.I. mejorar la gestión de los flujos crecientes de solicitudes y promover la prestación de servicios de calidad?</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Recientemente ha emergido una rica literatura económica que ofrece importantes perspectivas empíricas sobre estas y otras preguntas.</w:t>
      </w:r>
      <w:r w:rsidRPr="000A19E1">
        <w:rPr>
          <w:rStyle w:val="FootnoteReference"/>
          <w:szCs w:val="22"/>
          <w:lang w:val="es-ES_tradnl"/>
        </w:rPr>
        <w:footnoteReference w:id="5"/>
      </w:r>
      <w:r>
        <w:rPr>
          <w:szCs w:val="22"/>
          <w:lang w:val="es-ES_tradnl"/>
        </w:rPr>
        <w:t xml:space="preserve"> </w:t>
      </w:r>
      <w:r w:rsidRPr="000A19E1">
        <w:rPr>
          <w:szCs w:val="22"/>
          <w:lang w:val="es-ES_tradnl"/>
        </w:rPr>
        <w:t>Sin embargo, esta literatura se centra en gran medida en los países de altos ingresos y, más recientemente, también en China.</w:t>
      </w:r>
      <w:r>
        <w:rPr>
          <w:szCs w:val="22"/>
          <w:lang w:val="es-ES_tradnl"/>
        </w:rPr>
        <w:t xml:space="preserve"> </w:t>
      </w:r>
      <w:r w:rsidR="003B1DFE">
        <w:rPr>
          <w:szCs w:val="22"/>
          <w:lang w:val="es-ES_tradnl"/>
        </w:rPr>
        <w:t xml:space="preserve"> </w:t>
      </w:r>
      <w:r>
        <w:rPr>
          <w:szCs w:val="22"/>
          <w:lang w:val="es-ES_tradnl"/>
        </w:rPr>
        <w:t>Este foco pareciera tener dos razones subyacentes</w:t>
      </w:r>
      <w:r w:rsidRPr="000A19E1">
        <w:rPr>
          <w:szCs w:val="22"/>
          <w:lang w:val="es-ES_tradnl"/>
        </w:rPr>
        <w:t>.</w:t>
      </w:r>
      <w:r>
        <w:rPr>
          <w:szCs w:val="22"/>
          <w:lang w:val="es-ES_tradnl"/>
        </w:rPr>
        <w:t xml:space="preserve"> </w:t>
      </w:r>
      <w:r w:rsidR="003B1DFE">
        <w:rPr>
          <w:szCs w:val="22"/>
          <w:lang w:val="es-ES_tradnl"/>
        </w:rPr>
        <w:t xml:space="preserve"> </w:t>
      </w:r>
      <w:r w:rsidRPr="000A19E1">
        <w:rPr>
          <w:szCs w:val="22"/>
          <w:lang w:val="es-ES_tradnl"/>
        </w:rPr>
        <w:t>En primer lugar, en términos absolutos, estos países han experimentado los mayores incrementos en el uso de la P.I. y, consecuentemente, las cuestiones relacionadas con la protección de la P.I. han concitado un considerable interés público.</w:t>
      </w:r>
      <w:r>
        <w:rPr>
          <w:szCs w:val="22"/>
          <w:lang w:val="es-ES_tradnl"/>
        </w:rPr>
        <w:t xml:space="preserve"> </w:t>
      </w:r>
      <w:r w:rsidR="003B1DFE">
        <w:rPr>
          <w:szCs w:val="22"/>
          <w:lang w:val="es-ES_tradnl"/>
        </w:rPr>
        <w:t xml:space="preserve"> </w:t>
      </w:r>
      <w:r w:rsidRPr="000A19E1">
        <w:rPr>
          <w:szCs w:val="22"/>
          <w:lang w:val="es-ES_tradnl"/>
        </w:rPr>
        <w:t xml:space="preserve">En segundo lugar, los esfuerzos de las oficinas de P.I. en los países de altos ingresos y de los investigadores académicos han llevado a la creación de bases de </w:t>
      </w:r>
      <w:proofErr w:type="spellStart"/>
      <w:r w:rsidRPr="000A19E1">
        <w:rPr>
          <w:szCs w:val="22"/>
          <w:lang w:val="es-ES_tradnl"/>
        </w:rPr>
        <w:t>microdatos</w:t>
      </w:r>
      <w:proofErr w:type="spellEnd"/>
      <w:r w:rsidRPr="000A19E1">
        <w:rPr>
          <w:szCs w:val="22"/>
          <w:lang w:val="es-ES_tradnl"/>
        </w:rPr>
        <w:t xml:space="preserve"> </w:t>
      </w:r>
      <w:r>
        <w:rPr>
          <w:szCs w:val="22"/>
          <w:lang w:val="es-ES_tradnl"/>
        </w:rPr>
        <w:t xml:space="preserve">de P.I. </w:t>
      </w:r>
      <w:r w:rsidRPr="000A19E1">
        <w:rPr>
          <w:szCs w:val="22"/>
          <w:lang w:val="es-ES_tradnl"/>
        </w:rPr>
        <w:t>que han permitido una amplia gama de investigaciones empíricas.</w:t>
      </w:r>
      <w:r>
        <w:rPr>
          <w:szCs w:val="22"/>
          <w:lang w:val="es-ES_tradnl"/>
        </w:rPr>
        <w:t xml:space="preserve"> </w:t>
      </w:r>
      <w:r w:rsidR="003B1DFE">
        <w:rPr>
          <w:szCs w:val="22"/>
          <w:lang w:val="es-ES_tradnl"/>
        </w:rPr>
        <w:t xml:space="preserve"> </w:t>
      </w:r>
      <w:r w:rsidRPr="000A19E1">
        <w:rPr>
          <w:szCs w:val="22"/>
          <w:lang w:val="es-ES_tradnl"/>
        </w:rPr>
        <w:t xml:space="preserve">Las bases de datos de patentes publicadas por la Oficina Nacional de Investigación Económica (NBER) de los Estados Unidos y la base de datos </w:t>
      </w:r>
      <w:proofErr w:type="spellStart"/>
      <w:r w:rsidRPr="000A19E1">
        <w:rPr>
          <w:szCs w:val="22"/>
          <w:lang w:val="es-ES_tradnl"/>
        </w:rPr>
        <w:t>Patstat</w:t>
      </w:r>
      <w:proofErr w:type="spellEnd"/>
      <w:r w:rsidRPr="000A19E1">
        <w:rPr>
          <w:szCs w:val="22"/>
          <w:lang w:val="es-ES_tradnl"/>
        </w:rPr>
        <w:t xml:space="preserve"> publicada por la Oficina Europea de Patentes (OEP) son buenos ejemplos de este tipo de </w:t>
      </w:r>
      <w:r w:rsidRPr="000A19E1">
        <w:rPr>
          <w:szCs w:val="22"/>
          <w:lang w:val="es-ES_tradnl"/>
        </w:rPr>
        <w:lastRenderedPageBreak/>
        <w:t>esfuerzos.</w:t>
      </w:r>
      <w:r w:rsidRPr="000A19E1">
        <w:rPr>
          <w:rStyle w:val="FootnoteReference"/>
          <w:szCs w:val="22"/>
          <w:lang w:val="es-ES_tradnl"/>
        </w:rPr>
        <w:footnoteReference w:id="6"/>
      </w:r>
      <w:r>
        <w:rPr>
          <w:szCs w:val="22"/>
          <w:lang w:val="es-ES_tradnl"/>
        </w:rPr>
        <w:t xml:space="preserve"> </w:t>
      </w:r>
      <w:r w:rsidR="003B1DFE">
        <w:rPr>
          <w:szCs w:val="22"/>
          <w:lang w:val="es-ES_tradnl"/>
        </w:rPr>
        <w:t xml:space="preserve"> </w:t>
      </w:r>
      <w:r w:rsidRPr="000A19E1">
        <w:rPr>
          <w:szCs w:val="22"/>
          <w:lang w:val="es-ES_tradnl"/>
        </w:rPr>
        <w:t xml:space="preserve">Esfuerzos adicionales realizados para combinar los datos sobre P.I. con </w:t>
      </w:r>
      <w:proofErr w:type="spellStart"/>
      <w:r w:rsidRPr="000A19E1">
        <w:rPr>
          <w:szCs w:val="22"/>
          <w:lang w:val="es-ES_tradnl"/>
        </w:rPr>
        <w:t>microdatos</w:t>
      </w:r>
      <w:proofErr w:type="spellEnd"/>
      <w:r w:rsidRPr="000A19E1">
        <w:rPr>
          <w:szCs w:val="22"/>
          <w:lang w:val="es-ES_tradnl"/>
        </w:rPr>
        <w:t xml:space="preserve"> sobre resultados empresariales y comportamiento inventor han enriquecido aún más la infraestructura de datos disponibles para los investigadores.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Estudios similares en los países de ingresos medios </w:t>
      </w:r>
      <w:r w:rsidRPr="000A19E1">
        <w:rPr>
          <w:szCs w:val="22"/>
          <w:lang w:val="es-ES_tradnl"/>
        </w:rPr>
        <w:noBreakHyphen/>
        <w:t>excepto China</w:t>
      </w:r>
      <w:r w:rsidRPr="000A19E1">
        <w:rPr>
          <w:szCs w:val="22"/>
          <w:lang w:val="es-ES_tradnl"/>
        </w:rPr>
        <w:noBreakHyphen/>
        <w:t xml:space="preserve"> aún siguen siendo escasos.</w:t>
      </w:r>
      <w:r w:rsidRPr="000A19E1">
        <w:rPr>
          <w:rStyle w:val="FootnoteReference"/>
          <w:szCs w:val="22"/>
          <w:lang w:val="es-ES_tradnl"/>
        </w:rPr>
        <w:footnoteReference w:id="7"/>
      </w:r>
      <w:r>
        <w:rPr>
          <w:szCs w:val="22"/>
          <w:lang w:val="es-ES_tradnl"/>
        </w:rPr>
        <w:t xml:space="preserve"> </w:t>
      </w:r>
      <w:r w:rsidR="003B1DFE">
        <w:rPr>
          <w:szCs w:val="22"/>
          <w:lang w:val="es-ES_tradnl"/>
        </w:rPr>
        <w:t xml:space="preserve"> </w:t>
      </w:r>
      <w:r w:rsidRPr="000A19E1">
        <w:rPr>
          <w:szCs w:val="22"/>
          <w:lang w:val="es-ES_tradnl"/>
        </w:rPr>
        <w:t>Sin embargo, estudios de este tipo serían de gran interés.</w:t>
      </w:r>
      <w:r>
        <w:rPr>
          <w:szCs w:val="22"/>
          <w:lang w:val="es-ES_tradnl"/>
        </w:rPr>
        <w:t xml:space="preserve"> </w:t>
      </w:r>
      <w:r w:rsidR="003B1DFE">
        <w:rPr>
          <w:szCs w:val="22"/>
          <w:lang w:val="es-ES_tradnl"/>
        </w:rPr>
        <w:t xml:space="preserve"> </w:t>
      </w:r>
      <w:r w:rsidRPr="000A19E1">
        <w:rPr>
          <w:szCs w:val="22"/>
          <w:lang w:val="es-ES_tradnl"/>
        </w:rPr>
        <w:t>Muchas economías de ingresos medios han experimentado de igual manera un rápido crecimiento en el uso de la P.I., a menudo impulsado tanto por presentaciones nacionales como extranjeras, aun cuando las cifras absolutas siguen siendo pequeñas en el contexto mundial.</w:t>
      </w:r>
      <w:r w:rsidRPr="000A19E1">
        <w:rPr>
          <w:rStyle w:val="FootnoteReference"/>
          <w:szCs w:val="22"/>
          <w:lang w:val="es-ES_tradnl"/>
        </w:rPr>
        <w:footnoteReference w:id="8"/>
      </w:r>
      <w:r>
        <w:rPr>
          <w:szCs w:val="22"/>
          <w:lang w:val="es-ES_tradnl"/>
        </w:rPr>
        <w:t xml:space="preserve"> </w:t>
      </w:r>
      <w:r w:rsidR="003B1DFE">
        <w:rPr>
          <w:szCs w:val="22"/>
          <w:lang w:val="es-ES_tradnl"/>
        </w:rPr>
        <w:t xml:space="preserve"> </w:t>
      </w:r>
      <w:r w:rsidRPr="000A19E1">
        <w:rPr>
          <w:szCs w:val="22"/>
          <w:lang w:val="es-ES_tradnl"/>
        </w:rPr>
        <w:t xml:space="preserve">En relación al tamaño de sus economías, algunos países de ingresos medios, experimentan incluso un uso más intensivo de P.I. </w:t>
      </w:r>
      <w:r w:rsidRPr="000A19E1">
        <w:rPr>
          <w:szCs w:val="22"/>
          <w:lang w:val="es-ES_tradnl"/>
        </w:rPr>
        <w:noBreakHyphen/>
        <w:t>especialmente marcas</w:t>
      </w:r>
      <w:r w:rsidRPr="000A19E1">
        <w:rPr>
          <w:szCs w:val="22"/>
          <w:lang w:val="es-ES_tradnl"/>
        </w:rPr>
        <w:noBreakHyphen/>
        <w:t xml:space="preserve"> que la mayoría de los países de altos ingresos.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Muchas economías de ingresos medios han sido capaces de iniciar </w:t>
      </w:r>
      <w:proofErr w:type="gramStart"/>
      <w:r w:rsidRPr="000A19E1">
        <w:rPr>
          <w:szCs w:val="22"/>
          <w:lang w:val="es-ES_tradnl"/>
        </w:rPr>
        <w:t>el crecimiento económico sustentadas</w:t>
      </w:r>
      <w:proofErr w:type="gramEnd"/>
      <w:r w:rsidRPr="000A19E1">
        <w:rPr>
          <w:szCs w:val="22"/>
          <w:lang w:val="es-ES_tradnl"/>
        </w:rPr>
        <w:t xml:space="preserve"> en bajos salarios, recursos naturales, o una combinación de ambos.</w:t>
      </w:r>
      <w:r>
        <w:rPr>
          <w:szCs w:val="22"/>
          <w:lang w:val="es-ES_tradnl"/>
        </w:rPr>
        <w:t xml:space="preserve"> </w:t>
      </w:r>
      <w:r w:rsidR="003B1DFE">
        <w:rPr>
          <w:szCs w:val="22"/>
          <w:lang w:val="es-ES_tradnl"/>
        </w:rPr>
        <w:t xml:space="preserve"> </w:t>
      </w:r>
      <w:r w:rsidRPr="000A19E1">
        <w:rPr>
          <w:szCs w:val="22"/>
          <w:lang w:val="es-ES_tradnl"/>
        </w:rPr>
        <w:t>A medida que estas economías continúan desarrollándose, pueden iniciar o intensificar el desarrollo doméstico de la innovación.</w:t>
      </w:r>
      <w:r>
        <w:rPr>
          <w:szCs w:val="22"/>
          <w:lang w:val="es-ES_tradnl"/>
        </w:rPr>
        <w:t xml:space="preserve"> </w:t>
      </w:r>
      <w:r w:rsidR="003B1DFE">
        <w:rPr>
          <w:szCs w:val="22"/>
          <w:lang w:val="es-ES_tradnl"/>
        </w:rPr>
        <w:t xml:space="preserve"> </w:t>
      </w:r>
      <w:r w:rsidRPr="000A19E1">
        <w:rPr>
          <w:szCs w:val="22"/>
          <w:lang w:val="es-ES_tradnl"/>
        </w:rPr>
        <w:t xml:space="preserve">La pregunta es qué papel puede jugar la P.I. en este proceso </w:t>
      </w:r>
      <w:r w:rsidRPr="000A19E1">
        <w:rPr>
          <w:szCs w:val="22"/>
          <w:lang w:val="es-ES_tradnl"/>
        </w:rPr>
        <w:noBreakHyphen/>
        <w:t>ya sea la innovación producida en el país o en el extranjero.</w:t>
      </w:r>
      <w:r w:rsidRPr="000A19E1">
        <w:rPr>
          <w:rStyle w:val="FootnoteReference"/>
          <w:szCs w:val="22"/>
          <w:lang w:val="es-ES_tradnl"/>
        </w:rPr>
        <w:footnoteReference w:id="9"/>
      </w:r>
      <w:r>
        <w:rPr>
          <w:szCs w:val="22"/>
          <w:lang w:val="es-ES_tradnl"/>
        </w:rPr>
        <w:t xml:space="preserve"> </w:t>
      </w:r>
      <w:r w:rsidR="003B1DFE">
        <w:rPr>
          <w:szCs w:val="22"/>
          <w:lang w:val="es-ES_tradnl"/>
        </w:rPr>
        <w:t xml:space="preserve"> </w:t>
      </w:r>
      <w:r w:rsidRPr="000A19E1">
        <w:rPr>
          <w:szCs w:val="22"/>
          <w:lang w:val="es-ES_tradnl"/>
        </w:rPr>
        <w:t xml:space="preserve">La diferente estructura de las economías de </w:t>
      </w:r>
      <w:r>
        <w:rPr>
          <w:szCs w:val="22"/>
          <w:lang w:val="es-ES_tradnl"/>
        </w:rPr>
        <w:t>ingresos medios</w:t>
      </w:r>
      <w:r w:rsidRPr="000A19E1">
        <w:rPr>
          <w:szCs w:val="22"/>
          <w:lang w:val="es-ES_tradnl"/>
        </w:rPr>
        <w:t>, la naturaleza cambiante de la actividad innovadora y el contexto institucional sugieren que este papel es diferente al que le cabe en economías de altos ingresos.</w:t>
      </w:r>
      <w:r>
        <w:rPr>
          <w:szCs w:val="22"/>
          <w:lang w:val="es-ES_tradnl"/>
        </w:rPr>
        <w:t xml:space="preserve"> </w:t>
      </w:r>
      <w:r w:rsidR="003B1DFE">
        <w:rPr>
          <w:szCs w:val="22"/>
          <w:lang w:val="es-ES_tradnl"/>
        </w:rPr>
        <w:t xml:space="preserve"> </w:t>
      </w:r>
      <w:r w:rsidRPr="000A19E1">
        <w:rPr>
          <w:szCs w:val="22"/>
          <w:lang w:val="es-ES_tradnl"/>
        </w:rPr>
        <w:t>Por lo tanto, los formuladores de políticas de países de ingresos medios no pueden basarse exclusivamente en la evidencia generada en las economías avanzadas para el diseño de políticas de P.I. e innovación.</w:t>
      </w:r>
      <w:r>
        <w:rPr>
          <w:szCs w:val="22"/>
          <w:lang w:val="es-ES_tradnl"/>
        </w:rPr>
        <w:t xml:space="preserve"> </w:t>
      </w:r>
      <w:r w:rsidR="003B1DFE">
        <w:rPr>
          <w:szCs w:val="22"/>
          <w:lang w:val="es-ES_tradnl"/>
        </w:rPr>
        <w:t xml:space="preserve"> </w:t>
      </w:r>
      <w:r w:rsidRPr="000A19E1">
        <w:rPr>
          <w:szCs w:val="22"/>
          <w:lang w:val="es-ES_tradnl"/>
        </w:rPr>
        <w:t>Ellos se beneficiarían de investigaciones empíricas específicas sobre sus economías.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Una limitación crítica para el desarrollo de este tipo de investigaciones ha sido la falta de una infraestructura de datos sobre P.I.</w:t>
      </w:r>
      <w:r>
        <w:rPr>
          <w:szCs w:val="22"/>
          <w:lang w:val="es-ES_tradnl"/>
        </w:rPr>
        <w:t xml:space="preserve"> </w:t>
      </w:r>
      <w:r w:rsidR="003B1DFE">
        <w:rPr>
          <w:szCs w:val="22"/>
          <w:lang w:val="es-ES_tradnl"/>
        </w:rPr>
        <w:t xml:space="preserve"> </w:t>
      </w:r>
      <w:r w:rsidRPr="000A19E1">
        <w:rPr>
          <w:szCs w:val="22"/>
          <w:lang w:val="es-ES_tradnl"/>
        </w:rPr>
        <w:t xml:space="preserve">La base de datos </w:t>
      </w:r>
      <w:proofErr w:type="spellStart"/>
      <w:r w:rsidRPr="000A19E1">
        <w:rPr>
          <w:szCs w:val="22"/>
          <w:lang w:val="es-ES_tradnl"/>
        </w:rPr>
        <w:t>Patstat</w:t>
      </w:r>
      <w:proofErr w:type="spellEnd"/>
      <w:r w:rsidRPr="000A19E1">
        <w:rPr>
          <w:szCs w:val="22"/>
          <w:lang w:val="es-ES_tradnl"/>
        </w:rPr>
        <w:t xml:space="preserve"> de la OEP contiene registros individuales de</w:t>
      </w:r>
      <w:r>
        <w:rPr>
          <w:szCs w:val="22"/>
          <w:lang w:val="es-ES_tradnl"/>
        </w:rPr>
        <w:t xml:space="preserve"> </w:t>
      </w:r>
      <w:r w:rsidRPr="000A19E1">
        <w:rPr>
          <w:szCs w:val="22"/>
          <w:lang w:val="es-ES_tradnl"/>
        </w:rPr>
        <w:t xml:space="preserve">patentes para un gran número de países de ingresos medios, aunque no está completa en muchos de los casos y no puede ser combinada de forma directa con otras fuentes de </w:t>
      </w:r>
      <w:proofErr w:type="spellStart"/>
      <w:r w:rsidRPr="000A19E1">
        <w:rPr>
          <w:szCs w:val="22"/>
          <w:lang w:val="es-ES_tradnl"/>
        </w:rPr>
        <w:t>microdatos</w:t>
      </w:r>
      <w:proofErr w:type="spellEnd"/>
      <w:r w:rsidRPr="000A19E1">
        <w:rPr>
          <w:szCs w:val="22"/>
          <w:lang w:val="es-ES_tradnl"/>
        </w:rPr>
        <w:t>.</w:t>
      </w:r>
      <w:r w:rsidR="003B1DFE">
        <w:rPr>
          <w:szCs w:val="22"/>
          <w:lang w:val="es-ES_tradnl"/>
        </w:rPr>
        <w:t xml:space="preserve"> </w:t>
      </w:r>
      <w:r>
        <w:rPr>
          <w:szCs w:val="22"/>
          <w:lang w:val="es-ES_tradnl"/>
        </w:rPr>
        <w:t xml:space="preserve"> </w:t>
      </w:r>
      <w:r w:rsidRPr="000A19E1">
        <w:rPr>
          <w:szCs w:val="22"/>
          <w:lang w:val="es-ES_tradnl"/>
        </w:rPr>
        <w:t xml:space="preserve">En cualquier caso, la base </w:t>
      </w:r>
      <w:proofErr w:type="spellStart"/>
      <w:r w:rsidRPr="000A19E1">
        <w:rPr>
          <w:szCs w:val="22"/>
          <w:lang w:val="es-ES_tradnl"/>
        </w:rPr>
        <w:t>Patstat</w:t>
      </w:r>
      <w:proofErr w:type="spellEnd"/>
      <w:r w:rsidRPr="000A19E1">
        <w:rPr>
          <w:szCs w:val="22"/>
          <w:lang w:val="es-ES_tradnl"/>
        </w:rPr>
        <w:t xml:space="preserve"> sólo abarca patentes y modelos de utilidad.</w:t>
      </w:r>
      <w:r>
        <w:rPr>
          <w:szCs w:val="22"/>
          <w:lang w:val="es-ES_tradnl"/>
        </w:rPr>
        <w:t xml:space="preserve"> </w:t>
      </w:r>
      <w:r w:rsidR="003B1DFE">
        <w:rPr>
          <w:szCs w:val="22"/>
          <w:lang w:val="es-ES_tradnl"/>
        </w:rPr>
        <w:t xml:space="preserve"> </w:t>
      </w:r>
      <w:r w:rsidRPr="000A19E1">
        <w:rPr>
          <w:szCs w:val="22"/>
          <w:lang w:val="es-ES_tradnl"/>
        </w:rPr>
        <w:t>La explotación completa del potencial de los datos sobre P.I. requiere inversiones específicas en la generación de nuevas bases de datos.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Este trabajo reporta un esfuerzo en esa dirección realizado en Chile.</w:t>
      </w:r>
      <w:r>
        <w:rPr>
          <w:szCs w:val="22"/>
          <w:lang w:val="es-ES_tradnl"/>
        </w:rPr>
        <w:t xml:space="preserve"> </w:t>
      </w:r>
      <w:r w:rsidR="003B1DFE">
        <w:rPr>
          <w:szCs w:val="22"/>
          <w:lang w:val="es-ES_tradnl"/>
        </w:rPr>
        <w:t xml:space="preserve"> </w:t>
      </w:r>
      <w:r w:rsidRPr="000A19E1">
        <w:rPr>
          <w:szCs w:val="22"/>
          <w:lang w:val="es-ES_tradnl"/>
        </w:rPr>
        <w:t>Como parte de un proyecto del Comité de Desarrollo y Propiedad Intelectual (CDIP) de la OMPI, el INAPI en colaboración con la OMPI ha creado una base de datos que contiene todos los registros de patentes, marcas, modelos de utilidad y diseños para Chile durante el período 1991-2010.</w:t>
      </w:r>
      <w:r w:rsidRPr="000A19E1">
        <w:rPr>
          <w:rStyle w:val="FootnoteReference"/>
          <w:szCs w:val="22"/>
          <w:lang w:val="es-ES_tradnl"/>
        </w:rPr>
        <w:footnoteReference w:id="10"/>
      </w:r>
      <w:r>
        <w:rPr>
          <w:szCs w:val="22"/>
          <w:lang w:val="es-ES_tradnl"/>
        </w:rPr>
        <w:t xml:space="preserve"> </w:t>
      </w:r>
      <w:r w:rsidR="003B1DFE">
        <w:rPr>
          <w:szCs w:val="22"/>
          <w:lang w:val="es-ES_tradnl"/>
        </w:rPr>
        <w:t xml:space="preserve"> </w:t>
      </w:r>
      <w:r w:rsidRPr="000A19E1">
        <w:rPr>
          <w:szCs w:val="22"/>
          <w:lang w:val="es-ES_tradnl"/>
        </w:rPr>
        <w:t xml:space="preserve">Una contribución fundamental de la labor de construcción de datos fue armonizar los </w:t>
      </w:r>
      <w:r w:rsidRPr="000A19E1">
        <w:rPr>
          <w:szCs w:val="22"/>
          <w:lang w:val="es-ES_tradnl"/>
        </w:rPr>
        <w:lastRenderedPageBreak/>
        <w:t xml:space="preserve">nombres de los solicitantes e identificar de una única </w:t>
      </w:r>
      <w:r>
        <w:rPr>
          <w:szCs w:val="22"/>
          <w:lang w:val="es-ES_tradnl"/>
        </w:rPr>
        <w:t>manera</w:t>
      </w:r>
      <w:r w:rsidRPr="000A19E1">
        <w:rPr>
          <w:szCs w:val="22"/>
          <w:lang w:val="es-ES_tradnl"/>
        </w:rPr>
        <w:t xml:space="preserve"> a los solicitantes de las cuatro formas de </w:t>
      </w:r>
      <w:r>
        <w:rPr>
          <w:szCs w:val="22"/>
          <w:lang w:val="es-ES_tradnl"/>
        </w:rPr>
        <w:t>P.I</w:t>
      </w:r>
      <w:r w:rsidRPr="000A19E1">
        <w:rPr>
          <w:szCs w:val="22"/>
          <w:lang w:val="es-ES_tradnl"/>
        </w:rPr>
        <w:t>.</w:t>
      </w:r>
      <w:r>
        <w:rPr>
          <w:szCs w:val="22"/>
          <w:lang w:val="es-ES_tradnl"/>
        </w:rPr>
        <w:t xml:space="preserve"> </w:t>
      </w:r>
      <w:r w:rsidRPr="000A19E1">
        <w:rPr>
          <w:szCs w:val="22"/>
          <w:lang w:val="es-ES_tradnl"/>
        </w:rPr>
        <w:t xml:space="preserve">Además, los datos se compatibilizaron con los datos a nivel de empresas del Instituto Nacional de Estadística (INE) </w:t>
      </w:r>
      <w:r w:rsidRPr="000A19E1">
        <w:rPr>
          <w:szCs w:val="22"/>
          <w:lang w:val="es-ES_tradnl"/>
        </w:rPr>
        <w:noBreakHyphen/>
        <w:t>específicamente, el censo manufacturero (ENIA), así como cinco olas (1997-2008) de la encuesta de innovación chilena (INNOVACION).</w:t>
      </w:r>
      <w:r w:rsidRPr="000A19E1">
        <w:rPr>
          <w:rStyle w:val="FootnoteReference"/>
          <w:szCs w:val="22"/>
          <w:lang w:val="es-ES_tradnl"/>
        </w:rPr>
        <w:footnoteReference w:id="11"/>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Chile ofrece un ejemplo interesante de un país de ingreso medio que ha logrado un crecimiento económico considerable en las últimas décadas, pero que aún depende en gran medida de las materias primas y productos agrícolas como base de exportación.</w:t>
      </w:r>
      <w:r>
        <w:rPr>
          <w:szCs w:val="22"/>
          <w:lang w:val="es-ES_tradnl"/>
        </w:rPr>
        <w:t xml:space="preserve"> </w:t>
      </w:r>
      <w:r w:rsidR="00301DE6">
        <w:rPr>
          <w:szCs w:val="22"/>
          <w:lang w:val="es-ES_tradnl"/>
        </w:rPr>
        <w:t xml:space="preserve"> </w:t>
      </w:r>
      <w:r w:rsidRPr="000A19E1">
        <w:rPr>
          <w:szCs w:val="22"/>
          <w:lang w:val="es-ES_tradnl"/>
        </w:rPr>
        <w:t>Chile también se ha integrado activamente a la economía mundial a través de un gran número de acuerdos comerciales bilaterales y regionales.</w:t>
      </w:r>
      <w:r>
        <w:rPr>
          <w:szCs w:val="22"/>
          <w:lang w:val="es-ES_tradnl"/>
        </w:rPr>
        <w:t xml:space="preserve"> </w:t>
      </w:r>
      <w:r w:rsidR="00301DE6">
        <w:rPr>
          <w:szCs w:val="22"/>
          <w:lang w:val="es-ES_tradnl"/>
        </w:rPr>
        <w:t xml:space="preserve"> </w:t>
      </w:r>
      <w:r w:rsidRPr="000A19E1">
        <w:rPr>
          <w:szCs w:val="22"/>
          <w:lang w:val="es-ES_tradnl"/>
        </w:rPr>
        <w:t>Ha modificado sus leyes de P.I. en varias ocasiones durante las últimas dos décadas, fortaleciendo de manera significativa la protección de la P.I.</w:t>
      </w:r>
      <w:r w:rsidR="00301DE6">
        <w:rPr>
          <w:szCs w:val="22"/>
          <w:lang w:val="es-ES_tradnl"/>
        </w:rPr>
        <w:t xml:space="preserve"> </w:t>
      </w:r>
      <w:r>
        <w:rPr>
          <w:szCs w:val="22"/>
          <w:lang w:val="es-ES_tradnl"/>
        </w:rPr>
        <w:t xml:space="preserve"> </w:t>
      </w:r>
      <w:r w:rsidRPr="000A19E1">
        <w:rPr>
          <w:szCs w:val="22"/>
          <w:lang w:val="es-ES_tradnl"/>
        </w:rPr>
        <w:t>El cambio de las fuentes de crecimiento económico hacia nuevos sectores y el logro de ganancias de productividad en las actividades económicas a través de la innovación es un imperativo importante para las autoridades chilenas.</w:t>
      </w:r>
    </w:p>
    <w:p w:rsidR="001A2943" w:rsidRPr="000A19E1" w:rsidRDefault="001A2943" w:rsidP="001A2943">
      <w:pPr>
        <w:rPr>
          <w:szCs w:val="22"/>
          <w:lang w:val="es-ES_tradnl"/>
        </w:rPr>
      </w:pPr>
    </w:p>
    <w:p w:rsidR="001A2943" w:rsidRPr="000A19E1" w:rsidRDefault="001A2943" w:rsidP="001A2943">
      <w:pPr>
        <w:pStyle w:val="ListParagraph"/>
        <w:ind w:left="0"/>
        <w:rPr>
          <w:rFonts w:ascii="Arial" w:hAnsi="Arial" w:cs="Arial"/>
          <w:sz w:val="22"/>
          <w:szCs w:val="22"/>
          <w:lang w:val="es-ES_tradnl"/>
        </w:rPr>
      </w:pPr>
      <w:r w:rsidRPr="000A19E1">
        <w:rPr>
          <w:rFonts w:ascii="Arial" w:hAnsi="Arial" w:cs="Arial"/>
          <w:sz w:val="22"/>
          <w:szCs w:val="22"/>
          <w:lang w:val="es-ES_tradnl"/>
        </w:rPr>
        <w:t>En consecuencia, Chile posee una serie de programas dedicados a promover la innovación.</w:t>
      </w:r>
      <w:r>
        <w:rPr>
          <w:rFonts w:ascii="Arial" w:hAnsi="Arial" w:cs="Arial"/>
          <w:sz w:val="22"/>
          <w:szCs w:val="22"/>
          <w:lang w:val="es-ES_tradnl"/>
        </w:rPr>
        <w:t xml:space="preserve"> </w:t>
      </w:r>
      <w:r w:rsidRPr="000A19E1">
        <w:rPr>
          <w:rFonts w:ascii="Arial" w:hAnsi="Arial" w:cs="Arial"/>
          <w:sz w:val="22"/>
          <w:szCs w:val="22"/>
          <w:lang w:val="es-ES_tradnl"/>
        </w:rPr>
        <w:t>Por ejemplo, la Corporación de Fomento de la Producción (CORFO), tiene actualmente más de 30 iniciativas destinadas a promover la innovación, los emprendimientos innovadores y la transferencia de tecnología.</w:t>
      </w:r>
      <w:r>
        <w:rPr>
          <w:rFonts w:ascii="Arial" w:hAnsi="Arial" w:cs="Arial"/>
          <w:sz w:val="22"/>
          <w:szCs w:val="22"/>
          <w:lang w:val="es-ES_tradnl"/>
        </w:rPr>
        <w:t xml:space="preserve"> </w:t>
      </w:r>
      <w:r w:rsidRPr="000A19E1">
        <w:rPr>
          <w:rFonts w:ascii="Arial" w:hAnsi="Arial" w:cs="Arial"/>
          <w:sz w:val="22"/>
          <w:szCs w:val="22"/>
          <w:lang w:val="es-ES_tradnl"/>
        </w:rPr>
        <w:t>Chile también tiene otros fondos de innovación específicos, como el Fondo para la Innovación Agraria que se enfoca en la innovación agrícola.</w:t>
      </w:r>
      <w:r>
        <w:rPr>
          <w:rFonts w:ascii="Arial" w:hAnsi="Arial" w:cs="Arial"/>
          <w:sz w:val="22"/>
          <w:szCs w:val="22"/>
          <w:lang w:val="es-ES_tradnl"/>
        </w:rPr>
        <w:t xml:space="preserve"> </w:t>
      </w:r>
      <w:r w:rsidR="00301DE6">
        <w:rPr>
          <w:rFonts w:ascii="Arial" w:hAnsi="Arial" w:cs="Arial"/>
          <w:sz w:val="22"/>
          <w:szCs w:val="22"/>
          <w:lang w:val="es-ES_tradnl"/>
        </w:rPr>
        <w:t xml:space="preserve"> </w:t>
      </w:r>
      <w:r w:rsidRPr="000A19E1">
        <w:rPr>
          <w:rFonts w:ascii="Arial" w:hAnsi="Arial" w:cs="Arial"/>
          <w:sz w:val="22"/>
          <w:szCs w:val="22"/>
          <w:lang w:val="es-ES_tradnl"/>
        </w:rPr>
        <w:t>Además, está el Fondo de Desarrollo Científico y Tecnológico, que busca promover proyectos de I + D de las universidades y centros públicos de investigación en colaboración con empresas privadas.</w:t>
      </w:r>
      <w:r>
        <w:rPr>
          <w:rFonts w:ascii="Arial" w:hAnsi="Arial" w:cs="Arial"/>
          <w:sz w:val="22"/>
          <w:szCs w:val="22"/>
          <w:lang w:val="es-ES_tradnl"/>
        </w:rPr>
        <w:t xml:space="preserve"> </w:t>
      </w:r>
      <w:r w:rsidR="00301DE6">
        <w:rPr>
          <w:rFonts w:ascii="Arial" w:hAnsi="Arial" w:cs="Arial"/>
          <w:sz w:val="22"/>
          <w:szCs w:val="22"/>
          <w:lang w:val="es-ES_tradnl"/>
        </w:rPr>
        <w:t xml:space="preserve"> </w:t>
      </w:r>
      <w:r w:rsidRPr="000A19E1">
        <w:rPr>
          <w:rFonts w:ascii="Arial" w:hAnsi="Arial" w:cs="Arial"/>
          <w:sz w:val="22"/>
          <w:szCs w:val="22"/>
          <w:lang w:val="es-ES_tradnl"/>
        </w:rPr>
        <w:t>Otra política importante es la Iniciativa Científica Milenio, que tiene como objetivo promover el desarrollo de la investigación científica y tecnológica a través de la creación y financiación de institutos de investigación científica.</w:t>
      </w:r>
    </w:p>
    <w:p w:rsidR="001A2943" w:rsidRPr="000A19E1" w:rsidRDefault="001A2943" w:rsidP="001A2943">
      <w:pPr>
        <w:pStyle w:val="ListParagraph"/>
        <w:ind w:left="0"/>
        <w:rPr>
          <w:rFonts w:ascii="Arial" w:hAnsi="Arial" w:cs="Arial"/>
          <w:sz w:val="22"/>
          <w:szCs w:val="22"/>
          <w:lang w:val="es-ES_tradnl"/>
        </w:rPr>
      </w:pPr>
    </w:p>
    <w:p w:rsidR="001A2943" w:rsidRPr="000A19E1" w:rsidRDefault="001A2943" w:rsidP="001A2943">
      <w:pPr>
        <w:rPr>
          <w:szCs w:val="22"/>
          <w:lang w:val="es-ES_tradnl"/>
        </w:rPr>
      </w:pPr>
      <w:r w:rsidRPr="000A19E1">
        <w:rPr>
          <w:szCs w:val="22"/>
          <w:lang w:val="es-ES_tradnl"/>
        </w:rPr>
        <w:t>Los estudios existentes sobre el sistema de innovación chileno ofrecen indicios importantes sobre los determinantes de la actividad innovadora de las empresas medida en las encuestas de innovación chilenas.</w:t>
      </w:r>
      <w:r w:rsidR="00301DE6">
        <w:rPr>
          <w:szCs w:val="22"/>
          <w:lang w:val="es-ES_tradnl"/>
        </w:rPr>
        <w:t xml:space="preserve"> </w:t>
      </w:r>
      <w:r>
        <w:rPr>
          <w:szCs w:val="22"/>
          <w:lang w:val="es-ES_tradnl"/>
        </w:rPr>
        <w:t xml:space="preserve"> </w:t>
      </w:r>
      <w:r w:rsidRPr="000A19E1">
        <w:rPr>
          <w:szCs w:val="22"/>
          <w:lang w:val="es-ES_tradnl"/>
        </w:rPr>
        <w:t>Sin embargo, como en la mayoría de los otros países de ingresos medios, existen pocos estudios empíricos sobre el uso de la P.I. que puedan servir de fundamento a la política.</w:t>
      </w:r>
      <w:r>
        <w:rPr>
          <w:szCs w:val="22"/>
          <w:lang w:val="es-ES_tradnl"/>
        </w:rPr>
        <w:t xml:space="preserve"> </w:t>
      </w:r>
      <w:r w:rsidR="00581E84">
        <w:rPr>
          <w:szCs w:val="22"/>
          <w:lang w:val="es-ES_tradnl"/>
        </w:rPr>
        <w:t xml:space="preserve"> </w:t>
      </w:r>
      <w:r w:rsidRPr="000A19E1">
        <w:rPr>
          <w:szCs w:val="22"/>
          <w:lang w:val="es-ES_tradnl"/>
        </w:rPr>
        <w:t>Los estudios existentes suelen analizar cuestiones relacionadas con la P.I. superficialmente, en la mayoría de los casos como un aspecto entre los muchos relacionados con la innovación, la transferencia de tecnología, la exportación o la productividad.</w:t>
      </w:r>
      <w:r w:rsidR="00581E84">
        <w:rPr>
          <w:szCs w:val="22"/>
          <w:lang w:val="es-ES_tradnl"/>
        </w:rPr>
        <w:t xml:space="preserve"> </w:t>
      </w:r>
      <w:r>
        <w:rPr>
          <w:szCs w:val="22"/>
          <w:lang w:val="es-ES_tradnl"/>
        </w:rPr>
        <w:t xml:space="preserve"> </w:t>
      </w:r>
      <w:r w:rsidRPr="000A19E1">
        <w:rPr>
          <w:szCs w:val="22"/>
          <w:lang w:val="es-ES_tradnl"/>
        </w:rPr>
        <w:t xml:space="preserve">Las encuestas de innovación de Chile, realizadas a partir de 1992, ofrecen alguna información sobre el uso de </w:t>
      </w:r>
      <w:proofErr w:type="gramStart"/>
      <w:r w:rsidRPr="000A19E1">
        <w:rPr>
          <w:szCs w:val="22"/>
          <w:lang w:val="es-ES_tradnl"/>
        </w:rPr>
        <w:t>P.I.</w:t>
      </w:r>
      <w:r>
        <w:rPr>
          <w:szCs w:val="22"/>
          <w:lang w:val="es-ES_tradnl"/>
        </w:rPr>
        <w:t>.</w:t>
      </w:r>
      <w:proofErr w:type="gramEnd"/>
      <w:r>
        <w:rPr>
          <w:szCs w:val="22"/>
          <w:lang w:val="es-ES_tradnl"/>
        </w:rPr>
        <w:t xml:space="preserve"> </w:t>
      </w:r>
      <w:r w:rsidRPr="000A19E1">
        <w:rPr>
          <w:szCs w:val="22"/>
          <w:lang w:val="es-ES_tradnl"/>
        </w:rPr>
        <w:t xml:space="preserve"> </w:t>
      </w:r>
      <w:r>
        <w:rPr>
          <w:szCs w:val="22"/>
          <w:lang w:val="es-ES_tradnl"/>
        </w:rPr>
        <w:t>S</w:t>
      </w:r>
      <w:r w:rsidRPr="000A19E1">
        <w:rPr>
          <w:szCs w:val="22"/>
          <w:lang w:val="es-ES_tradnl"/>
        </w:rPr>
        <w:t xml:space="preserve">in embargo, </w:t>
      </w:r>
      <w:r>
        <w:rPr>
          <w:szCs w:val="22"/>
          <w:lang w:val="es-ES_tradnl"/>
        </w:rPr>
        <w:t xml:space="preserve">estas </w:t>
      </w:r>
      <w:r w:rsidRPr="000A19E1">
        <w:rPr>
          <w:szCs w:val="22"/>
          <w:lang w:val="es-ES_tradnl"/>
        </w:rPr>
        <w:t>se basan en el uso de la P.I. reportado por los mismos encuestados y cubren sólo ciertos segmentos de la economía chilena.</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La escasa literatura empírica sobre el sistema de P.I. chileno se ha ocupado principalmente de las patentes y, en particular, el bajo uso de patentes por parte de los residentes chilenos (OCDE, 2007;</w:t>
      </w:r>
      <w:r>
        <w:rPr>
          <w:szCs w:val="22"/>
          <w:lang w:val="es-ES_tradnl"/>
        </w:rPr>
        <w:t xml:space="preserve"> </w:t>
      </w:r>
      <w:r w:rsidRPr="000A19E1">
        <w:rPr>
          <w:szCs w:val="22"/>
          <w:lang w:val="es-ES_tradnl"/>
        </w:rPr>
        <w:t>Amorós et al, 2008;</w:t>
      </w:r>
      <w:r>
        <w:rPr>
          <w:szCs w:val="22"/>
          <w:lang w:val="es-ES_tradnl"/>
        </w:rPr>
        <w:t xml:space="preserve"> </w:t>
      </w:r>
      <w:proofErr w:type="spellStart"/>
      <w:r w:rsidRPr="000A19E1">
        <w:rPr>
          <w:szCs w:val="22"/>
          <w:lang w:val="es-ES_tradnl"/>
        </w:rPr>
        <w:t>Katz</w:t>
      </w:r>
      <w:proofErr w:type="spellEnd"/>
      <w:r w:rsidRPr="000A19E1">
        <w:rPr>
          <w:szCs w:val="22"/>
          <w:lang w:val="es-ES_tradnl"/>
        </w:rPr>
        <w:t xml:space="preserve"> y </w:t>
      </w:r>
      <w:proofErr w:type="spellStart"/>
      <w:r w:rsidRPr="000A19E1">
        <w:rPr>
          <w:szCs w:val="22"/>
          <w:lang w:val="es-ES_tradnl"/>
        </w:rPr>
        <w:t>Spence</w:t>
      </w:r>
      <w:proofErr w:type="spellEnd"/>
      <w:r w:rsidRPr="000A19E1">
        <w:rPr>
          <w:szCs w:val="22"/>
          <w:lang w:val="es-ES_tradnl"/>
        </w:rPr>
        <w:t>, 2008).</w:t>
      </w:r>
      <w:r>
        <w:rPr>
          <w:szCs w:val="22"/>
          <w:lang w:val="es-ES_tradnl"/>
        </w:rPr>
        <w:t xml:space="preserve"> </w:t>
      </w:r>
      <w:r w:rsidR="00581E84">
        <w:rPr>
          <w:szCs w:val="22"/>
          <w:lang w:val="es-ES_tradnl"/>
        </w:rPr>
        <w:t xml:space="preserve"> </w:t>
      </w:r>
      <w:r w:rsidRPr="000A19E1">
        <w:rPr>
          <w:szCs w:val="22"/>
          <w:lang w:val="es-ES_tradnl"/>
        </w:rPr>
        <w:t xml:space="preserve">Según la OCDE (2007), la baja intensidad de </w:t>
      </w:r>
      <w:proofErr w:type="spellStart"/>
      <w:r w:rsidRPr="000A19E1">
        <w:rPr>
          <w:szCs w:val="22"/>
          <w:lang w:val="es-ES_tradnl"/>
        </w:rPr>
        <w:t>patentamiento</w:t>
      </w:r>
      <w:proofErr w:type="spellEnd"/>
      <w:r w:rsidRPr="000A19E1">
        <w:rPr>
          <w:szCs w:val="22"/>
          <w:lang w:val="es-ES_tradnl"/>
        </w:rPr>
        <w:t xml:space="preserve"> en Chile se puede explicar en gran medida por tres factores.</w:t>
      </w:r>
      <w:r w:rsidR="00581E84">
        <w:rPr>
          <w:szCs w:val="22"/>
          <w:lang w:val="es-ES_tradnl"/>
        </w:rPr>
        <w:t xml:space="preserve"> </w:t>
      </w:r>
      <w:r>
        <w:rPr>
          <w:szCs w:val="22"/>
          <w:lang w:val="es-ES_tradnl"/>
        </w:rPr>
        <w:t xml:space="preserve"> </w:t>
      </w:r>
      <w:r w:rsidRPr="000A19E1">
        <w:rPr>
          <w:szCs w:val="22"/>
          <w:lang w:val="es-ES_tradnl"/>
        </w:rPr>
        <w:t>En primer lugar, la capacidad de Chile para generar productos y procesos innovadores y novedosos a nivel mundial es limitada.</w:t>
      </w:r>
      <w:r>
        <w:rPr>
          <w:szCs w:val="22"/>
          <w:lang w:val="es-ES_tradnl"/>
        </w:rPr>
        <w:t xml:space="preserve"> </w:t>
      </w:r>
      <w:r w:rsidR="00581E84">
        <w:rPr>
          <w:szCs w:val="22"/>
          <w:lang w:val="es-ES_tradnl"/>
        </w:rPr>
        <w:t xml:space="preserve"> </w:t>
      </w:r>
      <w:r w:rsidRPr="000A19E1">
        <w:rPr>
          <w:szCs w:val="22"/>
          <w:lang w:val="es-ES_tradnl"/>
        </w:rPr>
        <w:t>En segundo lugar, Chile está especializado en sectores con una baja propensión a patentar como la minería y los servicios.</w:t>
      </w:r>
      <w:r w:rsidR="00581E84">
        <w:rPr>
          <w:szCs w:val="22"/>
          <w:lang w:val="es-ES_tradnl"/>
        </w:rPr>
        <w:t xml:space="preserve"> </w:t>
      </w:r>
      <w:r>
        <w:rPr>
          <w:szCs w:val="22"/>
          <w:lang w:val="es-ES_tradnl"/>
        </w:rPr>
        <w:t xml:space="preserve"> </w:t>
      </w:r>
      <w:r w:rsidRPr="000A19E1">
        <w:rPr>
          <w:szCs w:val="22"/>
          <w:lang w:val="es-ES_tradnl"/>
        </w:rPr>
        <w:t>Si bien existe una creciente industria farmacéutica, ésta se centra en gran medida en la producción de medicamentos genéricos y medicamentos de marca bajo contratos de licencia.</w:t>
      </w:r>
      <w:r>
        <w:rPr>
          <w:szCs w:val="22"/>
          <w:lang w:val="es-ES_tradnl"/>
        </w:rPr>
        <w:t xml:space="preserve"> </w:t>
      </w:r>
      <w:r w:rsidR="00581E84">
        <w:rPr>
          <w:szCs w:val="22"/>
          <w:lang w:val="es-ES_tradnl"/>
        </w:rPr>
        <w:t xml:space="preserve"> </w:t>
      </w:r>
      <w:r w:rsidRPr="000A19E1">
        <w:rPr>
          <w:szCs w:val="22"/>
          <w:lang w:val="es-ES_tradnl"/>
        </w:rPr>
        <w:t>En tercer lugar, a pesar de que Chile tiene una serie de exportadores exitosos, los mismos utilizan principalmente tecnologías importadas y, por lo tanto, es poco probable que basen su modelo de negocios en las patentes.</w:t>
      </w:r>
      <w:r w:rsidR="00581E84">
        <w:rPr>
          <w:szCs w:val="22"/>
          <w:lang w:val="es-ES_tradnl"/>
        </w:rPr>
        <w:t xml:space="preserve"> </w:t>
      </w:r>
      <w:r>
        <w:rPr>
          <w:szCs w:val="22"/>
          <w:lang w:val="es-ES_tradnl"/>
        </w:rPr>
        <w:t xml:space="preserve"> </w:t>
      </w:r>
      <w:r w:rsidRPr="000A19E1">
        <w:rPr>
          <w:szCs w:val="22"/>
          <w:lang w:val="es-ES_tradnl"/>
        </w:rPr>
        <w:t>El bajo uso de las patentes que realizan los residentes chilenos contrasta con su uso relativamente elevado del sistema de marcas.</w:t>
      </w:r>
      <w:r>
        <w:rPr>
          <w:szCs w:val="22"/>
          <w:lang w:val="es-ES_tradnl"/>
        </w:rPr>
        <w:t xml:space="preserve"> </w:t>
      </w:r>
      <w:r w:rsidRPr="000A19E1">
        <w:rPr>
          <w:szCs w:val="22"/>
          <w:lang w:val="es-ES_tradnl"/>
        </w:rPr>
        <w:t xml:space="preserve">Sin </w:t>
      </w:r>
      <w:r w:rsidRPr="000A19E1">
        <w:rPr>
          <w:szCs w:val="22"/>
          <w:lang w:val="es-ES_tradnl"/>
        </w:rPr>
        <w:lastRenderedPageBreak/>
        <w:t>embargo, a pesar del gran número de solicitudes de marcas, no existen hasta el momento estudios empíricos sobre el uso de las mismas en la economía chilena.</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La nueva base de datos </w:t>
      </w:r>
      <w:r w:rsidRPr="000A19E1">
        <w:rPr>
          <w:szCs w:val="22"/>
          <w:lang w:val="es-ES_tradnl"/>
        </w:rPr>
        <w:noBreakHyphen/>
        <w:t>de aquí en adelante, base de datos INAPI-OMPI</w:t>
      </w:r>
      <w:r w:rsidRPr="000A19E1">
        <w:rPr>
          <w:szCs w:val="22"/>
          <w:lang w:val="es-ES_tradnl"/>
        </w:rPr>
        <w:noBreakHyphen/>
        <w:t xml:space="preserve"> permite plantear nuevas investigaciones que pueden mejorar nuestra comprensión sobre el papel que</w:t>
      </w:r>
      <w:r>
        <w:rPr>
          <w:szCs w:val="22"/>
          <w:lang w:val="es-ES_tradnl"/>
        </w:rPr>
        <w:t xml:space="preserve"> </w:t>
      </w:r>
      <w:r w:rsidRPr="000A19E1">
        <w:rPr>
          <w:szCs w:val="22"/>
          <w:lang w:val="es-ES_tradnl"/>
        </w:rPr>
        <w:t>desempeñan los</w:t>
      </w:r>
      <w:r>
        <w:rPr>
          <w:szCs w:val="22"/>
          <w:lang w:val="es-ES_tradnl"/>
        </w:rPr>
        <w:t xml:space="preserve"> </w:t>
      </w:r>
      <w:r w:rsidRPr="000A19E1">
        <w:rPr>
          <w:szCs w:val="22"/>
          <w:lang w:val="es-ES_tradnl"/>
        </w:rPr>
        <w:t>derechos de P.I. en el sistema de innovación de Chile y explorar nuevas preguntas que no han sido consideradas hasta ahora.</w:t>
      </w:r>
      <w:r>
        <w:rPr>
          <w:szCs w:val="22"/>
          <w:lang w:val="es-ES_tradnl"/>
        </w:rPr>
        <w:t xml:space="preserve"> </w:t>
      </w:r>
      <w:r w:rsidR="00581E84">
        <w:rPr>
          <w:szCs w:val="22"/>
          <w:lang w:val="es-ES_tradnl"/>
        </w:rPr>
        <w:t xml:space="preserve"> </w:t>
      </w:r>
      <w:r w:rsidRPr="000A19E1">
        <w:rPr>
          <w:szCs w:val="22"/>
          <w:lang w:val="es-ES_tradnl"/>
        </w:rPr>
        <w:t>Como primer paso, este trabajo presenta un panorama descriptivo del uso de la P.I. en Chile.</w:t>
      </w:r>
    </w:p>
    <w:p w:rsidR="001A2943" w:rsidRPr="000A19E1" w:rsidRDefault="001A2943" w:rsidP="001A2943">
      <w:pPr>
        <w:rPr>
          <w:szCs w:val="22"/>
          <w:lang w:val="es-ES_tradnl"/>
        </w:rPr>
      </w:pPr>
    </w:p>
    <w:p w:rsidR="001A2943" w:rsidRPr="000A19E1" w:rsidRDefault="001A2943" w:rsidP="001A2943">
      <w:pPr>
        <w:pStyle w:val="ListParagraph"/>
        <w:ind w:left="0"/>
        <w:rPr>
          <w:rFonts w:ascii="Arial" w:hAnsi="Arial" w:cs="Arial"/>
          <w:sz w:val="22"/>
          <w:szCs w:val="22"/>
          <w:lang w:val="es-ES_tradnl"/>
        </w:rPr>
      </w:pPr>
      <w:r w:rsidRPr="000A19E1">
        <w:rPr>
          <w:rFonts w:ascii="Arial" w:hAnsi="Arial" w:cs="Arial"/>
          <w:sz w:val="22"/>
          <w:szCs w:val="22"/>
          <w:lang w:val="es-ES_tradnl"/>
        </w:rPr>
        <w:t>El documento se estructura de la siguiente manera.</w:t>
      </w:r>
      <w:r w:rsidR="00581E84">
        <w:rPr>
          <w:rFonts w:ascii="Arial" w:hAnsi="Arial" w:cs="Arial"/>
          <w:sz w:val="22"/>
          <w:szCs w:val="22"/>
          <w:lang w:val="es-ES_tradnl"/>
        </w:rPr>
        <w:t xml:space="preserve"> </w:t>
      </w:r>
      <w:r>
        <w:rPr>
          <w:rFonts w:ascii="Arial" w:hAnsi="Arial" w:cs="Arial"/>
          <w:sz w:val="22"/>
          <w:szCs w:val="22"/>
          <w:lang w:val="es-ES_tradnl"/>
        </w:rPr>
        <w:t xml:space="preserve"> </w:t>
      </w:r>
      <w:r w:rsidRPr="000A19E1">
        <w:rPr>
          <w:rFonts w:ascii="Arial" w:hAnsi="Arial" w:cs="Arial"/>
          <w:sz w:val="22"/>
          <w:szCs w:val="22"/>
          <w:lang w:val="es-ES_tradnl"/>
        </w:rPr>
        <w:t>A modo de antecedente, la Sección 2 ofrecerá una breve introducción a las principales características del sistema de P.I. de Chile.</w:t>
      </w:r>
      <w:r>
        <w:rPr>
          <w:rFonts w:ascii="Arial" w:hAnsi="Arial" w:cs="Arial"/>
          <w:sz w:val="22"/>
          <w:szCs w:val="22"/>
          <w:lang w:val="es-ES_tradnl"/>
        </w:rPr>
        <w:t xml:space="preserve"> </w:t>
      </w:r>
      <w:r w:rsidR="00581E84">
        <w:rPr>
          <w:rFonts w:ascii="Arial" w:hAnsi="Arial" w:cs="Arial"/>
          <w:sz w:val="22"/>
          <w:szCs w:val="22"/>
          <w:lang w:val="es-ES_tradnl"/>
        </w:rPr>
        <w:t xml:space="preserve"> </w:t>
      </w:r>
      <w:r w:rsidRPr="000A19E1">
        <w:rPr>
          <w:rFonts w:ascii="Arial" w:hAnsi="Arial" w:cs="Arial"/>
          <w:sz w:val="22"/>
          <w:szCs w:val="22"/>
          <w:lang w:val="es-ES_tradnl"/>
        </w:rPr>
        <w:t>A</w:t>
      </w:r>
      <w:r w:rsidR="00581E84">
        <w:rPr>
          <w:rFonts w:ascii="Arial" w:hAnsi="Arial" w:cs="Arial"/>
          <w:sz w:val="22"/>
          <w:szCs w:val="22"/>
          <w:lang w:val="es-ES_tradnl"/>
        </w:rPr>
        <w:t> </w:t>
      </w:r>
      <w:r w:rsidRPr="000A19E1">
        <w:rPr>
          <w:rFonts w:ascii="Arial" w:hAnsi="Arial" w:cs="Arial"/>
          <w:sz w:val="22"/>
          <w:szCs w:val="22"/>
          <w:lang w:val="es-ES_tradnl"/>
        </w:rPr>
        <w:t xml:space="preserve">partir de ello, las siguientes secciones discutirán diferentes dimensiones del uso de la P.I. </w:t>
      </w:r>
      <w:r w:rsidRPr="000A19E1">
        <w:rPr>
          <w:rFonts w:ascii="Arial" w:hAnsi="Arial" w:cs="Arial"/>
          <w:sz w:val="22"/>
          <w:szCs w:val="22"/>
          <w:lang w:val="es-ES_tradnl"/>
        </w:rPr>
        <w:noBreakHyphen/>
        <w:t xml:space="preserve">centrándose, en particular, sobre las tendencias generales (Sección 3), el origen de las solicitudes de P.I. </w:t>
      </w:r>
      <w:r w:rsidR="00581E84">
        <w:rPr>
          <w:rFonts w:ascii="Arial" w:hAnsi="Arial" w:cs="Arial"/>
          <w:sz w:val="22"/>
          <w:szCs w:val="22"/>
          <w:lang w:val="es-ES_tradnl"/>
        </w:rPr>
        <w:t xml:space="preserve"> </w:t>
      </w:r>
      <w:r w:rsidRPr="000A19E1">
        <w:rPr>
          <w:rFonts w:ascii="Arial" w:hAnsi="Arial" w:cs="Arial"/>
          <w:sz w:val="22"/>
          <w:szCs w:val="22"/>
          <w:lang w:val="es-ES_tradnl"/>
        </w:rPr>
        <w:t>(Sección 4), la distribución de los solicitantes (Sección 5), los tipos de solicitantes (Sección 6), registros por tecnología y clase (Sección 7), tasas y plazos de otorgamiento (Sección 8), paquetes de P.I.</w:t>
      </w:r>
      <w:r w:rsidR="00581E84">
        <w:rPr>
          <w:rFonts w:ascii="Arial" w:hAnsi="Arial" w:cs="Arial"/>
          <w:sz w:val="22"/>
          <w:szCs w:val="22"/>
          <w:lang w:val="es-ES_tradnl"/>
        </w:rPr>
        <w:t xml:space="preserve"> </w:t>
      </w:r>
      <w:r w:rsidRPr="000A19E1">
        <w:rPr>
          <w:rFonts w:ascii="Arial" w:hAnsi="Arial" w:cs="Arial"/>
          <w:sz w:val="22"/>
          <w:szCs w:val="22"/>
          <w:lang w:val="es-ES_tradnl"/>
        </w:rPr>
        <w:t xml:space="preserve"> (Sección 9), patrones de </w:t>
      </w:r>
      <w:proofErr w:type="spellStart"/>
      <w:r w:rsidRPr="000A19E1">
        <w:rPr>
          <w:rFonts w:ascii="Arial" w:hAnsi="Arial" w:cs="Arial"/>
          <w:sz w:val="22"/>
          <w:szCs w:val="22"/>
          <w:lang w:val="es-ES_tradnl"/>
        </w:rPr>
        <w:t>coasignación</w:t>
      </w:r>
      <w:proofErr w:type="spellEnd"/>
      <w:r w:rsidRPr="000A19E1">
        <w:rPr>
          <w:rFonts w:ascii="Arial" w:hAnsi="Arial" w:cs="Arial"/>
          <w:sz w:val="22"/>
          <w:szCs w:val="22"/>
          <w:lang w:val="es-ES_tradnl"/>
        </w:rPr>
        <w:t xml:space="preserve"> de patentes (Sección 10), solicitudes de patentes en el exterior (Sección 11), y perspectivas adicionales sobre el sistema de marcas (sección 12).</w:t>
      </w:r>
      <w:r>
        <w:rPr>
          <w:rFonts w:ascii="Arial" w:hAnsi="Arial" w:cs="Arial"/>
          <w:sz w:val="22"/>
          <w:szCs w:val="22"/>
          <w:lang w:val="es-ES_tradnl"/>
        </w:rPr>
        <w:t xml:space="preserve"> </w:t>
      </w:r>
      <w:r w:rsidR="00581E84">
        <w:rPr>
          <w:rFonts w:ascii="Arial" w:hAnsi="Arial" w:cs="Arial"/>
          <w:sz w:val="22"/>
          <w:szCs w:val="22"/>
          <w:lang w:val="es-ES_tradnl"/>
        </w:rPr>
        <w:t xml:space="preserve"> </w:t>
      </w:r>
      <w:r w:rsidRPr="000A19E1">
        <w:rPr>
          <w:rFonts w:ascii="Arial" w:hAnsi="Arial" w:cs="Arial"/>
          <w:sz w:val="22"/>
          <w:szCs w:val="22"/>
          <w:lang w:val="es-ES_tradnl"/>
        </w:rPr>
        <w:t>Una sección de conclusiones resume los principales hallazgos del análisis descriptivo y plantea posibles líneas de investigación futura.</w:t>
      </w:r>
      <w:r>
        <w:rPr>
          <w:rFonts w:ascii="Arial" w:hAnsi="Arial" w:cs="Arial"/>
          <w:sz w:val="22"/>
          <w:szCs w:val="22"/>
          <w:lang w:val="es-ES_tradnl"/>
        </w:rPr>
        <w:t xml:space="preserve"> </w:t>
      </w:r>
      <w:r w:rsidR="00581E84">
        <w:rPr>
          <w:rFonts w:ascii="Arial" w:hAnsi="Arial" w:cs="Arial"/>
          <w:sz w:val="22"/>
          <w:szCs w:val="22"/>
          <w:lang w:val="es-ES_tradnl"/>
        </w:rPr>
        <w:t xml:space="preserve"> </w:t>
      </w:r>
      <w:r w:rsidRPr="000A19E1">
        <w:rPr>
          <w:rFonts w:ascii="Arial" w:hAnsi="Arial" w:cs="Arial"/>
          <w:sz w:val="22"/>
          <w:szCs w:val="22"/>
          <w:lang w:val="es-ES_tradnl"/>
        </w:rPr>
        <w:t>El apéndice del documento proporciona detalles adicionales sobre el régimen de P.I. en Chile, así como una descripción detallada de la metodología utilizada para la construcción de los datos.</w:t>
      </w:r>
    </w:p>
    <w:p w:rsidR="001A2943" w:rsidRPr="008B6D0B" w:rsidRDefault="001A2943" w:rsidP="001A2943">
      <w:pPr>
        <w:pStyle w:val="Heading1"/>
        <w:rPr>
          <w:b w:val="0"/>
          <w:u w:val="single"/>
          <w:lang w:val="es-ES_tradnl"/>
        </w:rPr>
      </w:pPr>
      <w:bookmarkStart w:id="6" w:name="_Toc359312053"/>
      <w:r w:rsidRPr="008B6D0B">
        <w:rPr>
          <w:b w:val="0"/>
          <w:lang w:val="es-ES_tradnl"/>
        </w:rPr>
        <w:t>2.</w:t>
      </w:r>
      <w:bookmarkEnd w:id="6"/>
      <w:r w:rsidRPr="008B6D0B">
        <w:rPr>
          <w:b w:val="0"/>
          <w:lang w:val="es-ES_tradnl"/>
        </w:rPr>
        <w:tab/>
      </w:r>
      <w:r w:rsidR="00C63392" w:rsidRPr="008B6D0B">
        <w:rPr>
          <w:b w:val="0"/>
          <w:u w:val="single"/>
          <w:lang w:val="es-ES_tradnl"/>
        </w:rPr>
        <w:t>E</w:t>
      </w:r>
      <w:r w:rsidR="00C63392" w:rsidRPr="008B6D0B">
        <w:rPr>
          <w:b w:val="0"/>
          <w:caps w:val="0"/>
          <w:u w:val="single"/>
          <w:lang w:val="es-ES_tradnl"/>
        </w:rPr>
        <w:t>l sistema de P.I. en Chile</w:t>
      </w:r>
    </w:p>
    <w:p w:rsidR="001A2943" w:rsidRPr="000A19E1" w:rsidRDefault="001A2943" w:rsidP="001A2943">
      <w:pPr>
        <w:pStyle w:val="ListParagraph"/>
        <w:ind w:left="0"/>
        <w:rPr>
          <w:lang w:val="es-ES_tradnl"/>
        </w:rPr>
      </w:pPr>
    </w:p>
    <w:p w:rsidR="001A2943" w:rsidRPr="000A19E1" w:rsidRDefault="001A2943" w:rsidP="00C63392">
      <w:pPr>
        <w:rPr>
          <w:szCs w:val="22"/>
          <w:lang w:val="es-ES_tradnl"/>
        </w:rPr>
      </w:pPr>
      <w:r w:rsidRPr="000A19E1">
        <w:rPr>
          <w:szCs w:val="22"/>
          <w:lang w:val="es-ES_tradnl"/>
        </w:rPr>
        <w:t>El sistema de P.I. en Chile está administrado por varias instituciones.</w:t>
      </w:r>
      <w:r w:rsidR="00581E84">
        <w:rPr>
          <w:szCs w:val="22"/>
          <w:lang w:val="es-ES_tradnl"/>
        </w:rPr>
        <w:t xml:space="preserve"> </w:t>
      </w:r>
      <w:r>
        <w:rPr>
          <w:szCs w:val="22"/>
          <w:lang w:val="es-ES_tradnl"/>
        </w:rPr>
        <w:t xml:space="preserve"> </w:t>
      </w:r>
      <w:r w:rsidRPr="000A19E1">
        <w:rPr>
          <w:szCs w:val="22"/>
          <w:lang w:val="es-ES_tradnl"/>
        </w:rPr>
        <w:t>El Ministerio de Educación está a cargo del Registro de Derechos de Autor,</w:t>
      </w:r>
      <w:r w:rsidRPr="000A19E1">
        <w:rPr>
          <w:rStyle w:val="FootnoteReference"/>
          <w:szCs w:val="22"/>
          <w:lang w:val="es-ES_tradnl"/>
        </w:rPr>
        <w:footnoteReference w:id="12"/>
      </w:r>
      <w:r w:rsidRPr="000A19E1">
        <w:rPr>
          <w:szCs w:val="22"/>
          <w:lang w:val="es-ES_tradnl"/>
        </w:rPr>
        <w:t xml:space="preserve"> el Ministerio de Agricultura está a cargo de los derechos de obtentor así como, parcialmente, de las denominaciones de origen de vinos y licores y la información no divulgada sobre agroquímicos.</w:t>
      </w:r>
      <w:r w:rsidRPr="000A19E1">
        <w:rPr>
          <w:rStyle w:val="FootnoteReference"/>
          <w:szCs w:val="22"/>
          <w:lang w:val="es-ES_tradnl"/>
        </w:rPr>
        <w:footnoteReference w:id="13"/>
      </w:r>
      <w:r w:rsidRPr="000A19E1">
        <w:rPr>
          <w:szCs w:val="22"/>
          <w:lang w:val="es-ES_tradnl"/>
        </w:rPr>
        <w:t xml:space="preserve"> </w:t>
      </w:r>
      <w:r w:rsidR="00581E84">
        <w:rPr>
          <w:szCs w:val="22"/>
          <w:lang w:val="es-ES_tradnl"/>
        </w:rPr>
        <w:t xml:space="preserve"> </w:t>
      </w:r>
      <w:r w:rsidRPr="000A19E1">
        <w:rPr>
          <w:szCs w:val="22"/>
          <w:lang w:val="es-ES_tradnl"/>
        </w:rPr>
        <w:t>El Ministerio de Salud está a cargo de la información no divulgada sobre los productos farmacéuticos</w:t>
      </w:r>
      <w:r w:rsidRPr="000A19E1">
        <w:rPr>
          <w:rStyle w:val="FootnoteReference"/>
          <w:szCs w:val="22"/>
          <w:lang w:val="es-ES_tradnl"/>
        </w:rPr>
        <w:footnoteReference w:id="14"/>
      </w:r>
      <w:r w:rsidRPr="000A19E1">
        <w:rPr>
          <w:szCs w:val="22"/>
          <w:lang w:val="es-ES_tradnl"/>
        </w:rPr>
        <w:t xml:space="preserve"> y el Ministerio de Relaciones Exteriores es el encargado de las negociaciones internacionales y la coordinación de un comité técnico interministerial para la implementación de los compromisos internacionales.</w:t>
      </w:r>
      <w:r w:rsidRPr="000A19E1">
        <w:rPr>
          <w:rStyle w:val="FootnoteReference"/>
          <w:szCs w:val="22"/>
          <w:lang w:val="es-ES_tradnl"/>
        </w:rPr>
        <w:footnoteReference w:id="15"/>
      </w:r>
    </w:p>
    <w:p w:rsidR="001A2943" w:rsidRPr="000A19E1" w:rsidRDefault="001A2943" w:rsidP="00C63392">
      <w:pPr>
        <w:rPr>
          <w:szCs w:val="22"/>
          <w:lang w:val="es-ES_tradnl"/>
        </w:rPr>
      </w:pPr>
    </w:p>
    <w:p w:rsidR="001A2943" w:rsidRPr="000A19E1" w:rsidRDefault="001A2943" w:rsidP="001A2943">
      <w:pPr>
        <w:pStyle w:val="ListParagraph"/>
        <w:ind w:left="0"/>
        <w:rPr>
          <w:rFonts w:ascii="Arial" w:hAnsi="Arial" w:cs="Arial"/>
          <w:sz w:val="22"/>
          <w:szCs w:val="22"/>
          <w:lang w:val="es-ES_tradnl"/>
        </w:rPr>
      </w:pPr>
      <w:r w:rsidRPr="000A19E1">
        <w:rPr>
          <w:rFonts w:ascii="Arial" w:hAnsi="Arial" w:cs="Arial"/>
          <w:sz w:val="22"/>
          <w:szCs w:val="22"/>
          <w:lang w:val="es-ES_tradnl"/>
        </w:rPr>
        <w:t>El INAPI es el principal organismo gubernamental encargado de los derechos de propiedad industrial desde 2009.</w:t>
      </w:r>
      <w:r>
        <w:rPr>
          <w:rFonts w:ascii="Arial" w:hAnsi="Arial" w:cs="Arial"/>
          <w:sz w:val="22"/>
          <w:szCs w:val="22"/>
          <w:lang w:val="es-ES_tradnl"/>
        </w:rPr>
        <w:t xml:space="preserve"> </w:t>
      </w:r>
      <w:r w:rsidR="00581E84">
        <w:rPr>
          <w:rFonts w:ascii="Arial" w:hAnsi="Arial" w:cs="Arial"/>
          <w:sz w:val="22"/>
          <w:szCs w:val="22"/>
          <w:lang w:val="es-ES_tradnl"/>
        </w:rPr>
        <w:t xml:space="preserve"> </w:t>
      </w:r>
      <w:r w:rsidRPr="000A19E1">
        <w:rPr>
          <w:rFonts w:ascii="Arial" w:hAnsi="Arial" w:cs="Arial"/>
          <w:sz w:val="22"/>
          <w:szCs w:val="22"/>
          <w:lang w:val="es-ES_tradnl"/>
        </w:rPr>
        <w:t>Además de actuar como el registro de patentes, marcas, diseños industriales, modelos de utilidad y las denominaciones de origen, el INAPI también funciona como un tribunal de primera instancia en los procedimientos de oposición y nulidad.</w:t>
      </w:r>
      <w:r>
        <w:rPr>
          <w:rFonts w:ascii="Arial" w:hAnsi="Arial" w:cs="Arial"/>
          <w:sz w:val="22"/>
          <w:szCs w:val="22"/>
          <w:lang w:val="es-ES_tradnl"/>
        </w:rPr>
        <w:t xml:space="preserve"> </w:t>
      </w:r>
      <w:r w:rsidR="00581E84">
        <w:rPr>
          <w:rFonts w:ascii="Arial" w:hAnsi="Arial" w:cs="Arial"/>
          <w:sz w:val="22"/>
          <w:szCs w:val="22"/>
          <w:lang w:val="es-ES_tradnl"/>
        </w:rPr>
        <w:t xml:space="preserve"> </w:t>
      </w:r>
      <w:r w:rsidRPr="000A19E1">
        <w:rPr>
          <w:rFonts w:ascii="Arial" w:hAnsi="Arial" w:cs="Arial"/>
          <w:sz w:val="22"/>
          <w:szCs w:val="22"/>
          <w:lang w:val="es-ES_tradnl"/>
        </w:rPr>
        <w:t>Además, tiene otras funciones importantes</w:t>
      </w:r>
      <w:proofErr w:type="gramStart"/>
      <w:r w:rsidRPr="000A19E1">
        <w:rPr>
          <w:rFonts w:ascii="Arial" w:hAnsi="Arial" w:cs="Arial"/>
          <w:sz w:val="22"/>
          <w:szCs w:val="22"/>
          <w:lang w:val="es-ES_tradnl"/>
        </w:rPr>
        <w:t>:</w:t>
      </w:r>
      <w:r w:rsidR="00581E84">
        <w:rPr>
          <w:rFonts w:ascii="Arial" w:hAnsi="Arial" w:cs="Arial"/>
          <w:sz w:val="22"/>
          <w:szCs w:val="22"/>
          <w:lang w:val="es-ES_tradnl"/>
        </w:rPr>
        <w:t xml:space="preserve"> </w:t>
      </w:r>
      <w:r>
        <w:rPr>
          <w:rFonts w:ascii="Arial" w:hAnsi="Arial" w:cs="Arial"/>
          <w:sz w:val="22"/>
          <w:szCs w:val="22"/>
          <w:lang w:val="es-ES_tradnl"/>
        </w:rPr>
        <w:t xml:space="preserve"> </w:t>
      </w:r>
      <w:r w:rsidRPr="000A19E1">
        <w:rPr>
          <w:rFonts w:ascii="Arial" w:hAnsi="Arial" w:cs="Arial"/>
          <w:sz w:val="22"/>
          <w:szCs w:val="22"/>
          <w:lang w:val="es-ES_tradnl"/>
        </w:rPr>
        <w:t>el</w:t>
      </w:r>
      <w:proofErr w:type="gramEnd"/>
      <w:r w:rsidRPr="000A19E1">
        <w:rPr>
          <w:rFonts w:ascii="Arial" w:hAnsi="Arial" w:cs="Arial"/>
          <w:sz w:val="22"/>
          <w:szCs w:val="22"/>
          <w:lang w:val="es-ES_tradnl"/>
        </w:rPr>
        <w:t xml:space="preserve"> INAPI es asesor del Presidente de Chile en todas las cuestiones relativas a la propiedad industrial, es el organismo encargado de recomendar la adhesión a los tratados de P.I. y se encarga además de la promoción de la P.I. y la difusión de los conocimientos, en particular de la información que ha pasado al dominio público.</w:t>
      </w:r>
    </w:p>
    <w:p w:rsidR="001A2943" w:rsidRPr="000A19E1" w:rsidRDefault="001A2943" w:rsidP="001A2943">
      <w:pPr>
        <w:pStyle w:val="ListParagraph"/>
        <w:ind w:left="0"/>
        <w:rPr>
          <w:rFonts w:ascii="Arial" w:hAnsi="Arial" w:cs="Arial"/>
          <w:sz w:val="22"/>
          <w:szCs w:val="22"/>
          <w:lang w:val="es-ES_tradnl"/>
        </w:rPr>
      </w:pPr>
    </w:p>
    <w:p w:rsidR="001A2943" w:rsidRPr="000A19E1" w:rsidRDefault="001A2943" w:rsidP="001A2943">
      <w:pPr>
        <w:rPr>
          <w:szCs w:val="22"/>
          <w:lang w:val="es-ES_tradnl"/>
        </w:rPr>
      </w:pPr>
      <w:r w:rsidRPr="000A19E1">
        <w:rPr>
          <w:szCs w:val="22"/>
          <w:lang w:val="es-ES_tradnl"/>
        </w:rPr>
        <w:t xml:space="preserve">La ley de propiedad industrial (Ley 19.039), que cubre las marcas, patentes de invención, modelos de utilidad, indicaciones geográficas, denominaciones de origen, topografías de </w:t>
      </w:r>
      <w:r w:rsidRPr="000A19E1">
        <w:rPr>
          <w:szCs w:val="22"/>
          <w:lang w:val="es-ES_tradnl"/>
        </w:rPr>
        <w:lastRenderedPageBreak/>
        <w:t>circuitos integrados, dibujos y diseños industriales, entró en vigor en octubre de 1991.</w:t>
      </w:r>
      <w:r>
        <w:rPr>
          <w:szCs w:val="22"/>
          <w:lang w:val="es-ES_tradnl"/>
        </w:rPr>
        <w:t xml:space="preserve"> </w:t>
      </w:r>
      <w:r w:rsidR="00581E84">
        <w:rPr>
          <w:szCs w:val="22"/>
          <w:lang w:val="es-ES_tradnl"/>
        </w:rPr>
        <w:t xml:space="preserve"> </w:t>
      </w:r>
      <w:r w:rsidRPr="000A19E1">
        <w:rPr>
          <w:szCs w:val="22"/>
          <w:lang w:val="es-ES_tradnl"/>
        </w:rPr>
        <w:t>Desde entonces, la ley ha sido objeto de tres modificaciones importantes.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La primera enmienda (Ley 19.996) fue publicada en marzo de 2005 y entró en vigor en diciembre de 2005.</w:t>
      </w:r>
      <w:r>
        <w:rPr>
          <w:szCs w:val="22"/>
          <w:lang w:val="es-ES_tradnl"/>
        </w:rPr>
        <w:t xml:space="preserve"> </w:t>
      </w:r>
      <w:r w:rsidR="00581E84">
        <w:rPr>
          <w:szCs w:val="22"/>
          <w:lang w:val="es-ES_tradnl"/>
        </w:rPr>
        <w:t xml:space="preserve"> </w:t>
      </w:r>
      <w:r w:rsidRPr="000A19E1">
        <w:rPr>
          <w:szCs w:val="22"/>
          <w:lang w:val="es-ES_tradnl"/>
        </w:rPr>
        <w:t>Esta ley adaptó la legislación chilena a los ADPIC, principalmente a través de cambios en los procedimientos de oposición, en la materia patentable y registrable con una marca y en la duración legal de las patentes.</w:t>
      </w:r>
      <w:r>
        <w:rPr>
          <w:szCs w:val="22"/>
          <w:lang w:val="es-ES_tradnl"/>
        </w:rPr>
        <w:t xml:space="preserve"> </w:t>
      </w:r>
      <w:r w:rsidR="00581E84">
        <w:rPr>
          <w:szCs w:val="22"/>
          <w:lang w:val="es-ES_tradnl"/>
        </w:rPr>
        <w:t xml:space="preserve"> </w:t>
      </w:r>
      <w:r w:rsidRPr="000A19E1">
        <w:rPr>
          <w:szCs w:val="22"/>
          <w:lang w:val="es-ES_tradnl"/>
        </w:rPr>
        <w:t>También incorporó los dibujos industriales, las indicaciones geográficas, las denominaciones de origen y las topografías de circuitos integrados a la legislación nacional.</w:t>
      </w:r>
      <w:r>
        <w:rPr>
          <w:szCs w:val="22"/>
          <w:lang w:val="es-ES_tradnl"/>
        </w:rPr>
        <w:t xml:space="preserve"> </w:t>
      </w:r>
      <w:r w:rsidR="00581E84">
        <w:rPr>
          <w:szCs w:val="22"/>
          <w:lang w:val="es-ES_tradnl"/>
        </w:rPr>
        <w:t xml:space="preserve"> </w:t>
      </w:r>
      <w:r w:rsidRPr="000A19E1">
        <w:rPr>
          <w:szCs w:val="22"/>
          <w:lang w:val="es-ES_tradnl"/>
        </w:rPr>
        <w:t xml:space="preserve">Por último, también introdujo el secreto comercial y las acciones civiles de observancia de la P.I. </w:t>
      </w:r>
      <w:r w:rsidRPr="000A19E1">
        <w:rPr>
          <w:szCs w:val="22"/>
          <w:lang w:val="es-ES_tradnl"/>
        </w:rPr>
        <w:noBreakHyphen/>
        <w:t>antes de 2005, la infracción de propiedad intelectual sólo era sancionada por los tribunales penales.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La segunda modificación importante (Ley 20.160) entró en vigor en enero de 2007.</w:t>
      </w:r>
      <w:r>
        <w:rPr>
          <w:szCs w:val="22"/>
          <w:lang w:val="es-ES_tradnl"/>
        </w:rPr>
        <w:t xml:space="preserve"> </w:t>
      </w:r>
      <w:r w:rsidR="00581E84">
        <w:rPr>
          <w:szCs w:val="22"/>
          <w:lang w:val="es-ES_tradnl"/>
        </w:rPr>
        <w:t xml:space="preserve"> </w:t>
      </w:r>
      <w:r w:rsidRPr="000A19E1">
        <w:rPr>
          <w:szCs w:val="22"/>
          <w:lang w:val="es-ES_tradnl"/>
        </w:rPr>
        <w:t>La misma adaptó la legislación chilena a los acuerdos de libre comercio firmados desde la década de</w:t>
      </w:r>
      <w:r w:rsidR="00500C05">
        <w:rPr>
          <w:szCs w:val="22"/>
          <w:lang w:val="es-ES_tradnl"/>
        </w:rPr>
        <w:t> </w:t>
      </w:r>
      <w:r w:rsidRPr="000A19E1">
        <w:rPr>
          <w:szCs w:val="22"/>
          <w:lang w:val="es-ES_tradnl"/>
        </w:rPr>
        <w:t>2000.</w:t>
      </w:r>
      <w:r>
        <w:rPr>
          <w:szCs w:val="22"/>
          <w:lang w:val="es-ES_tradnl"/>
        </w:rPr>
        <w:t xml:space="preserve"> </w:t>
      </w:r>
      <w:r w:rsidR="00581E84">
        <w:rPr>
          <w:szCs w:val="22"/>
          <w:lang w:val="es-ES_tradnl"/>
        </w:rPr>
        <w:t xml:space="preserve"> </w:t>
      </w:r>
      <w:r w:rsidRPr="000A19E1">
        <w:rPr>
          <w:szCs w:val="22"/>
          <w:lang w:val="es-ES_tradnl"/>
        </w:rPr>
        <w:t>Esta enmienda contiene principalmente cambios con respecto a los procedimientos de cancelación de todos los derechos de P.I. y la definición de la materia elegible para indicaciones geográficas y denominaciones de origen.</w:t>
      </w:r>
      <w:r>
        <w:rPr>
          <w:szCs w:val="22"/>
          <w:lang w:val="es-ES_tradnl"/>
        </w:rPr>
        <w:t xml:space="preserve"> </w:t>
      </w:r>
      <w:r w:rsidR="00581E84">
        <w:rPr>
          <w:szCs w:val="22"/>
          <w:lang w:val="es-ES_tradnl"/>
        </w:rPr>
        <w:t xml:space="preserve"> </w:t>
      </w:r>
      <w:r w:rsidRPr="000A19E1">
        <w:rPr>
          <w:szCs w:val="22"/>
          <w:lang w:val="es-ES_tradnl"/>
        </w:rPr>
        <w:t>También incorpora las marcas sonoras a la ley.</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La tercera modificación (Ley 20.569) entró en vigor en febrero de 2012.</w:t>
      </w:r>
      <w:r w:rsidR="00581E84">
        <w:rPr>
          <w:szCs w:val="22"/>
          <w:lang w:val="es-ES_tradnl"/>
        </w:rPr>
        <w:t xml:space="preserve"> </w:t>
      </w:r>
      <w:r>
        <w:rPr>
          <w:szCs w:val="22"/>
          <w:lang w:val="es-ES_tradnl"/>
        </w:rPr>
        <w:t xml:space="preserve"> </w:t>
      </w:r>
      <w:r w:rsidRPr="000A19E1">
        <w:rPr>
          <w:szCs w:val="22"/>
          <w:lang w:val="es-ES_tradnl"/>
        </w:rPr>
        <w:t>Esta ley incorporó algunas disposiciones acordadas por Chile a través de la firma del Tratado sobre el Derecho de Marcas (TLT) y el Tratado de Cooperación en materia de Patentes (PCT).</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En esta sección se presenta una breve descripción del régimen jurídico aplicable a las patentes, marcas, modelos de utilidad y diseños industriales que son objeto del análisis.</w:t>
      </w:r>
      <w:r w:rsidRPr="000A19E1">
        <w:rPr>
          <w:rStyle w:val="FootnoteReference"/>
          <w:szCs w:val="22"/>
          <w:lang w:val="es-ES_tradnl"/>
        </w:rPr>
        <w:footnoteReference w:id="16"/>
      </w:r>
    </w:p>
    <w:p w:rsidR="001A2943" w:rsidRPr="000A19E1" w:rsidRDefault="001A2943" w:rsidP="001A2943">
      <w:pPr>
        <w:rPr>
          <w:b/>
          <w:i/>
          <w:szCs w:val="22"/>
          <w:lang w:val="es-ES_tradnl"/>
        </w:rPr>
      </w:pPr>
    </w:p>
    <w:p w:rsidR="001A2943" w:rsidRDefault="001A2943" w:rsidP="001A2943">
      <w:pPr>
        <w:rPr>
          <w:i/>
          <w:szCs w:val="22"/>
          <w:lang w:val="es-ES_tradnl"/>
        </w:rPr>
      </w:pPr>
      <w:r w:rsidRPr="00C63392">
        <w:rPr>
          <w:i/>
          <w:szCs w:val="22"/>
          <w:lang w:val="es-ES_tradnl"/>
        </w:rPr>
        <w:t>Marcas</w:t>
      </w:r>
    </w:p>
    <w:p w:rsidR="00C63392" w:rsidRPr="00C63392" w:rsidRDefault="00C63392" w:rsidP="001A2943">
      <w:pPr>
        <w:rPr>
          <w:i/>
          <w:szCs w:val="22"/>
          <w:lang w:val="es-ES_tradnl"/>
        </w:rPr>
      </w:pPr>
    </w:p>
    <w:p w:rsidR="001A2943" w:rsidRPr="000A19E1" w:rsidRDefault="001A2943" w:rsidP="001A2943">
      <w:pPr>
        <w:rPr>
          <w:szCs w:val="22"/>
          <w:lang w:val="es-ES_tradnl"/>
        </w:rPr>
      </w:pPr>
      <w:r w:rsidRPr="000A19E1">
        <w:rPr>
          <w:szCs w:val="22"/>
          <w:lang w:val="es-ES_tradnl"/>
        </w:rPr>
        <w:t>Las marcas se definen como signos que distinguen productos, servicios o establecimientos industriales y comerciales en el mercado.</w:t>
      </w:r>
      <w:r>
        <w:rPr>
          <w:szCs w:val="22"/>
          <w:lang w:val="es-ES_tradnl"/>
        </w:rPr>
        <w:t xml:space="preserve"> </w:t>
      </w:r>
      <w:r w:rsidRPr="000A19E1">
        <w:rPr>
          <w:szCs w:val="22"/>
          <w:lang w:val="es-ES_tradnl"/>
        </w:rPr>
        <w:t>Desde 2007, una marca también puede ser utilizada para proteger consignas o marcas de sonidos.</w:t>
      </w:r>
      <w:r w:rsidR="00581E84">
        <w:rPr>
          <w:szCs w:val="22"/>
          <w:lang w:val="es-ES_tradnl"/>
        </w:rPr>
        <w:t xml:space="preserve"> </w:t>
      </w:r>
      <w:r>
        <w:rPr>
          <w:szCs w:val="22"/>
          <w:lang w:val="es-ES_tradnl"/>
        </w:rPr>
        <w:t xml:space="preserve"> </w:t>
      </w:r>
      <w:r w:rsidRPr="000A19E1">
        <w:rPr>
          <w:szCs w:val="22"/>
          <w:lang w:val="es-ES_tradnl"/>
        </w:rPr>
        <w:t>Una marca puede ser clasificada como denominativa, figurativa o mixta.</w:t>
      </w:r>
      <w:r>
        <w:rPr>
          <w:szCs w:val="22"/>
          <w:lang w:val="es-ES_tradnl"/>
        </w:rPr>
        <w:t xml:space="preserve"> </w:t>
      </w:r>
      <w:r w:rsidR="00581E84">
        <w:rPr>
          <w:szCs w:val="22"/>
          <w:lang w:val="es-ES_tradnl"/>
        </w:rPr>
        <w:t xml:space="preserve"> </w:t>
      </w:r>
      <w:r w:rsidRPr="000A19E1">
        <w:rPr>
          <w:szCs w:val="22"/>
          <w:lang w:val="es-ES_tradnl"/>
        </w:rPr>
        <w:t>Las marcas denominativas protegen una o más palabras con o sin significado idiomático o una combinación de letras y/o números.</w:t>
      </w:r>
      <w:r>
        <w:rPr>
          <w:szCs w:val="22"/>
          <w:lang w:val="es-ES_tradnl"/>
        </w:rPr>
        <w:t xml:space="preserve"> </w:t>
      </w:r>
      <w:r w:rsidR="00581E84">
        <w:rPr>
          <w:szCs w:val="22"/>
          <w:lang w:val="es-ES_tradnl"/>
        </w:rPr>
        <w:t xml:space="preserve"> </w:t>
      </w:r>
      <w:r w:rsidRPr="000A19E1">
        <w:rPr>
          <w:szCs w:val="22"/>
          <w:lang w:val="es-ES_tradnl"/>
        </w:rPr>
        <w:t>Las marcas figurativas son etiquetas con fotos, imágenes, símbolos o dibujos.</w:t>
      </w:r>
      <w:r>
        <w:rPr>
          <w:szCs w:val="22"/>
          <w:lang w:val="es-ES_tradnl"/>
        </w:rPr>
        <w:t xml:space="preserve"> </w:t>
      </w:r>
      <w:r w:rsidRPr="000A19E1">
        <w:rPr>
          <w:szCs w:val="22"/>
          <w:lang w:val="es-ES_tradnl"/>
        </w:rPr>
        <w:t xml:space="preserve">Marcas mixtas son una combinación de ambas, las denominativas y las figurativas </w:t>
      </w:r>
      <w:r w:rsidRPr="000A19E1">
        <w:rPr>
          <w:szCs w:val="22"/>
          <w:lang w:val="es-ES_tradnl"/>
        </w:rPr>
        <w:noBreakHyphen/>
        <w:t>es decir, las etiquetas que tienen una o más palabras con o sin significado idiomático o una combinación de letras y/o números, junto con fotos, imágenes, símbolos o dibujos.</w:t>
      </w:r>
      <w:r>
        <w:rPr>
          <w:szCs w:val="22"/>
          <w:lang w:val="es-ES_tradnl"/>
        </w:rPr>
        <w:t xml:space="preserve"> </w:t>
      </w:r>
      <w:r w:rsidR="00581E84">
        <w:rPr>
          <w:szCs w:val="22"/>
          <w:lang w:val="es-ES_tradnl"/>
        </w:rPr>
        <w:t xml:space="preserve"> </w:t>
      </w:r>
      <w:r w:rsidRPr="000A19E1">
        <w:rPr>
          <w:szCs w:val="22"/>
          <w:lang w:val="es-ES_tradnl"/>
        </w:rPr>
        <w:t>Chile no es parte del Sistema de Madrid para el Registro Internacional de Marcas, lo que significa que los solicitantes no residentes deben presentarse directamente ante el INAPI para obtener una marca en Chile.</w:t>
      </w:r>
      <w:r>
        <w:rPr>
          <w:szCs w:val="22"/>
          <w:lang w:val="es-ES_tradnl"/>
        </w:rPr>
        <w:t xml:space="preserve"> </w:t>
      </w:r>
      <w:r w:rsidR="00581E84">
        <w:rPr>
          <w:szCs w:val="22"/>
          <w:lang w:val="es-ES_tradnl"/>
        </w:rPr>
        <w:t xml:space="preserve"> </w:t>
      </w:r>
      <w:r w:rsidRPr="000A19E1">
        <w:rPr>
          <w:szCs w:val="22"/>
          <w:lang w:val="es-ES_tradnl"/>
        </w:rPr>
        <w:t>Los detalles sobre el procedimiento de registro de marcas se pueden encontrar en el Apéndice 1.1. Los derechos de marca duran un período de 10 años contados desde la fecha de concesión, pero pueden ser renovados indefinidamente.</w:t>
      </w:r>
      <w:r w:rsidR="00581E84">
        <w:rPr>
          <w:szCs w:val="22"/>
          <w:lang w:val="es-ES_tradnl"/>
        </w:rPr>
        <w:t xml:space="preserve"> </w:t>
      </w:r>
      <w:r>
        <w:rPr>
          <w:szCs w:val="22"/>
          <w:lang w:val="es-ES_tradnl"/>
        </w:rPr>
        <w:t xml:space="preserve"> </w:t>
      </w:r>
      <w:r w:rsidRPr="000A19E1">
        <w:rPr>
          <w:szCs w:val="22"/>
          <w:lang w:val="es-ES_tradnl"/>
        </w:rPr>
        <w:t>A diferencia de otros países, el INAPI no requiere al solicitante que demuestre el uso real de la marca, ni en la fase de presentación inicial ni en la etapa de renovación.</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Durante el proceso de solicitud, los terceros pueden presentar oposición en un plazo de 30</w:t>
      </w:r>
      <w:r w:rsidR="00466094">
        <w:rPr>
          <w:szCs w:val="22"/>
          <w:lang w:val="es-ES_tradnl"/>
        </w:rPr>
        <w:t> </w:t>
      </w:r>
      <w:r w:rsidRPr="000A19E1">
        <w:rPr>
          <w:szCs w:val="22"/>
          <w:lang w:val="es-ES_tradnl"/>
        </w:rPr>
        <w:t>días posteriores a la publicación de la marca.</w:t>
      </w:r>
      <w:r>
        <w:rPr>
          <w:szCs w:val="22"/>
          <w:lang w:val="es-ES_tradnl"/>
        </w:rPr>
        <w:t xml:space="preserve"> </w:t>
      </w:r>
      <w:r w:rsidR="00581E84">
        <w:rPr>
          <w:szCs w:val="22"/>
          <w:lang w:val="es-ES_tradnl"/>
        </w:rPr>
        <w:t xml:space="preserve"> </w:t>
      </w:r>
      <w:r w:rsidRPr="000A19E1">
        <w:rPr>
          <w:szCs w:val="22"/>
          <w:lang w:val="es-ES_tradnl"/>
        </w:rPr>
        <w:t>El INAPI no notifica a terceros que tengan solicitudes de marcas anteriores o inscripciones que puedan justificar una oposición.</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lastRenderedPageBreak/>
        <w:t>Si no presenta ninguna oposición, el tiempo total de tramitación de una solicitud hasta su registro es de aproximadamente nueve meses.</w:t>
      </w:r>
      <w:r>
        <w:rPr>
          <w:szCs w:val="22"/>
          <w:lang w:val="es-ES_tradnl"/>
        </w:rPr>
        <w:t xml:space="preserve"> </w:t>
      </w:r>
      <w:r w:rsidR="00581E84">
        <w:rPr>
          <w:szCs w:val="22"/>
          <w:lang w:val="es-ES_tradnl"/>
        </w:rPr>
        <w:t xml:space="preserve"> </w:t>
      </w:r>
      <w:r w:rsidRPr="000A19E1">
        <w:rPr>
          <w:szCs w:val="22"/>
          <w:lang w:val="es-ES_tradnl"/>
        </w:rPr>
        <w:t>Si hay una oposición, el procedimiento puede llevar, en promedio, siete meses más.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Una marca también puede ser cancelada después de la concesión.</w:t>
      </w:r>
      <w:r>
        <w:rPr>
          <w:szCs w:val="22"/>
          <w:lang w:val="es-ES_tradnl"/>
        </w:rPr>
        <w:t xml:space="preserve"> </w:t>
      </w:r>
      <w:r w:rsidR="00581E84">
        <w:rPr>
          <w:szCs w:val="22"/>
          <w:lang w:val="es-ES_tradnl"/>
        </w:rPr>
        <w:t xml:space="preserve"> </w:t>
      </w:r>
      <w:r w:rsidRPr="000A19E1">
        <w:rPr>
          <w:szCs w:val="22"/>
          <w:lang w:val="es-ES_tradnl"/>
        </w:rPr>
        <w:t>Cualquier persona puede solicitar la cancelación de una marca registrada.</w:t>
      </w:r>
      <w:r>
        <w:rPr>
          <w:szCs w:val="22"/>
          <w:lang w:val="es-ES_tradnl"/>
        </w:rPr>
        <w:t xml:space="preserve"> </w:t>
      </w:r>
      <w:r w:rsidR="00581E84">
        <w:rPr>
          <w:szCs w:val="22"/>
          <w:lang w:val="es-ES_tradnl"/>
        </w:rPr>
        <w:t xml:space="preserve"> </w:t>
      </w:r>
      <w:r w:rsidRPr="000A19E1">
        <w:rPr>
          <w:szCs w:val="22"/>
          <w:lang w:val="es-ES_tradnl"/>
        </w:rPr>
        <w:t>Una marca sólo puede ser cancelada dentro de los cinco años de haber sido registrada.</w:t>
      </w:r>
      <w:r>
        <w:rPr>
          <w:szCs w:val="22"/>
          <w:lang w:val="es-ES_tradnl"/>
        </w:rPr>
        <w:t xml:space="preserve"> </w:t>
      </w:r>
      <w:r w:rsidR="00581E84">
        <w:rPr>
          <w:szCs w:val="22"/>
          <w:lang w:val="es-ES_tradnl"/>
        </w:rPr>
        <w:t xml:space="preserve"> </w:t>
      </w:r>
      <w:r w:rsidRPr="000A19E1">
        <w:rPr>
          <w:szCs w:val="22"/>
          <w:lang w:val="es-ES_tradnl"/>
        </w:rPr>
        <w:t>Esta restricción no se aplica cuando la misma se obtuvo de mala fe.</w:t>
      </w:r>
      <w:r>
        <w:rPr>
          <w:szCs w:val="22"/>
          <w:lang w:val="es-ES_tradnl"/>
        </w:rPr>
        <w:t xml:space="preserve"> </w:t>
      </w:r>
      <w:r w:rsidR="00581E84">
        <w:rPr>
          <w:szCs w:val="22"/>
          <w:lang w:val="es-ES_tradnl"/>
        </w:rPr>
        <w:t xml:space="preserve"> </w:t>
      </w:r>
      <w:r w:rsidRPr="000A19E1">
        <w:rPr>
          <w:szCs w:val="22"/>
          <w:lang w:val="es-ES_tradnl"/>
        </w:rPr>
        <w:t>El Apéndice 1.1 proporciona detalles sobre los procedimientos de cancelación.</w:t>
      </w:r>
      <w:r>
        <w:rPr>
          <w:szCs w:val="22"/>
          <w:lang w:val="es-ES_tradnl"/>
        </w:rPr>
        <w:t xml:space="preserve"> </w:t>
      </w:r>
      <w:r w:rsidRPr="000A19E1">
        <w:rPr>
          <w:szCs w:val="22"/>
          <w:lang w:val="es-ES_tradnl"/>
        </w:rPr>
        <w:t>Si el INAPI anula una marca, la marca se considerará nula a partir de la fecha de concesión.</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Si una marca se ha rechazado o cancelado debido a la existencia de una marca famosa y conocida en el extranjero, el titular de la misma tiene 90 días para registrarla.</w:t>
      </w:r>
      <w:r>
        <w:rPr>
          <w:szCs w:val="22"/>
          <w:lang w:val="es-ES_tradnl"/>
        </w:rPr>
        <w:t xml:space="preserve"> </w:t>
      </w:r>
      <w:r w:rsidRPr="000A19E1">
        <w:rPr>
          <w:szCs w:val="22"/>
          <w:lang w:val="es-ES_tradnl"/>
        </w:rPr>
        <w:t>Una vez cumplidos los 90 días, cualquier parte interesada puede solicitar la marca.</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De acuerdo con la legislación chilena, la falsificación de marcas está sancionada tanto por la ley civil como por la penal en función del tipo de infracción.</w:t>
      </w:r>
      <w:r>
        <w:rPr>
          <w:szCs w:val="22"/>
          <w:lang w:val="es-ES_tradnl"/>
        </w:rPr>
        <w:t xml:space="preserve"> </w:t>
      </w:r>
      <w:r w:rsidRPr="000A19E1">
        <w:rPr>
          <w:szCs w:val="22"/>
          <w:lang w:val="es-ES_tradnl"/>
        </w:rPr>
        <w:t xml:space="preserve">En el Apéndice 1.2 se proporcionan detalles sobre la observancia de las marcas. </w:t>
      </w:r>
    </w:p>
    <w:p w:rsidR="001A2943" w:rsidRDefault="001A2943" w:rsidP="001A2943">
      <w:pPr>
        <w:rPr>
          <w:b/>
          <w:i/>
          <w:szCs w:val="22"/>
          <w:lang w:val="es-ES_tradnl"/>
        </w:rPr>
      </w:pPr>
    </w:p>
    <w:p w:rsidR="00C63392" w:rsidRPr="000A19E1" w:rsidRDefault="00C63392" w:rsidP="001A2943">
      <w:pPr>
        <w:rPr>
          <w:b/>
          <w:i/>
          <w:szCs w:val="22"/>
          <w:lang w:val="es-ES_tradnl"/>
        </w:rPr>
      </w:pPr>
    </w:p>
    <w:p w:rsidR="001A2943" w:rsidRDefault="001A2943" w:rsidP="001A2943">
      <w:pPr>
        <w:rPr>
          <w:i/>
          <w:szCs w:val="22"/>
          <w:lang w:val="es-ES_tradnl"/>
        </w:rPr>
      </w:pPr>
      <w:r w:rsidRPr="00C63392">
        <w:rPr>
          <w:i/>
          <w:szCs w:val="22"/>
          <w:lang w:val="es-ES_tradnl"/>
        </w:rPr>
        <w:t>Patentes</w:t>
      </w:r>
    </w:p>
    <w:p w:rsidR="00C63392" w:rsidRPr="00C63392" w:rsidRDefault="00C63392" w:rsidP="001A2943">
      <w:pPr>
        <w:rPr>
          <w:i/>
          <w:szCs w:val="22"/>
          <w:lang w:val="es-ES_tradnl"/>
        </w:rPr>
      </w:pPr>
    </w:p>
    <w:p w:rsidR="001A2943" w:rsidRPr="000A19E1" w:rsidRDefault="001A2943" w:rsidP="001A2943">
      <w:pPr>
        <w:rPr>
          <w:szCs w:val="22"/>
          <w:lang w:val="es-ES_tradnl"/>
        </w:rPr>
      </w:pPr>
      <w:r w:rsidRPr="000A19E1">
        <w:rPr>
          <w:szCs w:val="22"/>
          <w:lang w:val="es-ES_tradnl"/>
        </w:rPr>
        <w:t>Los cambios más importantes en el alcance de la protección de patentes se produjeron en el ámbito de los productos farmacéuticos.</w:t>
      </w:r>
      <w:r>
        <w:rPr>
          <w:szCs w:val="22"/>
          <w:lang w:val="es-ES_tradnl"/>
        </w:rPr>
        <w:t xml:space="preserve"> </w:t>
      </w:r>
      <w:r w:rsidR="0096695C">
        <w:rPr>
          <w:szCs w:val="22"/>
          <w:lang w:val="es-ES_tradnl"/>
        </w:rPr>
        <w:t xml:space="preserve"> </w:t>
      </w:r>
      <w:r w:rsidRPr="000A19E1">
        <w:rPr>
          <w:szCs w:val="22"/>
          <w:lang w:val="es-ES_tradnl"/>
        </w:rPr>
        <w:t>En 1991, los componentes químicos y farmacéuticos activos se hicieron patentables, mientras que antes de 1991 sólo se podía patentar su proceso de producción.</w:t>
      </w:r>
      <w:r>
        <w:rPr>
          <w:szCs w:val="22"/>
          <w:lang w:val="es-ES_tradnl"/>
        </w:rPr>
        <w:t xml:space="preserve"> </w:t>
      </w:r>
      <w:r w:rsidR="0096695C">
        <w:rPr>
          <w:szCs w:val="22"/>
          <w:lang w:val="es-ES_tradnl"/>
        </w:rPr>
        <w:t xml:space="preserve"> </w:t>
      </w:r>
      <w:r w:rsidRPr="000A19E1">
        <w:rPr>
          <w:szCs w:val="22"/>
          <w:lang w:val="es-ES_tradnl"/>
        </w:rPr>
        <w:t xml:space="preserve">La enmienda de 2005 restringió la </w:t>
      </w:r>
      <w:proofErr w:type="spellStart"/>
      <w:r w:rsidRPr="000A19E1">
        <w:rPr>
          <w:szCs w:val="22"/>
          <w:lang w:val="es-ES_tradnl"/>
        </w:rPr>
        <w:t>patentabilidad</w:t>
      </w:r>
      <w:proofErr w:type="spellEnd"/>
      <w:r w:rsidRPr="000A19E1">
        <w:rPr>
          <w:szCs w:val="22"/>
          <w:lang w:val="es-ES_tradnl"/>
        </w:rPr>
        <w:t xml:space="preserve"> de nuevos usos de sustancias conocidas.</w:t>
      </w:r>
      <w:r w:rsidR="0096695C">
        <w:rPr>
          <w:szCs w:val="22"/>
          <w:lang w:val="es-ES_tradnl"/>
        </w:rPr>
        <w:t xml:space="preserve"> </w:t>
      </w:r>
      <w:r>
        <w:rPr>
          <w:szCs w:val="22"/>
          <w:lang w:val="es-ES_tradnl"/>
        </w:rPr>
        <w:t xml:space="preserve"> </w:t>
      </w:r>
      <w:r w:rsidRPr="000A19E1">
        <w:rPr>
          <w:szCs w:val="22"/>
          <w:lang w:val="es-ES_tradnl"/>
        </w:rPr>
        <w:t>Antes de 2005, los nuevos usos eran patentables si resolvían un problema técnico o cambiaban las cualidades esenciales de la invención.</w:t>
      </w:r>
      <w:r>
        <w:rPr>
          <w:szCs w:val="22"/>
          <w:lang w:val="es-ES_tradnl"/>
        </w:rPr>
        <w:t xml:space="preserve"> </w:t>
      </w:r>
      <w:r w:rsidR="0096695C">
        <w:rPr>
          <w:szCs w:val="22"/>
          <w:lang w:val="es-ES_tradnl"/>
        </w:rPr>
        <w:t xml:space="preserve"> </w:t>
      </w:r>
      <w:r w:rsidRPr="000A19E1">
        <w:rPr>
          <w:szCs w:val="22"/>
          <w:lang w:val="es-ES_tradnl"/>
        </w:rPr>
        <w:t>Tras la modificación, la ley requiere que se cumplan ambas condiciones.</w:t>
      </w:r>
      <w:r>
        <w:rPr>
          <w:szCs w:val="22"/>
          <w:lang w:val="es-ES_tradnl"/>
        </w:rPr>
        <w:t xml:space="preserve"> </w:t>
      </w:r>
      <w:r w:rsidR="0096695C">
        <w:rPr>
          <w:szCs w:val="22"/>
          <w:lang w:val="es-ES_tradnl"/>
        </w:rPr>
        <w:t xml:space="preserve"> </w:t>
      </w:r>
      <w:r w:rsidRPr="000A19E1">
        <w:rPr>
          <w:szCs w:val="22"/>
          <w:lang w:val="es-ES_tradnl"/>
        </w:rPr>
        <w:t>Es más, para ser patentable, el nuevo uso tiene que sustentado por la evidencia empírica.</w:t>
      </w:r>
      <w:r>
        <w:rPr>
          <w:szCs w:val="22"/>
          <w:lang w:val="es-ES_tradnl"/>
        </w:rPr>
        <w:t xml:space="preserve"> </w:t>
      </w:r>
      <w:r w:rsidR="0096695C">
        <w:rPr>
          <w:szCs w:val="22"/>
          <w:lang w:val="es-ES_tradnl"/>
        </w:rPr>
        <w:t xml:space="preserve"> </w:t>
      </w:r>
      <w:r w:rsidRPr="000A19E1">
        <w:rPr>
          <w:szCs w:val="22"/>
          <w:lang w:val="es-ES_tradnl"/>
        </w:rPr>
        <w:t>En Chile, el software en sí no es patentable y es protegido mediante derechos de autor.</w:t>
      </w:r>
      <w:r w:rsidRPr="000A19E1">
        <w:rPr>
          <w:rStyle w:val="FootnoteReference"/>
          <w:szCs w:val="22"/>
          <w:lang w:val="es-ES_tradnl"/>
        </w:rPr>
        <w:footnoteReference w:id="17"/>
      </w:r>
      <w:r>
        <w:rPr>
          <w:szCs w:val="22"/>
          <w:lang w:val="es-ES_tradnl"/>
        </w:rPr>
        <w:t xml:space="preserve"> </w:t>
      </w:r>
      <w:r w:rsidR="0096695C">
        <w:rPr>
          <w:szCs w:val="22"/>
          <w:lang w:val="es-ES_tradnl"/>
        </w:rPr>
        <w:t xml:space="preserve"> </w:t>
      </w:r>
      <w:r w:rsidRPr="000A19E1">
        <w:rPr>
          <w:szCs w:val="22"/>
          <w:lang w:val="es-ES_tradnl"/>
        </w:rPr>
        <w:t>El Apéndice 1.3 proporciona detalles sobre la materia patentable.</w:t>
      </w:r>
      <w:r>
        <w:rPr>
          <w:szCs w:val="22"/>
          <w:lang w:val="es-ES_tradnl"/>
        </w:rPr>
        <w:t xml:space="preserve"> </w:t>
      </w:r>
      <w:r w:rsidR="0096695C">
        <w:rPr>
          <w:szCs w:val="22"/>
          <w:lang w:val="es-ES_tradnl"/>
        </w:rPr>
        <w:t xml:space="preserve"> </w:t>
      </w:r>
      <w:r w:rsidRPr="000A19E1">
        <w:rPr>
          <w:szCs w:val="22"/>
          <w:lang w:val="es-ES_tradnl"/>
        </w:rPr>
        <w:t>Antes de la reforma de 2005, la duración legal de la patente era de 15 años contados desde la fecha de concesión.</w:t>
      </w:r>
      <w:r>
        <w:rPr>
          <w:szCs w:val="22"/>
          <w:lang w:val="es-ES_tradnl"/>
        </w:rPr>
        <w:t xml:space="preserve"> </w:t>
      </w:r>
      <w:r w:rsidR="0096695C">
        <w:rPr>
          <w:szCs w:val="22"/>
          <w:lang w:val="es-ES_tradnl"/>
        </w:rPr>
        <w:t xml:space="preserve"> </w:t>
      </w:r>
      <w:r w:rsidRPr="000A19E1">
        <w:rPr>
          <w:szCs w:val="22"/>
          <w:lang w:val="es-ES_tradnl"/>
        </w:rPr>
        <w:t>La enmienda modifica ese período a 20 años desde la fecha de concesión.</w:t>
      </w:r>
      <w:r>
        <w:rPr>
          <w:szCs w:val="22"/>
          <w:lang w:val="es-ES_tradnl"/>
        </w:rPr>
        <w:t xml:space="preserve"> </w:t>
      </w:r>
      <w:r w:rsidRPr="000A19E1">
        <w:rPr>
          <w:szCs w:val="22"/>
          <w:lang w:val="es-ES_tradnl"/>
        </w:rPr>
        <w:t>Este término no es renovable.</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Existe un plazo de 45 días durante el cual los terceros pueden presentar una oposición a una solicitud de patente.</w:t>
      </w:r>
      <w:r>
        <w:rPr>
          <w:szCs w:val="22"/>
          <w:lang w:val="es-ES_tradnl"/>
        </w:rPr>
        <w:t xml:space="preserve"> </w:t>
      </w:r>
      <w:r w:rsidR="0096695C">
        <w:rPr>
          <w:szCs w:val="22"/>
          <w:lang w:val="es-ES_tradnl"/>
        </w:rPr>
        <w:t xml:space="preserve"> </w:t>
      </w:r>
      <w:r w:rsidRPr="000A19E1">
        <w:rPr>
          <w:szCs w:val="22"/>
          <w:lang w:val="es-ES_tradnl"/>
        </w:rPr>
        <w:t xml:space="preserve">La oposición es posible en razón de que la solicitud no cumple con uno o más de los requisitos legales de </w:t>
      </w:r>
      <w:proofErr w:type="spellStart"/>
      <w:r w:rsidRPr="000A19E1">
        <w:rPr>
          <w:szCs w:val="22"/>
          <w:lang w:val="es-ES_tradnl"/>
        </w:rPr>
        <w:t>patentabilidad</w:t>
      </w:r>
      <w:proofErr w:type="spellEnd"/>
      <w:r w:rsidRPr="000A19E1">
        <w:rPr>
          <w:szCs w:val="22"/>
          <w:lang w:val="es-ES_tradnl"/>
        </w:rPr>
        <w:t>.</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Los motivos de nulidad se han mantenido sin cambios desde 1991.</w:t>
      </w:r>
      <w:r>
        <w:rPr>
          <w:szCs w:val="22"/>
          <w:lang w:val="es-ES_tradnl"/>
        </w:rPr>
        <w:t xml:space="preserve"> </w:t>
      </w:r>
      <w:r w:rsidR="0096695C">
        <w:rPr>
          <w:szCs w:val="22"/>
          <w:lang w:val="es-ES_tradnl"/>
        </w:rPr>
        <w:t xml:space="preserve"> </w:t>
      </w:r>
      <w:r w:rsidRPr="000A19E1">
        <w:rPr>
          <w:szCs w:val="22"/>
          <w:lang w:val="es-ES_tradnl"/>
        </w:rPr>
        <w:t>Cualquier persona puede solicitar la revocación de una patente concedida.</w:t>
      </w:r>
      <w:r>
        <w:rPr>
          <w:szCs w:val="22"/>
          <w:lang w:val="es-ES_tradnl"/>
        </w:rPr>
        <w:t xml:space="preserve"> </w:t>
      </w:r>
      <w:r w:rsidR="0096695C">
        <w:rPr>
          <w:szCs w:val="22"/>
          <w:lang w:val="es-ES_tradnl"/>
        </w:rPr>
        <w:t xml:space="preserve"> </w:t>
      </w:r>
      <w:r w:rsidRPr="000A19E1">
        <w:rPr>
          <w:szCs w:val="22"/>
          <w:lang w:val="es-ES_tradnl"/>
        </w:rPr>
        <w:t xml:space="preserve">La reforma de 2005 redujo el período de tiempo durante el cual una patente puede ser revocada de </w:t>
      </w:r>
      <w:smartTag w:uri="urn:schemas-microsoft-com:office:smarttags" w:element="metricconverter">
        <w:smartTagPr>
          <w:attr w:name="ProductID" w:val="10 a"/>
        </w:smartTagPr>
        <w:r w:rsidRPr="000A19E1">
          <w:rPr>
            <w:szCs w:val="22"/>
            <w:lang w:val="es-ES_tradnl"/>
          </w:rPr>
          <w:t>10 a</w:t>
        </w:r>
      </w:smartTag>
      <w:r w:rsidRPr="000A19E1">
        <w:rPr>
          <w:szCs w:val="22"/>
          <w:lang w:val="es-ES_tradnl"/>
        </w:rPr>
        <w:t xml:space="preserve"> 5 años a partir de la fecha de concesión.</w:t>
      </w:r>
      <w:r>
        <w:rPr>
          <w:szCs w:val="22"/>
          <w:lang w:val="es-ES_tradnl"/>
        </w:rPr>
        <w:t xml:space="preserve"> </w:t>
      </w:r>
      <w:r w:rsidR="0096695C">
        <w:rPr>
          <w:szCs w:val="22"/>
          <w:lang w:val="es-ES_tradnl"/>
        </w:rPr>
        <w:t xml:space="preserve"> </w:t>
      </w:r>
      <w:r w:rsidRPr="000A19E1">
        <w:rPr>
          <w:szCs w:val="22"/>
          <w:lang w:val="es-ES_tradnl"/>
        </w:rPr>
        <w:t>A diferencia de las marcas, la mala fe no suspende esta restricción.</w:t>
      </w:r>
      <w:r>
        <w:rPr>
          <w:szCs w:val="22"/>
          <w:lang w:val="es-ES_tradnl"/>
        </w:rPr>
        <w:t xml:space="preserve"> </w:t>
      </w:r>
      <w:r w:rsidR="0096695C">
        <w:rPr>
          <w:szCs w:val="22"/>
          <w:lang w:val="es-ES_tradnl"/>
        </w:rPr>
        <w:t xml:space="preserve"> </w:t>
      </w:r>
      <w:r w:rsidRPr="000A19E1">
        <w:rPr>
          <w:szCs w:val="22"/>
          <w:lang w:val="es-ES_tradnl"/>
        </w:rPr>
        <w:t>En el Apéndice</w:t>
      </w:r>
      <w:r w:rsidR="00C63392">
        <w:rPr>
          <w:szCs w:val="22"/>
          <w:lang w:val="es-ES_tradnl"/>
        </w:rPr>
        <w:t> </w:t>
      </w:r>
      <w:r w:rsidRPr="000A19E1">
        <w:rPr>
          <w:szCs w:val="22"/>
          <w:lang w:val="es-ES_tradnl"/>
        </w:rPr>
        <w:t>1.4 se ofrecen más detalles.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Como ocurre con las marcas, la violación de una patente puede ser sancionada tanto por la ley civil como por la penal, dependiendo del tipo de infracción.</w:t>
      </w:r>
      <w:r>
        <w:rPr>
          <w:szCs w:val="22"/>
          <w:lang w:val="es-ES_tradnl"/>
        </w:rPr>
        <w:t xml:space="preserve"> </w:t>
      </w:r>
      <w:r w:rsidR="0096695C">
        <w:rPr>
          <w:szCs w:val="22"/>
          <w:lang w:val="es-ES_tradnl"/>
        </w:rPr>
        <w:t xml:space="preserve"> </w:t>
      </w:r>
      <w:r w:rsidRPr="000A19E1">
        <w:rPr>
          <w:szCs w:val="22"/>
          <w:lang w:val="es-ES_tradnl"/>
        </w:rPr>
        <w:t>Los detalles sobre la aplicación de ley en estos casos se presentan en el Apéndice 1.2.</w:t>
      </w:r>
    </w:p>
    <w:p w:rsidR="001A2943" w:rsidRDefault="001A2943" w:rsidP="001A2943">
      <w:pPr>
        <w:rPr>
          <w:b/>
          <w:i/>
          <w:szCs w:val="22"/>
          <w:lang w:val="es-ES_tradnl"/>
        </w:rPr>
      </w:pPr>
    </w:p>
    <w:p w:rsidR="00C63392" w:rsidRPr="000A19E1" w:rsidRDefault="00C63392" w:rsidP="001A2943">
      <w:pPr>
        <w:rPr>
          <w:b/>
          <w:i/>
          <w:szCs w:val="22"/>
          <w:lang w:val="es-ES_tradnl"/>
        </w:rPr>
      </w:pPr>
    </w:p>
    <w:p w:rsidR="001A2943" w:rsidRDefault="001A2943" w:rsidP="001A2943">
      <w:pPr>
        <w:rPr>
          <w:i/>
          <w:szCs w:val="22"/>
          <w:lang w:val="es-ES_tradnl"/>
        </w:rPr>
      </w:pPr>
      <w:r w:rsidRPr="00C63392">
        <w:rPr>
          <w:i/>
          <w:szCs w:val="22"/>
          <w:lang w:val="es-ES_tradnl"/>
        </w:rPr>
        <w:lastRenderedPageBreak/>
        <w:t>Modelos de utilidad</w:t>
      </w:r>
    </w:p>
    <w:p w:rsidR="00C63392" w:rsidRPr="00C63392" w:rsidRDefault="00C63392" w:rsidP="001A2943">
      <w:pPr>
        <w:rPr>
          <w:i/>
          <w:szCs w:val="22"/>
          <w:lang w:val="es-ES_tradnl"/>
        </w:rPr>
      </w:pPr>
    </w:p>
    <w:p w:rsidR="001A2943" w:rsidRPr="000A19E1" w:rsidRDefault="001A2943" w:rsidP="001A2943">
      <w:pPr>
        <w:rPr>
          <w:bCs/>
          <w:szCs w:val="22"/>
          <w:lang w:val="es-ES_tradnl"/>
        </w:rPr>
      </w:pPr>
      <w:r w:rsidRPr="000A19E1">
        <w:rPr>
          <w:bCs/>
          <w:szCs w:val="22"/>
          <w:lang w:val="es-ES_tradnl"/>
        </w:rPr>
        <w:t>Los modelos de utilidad son similares a las patentes, pero en general se aplican a invenciones técnicas menos complejas que las patentes.</w:t>
      </w:r>
      <w:r>
        <w:rPr>
          <w:bCs/>
          <w:szCs w:val="22"/>
          <w:lang w:val="es-ES_tradnl"/>
        </w:rPr>
        <w:t xml:space="preserve"> </w:t>
      </w:r>
      <w:r w:rsidR="0096695C">
        <w:rPr>
          <w:bCs/>
          <w:szCs w:val="22"/>
          <w:lang w:val="es-ES_tradnl"/>
        </w:rPr>
        <w:t xml:space="preserve"> </w:t>
      </w:r>
      <w:r w:rsidRPr="000A19E1">
        <w:rPr>
          <w:bCs/>
          <w:szCs w:val="22"/>
          <w:lang w:val="es-ES_tradnl"/>
        </w:rPr>
        <w:t>Los modelos de utilidad pueden proteger instrumentos, aparatos, herramientas, dispositivos u objetos que pueden describirse en el formulario de solicitud.</w:t>
      </w:r>
      <w:r>
        <w:rPr>
          <w:bCs/>
          <w:szCs w:val="22"/>
          <w:lang w:val="es-ES_tradnl"/>
        </w:rPr>
        <w:t xml:space="preserve"> </w:t>
      </w:r>
      <w:r w:rsidR="0096695C">
        <w:rPr>
          <w:bCs/>
          <w:szCs w:val="22"/>
          <w:lang w:val="es-ES_tradnl"/>
        </w:rPr>
        <w:t xml:space="preserve"> </w:t>
      </w:r>
      <w:r w:rsidRPr="000A19E1">
        <w:rPr>
          <w:bCs/>
          <w:szCs w:val="22"/>
          <w:lang w:val="es-ES_tradnl"/>
        </w:rPr>
        <w:t xml:space="preserve">La protección jurídica de los modelos de utilidad se aplica a un objeto individual pero la protección de varios elementos o aspectos de un objeto puede ser </w:t>
      </w:r>
      <w:proofErr w:type="gramStart"/>
      <w:r w:rsidRPr="000A19E1">
        <w:rPr>
          <w:bCs/>
          <w:szCs w:val="22"/>
          <w:lang w:val="es-ES_tradnl"/>
        </w:rPr>
        <w:t>reivindicada</w:t>
      </w:r>
      <w:proofErr w:type="gramEnd"/>
      <w:r w:rsidRPr="000A19E1">
        <w:rPr>
          <w:bCs/>
          <w:szCs w:val="22"/>
          <w:lang w:val="es-ES_tradnl"/>
        </w:rPr>
        <w:t xml:space="preserve"> en una misma solicitud (Artículo 56 de la Ley 19.309).</w:t>
      </w:r>
    </w:p>
    <w:p w:rsidR="001A2943" w:rsidRDefault="001A2943" w:rsidP="001A2943">
      <w:pPr>
        <w:rPr>
          <w:bCs/>
          <w:szCs w:val="22"/>
          <w:lang w:val="es-ES_tradnl"/>
        </w:rPr>
      </w:pPr>
    </w:p>
    <w:p w:rsidR="001A2943" w:rsidRPr="000A19E1" w:rsidRDefault="001A2943" w:rsidP="001A2943">
      <w:pPr>
        <w:pStyle w:val="ListParagraph"/>
        <w:spacing w:after="200"/>
        <w:ind w:left="360"/>
        <w:rPr>
          <w:rFonts w:ascii="Arial" w:hAnsi="Arial" w:cs="Arial"/>
          <w:bCs/>
          <w:sz w:val="22"/>
          <w:szCs w:val="22"/>
          <w:lang w:val="es-ES_tradnl"/>
        </w:rPr>
      </w:pPr>
      <w:r w:rsidRPr="000A19E1">
        <w:rPr>
          <w:rFonts w:ascii="Arial" w:hAnsi="Arial" w:cs="Arial"/>
          <w:bCs/>
          <w:sz w:val="22"/>
          <w:szCs w:val="22"/>
          <w:lang w:val="es-ES_tradnl"/>
        </w:rPr>
        <w:t>Los modelos de utilidad se diferencian de las patentes en los siguientes aspectos:</w:t>
      </w:r>
    </w:p>
    <w:p w:rsidR="001A2943" w:rsidRPr="000A19E1" w:rsidRDefault="001A2943" w:rsidP="001A2943">
      <w:pPr>
        <w:pStyle w:val="ListParagraph"/>
        <w:spacing w:after="200"/>
        <w:ind w:left="360"/>
        <w:rPr>
          <w:rFonts w:ascii="Arial" w:hAnsi="Arial" w:cs="Arial"/>
          <w:bCs/>
          <w:sz w:val="22"/>
          <w:szCs w:val="22"/>
          <w:lang w:val="es-ES_tradnl"/>
        </w:rPr>
      </w:pP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Los modelos de utilidad están exentos del requisito de la actividad inventiva de las patentes de invención.</w:t>
      </w: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Los modelos de utilidad sólo deben ser nuevos y tener aplicación industrial.</w:t>
      </w: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Los modelos de utilidad se extienden por un período no renovable de 10 años contados a partir de la fecha de solicitud.</w:t>
      </w: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El procedimiento de registro de modelos de utilidad involucra los mismos pasos y plazos de la patente (ver Apéndice 1.4).</w:t>
      </w:r>
      <w:r>
        <w:rPr>
          <w:rFonts w:ascii="Arial" w:hAnsi="Arial" w:cs="Arial"/>
          <w:bCs/>
          <w:sz w:val="22"/>
          <w:szCs w:val="22"/>
          <w:lang w:val="es-ES_tradnl"/>
        </w:rPr>
        <w:t xml:space="preserve"> </w:t>
      </w:r>
      <w:r w:rsidRPr="000A19E1">
        <w:rPr>
          <w:rFonts w:ascii="Arial" w:hAnsi="Arial" w:cs="Arial"/>
          <w:bCs/>
          <w:sz w:val="22"/>
          <w:szCs w:val="22"/>
          <w:lang w:val="es-ES_tradnl"/>
        </w:rPr>
        <w:t>Sin embargo, debido a que normalmente la tecnología utilizada es menos compleja y a que no se evalúa la novedad, el procedimiento para los modelos de utilidad es generalmente más rápido y más simple que en el caso de las patentes de invención.</w:t>
      </w:r>
      <w:r>
        <w:rPr>
          <w:rFonts w:ascii="Arial" w:hAnsi="Arial" w:cs="Arial"/>
          <w:bCs/>
          <w:sz w:val="22"/>
          <w:szCs w:val="22"/>
          <w:lang w:val="es-ES_tradnl"/>
        </w:rPr>
        <w:t xml:space="preserve"> </w:t>
      </w:r>
      <w:r w:rsidRPr="000A19E1">
        <w:rPr>
          <w:rFonts w:ascii="Arial" w:hAnsi="Arial" w:cs="Arial"/>
          <w:bCs/>
          <w:sz w:val="22"/>
          <w:szCs w:val="22"/>
          <w:lang w:val="es-ES_tradnl"/>
        </w:rPr>
        <w:t>Las tarifas son las mismas que se utilizan para las patentes, con excepción de la tasa de examen, que es más baja para los modelos de utilidad.</w:t>
      </w:r>
      <w:r w:rsidRPr="000A19E1">
        <w:rPr>
          <w:rFonts w:ascii="Arial" w:hAnsi="Arial" w:cs="Arial"/>
          <w:sz w:val="22"/>
          <w:szCs w:val="22"/>
          <w:vertAlign w:val="superscript"/>
          <w:lang w:val="es-ES_tradnl"/>
        </w:rPr>
        <w:footnoteReference w:id="18"/>
      </w: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Los modelos de utilidad sólo se pueden obtener para productos, no para procesos.</w:t>
      </w:r>
      <w:r>
        <w:rPr>
          <w:rFonts w:ascii="Arial" w:hAnsi="Arial" w:cs="Arial"/>
          <w:bCs/>
          <w:sz w:val="22"/>
          <w:szCs w:val="22"/>
          <w:lang w:val="es-ES_tradnl"/>
        </w:rPr>
        <w:t xml:space="preserve"> </w:t>
      </w:r>
      <w:r w:rsidRPr="000A19E1">
        <w:rPr>
          <w:rFonts w:ascii="Arial" w:hAnsi="Arial" w:cs="Arial"/>
          <w:bCs/>
          <w:sz w:val="22"/>
          <w:szCs w:val="22"/>
          <w:lang w:val="es-ES_tradnl"/>
        </w:rPr>
        <w:t>En consecuencia, los modelos de utilidad son más relevantes para ciertas áreas tecnológicas tales como la ingeniería mecánica o eléctrica.</w:t>
      </w:r>
    </w:p>
    <w:p w:rsidR="001A2943" w:rsidRPr="000A19E1" w:rsidRDefault="001A2943" w:rsidP="001A2943">
      <w:pPr>
        <w:pStyle w:val="ListParagraph"/>
        <w:spacing w:after="200"/>
        <w:ind w:left="360"/>
        <w:rPr>
          <w:rFonts w:ascii="Arial" w:hAnsi="Arial" w:cs="Arial"/>
          <w:b/>
          <w:i/>
          <w:sz w:val="22"/>
          <w:szCs w:val="22"/>
          <w:lang w:val="es-ES_tradnl"/>
        </w:rPr>
      </w:pPr>
    </w:p>
    <w:p w:rsidR="001A2943" w:rsidRPr="00C63392" w:rsidRDefault="001A2943" w:rsidP="001A2943">
      <w:pPr>
        <w:pStyle w:val="ListParagraph"/>
        <w:ind w:left="0"/>
        <w:rPr>
          <w:rFonts w:ascii="Arial" w:hAnsi="Arial" w:cs="Arial"/>
          <w:i/>
          <w:sz w:val="22"/>
          <w:szCs w:val="22"/>
          <w:lang w:val="es-ES_tradnl"/>
        </w:rPr>
      </w:pPr>
      <w:r w:rsidRPr="00C63392">
        <w:rPr>
          <w:rFonts w:ascii="Arial" w:hAnsi="Arial" w:cs="Arial"/>
          <w:i/>
          <w:sz w:val="22"/>
          <w:szCs w:val="22"/>
          <w:lang w:val="es-ES_tradnl"/>
        </w:rPr>
        <w:t>Diseños y dibujos industriales</w:t>
      </w:r>
    </w:p>
    <w:p w:rsidR="00C63392" w:rsidRPr="000A19E1" w:rsidRDefault="00C63392" w:rsidP="001A2943">
      <w:pPr>
        <w:pStyle w:val="ListParagraph"/>
        <w:ind w:left="0"/>
        <w:rPr>
          <w:rFonts w:ascii="Arial" w:hAnsi="Arial" w:cs="Arial"/>
          <w:b/>
          <w:i/>
          <w:sz w:val="22"/>
          <w:szCs w:val="22"/>
          <w:lang w:val="es-ES_tradnl"/>
        </w:rPr>
      </w:pPr>
    </w:p>
    <w:p w:rsidR="001A2943" w:rsidRPr="000A19E1" w:rsidRDefault="001A2943" w:rsidP="001A2943">
      <w:pPr>
        <w:rPr>
          <w:bCs/>
          <w:szCs w:val="22"/>
          <w:lang w:val="es-ES_tradnl"/>
        </w:rPr>
      </w:pPr>
      <w:r w:rsidRPr="000A19E1">
        <w:rPr>
          <w:bCs/>
          <w:szCs w:val="22"/>
          <w:lang w:val="es-ES_tradnl"/>
        </w:rPr>
        <w:t>Los diseños industriales son formas tridimensionales y artículos industriales o artesanales que se pueden utilizar como modelo o plantilla para la producción de otras unidades.</w:t>
      </w:r>
      <w:r w:rsidR="0096695C">
        <w:rPr>
          <w:bCs/>
          <w:szCs w:val="22"/>
          <w:lang w:val="es-ES_tradnl"/>
        </w:rPr>
        <w:t xml:space="preserve"> </w:t>
      </w:r>
      <w:r>
        <w:rPr>
          <w:bCs/>
          <w:szCs w:val="22"/>
          <w:lang w:val="es-ES_tradnl"/>
        </w:rPr>
        <w:t xml:space="preserve"> </w:t>
      </w:r>
      <w:r w:rsidRPr="000A19E1">
        <w:rPr>
          <w:bCs/>
          <w:szCs w:val="22"/>
          <w:lang w:val="es-ES_tradnl"/>
        </w:rPr>
        <w:t>Los diseños industriales deben ser distinguibles de objetos tridimensionales similares, ya sea por su forma, configuración geométrica, ornamentación o una combinación de estas características (Artículo</w:t>
      </w:r>
      <w:r w:rsidR="0096695C">
        <w:rPr>
          <w:bCs/>
          <w:szCs w:val="22"/>
          <w:lang w:val="es-ES_tradnl"/>
        </w:rPr>
        <w:t> </w:t>
      </w:r>
      <w:r w:rsidRPr="000A19E1">
        <w:rPr>
          <w:bCs/>
          <w:szCs w:val="22"/>
          <w:lang w:val="es-ES_tradnl"/>
        </w:rPr>
        <w:t xml:space="preserve">62 de la Ley 19309). </w:t>
      </w:r>
    </w:p>
    <w:p w:rsidR="001A2943" w:rsidRPr="000A19E1" w:rsidRDefault="001A2943" w:rsidP="001A2943">
      <w:pPr>
        <w:rPr>
          <w:bCs/>
          <w:szCs w:val="22"/>
          <w:lang w:val="es-ES_tradnl"/>
        </w:rPr>
      </w:pPr>
    </w:p>
    <w:p w:rsidR="001A2943" w:rsidRPr="000A19E1" w:rsidRDefault="001A2943" w:rsidP="001A2943">
      <w:pPr>
        <w:rPr>
          <w:bCs/>
          <w:szCs w:val="22"/>
          <w:lang w:val="es-ES_tradnl"/>
        </w:rPr>
      </w:pPr>
      <w:r w:rsidRPr="000A19E1">
        <w:rPr>
          <w:bCs/>
          <w:szCs w:val="22"/>
          <w:lang w:val="es-ES_tradnl"/>
        </w:rPr>
        <w:t>Los dibujos industriales incluyen cualquier conjunto o combinación de figuras, líneas o colores realizada en una superficie plana.</w:t>
      </w:r>
      <w:r>
        <w:rPr>
          <w:bCs/>
          <w:szCs w:val="22"/>
          <w:lang w:val="es-ES_tradnl"/>
        </w:rPr>
        <w:t xml:space="preserve"> </w:t>
      </w:r>
      <w:r w:rsidR="0096695C">
        <w:rPr>
          <w:bCs/>
          <w:szCs w:val="22"/>
          <w:lang w:val="es-ES_tradnl"/>
        </w:rPr>
        <w:t xml:space="preserve"> </w:t>
      </w:r>
      <w:r w:rsidRPr="000A19E1">
        <w:rPr>
          <w:bCs/>
          <w:szCs w:val="22"/>
          <w:lang w:val="es-ES_tradnl"/>
        </w:rPr>
        <w:t xml:space="preserve">Los dibujos industriales deben ser capaces de ser parte de un producto industrial y de proporcionar un nuevo aspecto al producto. </w:t>
      </w:r>
    </w:p>
    <w:p w:rsidR="001A2943" w:rsidRPr="000A19E1" w:rsidRDefault="001A2943" w:rsidP="001A2943">
      <w:pPr>
        <w:rPr>
          <w:bCs/>
          <w:szCs w:val="22"/>
          <w:lang w:val="es-ES_tradnl"/>
        </w:rPr>
      </w:pPr>
    </w:p>
    <w:p w:rsidR="001A2943" w:rsidRPr="000A19E1" w:rsidRDefault="001A2943" w:rsidP="001A2943">
      <w:pPr>
        <w:rPr>
          <w:bCs/>
          <w:szCs w:val="22"/>
          <w:lang w:val="es-ES_tradnl"/>
        </w:rPr>
      </w:pPr>
      <w:r w:rsidRPr="000A19E1">
        <w:rPr>
          <w:bCs/>
          <w:szCs w:val="22"/>
          <w:lang w:val="es-ES_tradnl"/>
        </w:rPr>
        <w:t>Los diseños y dibujos industriales difieren de las patentes en los siguientes aspectos:</w:t>
      </w:r>
    </w:p>
    <w:p w:rsidR="001A2943" w:rsidRPr="000A19E1" w:rsidRDefault="001A2943" w:rsidP="001A2943">
      <w:pPr>
        <w:rPr>
          <w:bCs/>
          <w:szCs w:val="22"/>
          <w:lang w:val="es-ES_tradnl"/>
        </w:rPr>
      </w:pP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Los diseños y dibujos industriales están exentos de la actividad inventiva y aplicabilidad industrial de las patentes.</w:t>
      </w:r>
      <w:r>
        <w:rPr>
          <w:rFonts w:ascii="Arial" w:hAnsi="Arial" w:cs="Arial"/>
          <w:bCs/>
          <w:sz w:val="22"/>
          <w:szCs w:val="22"/>
          <w:lang w:val="es-ES_tradnl"/>
        </w:rPr>
        <w:t xml:space="preserve"> </w:t>
      </w:r>
      <w:r w:rsidRPr="000A19E1">
        <w:rPr>
          <w:rFonts w:ascii="Arial" w:hAnsi="Arial" w:cs="Arial"/>
          <w:bCs/>
          <w:sz w:val="22"/>
          <w:szCs w:val="22"/>
          <w:lang w:val="es-ES_tradnl"/>
        </w:rPr>
        <w:t>Sólo deben ser nuevos.</w:t>
      </w:r>
      <w:r>
        <w:rPr>
          <w:rFonts w:ascii="Arial" w:hAnsi="Arial" w:cs="Arial"/>
          <w:bCs/>
          <w:sz w:val="22"/>
          <w:szCs w:val="22"/>
          <w:lang w:val="es-ES_tradnl"/>
        </w:rPr>
        <w:t xml:space="preserve"> </w:t>
      </w:r>
      <w:r w:rsidRPr="000A19E1">
        <w:rPr>
          <w:rFonts w:ascii="Arial" w:hAnsi="Arial" w:cs="Arial"/>
          <w:bCs/>
          <w:sz w:val="22"/>
          <w:szCs w:val="22"/>
          <w:lang w:val="es-ES_tradnl"/>
        </w:rPr>
        <w:t>Los diseños y dibujos se consideran nuevos si difieren significativamente de dibujos o diseños industriales conocidos o si difieren de combinaciones de características de dibujos y diseños industriales conocidos (Artículo 62 de la Ley 19.039).</w:t>
      </w:r>
      <w:r>
        <w:rPr>
          <w:rFonts w:ascii="Arial" w:hAnsi="Arial" w:cs="Arial"/>
          <w:bCs/>
          <w:sz w:val="22"/>
          <w:szCs w:val="22"/>
          <w:lang w:val="es-ES_tradnl"/>
        </w:rPr>
        <w:t xml:space="preserve"> </w:t>
      </w:r>
      <w:r w:rsidRPr="000A19E1">
        <w:rPr>
          <w:rFonts w:ascii="Arial" w:hAnsi="Arial" w:cs="Arial"/>
          <w:bCs/>
          <w:sz w:val="22"/>
          <w:szCs w:val="22"/>
          <w:lang w:val="es-ES_tradnl"/>
        </w:rPr>
        <w:t>La búsqueda de antecedentes</w:t>
      </w:r>
      <w:r>
        <w:rPr>
          <w:rFonts w:ascii="Arial" w:hAnsi="Arial" w:cs="Arial"/>
          <w:bCs/>
          <w:sz w:val="22"/>
          <w:szCs w:val="22"/>
          <w:lang w:val="es-ES_tradnl"/>
        </w:rPr>
        <w:t xml:space="preserve"> </w:t>
      </w:r>
      <w:r w:rsidRPr="000A19E1">
        <w:rPr>
          <w:rFonts w:ascii="Arial" w:hAnsi="Arial" w:cs="Arial"/>
          <w:bCs/>
          <w:sz w:val="22"/>
          <w:szCs w:val="22"/>
          <w:lang w:val="es-ES_tradnl"/>
        </w:rPr>
        <w:t xml:space="preserve">se lleva a cabo buscando diseños y dibujos industriales protegidos en la misma categoría de la clasificación de </w:t>
      </w:r>
      <w:proofErr w:type="spellStart"/>
      <w:r w:rsidRPr="000A19E1">
        <w:rPr>
          <w:rFonts w:ascii="Arial" w:hAnsi="Arial" w:cs="Arial"/>
          <w:bCs/>
          <w:sz w:val="22"/>
          <w:szCs w:val="22"/>
          <w:lang w:val="es-ES_tradnl"/>
        </w:rPr>
        <w:t>Locarno</w:t>
      </w:r>
      <w:proofErr w:type="spellEnd"/>
      <w:r w:rsidRPr="000A19E1">
        <w:rPr>
          <w:rFonts w:ascii="Arial" w:hAnsi="Arial" w:cs="Arial"/>
          <w:bCs/>
          <w:sz w:val="22"/>
          <w:szCs w:val="22"/>
          <w:lang w:val="es-ES_tradnl"/>
        </w:rPr>
        <w:t xml:space="preserve"> en oficinas internacionales, como la USPTO o la Oficina de Armonización del Mercado Interior (</w:t>
      </w:r>
      <w:r>
        <w:rPr>
          <w:rFonts w:ascii="Arial" w:hAnsi="Arial" w:cs="Arial"/>
          <w:bCs/>
          <w:sz w:val="22"/>
          <w:szCs w:val="22"/>
          <w:lang w:val="es-ES_tradnl"/>
        </w:rPr>
        <w:t>OAMI</w:t>
      </w:r>
      <w:r w:rsidRPr="000A19E1">
        <w:rPr>
          <w:rFonts w:ascii="Arial" w:hAnsi="Arial" w:cs="Arial"/>
          <w:bCs/>
          <w:sz w:val="22"/>
          <w:szCs w:val="22"/>
          <w:lang w:val="es-ES_tradnl"/>
        </w:rPr>
        <w:t>).</w:t>
      </w:r>
      <w:r>
        <w:rPr>
          <w:rFonts w:ascii="Arial" w:hAnsi="Arial" w:cs="Arial"/>
          <w:bCs/>
          <w:sz w:val="22"/>
          <w:szCs w:val="22"/>
          <w:lang w:val="es-ES_tradnl"/>
        </w:rPr>
        <w:t xml:space="preserve"> </w:t>
      </w:r>
      <w:r w:rsidRPr="000A19E1">
        <w:rPr>
          <w:rFonts w:ascii="Arial" w:hAnsi="Arial" w:cs="Arial"/>
          <w:bCs/>
          <w:sz w:val="22"/>
          <w:szCs w:val="22"/>
          <w:lang w:val="es-ES_tradnl"/>
        </w:rPr>
        <w:t>Para dibujos, la novedad significa una nueva fisonomía, para diseños, una nueva apariencia.</w:t>
      </w: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lastRenderedPageBreak/>
        <w:t>Los diseños y dibujos industriales son válidos por un período no renovable de 10 años a partir de la fecha de solicitud.</w:t>
      </w: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El procedimiento de solicitud de diseños y dibujos industriales involucra los mismos pasos y plazos que el utilizado para las patentes (ver Apéndice 1.4).</w:t>
      </w:r>
      <w:r>
        <w:rPr>
          <w:rFonts w:ascii="Arial" w:hAnsi="Arial" w:cs="Arial"/>
          <w:bCs/>
          <w:sz w:val="22"/>
          <w:szCs w:val="22"/>
          <w:lang w:val="es-ES_tradnl"/>
        </w:rPr>
        <w:t xml:space="preserve"> </w:t>
      </w:r>
      <w:r w:rsidRPr="000A19E1">
        <w:rPr>
          <w:rFonts w:ascii="Arial" w:hAnsi="Arial" w:cs="Arial"/>
          <w:bCs/>
          <w:sz w:val="22"/>
          <w:szCs w:val="22"/>
          <w:lang w:val="es-ES_tradnl"/>
        </w:rPr>
        <w:t xml:space="preserve">Sin embargo, los diseños y dibujos industriales no contemplan </w:t>
      </w:r>
      <w:r>
        <w:rPr>
          <w:rFonts w:ascii="Arial" w:hAnsi="Arial" w:cs="Arial"/>
          <w:bCs/>
          <w:sz w:val="22"/>
          <w:szCs w:val="22"/>
          <w:lang w:val="es-ES_tradnl"/>
        </w:rPr>
        <w:t>reivindicaciones</w:t>
      </w:r>
      <w:r w:rsidRPr="000A19E1">
        <w:rPr>
          <w:rFonts w:ascii="Arial" w:hAnsi="Arial" w:cs="Arial"/>
          <w:bCs/>
          <w:sz w:val="22"/>
          <w:szCs w:val="22"/>
          <w:lang w:val="es-ES_tradnl"/>
        </w:rPr>
        <w:t>.</w:t>
      </w: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Las tarifas son las mismas que se utilizan para las patentes, con excepción de la tasa de examen, que es más baja para los diseños y dibujos industriales.</w:t>
      </w:r>
      <w:r w:rsidRPr="000A19E1">
        <w:rPr>
          <w:rFonts w:ascii="Arial" w:hAnsi="Arial" w:cs="Arial"/>
          <w:sz w:val="22"/>
          <w:szCs w:val="22"/>
          <w:vertAlign w:val="superscript"/>
          <w:lang w:val="es-ES_tradnl"/>
        </w:rPr>
        <w:footnoteReference w:id="19"/>
      </w:r>
    </w:p>
    <w:p w:rsidR="001A2943" w:rsidRPr="0021724E" w:rsidRDefault="001A2943" w:rsidP="001A2943">
      <w:pPr>
        <w:pStyle w:val="Heading1"/>
        <w:rPr>
          <w:b w:val="0"/>
          <w:u w:val="single"/>
          <w:lang w:val="es-ES_tradnl"/>
        </w:rPr>
      </w:pPr>
      <w:bookmarkStart w:id="7" w:name="_Toc359312054"/>
      <w:r w:rsidRPr="0021724E">
        <w:rPr>
          <w:b w:val="0"/>
          <w:lang w:val="es-ES_tradnl"/>
        </w:rPr>
        <w:t>3.</w:t>
      </w:r>
      <w:r w:rsidRPr="0021724E">
        <w:rPr>
          <w:b w:val="0"/>
          <w:lang w:val="es-ES_tradnl"/>
        </w:rPr>
        <w:tab/>
      </w:r>
      <w:r w:rsidR="00C63392" w:rsidRPr="0021724E">
        <w:rPr>
          <w:b w:val="0"/>
          <w:u w:val="single"/>
          <w:lang w:val="es-ES_tradnl"/>
        </w:rPr>
        <w:t>T</w:t>
      </w:r>
      <w:r w:rsidR="00C63392" w:rsidRPr="0021724E">
        <w:rPr>
          <w:b w:val="0"/>
          <w:caps w:val="0"/>
          <w:u w:val="single"/>
          <w:lang w:val="es-ES_tradnl"/>
        </w:rPr>
        <w:t>endencias generales</w:t>
      </w:r>
      <w:bookmarkEnd w:id="7"/>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En las últimas dos décadas, el INAPI ha experimentado un rápido crecimiento en el uso de la mayoría de las formas de P.I.</w:t>
      </w:r>
      <w:r>
        <w:rPr>
          <w:szCs w:val="22"/>
          <w:lang w:val="es-ES_tradnl"/>
        </w:rPr>
        <w:t xml:space="preserve"> </w:t>
      </w:r>
      <w:r w:rsidRPr="000A19E1">
        <w:rPr>
          <w:szCs w:val="22"/>
          <w:lang w:val="es-ES_tradnl"/>
        </w:rPr>
        <w:t>El Gráfico 1 presenta la evolución de las solicitudes de patentes, modelos de utilidad y diseños industriales en el período 1991-2010.</w:t>
      </w:r>
      <w:r>
        <w:rPr>
          <w:szCs w:val="22"/>
          <w:lang w:val="es-ES_tradnl"/>
        </w:rPr>
        <w:t xml:space="preserve"> </w:t>
      </w:r>
      <w:r w:rsidR="0096695C">
        <w:rPr>
          <w:szCs w:val="22"/>
          <w:lang w:val="es-ES_tradnl"/>
        </w:rPr>
        <w:t xml:space="preserve"> </w:t>
      </w:r>
      <w:r w:rsidRPr="000A19E1">
        <w:rPr>
          <w:szCs w:val="22"/>
          <w:lang w:val="es-ES_tradnl"/>
        </w:rPr>
        <w:t xml:space="preserve">Las solicitudes de patentes se han más que triplicado desde 775 solicitudes por año en </w:t>
      </w:r>
      <w:smartTag w:uri="urn:schemas-microsoft-com:office:smarttags" w:element="metricconverter">
        <w:smartTagPr>
          <w:attr w:name="ProductID" w:val="1991 a"/>
        </w:smartTagPr>
        <w:r w:rsidRPr="000A19E1">
          <w:rPr>
            <w:szCs w:val="22"/>
            <w:lang w:val="es-ES_tradnl"/>
          </w:rPr>
          <w:t>1991 a</w:t>
        </w:r>
      </w:smartTag>
      <w:r w:rsidRPr="000A19E1">
        <w:rPr>
          <w:szCs w:val="22"/>
          <w:lang w:val="es-ES_tradnl"/>
        </w:rPr>
        <w:t xml:space="preserve"> más de 3.000 en</w:t>
      </w:r>
      <w:r w:rsidR="0096695C">
        <w:rPr>
          <w:szCs w:val="22"/>
          <w:lang w:val="es-ES_tradnl"/>
        </w:rPr>
        <w:t> </w:t>
      </w:r>
      <w:r w:rsidRPr="000A19E1">
        <w:rPr>
          <w:szCs w:val="22"/>
          <w:lang w:val="es-ES_tradnl"/>
        </w:rPr>
        <w:t>2008.</w:t>
      </w:r>
      <w:r>
        <w:rPr>
          <w:szCs w:val="22"/>
          <w:lang w:val="es-ES_tradnl"/>
        </w:rPr>
        <w:t xml:space="preserve"> </w:t>
      </w:r>
      <w:r w:rsidRPr="000A19E1">
        <w:rPr>
          <w:szCs w:val="22"/>
          <w:lang w:val="es-ES_tradnl"/>
        </w:rPr>
        <w:t>Aunque es difícil cuantificar con precisión los determinantes del crecimiento observado, se destacan tres factores:</w:t>
      </w:r>
    </w:p>
    <w:p w:rsidR="001A2943" w:rsidRPr="000A19E1" w:rsidRDefault="001A2943" w:rsidP="001A2943">
      <w:pPr>
        <w:rPr>
          <w:szCs w:val="22"/>
          <w:lang w:val="es-ES_tradnl"/>
        </w:rPr>
      </w:pP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como se describe en la sección anterior, la reforma de la ley de patentes de Chile en 1991 amplió el alcance de la protección de patentes a nuevas materias, en particular productos farmacéuticos;</w:t>
      </w: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la economía chilena ha experimentado un fuerte crecimiento desde principios de 1990, generando un mayor interés de los innovadores por el mercado chileno;</w:t>
      </w:r>
    </w:p>
    <w:p w:rsidR="001A2943" w:rsidRPr="000A19E1" w:rsidRDefault="001A2943" w:rsidP="004C3144">
      <w:pPr>
        <w:pStyle w:val="ListParagraph"/>
        <w:numPr>
          <w:ilvl w:val="0"/>
          <w:numId w:val="4"/>
        </w:numPr>
        <w:spacing w:after="200"/>
        <w:rPr>
          <w:rFonts w:ascii="Arial" w:hAnsi="Arial" w:cs="Arial"/>
          <w:bCs/>
          <w:sz w:val="22"/>
          <w:szCs w:val="22"/>
          <w:lang w:val="es-ES_tradnl"/>
        </w:rPr>
      </w:pPr>
      <w:r w:rsidRPr="000A19E1">
        <w:rPr>
          <w:rFonts w:ascii="Arial" w:hAnsi="Arial" w:cs="Arial"/>
          <w:bCs/>
          <w:sz w:val="22"/>
          <w:szCs w:val="22"/>
          <w:lang w:val="es-ES_tradnl"/>
        </w:rPr>
        <w:t>en las últimas dos décadas se ha incrementado la confianza en el sistema de patentes en todo el mundo y Chile se ha integrado con mayor decisión a la economía global.</w:t>
      </w:r>
    </w:p>
    <w:p w:rsidR="001A2943" w:rsidRPr="000A19E1" w:rsidRDefault="001A2943" w:rsidP="001A2943">
      <w:pPr>
        <w:rPr>
          <w:szCs w:val="22"/>
          <w:lang w:val="es-ES_tradnl"/>
        </w:rPr>
      </w:pPr>
      <w:r w:rsidRPr="000A19E1">
        <w:rPr>
          <w:szCs w:val="22"/>
          <w:lang w:val="es-ES_tradnl"/>
        </w:rPr>
        <w:t xml:space="preserve">A pesar de la extensión de la vigencia de la patente de </w:t>
      </w:r>
      <w:smartTag w:uri="urn:schemas-microsoft-com:office:smarttags" w:element="metricconverter">
        <w:smartTagPr>
          <w:attr w:name="ProductID" w:val="15 a"/>
        </w:smartTagPr>
        <w:r w:rsidRPr="000A19E1">
          <w:rPr>
            <w:szCs w:val="22"/>
            <w:lang w:val="es-ES_tradnl"/>
          </w:rPr>
          <w:t>15 a</w:t>
        </w:r>
      </w:smartTag>
      <w:r w:rsidRPr="000A19E1">
        <w:rPr>
          <w:szCs w:val="22"/>
          <w:lang w:val="es-ES_tradnl"/>
        </w:rPr>
        <w:t xml:space="preserve"> 20 años en 2005 por la primera enmienda de la Ley de Propiedad Intelectual (véase la Sección 2), no se observa una ruptura de la tendencia en el número de solicitudes presentadas.</w:t>
      </w:r>
      <w:r>
        <w:rPr>
          <w:szCs w:val="22"/>
          <w:lang w:val="es-ES_tradnl"/>
        </w:rPr>
        <w:t xml:space="preserve"> </w:t>
      </w:r>
      <w:r w:rsidR="0096695C">
        <w:rPr>
          <w:szCs w:val="22"/>
          <w:lang w:val="es-ES_tradnl"/>
        </w:rPr>
        <w:t xml:space="preserve"> </w:t>
      </w:r>
      <w:r w:rsidRPr="000A19E1">
        <w:rPr>
          <w:szCs w:val="22"/>
          <w:lang w:val="es-ES_tradnl"/>
        </w:rPr>
        <w:t>El número de solicitudes comienza a aumentar ya en 2004, con anterioridad a la modificación.</w:t>
      </w:r>
    </w:p>
    <w:p w:rsidR="001A2943" w:rsidRPr="000A19E1" w:rsidRDefault="001A2943" w:rsidP="001A2943">
      <w:pPr>
        <w:rPr>
          <w:szCs w:val="22"/>
          <w:lang w:val="es-ES_tradnl"/>
        </w:rPr>
      </w:pPr>
    </w:p>
    <w:p w:rsidR="001A2943" w:rsidRPr="000A19E1" w:rsidRDefault="001A2943" w:rsidP="001A2943">
      <w:pPr>
        <w:keepNext/>
        <w:jc w:val="center"/>
        <w:rPr>
          <w:b/>
          <w:lang w:val="es-ES_tradnl"/>
        </w:rPr>
      </w:pPr>
      <w:r w:rsidRPr="000A19E1">
        <w:rPr>
          <w:b/>
          <w:lang w:val="es-ES_tradnl"/>
        </w:rPr>
        <w:lastRenderedPageBreak/>
        <w:t>Gráfico 1</w:t>
      </w:r>
      <w:proofErr w:type="gramStart"/>
      <w:r w:rsidRPr="000A19E1">
        <w:rPr>
          <w:b/>
          <w:lang w:val="es-ES_tradnl"/>
        </w:rPr>
        <w:t>:</w:t>
      </w:r>
      <w:r>
        <w:rPr>
          <w:b/>
          <w:lang w:val="es-ES_tradnl"/>
        </w:rPr>
        <w:t xml:space="preserve"> </w:t>
      </w:r>
      <w:r w:rsidR="00C63392">
        <w:rPr>
          <w:b/>
          <w:lang w:val="es-ES_tradnl"/>
        </w:rPr>
        <w:t xml:space="preserve"> </w:t>
      </w:r>
      <w:r w:rsidRPr="000A19E1">
        <w:rPr>
          <w:b/>
          <w:lang w:val="es-ES_tradnl"/>
        </w:rPr>
        <w:t>Número</w:t>
      </w:r>
      <w:proofErr w:type="gramEnd"/>
      <w:r w:rsidRPr="000A19E1">
        <w:rPr>
          <w:b/>
          <w:lang w:val="es-ES_tradnl"/>
        </w:rPr>
        <w:t xml:space="preserve"> de patentes, modelos de utilidad y diseños solicitados (1991</w:t>
      </w:r>
      <w:r w:rsidRPr="000A19E1">
        <w:rPr>
          <w:b/>
          <w:lang w:val="es-ES_tradnl"/>
        </w:rPr>
        <w:noBreakHyphen/>
        <w:t>2010)</w:t>
      </w:r>
    </w:p>
    <w:p w:rsidR="001A2943" w:rsidRPr="000A19E1" w:rsidRDefault="001A2943" w:rsidP="001A2943">
      <w:pPr>
        <w:keepNext/>
        <w:jc w:val="center"/>
        <w:rPr>
          <w:lang w:val="es-ES_tradnl"/>
        </w:rPr>
      </w:pPr>
      <w:r w:rsidRPr="000A19E1">
        <w:rPr>
          <w:noProof/>
          <w:lang w:val="en-US" w:eastAsia="en-US"/>
        </w:rPr>
        <w:drawing>
          <wp:inline distT="0" distB="0" distL="0" distR="0" wp14:anchorId="4994FE14" wp14:editId="73E42D0A">
            <wp:extent cx="5120640" cy="3745230"/>
            <wp:effectExtent l="0" t="0" r="0" b="762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szCs w:val="22"/>
          <w:lang w:val="es-ES_tradnl"/>
        </w:rPr>
      </w:pPr>
      <w:r w:rsidRPr="000A19E1">
        <w:rPr>
          <w:szCs w:val="22"/>
          <w:lang w:val="es-ES_tradnl"/>
        </w:rPr>
        <w:t xml:space="preserve">De mediados de </w:t>
      </w:r>
      <w:smartTag w:uri="urn:schemas-microsoft-com:office:smarttags" w:element="metricconverter">
        <w:smartTagPr>
          <w:attr w:name="ProductID" w:val="2009 a"/>
        </w:smartTagPr>
        <w:r w:rsidRPr="000A19E1">
          <w:rPr>
            <w:szCs w:val="22"/>
            <w:lang w:val="es-ES_tradnl"/>
          </w:rPr>
          <w:t>2009 a</w:t>
        </w:r>
      </w:smartTag>
      <w:r w:rsidRPr="000A19E1">
        <w:rPr>
          <w:szCs w:val="22"/>
          <w:lang w:val="es-ES_tradnl"/>
        </w:rPr>
        <w:t xml:space="preserve"> 2010, las solicitudes de patentes se redujeron drásticamente debido a la adhesión de Chile al Tratado de Cooperación en materia de Patentes (PCT), en vigor desde el 2 de junio de 2009.</w:t>
      </w:r>
      <w:r>
        <w:rPr>
          <w:szCs w:val="22"/>
          <w:lang w:val="es-ES_tradnl"/>
        </w:rPr>
        <w:t xml:space="preserve"> </w:t>
      </w:r>
      <w:r w:rsidR="0096695C">
        <w:rPr>
          <w:szCs w:val="22"/>
          <w:lang w:val="es-ES_tradnl"/>
        </w:rPr>
        <w:t xml:space="preserve"> </w:t>
      </w:r>
      <w:r w:rsidRPr="000A19E1">
        <w:rPr>
          <w:szCs w:val="22"/>
          <w:lang w:val="es-ES_tradnl"/>
        </w:rPr>
        <w:t>En lugar de realizar sus presentaciones</w:t>
      </w:r>
      <w:r>
        <w:rPr>
          <w:szCs w:val="22"/>
          <w:lang w:val="es-ES_tradnl"/>
        </w:rPr>
        <w:t xml:space="preserve"> </w:t>
      </w:r>
      <w:r w:rsidRPr="000A19E1">
        <w:rPr>
          <w:szCs w:val="22"/>
          <w:lang w:val="es-ES_tradnl"/>
        </w:rPr>
        <w:t>directamente en Chile, la mayoría de los solicitantes no residentes optaron por una solicitud internacional PCT, que les aseguraba un plazo de hasta 18 meses para tomar una decisión sobre la conveniencia de solicitar protección en Chile.</w:t>
      </w:r>
      <w:r>
        <w:rPr>
          <w:szCs w:val="22"/>
          <w:lang w:val="es-ES_tradnl"/>
        </w:rPr>
        <w:t xml:space="preserve"> </w:t>
      </w:r>
      <w:r w:rsidR="0096695C">
        <w:rPr>
          <w:szCs w:val="22"/>
          <w:lang w:val="es-ES_tradnl"/>
        </w:rPr>
        <w:t xml:space="preserve"> </w:t>
      </w:r>
      <w:r w:rsidRPr="000A19E1">
        <w:rPr>
          <w:szCs w:val="22"/>
          <w:lang w:val="es-ES_tradnl"/>
        </w:rPr>
        <w:t>Esta disminución transitoria en las presentaciones finalizó a principios de 2011, año no cubierto por los datos, ya que los solicitantes no residentes comenzaron a ingresar en la fase nacional del PCT en Chile.</w:t>
      </w:r>
      <w:r>
        <w:rPr>
          <w:szCs w:val="22"/>
          <w:lang w:val="es-ES_tradnl"/>
        </w:rPr>
        <w:t xml:space="preserve"> </w:t>
      </w:r>
      <w:r w:rsidR="0096695C">
        <w:rPr>
          <w:szCs w:val="22"/>
          <w:lang w:val="es-ES_tradnl"/>
        </w:rPr>
        <w:t xml:space="preserve"> </w:t>
      </w:r>
      <w:r w:rsidRPr="000A19E1">
        <w:rPr>
          <w:szCs w:val="22"/>
          <w:lang w:val="es-ES_tradnl"/>
        </w:rPr>
        <w:t>Es importante tener presente en el resto del análisis este efecto de la adhesión al PCT al examinar las cifras sobre solicitudes de patentes en 2009 y 2010.</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Los diseños industriales y modelos de utilidad son mucho menos populares en Chile.</w:t>
      </w:r>
      <w:r w:rsidR="0096695C">
        <w:rPr>
          <w:szCs w:val="22"/>
          <w:lang w:val="es-ES_tradnl"/>
        </w:rPr>
        <w:t xml:space="preserve"> </w:t>
      </w:r>
      <w:r>
        <w:rPr>
          <w:szCs w:val="22"/>
          <w:lang w:val="es-ES_tradnl"/>
        </w:rPr>
        <w:t xml:space="preserve"> </w:t>
      </w:r>
      <w:r w:rsidRPr="000A19E1">
        <w:rPr>
          <w:szCs w:val="22"/>
          <w:lang w:val="es-ES_tradnl"/>
        </w:rPr>
        <w:t xml:space="preserve">El número de solicitudes anuales de modelos de utilidad y diseños industriales aumentó de </w:t>
      </w:r>
      <w:smartTag w:uri="urn:schemas-microsoft-com:office:smarttags" w:element="metricconverter">
        <w:smartTagPr>
          <w:attr w:name="ProductID" w:val="17 a"/>
        </w:smartTagPr>
        <w:r w:rsidRPr="000A19E1">
          <w:rPr>
            <w:szCs w:val="22"/>
            <w:lang w:val="es-ES_tradnl"/>
          </w:rPr>
          <w:t>17 a</w:t>
        </w:r>
      </w:smartTag>
      <w:r w:rsidRPr="000A19E1">
        <w:rPr>
          <w:szCs w:val="22"/>
          <w:lang w:val="es-ES_tradnl"/>
        </w:rPr>
        <w:t xml:space="preserve"> 62 y de </w:t>
      </w:r>
      <w:smartTag w:uri="urn:schemas-microsoft-com:office:smarttags" w:element="metricconverter">
        <w:smartTagPr>
          <w:attr w:name="ProductID" w:val="131 a"/>
        </w:smartTagPr>
        <w:r w:rsidRPr="000A19E1">
          <w:rPr>
            <w:szCs w:val="22"/>
            <w:lang w:val="es-ES_tradnl"/>
          </w:rPr>
          <w:t>131 a</w:t>
        </w:r>
      </w:smartTag>
      <w:r w:rsidRPr="000A19E1">
        <w:rPr>
          <w:szCs w:val="22"/>
          <w:lang w:val="es-ES_tradnl"/>
        </w:rPr>
        <w:t xml:space="preserve"> 451, respectivamente, entre 1991 y 2008.</w:t>
      </w:r>
      <w:r>
        <w:rPr>
          <w:szCs w:val="22"/>
          <w:lang w:val="es-ES_tradnl"/>
        </w:rPr>
        <w:t xml:space="preserve"> </w:t>
      </w:r>
      <w:r w:rsidR="00513477">
        <w:rPr>
          <w:szCs w:val="22"/>
          <w:lang w:val="es-ES_tradnl"/>
        </w:rPr>
        <w:t xml:space="preserve"> </w:t>
      </w:r>
      <w:r w:rsidRPr="000A19E1">
        <w:rPr>
          <w:szCs w:val="22"/>
          <w:lang w:val="es-ES_tradnl"/>
        </w:rPr>
        <w:t>Las presentaciones de solicitudes de estas dos formas de P.I. son modestas no sólo en comparación con las patentes sino también cuando se comparan con otros países (ver Gráfico 2).</w:t>
      </w:r>
    </w:p>
    <w:p w:rsidR="001A2943" w:rsidRDefault="001A2943" w:rsidP="001A2943">
      <w:pPr>
        <w:rPr>
          <w:lang w:val="es-ES_tradnl"/>
        </w:rPr>
      </w:pPr>
    </w:p>
    <w:p w:rsidR="00794DE8" w:rsidRPr="000A19E1" w:rsidRDefault="00794DE8" w:rsidP="001A2943">
      <w:pPr>
        <w:rPr>
          <w:lang w:val="es-ES_tradnl"/>
        </w:rPr>
      </w:pPr>
    </w:p>
    <w:p w:rsidR="001A2943" w:rsidRDefault="001A2943" w:rsidP="001A2943">
      <w:pPr>
        <w:keepNext/>
        <w:spacing w:after="120"/>
        <w:jc w:val="center"/>
        <w:rPr>
          <w:b/>
          <w:lang w:val="es-ES_tradnl"/>
        </w:rPr>
      </w:pPr>
      <w:r w:rsidRPr="000A19E1">
        <w:rPr>
          <w:b/>
          <w:lang w:val="es-ES_tradnl"/>
        </w:rPr>
        <w:lastRenderedPageBreak/>
        <w:t>Gráfico 2</w:t>
      </w:r>
      <w:proofErr w:type="gramStart"/>
      <w:r w:rsidRPr="000A19E1">
        <w:rPr>
          <w:b/>
          <w:lang w:val="es-ES_tradnl"/>
        </w:rPr>
        <w:t>:</w:t>
      </w:r>
      <w:r w:rsidR="00794DE8">
        <w:rPr>
          <w:b/>
          <w:lang w:val="es-ES_tradnl"/>
        </w:rPr>
        <w:t xml:space="preserve">  </w:t>
      </w:r>
      <w:r w:rsidRPr="000A19E1">
        <w:rPr>
          <w:b/>
          <w:lang w:val="es-ES_tradnl"/>
        </w:rPr>
        <w:t>Solicitudes</w:t>
      </w:r>
      <w:proofErr w:type="gramEnd"/>
      <w:r w:rsidRPr="000A19E1">
        <w:rPr>
          <w:b/>
          <w:lang w:val="es-ES_tradnl"/>
        </w:rPr>
        <w:t xml:space="preserve"> de modelos de utilidad y diseños industriales, promedios 2008</w:t>
      </w:r>
      <w:r w:rsidR="00794DE8">
        <w:rPr>
          <w:b/>
          <w:lang w:val="es-ES_tradnl"/>
        </w:rPr>
        <w:noBreakHyphen/>
      </w:r>
      <w:r w:rsidRPr="000A19E1">
        <w:rPr>
          <w:b/>
          <w:lang w:val="es-ES_tradnl"/>
        </w:rPr>
        <w:t xml:space="preserve">2010 </w:t>
      </w:r>
    </w:p>
    <w:p w:rsidR="00794DE8" w:rsidRPr="000A19E1" w:rsidRDefault="00794DE8" w:rsidP="001A2943">
      <w:pPr>
        <w:keepNext/>
        <w:spacing w:after="120"/>
        <w:jc w:val="center"/>
        <w:rPr>
          <w:b/>
          <w:lang w:val="es-ES_tradnl"/>
        </w:rPr>
      </w:pPr>
      <w:r w:rsidRPr="000A19E1">
        <w:rPr>
          <w:noProof/>
          <w:lang w:val="en-US" w:eastAsia="en-US"/>
        </w:rPr>
        <w:drawing>
          <wp:inline distT="0" distB="0" distL="0" distR="0" wp14:anchorId="45D1F92C" wp14:editId="2350E75A">
            <wp:extent cx="5215890" cy="3578225"/>
            <wp:effectExtent l="0" t="0" r="381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5890" cy="3578225"/>
                    </a:xfrm>
                    <a:prstGeom prst="rect">
                      <a:avLst/>
                    </a:prstGeom>
                    <a:noFill/>
                    <a:ln>
                      <a:noFill/>
                    </a:ln>
                  </pic:spPr>
                </pic:pic>
              </a:graphicData>
            </a:graphic>
          </wp:inline>
        </w:drawing>
      </w:r>
    </w:p>
    <w:p w:rsidR="001A2943" w:rsidRPr="000A19E1" w:rsidRDefault="001A2943" w:rsidP="001A2943">
      <w:pPr>
        <w:spacing w:before="40" w:after="40"/>
        <w:ind w:left="720"/>
        <w:rPr>
          <w:sz w:val="18"/>
          <w:szCs w:val="18"/>
          <w:u w:val="single"/>
          <w:lang w:val="es-ES_tradnl"/>
        </w:rPr>
      </w:pPr>
      <w:r w:rsidRPr="000A19E1">
        <w:rPr>
          <w:sz w:val="18"/>
          <w:szCs w:val="18"/>
          <w:u w:val="single"/>
          <w:lang w:val="es-ES_tradnl"/>
        </w:rPr>
        <w:t>Nota:</w:t>
      </w:r>
      <w:r>
        <w:rPr>
          <w:sz w:val="18"/>
          <w:szCs w:val="18"/>
          <w:lang w:val="es-ES_tradnl"/>
        </w:rPr>
        <w:t xml:space="preserve"> </w:t>
      </w:r>
      <w:r w:rsidRPr="000A19E1">
        <w:rPr>
          <w:sz w:val="18"/>
          <w:szCs w:val="18"/>
          <w:lang w:val="es-ES_tradnl"/>
        </w:rPr>
        <w:t>Los países se seleccionaron para ilustrar un mayor uso de modelos de utilidad en diferentes partes del mundo.</w:t>
      </w:r>
      <w:r>
        <w:rPr>
          <w:sz w:val="18"/>
          <w:szCs w:val="18"/>
          <w:lang w:val="es-ES_tradnl"/>
        </w:rPr>
        <w:t xml:space="preserve"> </w:t>
      </w:r>
      <w:r w:rsidRPr="000A19E1">
        <w:rPr>
          <w:sz w:val="18"/>
          <w:szCs w:val="18"/>
          <w:lang w:val="es-ES_tradnl"/>
        </w:rPr>
        <w:t>La selección no es representativa ya que, de hecho, muchos países muestran un uso limitado de estas formas P.I. al igual que Chile.</w:t>
      </w:r>
      <w:r>
        <w:rPr>
          <w:sz w:val="18"/>
          <w:szCs w:val="18"/>
          <w:lang w:val="es-ES_tradnl"/>
        </w:rPr>
        <w:t xml:space="preserve"> </w:t>
      </w:r>
      <w:r w:rsidRPr="000A19E1">
        <w:rPr>
          <w:sz w:val="18"/>
          <w:szCs w:val="18"/>
          <w:lang w:val="es-ES_tradnl"/>
        </w:rPr>
        <w:t>Además, es importante tener en cuenta que el tamaño del país influye en la cantidad de las solicitudes.</w:t>
      </w:r>
    </w:p>
    <w:p w:rsidR="001A2943" w:rsidRPr="000A19E1" w:rsidRDefault="001A2943" w:rsidP="001A2943">
      <w:pPr>
        <w:spacing w:before="40" w:after="40"/>
        <w:ind w:left="720"/>
        <w:rPr>
          <w:sz w:val="18"/>
          <w:szCs w:val="18"/>
          <w:lang w:val="es-ES_tradnl"/>
        </w:rPr>
      </w:pPr>
      <w:r w:rsidRPr="000A19E1">
        <w:rPr>
          <w:sz w:val="18"/>
          <w:szCs w:val="18"/>
          <w:u w:val="single"/>
          <w:lang w:val="es-ES_tradnl"/>
        </w:rPr>
        <w:t>Fuente:</w:t>
      </w:r>
      <w:r>
        <w:rPr>
          <w:sz w:val="18"/>
          <w:szCs w:val="18"/>
          <w:lang w:val="es-ES_tradnl"/>
        </w:rPr>
        <w:t xml:space="preserve"> </w:t>
      </w:r>
      <w:r w:rsidRPr="000A19E1">
        <w:rPr>
          <w:sz w:val="18"/>
          <w:szCs w:val="18"/>
          <w:lang w:val="es-ES_tradnl"/>
        </w:rPr>
        <w:t>Base de datos estadísticos de la OMPI.</w:t>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 xml:space="preserve">En el caso de los modelos de utilidad, una explicación para su limitado uso en Chile es que el INAPI </w:t>
      </w:r>
      <w:r>
        <w:rPr>
          <w:szCs w:val="22"/>
          <w:lang w:val="es-ES_tradnl"/>
        </w:rPr>
        <w:t>realiza un examen de fondo respecto a las solicitudes de</w:t>
      </w:r>
      <w:r w:rsidRPr="000A19E1">
        <w:rPr>
          <w:szCs w:val="22"/>
          <w:lang w:val="es-ES_tradnl"/>
        </w:rPr>
        <w:t xml:space="preserve"> modelo de utilidad </w:t>
      </w:r>
      <w:r w:rsidRPr="000A19E1">
        <w:rPr>
          <w:szCs w:val="22"/>
          <w:lang w:val="es-ES_tradnl"/>
        </w:rPr>
        <w:noBreakHyphen/>
        <w:t>como se describe en la sección anterior.</w:t>
      </w:r>
      <w:r>
        <w:rPr>
          <w:szCs w:val="22"/>
          <w:lang w:val="es-ES_tradnl"/>
        </w:rPr>
        <w:t xml:space="preserve"> </w:t>
      </w:r>
      <w:r w:rsidR="00513477">
        <w:rPr>
          <w:szCs w:val="22"/>
          <w:lang w:val="es-ES_tradnl"/>
        </w:rPr>
        <w:t xml:space="preserve"> </w:t>
      </w:r>
      <w:r w:rsidRPr="000A19E1">
        <w:rPr>
          <w:szCs w:val="22"/>
          <w:lang w:val="es-ES_tradnl"/>
        </w:rPr>
        <w:t xml:space="preserve">Muchos otros países utilizan un sistema de registro sencillo y sin examen </w:t>
      </w:r>
      <w:r>
        <w:rPr>
          <w:szCs w:val="22"/>
          <w:lang w:val="es-ES_tradnl"/>
        </w:rPr>
        <w:t>de fondo</w:t>
      </w:r>
      <w:r w:rsidRPr="000A19E1">
        <w:rPr>
          <w:szCs w:val="22"/>
          <w:lang w:val="es-ES_tradnl"/>
        </w:rPr>
        <w:t>, por lo que para los solicitantes de esos países el modelo de utilidad ofrece una protección de fácil obtención, alternativa al sistema de patentes.</w:t>
      </w:r>
      <w:r w:rsidR="00513477">
        <w:rPr>
          <w:szCs w:val="22"/>
          <w:lang w:val="es-ES_tradnl"/>
        </w:rPr>
        <w:t xml:space="preserve"> </w:t>
      </w:r>
      <w:r>
        <w:rPr>
          <w:szCs w:val="22"/>
          <w:lang w:val="es-ES_tradnl"/>
        </w:rPr>
        <w:t xml:space="preserve"> </w:t>
      </w:r>
      <w:r w:rsidRPr="000A19E1">
        <w:rPr>
          <w:szCs w:val="22"/>
          <w:lang w:val="es-ES_tradnl"/>
        </w:rPr>
        <w:t xml:space="preserve">En el caso de los diseños industriales, la explicación parece estar en el hecho de que los diseñadores utilizan </w:t>
      </w:r>
      <w:r w:rsidRPr="000A19E1">
        <w:rPr>
          <w:szCs w:val="22"/>
          <w:lang w:val="es-ES_tradnl"/>
        </w:rPr>
        <w:noBreakHyphen/>
        <w:t>más que en otros países</w:t>
      </w:r>
      <w:r w:rsidRPr="000A19E1">
        <w:rPr>
          <w:szCs w:val="22"/>
          <w:lang w:val="es-ES_tradnl"/>
        </w:rPr>
        <w:noBreakHyphen/>
        <w:t xml:space="preserve"> el sistema de derechos de autor para proteger sus creaciones.</w:t>
      </w:r>
      <w:r>
        <w:rPr>
          <w:szCs w:val="22"/>
          <w:lang w:val="es-ES_tradnl"/>
        </w:rPr>
        <w:t xml:space="preserve"> </w:t>
      </w:r>
      <w:r w:rsidR="00513477">
        <w:rPr>
          <w:szCs w:val="22"/>
          <w:lang w:val="es-ES_tradnl"/>
        </w:rPr>
        <w:t xml:space="preserve"> </w:t>
      </w:r>
      <w:r w:rsidRPr="000A19E1">
        <w:rPr>
          <w:szCs w:val="22"/>
          <w:lang w:val="es-ES_tradnl"/>
        </w:rPr>
        <w:t>Sin embargo, la importancia empírica de este efecto sustitución no es clara y también pueden tener influencia otros factores tales como las tasas relativamente altas.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El Gráfico 3 presenta la evolución de la solicitud de marcas, mostrando un marcado aumento de las solicitudes anuales desde poco menos de </w:t>
      </w:r>
      <w:r>
        <w:rPr>
          <w:szCs w:val="22"/>
          <w:lang w:val="es-ES_tradnl"/>
        </w:rPr>
        <w:t>30.000</w:t>
      </w:r>
      <w:r w:rsidRPr="000A19E1">
        <w:rPr>
          <w:szCs w:val="22"/>
          <w:lang w:val="es-ES_tradnl"/>
        </w:rPr>
        <w:t xml:space="preserve"> en </w:t>
      </w:r>
      <w:smartTag w:uri="urn:schemas-microsoft-com:office:smarttags" w:element="metricconverter">
        <w:smartTagPr>
          <w:attr w:name="ProductID" w:val="1991 a"/>
        </w:smartTagPr>
        <w:r w:rsidRPr="000A19E1">
          <w:rPr>
            <w:szCs w:val="22"/>
            <w:lang w:val="es-ES_tradnl"/>
          </w:rPr>
          <w:t>1991 a</w:t>
        </w:r>
      </w:smartTag>
      <w:r w:rsidRPr="000A19E1">
        <w:rPr>
          <w:szCs w:val="22"/>
          <w:lang w:val="es-ES_tradnl"/>
        </w:rPr>
        <w:t xml:space="preserve"> más de </w:t>
      </w:r>
      <w:r>
        <w:rPr>
          <w:szCs w:val="22"/>
          <w:lang w:val="es-ES_tradnl"/>
        </w:rPr>
        <w:t>44.000</w:t>
      </w:r>
      <w:r w:rsidRPr="000A19E1">
        <w:rPr>
          <w:szCs w:val="22"/>
          <w:lang w:val="es-ES_tradnl"/>
        </w:rPr>
        <w:t xml:space="preserve"> en 2010.</w:t>
      </w:r>
      <w:r>
        <w:rPr>
          <w:szCs w:val="22"/>
          <w:lang w:val="es-ES_tradnl"/>
        </w:rPr>
        <w:t xml:space="preserve"> </w:t>
      </w:r>
      <w:r w:rsidR="00513477">
        <w:rPr>
          <w:szCs w:val="22"/>
          <w:lang w:val="es-ES_tradnl"/>
        </w:rPr>
        <w:t xml:space="preserve"> </w:t>
      </w:r>
      <w:r w:rsidRPr="000A19E1">
        <w:rPr>
          <w:szCs w:val="22"/>
          <w:lang w:val="es-ES_tradnl"/>
        </w:rPr>
        <w:t>Se trata de un número relativamente elevado para un país del tamaño de Chile.</w:t>
      </w:r>
    </w:p>
    <w:p w:rsidR="001A2943" w:rsidRPr="000A19E1" w:rsidRDefault="001A2943" w:rsidP="001A2943">
      <w:pPr>
        <w:rPr>
          <w:lang w:val="es-ES_tradnl"/>
        </w:rPr>
      </w:pPr>
    </w:p>
    <w:p w:rsidR="001A2943" w:rsidRPr="000A19E1" w:rsidRDefault="001A2943" w:rsidP="001A2943">
      <w:pPr>
        <w:keepNext/>
        <w:jc w:val="center"/>
        <w:rPr>
          <w:lang w:val="es-ES_tradnl"/>
        </w:rPr>
      </w:pPr>
      <w:r w:rsidRPr="000A19E1">
        <w:rPr>
          <w:b/>
          <w:lang w:val="es-ES_tradnl"/>
        </w:rPr>
        <w:lastRenderedPageBreak/>
        <w:t>Gráfico 3: Solicitudes de marcas (1991-2010)</w:t>
      </w:r>
      <w:r w:rsidRPr="000A19E1" w:rsidDel="00A021FB">
        <w:rPr>
          <w:lang w:val="es-ES_tradnl"/>
        </w:rPr>
        <w:t xml:space="preserve"> </w:t>
      </w:r>
    </w:p>
    <w:p w:rsidR="001A2943" w:rsidRPr="000A19E1" w:rsidRDefault="001A2943" w:rsidP="001A2943">
      <w:pPr>
        <w:jc w:val="center"/>
        <w:rPr>
          <w:lang w:val="es-ES_tradnl"/>
        </w:rPr>
      </w:pPr>
      <w:r w:rsidRPr="000A19E1">
        <w:rPr>
          <w:noProof/>
          <w:lang w:val="en-US" w:eastAsia="en-US"/>
        </w:rPr>
        <w:drawing>
          <wp:inline distT="0" distB="0" distL="0" distR="0" wp14:anchorId="1A4C68EE" wp14:editId="00624509">
            <wp:extent cx="5033010" cy="365760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inline>
        </w:drawing>
      </w:r>
    </w:p>
    <w:p w:rsidR="001A2943" w:rsidRPr="000A19E1" w:rsidRDefault="00084774" w:rsidP="001A2943">
      <w:pPr>
        <w:pStyle w:val="Heading1"/>
        <w:rPr>
          <w:lang w:val="es-ES_tradnl"/>
        </w:rPr>
      </w:pPr>
      <w:r>
        <w:rPr>
          <w:lang w:val="es-ES_tradnl"/>
        </w:rPr>
        <w:t>4.</w:t>
      </w:r>
      <w:r>
        <w:rPr>
          <w:lang w:val="es-ES_tradnl"/>
        </w:rPr>
        <w:tab/>
      </w:r>
      <w:bookmarkStart w:id="8" w:name="_Toc359312055"/>
      <w:r w:rsidR="00663670">
        <w:rPr>
          <w:lang w:val="es-ES_tradnl"/>
        </w:rPr>
        <w:t>O</w:t>
      </w:r>
      <w:r w:rsidR="00663670" w:rsidRPr="000A19E1">
        <w:rPr>
          <w:caps w:val="0"/>
          <w:lang w:val="es-ES_tradnl"/>
        </w:rPr>
        <w:t>r</w:t>
      </w:r>
      <w:bookmarkEnd w:id="8"/>
      <w:r w:rsidR="00663670" w:rsidRPr="000A19E1">
        <w:rPr>
          <w:caps w:val="0"/>
          <w:lang w:val="es-ES_tradnl"/>
        </w:rPr>
        <w:t>igen de las solicitudes</w:t>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Existen diferencias significativas en el grado en que los residentes nacionales y extranjeros utilizan las cuatro formas de P.I. en Chile.</w:t>
      </w:r>
      <w:r>
        <w:rPr>
          <w:szCs w:val="22"/>
          <w:lang w:val="es-ES_tradnl"/>
        </w:rPr>
        <w:t xml:space="preserve"> </w:t>
      </w:r>
      <w:r w:rsidR="00513477">
        <w:rPr>
          <w:szCs w:val="22"/>
          <w:lang w:val="es-ES_tradnl"/>
        </w:rPr>
        <w:t xml:space="preserve"> </w:t>
      </w:r>
      <w:r w:rsidRPr="000A19E1">
        <w:rPr>
          <w:szCs w:val="22"/>
          <w:lang w:val="es-ES_tradnl"/>
        </w:rPr>
        <w:t>El Gráfico 4 muestra las solicitudes de patentes, diseños industriales, modelos de utilidad y marcas presentadas por residentes y no residentes.</w:t>
      </w:r>
      <w:r>
        <w:rPr>
          <w:szCs w:val="22"/>
          <w:lang w:val="es-ES_tradnl"/>
        </w:rPr>
        <w:t xml:space="preserve"> </w:t>
      </w:r>
      <w:r w:rsidR="00513477">
        <w:rPr>
          <w:szCs w:val="22"/>
          <w:lang w:val="es-ES_tradnl"/>
        </w:rPr>
        <w:t xml:space="preserve"> </w:t>
      </w:r>
      <w:r w:rsidRPr="000A19E1">
        <w:rPr>
          <w:szCs w:val="22"/>
          <w:lang w:val="es-ES_tradnl"/>
        </w:rPr>
        <w:t>Se observa que en 2008 los residentes chilenos representaron sólo el 7% de las solicitudes de patentes y el 16% de las solicitudes de diseñ</w:t>
      </w:r>
      <w:r>
        <w:rPr>
          <w:szCs w:val="22"/>
          <w:lang w:val="es-ES_tradnl"/>
        </w:rPr>
        <w:t>o industrial, pero el 76% y el 71</w:t>
      </w:r>
      <w:r w:rsidRPr="000A19E1">
        <w:rPr>
          <w:szCs w:val="22"/>
          <w:lang w:val="es-ES_tradnl"/>
        </w:rPr>
        <w:t>% de las solicitudes de modelos de utilidad y marcas, respectivamente.</w:t>
      </w:r>
      <w:r w:rsidR="00513477">
        <w:rPr>
          <w:szCs w:val="22"/>
          <w:lang w:val="es-ES_tradnl"/>
        </w:rPr>
        <w:t xml:space="preserve"> </w:t>
      </w:r>
      <w:r>
        <w:rPr>
          <w:szCs w:val="22"/>
          <w:lang w:val="es-ES_tradnl"/>
        </w:rPr>
        <w:t xml:space="preserve"> </w:t>
      </w:r>
      <w:r w:rsidRPr="000A19E1">
        <w:rPr>
          <w:szCs w:val="22"/>
          <w:lang w:val="es-ES_tradnl"/>
        </w:rPr>
        <w:t>Para las patentes y las marcas, est</w:t>
      </w:r>
      <w:r>
        <w:rPr>
          <w:szCs w:val="22"/>
          <w:lang w:val="es-ES_tradnl"/>
        </w:rPr>
        <w:t>o</w:t>
      </w:r>
      <w:r w:rsidRPr="000A19E1">
        <w:rPr>
          <w:szCs w:val="22"/>
          <w:lang w:val="es-ES_tradnl"/>
        </w:rPr>
        <w:t xml:space="preserve">s </w:t>
      </w:r>
      <w:r>
        <w:rPr>
          <w:szCs w:val="22"/>
          <w:lang w:val="es-ES_tradnl"/>
        </w:rPr>
        <w:t>porcentajes</w:t>
      </w:r>
      <w:r w:rsidRPr="000A19E1">
        <w:rPr>
          <w:szCs w:val="22"/>
          <w:lang w:val="es-ES_tradnl"/>
        </w:rPr>
        <w:t xml:space="preserve"> no han variado s</w:t>
      </w:r>
      <w:r>
        <w:rPr>
          <w:szCs w:val="22"/>
          <w:lang w:val="es-ES_tradnl"/>
        </w:rPr>
        <w:t>ignificativamente en el período </w:t>
      </w:r>
      <w:r w:rsidRPr="000A19E1">
        <w:rPr>
          <w:szCs w:val="22"/>
          <w:lang w:val="es-ES_tradnl"/>
        </w:rPr>
        <w:t>1991-2010, excepto por el hecho de que el porcentaje de solicitudes de patentes presentadas por no residentes se redujo notablemente en los últimos dos años debido a la adhesión de Chile al PCT.</w:t>
      </w:r>
      <w:r>
        <w:rPr>
          <w:szCs w:val="22"/>
          <w:lang w:val="es-ES_tradnl"/>
        </w:rPr>
        <w:t xml:space="preserve"> </w:t>
      </w:r>
      <w:r w:rsidR="00513477">
        <w:rPr>
          <w:szCs w:val="22"/>
          <w:lang w:val="es-ES_tradnl"/>
        </w:rPr>
        <w:t xml:space="preserve"> </w:t>
      </w:r>
      <w:r w:rsidRPr="000A19E1">
        <w:rPr>
          <w:szCs w:val="22"/>
          <w:lang w:val="es-ES_tradnl"/>
        </w:rPr>
        <w:t>En el caso de los modelos de utilidad y diseños industriales, las participaciones fueron algo más variables, pero esto se debe en gran parte al escaso número de solicitudes presentadas, que amplifica los efectos de pequeños cambios en las presentaciones a lo largo tiempo.</w:t>
      </w:r>
      <w:r>
        <w:rPr>
          <w:szCs w:val="22"/>
          <w:lang w:val="es-ES_tradnl"/>
        </w:rPr>
        <w:t xml:space="preserve"> </w:t>
      </w:r>
      <w:r w:rsidR="00513477">
        <w:rPr>
          <w:szCs w:val="22"/>
          <w:lang w:val="es-ES_tradnl"/>
        </w:rPr>
        <w:t xml:space="preserve"> </w:t>
      </w:r>
      <w:r w:rsidRPr="000A19E1">
        <w:rPr>
          <w:szCs w:val="22"/>
          <w:lang w:val="es-ES_tradnl"/>
        </w:rPr>
        <w:t>Sin embargo, el gráfico sugiere que la proporción de solicitudes de diseños industriales presentadas por residentes se redujo durante la primera mitad de la década de 1990.</w:t>
      </w:r>
    </w:p>
    <w:p w:rsidR="001A2943" w:rsidRPr="000A19E1" w:rsidRDefault="001A2943" w:rsidP="001A2943">
      <w:pPr>
        <w:rPr>
          <w:szCs w:val="22"/>
          <w:lang w:val="es-ES_tradnl"/>
        </w:rPr>
      </w:pPr>
    </w:p>
    <w:p w:rsidR="001A2943" w:rsidRPr="000A19E1" w:rsidRDefault="001A2943" w:rsidP="001A2943">
      <w:pPr>
        <w:rPr>
          <w:szCs w:val="22"/>
          <w:lang w:val="es-ES_tradnl"/>
        </w:rPr>
      </w:pPr>
    </w:p>
    <w:p w:rsidR="001A2943" w:rsidRPr="000A19E1" w:rsidRDefault="001A2943" w:rsidP="001A2943">
      <w:pPr>
        <w:rPr>
          <w:b/>
          <w:lang w:val="es-ES_tradnl"/>
        </w:rPr>
      </w:pPr>
      <w:r w:rsidRPr="000A19E1">
        <w:rPr>
          <w:b/>
          <w:lang w:val="es-ES_tradnl"/>
        </w:rPr>
        <w:br w:type="page"/>
      </w:r>
    </w:p>
    <w:p w:rsidR="001A2943" w:rsidRDefault="001A2943" w:rsidP="001A2943">
      <w:pPr>
        <w:jc w:val="center"/>
        <w:rPr>
          <w:b/>
          <w:lang w:val="es-ES_tradnl"/>
        </w:rPr>
      </w:pPr>
      <w:r w:rsidRPr="000A19E1">
        <w:rPr>
          <w:b/>
          <w:lang w:val="es-ES_tradnl"/>
        </w:rPr>
        <w:lastRenderedPageBreak/>
        <w:t>Gráfico 4</w:t>
      </w:r>
      <w:proofErr w:type="gramStart"/>
      <w:r w:rsidRPr="000A19E1">
        <w:rPr>
          <w:b/>
          <w:lang w:val="es-ES_tradnl"/>
        </w:rPr>
        <w:t xml:space="preserve">: </w:t>
      </w:r>
      <w:r w:rsidR="00663670">
        <w:rPr>
          <w:b/>
          <w:lang w:val="es-ES_tradnl"/>
        </w:rPr>
        <w:t xml:space="preserve"> </w:t>
      </w:r>
      <w:r w:rsidRPr="000A19E1">
        <w:rPr>
          <w:b/>
          <w:lang w:val="es-ES_tradnl"/>
        </w:rPr>
        <w:t>Solicitudes</w:t>
      </w:r>
      <w:proofErr w:type="gramEnd"/>
      <w:r w:rsidRPr="000A19E1">
        <w:rPr>
          <w:b/>
          <w:lang w:val="es-ES_tradnl"/>
        </w:rPr>
        <w:t xml:space="preserve"> de residentes vs no residentes (1991-2010)</w:t>
      </w:r>
    </w:p>
    <w:p w:rsidR="00663670" w:rsidRPr="000A19E1" w:rsidRDefault="00663670" w:rsidP="001A2943">
      <w:pPr>
        <w:jc w:val="center"/>
        <w:rPr>
          <w:lang w:val="es-ES_tradnl"/>
        </w:rPr>
      </w:pPr>
    </w:p>
    <w:p w:rsidR="001A2943" w:rsidRPr="000A19E1" w:rsidRDefault="001A2943" w:rsidP="001A2943">
      <w:pPr>
        <w:jc w:val="center"/>
        <w:rPr>
          <w:lang w:val="es-ES_tradnl"/>
        </w:rPr>
      </w:pPr>
      <w:r w:rsidRPr="000A19E1">
        <w:rPr>
          <w:noProof/>
          <w:lang w:val="en-US" w:eastAsia="en-US"/>
        </w:rPr>
        <w:drawing>
          <wp:inline distT="0" distB="0" distL="0" distR="0" wp14:anchorId="1AC1F1D1" wp14:editId="1D66A510">
            <wp:extent cx="5033010" cy="36576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inline>
        </w:drawing>
      </w:r>
    </w:p>
    <w:p w:rsidR="001A2943" w:rsidRDefault="001A2943" w:rsidP="001A2943">
      <w:pPr>
        <w:rPr>
          <w:lang w:val="es-ES_tradnl"/>
        </w:rPr>
      </w:pPr>
    </w:p>
    <w:p w:rsidR="00663670" w:rsidRPr="000A19E1" w:rsidRDefault="00663670" w:rsidP="001A2943">
      <w:pPr>
        <w:rPr>
          <w:lang w:val="es-ES_tradnl"/>
        </w:rPr>
      </w:pPr>
    </w:p>
    <w:p w:rsidR="001A2943" w:rsidRPr="000A19E1" w:rsidRDefault="001A2943" w:rsidP="001A2943">
      <w:pPr>
        <w:rPr>
          <w:szCs w:val="22"/>
          <w:lang w:val="es-ES_tradnl"/>
        </w:rPr>
      </w:pPr>
      <w:r w:rsidRPr="000A19E1">
        <w:rPr>
          <w:szCs w:val="22"/>
          <w:lang w:val="es-ES_tradnl"/>
        </w:rPr>
        <w:t>El Gráfico 4 presenta un desglose adicional.</w:t>
      </w:r>
      <w:r>
        <w:rPr>
          <w:szCs w:val="22"/>
          <w:lang w:val="es-ES_tradnl"/>
        </w:rPr>
        <w:t xml:space="preserve"> </w:t>
      </w:r>
      <w:r w:rsidR="00936C43">
        <w:rPr>
          <w:szCs w:val="22"/>
          <w:lang w:val="es-ES_tradnl"/>
        </w:rPr>
        <w:t xml:space="preserve"> </w:t>
      </w:r>
      <w:r w:rsidRPr="000A19E1">
        <w:rPr>
          <w:szCs w:val="22"/>
          <w:lang w:val="es-ES_tradnl"/>
        </w:rPr>
        <w:t>Dado que la base de datos INAPI-OMPI proporciona los nombres armonizados de los solicitantes, con independencia del origen de las solicitudes, se puede identificar a los solicitantes que aplican por derechos de P.I., tanto si lo hacen a través de una entidad residente en Chile como si lo realizan a través de una entidad en el extranjero.</w:t>
      </w:r>
      <w:r>
        <w:rPr>
          <w:szCs w:val="22"/>
          <w:lang w:val="es-ES_tradnl"/>
        </w:rPr>
        <w:t xml:space="preserve"> </w:t>
      </w:r>
      <w:r w:rsidR="00936C43">
        <w:rPr>
          <w:szCs w:val="22"/>
          <w:lang w:val="es-ES_tradnl"/>
        </w:rPr>
        <w:t xml:space="preserve"> </w:t>
      </w:r>
      <w:r w:rsidRPr="000A19E1">
        <w:rPr>
          <w:szCs w:val="22"/>
          <w:lang w:val="es-ES_tradnl"/>
        </w:rPr>
        <w:t xml:space="preserve">Nos referimos a estos solicitantes como solicitantes </w:t>
      </w:r>
      <w:proofErr w:type="spellStart"/>
      <w:r w:rsidRPr="000A19E1">
        <w:rPr>
          <w:szCs w:val="22"/>
          <w:lang w:val="es-ES_tradnl"/>
        </w:rPr>
        <w:t>multi</w:t>
      </w:r>
      <w:proofErr w:type="spellEnd"/>
      <w:r w:rsidRPr="000A19E1">
        <w:rPr>
          <w:szCs w:val="22"/>
          <w:lang w:val="es-ES_tradnl"/>
        </w:rPr>
        <w:t>-residentes.</w:t>
      </w:r>
      <w:r w:rsidR="00936C43">
        <w:rPr>
          <w:szCs w:val="22"/>
          <w:lang w:val="es-ES_tradnl"/>
        </w:rPr>
        <w:t xml:space="preserve"> </w:t>
      </w:r>
      <w:r>
        <w:rPr>
          <w:szCs w:val="22"/>
          <w:lang w:val="es-ES_tradnl"/>
        </w:rPr>
        <w:t xml:space="preserve"> </w:t>
      </w:r>
      <w:r w:rsidRPr="000A19E1">
        <w:rPr>
          <w:szCs w:val="22"/>
          <w:lang w:val="es-ES_tradnl"/>
        </w:rPr>
        <w:t>En la mayoría de los casos, se trata de empresas multinacionales extranjeras que en unas ocasiones utilizan su sede extranjera para solicitar derechos de P.I. en Chile y, en otras, utilizan sus subsidiarias en Chile.</w:t>
      </w:r>
      <w:r w:rsidRPr="000A19E1">
        <w:rPr>
          <w:rStyle w:val="FootnoteReference"/>
          <w:szCs w:val="22"/>
          <w:lang w:val="es-ES_tradnl"/>
        </w:rPr>
        <w:footnoteReference w:id="20"/>
      </w:r>
      <w:r w:rsidRPr="000A19E1">
        <w:rPr>
          <w:szCs w:val="22"/>
          <w:lang w:val="es-ES_tradnl"/>
        </w:rPr>
        <w:t xml:space="preserve"> </w:t>
      </w:r>
      <w:r w:rsidR="00936C43">
        <w:rPr>
          <w:szCs w:val="22"/>
          <w:lang w:val="es-ES_tradnl"/>
        </w:rPr>
        <w:t xml:space="preserve"> </w:t>
      </w:r>
      <w:r w:rsidRPr="000A19E1">
        <w:rPr>
          <w:szCs w:val="22"/>
          <w:lang w:val="es-ES_tradnl"/>
        </w:rPr>
        <w:t xml:space="preserve">Es importante señalar, sin embargo, que no todas las empresas multinacionales son solicitantes </w:t>
      </w:r>
      <w:proofErr w:type="spellStart"/>
      <w:r w:rsidRPr="000A19E1">
        <w:rPr>
          <w:szCs w:val="22"/>
          <w:lang w:val="es-ES_tradnl"/>
        </w:rPr>
        <w:t>multi</w:t>
      </w:r>
      <w:proofErr w:type="spellEnd"/>
      <w:r w:rsidRPr="000A19E1">
        <w:rPr>
          <w:szCs w:val="22"/>
          <w:lang w:val="es-ES_tradnl"/>
        </w:rPr>
        <w:t>-residentes;</w:t>
      </w:r>
      <w:r>
        <w:rPr>
          <w:szCs w:val="22"/>
          <w:lang w:val="es-ES_tradnl"/>
        </w:rPr>
        <w:t xml:space="preserve"> </w:t>
      </w:r>
      <w:r w:rsidRPr="000A19E1">
        <w:rPr>
          <w:szCs w:val="22"/>
          <w:lang w:val="es-ES_tradnl"/>
        </w:rPr>
        <w:t>muchas multinacionales presentan sus solicitudes exclusivamente en el extranjero.</w:t>
      </w:r>
      <w:r>
        <w:rPr>
          <w:szCs w:val="22"/>
          <w:lang w:val="es-ES_tradnl"/>
        </w:rPr>
        <w:t xml:space="preserve"> </w:t>
      </w:r>
      <w:r w:rsidR="00936C43">
        <w:rPr>
          <w:szCs w:val="22"/>
          <w:lang w:val="es-ES_tradnl"/>
        </w:rPr>
        <w:t xml:space="preserve"> </w:t>
      </w:r>
      <w:r w:rsidRPr="000A19E1">
        <w:rPr>
          <w:szCs w:val="22"/>
          <w:lang w:val="es-ES_tradnl"/>
        </w:rPr>
        <w:t>Estas últimas se clasifican como solicitantes no residentes.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En los casos de los diseños industriales y modelos de utilidad, en promedio menos del 2% de las solicitudes entre 1991 y 2010 son de solicitantes </w:t>
      </w:r>
      <w:proofErr w:type="spellStart"/>
      <w:r w:rsidRPr="000A19E1">
        <w:rPr>
          <w:szCs w:val="22"/>
          <w:lang w:val="es-ES_tradnl"/>
        </w:rPr>
        <w:t>multi</w:t>
      </w:r>
      <w:proofErr w:type="spellEnd"/>
      <w:r w:rsidRPr="000A19E1">
        <w:rPr>
          <w:szCs w:val="22"/>
          <w:lang w:val="es-ES_tradnl"/>
        </w:rPr>
        <w:t>-residentes chilenos.</w:t>
      </w:r>
      <w:r>
        <w:rPr>
          <w:szCs w:val="22"/>
          <w:lang w:val="es-ES_tradnl"/>
        </w:rPr>
        <w:t xml:space="preserve"> </w:t>
      </w:r>
      <w:r w:rsidRPr="000A19E1">
        <w:rPr>
          <w:szCs w:val="22"/>
          <w:lang w:val="es-ES_tradnl"/>
        </w:rPr>
        <w:t>Para las patentes esta proporción es de sólo el 0,2%.</w:t>
      </w:r>
      <w:r>
        <w:rPr>
          <w:szCs w:val="22"/>
          <w:lang w:val="es-ES_tradnl"/>
        </w:rPr>
        <w:t xml:space="preserve"> </w:t>
      </w:r>
      <w:r w:rsidR="00936C43">
        <w:rPr>
          <w:szCs w:val="22"/>
          <w:lang w:val="es-ES_tradnl"/>
        </w:rPr>
        <w:t xml:space="preserve"> </w:t>
      </w:r>
      <w:r w:rsidRPr="000A19E1">
        <w:rPr>
          <w:szCs w:val="22"/>
          <w:lang w:val="es-ES_tradnl"/>
        </w:rPr>
        <w:t xml:space="preserve">En el caso de las marcas, por el contrario, las solicitudes de </w:t>
      </w:r>
      <w:proofErr w:type="spellStart"/>
      <w:r w:rsidRPr="000A19E1">
        <w:rPr>
          <w:szCs w:val="22"/>
          <w:lang w:val="es-ES_tradnl"/>
        </w:rPr>
        <w:t>multi</w:t>
      </w:r>
      <w:proofErr w:type="spellEnd"/>
      <w:r w:rsidRPr="000A19E1">
        <w:rPr>
          <w:szCs w:val="22"/>
          <w:lang w:val="es-ES_tradnl"/>
        </w:rPr>
        <w:t>-residentes chilenos representan un porcentaje ligeramente mayor al 3%.</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¿Qué jurisdicciones están detrás de las solicitudes de P.I. de no residentes en Chile?</w:t>
      </w:r>
      <w:r>
        <w:rPr>
          <w:szCs w:val="22"/>
          <w:lang w:val="es-ES_tradnl"/>
        </w:rPr>
        <w:t xml:space="preserve"> </w:t>
      </w:r>
      <w:r w:rsidR="00936C43">
        <w:rPr>
          <w:szCs w:val="22"/>
          <w:lang w:val="es-ES_tradnl"/>
        </w:rPr>
        <w:t xml:space="preserve"> </w:t>
      </w:r>
      <w:r w:rsidRPr="000A19E1">
        <w:rPr>
          <w:szCs w:val="22"/>
          <w:lang w:val="es-ES_tradnl"/>
        </w:rPr>
        <w:t>El Gráfico 5 muestra que los solicitantes de los EE.UU. y Europa representan la gran mayoría de solicitudes presentadas por no residentes en las cuatro formas de P.I.</w:t>
      </w:r>
      <w:r>
        <w:rPr>
          <w:szCs w:val="22"/>
          <w:lang w:val="es-ES_tradnl"/>
        </w:rPr>
        <w:t xml:space="preserve"> </w:t>
      </w:r>
      <w:r w:rsidR="00936C43">
        <w:rPr>
          <w:szCs w:val="22"/>
          <w:lang w:val="es-ES_tradnl"/>
        </w:rPr>
        <w:t xml:space="preserve"> </w:t>
      </w:r>
      <w:r w:rsidRPr="000A19E1">
        <w:rPr>
          <w:szCs w:val="22"/>
          <w:lang w:val="es-ES_tradnl"/>
        </w:rPr>
        <w:t>La participación de otros países sudamericanos en el total de solicitudes es relativamente modesta.</w:t>
      </w:r>
      <w:r>
        <w:rPr>
          <w:szCs w:val="22"/>
          <w:lang w:val="es-ES_tradnl"/>
        </w:rPr>
        <w:t xml:space="preserve"> </w:t>
      </w:r>
      <w:r w:rsidRPr="000A19E1">
        <w:rPr>
          <w:szCs w:val="22"/>
          <w:lang w:val="es-ES_tradnl"/>
        </w:rPr>
        <w:t xml:space="preserve">En las marcas, por ejemplo, representan menos del 5% de todas las solicitudes presentadas </w:t>
      </w:r>
      <w:r>
        <w:rPr>
          <w:szCs w:val="22"/>
          <w:lang w:val="es-ES_tradnl"/>
        </w:rPr>
        <w:t>entre </w:t>
      </w:r>
      <w:r w:rsidRPr="000A19E1">
        <w:rPr>
          <w:szCs w:val="22"/>
          <w:lang w:val="es-ES_tradnl"/>
        </w:rPr>
        <w:t>1991 y 2010, mientras que EE.UU. y la UE dan cuenta, en conjunto,</w:t>
      </w:r>
      <w:r>
        <w:rPr>
          <w:szCs w:val="22"/>
          <w:lang w:val="es-ES_tradnl"/>
        </w:rPr>
        <w:t xml:space="preserve"> de alrededor del </w:t>
      </w:r>
      <w:r w:rsidRPr="000A19E1">
        <w:rPr>
          <w:szCs w:val="22"/>
          <w:lang w:val="es-ES_tradnl"/>
        </w:rPr>
        <w:t>17,5% de las solicitudes.</w:t>
      </w:r>
      <w:r>
        <w:rPr>
          <w:szCs w:val="22"/>
          <w:lang w:val="es-ES_tradnl"/>
        </w:rPr>
        <w:t xml:space="preserve"> </w:t>
      </w:r>
      <w:r w:rsidRPr="000A19E1">
        <w:rPr>
          <w:szCs w:val="22"/>
          <w:lang w:val="es-ES_tradnl"/>
        </w:rPr>
        <w:t xml:space="preserve">En el caso de las patentes, la participación conjunta promedio </w:t>
      </w:r>
      <w:r w:rsidRPr="000A19E1">
        <w:rPr>
          <w:szCs w:val="22"/>
          <w:lang w:val="es-ES_tradnl"/>
        </w:rPr>
        <w:lastRenderedPageBreak/>
        <w:t>de los EE.UU. y la UE se ubica por encima del 80%.</w:t>
      </w:r>
      <w:r>
        <w:rPr>
          <w:szCs w:val="22"/>
          <w:lang w:val="es-ES_tradnl"/>
        </w:rPr>
        <w:t xml:space="preserve"> </w:t>
      </w:r>
      <w:r w:rsidR="00936C43">
        <w:rPr>
          <w:szCs w:val="22"/>
          <w:lang w:val="es-ES_tradnl"/>
        </w:rPr>
        <w:t xml:space="preserve"> </w:t>
      </w:r>
      <w:r w:rsidRPr="000A19E1">
        <w:rPr>
          <w:szCs w:val="22"/>
          <w:lang w:val="es-ES_tradnl"/>
        </w:rPr>
        <w:t>Otros países de América del Sur representan sólo un 2% del total de las solicitudes presentadas.</w:t>
      </w:r>
      <w:r>
        <w:rPr>
          <w:szCs w:val="22"/>
          <w:lang w:val="es-ES_tradnl"/>
        </w:rPr>
        <w:t xml:space="preserve"> </w:t>
      </w:r>
      <w:r w:rsidR="00936C43">
        <w:rPr>
          <w:szCs w:val="22"/>
          <w:lang w:val="es-ES_tradnl"/>
        </w:rPr>
        <w:t xml:space="preserve"> </w:t>
      </w:r>
      <w:r w:rsidRPr="000A19E1">
        <w:rPr>
          <w:szCs w:val="22"/>
          <w:lang w:val="es-ES_tradnl"/>
        </w:rPr>
        <w:t>El predominio de los solicitantes europeos y estadounidenses se explica en gran medida por las multinacionales farmacéuticas y químicas que solicitaron patentes en Chile, como se muestra en las siguientes secciones.</w:t>
      </w:r>
    </w:p>
    <w:p w:rsidR="001A2943" w:rsidRDefault="001A2943" w:rsidP="001A2943">
      <w:pPr>
        <w:jc w:val="center"/>
        <w:rPr>
          <w:b/>
          <w:lang w:val="es-ES_tradnl"/>
        </w:rPr>
      </w:pPr>
    </w:p>
    <w:p w:rsidR="001D3D54" w:rsidRPr="000A19E1" w:rsidRDefault="001D3D54" w:rsidP="001A2943">
      <w:pPr>
        <w:jc w:val="center"/>
        <w:rPr>
          <w:b/>
          <w:lang w:val="es-ES_tradnl"/>
        </w:rPr>
      </w:pPr>
    </w:p>
    <w:p w:rsidR="001A2943" w:rsidRPr="000A19E1" w:rsidRDefault="001A2943" w:rsidP="001A2943">
      <w:pPr>
        <w:jc w:val="center"/>
        <w:rPr>
          <w:lang w:val="es-ES_tradnl"/>
        </w:rPr>
      </w:pPr>
      <w:r w:rsidRPr="000A19E1">
        <w:rPr>
          <w:b/>
          <w:lang w:val="es-ES_tradnl"/>
        </w:rPr>
        <w:t>Gráfico 5</w:t>
      </w:r>
      <w:proofErr w:type="gramStart"/>
      <w:r w:rsidRPr="000A19E1">
        <w:rPr>
          <w:b/>
          <w:lang w:val="es-ES_tradnl"/>
        </w:rPr>
        <w:t xml:space="preserve">: </w:t>
      </w:r>
      <w:r w:rsidR="00663670">
        <w:rPr>
          <w:b/>
          <w:lang w:val="es-ES_tradnl"/>
        </w:rPr>
        <w:t xml:space="preserve"> </w:t>
      </w:r>
      <w:r w:rsidRPr="000A19E1">
        <w:rPr>
          <w:b/>
          <w:lang w:val="es-ES_tradnl"/>
        </w:rPr>
        <w:t>Origen</w:t>
      </w:r>
      <w:proofErr w:type="gramEnd"/>
      <w:r w:rsidRPr="000A19E1">
        <w:rPr>
          <w:b/>
          <w:lang w:val="es-ES_tradnl"/>
        </w:rPr>
        <w:t xml:space="preserve"> de las solicitudes (1991-2010)</w:t>
      </w:r>
    </w:p>
    <w:p w:rsidR="001A2943" w:rsidRPr="000A19E1" w:rsidRDefault="001A2943" w:rsidP="001A2943">
      <w:pPr>
        <w:rPr>
          <w:lang w:val="es-ES_tradnl"/>
        </w:rPr>
      </w:pPr>
    </w:p>
    <w:p w:rsidR="001A2943" w:rsidRPr="000A19E1" w:rsidRDefault="001A2943" w:rsidP="001A2943">
      <w:pPr>
        <w:jc w:val="center"/>
        <w:rPr>
          <w:lang w:val="es-ES_tradnl"/>
        </w:rPr>
      </w:pPr>
      <w:r w:rsidRPr="000A19E1">
        <w:rPr>
          <w:noProof/>
          <w:lang w:val="en-US" w:eastAsia="en-US"/>
        </w:rPr>
        <w:drawing>
          <wp:inline distT="0" distB="0" distL="0" distR="0" wp14:anchorId="58DB9945" wp14:editId="7B93CB39">
            <wp:extent cx="5033010" cy="365760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inline>
        </w:drawing>
      </w:r>
    </w:p>
    <w:p w:rsidR="001A2943" w:rsidRPr="00E578E2" w:rsidRDefault="001A2943" w:rsidP="001A2943">
      <w:pPr>
        <w:pStyle w:val="Heading1"/>
        <w:rPr>
          <w:b w:val="0"/>
          <w:u w:val="single"/>
          <w:lang w:val="es-ES_tradnl"/>
        </w:rPr>
      </w:pPr>
      <w:bookmarkStart w:id="9" w:name="_Toc359312056"/>
      <w:r w:rsidRPr="00E578E2">
        <w:rPr>
          <w:b w:val="0"/>
          <w:lang w:val="es-ES_tradnl"/>
        </w:rPr>
        <w:t>5.</w:t>
      </w:r>
      <w:r w:rsidRPr="00E578E2">
        <w:rPr>
          <w:b w:val="0"/>
          <w:lang w:val="es-ES_tradnl"/>
        </w:rPr>
        <w:tab/>
      </w:r>
      <w:bookmarkEnd w:id="9"/>
      <w:r w:rsidR="004F3622" w:rsidRPr="00E578E2">
        <w:rPr>
          <w:b w:val="0"/>
          <w:u w:val="single"/>
          <w:lang w:val="es-ES_tradnl"/>
        </w:rPr>
        <w:t>D</w:t>
      </w:r>
      <w:r w:rsidR="004F3622" w:rsidRPr="00E578E2">
        <w:rPr>
          <w:b w:val="0"/>
          <w:caps w:val="0"/>
          <w:u w:val="single"/>
          <w:lang w:val="es-ES_tradnl"/>
        </w:rPr>
        <w:t>istribución de los solicitantes</w:t>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Las solicitudes de P.I. se distribuyen desigualmente entre los solicitantes.</w:t>
      </w:r>
      <w:r>
        <w:rPr>
          <w:szCs w:val="22"/>
          <w:lang w:val="es-ES_tradnl"/>
        </w:rPr>
        <w:t xml:space="preserve"> </w:t>
      </w:r>
      <w:r w:rsidR="00936C43">
        <w:rPr>
          <w:szCs w:val="22"/>
          <w:lang w:val="es-ES_tradnl"/>
        </w:rPr>
        <w:t xml:space="preserve"> </w:t>
      </w:r>
      <w:r w:rsidRPr="000A19E1">
        <w:rPr>
          <w:szCs w:val="22"/>
          <w:lang w:val="es-ES_tradnl"/>
        </w:rPr>
        <w:t>En general, una pequeña parte de los solicitantes representa un gran porcentaje de las solicitudes.</w:t>
      </w:r>
      <w:r>
        <w:rPr>
          <w:szCs w:val="22"/>
          <w:lang w:val="es-ES_tradnl"/>
        </w:rPr>
        <w:t xml:space="preserve"> </w:t>
      </w:r>
      <w:r w:rsidR="00936C43">
        <w:rPr>
          <w:szCs w:val="22"/>
          <w:lang w:val="es-ES_tradnl"/>
        </w:rPr>
        <w:t xml:space="preserve"> </w:t>
      </w:r>
      <w:r w:rsidRPr="000A19E1">
        <w:rPr>
          <w:szCs w:val="22"/>
          <w:lang w:val="es-ES_tradnl"/>
        </w:rPr>
        <w:t>El grado de concentración de las presentaciones difiere entre las cuatro formas de P.I.</w:t>
      </w:r>
      <w:r w:rsidR="00936C43">
        <w:rPr>
          <w:szCs w:val="22"/>
          <w:lang w:val="es-ES_tradnl"/>
        </w:rPr>
        <w:t xml:space="preserve"> </w:t>
      </w:r>
      <w:r>
        <w:rPr>
          <w:szCs w:val="22"/>
          <w:lang w:val="es-ES_tradnl"/>
        </w:rPr>
        <w:t xml:space="preserve"> </w:t>
      </w:r>
      <w:r w:rsidRPr="000A19E1">
        <w:rPr>
          <w:szCs w:val="22"/>
          <w:lang w:val="es-ES_tradnl"/>
        </w:rPr>
        <w:t>Una forma de explorar este aspecto es analizar el listado de los primeros 10 solicitantes.</w:t>
      </w:r>
      <w:r w:rsidRPr="000A19E1">
        <w:rPr>
          <w:rStyle w:val="FootnoteReference"/>
          <w:szCs w:val="22"/>
          <w:lang w:val="es-ES_tradnl"/>
        </w:rPr>
        <w:footnoteReference w:id="21"/>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En el caso de las patentes (Cuadro 1), los primeros 10 solicitantes son residentes extranjeros </w:t>
      </w:r>
      <w:r w:rsidRPr="000A19E1">
        <w:rPr>
          <w:szCs w:val="22"/>
          <w:lang w:val="es-ES_tradnl"/>
        </w:rPr>
        <w:noBreakHyphen/>
        <w:t>en particular, multinacionales estadounidenses y europeas</w:t>
      </w:r>
      <w:r w:rsidRPr="000A19E1">
        <w:rPr>
          <w:szCs w:val="22"/>
          <w:lang w:val="es-ES_tradnl"/>
        </w:rPr>
        <w:noBreakHyphen/>
        <w:t xml:space="preserve"> en consonancia con la gran proporción de solicitudes presentadas por no residentes </w:t>
      </w:r>
      <w:proofErr w:type="gramStart"/>
      <w:r w:rsidRPr="000A19E1">
        <w:rPr>
          <w:szCs w:val="22"/>
          <w:lang w:val="es-ES_tradnl"/>
        </w:rPr>
        <w:t>descrita</w:t>
      </w:r>
      <w:proofErr w:type="gramEnd"/>
      <w:r w:rsidRPr="000A19E1">
        <w:rPr>
          <w:szCs w:val="22"/>
          <w:lang w:val="es-ES_tradnl"/>
        </w:rPr>
        <w:t xml:space="preserve"> anteriormente.</w:t>
      </w:r>
      <w:r>
        <w:rPr>
          <w:szCs w:val="22"/>
          <w:lang w:val="es-ES_tradnl"/>
        </w:rPr>
        <w:t xml:space="preserve"> </w:t>
      </w:r>
      <w:r w:rsidR="00936C43">
        <w:rPr>
          <w:szCs w:val="22"/>
          <w:lang w:val="es-ES_tradnl"/>
        </w:rPr>
        <w:t xml:space="preserve"> </w:t>
      </w:r>
      <w:r w:rsidRPr="000A19E1">
        <w:rPr>
          <w:szCs w:val="22"/>
          <w:lang w:val="es-ES_tradnl"/>
        </w:rPr>
        <w:t>Además, 9 de los primeros 10 solicitantes pertenecen a las industrias química, farmacéutica y de bienes de consumo.</w:t>
      </w:r>
      <w:r>
        <w:rPr>
          <w:szCs w:val="22"/>
          <w:lang w:val="es-ES_tradnl"/>
        </w:rPr>
        <w:t xml:space="preserve"> </w:t>
      </w:r>
      <w:r w:rsidR="00936C43">
        <w:rPr>
          <w:szCs w:val="22"/>
          <w:lang w:val="es-ES_tradnl"/>
        </w:rPr>
        <w:t xml:space="preserve"> </w:t>
      </w:r>
      <w:r w:rsidRPr="000A19E1">
        <w:rPr>
          <w:szCs w:val="22"/>
          <w:lang w:val="es-ES_tradnl"/>
        </w:rPr>
        <w:t xml:space="preserve">La única excepción es la empresa estadounidense de equipos de telecomunicaciones </w:t>
      </w:r>
      <w:proofErr w:type="spellStart"/>
      <w:r w:rsidRPr="000A19E1">
        <w:rPr>
          <w:szCs w:val="22"/>
          <w:lang w:val="es-ES_tradnl"/>
        </w:rPr>
        <w:t>Qualcomm</w:t>
      </w:r>
      <w:proofErr w:type="spellEnd"/>
      <w:r w:rsidRPr="000A19E1">
        <w:rPr>
          <w:szCs w:val="22"/>
          <w:lang w:val="es-ES_tradnl"/>
        </w:rPr>
        <w:t>, con un total de 639 solicitudes entre 1991 y 2010.</w:t>
      </w:r>
      <w:r w:rsidR="00936C43">
        <w:rPr>
          <w:szCs w:val="22"/>
          <w:lang w:val="es-ES_tradnl"/>
        </w:rPr>
        <w:t xml:space="preserve"> </w:t>
      </w:r>
      <w:r>
        <w:rPr>
          <w:szCs w:val="22"/>
          <w:lang w:val="es-ES_tradnl"/>
        </w:rPr>
        <w:t xml:space="preserve"> </w:t>
      </w:r>
      <w:r w:rsidRPr="000A19E1">
        <w:rPr>
          <w:szCs w:val="22"/>
          <w:lang w:val="es-ES_tradnl"/>
        </w:rPr>
        <w:t xml:space="preserve">Como será discutido más adelante, una fuerte presencia de una empresa del sector de las </w:t>
      </w:r>
      <w:r w:rsidRPr="000A19E1">
        <w:rPr>
          <w:szCs w:val="22"/>
          <w:lang w:val="es-ES_tradnl"/>
        </w:rPr>
        <w:lastRenderedPageBreak/>
        <w:t>tecnologías de información y las comunicaciones (TIC) resulta extraña en una economía pequeña de ingresos medios con la estructura industrial de Chile.</w:t>
      </w:r>
      <w:r>
        <w:rPr>
          <w:szCs w:val="22"/>
          <w:lang w:val="es-ES_tradnl"/>
        </w:rPr>
        <w:t xml:space="preserve"> </w:t>
      </w:r>
      <w:r w:rsidR="00936C43">
        <w:rPr>
          <w:szCs w:val="22"/>
          <w:lang w:val="es-ES_tradnl"/>
        </w:rPr>
        <w:t xml:space="preserve"> </w:t>
      </w:r>
      <w:r w:rsidRPr="000A19E1">
        <w:rPr>
          <w:szCs w:val="22"/>
          <w:lang w:val="es-ES_tradnl"/>
        </w:rPr>
        <w:t xml:space="preserve">La misma parece responder al modelo de negocio específico de </w:t>
      </w:r>
      <w:proofErr w:type="spellStart"/>
      <w:r w:rsidRPr="000A19E1">
        <w:rPr>
          <w:szCs w:val="22"/>
          <w:lang w:val="es-ES_tradnl"/>
        </w:rPr>
        <w:t>Qualcomm</w:t>
      </w:r>
      <w:proofErr w:type="spellEnd"/>
      <w:r w:rsidRPr="000A19E1">
        <w:rPr>
          <w:szCs w:val="22"/>
          <w:lang w:val="es-ES_tradnl"/>
        </w:rPr>
        <w:t xml:space="preserve"> y a su estrategia global de P.I.</w:t>
      </w:r>
      <w:r>
        <w:rPr>
          <w:szCs w:val="22"/>
          <w:lang w:val="es-ES_tradnl"/>
        </w:rPr>
        <w:t xml:space="preserve"> </w:t>
      </w:r>
      <w:r w:rsidR="00936C43">
        <w:rPr>
          <w:szCs w:val="22"/>
          <w:lang w:val="es-ES_tradnl"/>
        </w:rPr>
        <w:t xml:space="preserve"> </w:t>
      </w:r>
      <w:r w:rsidRPr="000A19E1">
        <w:rPr>
          <w:szCs w:val="22"/>
          <w:lang w:val="es-ES_tradnl"/>
        </w:rPr>
        <w:t xml:space="preserve">Curiosamente, las solicitudes de </w:t>
      </w:r>
      <w:proofErr w:type="spellStart"/>
      <w:r w:rsidRPr="000A19E1">
        <w:rPr>
          <w:szCs w:val="22"/>
          <w:lang w:val="es-ES_tradnl"/>
        </w:rPr>
        <w:t>Qualcomm</w:t>
      </w:r>
      <w:proofErr w:type="spellEnd"/>
      <w:r w:rsidRPr="000A19E1">
        <w:rPr>
          <w:szCs w:val="22"/>
          <w:lang w:val="es-ES_tradnl"/>
        </w:rPr>
        <w:t xml:space="preserve"> crecieron rápidamente desde 2001 hasta 2006 (con un máximo de 100 solicitudes presentadas en 2006), pero se redujeron drásticamente después de 2007 </w:t>
      </w:r>
      <w:r w:rsidRPr="000A19E1">
        <w:rPr>
          <w:szCs w:val="22"/>
          <w:lang w:val="es-ES_tradnl"/>
        </w:rPr>
        <w:noBreakHyphen/>
        <w:t xml:space="preserve">lo que indica un cambio en la estrategia de </w:t>
      </w:r>
      <w:proofErr w:type="spellStart"/>
      <w:r w:rsidRPr="000A19E1">
        <w:rPr>
          <w:szCs w:val="22"/>
          <w:lang w:val="es-ES_tradnl"/>
        </w:rPr>
        <w:t>patentamiento</w:t>
      </w:r>
      <w:proofErr w:type="spellEnd"/>
      <w:r w:rsidRPr="000A19E1">
        <w:rPr>
          <w:szCs w:val="22"/>
          <w:lang w:val="es-ES_tradnl"/>
        </w:rPr>
        <w:t xml:space="preserve"> de </w:t>
      </w:r>
      <w:proofErr w:type="spellStart"/>
      <w:r w:rsidRPr="000A19E1">
        <w:rPr>
          <w:szCs w:val="22"/>
          <w:lang w:val="es-ES_tradnl"/>
        </w:rPr>
        <w:t>Qualcomm</w:t>
      </w:r>
      <w:proofErr w:type="spellEnd"/>
      <w:r w:rsidRPr="000A19E1">
        <w:rPr>
          <w:szCs w:val="22"/>
          <w:lang w:val="es-ES_tradnl"/>
        </w:rPr>
        <w:t>.</w:t>
      </w:r>
    </w:p>
    <w:p w:rsidR="001A2943" w:rsidRPr="000A19E1" w:rsidRDefault="001A2943" w:rsidP="001A2943">
      <w:pPr>
        <w:rPr>
          <w:lang w:val="es-ES_tradnl"/>
        </w:rPr>
      </w:pPr>
    </w:p>
    <w:p w:rsidR="001A2943" w:rsidRPr="000A19E1" w:rsidRDefault="001A2943" w:rsidP="001A2943">
      <w:pPr>
        <w:jc w:val="center"/>
        <w:rPr>
          <w:b/>
          <w:lang w:val="es-ES_tradnl"/>
        </w:rPr>
      </w:pPr>
      <w:r w:rsidRPr="000A19E1">
        <w:rPr>
          <w:b/>
          <w:lang w:val="es-ES_tradnl"/>
        </w:rPr>
        <w:t xml:space="preserve">Cuadro </w:t>
      </w:r>
      <w:r>
        <w:rPr>
          <w:b/>
          <w:lang w:val="es-ES_tradnl"/>
        </w:rPr>
        <w:t>1</w:t>
      </w:r>
      <w:proofErr w:type="gramStart"/>
      <w:r w:rsidRPr="000A19E1">
        <w:rPr>
          <w:b/>
          <w:lang w:val="es-ES_tradnl"/>
        </w:rPr>
        <w:t>:</w:t>
      </w:r>
      <w:r w:rsidR="001D3D54">
        <w:rPr>
          <w:b/>
          <w:lang w:val="es-ES_tradnl"/>
        </w:rPr>
        <w:t xml:space="preserve"> </w:t>
      </w:r>
      <w:r w:rsidRPr="000A19E1">
        <w:rPr>
          <w:b/>
          <w:lang w:val="es-ES_tradnl"/>
        </w:rPr>
        <w:t xml:space="preserve"> Primeros</w:t>
      </w:r>
      <w:proofErr w:type="gramEnd"/>
      <w:r w:rsidRPr="000A19E1">
        <w:rPr>
          <w:b/>
          <w:lang w:val="es-ES_tradnl"/>
        </w:rPr>
        <w:t xml:space="preserve"> 10 solicitantes – patentes (1991-2010)</w:t>
      </w:r>
    </w:p>
    <w:tbl>
      <w:tblPr>
        <w:tblW w:w="8449" w:type="dxa"/>
        <w:jc w:val="center"/>
        <w:tblInd w:w="93" w:type="dxa"/>
        <w:tblLook w:val="04A0" w:firstRow="1" w:lastRow="0" w:firstColumn="1" w:lastColumn="0" w:noHBand="0" w:noVBand="1"/>
      </w:tblPr>
      <w:tblGrid>
        <w:gridCol w:w="980"/>
        <w:gridCol w:w="2320"/>
        <w:gridCol w:w="1162"/>
        <w:gridCol w:w="960"/>
        <w:gridCol w:w="2080"/>
        <w:gridCol w:w="1056"/>
      </w:tblGrid>
      <w:tr w:rsidR="001A2943" w:rsidRPr="000A19E1" w:rsidTr="00500C05">
        <w:trPr>
          <w:trHeight w:val="315"/>
          <w:jc w:val="center"/>
        </w:trPr>
        <w:tc>
          <w:tcPr>
            <w:tcW w:w="98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32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149"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08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 </w:t>
            </w:r>
          </w:p>
        </w:tc>
      </w:tr>
      <w:tr w:rsidR="001A2943" w:rsidRPr="000A19E1" w:rsidTr="00500C05">
        <w:trPr>
          <w:trHeight w:val="300"/>
          <w:jc w:val="center"/>
        </w:trPr>
        <w:tc>
          <w:tcPr>
            <w:tcW w:w="98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Posición</w:t>
            </w:r>
          </w:p>
        </w:tc>
        <w:tc>
          <w:tcPr>
            <w:tcW w:w="232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Nombre</w:t>
            </w:r>
          </w:p>
        </w:tc>
        <w:tc>
          <w:tcPr>
            <w:tcW w:w="1149"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w:t>
            </w:r>
            <w:r w:rsidRPr="000A19E1">
              <w:rPr>
                <w:rFonts w:ascii="Calibri" w:eastAsia="Times New Roman" w:hAnsi="Calibri"/>
                <w:i/>
                <w:iCs/>
                <w:szCs w:val="22"/>
                <w:vertAlign w:val="superscript"/>
                <w:lang w:val="es-ES_tradnl"/>
              </w:rPr>
              <w:t>o</w:t>
            </w:r>
            <w:r w:rsidRPr="000A19E1">
              <w:rPr>
                <w:rFonts w:ascii="Calibri" w:eastAsia="Times New Roman" w:hAnsi="Calibri"/>
                <w:i/>
                <w:iCs/>
                <w:szCs w:val="22"/>
                <w:lang w:val="es-ES_tradnl"/>
              </w:rPr>
              <w:t xml:space="preserve"> Solicitudes</w:t>
            </w:r>
          </w:p>
        </w:tc>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 Total</w:t>
            </w:r>
          </w:p>
        </w:tc>
        <w:tc>
          <w:tcPr>
            <w:tcW w:w="208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Industria</w:t>
            </w:r>
          </w:p>
        </w:tc>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i/>
                <w:iCs/>
                <w:szCs w:val="22"/>
                <w:lang w:val="es-ES_tradnl"/>
              </w:rPr>
            </w:pPr>
            <w:r w:rsidRPr="000A19E1">
              <w:rPr>
                <w:rFonts w:ascii="Calibri" w:eastAsia="Times New Roman" w:hAnsi="Calibri"/>
                <w:i/>
                <w:iCs/>
                <w:szCs w:val="22"/>
                <w:lang w:val="es-ES_tradnl"/>
              </w:rPr>
              <w:t>País</w:t>
            </w:r>
          </w:p>
        </w:tc>
      </w:tr>
      <w:tr w:rsidR="001A2943" w:rsidRPr="000A19E1"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14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20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p>
        </w:tc>
      </w:tr>
      <w:tr w:rsidR="001A2943" w:rsidRPr="007B20A7"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Procter &amp; Gamble</w:t>
            </w:r>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r>
              <w:rPr>
                <w:rFonts w:ascii="Calibri" w:eastAsia="Times New Roman" w:hAnsi="Calibri"/>
                <w:szCs w:val="22"/>
                <w:lang w:val="es-ES_tradnl"/>
              </w:rPr>
              <w:t>.</w:t>
            </w:r>
            <w:r w:rsidRPr="000A19E1">
              <w:rPr>
                <w:rFonts w:ascii="Calibri" w:eastAsia="Times New Roman" w:hAnsi="Calibri"/>
                <w:szCs w:val="22"/>
                <w:lang w:val="es-ES_tradnl"/>
              </w:rPr>
              <w:t>894</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4.31%</w:t>
            </w:r>
          </w:p>
        </w:tc>
        <w:tc>
          <w:tcPr>
            <w:tcW w:w="20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Bienes de consumo</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EE.UU.</w:t>
            </w:r>
          </w:p>
        </w:tc>
      </w:tr>
      <w:tr w:rsidR="001A2943" w:rsidRPr="007B20A7"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Unilever</w:t>
            </w:r>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r>
              <w:rPr>
                <w:rFonts w:ascii="Calibri" w:eastAsia="Times New Roman" w:hAnsi="Calibri"/>
                <w:szCs w:val="22"/>
                <w:lang w:val="es-ES_tradnl"/>
              </w:rPr>
              <w:t>.</w:t>
            </w:r>
            <w:r w:rsidRPr="000A19E1">
              <w:rPr>
                <w:rFonts w:ascii="Calibri" w:eastAsia="Times New Roman" w:hAnsi="Calibri"/>
                <w:szCs w:val="22"/>
                <w:lang w:val="es-ES_tradnl"/>
              </w:rPr>
              <w:t>402</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3.19%</w:t>
            </w:r>
          </w:p>
        </w:tc>
        <w:tc>
          <w:tcPr>
            <w:tcW w:w="20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Bienes de consumo</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Holanda</w:t>
            </w:r>
          </w:p>
        </w:tc>
      </w:tr>
      <w:tr w:rsidR="001A2943" w:rsidRPr="007B20A7"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Pfizer*</w:t>
            </w:r>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r>
              <w:rPr>
                <w:rFonts w:ascii="Calibri" w:eastAsia="Times New Roman" w:hAnsi="Calibri"/>
                <w:szCs w:val="22"/>
                <w:lang w:val="es-ES_tradnl"/>
              </w:rPr>
              <w:t>.</w:t>
            </w:r>
            <w:r w:rsidRPr="000A19E1">
              <w:rPr>
                <w:rFonts w:ascii="Calibri" w:eastAsia="Times New Roman" w:hAnsi="Calibri"/>
                <w:szCs w:val="22"/>
                <w:lang w:val="es-ES_tradnl"/>
              </w:rPr>
              <w:t>027</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2.34%</w:t>
            </w:r>
          </w:p>
        </w:tc>
        <w:tc>
          <w:tcPr>
            <w:tcW w:w="20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Farmacéutica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EE.UU.</w:t>
            </w:r>
          </w:p>
        </w:tc>
      </w:tr>
      <w:tr w:rsidR="001A2943" w:rsidRPr="000A19E1"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4</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Bayer</w:t>
            </w:r>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940</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2.14%</w:t>
            </w:r>
          </w:p>
        </w:tc>
        <w:tc>
          <w:tcPr>
            <w:tcW w:w="20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Farmacéutica y Química</w:t>
            </w:r>
          </w:p>
        </w:tc>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Alemania</w:t>
            </w:r>
          </w:p>
        </w:tc>
      </w:tr>
      <w:tr w:rsidR="001A2943" w:rsidRPr="000A19E1"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5</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Hoffmann</w:t>
            </w:r>
            <w:proofErr w:type="spellEnd"/>
            <w:r w:rsidRPr="000A19E1">
              <w:rPr>
                <w:rFonts w:ascii="Calibri" w:eastAsia="Times New Roman" w:hAnsi="Calibri"/>
                <w:szCs w:val="22"/>
                <w:lang w:val="es-ES_tradnl"/>
              </w:rPr>
              <w:t>-La Roche</w:t>
            </w:r>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870</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1.98%</w:t>
            </w:r>
          </w:p>
        </w:tc>
        <w:tc>
          <w:tcPr>
            <w:tcW w:w="20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Farmacéutica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Suiza</w:t>
            </w:r>
          </w:p>
        </w:tc>
      </w:tr>
      <w:tr w:rsidR="001A2943" w:rsidRPr="000A19E1"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BASF</w:t>
            </w:r>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807</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1.84%</w:t>
            </w:r>
          </w:p>
        </w:tc>
        <w:tc>
          <w:tcPr>
            <w:tcW w:w="20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Química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Alemania</w:t>
            </w:r>
          </w:p>
        </w:tc>
      </w:tr>
      <w:tr w:rsidR="001A2943" w:rsidRPr="000A19E1"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Novartis</w:t>
            </w:r>
            <w:proofErr w:type="spellEnd"/>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686</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1.56%</w:t>
            </w:r>
          </w:p>
        </w:tc>
        <w:tc>
          <w:tcPr>
            <w:tcW w:w="2080" w:type="dxa"/>
            <w:tcBorders>
              <w:top w:val="nil"/>
              <w:left w:val="nil"/>
              <w:bottom w:val="nil"/>
              <w:right w:val="nil"/>
            </w:tcBorders>
            <w:shd w:val="clear" w:color="auto" w:fill="auto"/>
            <w:noWrap/>
          </w:tcPr>
          <w:p w:rsidR="001A2943" w:rsidRPr="000A19E1" w:rsidRDefault="001A2943" w:rsidP="00500C05">
            <w:pPr>
              <w:rPr>
                <w:lang w:val="es-ES_tradnl"/>
              </w:rPr>
            </w:pPr>
            <w:r w:rsidRPr="000A19E1">
              <w:rPr>
                <w:rFonts w:ascii="Calibri" w:eastAsia="Times New Roman" w:hAnsi="Calibri"/>
                <w:szCs w:val="22"/>
                <w:lang w:val="es-ES_tradnl"/>
              </w:rPr>
              <w:t>Farmacéutica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Suiza</w:t>
            </w:r>
          </w:p>
        </w:tc>
      </w:tr>
      <w:tr w:rsidR="001A2943" w:rsidRPr="000A19E1"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Wyeth</w:t>
            </w:r>
            <w:proofErr w:type="spellEnd"/>
            <w:r w:rsidRPr="000A19E1">
              <w:rPr>
                <w:rFonts w:ascii="Calibri" w:eastAsia="Times New Roman" w:hAnsi="Calibri"/>
                <w:szCs w:val="22"/>
                <w:lang w:val="es-ES_tradnl"/>
              </w:rPr>
              <w:t>*</w:t>
            </w:r>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683</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1.55%</w:t>
            </w:r>
          </w:p>
        </w:tc>
        <w:tc>
          <w:tcPr>
            <w:tcW w:w="2080" w:type="dxa"/>
            <w:tcBorders>
              <w:top w:val="nil"/>
              <w:left w:val="nil"/>
              <w:bottom w:val="nil"/>
              <w:right w:val="nil"/>
            </w:tcBorders>
            <w:shd w:val="clear" w:color="auto" w:fill="auto"/>
            <w:noWrap/>
          </w:tcPr>
          <w:p w:rsidR="001A2943" w:rsidRPr="000A19E1" w:rsidRDefault="001A2943" w:rsidP="00500C05">
            <w:pPr>
              <w:rPr>
                <w:lang w:val="es-ES_tradnl"/>
              </w:rPr>
            </w:pPr>
            <w:r w:rsidRPr="000A19E1">
              <w:rPr>
                <w:rFonts w:ascii="Calibri" w:eastAsia="Times New Roman" w:hAnsi="Calibri"/>
                <w:szCs w:val="22"/>
                <w:lang w:val="es-ES_tradnl"/>
              </w:rPr>
              <w:t>Farmacéutica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EE.UU.</w:t>
            </w:r>
          </w:p>
        </w:tc>
      </w:tr>
      <w:tr w:rsidR="001A2943" w:rsidRPr="000A19E1"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9</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Boehringer</w:t>
            </w:r>
            <w:proofErr w:type="spellEnd"/>
            <w:r w:rsidRPr="000A19E1">
              <w:rPr>
                <w:rFonts w:ascii="Calibri" w:eastAsia="Times New Roman" w:hAnsi="Calibri"/>
                <w:szCs w:val="22"/>
                <w:lang w:val="es-ES_tradnl"/>
              </w:rPr>
              <w:t xml:space="preserve"> </w:t>
            </w:r>
            <w:proofErr w:type="spellStart"/>
            <w:r w:rsidRPr="000A19E1">
              <w:rPr>
                <w:rFonts w:ascii="Calibri" w:eastAsia="Times New Roman" w:hAnsi="Calibri"/>
                <w:szCs w:val="22"/>
                <w:lang w:val="es-ES_tradnl"/>
              </w:rPr>
              <w:t>Ingelheim</w:t>
            </w:r>
            <w:proofErr w:type="spellEnd"/>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660</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1.50%</w:t>
            </w:r>
          </w:p>
        </w:tc>
        <w:tc>
          <w:tcPr>
            <w:tcW w:w="2080" w:type="dxa"/>
            <w:tcBorders>
              <w:top w:val="nil"/>
              <w:left w:val="nil"/>
              <w:bottom w:val="nil"/>
              <w:right w:val="nil"/>
            </w:tcBorders>
            <w:shd w:val="clear" w:color="auto" w:fill="auto"/>
            <w:noWrap/>
          </w:tcPr>
          <w:p w:rsidR="001A2943" w:rsidRPr="000A19E1" w:rsidRDefault="001A2943" w:rsidP="00500C05">
            <w:pPr>
              <w:rPr>
                <w:lang w:val="es-ES_tradnl"/>
              </w:rPr>
            </w:pPr>
            <w:r w:rsidRPr="000A19E1">
              <w:rPr>
                <w:rFonts w:ascii="Calibri" w:eastAsia="Times New Roman" w:hAnsi="Calibri"/>
                <w:szCs w:val="22"/>
                <w:lang w:val="es-ES_tradnl"/>
              </w:rPr>
              <w:t>Farmacéutica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Alemania</w:t>
            </w:r>
          </w:p>
        </w:tc>
      </w:tr>
      <w:tr w:rsidR="001A2943" w:rsidRPr="000A19E1"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10</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Qualcomm</w:t>
            </w:r>
            <w:proofErr w:type="spellEnd"/>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639</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1.45%</w:t>
            </w:r>
          </w:p>
        </w:tc>
        <w:tc>
          <w:tcPr>
            <w:tcW w:w="20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Telecomunicaciones</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EE.UU.</w:t>
            </w:r>
          </w:p>
        </w:tc>
      </w:tr>
      <w:tr w:rsidR="001A2943" w:rsidRPr="000A19E1" w:rsidTr="00500C05">
        <w:trPr>
          <w:trHeight w:val="300"/>
          <w:jc w:val="center"/>
        </w:trPr>
        <w:tc>
          <w:tcPr>
            <w:tcW w:w="9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Total</w:t>
            </w:r>
          </w:p>
        </w:tc>
        <w:tc>
          <w:tcPr>
            <w:tcW w:w="2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149"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9,608</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21.86%</w:t>
            </w:r>
          </w:p>
        </w:tc>
        <w:tc>
          <w:tcPr>
            <w:tcW w:w="20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p>
        </w:tc>
      </w:tr>
      <w:tr w:rsidR="001A2943" w:rsidRPr="000A19E1" w:rsidTr="00500C05">
        <w:trPr>
          <w:trHeight w:val="315"/>
          <w:jc w:val="center"/>
        </w:trPr>
        <w:tc>
          <w:tcPr>
            <w:tcW w:w="98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32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149"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08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 </w:t>
            </w:r>
          </w:p>
        </w:tc>
      </w:tr>
      <w:tr w:rsidR="001A2943" w:rsidRPr="003B7535" w:rsidTr="00500C05">
        <w:trPr>
          <w:trHeight w:val="300"/>
          <w:jc w:val="center"/>
        </w:trPr>
        <w:tc>
          <w:tcPr>
            <w:tcW w:w="3300" w:type="dxa"/>
            <w:gridSpan w:val="2"/>
            <w:tcBorders>
              <w:top w:val="nil"/>
              <w:left w:val="nil"/>
              <w:bottom w:val="nil"/>
              <w:right w:val="nil"/>
            </w:tcBorders>
            <w:shd w:val="clear" w:color="auto" w:fill="auto"/>
            <w:noWrap/>
            <w:vAlign w:val="bottom"/>
          </w:tcPr>
          <w:p w:rsidR="001A2943" w:rsidRPr="000A19E1" w:rsidRDefault="001A2943" w:rsidP="00500C05">
            <w:pPr>
              <w:ind w:right="-121"/>
              <w:rPr>
                <w:rFonts w:ascii="Calibri" w:eastAsia="Times New Roman" w:hAnsi="Calibri"/>
                <w:sz w:val="20"/>
                <w:lang w:val="es-ES_tradnl"/>
              </w:rPr>
            </w:pPr>
            <w:r w:rsidRPr="000A19E1">
              <w:rPr>
                <w:rFonts w:ascii="Calibri" w:eastAsia="Times New Roman" w:hAnsi="Calibri"/>
                <w:sz w:val="20"/>
                <w:lang w:val="es-ES_tradnl"/>
              </w:rPr>
              <w:t xml:space="preserve">* Pfizer y </w:t>
            </w:r>
            <w:proofErr w:type="spellStart"/>
            <w:r w:rsidRPr="000A19E1">
              <w:rPr>
                <w:rFonts w:ascii="Calibri" w:eastAsia="Times New Roman" w:hAnsi="Calibri"/>
                <w:sz w:val="20"/>
                <w:lang w:val="es-ES_tradnl"/>
              </w:rPr>
              <w:t>Wyeth</w:t>
            </w:r>
            <w:proofErr w:type="spellEnd"/>
            <w:r w:rsidRPr="000A19E1">
              <w:rPr>
                <w:rFonts w:ascii="Calibri" w:eastAsia="Times New Roman" w:hAnsi="Calibri"/>
                <w:sz w:val="20"/>
                <w:lang w:val="es-ES_tradnl"/>
              </w:rPr>
              <w:t xml:space="preserve"> se fusionaron en 2009</w:t>
            </w:r>
          </w:p>
        </w:tc>
        <w:tc>
          <w:tcPr>
            <w:tcW w:w="114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20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p>
        </w:tc>
      </w:tr>
    </w:tbl>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Los primeros 10 solicitantes explican en conjunto el 21,9% del total de solicitudes de patentes desde 1991 hasta 2010, lo que sugiere una concentración relativamente alta de las mismas.</w:t>
      </w:r>
      <w:r>
        <w:rPr>
          <w:szCs w:val="22"/>
          <w:lang w:val="es-ES_tradnl"/>
        </w:rPr>
        <w:t xml:space="preserve"> </w:t>
      </w:r>
      <w:r w:rsidRPr="000A19E1">
        <w:rPr>
          <w:szCs w:val="22"/>
          <w:lang w:val="es-ES_tradnl"/>
        </w:rPr>
        <w:t>Esto se confirma cuando se amplía la lista de solicitantes a los primeros 50 y a los primeros 100, que representan respectivamente el 43,0% y el 50,1% de todas las solicitudes (en total hay más de 9.200 solicitantes diferentes).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El Cuadro 2 presenta los primeros 10 solicitantes entre los residentes chilenos.</w:t>
      </w:r>
      <w:r w:rsidRPr="000A19E1">
        <w:rPr>
          <w:rStyle w:val="FootnoteReference"/>
          <w:szCs w:val="22"/>
          <w:lang w:val="es-ES_tradnl"/>
        </w:rPr>
        <w:footnoteReference w:id="22"/>
      </w:r>
      <w:r>
        <w:rPr>
          <w:szCs w:val="22"/>
          <w:lang w:val="es-ES_tradnl"/>
        </w:rPr>
        <w:t xml:space="preserve"> </w:t>
      </w:r>
      <w:r w:rsidR="00936C43">
        <w:rPr>
          <w:szCs w:val="22"/>
          <w:lang w:val="es-ES_tradnl"/>
        </w:rPr>
        <w:t xml:space="preserve"> </w:t>
      </w:r>
      <w:r w:rsidRPr="000A19E1">
        <w:rPr>
          <w:szCs w:val="22"/>
          <w:lang w:val="es-ES_tradnl"/>
        </w:rPr>
        <w:t>Al menos tres elementos destacables emergen de este listado.</w:t>
      </w:r>
      <w:r>
        <w:rPr>
          <w:szCs w:val="22"/>
          <w:lang w:val="es-ES_tradnl"/>
        </w:rPr>
        <w:t xml:space="preserve"> </w:t>
      </w:r>
      <w:r w:rsidR="00936C43">
        <w:rPr>
          <w:szCs w:val="22"/>
          <w:lang w:val="es-ES_tradnl"/>
        </w:rPr>
        <w:t xml:space="preserve"> </w:t>
      </w:r>
      <w:r w:rsidRPr="000A19E1">
        <w:rPr>
          <w:szCs w:val="22"/>
          <w:lang w:val="es-ES_tradnl"/>
        </w:rPr>
        <w:t>En primer lugar, entre los primeros 10</w:t>
      </w:r>
      <w:r w:rsidR="00936C43">
        <w:rPr>
          <w:szCs w:val="22"/>
          <w:lang w:val="es-ES_tradnl"/>
        </w:rPr>
        <w:t> </w:t>
      </w:r>
      <w:r w:rsidRPr="000A19E1">
        <w:rPr>
          <w:szCs w:val="22"/>
          <w:lang w:val="es-ES_tradnl"/>
        </w:rPr>
        <w:t>solicitantes hay seis universidades</w:t>
      </w:r>
      <w:r w:rsidRPr="000A19E1">
        <w:rPr>
          <w:rStyle w:val="FootnoteReference"/>
          <w:szCs w:val="22"/>
          <w:lang w:val="es-ES_tradnl"/>
        </w:rPr>
        <w:footnoteReference w:id="23"/>
      </w:r>
      <w:r w:rsidRPr="000A19E1">
        <w:rPr>
          <w:szCs w:val="22"/>
          <w:lang w:val="es-ES_tradnl"/>
        </w:rPr>
        <w:t>.</w:t>
      </w:r>
      <w:r>
        <w:rPr>
          <w:szCs w:val="22"/>
          <w:lang w:val="es-ES_tradnl"/>
        </w:rPr>
        <w:t xml:space="preserve"> </w:t>
      </w:r>
      <w:r w:rsidR="00936C43">
        <w:rPr>
          <w:szCs w:val="22"/>
          <w:lang w:val="es-ES_tradnl"/>
        </w:rPr>
        <w:t xml:space="preserve"> </w:t>
      </w:r>
      <w:r w:rsidRPr="000A19E1">
        <w:rPr>
          <w:szCs w:val="22"/>
          <w:lang w:val="es-ES_tradnl"/>
        </w:rPr>
        <w:t>Este patrón es similar al de otros países de ingresos medios, donde las instituciones académicas normalmente representan una proporción significativamente mayor del gasto global en I+D que en los países de altos ingresos.</w:t>
      </w:r>
      <w:r w:rsidRPr="000A19E1">
        <w:rPr>
          <w:rStyle w:val="FootnoteReference"/>
          <w:szCs w:val="22"/>
          <w:lang w:val="es-ES_tradnl"/>
        </w:rPr>
        <w:footnoteReference w:id="24"/>
      </w:r>
      <w:r>
        <w:rPr>
          <w:szCs w:val="22"/>
          <w:lang w:val="es-ES_tradnl"/>
        </w:rPr>
        <w:t xml:space="preserve"> </w:t>
      </w:r>
      <w:r w:rsidR="00936C43">
        <w:rPr>
          <w:szCs w:val="22"/>
          <w:lang w:val="es-ES_tradnl"/>
        </w:rPr>
        <w:t xml:space="preserve"> </w:t>
      </w:r>
      <w:r w:rsidRPr="000A19E1">
        <w:rPr>
          <w:szCs w:val="22"/>
          <w:lang w:val="es-ES_tradnl"/>
        </w:rPr>
        <w:t>En segundo lugar, el resto de los primeros 10 solicitantes chilenos pertenece al sector minero, lo que refleja la importancia de este sector en la economía chilena.</w:t>
      </w:r>
      <w:r w:rsidR="00936C43">
        <w:rPr>
          <w:szCs w:val="22"/>
          <w:lang w:val="es-ES_tradnl"/>
        </w:rPr>
        <w:t xml:space="preserve"> </w:t>
      </w:r>
      <w:r>
        <w:rPr>
          <w:szCs w:val="22"/>
          <w:lang w:val="es-ES_tradnl"/>
        </w:rPr>
        <w:t xml:space="preserve"> </w:t>
      </w:r>
      <w:r w:rsidRPr="000A19E1">
        <w:rPr>
          <w:szCs w:val="22"/>
          <w:lang w:val="es-ES_tradnl"/>
        </w:rPr>
        <w:t>De hecho, tres de las cuatro empresas mineras pertenecen a la misma compañía, Codelco.</w:t>
      </w:r>
      <w:r>
        <w:rPr>
          <w:szCs w:val="22"/>
          <w:lang w:val="es-ES_tradnl"/>
        </w:rPr>
        <w:t xml:space="preserve"> </w:t>
      </w:r>
      <w:r w:rsidR="00936C43">
        <w:rPr>
          <w:szCs w:val="22"/>
          <w:lang w:val="es-ES_tradnl"/>
        </w:rPr>
        <w:t xml:space="preserve"> </w:t>
      </w:r>
      <w:r w:rsidRPr="000A19E1">
        <w:rPr>
          <w:szCs w:val="22"/>
          <w:lang w:val="es-ES_tradnl"/>
        </w:rPr>
        <w:t>Las patentes solicitadas por las empresas de la industria minera son de naturaleza diversa.</w:t>
      </w:r>
      <w:r w:rsidR="00936C43">
        <w:rPr>
          <w:szCs w:val="22"/>
          <w:lang w:val="es-ES_tradnl"/>
        </w:rPr>
        <w:t xml:space="preserve"> </w:t>
      </w:r>
      <w:r>
        <w:rPr>
          <w:szCs w:val="22"/>
          <w:lang w:val="es-ES_tradnl"/>
        </w:rPr>
        <w:t xml:space="preserve"> </w:t>
      </w:r>
      <w:r w:rsidRPr="000A19E1">
        <w:rPr>
          <w:szCs w:val="22"/>
          <w:lang w:val="es-ES_tradnl"/>
        </w:rPr>
        <w:lastRenderedPageBreak/>
        <w:t xml:space="preserve">Mientras que </w:t>
      </w:r>
      <w:proofErr w:type="spellStart"/>
      <w:r w:rsidRPr="000A19E1">
        <w:rPr>
          <w:szCs w:val="22"/>
          <w:lang w:val="es-ES_tradnl"/>
        </w:rPr>
        <w:t>Biosigma</w:t>
      </w:r>
      <w:proofErr w:type="spellEnd"/>
      <w:r w:rsidRPr="000A19E1">
        <w:rPr>
          <w:szCs w:val="22"/>
          <w:lang w:val="es-ES_tradnl"/>
        </w:rPr>
        <w:t xml:space="preserve"> solicitó patentes sobre microorganismos y su utilización para la extracción de metales a partir de minerales (CIP clases C12 y C22), MI </w:t>
      </w:r>
      <w:proofErr w:type="spellStart"/>
      <w:r w:rsidRPr="000A19E1">
        <w:rPr>
          <w:szCs w:val="22"/>
          <w:lang w:val="es-ES_tradnl"/>
        </w:rPr>
        <w:t>Robotic</w:t>
      </w:r>
      <w:proofErr w:type="spellEnd"/>
      <w:r w:rsidRPr="000A19E1">
        <w:rPr>
          <w:szCs w:val="22"/>
          <w:lang w:val="es-ES_tradnl"/>
        </w:rPr>
        <w:t xml:space="preserve"> </w:t>
      </w:r>
      <w:proofErr w:type="spellStart"/>
      <w:r w:rsidRPr="000A19E1">
        <w:rPr>
          <w:szCs w:val="22"/>
          <w:lang w:val="es-ES_tradnl"/>
        </w:rPr>
        <w:t>Solutions</w:t>
      </w:r>
      <w:proofErr w:type="spellEnd"/>
      <w:r w:rsidRPr="000A19E1">
        <w:rPr>
          <w:szCs w:val="22"/>
          <w:lang w:val="es-ES_tradnl"/>
        </w:rPr>
        <w:t xml:space="preserve"> presentó solicitudes de patentes sobre sistemas robóticos utilizados en la industria minera (CIP clase B25). </w:t>
      </w:r>
    </w:p>
    <w:p w:rsidR="001A2943" w:rsidRDefault="001A2943" w:rsidP="001A2943">
      <w:pPr>
        <w:rPr>
          <w:lang w:val="es-ES_tradnl"/>
        </w:rPr>
      </w:pPr>
    </w:p>
    <w:p w:rsidR="001A2943" w:rsidRPr="000A19E1" w:rsidRDefault="001A2943" w:rsidP="001A2943">
      <w:pPr>
        <w:jc w:val="center"/>
        <w:rPr>
          <w:lang w:val="es-ES_tradnl"/>
        </w:rPr>
      </w:pPr>
      <w:r w:rsidRPr="000A19E1">
        <w:rPr>
          <w:b/>
          <w:lang w:val="es-ES_tradnl"/>
        </w:rPr>
        <w:t>Cuadro 2</w:t>
      </w:r>
      <w:proofErr w:type="gramStart"/>
      <w:r w:rsidRPr="000A19E1">
        <w:rPr>
          <w:b/>
          <w:lang w:val="es-ES_tradnl"/>
        </w:rPr>
        <w:t>:</w:t>
      </w:r>
      <w:r>
        <w:rPr>
          <w:b/>
          <w:lang w:val="es-ES_tradnl"/>
        </w:rPr>
        <w:t xml:space="preserve"> </w:t>
      </w:r>
      <w:r w:rsidR="001D3D54">
        <w:rPr>
          <w:b/>
          <w:lang w:val="es-ES_tradnl"/>
        </w:rPr>
        <w:t xml:space="preserve"> </w:t>
      </w:r>
      <w:r w:rsidRPr="000A19E1">
        <w:rPr>
          <w:b/>
          <w:lang w:val="es-ES_tradnl"/>
        </w:rPr>
        <w:t>Primeros</w:t>
      </w:r>
      <w:proofErr w:type="gramEnd"/>
      <w:r w:rsidRPr="000A19E1">
        <w:rPr>
          <w:b/>
          <w:lang w:val="es-ES_tradnl"/>
        </w:rPr>
        <w:t xml:space="preserve"> 10 solicitantes residentes </w:t>
      </w:r>
      <w:r w:rsidRPr="000A19E1">
        <w:rPr>
          <w:b/>
          <w:lang w:val="es-ES_tradnl"/>
        </w:rPr>
        <w:noBreakHyphen/>
        <w:t>patentes (1991-2010)</w:t>
      </w:r>
    </w:p>
    <w:tbl>
      <w:tblPr>
        <w:tblW w:w="9284" w:type="dxa"/>
        <w:tblInd w:w="93" w:type="dxa"/>
        <w:tblLook w:val="04A0" w:firstRow="1" w:lastRow="0" w:firstColumn="1" w:lastColumn="0" w:noHBand="0" w:noVBand="1"/>
      </w:tblPr>
      <w:tblGrid>
        <w:gridCol w:w="960"/>
        <w:gridCol w:w="4600"/>
        <w:gridCol w:w="1162"/>
        <w:gridCol w:w="1280"/>
        <w:gridCol w:w="1282"/>
      </w:tblGrid>
      <w:tr w:rsidR="001A2943" w:rsidRPr="003B7535" w:rsidTr="00500C05">
        <w:trPr>
          <w:trHeight w:val="315"/>
        </w:trPr>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460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162"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28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282"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r>
      <w:tr w:rsidR="001A2943" w:rsidRPr="000A19E1" w:rsidTr="00500C05">
        <w:trPr>
          <w:trHeight w:val="300"/>
        </w:trPr>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Posición</w:t>
            </w:r>
          </w:p>
        </w:tc>
        <w:tc>
          <w:tcPr>
            <w:tcW w:w="460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Nombre</w:t>
            </w:r>
          </w:p>
        </w:tc>
        <w:tc>
          <w:tcPr>
            <w:tcW w:w="1162"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w:t>
            </w:r>
            <w:r w:rsidRPr="000A19E1">
              <w:rPr>
                <w:rFonts w:ascii="Calibri" w:eastAsia="Times New Roman" w:hAnsi="Calibri"/>
                <w:i/>
                <w:iCs/>
                <w:szCs w:val="22"/>
                <w:vertAlign w:val="superscript"/>
                <w:lang w:val="es-ES_tradnl"/>
              </w:rPr>
              <w:t>o</w:t>
            </w:r>
            <w:r w:rsidRPr="000A19E1">
              <w:rPr>
                <w:rFonts w:ascii="Calibri" w:eastAsia="Times New Roman" w:hAnsi="Calibri"/>
                <w:i/>
                <w:iCs/>
                <w:szCs w:val="22"/>
                <w:lang w:val="es-ES_tradnl"/>
              </w:rPr>
              <w:t xml:space="preserve"> Solicitudes</w:t>
            </w:r>
          </w:p>
        </w:tc>
        <w:tc>
          <w:tcPr>
            <w:tcW w:w="128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 Total residentes</w:t>
            </w:r>
          </w:p>
        </w:tc>
        <w:tc>
          <w:tcPr>
            <w:tcW w:w="1282"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Industria</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16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2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 de Concepción</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107</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3.03%</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Codelco</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86</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2.43%</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Minería</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Instituto de Innovación en Minería y Metalurgia*</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71</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2.01%</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Minería</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4</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 Técnica Federico Santa María</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52</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1.47%</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5</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 de Chile</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44</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1.25%</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 de Santiago Chile</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39</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1.10%</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PUC Chile</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35</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0.99%</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PUC Valparaíso</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27</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0.76%</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9</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xml:space="preserve">MI </w:t>
            </w:r>
            <w:proofErr w:type="spellStart"/>
            <w:r w:rsidRPr="000A19E1">
              <w:rPr>
                <w:rFonts w:ascii="Calibri" w:eastAsia="Times New Roman" w:hAnsi="Calibri"/>
                <w:szCs w:val="22"/>
                <w:lang w:val="es-ES_tradnl"/>
              </w:rPr>
              <w:t>Robotic</w:t>
            </w:r>
            <w:proofErr w:type="spellEnd"/>
            <w:r w:rsidRPr="000A19E1">
              <w:rPr>
                <w:rFonts w:ascii="Calibri" w:eastAsia="Times New Roman" w:hAnsi="Calibri"/>
                <w:szCs w:val="22"/>
                <w:lang w:val="es-ES_tradnl"/>
              </w:rPr>
              <w:t xml:space="preserve"> </w:t>
            </w:r>
            <w:proofErr w:type="spellStart"/>
            <w:r w:rsidRPr="000A19E1">
              <w:rPr>
                <w:rFonts w:ascii="Calibri" w:eastAsia="Times New Roman" w:hAnsi="Calibri"/>
                <w:szCs w:val="22"/>
                <w:lang w:val="es-ES_tradnl"/>
              </w:rPr>
              <w:t>Solutions</w:t>
            </w:r>
            <w:proofErr w:type="spellEnd"/>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23</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0.65%</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Minería</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10</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Biosigma</w:t>
            </w:r>
            <w:proofErr w:type="spellEnd"/>
            <w:r w:rsidRPr="000A19E1">
              <w:rPr>
                <w:rFonts w:ascii="Calibri" w:eastAsia="Times New Roman" w:hAnsi="Calibri"/>
                <w:szCs w:val="22"/>
                <w:lang w:val="es-ES_tradnl"/>
              </w:rPr>
              <w:t>**</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20</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0.57%</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Minería</w:t>
            </w:r>
          </w:p>
        </w:tc>
      </w:tr>
      <w:tr w:rsidR="001A2943" w:rsidRPr="000A19E1" w:rsidTr="00500C05">
        <w:trPr>
          <w:trHeight w:val="300"/>
        </w:trPr>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Total</w:t>
            </w:r>
          </w:p>
        </w:tc>
        <w:tc>
          <w:tcPr>
            <w:tcW w:w="46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504</w:t>
            </w:r>
          </w:p>
        </w:tc>
        <w:tc>
          <w:tcPr>
            <w:tcW w:w="12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14.27%</w:t>
            </w: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r>
      <w:tr w:rsidR="001A2943" w:rsidRPr="000A19E1" w:rsidTr="00500C05">
        <w:trPr>
          <w:trHeight w:val="315"/>
        </w:trPr>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460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162"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28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282"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r>
      <w:tr w:rsidR="001A2943" w:rsidRPr="000A19E1" w:rsidTr="00500C05">
        <w:trPr>
          <w:trHeight w:val="300"/>
        </w:trPr>
        <w:tc>
          <w:tcPr>
            <w:tcW w:w="5560" w:type="dxa"/>
            <w:gridSpan w:val="2"/>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 w:val="20"/>
                <w:lang w:val="es-ES_tradnl"/>
              </w:rPr>
            </w:pPr>
            <w:r w:rsidRPr="000A19E1">
              <w:rPr>
                <w:rFonts w:ascii="Calibri" w:eastAsia="Times New Roman" w:hAnsi="Calibri"/>
                <w:sz w:val="20"/>
                <w:lang w:val="es-ES_tradnl"/>
              </w:rPr>
              <w:t>* Subsidiaria de Codelco desde 1998</w:t>
            </w:r>
          </w:p>
        </w:tc>
        <w:tc>
          <w:tcPr>
            <w:tcW w:w="116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2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r>
      <w:tr w:rsidR="001A2943" w:rsidRPr="000A19E1" w:rsidTr="00500C05">
        <w:trPr>
          <w:trHeight w:val="300"/>
        </w:trPr>
        <w:tc>
          <w:tcPr>
            <w:tcW w:w="5560" w:type="dxa"/>
            <w:gridSpan w:val="2"/>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 w:val="20"/>
                <w:lang w:val="es-ES_tradnl"/>
              </w:rPr>
            </w:pPr>
            <w:r w:rsidRPr="000A19E1">
              <w:rPr>
                <w:rFonts w:ascii="Calibri" w:eastAsia="Times New Roman" w:hAnsi="Calibri"/>
                <w:sz w:val="20"/>
                <w:lang w:val="es-ES_tradnl"/>
              </w:rPr>
              <w:t>** Subsidiaria de Codelco desde 2002.</w:t>
            </w:r>
          </w:p>
        </w:tc>
        <w:tc>
          <w:tcPr>
            <w:tcW w:w="116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2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28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r>
    </w:tbl>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 xml:space="preserve">En tercer lugar, el nivel global de </w:t>
      </w:r>
      <w:proofErr w:type="spellStart"/>
      <w:r w:rsidRPr="000A19E1">
        <w:rPr>
          <w:szCs w:val="22"/>
          <w:lang w:val="es-ES_tradnl"/>
        </w:rPr>
        <w:t>patentamiento</w:t>
      </w:r>
      <w:proofErr w:type="spellEnd"/>
      <w:r w:rsidRPr="000A19E1">
        <w:rPr>
          <w:szCs w:val="22"/>
          <w:lang w:val="es-ES_tradnl"/>
        </w:rPr>
        <w:t xml:space="preserve"> de los primeros 10 solicitantes chilenos parece reducido.</w:t>
      </w:r>
      <w:r>
        <w:rPr>
          <w:szCs w:val="22"/>
          <w:lang w:val="es-ES_tradnl"/>
        </w:rPr>
        <w:t xml:space="preserve"> </w:t>
      </w:r>
      <w:r w:rsidR="00936C43">
        <w:rPr>
          <w:szCs w:val="22"/>
          <w:lang w:val="es-ES_tradnl"/>
        </w:rPr>
        <w:t xml:space="preserve"> </w:t>
      </w:r>
      <w:r w:rsidRPr="000A19E1">
        <w:rPr>
          <w:szCs w:val="22"/>
          <w:lang w:val="es-ES_tradnl"/>
        </w:rPr>
        <w:t xml:space="preserve">Durante el período 1991-2010, el principal solicitante chileno </w:t>
      </w:r>
      <w:r w:rsidRPr="000A19E1">
        <w:rPr>
          <w:szCs w:val="22"/>
          <w:lang w:val="es-ES_tradnl"/>
        </w:rPr>
        <w:noBreakHyphen/>
        <w:t>la Universidad de Concepción</w:t>
      </w:r>
      <w:r w:rsidRPr="000A19E1">
        <w:rPr>
          <w:szCs w:val="22"/>
          <w:lang w:val="es-ES_tradnl"/>
        </w:rPr>
        <w:noBreakHyphen/>
        <w:t xml:space="preserve"> solicitó sólo poco más de 100 patentes.</w:t>
      </w:r>
      <w:r>
        <w:rPr>
          <w:szCs w:val="22"/>
          <w:lang w:val="es-ES_tradnl"/>
        </w:rPr>
        <w:t xml:space="preserve"> </w:t>
      </w:r>
      <w:r w:rsidR="00936C43">
        <w:rPr>
          <w:szCs w:val="22"/>
          <w:lang w:val="es-ES_tradnl"/>
        </w:rPr>
        <w:t xml:space="preserve"> </w:t>
      </w:r>
      <w:r w:rsidRPr="000A19E1">
        <w:rPr>
          <w:szCs w:val="22"/>
          <w:lang w:val="es-ES_tradnl"/>
        </w:rPr>
        <w:t>La minera Codelco, junto con sus filiales, presentó 177 patentes en total durante el mismo período de 20 años.</w:t>
      </w:r>
      <w:r w:rsidR="00936C43">
        <w:rPr>
          <w:szCs w:val="22"/>
          <w:lang w:val="es-ES_tradnl"/>
        </w:rPr>
        <w:t xml:space="preserve"> </w:t>
      </w:r>
      <w:r>
        <w:rPr>
          <w:szCs w:val="22"/>
          <w:lang w:val="es-ES_tradnl"/>
        </w:rPr>
        <w:t xml:space="preserve"> </w:t>
      </w:r>
      <w:r w:rsidRPr="000A19E1">
        <w:rPr>
          <w:szCs w:val="22"/>
          <w:lang w:val="es-ES_tradnl"/>
        </w:rPr>
        <w:t>En conjunto, los primeros 10 solicitantes chilenos sólo representan alrededor del 1% de todas las solicitudes de patentes presentadas durante 1991-2010.</w:t>
      </w:r>
      <w:r>
        <w:rPr>
          <w:szCs w:val="22"/>
          <w:lang w:val="es-ES_tradnl"/>
        </w:rPr>
        <w:t xml:space="preserve"> </w:t>
      </w:r>
      <w:r w:rsidRPr="000A19E1">
        <w:rPr>
          <w:szCs w:val="22"/>
          <w:lang w:val="es-ES_tradnl"/>
        </w:rPr>
        <w:t>Sin embargo, representan un considerable 14% de todas las solicitudes presentadas por residentes chilenos, indicando la existencia de una distribución desigual de las solicitudes de los residentes tal como ocurre con las presentaciones totales.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Es importante no asumir que existe una correspondencia lineal entre </w:t>
      </w:r>
      <w:proofErr w:type="spellStart"/>
      <w:r w:rsidRPr="000A19E1">
        <w:rPr>
          <w:szCs w:val="22"/>
          <w:lang w:val="es-ES_tradnl"/>
        </w:rPr>
        <w:t>patentamiento</w:t>
      </w:r>
      <w:proofErr w:type="spellEnd"/>
      <w:r w:rsidRPr="000A19E1">
        <w:rPr>
          <w:szCs w:val="22"/>
          <w:lang w:val="es-ES_tradnl"/>
        </w:rPr>
        <w:t xml:space="preserve"> e innovación en Chile.</w:t>
      </w:r>
      <w:r>
        <w:rPr>
          <w:szCs w:val="22"/>
          <w:lang w:val="es-ES_tradnl"/>
        </w:rPr>
        <w:t xml:space="preserve"> </w:t>
      </w:r>
      <w:r w:rsidR="00936C43">
        <w:rPr>
          <w:szCs w:val="22"/>
          <w:lang w:val="es-ES_tradnl"/>
        </w:rPr>
        <w:t xml:space="preserve"> </w:t>
      </w:r>
      <w:r w:rsidRPr="000A19E1">
        <w:rPr>
          <w:szCs w:val="22"/>
          <w:lang w:val="es-ES_tradnl"/>
        </w:rPr>
        <w:t>La generación de patentes de las universidades, por ejemplo, depende de un gran número de condiciones institucionales.</w:t>
      </w:r>
      <w:r w:rsidR="00936C43">
        <w:rPr>
          <w:szCs w:val="22"/>
          <w:lang w:val="es-ES_tradnl"/>
        </w:rPr>
        <w:t xml:space="preserve"> </w:t>
      </w:r>
      <w:r>
        <w:rPr>
          <w:szCs w:val="22"/>
          <w:lang w:val="es-ES_tradnl"/>
        </w:rPr>
        <w:t xml:space="preserve"> </w:t>
      </w:r>
      <w:r w:rsidRPr="000A19E1">
        <w:rPr>
          <w:szCs w:val="22"/>
          <w:lang w:val="es-ES_tradnl"/>
        </w:rPr>
        <w:t>Además, se sabe poco acerca de la importancia exacta de la protección de patentes para el sector minero.</w:t>
      </w:r>
      <w:r w:rsidR="00936C43">
        <w:rPr>
          <w:szCs w:val="22"/>
          <w:lang w:val="es-ES_tradnl"/>
        </w:rPr>
        <w:t xml:space="preserve"> </w:t>
      </w:r>
      <w:r>
        <w:rPr>
          <w:szCs w:val="22"/>
          <w:lang w:val="es-ES_tradnl"/>
        </w:rPr>
        <w:t xml:space="preserve"> </w:t>
      </w:r>
      <w:r w:rsidRPr="000A19E1">
        <w:rPr>
          <w:szCs w:val="22"/>
          <w:lang w:val="es-ES_tradnl"/>
        </w:rPr>
        <w:t xml:space="preserve">Las tecnologías utilizadas en la minería son heterogéneas y el secreto puede ser una alternativa viable para proteger de la copia a las nuevas tecnologías por parte de las empresas mineras. </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A diferencia de lo observado en las patentes, las empresas chilenas dominan el listado de los primeros 10 solicitantes de marcas (Cuadro 3).</w:t>
      </w:r>
      <w:r w:rsidR="00936C43">
        <w:rPr>
          <w:szCs w:val="22"/>
          <w:lang w:val="es-ES_tradnl"/>
        </w:rPr>
        <w:t xml:space="preserve"> </w:t>
      </w:r>
      <w:r>
        <w:rPr>
          <w:szCs w:val="22"/>
          <w:lang w:val="es-ES_tradnl"/>
        </w:rPr>
        <w:t xml:space="preserve"> </w:t>
      </w:r>
      <w:r w:rsidRPr="000A19E1">
        <w:rPr>
          <w:szCs w:val="22"/>
          <w:lang w:val="es-ES_tradnl"/>
        </w:rPr>
        <w:t>Sólo tres multinacionales extranjeras integran esta lista.</w:t>
      </w:r>
      <w:r>
        <w:rPr>
          <w:szCs w:val="22"/>
          <w:lang w:val="es-ES_tradnl"/>
        </w:rPr>
        <w:t xml:space="preserve"> </w:t>
      </w:r>
      <w:r w:rsidR="00936C43">
        <w:rPr>
          <w:szCs w:val="22"/>
          <w:lang w:val="es-ES_tradnl"/>
        </w:rPr>
        <w:t xml:space="preserve"> </w:t>
      </w:r>
      <w:r w:rsidRPr="000A19E1">
        <w:rPr>
          <w:szCs w:val="22"/>
          <w:lang w:val="es-ES_tradnl"/>
        </w:rPr>
        <w:t>Seis de los primeros 10 solicitantes de marcas provienen de las industrias de bienes de consumo, farmacéutica y productos alimenticios, que también dominan la lista de los primeros 10 solicitantes en patentes.</w:t>
      </w:r>
      <w:r w:rsidR="00936C43">
        <w:rPr>
          <w:szCs w:val="22"/>
          <w:lang w:val="es-ES_tradnl"/>
        </w:rPr>
        <w:t xml:space="preserve"> </w:t>
      </w:r>
      <w:r>
        <w:rPr>
          <w:szCs w:val="22"/>
          <w:lang w:val="es-ES_tradnl"/>
        </w:rPr>
        <w:t xml:space="preserve"> Además, tres de los primeros </w:t>
      </w:r>
      <w:r w:rsidRPr="000A19E1">
        <w:rPr>
          <w:szCs w:val="22"/>
          <w:lang w:val="es-ES_tradnl"/>
        </w:rPr>
        <w:t xml:space="preserve">10 solicitantes pertenecen al comercio minorista </w:t>
      </w:r>
      <w:r w:rsidRPr="000A19E1">
        <w:rPr>
          <w:szCs w:val="22"/>
          <w:lang w:val="es-ES_tradnl"/>
        </w:rPr>
        <w:noBreakHyphen/>
        <w:t>incluyendo Falabella, el mejor posicionado</w:t>
      </w:r>
      <w:r w:rsidRPr="000A19E1">
        <w:rPr>
          <w:szCs w:val="22"/>
          <w:lang w:val="es-ES_tradnl"/>
        </w:rPr>
        <w:noBreakHyphen/>
        <w:t xml:space="preserve"> y uno es proveedor de servicios de telecomunicaciones, lo que sugiere un uso más generalizado de las marcas en todos los sectores.</w:t>
      </w:r>
      <w:r>
        <w:rPr>
          <w:szCs w:val="22"/>
          <w:lang w:val="es-ES_tradnl"/>
        </w:rPr>
        <w:t xml:space="preserve"> </w:t>
      </w:r>
      <w:r w:rsidR="00936C43">
        <w:rPr>
          <w:szCs w:val="22"/>
          <w:lang w:val="es-ES_tradnl"/>
        </w:rPr>
        <w:t xml:space="preserve"> </w:t>
      </w:r>
      <w:r w:rsidRPr="000A19E1">
        <w:rPr>
          <w:szCs w:val="22"/>
          <w:lang w:val="es-ES_tradnl"/>
        </w:rPr>
        <w:t xml:space="preserve">Esto también se refleja en la </w:t>
      </w:r>
      <w:r w:rsidRPr="000A19E1">
        <w:rPr>
          <w:szCs w:val="22"/>
          <w:lang w:val="es-ES_tradnl"/>
        </w:rPr>
        <w:lastRenderedPageBreak/>
        <w:t>distribución un poco más equilibrada de las solicitudes de marcas:</w:t>
      </w:r>
      <w:r>
        <w:rPr>
          <w:szCs w:val="22"/>
          <w:lang w:val="es-ES_tradnl"/>
        </w:rPr>
        <w:t xml:space="preserve"> </w:t>
      </w:r>
      <w:r w:rsidRPr="000A19E1">
        <w:rPr>
          <w:szCs w:val="22"/>
          <w:lang w:val="es-ES_tradnl"/>
        </w:rPr>
        <w:t>los primeros 10</w:t>
      </w:r>
      <w:r w:rsidR="00963262">
        <w:rPr>
          <w:szCs w:val="22"/>
          <w:lang w:val="es-ES_tradnl"/>
        </w:rPr>
        <w:t> </w:t>
      </w:r>
      <w:r w:rsidRPr="000A19E1">
        <w:rPr>
          <w:szCs w:val="22"/>
          <w:lang w:val="es-ES_tradnl"/>
        </w:rPr>
        <w:t>solicitantes sólo representan el 3,6% de todas las solicitudes, los primeros 50 representan el 10% y los primeros 100, el 13,6%.</w:t>
      </w:r>
      <w:r>
        <w:rPr>
          <w:szCs w:val="22"/>
          <w:lang w:val="es-ES_tradnl"/>
        </w:rPr>
        <w:t xml:space="preserve"> </w:t>
      </w:r>
      <w:r w:rsidR="00936C43">
        <w:rPr>
          <w:szCs w:val="22"/>
          <w:lang w:val="es-ES_tradnl"/>
        </w:rPr>
        <w:t xml:space="preserve"> </w:t>
      </w:r>
      <w:r w:rsidRPr="000A19E1">
        <w:rPr>
          <w:szCs w:val="22"/>
          <w:lang w:val="es-ES_tradnl"/>
        </w:rPr>
        <w:t xml:space="preserve">Esta distribución relativamente menos sesgada refleja el gran número de solicitantes </w:t>
      </w:r>
      <w:r w:rsidRPr="000A19E1">
        <w:rPr>
          <w:szCs w:val="22"/>
          <w:lang w:val="es-ES_tradnl"/>
        </w:rPr>
        <w:noBreakHyphen/>
        <w:t>en total hay 132.260 solicitantes distintos.</w:t>
      </w:r>
    </w:p>
    <w:p w:rsidR="00963262" w:rsidRDefault="00963262" w:rsidP="001A2943">
      <w:pPr>
        <w:jc w:val="center"/>
        <w:rPr>
          <w:b/>
          <w:lang w:val="es-ES_tradnl"/>
        </w:rPr>
      </w:pPr>
    </w:p>
    <w:p w:rsidR="00963262" w:rsidRDefault="00963262" w:rsidP="001A2943">
      <w:pPr>
        <w:jc w:val="center"/>
        <w:rPr>
          <w:b/>
          <w:lang w:val="es-ES_tradnl"/>
        </w:rPr>
      </w:pPr>
    </w:p>
    <w:p w:rsidR="001A2943" w:rsidRDefault="001A2943" w:rsidP="001A2943">
      <w:pPr>
        <w:jc w:val="center"/>
        <w:rPr>
          <w:b/>
          <w:lang w:val="es-ES_tradnl"/>
        </w:rPr>
      </w:pPr>
      <w:r w:rsidRPr="000A19E1">
        <w:rPr>
          <w:b/>
          <w:lang w:val="es-ES_tradnl"/>
        </w:rPr>
        <w:t>Cuadro 3</w:t>
      </w:r>
      <w:proofErr w:type="gramStart"/>
      <w:r w:rsidRPr="000A19E1">
        <w:rPr>
          <w:b/>
          <w:lang w:val="es-ES_tradnl"/>
        </w:rPr>
        <w:t>:</w:t>
      </w:r>
      <w:r>
        <w:rPr>
          <w:b/>
          <w:lang w:val="es-ES_tradnl"/>
        </w:rPr>
        <w:t xml:space="preserve"> </w:t>
      </w:r>
      <w:r w:rsidR="001D3D54">
        <w:rPr>
          <w:b/>
          <w:lang w:val="es-ES_tradnl"/>
        </w:rPr>
        <w:t xml:space="preserve"> </w:t>
      </w:r>
      <w:r w:rsidRPr="000A19E1">
        <w:rPr>
          <w:b/>
          <w:lang w:val="es-ES_tradnl"/>
        </w:rPr>
        <w:t>Primeros</w:t>
      </w:r>
      <w:proofErr w:type="gramEnd"/>
      <w:r w:rsidRPr="000A19E1">
        <w:rPr>
          <w:b/>
          <w:lang w:val="es-ES_tradnl"/>
        </w:rPr>
        <w:t xml:space="preserve"> 10 solicitantes </w:t>
      </w:r>
      <w:r w:rsidRPr="000A19E1">
        <w:rPr>
          <w:b/>
          <w:lang w:val="es-ES_tradnl"/>
        </w:rPr>
        <w:noBreakHyphen/>
        <w:t>marcas (1991-2010)</w:t>
      </w:r>
    </w:p>
    <w:p w:rsidR="00963262" w:rsidRPr="000A19E1" w:rsidRDefault="00963262" w:rsidP="001A2943">
      <w:pPr>
        <w:jc w:val="center"/>
        <w:rPr>
          <w:b/>
          <w:lang w:val="es-ES_tradnl"/>
        </w:rPr>
      </w:pPr>
    </w:p>
    <w:tbl>
      <w:tblPr>
        <w:tblW w:w="8677" w:type="dxa"/>
        <w:jc w:val="center"/>
        <w:tblInd w:w="93" w:type="dxa"/>
        <w:tblLook w:val="04A0" w:firstRow="1" w:lastRow="0" w:firstColumn="1" w:lastColumn="0" w:noHBand="0" w:noVBand="1"/>
      </w:tblPr>
      <w:tblGrid>
        <w:gridCol w:w="947"/>
        <w:gridCol w:w="2426"/>
        <w:gridCol w:w="1162"/>
        <w:gridCol w:w="960"/>
        <w:gridCol w:w="2220"/>
        <w:gridCol w:w="962"/>
      </w:tblGrid>
      <w:tr w:rsidR="001A2943" w:rsidRPr="000A19E1" w:rsidTr="00500C05">
        <w:trPr>
          <w:trHeight w:val="315"/>
          <w:jc w:val="center"/>
        </w:trPr>
        <w:tc>
          <w:tcPr>
            <w:tcW w:w="947"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426"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162"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22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2" w:type="dxa"/>
            <w:tcBorders>
              <w:top w:val="nil"/>
              <w:left w:val="nil"/>
              <w:bottom w:val="single" w:sz="8" w:space="0" w:color="auto"/>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 </w:t>
            </w:r>
          </w:p>
        </w:tc>
      </w:tr>
      <w:tr w:rsidR="001A2943" w:rsidRPr="000A19E1" w:rsidTr="00500C05">
        <w:trPr>
          <w:trHeight w:val="300"/>
          <w:jc w:val="center"/>
        </w:trPr>
        <w:tc>
          <w:tcPr>
            <w:tcW w:w="947"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Posición</w:t>
            </w:r>
          </w:p>
        </w:tc>
        <w:tc>
          <w:tcPr>
            <w:tcW w:w="2426"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Nombre</w:t>
            </w:r>
          </w:p>
        </w:tc>
        <w:tc>
          <w:tcPr>
            <w:tcW w:w="1162"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w:t>
            </w:r>
            <w:r w:rsidRPr="000A19E1">
              <w:rPr>
                <w:rFonts w:ascii="Calibri" w:eastAsia="Times New Roman" w:hAnsi="Calibri"/>
                <w:i/>
                <w:iCs/>
                <w:szCs w:val="22"/>
                <w:vertAlign w:val="superscript"/>
                <w:lang w:val="es-ES_tradnl"/>
              </w:rPr>
              <w:t>o</w:t>
            </w:r>
            <w:r w:rsidRPr="000A19E1">
              <w:rPr>
                <w:rFonts w:ascii="Calibri" w:eastAsia="Times New Roman" w:hAnsi="Calibri"/>
                <w:i/>
                <w:iCs/>
                <w:szCs w:val="22"/>
                <w:lang w:val="es-ES_tradnl"/>
              </w:rPr>
              <w:t xml:space="preserve"> Solicitudes</w:t>
            </w:r>
          </w:p>
        </w:tc>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 Total</w:t>
            </w:r>
          </w:p>
        </w:tc>
        <w:tc>
          <w:tcPr>
            <w:tcW w:w="222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Industria</w:t>
            </w:r>
          </w:p>
        </w:tc>
        <w:tc>
          <w:tcPr>
            <w:tcW w:w="962"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i/>
                <w:iCs/>
                <w:szCs w:val="22"/>
                <w:lang w:val="es-ES_tradnl"/>
              </w:rPr>
            </w:pPr>
            <w:r w:rsidRPr="000A19E1">
              <w:rPr>
                <w:rFonts w:ascii="Calibri" w:eastAsia="Times New Roman" w:hAnsi="Calibri"/>
                <w:i/>
                <w:iCs/>
                <w:szCs w:val="22"/>
                <w:lang w:val="es-ES_tradnl"/>
              </w:rPr>
              <w:t>País</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2426"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16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22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p>
        </w:tc>
        <w:tc>
          <w:tcPr>
            <w:tcW w:w="2426"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Falabella</w:t>
            </w:r>
          </w:p>
        </w:tc>
        <w:tc>
          <w:tcPr>
            <w:tcW w:w="1162"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3,366</w:t>
            </w:r>
          </w:p>
        </w:tc>
        <w:tc>
          <w:tcPr>
            <w:tcW w:w="960"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0.58%</w:t>
            </w:r>
          </w:p>
        </w:tc>
        <w:tc>
          <w:tcPr>
            <w:tcW w:w="22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Comercio minorista</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w:t>
            </w:r>
          </w:p>
        </w:tc>
        <w:tc>
          <w:tcPr>
            <w:tcW w:w="2426"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Distribución y Servicio*</w:t>
            </w:r>
          </w:p>
        </w:tc>
        <w:tc>
          <w:tcPr>
            <w:tcW w:w="1162"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2,995</w:t>
            </w:r>
          </w:p>
        </w:tc>
        <w:tc>
          <w:tcPr>
            <w:tcW w:w="960"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0.51%</w:t>
            </w:r>
          </w:p>
        </w:tc>
        <w:tc>
          <w:tcPr>
            <w:tcW w:w="22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Comercio minorista</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w:t>
            </w:r>
          </w:p>
        </w:tc>
        <w:tc>
          <w:tcPr>
            <w:tcW w:w="2426"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xml:space="preserve">Entel </w:t>
            </w:r>
          </w:p>
        </w:tc>
        <w:tc>
          <w:tcPr>
            <w:tcW w:w="1162"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2,449</w:t>
            </w:r>
          </w:p>
        </w:tc>
        <w:tc>
          <w:tcPr>
            <w:tcW w:w="960"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0.42%</w:t>
            </w:r>
          </w:p>
        </w:tc>
        <w:tc>
          <w:tcPr>
            <w:tcW w:w="22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xml:space="preserve">Telecomunicaciones </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4</w:t>
            </w:r>
          </w:p>
        </w:tc>
        <w:tc>
          <w:tcPr>
            <w:tcW w:w="2426"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Unilever</w:t>
            </w:r>
          </w:p>
        </w:tc>
        <w:tc>
          <w:tcPr>
            <w:tcW w:w="1162"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2,069</w:t>
            </w:r>
          </w:p>
        </w:tc>
        <w:tc>
          <w:tcPr>
            <w:tcW w:w="960"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0.36%</w:t>
            </w:r>
          </w:p>
        </w:tc>
        <w:tc>
          <w:tcPr>
            <w:tcW w:w="22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Bienes de consumo</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Holanda</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5</w:t>
            </w:r>
          </w:p>
        </w:tc>
        <w:tc>
          <w:tcPr>
            <w:tcW w:w="2426"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Cencosud</w:t>
            </w:r>
            <w:proofErr w:type="spellEnd"/>
          </w:p>
        </w:tc>
        <w:tc>
          <w:tcPr>
            <w:tcW w:w="1162"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1,969</w:t>
            </w:r>
          </w:p>
        </w:tc>
        <w:tc>
          <w:tcPr>
            <w:tcW w:w="960"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0.34%</w:t>
            </w:r>
          </w:p>
        </w:tc>
        <w:tc>
          <w:tcPr>
            <w:tcW w:w="22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Comercio minorista</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2426"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Laboratorio Chile</w:t>
            </w:r>
          </w:p>
        </w:tc>
        <w:tc>
          <w:tcPr>
            <w:tcW w:w="1162"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1,728</w:t>
            </w:r>
          </w:p>
        </w:tc>
        <w:tc>
          <w:tcPr>
            <w:tcW w:w="960"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0.30%</w:t>
            </w:r>
          </w:p>
        </w:tc>
        <w:tc>
          <w:tcPr>
            <w:tcW w:w="22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Farmacéutica</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w:t>
            </w:r>
          </w:p>
        </w:tc>
        <w:tc>
          <w:tcPr>
            <w:tcW w:w="2426"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Johnson &amp; Johnson</w:t>
            </w:r>
          </w:p>
        </w:tc>
        <w:tc>
          <w:tcPr>
            <w:tcW w:w="1162"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1,644</w:t>
            </w:r>
          </w:p>
        </w:tc>
        <w:tc>
          <w:tcPr>
            <w:tcW w:w="960"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0.28%</w:t>
            </w:r>
          </w:p>
        </w:tc>
        <w:tc>
          <w:tcPr>
            <w:tcW w:w="22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Farmacéutica</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EE.UU.</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w:t>
            </w:r>
          </w:p>
        </w:tc>
        <w:tc>
          <w:tcPr>
            <w:tcW w:w="2426"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Ecclefield</w:t>
            </w:r>
            <w:proofErr w:type="spellEnd"/>
          </w:p>
        </w:tc>
        <w:tc>
          <w:tcPr>
            <w:tcW w:w="1162"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1,550</w:t>
            </w:r>
          </w:p>
        </w:tc>
        <w:tc>
          <w:tcPr>
            <w:tcW w:w="960"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0.27%</w:t>
            </w:r>
          </w:p>
        </w:tc>
        <w:tc>
          <w:tcPr>
            <w:tcW w:w="22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Servicios legales</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9</w:t>
            </w:r>
          </w:p>
        </w:tc>
        <w:tc>
          <w:tcPr>
            <w:tcW w:w="2426"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PUC Chile</w:t>
            </w:r>
          </w:p>
        </w:tc>
        <w:tc>
          <w:tcPr>
            <w:tcW w:w="1162"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1,549</w:t>
            </w:r>
          </w:p>
        </w:tc>
        <w:tc>
          <w:tcPr>
            <w:tcW w:w="960" w:type="dxa"/>
            <w:tcBorders>
              <w:top w:val="nil"/>
              <w:left w:val="nil"/>
              <w:bottom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0.27%</w:t>
            </w:r>
          </w:p>
        </w:tc>
        <w:tc>
          <w:tcPr>
            <w:tcW w:w="22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10</w:t>
            </w:r>
          </w:p>
        </w:tc>
        <w:tc>
          <w:tcPr>
            <w:tcW w:w="2426" w:type="dxa"/>
            <w:tcBorders>
              <w:top w:val="nil"/>
              <w:left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Disney Enterprise</w:t>
            </w:r>
          </w:p>
        </w:tc>
        <w:tc>
          <w:tcPr>
            <w:tcW w:w="1162" w:type="dxa"/>
            <w:tcBorders>
              <w:top w:val="nil"/>
              <w:left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1,516</w:t>
            </w:r>
          </w:p>
        </w:tc>
        <w:tc>
          <w:tcPr>
            <w:tcW w:w="960" w:type="dxa"/>
            <w:tcBorders>
              <w:top w:val="nil"/>
              <w:left w:val="nil"/>
              <w:right w:val="nil"/>
            </w:tcBorders>
            <w:shd w:val="clear" w:color="auto" w:fill="auto"/>
            <w:noWrap/>
            <w:vAlign w:val="bottom"/>
          </w:tcPr>
          <w:p w:rsidR="001A2943" w:rsidRPr="000A19E1" w:rsidRDefault="001A2943" w:rsidP="00500C05">
            <w:pPr>
              <w:jc w:val="right"/>
              <w:rPr>
                <w:rFonts w:ascii="Calibri" w:hAnsi="Calibri"/>
                <w:szCs w:val="22"/>
                <w:lang w:val="es-ES_tradnl"/>
              </w:rPr>
            </w:pPr>
            <w:r w:rsidRPr="000A19E1">
              <w:rPr>
                <w:rFonts w:ascii="Calibri" w:hAnsi="Calibri"/>
                <w:szCs w:val="22"/>
                <w:lang w:val="es-ES_tradnl"/>
              </w:rPr>
              <w:t>0.26%</w:t>
            </w:r>
          </w:p>
        </w:tc>
        <w:tc>
          <w:tcPr>
            <w:tcW w:w="2220" w:type="dxa"/>
            <w:tcBorders>
              <w:top w:val="nil"/>
              <w:left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Entretenimiento</w:t>
            </w:r>
          </w:p>
        </w:tc>
        <w:tc>
          <w:tcPr>
            <w:tcW w:w="962" w:type="dxa"/>
            <w:tcBorders>
              <w:top w:val="nil"/>
              <w:left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EE.UU.</w:t>
            </w:r>
          </w:p>
        </w:tc>
      </w:tr>
      <w:tr w:rsidR="001A2943" w:rsidRPr="000A19E1" w:rsidTr="00500C05">
        <w:trPr>
          <w:trHeight w:val="300"/>
          <w:jc w:val="center"/>
        </w:trPr>
        <w:tc>
          <w:tcPr>
            <w:tcW w:w="947"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Total</w:t>
            </w:r>
          </w:p>
        </w:tc>
        <w:tc>
          <w:tcPr>
            <w:tcW w:w="2426"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162"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20,835</w:t>
            </w:r>
          </w:p>
        </w:tc>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3.58%</w:t>
            </w:r>
          </w:p>
        </w:tc>
        <w:tc>
          <w:tcPr>
            <w:tcW w:w="222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2"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p>
        </w:tc>
      </w:tr>
      <w:tr w:rsidR="001A2943" w:rsidRPr="000A19E1" w:rsidTr="00500C05">
        <w:trPr>
          <w:trHeight w:val="300"/>
          <w:jc w:val="center"/>
        </w:trPr>
        <w:tc>
          <w:tcPr>
            <w:tcW w:w="3373" w:type="dxa"/>
            <w:gridSpan w:val="2"/>
            <w:tcBorders>
              <w:top w:val="single" w:sz="4" w:space="0" w:color="auto"/>
              <w:left w:val="nil"/>
              <w:bottom w:val="nil"/>
              <w:right w:val="nil"/>
            </w:tcBorders>
            <w:shd w:val="clear" w:color="auto" w:fill="auto"/>
            <w:noWrap/>
            <w:vAlign w:val="bottom"/>
          </w:tcPr>
          <w:p w:rsidR="001A2943" w:rsidRPr="000A19E1" w:rsidRDefault="001A2943" w:rsidP="00500C05">
            <w:pPr>
              <w:rPr>
                <w:rFonts w:ascii="Calibri" w:eastAsia="Times New Roman" w:hAnsi="Calibri"/>
                <w:sz w:val="20"/>
                <w:lang w:val="es-ES_tradnl"/>
              </w:rPr>
            </w:pPr>
            <w:r w:rsidRPr="000A19E1">
              <w:rPr>
                <w:rFonts w:ascii="Calibri" w:eastAsia="Times New Roman" w:hAnsi="Calibri"/>
                <w:sz w:val="20"/>
                <w:lang w:val="es-ES_tradnl"/>
              </w:rPr>
              <w:t xml:space="preserve">* Controlada por </w:t>
            </w:r>
            <w:proofErr w:type="spellStart"/>
            <w:r w:rsidRPr="000A19E1">
              <w:rPr>
                <w:rFonts w:ascii="Calibri" w:eastAsia="Times New Roman" w:hAnsi="Calibri"/>
                <w:sz w:val="20"/>
                <w:lang w:val="es-ES_tradnl"/>
              </w:rPr>
              <w:t>Walmart</w:t>
            </w:r>
            <w:proofErr w:type="spellEnd"/>
            <w:r w:rsidRPr="000A19E1">
              <w:rPr>
                <w:rFonts w:ascii="Calibri" w:eastAsia="Times New Roman" w:hAnsi="Calibri"/>
                <w:sz w:val="20"/>
                <w:lang w:val="es-ES_tradnl"/>
              </w:rPr>
              <w:t xml:space="preserve"> desde 2009</w:t>
            </w:r>
          </w:p>
        </w:tc>
        <w:tc>
          <w:tcPr>
            <w:tcW w:w="1162" w:type="dxa"/>
            <w:tcBorders>
              <w:top w:val="single" w:sz="4" w:space="0" w:color="auto"/>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single" w:sz="4" w:space="0" w:color="auto"/>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2220" w:type="dxa"/>
            <w:tcBorders>
              <w:top w:val="single" w:sz="4" w:space="0" w:color="auto"/>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2" w:type="dxa"/>
            <w:tcBorders>
              <w:top w:val="single" w:sz="4" w:space="0" w:color="auto"/>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p>
        </w:tc>
      </w:tr>
    </w:tbl>
    <w:p w:rsidR="001A2943" w:rsidRDefault="001A2943" w:rsidP="001A2943">
      <w:pPr>
        <w:rPr>
          <w:lang w:val="es-ES_tradnl"/>
        </w:rPr>
      </w:pPr>
    </w:p>
    <w:p w:rsidR="00963262" w:rsidRPr="000A19E1" w:rsidRDefault="00963262" w:rsidP="001A2943">
      <w:pPr>
        <w:rPr>
          <w:lang w:val="es-ES_tradnl"/>
        </w:rPr>
      </w:pPr>
    </w:p>
    <w:p w:rsidR="001A2943" w:rsidRPr="000A19E1" w:rsidRDefault="001A2943" w:rsidP="001A2943">
      <w:pPr>
        <w:rPr>
          <w:szCs w:val="22"/>
          <w:lang w:val="es-ES_tradnl"/>
        </w:rPr>
      </w:pPr>
      <w:r w:rsidRPr="000A19E1">
        <w:rPr>
          <w:szCs w:val="22"/>
          <w:lang w:val="es-ES_tradnl"/>
        </w:rPr>
        <w:t>Finalmente, los cuadros 4 y 5 presentan las listas de los primeros 10 solicitantes de modelos de utilidad y diseños industriales, respectivamente.</w:t>
      </w:r>
      <w:r>
        <w:rPr>
          <w:szCs w:val="22"/>
          <w:lang w:val="es-ES_tradnl"/>
        </w:rPr>
        <w:t xml:space="preserve"> </w:t>
      </w:r>
      <w:r w:rsidR="00936C43">
        <w:rPr>
          <w:szCs w:val="22"/>
          <w:lang w:val="es-ES_tradnl"/>
        </w:rPr>
        <w:t xml:space="preserve"> </w:t>
      </w:r>
      <w:r w:rsidRPr="000A19E1">
        <w:rPr>
          <w:szCs w:val="22"/>
          <w:lang w:val="es-ES_tradnl"/>
        </w:rPr>
        <w:t>En el caso de los modelos de utilidad, es interesante observar que los primeros 3 solicitantes son multinacionales extranjeras, a pesar de que los residentes chilenos representan la mayoría de las solicitudes de modelos de utilidad en general (ver más arriba).</w:t>
      </w:r>
      <w:r>
        <w:rPr>
          <w:szCs w:val="22"/>
          <w:lang w:val="es-ES_tradnl"/>
        </w:rPr>
        <w:t xml:space="preserve"> </w:t>
      </w:r>
      <w:r w:rsidR="00936C43">
        <w:rPr>
          <w:szCs w:val="22"/>
          <w:lang w:val="es-ES_tradnl"/>
        </w:rPr>
        <w:t xml:space="preserve"> </w:t>
      </w:r>
      <w:r w:rsidRPr="000A19E1">
        <w:rPr>
          <w:szCs w:val="22"/>
          <w:lang w:val="es-ES_tradnl"/>
        </w:rPr>
        <w:t>Sin embargo, el total relativamente reducido limita el grado en que se pueden derivar patrones generalizables a partir de esta lista de los primeros 10 solicitantes.</w:t>
      </w:r>
      <w:r w:rsidRPr="007B20A7">
        <w:rPr>
          <w:szCs w:val="22"/>
          <w:lang w:val="es-ES_tradnl"/>
        </w:rPr>
        <w:t xml:space="preserve"> </w:t>
      </w:r>
      <w:r w:rsidR="00936C43">
        <w:rPr>
          <w:szCs w:val="22"/>
          <w:lang w:val="es-ES_tradnl"/>
        </w:rPr>
        <w:t xml:space="preserve"> </w:t>
      </w:r>
      <w:r w:rsidRPr="000A19E1">
        <w:rPr>
          <w:szCs w:val="22"/>
          <w:lang w:val="es-ES_tradnl"/>
        </w:rPr>
        <w:t xml:space="preserve">En el caso de los diseños, se confirma el predominio de los solicitantes extranjeros ya que los primeros 10 solicitantes </w:t>
      </w:r>
      <w:r w:rsidRPr="000A19E1">
        <w:rPr>
          <w:szCs w:val="22"/>
          <w:lang w:val="es-ES_tradnl"/>
        </w:rPr>
        <w:noBreakHyphen/>
        <w:t>a través de un relativamente amplio rango de sectores</w:t>
      </w:r>
      <w:r w:rsidRPr="000A19E1">
        <w:rPr>
          <w:szCs w:val="22"/>
          <w:lang w:val="es-ES_tradnl"/>
        </w:rPr>
        <w:noBreakHyphen/>
        <w:t xml:space="preserve"> son extranjeros.</w:t>
      </w:r>
    </w:p>
    <w:p w:rsidR="001A2943" w:rsidRDefault="001A2943" w:rsidP="001A2943">
      <w:pPr>
        <w:rPr>
          <w:lang w:val="es-ES_tradnl"/>
        </w:rPr>
      </w:pPr>
    </w:p>
    <w:p w:rsidR="00963262" w:rsidRDefault="00963262" w:rsidP="001A2943">
      <w:pPr>
        <w:rPr>
          <w:lang w:val="es-ES_tradnl"/>
        </w:rPr>
      </w:pPr>
    </w:p>
    <w:p w:rsidR="00963262" w:rsidRDefault="00963262">
      <w:pPr>
        <w:rPr>
          <w:lang w:val="es-ES_tradnl"/>
        </w:rPr>
      </w:pPr>
      <w:r>
        <w:rPr>
          <w:lang w:val="es-ES_tradnl"/>
        </w:rPr>
        <w:br w:type="page"/>
      </w:r>
    </w:p>
    <w:p w:rsidR="00963262" w:rsidRPr="000A19E1" w:rsidRDefault="00963262" w:rsidP="001A2943">
      <w:pPr>
        <w:rPr>
          <w:lang w:val="es-ES_tradnl"/>
        </w:rPr>
      </w:pPr>
    </w:p>
    <w:p w:rsidR="001A2943" w:rsidRPr="000A19E1" w:rsidRDefault="001A2943" w:rsidP="001A2943">
      <w:pPr>
        <w:keepNext/>
        <w:jc w:val="center"/>
        <w:rPr>
          <w:b/>
          <w:lang w:val="es-ES_tradnl"/>
        </w:rPr>
      </w:pPr>
      <w:r w:rsidRPr="000A19E1">
        <w:rPr>
          <w:b/>
          <w:lang w:val="es-ES_tradnl"/>
        </w:rPr>
        <w:t>Cuadro 4</w:t>
      </w:r>
      <w:proofErr w:type="gramStart"/>
      <w:r w:rsidRPr="000A19E1">
        <w:rPr>
          <w:b/>
          <w:lang w:val="es-ES_tradnl"/>
        </w:rPr>
        <w:t>:</w:t>
      </w:r>
      <w:r>
        <w:rPr>
          <w:b/>
          <w:lang w:val="es-ES_tradnl"/>
        </w:rPr>
        <w:t xml:space="preserve"> </w:t>
      </w:r>
      <w:r w:rsidR="001D3D54">
        <w:rPr>
          <w:b/>
          <w:lang w:val="es-ES_tradnl"/>
        </w:rPr>
        <w:t xml:space="preserve"> </w:t>
      </w:r>
      <w:r w:rsidRPr="000A19E1">
        <w:rPr>
          <w:b/>
          <w:lang w:val="es-ES_tradnl"/>
        </w:rPr>
        <w:t>Primeros</w:t>
      </w:r>
      <w:proofErr w:type="gramEnd"/>
      <w:r w:rsidRPr="000A19E1">
        <w:rPr>
          <w:b/>
          <w:lang w:val="es-ES_tradnl"/>
        </w:rPr>
        <w:t xml:space="preserve"> 10 solicitantes – modelos de utilidad (1991-2010)</w:t>
      </w:r>
    </w:p>
    <w:tbl>
      <w:tblPr>
        <w:tblW w:w="9900" w:type="dxa"/>
        <w:jc w:val="center"/>
        <w:tblInd w:w="93" w:type="dxa"/>
        <w:tblLook w:val="04A0" w:firstRow="1" w:lastRow="0" w:firstColumn="1" w:lastColumn="0" w:noHBand="0" w:noVBand="1"/>
      </w:tblPr>
      <w:tblGrid>
        <w:gridCol w:w="947"/>
        <w:gridCol w:w="3840"/>
        <w:gridCol w:w="1162"/>
        <w:gridCol w:w="960"/>
        <w:gridCol w:w="2029"/>
        <w:gridCol w:w="962"/>
      </w:tblGrid>
      <w:tr w:rsidR="001A2943" w:rsidRPr="003B7535" w:rsidTr="00500C05">
        <w:trPr>
          <w:trHeight w:val="315"/>
          <w:jc w:val="center"/>
        </w:trPr>
        <w:tc>
          <w:tcPr>
            <w:tcW w:w="947"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384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162"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029"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2"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r>
      <w:tr w:rsidR="001A2943" w:rsidRPr="000A19E1" w:rsidTr="00500C05">
        <w:trPr>
          <w:trHeight w:val="300"/>
          <w:jc w:val="center"/>
        </w:trPr>
        <w:tc>
          <w:tcPr>
            <w:tcW w:w="947"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Posición</w:t>
            </w:r>
          </w:p>
        </w:tc>
        <w:tc>
          <w:tcPr>
            <w:tcW w:w="384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Nombre</w:t>
            </w:r>
          </w:p>
        </w:tc>
        <w:tc>
          <w:tcPr>
            <w:tcW w:w="1162"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w:t>
            </w:r>
            <w:r w:rsidRPr="000A19E1">
              <w:rPr>
                <w:rFonts w:ascii="Calibri" w:eastAsia="Times New Roman" w:hAnsi="Calibri"/>
                <w:i/>
                <w:iCs/>
                <w:szCs w:val="22"/>
                <w:vertAlign w:val="superscript"/>
                <w:lang w:val="es-ES_tradnl"/>
              </w:rPr>
              <w:t>o</w:t>
            </w:r>
            <w:r w:rsidRPr="000A19E1">
              <w:rPr>
                <w:rFonts w:ascii="Calibri" w:eastAsia="Times New Roman" w:hAnsi="Calibri"/>
                <w:i/>
                <w:iCs/>
                <w:szCs w:val="22"/>
                <w:lang w:val="es-ES_tradnl"/>
              </w:rPr>
              <w:t xml:space="preserve"> Solicitudes</w:t>
            </w:r>
          </w:p>
        </w:tc>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 Total</w:t>
            </w:r>
          </w:p>
        </w:tc>
        <w:tc>
          <w:tcPr>
            <w:tcW w:w="2029"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Industria</w:t>
            </w:r>
          </w:p>
        </w:tc>
        <w:tc>
          <w:tcPr>
            <w:tcW w:w="962"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i/>
                <w:iCs/>
                <w:szCs w:val="22"/>
                <w:lang w:val="es-ES_tradnl"/>
              </w:rPr>
            </w:pPr>
            <w:r w:rsidRPr="000A19E1">
              <w:rPr>
                <w:rFonts w:ascii="Calibri" w:eastAsia="Times New Roman" w:hAnsi="Calibri"/>
                <w:i/>
                <w:iCs/>
                <w:szCs w:val="22"/>
                <w:lang w:val="es-ES_tradnl"/>
              </w:rPr>
              <w:t>País</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38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162"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202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p>
        </w:tc>
        <w:tc>
          <w:tcPr>
            <w:tcW w:w="38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Telefónica</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35</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2.84%</w:t>
            </w:r>
          </w:p>
        </w:tc>
        <w:tc>
          <w:tcPr>
            <w:tcW w:w="202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Telecomunicaciones</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España</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w:t>
            </w:r>
          </w:p>
        </w:tc>
        <w:tc>
          <w:tcPr>
            <w:tcW w:w="38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Unilever</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16</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1.30%</w:t>
            </w:r>
          </w:p>
        </w:tc>
        <w:tc>
          <w:tcPr>
            <w:tcW w:w="202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Bienes de consumo</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Holanda</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w:t>
            </w:r>
          </w:p>
        </w:tc>
        <w:tc>
          <w:tcPr>
            <w:tcW w:w="38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Multibras</w:t>
            </w:r>
            <w:proofErr w:type="spellEnd"/>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10</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0.81%</w:t>
            </w:r>
          </w:p>
        </w:tc>
        <w:tc>
          <w:tcPr>
            <w:tcW w:w="202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Bienes de consumo</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Brasil</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4</w:t>
            </w:r>
          </w:p>
        </w:tc>
        <w:tc>
          <w:tcPr>
            <w:tcW w:w="38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Osvaldo Froilán Vilches Pérez</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0.57%</w:t>
            </w:r>
          </w:p>
        </w:tc>
        <w:tc>
          <w:tcPr>
            <w:tcW w:w="202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5</w:t>
            </w:r>
          </w:p>
        </w:tc>
        <w:tc>
          <w:tcPr>
            <w:tcW w:w="38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Falabella</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0.57%</w:t>
            </w:r>
          </w:p>
        </w:tc>
        <w:tc>
          <w:tcPr>
            <w:tcW w:w="202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Comercio minorista</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38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Giampaolo</w:t>
            </w:r>
            <w:proofErr w:type="spellEnd"/>
            <w:r w:rsidRPr="000A19E1">
              <w:rPr>
                <w:rFonts w:ascii="Calibri" w:eastAsia="Times New Roman" w:hAnsi="Calibri"/>
                <w:szCs w:val="22"/>
                <w:lang w:val="es-ES_tradnl"/>
              </w:rPr>
              <w:t xml:space="preserve"> </w:t>
            </w:r>
            <w:proofErr w:type="spellStart"/>
            <w:r w:rsidRPr="000A19E1">
              <w:rPr>
                <w:rFonts w:ascii="Calibri" w:eastAsia="Times New Roman" w:hAnsi="Calibri"/>
                <w:szCs w:val="22"/>
                <w:lang w:val="es-ES_tradnl"/>
              </w:rPr>
              <w:t>Giorgi</w:t>
            </w:r>
            <w:proofErr w:type="spellEnd"/>
            <w:r w:rsidRPr="000A19E1">
              <w:rPr>
                <w:rFonts w:ascii="Calibri" w:eastAsia="Times New Roman" w:hAnsi="Calibri"/>
                <w:szCs w:val="22"/>
                <w:lang w:val="es-ES_tradnl"/>
              </w:rPr>
              <w:t xml:space="preserve"> </w:t>
            </w:r>
            <w:proofErr w:type="spellStart"/>
            <w:r w:rsidRPr="000A19E1">
              <w:rPr>
                <w:rFonts w:ascii="Calibri" w:eastAsia="Times New Roman" w:hAnsi="Calibri"/>
                <w:szCs w:val="22"/>
                <w:lang w:val="es-ES_tradnl"/>
              </w:rPr>
              <w:t>Guidugli</w:t>
            </w:r>
            <w:proofErr w:type="spellEnd"/>
            <w:r w:rsidRPr="000A19E1">
              <w:rPr>
                <w:rFonts w:ascii="Calibri" w:eastAsia="Times New Roman" w:hAnsi="Calibri"/>
                <w:szCs w:val="22"/>
                <w:lang w:val="es-ES_tradnl"/>
              </w:rPr>
              <w:t xml:space="preserve"> </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0.49%</w:t>
            </w:r>
          </w:p>
        </w:tc>
        <w:tc>
          <w:tcPr>
            <w:tcW w:w="202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w:t>
            </w:r>
          </w:p>
        </w:tc>
        <w:tc>
          <w:tcPr>
            <w:tcW w:w="38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Banco Estado Chile</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0.49%</w:t>
            </w:r>
          </w:p>
        </w:tc>
        <w:tc>
          <w:tcPr>
            <w:tcW w:w="202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Finanzas, seguros y bienes raíces</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w:t>
            </w:r>
          </w:p>
        </w:tc>
        <w:tc>
          <w:tcPr>
            <w:tcW w:w="38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Quiñónes</w:t>
            </w:r>
            <w:proofErr w:type="spellEnd"/>
            <w:r w:rsidRPr="000A19E1">
              <w:rPr>
                <w:rFonts w:ascii="Calibri" w:eastAsia="Times New Roman" w:hAnsi="Calibri"/>
                <w:szCs w:val="22"/>
                <w:lang w:val="es-ES_tradnl"/>
              </w:rPr>
              <w:t xml:space="preserve"> Farfán </w:t>
            </w:r>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0.49%</w:t>
            </w:r>
          </w:p>
        </w:tc>
        <w:tc>
          <w:tcPr>
            <w:tcW w:w="202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Servicios a empresas</w:t>
            </w: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9</w:t>
            </w:r>
          </w:p>
        </w:tc>
        <w:tc>
          <w:tcPr>
            <w:tcW w:w="38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Nathurmal</w:t>
            </w:r>
            <w:proofErr w:type="spellEnd"/>
            <w:r w:rsidRPr="000A19E1">
              <w:rPr>
                <w:rFonts w:ascii="Calibri" w:eastAsia="Times New Roman" w:hAnsi="Calibri"/>
                <w:szCs w:val="22"/>
                <w:lang w:val="es-ES_tradnl"/>
              </w:rPr>
              <w:t xml:space="preserve"> </w:t>
            </w:r>
            <w:proofErr w:type="spellStart"/>
            <w:r w:rsidRPr="000A19E1">
              <w:rPr>
                <w:rFonts w:ascii="Calibri" w:eastAsia="Times New Roman" w:hAnsi="Calibri"/>
                <w:szCs w:val="22"/>
                <w:lang w:val="es-ES_tradnl"/>
              </w:rPr>
              <w:t>Dinani</w:t>
            </w:r>
            <w:proofErr w:type="spellEnd"/>
            <w:r w:rsidRPr="000A19E1">
              <w:rPr>
                <w:rFonts w:ascii="Calibri" w:eastAsia="Times New Roman" w:hAnsi="Calibri"/>
                <w:szCs w:val="22"/>
                <w:lang w:val="es-ES_tradnl"/>
              </w:rPr>
              <w:t xml:space="preserve"> </w:t>
            </w:r>
            <w:proofErr w:type="spellStart"/>
            <w:r w:rsidRPr="000A19E1">
              <w:rPr>
                <w:rFonts w:ascii="Calibri" w:eastAsia="Times New Roman" w:hAnsi="Calibri"/>
                <w:szCs w:val="22"/>
                <w:lang w:val="es-ES_tradnl"/>
              </w:rPr>
              <w:t>Kishor</w:t>
            </w:r>
            <w:proofErr w:type="spellEnd"/>
          </w:p>
        </w:tc>
        <w:tc>
          <w:tcPr>
            <w:tcW w:w="11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0.49%</w:t>
            </w:r>
          </w:p>
        </w:tc>
        <w:tc>
          <w:tcPr>
            <w:tcW w:w="202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2"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10</w:t>
            </w:r>
          </w:p>
        </w:tc>
        <w:tc>
          <w:tcPr>
            <w:tcW w:w="3840" w:type="dxa"/>
            <w:tcBorders>
              <w:top w:val="nil"/>
              <w:left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Alejandro Eduardo Espinoza González</w:t>
            </w:r>
          </w:p>
        </w:tc>
        <w:tc>
          <w:tcPr>
            <w:tcW w:w="1162" w:type="dxa"/>
            <w:tcBorders>
              <w:top w:val="nil"/>
              <w:left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960" w:type="dxa"/>
            <w:tcBorders>
              <w:top w:val="nil"/>
              <w:left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0.49%</w:t>
            </w:r>
          </w:p>
        </w:tc>
        <w:tc>
          <w:tcPr>
            <w:tcW w:w="2029" w:type="dxa"/>
            <w:tcBorders>
              <w:top w:val="nil"/>
              <w:left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2" w:type="dxa"/>
            <w:tcBorders>
              <w:top w:val="nil"/>
              <w:left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Chile</w:t>
            </w:r>
          </w:p>
        </w:tc>
      </w:tr>
      <w:tr w:rsidR="001A2943" w:rsidRPr="000A19E1" w:rsidTr="00500C05">
        <w:trPr>
          <w:trHeight w:val="300"/>
          <w:jc w:val="center"/>
        </w:trPr>
        <w:tc>
          <w:tcPr>
            <w:tcW w:w="947"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Total</w:t>
            </w:r>
          </w:p>
        </w:tc>
        <w:tc>
          <w:tcPr>
            <w:tcW w:w="384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162"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105</w:t>
            </w:r>
          </w:p>
        </w:tc>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8.52%</w:t>
            </w:r>
          </w:p>
        </w:tc>
        <w:tc>
          <w:tcPr>
            <w:tcW w:w="2029"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2"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p>
        </w:tc>
      </w:tr>
    </w:tbl>
    <w:p w:rsidR="001A2943" w:rsidRPr="000A19E1" w:rsidRDefault="001A2943" w:rsidP="001A2943">
      <w:pPr>
        <w:rPr>
          <w:sz w:val="20"/>
          <w:lang w:val="es-ES_tradnl"/>
        </w:rPr>
      </w:pPr>
    </w:p>
    <w:p w:rsidR="001A2943" w:rsidRPr="000A19E1" w:rsidRDefault="001A2943" w:rsidP="001A2943">
      <w:pPr>
        <w:rPr>
          <w:b/>
          <w:lang w:val="es-ES_tradnl"/>
        </w:rPr>
      </w:pPr>
    </w:p>
    <w:p w:rsidR="001A2943" w:rsidRPr="000A19E1" w:rsidRDefault="001A2943" w:rsidP="001A2943">
      <w:pPr>
        <w:keepNext/>
        <w:jc w:val="center"/>
        <w:rPr>
          <w:b/>
          <w:lang w:val="es-ES_tradnl"/>
        </w:rPr>
      </w:pPr>
    </w:p>
    <w:p w:rsidR="001A2943" w:rsidRPr="000A19E1" w:rsidRDefault="001A2943" w:rsidP="001A2943">
      <w:pPr>
        <w:keepNext/>
        <w:jc w:val="center"/>
        <w:rPr>
          <w:lang w:val="es-ES_tradnl"/>
        </w:rPr>
      </w:pPr>
      <w:r w:rsidRPr="000A19E1">
        <w:rPr>
          <w:b/>
          <w:lang w:val="es-ES_tradnl"/>
        </w:rPr>
        <w:t>Cuadro 5</w:t>
      </w:r>
      <w:proofErr w:type="gramStart"/>
      <w:r w:rsidRPr="000A19E1">
        <w:rPr>
          <w:b/>
          <w:lang w:val="es-ES_tradnl"/>
        </w:rPr>
        <w:t>:</w:t>
      </w:r>
      <w:r>
        <w:rPr>
          <w:b/>
          <w:lang w:val="es-ES_tradnl"/>
        </w:rPr>
        <w:t xml:space="preserve"> </w:t>
      </w:r>
      <w:r w:rsidR="001D3D54">
        <w:rPr>
          <w:b/>
          <w:lang w:val="es-ES_tradnl"/>
        </w:rPr>
        <w:t xml:space="preserve"> </w:t>
      </w:r>
      <w:r w:rsidRPr="000A19E1">
        <w:rPr>
          <w:b/>
          <w:lang w:val="es-ES_tradnl"/>
        </w:rPr>
        <w:t>Primeros</w:t>
      </w:r>
      <w:proofErr w:type="gramEnd"/>
      <w:r w:rsidRPr="000A19E1">
        <w:rPr>
          <w:b/>
          <w:lang w:val="es-ES_tradnl"/>
        </w:rPr>
        <w:t xml:space="preserve"> 10 solicitantes – diseños industriales (1991-2010)</w:t>
      </w:r>
    </w:p>
    <w:tbl>
      <w:tblPr>
        <w:tblW w:w="7820" w:type="dxa"/>
        <w:jc w:val="center"/>
        <w:tblInd w:w="93" w:type="dxa"/>
        <w:tblLook w:val="04A0" w:firstRow="1" w:lastRow="0" w:firstColumn="1" w:lastColumn="0" w:noHBand="0" w:noVBand="1"/>
      </w:tblPr>
      <w:tblGrid>
        <w:gridCol w:w="960"/>
        <w:gridCol w:w="1860"/>
        <w:gridCol w:w="1162"/>
        <w:gridCol w:w="960"/>
        <w:gridCol w:w="2120"/>
        <w:gridCol w:w="1056"/>
      </w:tblGrid>
      <w:tr w:rsidR="001A2943" w:rsidRPr="003B7535" w:rsidTr="00500C05">
        <w:trPr>
          <w:trHeight w:val="315"/>
          <w:jc w:val="center"/>
        </w:trPr>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8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12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r>
      <w:tr w:rsidR="001A2943" w:rsidRPr="000A19E1" w:rsidTr="00500C05">
        <w:trPr>
          <w:trHeight w:val="300"/>
          <w:jc w:val="center"/>
        </w:trPr>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Posición</w:t>
            </w:r>
          </w:p>
        </w:tc>
        <w:tc>
          <w:tcPr>
            <w:tcW w:w="186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Nombre</w:t>
            </w:r>
          </w:p>
        </w:tc>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w:t>
            </w:r>
            <w:r w:rsidRPr="000A19E1">
              <w:rPr>
                <w:rFonts w:ascii="Calibri" w:eastAsia="Times New Roman" w:hAnsi="Calibri"/>
                <w:i/>
                <w:iCs/>
                <w:szCs w:val="22"/>
                <w:vertAlign w:val="superscript"/>
                <w:lang w:val="es-ES_tradnl"/>
              </w:rPr>
              <w:t>o</w:t>
            </w:r>
            <w:r w:rsidRPr="000A19E1">
              <w:rPr>
                <w:rFonts w:ascii="Calibri" w:eastAsia="Times New Roman" w:hAnsi="Calibri"/>
                <w:i/>
                <w:iCs/>
                <w:szCs w:val="22"/>
                <w:lang w:val="es-ES_tradnl"/>
              </w:rPr>
              <w:t xml:space="preserve"> Solicitudes</w:t>
            </w:r>
          </w:p>
        </w:tc>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 Total</w:t>
            </w:r>
          </w:p>
        </w:tc>
        <w:tc>
          <w:tcPr>
            <w:tcW w:w="212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Industria</w:t>
            </w:r>
          </w:p>
        </w:tc>
        <w:tc>
          <w:tcPr>
            <w:tcW w:w="960"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i/>
                <w:iCs/>
                <w:szCs w:val="22"/>
                <w:lang w:val="es-ES_tradnl"/>
              </w:rPr>
            </w:pPr>
            <w:r w:rsidRPr="000A19E1">
              <w:rPr>
                <w:rFonts w:ascii="Calibri" w:eastAsia="Times New Roman" w:hAnsi="Calibri"/>
                <w:i/>
                <w:iCs/>
                <w:szCs w:val="22"/>
                <w:lang w:val="es-ES_tradnl"/>
              </w:rPr>
              <w:t>País</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Unilever</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302</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4.94%</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Bienes de consumo</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Holanda</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Philips</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197</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3.22%</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Electrónica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Holanda</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Honda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190</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3.11%</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Vehículos automotor</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EE.UU.</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4</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Sony</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165</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2.70%</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Electrónica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Japón</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5</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Colgate-Palmolive</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164</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2.68%</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Cosmética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Alemania</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Telefónica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124</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2.03%</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Telecomunicaciones</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España</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Dart</w:t>
            </w:r>
            <w:proofErr w:type="spellEnd"/>
            <w:r w:rsidRPr="000A19E1">
              <w:rPr>
                <w:rFonts w:ascii="Calibri" w:eastAsia="Times New Roman" w:hAnsi="Calibri"/>
                <w:szCs w:val="22"/>
                <w:lang w:val="es-ES_tradnl"/>
              </w:rPr>
              <w:t xml:space="preserve"> Industries</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114</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1.87%</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Manufactura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Suiza</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Procter &amp; Gamble</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98</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1.60%</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Bienes de consumo</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EE.UU.</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9</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Bticino</w:t>
            </w:r>
            <w:proofErr w:type="spellEnd"/>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81</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1.33%</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Electrónica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Italia</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10</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Goodyear</w:t>
            </w:r>
            <w:proofErr w:type="spellEnd"/>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74</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1.21%</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Manufactura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EE.UU.</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11</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Nokia</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74</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1.21%</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TIC</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Finlandia</w:t>
            </w:r>
          </w:p>
        </w:tc>
      </w:tr>
      <w:tr w:rsidR="001A2943" w:rsidRPr="000A19E1" w:rsidTr="00500C05">
        <w:trPr>
          <w:trHeight w:val="300"/>
          <w:jc w:val="center"/>
        </w:trPr>
        <w:tc>
          <w:tcPr>
            <w:tcW w:w="9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Total</w:t>
            </w:r>
          </w:p>
        </w:tc>
        <w:tc>
          <w:tcPr>
            <w:tcW w:w="186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1,583</w:t>
            </w: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25.91%</w:t>
            </w:r>
          </w:p>
        </w:tc>
        <w:tc>
          <w:tcPr>
            <w:tcW w:w="21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96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p>
        </w:tc>
      </w:tr>
      <w:tr w:rsidR="001A2943" w:rsidRPr="000A19E1" w:rsidTr="00500C05">
        <w:trPr>
          <w:trHeight w:val="315"/>
          <w:jc w:val="center"/>
        </w:trPr>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8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12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960" w:type="dxa"/>
            <w:tcBorders>
              <w:top w:val="nil"/>
              <w:left w:val="nil"/>
              <w:bottom w:val="single" w:sz="8" w:space="0" w:color="auto"/>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 </w:t>
            </w:r>
          </w:p>
        </w:tc>
      </w:tr>
    </w:tbl>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 xml:space="preserve">El Cuadro 6 resume la distribución de las presentaciones entre los solicitantes, mostrando los coeficientes de </w:t>
      </w:r>
      <w:proofErr w:type="spellStart"/>
      <w:r w:rsidRPr="000A19E1">
        <w:rPr>
          <w:szCs w:val="22"/>
          <w:lang w:val="es-ES_tradnl"/>
        </w:rPr>
        <w:t>Gini</w:t>
      </w:r>
      <w:proofErr w:type="spellEnd"/>
      <w:r w:rsidRPr="000A19E1">
        <w:rPr>
          <w:szCs w:val="22"/>
          <w:lang w:val="es-ES_tradnl"/>
        </w:rPr>
        <w:t xml:space="preserve"> para los solicitantes residentes y no residentes.</w:t>
      </w:r>
      <w:r w:rsidR="00936C43">
        <w:rPr>
          <w:szCs w:val="22"/>
          <w:lang w:val="es-ES_tradnl"/>
        </w:rPr>
        <w:t xml:space="preserve"> </w:t>
      </w:r>
      <w:r>
        <w:rPr>
          <w:szCs w:val="22"/>
          <w:lang w:val="es-ES_tradnl"/>
        </w:rPr>
        <w:t xml:space="preserve"> </w:t>
      </w:r>
      <w:r w:rsidRPr="000A19E1">
        <w:rPr>
          <w:szCs w:val="22"/>
          <w:lang w:val="es-ES_tradnl"/>
        </w:rPr>
        <w:t xml:space="preserve">El coeficiente de </w:t>
      </w:r>
      <w:proofErr w:type="spellStart"/>
      <w:r w:rsidRPr="000A19E1">
        <w:rPr>
          <w:szCs w:val="22"/>
          <w:lang w:val="es-ES_tradnl"/>
        </w:rPr>
        <w:t>Gini</w:t>
      </w:r>
      <w:proofErr w:type="spellEnd"/>
      <w:r w:rsidRPr="000A19E1">
        <w:rPr>
          <w:szCs w:val="22"/>
          <w:lang w:val="es-ES_tradnl"/>
        </w:rPr>
        <w:t xml:space="preserve"> se encuentra entre cero y uno, cuanto más cercano se encuentra a uno, más desigual es la distribución.</w:t>
      </w:r>
      <w:r>
        <w:rPr>
          <w:szCs w:val="22"/>
          <w:lang w:val="es-ES_tradnl"/>
        </w:rPr>
        <w:t xml:space="preserve"> </w:t>
      </w:r>
      <w:r w:rsidR="00936C43">
        <w:rPr>
          <w:szCs w:val="22"/>
          <w:lang w:val="es-ES_tradnl"/>
        </w:rPr>
        <w:t xml:space="preserve"> </w:t>
      </w:r>
      <w:r w:rsidRPr="000A19E1">
        <w:rPr>
          <w:szCs w:val="22"/>
          <w:lang w:val="es-ES_tradnl"/>
        </w:rPr>
        <w:t xml:space="preserve">El cuadro muestra que el coeficiente de </w:t>
      </w:r>
      <w:proofErr w:type="spellStart"/>
      <w:r w:rsidRPr="000A19E1">
        <w:rPr>
          <w:szCs w:val="22"/>
          <w:lang w:val="es-ES_tradnl"/>
        </w:rPr>
        <w:t>Gini</w:t>
      </w:r>
      <w:proofErr w:type="spellEnd"/>
      <w:r w:rsidRPr="000A19E1">
        <w:rPr>
          <w:szCs w:val="22"/>
          <w:lang w:val="es-ES_tradnl"/>
        </w:rPr>
        <w:t xml:space="preserve"> para las patentes es de 0.74, lo que refleja una distribución muy desigual, donde el 10% de los solicitantes da cuenta del 74% de las solicitudes y el 1% de los solicitantes representa el 50% de las solicitudes.</w:t>
      </w:r>
      <w:r w:rsidR="00936C43">
        <w:rPr>
          <w:szCs w:val="22"/>
          <w:lang w:val="es-ES_tradnl"/>
        </w:rPr>
        <w:t xml:space="preserve"> </w:t>
      </w:r>
      <w:r>
        <w:rPr>
          <w:szCs w:val="22"/>
          <w:lang w:val="es-ES_tradnl"/>
        </w:rPr>
        <w:t xml:space="preserve"> </w:t>
      </w:r>
      <w:r w:rsidRPr="000A19E1">
        <w:rPr>
          <w:szCs w:val="22"/>
          <w:lang w:val="es-ES_tradnl"/>
        </w:rPr>
        <w:t>Las marcas y los diseños industriales también muestran una distribución desigual.</w:t>
      </w:r>
      <w:r w:rsidR="00936C43">
        <w:rPr>
          <w:szCs w:val="22"/>
          <w:lang w:val="es-ES_tradnl"/>
        </w:rPr>
        <w:t xml:space="preserve"> </w:t>
      </w:r>
      <w:r>
        <w:rPr>
          <w:szCs w:val="22"/>
          <w:lang w:val="es-ES_tradnl"/>
        </w:rPr>
        <w:t xml:space="preserve"> </w:t>
      </w:r>
      <w:r w:rsidRPr="000A19E1">
        <w:rPr>
          <w:szCs w:val="22"/>
          <w:lang w:val="es-ES_tradnl"/>
        </w:rPr>
        <w:t xml:space="preserve">Las solicitudes de modelos de utilidad, en cambio, muestran una distribución </w:t>
      </w:r>
      <w:r w:rsidRPr="000A19E1">
        <w:rPr>
          <w:szCs w:val="22"/>
          <w:lang w:val="es-ES_tradnl"/>
        </w:rPr>
        <w:lastRenderedPageBreak/>
        <w:t>mucho más uniforme donde el 1% de los solicitantes sólo representa alrededor del 8% de las solicitudes.</w:t>
      </w:r>
      <w:r>
        <w:rPr>
          <w:szCs w:val="22"/>
          <w:lang w:val="es-ES_tradnl"/>
        </w:rPr>
        <w:t xml:space="preserve"> </w:t>
      </w:r>
      <w:r w:rsidR="00936C43">
        <w:rPr>
          <w:szCs w:val="22"/>
          <w:lang w:val="es-ES_tradnl"/>
        </w:rPr>
        <w:t xml:space="preserve"> </w:t>
      </w:r>
      <w:r w:rsidRPr="000A19E1">
        <w:rPr>
          <w:szCs w:val="22"/>
          <w:lang w:val="es-ES_tradnl"/>
        </w:rPr>
        <w:t xml:space="preserve">Mientras que las distribuciones de los residentes y no residentes se comportan de manera similar para el caso de las marcas, en las patentes el coeficiente de </w:t>
      </w:r>
      <w:proofErr w:type="spellStart"/>
      <w:r w:rsidRPr="000A19E1">
        <w:rPr>
          <w:szCs w:val="22"/>
          <w:lang w:val="es-ES_tradnl"/>
        </w:rPr>
        <w:t>Gini</w:t>
      </w:r>
      <w:proofErr w:type="spellEnd"/>
      <w:r w:rsidRPr="000A19E1">
        <w:rPr>
          <w:szCs w:val="22"/>
          <w:lang w:val="es-ES_tradnl"/>
        </w:rPr>
        <w:t xml:space="preserve"> para los no residentes más que duplica al de los residentes.</w:t>
      </w:r>
      <w:r w:rsidR="00936C43">
        <w:rPr>
          <w:szCs w:val="22"/>
          <w:lang w:val="es-ES_tradnl"/>
        </w:rPr>
        <w:t xml:space="preserve"> </w:t>
      </w:r>
      <w:r>
        <w:rPr>
          <w:szCs w:val="22"/>
          <w:lang w:val="es-ES_tradnl"/>
        </w:rPr>
        <w:t xml:space="preserve"> </w:t>
      </w:r>
      <w:r w:rsidRPr="000A19E1">
        <w:rPr>
          <w:szCs w:val="22"/>
          <w:lang w:val="es-ES_tradnl"/>
        </w:rPr>
        <w:t xml:space="preserve">Esto indica una distribución mucho más concentrada de las solicitudes de patentes entre los no residentes, como ya se había observado en el Cuadro 1. </w:t>
      </w:r>
    </w:p>
    <w:p w:rsidR="001A2943" w:rsidRPr="000A19E1" w:rsidRDefault="001A2943" w:rsidP="001A2943">
      <w:pPr>
        <w:jc w:val="center"/>
        <w:rPr>
          <w:b/>
          <w:lang w:val="es-ES_tradnl"/>
        </w:rPr>
      </w:pPr>
    </w:p>
    <w:p w:rsidR="001A2943" w:rsidRPr="000A19E1" w:rsidRDefault="001A2943" w:rsidP="001A2943">
      <w:pPr>
        <w:jc w:val="center"/>
        <w:rPr>
          <w:lang w:val="es-ES_tradnl"/>
        </w:rPr>
      </w:pPr>
      <w:r w:rsidRPr="000A19E1">
        <w:rPr>
          <w:b/>
          <w:lang w:val="es-ES_tradnl"/>
        </w:rPr>
        <w:t>Cuadro 6</w:t>
      </w:r>
      <w:proofErr w:type="gramStart"/>
      <w:r w:rsidRPr="000A19E1">
        <w:rPr>
          <w:b/>
          <w:lang w:val="es-ES_tradnl"/>
        </w:rPr>
        <w:t>:</w:t>
      </w:r>
      <w:r>
        <w:rPr>
          <w:b/>
          <w:lang w:val="es-ES_tradnl"/>
        </w:rPr>
        <w:t xml:space="preserve"> </w:t>
      </w:r>
      <w:r w:rsidR="001D3D54">
        <w:rPr>
          <w:b/>
          <w:lang w:val="es-ES_tradnl"/>
        </w:rPr>
        <w:t xml:space="preserve"> </w:t>
      </w:r>
      <w:r w:rsidRPr="000A19E1">
        <w:rPr>
          <w:b/>
          <w:lang w:val="es-ES_tradnl"/>
        </w:rPr>
        <w:t>Coeficientes</w:t>
      </w:r>
      <w:proofErr w:type="gramEnd"/>
      <w:r w:rsidRPr="000A19E1">
        <w:rPr>
          <w:b/>
          <w:lang w:val="es-ES_tradnl"/>
        </w:rPr>
        <w:t xml:space="preserve"> de </w:t>
      </w:r>
      <w:proofErr w:type="spellStart"/>
      <w:r w:rsidRPr="000A19E1">
        <w:rPr>
          <w:b/>
          <w:lang w:val="es-ES_tradnl"/>
        </w:rPr>
        <w:t>Gini</w:t>
      </w:r>
      <w:proofErr w:type="spellEnd"/>
      <w:r w:rsidRPr="000A19E1">
        <w:rPr>
          <w:b/>
          <w:lang w:val="es-ES_tradnl"/>
        </w:rPr>
        <w:t xml:space="preserve"> de la distribución de solicitudes (1991-2010)</w:t>
      </w:r>
    </w:p>
    <w:tbl>
      <w:tblPr>
        <w:tblW w:w="6460" w:type="dxa"/>
        <w:jc w:val="center"/>
        <w:tblInd w:w="93" w:type="dxa"/>
        <w:tblLook w:val="04A0" w:firstRow="1" w:lastRow="0" w:firstColumn="1" w:lastColumn="0" w:noHBand="0" w:noVBand="1"/>
      </w:tblPr>
      <w:tblGrid>
        <w:gridCol w:w="1500"/>
        <w:gridCol w:w="1140"/>
        <w:gridCol w:w="1320"/>
        <w:gridCol w:w="1320"/>
        <w:gridCol w:w="1180"/>
      </w:tblGrid>
      <w:tr w:rsidR="001A2943" w:rsidRPr="003B7535" w:rsidTr="00500C05">
        <w:trPr>
          <w:trHeight w:val="315"/>
          <w:jc w:val="center"/>
        </w:trPr>
        <w:tc>
          <w:tcPr>
            <w:tcW w:w="150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14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32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32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18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r>
      <w:tr w:rsidR="001A2943" w:rsidRPr="000A19E1" w:rsidTr="00500C05">
        <w:trPr>
          <w:trHeight w:val="300"/>
          <w:jc w:val="center"/>
        </w:trPr>
        <w:tc>
          <w:tcPr>
            <w:tcW w:w="1500"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 </w:t>
            </w:r>
          </w:p>
        </w:tc>
        <w:tc>
          <w:tcPr>
            <w:tcW w:w="1140"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i/>
                <w:iCs/>
                <w:szCs w:val="22"/>
                <w:lang w:val="es-ES_tradnl"/>
              </w:rPr>
            </w:pPr>
            <w:r w:rsidRPr="000A19E1">
              <w:rPr>
                <w:rFonts w:ascii="Calibri" w:eastAsia="Times New Roman" w:hAnsi="Calibri"/>
                <w:i/>
                <w:iCs/>
                <w:szCs w:val="22"/>
                <w:lang w:val="es-ES_tradnl"/>
              </w:rPr>
              <w:t>Patentes</w:t>
            </w:r>
          </w:p>
        </w:tc>
        <w:tc>
          <w:tcPr>
            <w:tcW w:w="1320"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i/>
                <w:iCs/>
                <w:szCs w:val="22"/>
                <w:lang w:val="es-ES_tradnl"/>
              </w:rPr>
            </w:pPr>
            <w:r w:rsidRPr="000A19E1">
              <w:rPr>
                <w:rFonts w:ascii="Calibri" w:eastAsia="Times New Roman" w:hAnsi="Calibri"/>
                <w:i/>
                <w:iCs/>
                <w:szCs w:val="22"/>
                <w:lang w:val="es-ES_tradnl"/>
              </w:rPr>
              <w:t>Marcas</w:t>
            </w:r>
          </w:p>
        </w:tc>
        <w:tc>
          <w:tcPr>
            <w:tcW w:w="1320"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i/>
                <w:iCs/>
                <w:szCs w:val="22"/>
                <w:lang w:val="es-ES_tradnl"/>
              </w:rPr>
            </w:pPr>
            <w:r w:rsidRPr="000A19E1">
              <w:rPr>
                <w:rFonts w:ascii="Calibri" w:eastAsia="Times New Roman" w:hAnsi="Calibri"/>
                <w:i/>
                <w:iCs/>
                <w:szCs w:val="22"/>
                <w:lang w:val="es-ES_tradnl"/>
              </w:rPr>
              <w:t>Modelos de utilidad</w:t>
            </w:r>
          </w:p>
        </w:tc>
        <w:tc>
          <w:tcPr>
            <w:tcW w:w="1180" w:type="dxa"/>
            <w:tcBorders>
              <w:top w:val="nil"/>
              <w:left w:val="nil"/>
              <w:bottom w:val="single" w:sz="4" w:space="0" w:color="auto"/>
              <w:right w:val="nil"/>
            </w:tcBorders>
            <w:shd w:val="clear" w:color="auto" w:fill="auto"/>
            <w:noWrap/>
            <w:vAlign w:val="bottom"/>
          </w:tcPr>
          <w:p w:rsidR="001A2943" w:rsidRPr="000A19E1" w:rsidRDefault="001A2943" w:rsidP="00500C05">
            <w:pPr>
              <w:jc w:val="center"/>
              <w:rPr>
                <w:rFonts w:ascii="Calibri" w:eastAsia="Times New Roman" w:hAnsi="Calibri"/>
                <w:i/>
                <w:iCs/>
                <w:szCs w:val="22"/>
                <w:lang w:val="es-ES_tradnl"/>
              </w:rPr>
            </w:pPr>
            <w:r w:rsidRPr="000A19E1">
              <w:rPr>
                <w:rFonts w:ascii="Calibri" w:eastAsia="Times New Roman" w:hAnsi="Calibri"/>
                <w:i/>
                <w:iCs/>
                <w:szCs w:val="22"/>
                <w:lang w:val="es-ES_tradnl"/>
              </w:rPr>
              <w:t>Diseños</w:t>
            </w:r>
          </w:p>
        </w:tc>
      </w:tr>
      <w:tr w:rsidR="001A2943" w:rsidRPr="000A19E1" w:rsidTr="00500C05">
        <w:trPr>
          <w:trHeight w:val="300"/>
          <w:jc w:val="center"/>
        </w:trPr>
        <w:tc>
          <w:tcPr>
            <w:tcW w:w="15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14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32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18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r>
      <w:tr w:rsidR="001A2943" w:rsidRPr="000A19E1" w:rsidTr="00500C05">
        <w:trPr>
          <w:trHeight w:val="300"/>
          <w:jc w:val="center"/>
        </w:trPr>
        <w:tc>
          <w:tcPr>
            <w:tcW w:w="15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Residentes</w:t>
            </w:r>
          </w:p>
        </w:tc>
        <w:tc>
          <w:tcPr>
            <w:tcW w:w="114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0.374</w:t>
            </w:r>
          </w:p>
        </w:tc>
        <w:tc>
          <w:tcPr>
            <w:tcW w:w="132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0.653</w:t>
            </w:r>
          </w:p>
        </w:tc>
        <w:tc>
          <w:tcPr>
            <w:tcW w:w="132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0.169</w:t>
            </w:r>
          </w:p>
        </w:tc>
        <w:tc>
          <w:tcPr>
            <w:tcW w:w="11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0.504</w:t>
            </w:r>
          </w:p>
        </w:tc>
      </w:tr>
      <w:tr w:rsidR="001A2943" w:rsidRPr="000A19E1" w:rsidTr="00500C05">
        <w:trPr>
          <w:trHeight w:val="300"/>
          <w:jc w:val="center"/>
        </w:trPr>
        <w:tc>
          <w:tcPr>
            <w:tcW w:w="15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No residentes</w:t>
            </w:r>
          </w:p>
        </w:tc>
        <w:tc>
          <w:tcPr>
            <w:tcW w:w="114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0.771</w:t>
            </w:r>
          </w:p>
        </w:tc>
        <w:tc>
          <w:tcPr>
            <w:tcW w:w="132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0.679</w:t>
            </w:r>
          </w:p>
        </w:tc>
        <w:tc>
          <w:tcPr>
            <w:tcW w:w="132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0.259</w:t>
            </w:r>
          </w:p>
        </w:tc>
        <w:tc>
          <w:tcPr>
            <w:tcW w:w="11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0.730</w:t>
            </w:r>
          </w:p>
        </w:tc>
      </w:tr>
      <w:tr w:rsidR="001A2943" w:rsidRPr="000A19E1" w:rsidTr="00500C05">
        <w:trPr>
          <w:trHeight w:val="300"/>
          <w:jc w:val="center"/>
        </w:trPr>
        <w:tc>
          <w:tcPr>
            <w:tcW w:w="1500"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Todos</w:t>
            </w:r>
          </w:p>
        </w:tc>
        <w:tc>
          <w:tcPr>
            <w:tcW w:w="114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0.743</w:t>
            </w:r>
          </w:p>
        </w:tc>
        <w:tc>
          <w:tcPr>
            <w:tcW w:w="132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0.662</w:t>
            </w:r>
          </w:p>
        </w:tc>
        <w:tc>
          <w:tcPr>
            <w:tcW w:w="132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0.203</w:t>
            </w:r>
          </w:p>
        </w:tc>
        <w:tc>
          <w:tcPr>
            <w:tcW w:w="1180"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0.703</w:t>
            </w:r>
          </w:p>
        </w:tc>
      </w:tr>
      <w:tr w:rsidR="001A2943" w:rsidRPr="000A19E1" w:rsidTr="00500C05">
        <w:trPr>
          <w:trHeight w:val="315"/>
          <w:jc w:val="center"/>
        </w:trPr>
        <w:tc>
          <w:tcPr>
            <w:tcW w:w="150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14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32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32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180"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r>
    </w:tbl>
    <w:p w:rsidR="001A2943" w:rsidRPr="000A19E1" w:rsidRDefault="001A2943" w:rsidP="001A2943">
      <w:pPr>
        <w:rPr>
          <w:lang w:val="es-ES_tradnl"/>
        </w:rPr>
      </w:pPr>
    </w:p>
    <w:p w:rsidR="001A2943" w:rsidRPr="00270124" w:rsidRDefault="001A2943" w:rsidP="00E50A41">
      <w:pPr>
        <w:pStyle w:val="Heading1"/>
        <w:rPr>
          <w:b w:val="0"/>
          <w:u w:val="single"/>
          <w:lang w:val="es-ES_tradnl"/>
        </w:rPr>
      </w:pPr>
      <w:bookmarkStart w:id="10" w:name="_Toc359312057"/>
      <w:r w:rsidRPr="00270124">
        <w:rPr>
          <w:b w:val="0"/>
          <w:lang w:val="es-ES_tradnl"/>
        </w:rPr>
        <w:t>6.</w:t>
      </w:r>
      <w:r w:rsidRPr="00270124">
        <w:rPr>
          <w:b w:val="0"/>
          <w:lang w:val="es-ES_tradnl"/>
        </w:rPr>
        <w:tab/>
      </w:r>
      <w:r w:rsidR="00E50A41" w:rsidRPr="00270124">
        <w:rPr>
          <w:b w:val="0"/>
          <w:caps w:val="0"/>
          <w:u w:val="single"/>
          <w:lang w:val="es-ES_tradnl"/>
        </w:rPr>
        <w:t>Tipos de solicitantes</w:t>
      </w:r>
      <w:bookmarkEnd w:id="10"/>
    </w:p>
    <w:p w:rsidR="001A2943" w:rsidRPr="000A19E1" w:rsidRDefault="001A2943" w:rsidP="00E50A41">
      <w:pPr>
        <w:keepNext/>
        <w:rPr>
          <w:lang w:val="es-ES_tradnl"/>
        </w:rPr>
      </w:pPr>
    </w:p>
    <w:p w:rsidR="001A2943" w:rsidRPr="000A19E1" w:rsidRDefault="001A2943" w:rsidP="00E50A41">
      <w:pPr>
        <w:keepNext/>
        <w:rPr>
          <w:szCs w:val="22"/>
          <w:lang w:val="es-ES_tradnl"/>
        </w:rPr>
      </w:pPr>
      <w:r w:rsidRPr="000A19E1">
        <w:rPr>
          <w:szCs w:val="22"/>
          <w:lang w:val="es-ES_tradnl"/>
        </w:rPr>
        <w:t>La base de datos del INAPI identifica tres categorías de solicitantes:</w:t>
      </w:r>
      <w:r>
        <w:rPr>
          <w:szCs w:val="22"/>
          <w:lang w:val="es-ES_tradnl"/>
        </w:rPr>
        <w:t xml:space="preserve"> empresas</w:t>
      </w:r>
      <w:r w:rsidRPr="000A19E1">
        <w:rPr>
          <w:szCs w:val="22"/>
          <w:lang w:val="es-ES_tradnl"/>
        </w:rPr>
        <w:t>, universidades e individuos (ver el Apéndice 2 donde se describe la construcción de la base de datos).</w:t>
      </w:r>
      <w:r w:rsidRPr="000A19E1">
        <w:rPr>
          <w:rStyle w:val="FootnoteReference"/>
          <w:szCs w:val="22"/>
          <w:lang w:val="es-ES_tradnl"/>
        </w:rPr>
        <w:footnoteReference w:id="25"/>
      </w:r>
      <w:r>
        <w:rPr>
          <w:szCs w:val="22"/>
          <w:lang w:val="es-ES_tradnl"/>
        </w:rPr>
        <w:t xml:space="preserve"> </w:t>
      </w:r>
      <w:r w:rsidR="00084774">
        <w:rPr>
          <w:szCs w:val="22"/>
          <w:lang w:val="es-ES_tradnl"/>
        </w:rPr>
        <w:t xml:space="preserve"> </w:t>
      </w:r>
      <w:r w:rsidRPr="000A19E1">
        <w:rPr>
          <w:szCs w:val="22"/>
          <w:lang w:val="es-ES_tradnl"/>
        </w:rPr>
        <w:t>Esto permite tener una idea sobre quién solicita las diferentes formas de P.I.</w:t>
      </w:r>
      <w:r>
        <w:rPr>
          <w:szCs w:val="22"/>
          <w:lang w:val="es-ES_tradnl"/>
        </w:rPr>
        <w:t xml:space="preserve"> </w:t>
      </w:r>
      <w:r w:rsidRPr="000A19E1">
        <w:rPr>
          <w:szCs w:val="22"/>
          <w:lang w:val="es-ES_tradnl"/>
        </w:rPr>
        <w:t>Existen diferencias notables.</w:t>
      </w:r>
      <w:r>
        <w:rPr>
          <w:szCs w:val="22"/>
          <w:lang w:val="es-ES_tradnl"/>
        </w:rPr>
        <w:t xml:space="preserve"> </w:t>
      </w:r>
      <w:r w:rsidR="00084774">
        <w:rPr>
          <w:szCs w:val="22"/>
          <w:lang w:val="es-ES_tradnl"/>
        </w:rPr>
        <w:t xml:space="preserve"> </w:t>
      </w:r>
      <w:r w:rsidRPr="000A19E1">
        <w:rPr>
          <w:szCs w:val="22"/>
          <w:lang w:val="es-ES_tradnl"/>
        </w:rPr>
        <w:t>El Gráfico 6 muestra la distribución por tipos de solicitantes de patentes así como las solicitudes presentadas por los mismos a lo largo del tiempo.</w:t>
      </w:r>
      <w:r>
        <w:rPr>
          <w:szCs w:val="22"/>
          <w:lang w:val="es-ES_tradnl"/>
        </w:rPr>
        <w:t xml:space="preserve"> </w:t>
      </w:r>
      <w:r w:rsidR="00084774">
        <w:rPr>
          <w:szCs w:val="22"/>
          <w:lang w:val="es-ES_tradnl"/>
        </w:rPr>
        <w:t xml:space="preserve"> </w:t>
      </w:r>
      <w:r w:rsidRPr="000A19E1">
        <w:rPr>
          <w:szCs w:val="22"/>
          <w:lang w:val="es-ES_tradnl"/>
        </w:rPr>
        <w:t xml:space="preserve">Puede observarse un predominio de las </w:t>
      </w:r>
      <w:r>
        <w:rPr>
          <w:szCs w:val="22"/>
          <w:lang w:val="es-ES_tradnl"/>
        </w:rPr>
        <w:t>empresas</w:t>
      </w:r>
      <w:r w:rsidRPr="000A19E1">
        <w:rPr>
          <w:szCs w:val="22"/>
          <w:lang w:val="es-ES_tradnl"/>
        </w:rPr>
        <w:t>, mientras las universidades desempeñan un papel relativamente menor.</w:t>
      </w:r>
      <w:r w:rsidR="00084774">
        <w:rPr>
          <w:szCs w:val="22"/>
          <w:lang w:val="es-ES_tradnl"/>
        </w:rPr>
        <w:t xml:space="preserve"> </w:t>
      </w:r>
      <w:r>
        <w:rPr>
          <w:szCs w:val="22"/>
          <w:lang w:val="es-ES_tradnl"/>
        </w:rPr>
        <w:t xml:space="preserve"> </w:t>
      </w:r>
      <w:r w:rsidRPr="000A19E1">
        <w:rPr>
          <w:szCs w:val="22"/>
          <w:lang w:val="es-ES_tradnl"/>
        </w:rPr>
        <w:t>Los individuos representan alrededor del 30% del total de solicitantes de patentes, pero sólo el 7% de las solicitudes.</w:t>
      </w:r>
      <w:r>
        <w:rPr>
          <w:szCs w:val="22"/>
          <w:lang w:val="es-ES_tradnl"/>
        </w:rPr>
        <w:t xml:space="preserve"> </w:t>
      </w:r>
      <w:r w:rsidR="00084774">
        <w:rPr>
          <w:szCs w:val="22"/>
          <w:lang w:val="es-ES_tradnl"/>
        </w:rPr>
        <w:t xml:space="preserve"> </w:t>
      </w:r>
      <w:r w:rsidRPr="000A19E1">
        <w:rPr>
          <w:szCs w:val="22"/>
          <w:lang w:val="es-ES_tradnl"/>
        </w:rPr>
        <w:t xml:space="preserve">Esto refleja el hecho de que los individuos solicitan, en promedio, un número sustancialmente menor de patentes que las </w:t>
      </w:r>
      <w:r>
        <w:rPr>
          <w:szCs w:val="22"/>
          <w:lang w:val="es-ES_tradnl"/>
        </w:rPr>
        <w:t>empresas</w:t>
      </w:r>
      <w:r w:rsidRPr="000A19E1">
        <w:rPr>
          <w:szCs w:val="22"/>
          <w:lang w:val="es-ES_tradnl"/>
        </w:rPr>
        <w:t>.</w:t>
      </w:r>
      <w:r>
        <w:rPr>
          <w:szCs w:val="22"/>
          <w:lang w:val="es-ES_tradnl"/>
        </w:rPr>
        <w:t xml:space="preserve"> </w:t>
      </w:r>
      <w:r w:rsidR="00084774">
        <w:rPr>
          <w:szCs w:val="22"/>
          <w:lang w:val="es-ES_tradnl"/>
        </w:rPr>
        <w:t xml:space="preserve"> </w:t>
      </w:r>
      <w:r w:rsidRPr="000A19E1">
        <w:rPr>
          <w:szCs w:val="22"/>
          <w:lang w:val="es-ES_tradnl"/>
        </w:rPr>
        <w:t>No está claro lo que está detrás de las solicitudes de patentes por parte de individuos.</w:t>
      </w:r>
      <w:r>
        <w:rPr>
          <w:szCs w:val="22"/>
          <w:lang w:val="es-ES_tradnl"/>
        </w:rPr>
        <w:t xml:space="preserve"> </w:t>
      </w:r>
      <w:r w:rsidR="00084774">
        <w:rPr>
          <w:szCs w:val="22"/>
          <w:lang w:val="es-ES_tradnl"/>
        </w:rPr>
        <w:t xml:space="preserve"> </w:t>
      </w:r>
      <w:r w:rsidRPr="000A19E1">
        <w:rPr>
          <w:szCs w:val="22"/>
          <w:lang w:val="es-ES_tradnl"/>
        </w:rPr>
        <w:t xml:space="preserve">Algunas patentes son </w:t>
      </w:r>
      <w:proofErr w:type="spellStart"/>
      <w:r w:rsidRPr="000A19E1">
        <w:rPr>
          <w:szCs w:val="22"/>
          <w:lang w:val="es-ES_tradnl"/>
        </w:rPr>
        <w:t>coasignadas</w:t>
      </w:r>
      <w:proofErr w:type="spellEnd"/>
      <w:r w:rsidRPr="000A19E1">
        <w:rPr>
          <w:szCs w:val="22"/>
          <w:lang w:val="es-ES_tradnl"/>
        </w:rPr>
        <w:t xml:space="preserve"> a </w:t>
      </w:r>
      <w:r>
        <w:rPr>
          <w:szCs w:val="22"/>
          <w:lang w:val="es-ES_tradnl"/>
        </w:rPr>
        <w:t>empresas</w:t>
      </w:r>
      <w:r w:rsidRPr="000A19E1">
        <w:rPr>
          <w:szCs w:val="22"/>
          <w:lang w:val="es-ES_tradnl"/>
        </w:rPr>
        <w:t xml:space="preserve"> e individuos, pero como se discute posteriormente en la Sección 10, su participación es modesta y por lo tanto no explica del todo porqué las personas solicitan patentes.</w:t>
      </w:r>
      <w:r>
        <w:rPr>
          <w:szCs w:val="22"/>
          <w:lang w:val="es-ES_tradnl"/>
        </w:rPr>
        <w:t xml:space="preserve"> </w:t>
      </w:r>
      <w:r w:rsidR="00084774">
        <w:rPr>
          <w:szCs w:val="22"/>
          <w:lang w:val="es-ES_tradnl"/>
        </w:rPr>
        <w:t xml:space="preserve"> </w:t>
      </w:r>
      <w:r w:rsidRPr="000A19E1">
        <w:rPr>
          <w:szCs w:val="22"/>
          <w:lang w:val="es-ES_tradnl"/>
        </w:rPr>
        <w:t>Si bien hay inventores entre las personas solicitantes, probablemente la mayor parte de los individuos solicitantes de patentes se explica por los empleados o por los dueños de empresas que no han reasignado la patente a la empresa.</w:t>
      </w:r>
      <w:r w:rsidR="00084774">
        <w:rPr>
          <w:szCs w:val="22"/>
          <w:lang w:val="es-ES_tradnl"/>
        </w:rPr>
        <w:t xml:space="preserve"> </w:t>
      </w:r>
      <w:r>
        <w:rPr>
          <w:szCs w:val="22"/>
          <w:lang w:val="es-ES_tradnl"/>
        </w:rPr>
        <w:t xml:space="preserve"> </w:t>
      </w:r>
      <w:r w:rsidRPr="000A19E1">
        <w:rPr>
          <w:szCs w:val="22"/>
          <w:lang w:val="es-ES_tradnl"/>
        </w:rPr>
        <w:t>Esto puede tener varias explicaciones;</w:t>
      </w:r>
      <w:r>
        <w:rPr>
          <w:szCs w:val="22"/>
          <w:lang w:val="es-ES_tradnl"/>
        </w:rPr>
        <w:t xml:space="preserve"> </w:t>
      </w:r>
      <w:r w:rsidRPr="000A19E1">
        <w:rPr>
          <w:szCs w:val="22"/>
          <w:lang w:val="es-ES_tradnl"/>
        </w:rPr>
        <w:t>los propietarios de pequeñas compañías, por ejemplo, pueden preferir tener una patente a su nombre en caso de quiebra de la empresa o para obtener ventajas fiscales.</w:t>
      </w:r>
    </w:p>
    <w:p w:rsidR="001A2943" w:rsidRDefault="001A2943" w:rsidP="001A2943">
      <w:pPr>
        <w:rPr>
          <w:szCs w:val="22"/>
          <w:lang w:val="es-ES_tradnl"/>
        </w:rPr>
      </w:pPr>
    </w:p>
    <w:p w:rsidR="00963262" w:rsidRDefault="00963262" w:rsidP="001A2943">
      <w:pPr>
        <w:rPr>
          <w:szCs w:val="22"/>
          <w:lang w:val="es-ES_tradnl"/>
        </w:rPr>
      </w:pPr>
    </w:p>
    <w:p w:rsidR="00963262" w:rsidRDefault="00963262">
      <w:pPr>
        <w:rPr>
          <w:szCs w:val="22"/>
          <w:lang w:val="es-ES_tradnl"/>
        </w:rPr>
      </w:pPr>
      <w:r>
        <w:rPr>
          <w:szCs w:val="22"/>
          <w:lang w:val="es-ES_tradnl"/>
        </w:rPr>
        <w:br w:type="page"/>
      </w:r>
    </w:p>
    <w:p w:rsidR="00963262" w:rsidRPr="000A19E1" w:rsidRDefault="00963262" w:rsidP="001A2943">
      <w:pPr>
        <w:rPr>
          <w:szCs w:val="22"/>
          <w:lang w:val="es-ES_tradnl"/>
        </w:rPr>
      </w:pPr>
    </w:p>
    <w:p w:rsidR="001A2943" w:rsidRPr="000A19E1" w:rsidRDefault="001A2943" w:rsidP="001A2943">
      <w:pPr>
        <w:jc w:val="center"/>
        <w:rPr>
          <w:lang w:val="es-ES_tradnl"/>
        </w:rPr>
      </w:pPr>
      <w:r w:rsidRPr="000A19E1">
        <w:rPr>
          <w:b/>
          <w:lang w:val="es-ES_tradnl"/>
        </w:rPr>
        <w:t>Gráfico 6</w:t>
      </w:r>
      <w:proofErr w:type="gramStart"/>
      <w:r w:rsidRPr="000A19E1">
        <w:rPr>
          <w:b/>
          <w:lang w:val="es-ES_tradnl"/>
        </w:rPr>
        <w:t>:</w:t>
      </w:r>
      <w:r>
        <w:rPr>
          <w:b/>
          <w:lang w:val="es-ES_tradnl"/>
        </w:rPr>
        <w:t xml:space="preserve"> </w:t>
      </w:r>
      <w:r w:rsidR="00B94145">
        <w:rPr>
          <w:b/>
          <w:lang w:val="es-ES_tradnl"/>
        </w:rPr>
        <w:t xml:space="preserve"> </w:t>
      </w:r>
      <w:r w:rsidRPr="000A19E1">
        <w:rPr>
          <w:b/>
          <w:lang w:val="es-ES_tradnl"/>
        </w:rPr>
        <w:t>Tipos</w:t>
      </w:r>
      <w:proofErr w:type="gramEnd"/>
      <w:r w:rsidRPr="000A19E1">
        <w:rPr>
          <w:b/>
          <w:lang w:val="es-ES_tradnl"/>
        </w:rPr>
        <w:t xml:space="preserve"> de solicitantes (1991-2010)</w:t>
      </w:r>
    </w:p>
    <w:p w:rsidR="001A2943" w:rsidRPr="000A19E1" w:rsidRDefault="001A2943" w:rsidP="001A2943">
      <w:pPr>
        <w:jc w:val="center"/>
        <w:rPr>
          <w:lang w:val="es-ES_tradnl"/>
        </w:rPr>
      </w:pPr>
      <w:r w:rsidRPr="000A19E1">
        <w:rPr>
          <w:noProof/>
          <w:lang w:val="en-US" w:eastAsia="en-US"/>
        </w:rPr>
        <w:drawing>
          <wp:inline distT="0" distB="0" distL="0" distR="0" wp14:anchorId="067305E0" wp14:editId="05B519AD">
            <wp:extent cx="5120640" cy="3745230"/>
            <wp:effectExtent l="0" t="0" r="0" b="762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 xml:space="preserve">Las </w:t>
      </w:r>
      <w:r>
        <w:rPr>
          <w:szCs w:val="22"/>
          <w:lang w:val="es-ES_tradnl"/>
        </w:rPr>
        <w:t>empresas</w:t>
      </w:r>
      <w:r w:rsidRPr="000A19E1">
        <w:rPr>
          <w:szCs w:val="22"/>
          <w:lang w:val="es-ES_tradnl"/>
        </w:rPr>
        <w:t xml:space="preserve"> también predominan en las solicitudes de marcas, pero las personas alcanzan participaciones más altas de solicitantes (43%) y de solicitudes (26%) que en el caso de las patentes (Gráfico 6).</w:t>
      </w:r>
      <w:r w:rsidR="009C2669">
        <w:rPr>
          <w:szCs w:val="22"/>
          <w:lang w:val="es-ES_tradnl"/>
        </w:rPr>
        <w:t xml:space="preserve"> </w:t>
      </w:r>
      <w:r>
        <w:rPr>
          <w:szCs w:val="22"/>
          <w:lang w:val="es-ES_tradnl"/>
        </w:rPr>
        <w:t xml:space="preserve"> </w:t>
      </w:r>
      <w:r w:rsidRPr="000A19E1">
        <w:rPr>
          <w:szCs w:val="22"/>
          <w:lang w:val="es-ES_tradnl"/>
        </w:rPr>
        <w:t>En el caso de las marcas, hay evidencia de casos que sugiere que los individuos obtienen marcas para uso personal.</w:t>
      </w:r>
      <w:r w:rsidR="009C2669">
        <w:rPr>
          <w:szCs w:val="22"/>
          <w:lang w:val="es-ES_tradnl"/>
        </w:rPr>
        <w:t xml:space="preserve"> </w:t>
      </w:r>
      <w:r>
        <w:rPr>
          <w:szCs w:val="22"/>
          <w:lang w:val="es-ES_tradnl"/>
        </w:rPr>
        <w:t xml:space="preserve"> </w:t>
      </w:r>
      <w:r w:rsidRPr="000A19E1">
        <w:rPr>
          <w:szCs w:val="22"/>
          <w:lang w:val="es-ES_tradnl"/>
        </w:rPr>
        <w:t xml:space="preserve">Sin embargo, también pueden existir mecanismos similares al caso de las patentes </w:t>
      </w:r>
      <w:r w:rsidRPr="000A19E1">
        <w:rPr>
          <w:szCs w:val="22"/>
          <w:lang w:val="es-ES_tradnl"/>
        </w:rPr>
        <w:noBreakHyphen/>
        <w:t>en particular, los empresarios prefieren registrar marcas bajo su propio nombre en lugar de hacerlo a nombre de sus compañías.</w:t>
      </w:r>
      <w:r>
        <w:rPr>
          <w:szCs w:val="22"/>
          <w:lang w:val="es-ES_tradnl"/>
        </w:rPr>
        <w:t xml:space="preserve"> </w:t>
      </w:r>
      <w:r w:rsidR="009C2669">
        <w:rPr>
          <w:szCs w:val="22"/>
          <w:lang w:val="es-ES_tradnl"/>
        </w:rPr>
        <w:t xml:space="preserve"> </w:t>
      </w:r>
      <w:r w:rsidRPr="000A19E1">
        <w:rPr>
          <w:szCs w:val="22"/>
          <w:lang w:val="es-ES_tradnl"/>
        </w:rPr>
        <w:t xml:space="preserve">Aquí también, el número promedio de presentaciones de marcas por solicitante es significativamente más alto para las </w:t>
      </w:r>
      <w:r>
        <w:rPr>
          <w:szCs w:val="22"/>
          <w:lang w:val="es-ES_tradnl"/>
        </w:rPr>
        <w:t>empresas</w:t>
      </w:r>
      <w:r w:rsidRPr="000A19E1">
        <w:rPr>
          <w:szCs w:val="22"/>
          <w:lang w:val="es-ES_tradnl"/>
        </w:rPr>
        <w:t>.</w:t>
      </w:r>
      <w:r>
        <w:rPr>
          <w:szCs w:val="22"/>
          <w:lang w:val="es-ES_tradnl"/>
        </w:rPr>
        <w:t xml:space="preserve"> </w:t>
      </w:r>
      <w:r w:rsidR="009C2669">
        <w:rPr>
          <w:szCs w:val="22"/>
          <w:lang w:val="es-ES_tradnl"/>
        </w:rPr>
        <w:t xml:space="preserve"> </w:t>
      </w:r>
      <w:r w:rsidRPr="000A19E1">
        <w:rPr>
          <w:szCs w:val="22"/>
          <w:lang w:val="es-ES_tradnl"/>
        </w:rPr>
        <w:t xml:space="preserve">Las Universidades dan cuenta de </w:t>
      </w:r>
      <w:r>
        <w:rPr>
          <w:szCs w:val="22"/>
          <w:lang w:val="es-ES_tradnl"/>
        </w:rPr>
        <w:t>porcentajes</w:t>
      </w:r>
      <w:r w:rsidRPr="000A19E1">
        <w:rPr>
          <w:szCs w:val="22"/>
          <w:lang w:val="es-ES_tradnl"/>
        </w:rPr>
        <w:t xml:space="preserve"> muy inferiores en solicitantes y solicitudes.</w:t>
      </w:r>
      <w:r>
        <w:rPr>
          <w:szCs w:val="22"/>
          <w:lang w:val="es-ES_tradnl"/>
        </w:rPr>
        <w:t xml:space="preserve"> </w:t>
      </w:r>
      <w:r w:rsidR="009C2669">
        <w:rPr>
          <w:szCs w:val="22"/>
          <w:lang w:val="es-ES_tradnl"/>
        </w:rPr>
        <w:t xml:space="preserve"> </w:t>
      </w:r>
      <w:r w:rsidRPr="000A19E1">
        <w:rPr>
          <w:szCs w:val="22"/>
          <w:lang w:val="es-ES_tradnl"/>
        </w:rPr>
        <w:t>De todos modos, hay que tener en cuenta que hubo en promedio alrededor de 10,800 solicitantes y 28,750 solicitudes de marcas por año;</w:t>
      </w:r>
      <w:r>
        <w:rPr>
          <w:szCs w:val="22"/>
          <w:lang w:val="es-ES_tradnl"/>
        </w:rPr>
        <w:t xml:space="preserve"> </w:t>
      </w:r>
      <w:r w:rsidRPr="000A19E1">
        <w:rPr>
          <w:szCs w:val="22"/>
          <w:lang w:val="es-ES_tradnl"/>
        </w:rPr>
        <w:t>dado el reducido número de universidades, no sorprende que sus solicitudes sean menores respecto a las de los demás solicitantes.</w:t>
      </w:r>
      <w:r>
        <w:rPr>
          <w:szCs w:val="22"/>
          <w:lang w:val="es-ES_tradnl"/>
        </w:rPr>
        <w:t xml:space="preserve"> </w:t>
      </w:r>
      <w:r w:rsidR="009C2669">
        <w:rPr>
          <w:szCs w:val="22"/>
          <w:lang w:val="es-ES_tradnl"/>
        </w:rPr>
        <w:t xml:space="preserve"> </w:t>
      </w:r>
      <w:r w:rsidRPr="000A19E1">
        <w:rPr>
          <w:szCs w:val="22"/>
          <w:lang w:val="es-ES_tradnl"/>
        </w:rPr>
        <w:t>De hecho, como se discute más adelante, algunas universidades usan de forma intensiva el sistema de marcas.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El Gráfico 7 muestra la distribución para los solicitantes residentes (donde se toman conjuntamente los solicitantes residentes y los residentes </w:t>
      </w:r>
      <w:proofErr w:type="spellStart"/>
      <w:r w:rsidRPr="000A19E1">
        <w:rPr>
          <w:szCs w:val="22"/>
          <w:lang w:val="es-ES_tradnl"/>
        </w:rPr>
        <w:t>multi</w:t>
      </w:r>
      <w:proofErr w:type="spellEnd"/>
      <w:r w:rsidRPr="000A19E1">
        <w:rPr>
          <w:szCs w:val="22"/>
          <w:lang w:val="es-ES_tradnl"/>
        </w:rPr>
        <w:t>-residentes).</w:t>
      </w:r>
      <w:r>
        <w:rPr>
          <w:szCs w:val="22"/>
          <w:lang w:val="es-ES_tradnl"/>
        </w:rPr>
        <w:t xml:space="preserve"> </w:t>
      </w:r>
      <w:r w:rsidR="009C2669">
        <w:rPr>
          <w:szCs w:val="22"/>
          <w:lang w:val="es-ES_tradnl"/>
        </w:rPr>
        <w:t xml:space="preserve"> </w:t>
      </w:r>
      <w:r w:rsidRPr="000A19E1">
        <w:rPr>
          <w:szCs w:val="22"/>
          <w:lang w:val="es-ES_tradnl"/>
        </w:rPr>
        <w:t>El patrón general es muy similar al del Gráfico 6.</w:t>
      </w:r>
      <w:r>
        <w:rPr>
          <w:szCs w:val="22"/>
          <w:lang w:val="es-ES_tradnl"/>
        </w:rPr>
        <w:t xml:space="preserve"> </w:t>
      </w:r>
      <w:r w:rsidR="009C2669">
        <w:rPr>
          <w:szCs w:val="22"/>
          <w:lang w:val="es-ES_tradnl"/>
        </w:rPr>
        <w:t xml:space="preserve"> </w:t>
      </w:r>
      <w:r w:rsidRPr="000A19E1">
        <w:rPr>
          <w:szCs w:val="22"/>
          <w:lang w:val="es-ES_tradnl"/>
        </w:rPr>
        <w:t>De todos modos, las personas juegan un papel más relevante entre los residentes.</w:t>
      </w:r>
      <w:r>
        <w:rPr>
          <w:szCs w:val="22"/>
          <w:lang w:val="es-ES_tradnl"/>
        </w:rPr>
        <w:t xml:space="preserve"> </w:t>
      </w:r>
      <w:r w:rsidR="009C2669">
        <w:rPr>
          <w:szCs w:val="22"/>
          <w:lang w:val="es-ES_tradnl"/>
        </w:rPr>
        <w:t xml:space="preserve"> </w:t>
      </w:r>
      <w:r w:rsidRPr="000A19E1">
        <w:rPr>
          <w:szCs w:val="22"/>
          <w:lang w:val="es-ES_tradnl"/>
        </w:rPr>
        <w:t>En el caso de las marcas, por ejemplo, la participación promedio de las personas en el total de las solicitudes de residentes es del 32%, mientras que alcanza al 26% en el total de las solicitudes.</w:t>
      </w:r>
      <w:r>
        <w:rPr>
          <w:szCs w:val="22"/>
          <w:lang w:val="es-ES_tradnl"/>
        </w:rPr>
        <w:t xml:space="preserve"> </w:t>
      </w:r>
      <w:r w:rsidR="009C2669">
        <w:rPr>
          <w:szCs w:val="22"/>
          <w:lang w:val="es-ES_tradnl"/>
        </w:rPr>
        <w:t xml:space="preserve"> </w:t>
      </w:r>
      <w:r w:rsidRPr="000A19E1">
        <w:rPr>
          <w:szCs w:val="22"/>
          <w:lang w:val="es-ES_tradnl"/>
        </w:rPr>
        <w:t>También cabe destacar que la mayoría de solicitudes de modelos de utilidad es presentada por personas, lo cual plantea el interrogante sobre el objetivo de su uso.</w:t>
      </w:r>
    </w:p>
    <w:p w:rsidR="001A2943" w:rsidRDefault="001A2943" w:rsidP="001A2943">
      <w:pPr>
        <w:rPr>
          <w:lang w:val="es-ES_tradnl"/>
        </w:rPr>
      </w:pPr>
    </w:p>
    <w:p w:rsidR="00270124" w:rsidRDefault="00270124" w:rsidP="001A2943">
      <w:pPr>
        <w:rPr>
          <w:lang w:val="es-ES_tradnl"/>
        </w:rPr>
      </w:pPr>
    </w:p>
    <w:p w:rsidR="00270124" w:rsidRDefault="00270124">
      <w:pPr>
        <w:rPr>
          <w:lang w:val="es-ES_tradnl"/>
        </w:rPr>
      </w:pPr>
      <w:r>
        <w:rPr>
          <w:lang w:val="es-ES_tradnl"/>
        </w:rPr>
        <w:br w:type="page"/>
      </w:r>
    </w:p>
    <w:p w:rsidR="00270124" w:rsidRDefault="00270124" w:rsidP="001A2943">
      <w:pPr>
        <w:rPr>
          <w:lang w:val="es-ES_tradnl"/>
        </w:rPr>
      </w:pPr>
    </w:p>
    <w:p w:rsidR="001A2943" w:rsidRPr="000A19E1" w:rsidRDefault="001A2943" w:rsidP="001A2943">
      <w:pPr>
        <w:jc w:val="center"/>
        <w:rPr>
          <w:lang w:val="es-ES_tradnl"/>
        </w:rPr>
      </w:pPr>
      <w:r w:rsidRPr="000A19E1">
        <w:rPr>
          <w:b/>
          <w:lang w:val="es-ES_tradnl"/>
        </w:rPr>
        <w:t>Gráfico 7</w:t>
      </w:r>
      <w:proofErr w:type="gramStart"/>
      <w:r w:rsidRPr="000A19E1">
        <w:rPr>
          <w:b/>
          <w:lang w:val="es-ES_tradnl"/>
        </w:rPr>
        <w:t>:</w:t>
      </w:r>
      <w:r>
        <w:rPr>
          <w:b/>
          <w:lang w:val="es-ES_tradnl"/>
        </w:rPr>
        <w:t xml:space="preserve"> </w:t>
      </w:r>
      <w:r w:rsidR="009740FC">
        <w:rPr>
          <w:b/>
          <w:lang w:val="es-ES_tradnl"/>
        </w:rPr>
        <w:t xml:space="preserve"> </w:t>
      </w:r>
      <w:r w:rsidRPr="000A19E1">
        <w:rPr>
          <w:b/>
          <w:lang w:val="es-ES_tradnl"/>
        </w:rPr>
        <w:t>Tipos</w:t>
      </w:r>
      <w:proofErr w:type="gramEnd"/>
      <w:r w:rsidRPr="000A19E1">
        <w:rPr>
          <w:b/>
          <w:lang w:val="es-ES_tradnl"/>
        </w:rPr>
        <w:t xml:space="preserve"> de solicitantes – sólo residentes (1991-2010)</w:t>
      </w:r>
    </w:p>
    <w:p w:rsidR="001A2943" w:rsidRDefault="001A2943" w:rsidP="001A2943">
      <w:pPr>
        <w:jc w:val="center"/>
        <w:rPr>
          <w:lang w:val="es-ES_tradnl"/>
        </w:rPr>
      </w:pPr>
      <w:r w:rsidRPr="000A19E1">
        <w:rPr>
          <w:noProof/>
          <w:lang w:val="en-US" w:eastAsia="en-US"/>
        </w:rPr>
        <w:drawing>
          <wp:inline distT="0" distB="0" distL="0" distR="0" wp14:anchorId="7F2E0C4F" wp14:editId="249B3454">
            <wp:extent cx="5120640" cy="3745230"/>
            <wp:effectExtent l="0" t="0" r="0" b="762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270124" w:rsidRDefault="001A2943" w:rsidP="001A2943">
      <w:pPr>
        <w:pStyle w:val="Heading1"/>
        <w:rPr>
          <w:b w:val="0"/>
          <w:u w:val="single"/>
          <w:lang w:val="es-ES_tradnl"/>
        </w:rPr>
      </w:pPr>
      <w:bookmarkStart w:id="11" w:name="_Toc359312058"/>
      <w:r w:rsidRPr="00270124">
        <w:rPr>
          <w:b w:val="0"/>
          <w:lang w:val="es-ES_tradnl"/>
        </w:rPr>
        <w:t>7.</w:t>
      </w:r>
      <w:r w:rsidRPr="00270124">
        <w:rPr>
          <w:b w:val="0"/>
          <w:lang w:val="es-ES_tradnl"/>
        </w:rPr>
        <w:tab/>
      </w:r>
      <w:r w:rsidR="009740FC" w:rsidRPr="00270124">
        <w:rPr>
          <w:b w:val="0"/>
          <w:u w:val="single"/>
          <w:lang w:val="es-ES_tradnl"/>
        </w:rPr>
        <w:t>S</w:t>
      </w:r>
      <w:r w:rsidR="009740FC" w:rsidRPr="00270124">
        <w:rPr>
          <w:b w:val="0"/>
          <w:caps w:val="0"/>
          <w:u w:val="single"/>
          <w:lang w:val="es-ES_tradnl"/>
        </w:rPr>
        <w:t xml:space="preserve">olicitudes por tecnología y </w:t>
      </w:r>
      <w:bookmarkEnd w:id="11"/>
      <w:r w:rsidR="009740FC" w:rsidRPr="00270124">
        <w:rPr>
          <w:b w:val="0"/>
          <w:caps w:val="0"/>
          <w:u w:val="single"/>
          <w:lang w:val="es-ES_tradnl"/>
        </w:rPr>
        <w:t>clase</w:t>
      </w:r>
    </w:p>
    <w:p w:rsidR="001A2943" w:rsidRPr="001D44A9" w:rsidRDefault="001A2943" w:rsidP="001A2943">
      <w:pPr>
        <w:rPr>
          <w:lang w:val="es-ES_tradnl"/>
        </w:rPr>
      </w:pPr>
    </w:p>
    <w:p w:rsidR="001A2943" w:rsidRPr="001D44A9" w:rsidRDefault="001A2943" w:rsidP="001A2943">
      <w:pPr>
        <w:rPr>
          <w:szCs w:val="22"/>
          <w:lang w:val="es-ES_tradnl"/>
        </w:rPr>
      </w:pPr>
      <w:r w:rsidRPr="001D44A9">
        <w:rPr>
          <w:szCs w:val="22"/>
          <w:lang w:val="es-ES_tradnl"/>
        </w:rPr>
        <w:t>¿Cuáles sectores económicos generan más derechos de P.I.?</w:t>
      </w:r>
      <w:r w:rsidR="00E8786C">
        <w:rPr>
          <w:szCs w:val="22"/>
          <w:lang w:val="es-ES_tradnl"/>
        </w:rPr>
        <w:t xml:space="preserve"> </w:t>
      </w:r>
      <w:r w:rsidRPr="001D44A9">
        <w:rPr>
          <w:szCs w:val="22"/>
          <w:lang w:val="es-ES_tradnl"/>
        </w:rPr>
        <w:t xml:space="preserve"> Las solicitudes de P.I. no contienen información directa sobre la pertenencia sectorial del solicitante, pero es posible clasificar las solicitudes de P.I. según el campo tecnológico (para las patentes) y según la clase de bienes/servicios (para las marcas). </w:t>
      </w:r>
      <w:r w:rsidR="00E8786C">
        <w:rPr>
          <w:szCs w:val="22"/>
          <w:lang w:val="es-ES_tradnl"/>
        </w:rPr>
        <w:t xml:space="preserve"> </w:t>
      </w:r>
      <w:r w:rsidRPr="001D44A9">
        <w:rPr>
          <w:szCs w:val="22"/>
          <w:lang w:val="es-ES_tradnl"/>
        </w:rPr>
        <w:t>Estas clasificaciones proveen información indirecta sobre el tipo de actividad económica que está detrás de las diferentes solicitudes de P.I.</w:t>
      </w:r>
    </w:p>
    <w:p w:rsidR="001A2943" w:rsidRPr="001D44A9" w:rsidRDefault="001A2943" w:rsidP="001A2943">
      <w:pPr>
        <w:rPr>
          <w:szCs w:val="22"/>
          <w:lang w:val="es-ES_tradnl"/>
        </w:rPr>
      </w:pPr>
    </w:p>
    <w:p w:rsidR="001A2943" w:rsidRPr="000A19E1" w:rsidRDefault="001A2943" w:rsidP="001A2943">
      <w:pPr>
        <w:rPr>
          <w:szCs w:val="22"/>
          <w:lang w:val="es-ES_tradnl"/>
        </w:rPr>
      </w:pPr>
      <w:r w:rsidRPr="001D44A9">
        <w:rPr>
          <w:szCs w:val="22"/>
          <w:lang w:val="es-ES_tradnl"/>
        </w:rPr>
        <w:t xml:space="preserve">El Cuadro 1 ya señalaba la fuerte presencia de los sectores farmacéutico y químico entre los 10 mayores solicitantes de patentes. </w:t>
      </w:r>
      <w:r w:rsidR="00E8786C">
        <w:rPr>
          <w:szCs w:val="22"/>
          <w:lang w:val="es-ES_tradnl"/>
        </w:rPr>
        <w:t xml:space="preserve"> </w:t>
      </w:r>
      <w:r w:rsidRPr="001D44A9">
        <w:rPr>
          <w:szCs w:val="22"/>
          <w:lang w:val="es-ES_tradnl"/>
        </w:rPr>
        <w:t>El Gráfico 8 confirma la preponderancia de los campos tecnológicos asociados con estos dos sectores en el conjunto de las solicitudes de patentes. Desde 1991 hasta 2010, dichos sectores representaron alrededor del 60% de todas las solicitudes de patentes.</w:t>
      </w:r>
      <w:r w:rsidRPr="001D44A9">
        <w:rPr>
          <w:rStyle w:val="FootnoteReference"/>
          <w:szCs w:val="22"/>
          <w:lang w:val="es-ES_tradnl"/>
        </w:rPr>
        <w:footnoteReference w:id="26"/>
      </w:r>
      <w:r>
        <w:rPr>
          <w:szCs w:val="22"/>
          <w:lang w:val="es-ES_tradnl"/>
        </w:rPr>
        <w:t xml:space="preserve"> </w:t>
      </w:r>
    </w:p>
    <w:p w:rsidR="001A2943" w:rsidRPr="000A19E1" w:rsidRDefault="001A2943" w:rsidP="001A2943">
      <w:pPr>
        <w:rPr>
          <w:szCs w:val="22"/>
          <w:lang w:val="es-ES_tradnl"/>
        </w:rPr>
      </w:pPr>
    </w:p>
    <w:p w:rsidR="001A2943" w:rsidRPr="000A19E1" w:rsidRDefault="001A2943" w:rsidP="001A2943">
      <w:pPr>
        <w:keepNext/>
        <w:jc w:val="center"/>
        <w:rPr>
          <w:lang w:val="es-ES_tradnl"/>
        </w:rPr>
      </w:pPr>
      <w:r w:rsidRPr="000A19E1">
        <w:rPr>
          <w:b/>
          <w:lang w:val="es-ES_tradnl"/>
        </w:rPr>
        <w:lastRenderedPageBreak/>
        <w:t>Gráfico 8</w:t>
      </w:r>
      <w:proofErr w:type="gramStart"/>
      <w:r w:rsidRPr="000A19E1">
        <w:rPr>
          <w:b/>
          <w:lang w:val="es-ES_tradnl"/>
        </w:rPr>
        <w:t>:</w:t>
      </w:r>
      <w:r>
        <w:rPr>
          <w:b/>
          <w:lang w:val="es-ES_tradnl"/>
        </w:rPr>
        <w:t xml:space="preserve"> </w:t>
      </w:r>
      <w:r w:rsidR="00270124">
        <w:rPr>
          <w:b/>
          <w:lang w:val="es-ES_tradnl"/>
        </w:rPr>
        <w:t xml:space="preserve"> </w:t>
      </w:r>
      <w:r w:rsidRPr="000A19E1">
        <w:rPr>
          <w:b/>
          <w:lang w:val="es-ES_tradnl"/>
        </w:rPr>
        <w:t>Patentes</w:t>
      </w:r>
      <w:proofErr w:type="gramEnd"/>
      <w:r w:rsidRPr="000A19E1">
        <w:rPr>
          <w:b/>
          <w:lang w:val="es-ES_tradnl"/>
        </w:rPr>
        <w:t xml:space="preserve"> (CIP) – mapeo tecnológico (1991-2010)</w:t>
      </w:r>
    </w:p>
    <w:p w:rsidR="001A2943" w:rsidRPr="000A19E1" w:rsidRDefault="001A2943" w:rsidP="001A2943">
      <w:pPr>
        <w:jc w:val="center"/>
        <w:rPr>
          <w:lang w:val="es-ES_tradnl"/>
        </w:rPr>
      </w:pPr>
      <w:r w:rsidRPr="000A19E1">
        <w:rPr>
          <w:noProof/>
          <w:lang w:val="en-US" w:eastAsia="en-US"/>
        </w:rPr>
        <w:drawing>
          <wp:inline distT="0" distB="0" distL="0" distR="0" wp14:anchorId="590BD604" wp14:editId="361E2D06">
            <wp:extent cx="5120640" cy="3745230"/>
            <wp:effectExtent l="0" t="0" r="0" b="762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jc w:val="center"/>
        <w:rPr>
          <w:sz w:val="20"/>
          <w:lang w:val="es-ES_tradnl"/>
        </w:rPr>
      </w:pPr>
      <w:r w:rsidRPr="000A19E1">
        <w:rPr>
          <w:sz w:val="20"/>
          <w:lang w:val="es-ES_tradnl"/>
        </w:rPr>
        <w:t>Nota</w:t>
      </w:r>
      <w:proofErr w:type="gramStart"/>
      <w:r w:rsidRPr="000A19E1">
        <w:rPr>
          <w:sz w:val="20"/>
          <w:lang w:val="es-ES_tradnl"/>
        </w:rPr>
        <w:t>:</w:t>
      </w:r>
      <w:r>
        <w:rPr>
          <w:sz w:val="20"/>
          <w:lang w:val="es-ES_tradnl"/>
        </w:rPr>
        <w:t xml:space="preserve"> </w:t>
      </w:r>
      <w:r w:rsidR="00E8786C">
        <w:rPr>
          <w:sz w:val="20"/>
          <w:lang w:val="es-ES_tradnl"/>
        </w:rPr>
        <w:t xml:space="preserve"> </w:t>
      </w:r>
      <w:r w:rsidRPr="000A19E1">
        <w:rPr>
          <w:sz w:val="20"/>
          <w:lang w:val="es-ES_tradnl"/>
        </w:rPr>
        <w:t>La</w:t>
      </w:r>
      <w:proofErr w:type="gramEnd"/>
      <w:r w:rsidRPr="000A19E1">
        <w:rPr>
          <w:sz w:val="20"/>
          <w:lang w:val="es-ES_tradnl"/>
        </w:rPr>
        <w:t xml:space="preserve"> categoría “Otros” incluye muebles y juguetes, otros bienes de consumo, e ingeniería civil.</w:t>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La distribución por tecnología que se muestra en el Gráfico 8 difiere marcadamente de la que es posible observar en las oficinas de patentes de los países de altos ingresos.</w:t>
      </w:r>
      <w:r w:rsidR="00E8786C">
        <w:rPr>
          <w:szCs w:val="22"/>
          <w:lang w:val="es-ES_tradnl"/>
        </w:rPr>
        <w:t xml:space="preserve"> </w:t>
      </w:r>
      <w:r>
        <w:rPr>
          <w:szCs w:val="22"/>
          <w:lang w:val="es-ES_tradnl"/>
        </w:rPr>
        <w:t xml:space="preserve"> </w:t>
      </w:r>
      <w:r w:rsidRPr="000A19E1">
        <w:rPr>
          <w:szCs w:val="22"/>
          <w:lang w:val="es-ES_tradnl"/>
        </w:rPr>
        <w:t>Si se observan las solicitudes de patentes en el mundo, donde predominan las presentadas a las oficinas de altos ingresos, los sectores farmacéutico y químico representan alrededor del 23% de todas las solicitudes.</w:t>
      </w:r>
      <w:r w:rsidRPr="000A19E1">
        <w:rPr>
          <w:rStyle w:val="FootnoteReference"/>
          <w:szCs w:val="22"/>
          <w:lang w:val="es-ES_tradnl"/>
        </w:rPr>
        <w:footnoteReference w:id="27"/>
      </w:r>
      <w:r w:rsidR="00E8786C">
        <w:rPr>
          <w:szCs w:val="22"/>
          <w:lang w:val="es-ES_tradnl"/>
        </w:rPr>
        <w:t xml:space="preserve"> </w:t>
      </w:r>
      <w:r>
        <w:rPr>
          <w:szCs w:val="22"/>
          <w:lang w:val="es-ES_tradnl"/>
        </w:rPr>
        <w:t xml:space="preserve"> </w:t>
      </w:r>
      <w:r w:rsidRPr="000A19E1">
        <w:rPr>
          <w:szCs w:val="22"/>
          <w:lang w:val="es-ES_tradnl"/>
        </w:rPr>
        <w:t>Otros campos– especialmente aquellos asociados con las tecnologías de la información y la comunicación (</w:t>
      </w:r>
      <w:proofErr w:type="spellStart"/>
      <w:r w:rsidRPr="000A19E1">
        <w:rPr>
          <w:szCs w:val="22"/>
          <w:lang w:val="es-ES_tradnl"/>
        </w:rPr>
        <w:t>TICs</w:t>
      </w:r>
      <w:proofErr w:type="spellEnd"/>
      <w:r w:rsidRPr="000A19E1">
        <w:rPr>
          <w:szCs w:val="22"/>
          <w:lang w:val="es-ES_tradnl"/>
        </w:rPr>
        <w:t>) – han mostrado una actividad de solicitud comparativamente mayor.</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El Gráfico 9 muestra la apertura de la amplia categoría química/farmacéutica en 11 subcategorías tecnológicas.</w:t>
      </w:r>
      <w:r>
        <w:rPr>
          <w:szCs w:val="22"/>
          <w:lang w:val="es-ES_tradnl"/>
        </w:rPr>
        <w:t xml:space="preserve"> </w:t>
      </w:r>
      <w:r w:rsidR="00E8786C">
        <w:rPr>
          <w:szCs w:val="22"/>
          <w:lang w:val="es-ES_tradnl"/>
        </w:rPr>
        <w:t xml:space="preserve"> </w:t>
      </w:r>
      <w:r w:rsidRPr="000A19E1">
        <w:rPr>
          <w:szCs w:val="22"/>
          <w:lang w:val="es-ES_tradnl"/>
        </w:rPr>
        <w:t>El gráfico indica que las patentes de química orgánica fina y farmacéutica representan más de la mitad del total de solicitudes en el período 1991-2010.</w:t>
      </w:r>
      <w:r>
        <w:rPr>
          <w:szCs w:val="22"/>
          <w:lang w:val="es-ES_tradnl"/>
        </w:rPr>
        <w:t xml:space="preserve"> </w:t>
      </w:r>
      <w:r w:rsidR="00E8786C">
        <w:rPr>
          <w:szCs w:val="22"/>
          <w:lang w:val="es-ES_tradnl"/>
        </w:rPr>
        <w:t xml:space="preserve"> </w:t>
      </w:r>
      <w:r w:rsidRPr="000A19E1">
        <w:rPr>
          <w:szCs w:val="22"/>
          <w:lang w:val="es-ES_tradnl"/>
        </w:rPr>
        <w:t xml:space="preserve">Las patentes farmacéuticas se incrementaron notablemente desde cerca del 11% en </w:t>
      </w:r>
      <w:smartTag w:uri="urn:schemas-microsoft-com:office:smarttags" w:element="metricconverter">
        <w:smartTagPr>
          <w:attr w:name="ProductID" w:val="1991 a"/>
        </w:smartTagPr>
        <w:r w:rsidRPr="000A19E1">
          <w:rPr>
            <w:szCs w:val="22"/>
            <w:lang w:val="es-ES_tradnl"/>
          </w:rPr>
          <w:t>1991 a</w:t>
        </w:r>
      </w:smartTag>
      <w:r w:rsidRPr="000A19E1">
        <w:rPr>
          <w:szCs w:val="22"/>
          <w:lang w:val="es-ES_tradnl"/>
        </w:rPr>
        <w:t xml:space="preserve"> más del 40% en 2004, reflejando los cambios ocurridos en la ley de P.I. de 1991. </w:t>
      </w:r>
    </w:p>
    <w:p w:rsidR="001A2943" w:rsidRPr="000A19E1" w:rsidRDefault="001A2943" w:rsidP="001A2943">
      <w:pPr>
        <w:rPr>
          <w:szCs w:val="22"/>
          <w:lang w:val="es-ES_tradnl"/>
        </w:rPr>
      </w:pPr>
    </w:p>
    <w:p w:rsidR="001A2943" w:rsidRPr="000A19E1" w:rsidRDefault="001A2943" w:rsidP="001A2943">
      <w:pPr>
        <w:rPr>
          <w:lang w:val="es-ES_tradnl"/>
        </w:rPr>
      </w:pPr>
    </w:p>
    <w:p w:rsidR="001A2943" w:rsidRPr="000A19E1" w:rsidRDefault="001A2943" w:rsidP="001A2943">
      <w:pPr>
        <w:keepNext/>
        <w:jc w:val="center"/>
        <w:rPr>
          <w:lang w:val="es-ES_tradnl"/>
        </w:rPr>
      </w:pPr>
      <w:r w:rsidRPr="000A19E1">
        <w:rPr>
          <w:b/>
          <w:lang w:val="es-ES_tradnl"/>
        </w:rPr>
        <w:lastRenderedPageBreak/>
        <w:t>Gráfico 9</w:t>
      </w:r>
      <w:proofErr w:type="gramStart"/>
      <w:r w:rsidRPr="000A19E1">
        <w:rPr>
          <w:b/>
          <w:lang w:val="es-ES_tradnl"/>
        </w:rPr>
        <w:t>:</w:t>
      </w:r>
      <w:r>
        <w:rPr>
          <w:b/>
          <w:lang w:val="es-ES_tradnl"/>
        </w:rPr>
        <w:t xml:space="preserve"> </w:t>
      </w:r>
      <w:r w:rsidR="00E8786C">
        <w:rPr>
          <w:b/>
          <w:lang w:val="es-ES_tradnl"/>
        </w:rPr>
        <w:t xml:space="preserve"> </w:t>
      </w:r>
      <w:r w:rsidRPr="000A19E1">
        <w:rPr>
          <w:b/>
          <w:lang w:val="es-ES_tradnl"/>
        </w:rPr>
        <w:t>Apertura</w:t>
      </w:r>
      <w:proofErr w:type="gramEnd"/>
      <w:r w:rsidRPr="000A19E1">
        <w:rPr>
          <w:b/>
          <w:lang w:val="es-ES_tradnl"/>
        </w:rPr>
        <w:t xml:space="preserve"> tecnológica para la química/farmacéutica (1991-2010)</w:t>
      </w:r>
    </w:p>
    <w:p w:rsidR="001A2943" w:rsidRPr="000A19E1" w:rsidRDefault="001A2943" w:rsidP="001A2943">
      <w:pPr>
        <w:jc w:val="center"/>
        <w:rPr>
          <w:lang w:val="es-ES_tradnl"/>
        </w:rPr>
      </w:pPr>
      <w:r w:rsidRPr="000A19E1">
        <w:rPr>
          <w:noProof/>
          <w:lang w:val="en-US" w:eastAsia="en-US"/>
        </w:rPr>
        <w:drawing>
          <wp:inline distT="0" distB="0" distL="0" distR="0" wp14:anchorId="2A88C950" wp14:editId="5C9FB96F">
            <wp:extent cx="5120640" cy="3745230"/>
            <wp:effectExtent l="0" t="0" r="0" b="762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Desde un punto de vista económico, la farmacéutica y la química pertenecen al grupo de las denominadas tecnologías discretas, que presentan productos y procesos cuyas patentes </w:t>
      </w:r>
      <w:r>
        <w:rPr>
          <w:szCs w:val="22"/>
          <w:lang w:val="es-ES_tradnl"/>
        </w:rPr>
        <w:t>pertenecen a</w:t>
      </w:r>
      <w:r w:rsidRPr="000A19E1">
        <w:rPr>
          <w:szCs w:val="22"/>
          <w:lang w:val="es-ES_tradnl"/>
        </w:rPr>
        <w:t xml:space="preserve"> una </w:t>
      </w:r>
      <w:r>
        <w:rPr>
          <w:szCs w:val="22"/>
          <w:lang w:val="es-ES_tradnl"/>
        </w:rPr>
        <w:t>empresa</w:t>
      </w:r>
      <w:r w:rsidRPr="000A19E1">
        <w:rPr>
          <w:szCs w:val="22"/>
          <w:lang w:val="es-ES_tradnl"/>
        </w:rPr>
        <w:t xml:space="preserve"> o un pequeño número de </w:t>
      </w:r>
      <w:r>
        <w:rPr>
          <w:szCs w:val="22"/>
          <w:lang w:val="es-ES_tradnl"/>
        </w:rPr>
        <w:t>empresas</w:t>
      </w:r>
      <w:r w:rsidRPr="000A19E1">
        <w:rPr>
          <w:szCs w:val="22"/>
          <w:lang w:val="es-ES_tradnl"/>
        </w:rPr>
        <w:t>.</w:t>
      </w:r>
      <w:r>
        <w:rPr>
          <w:szCs w:val="22"/>
          <w:lang w:val="es-ES_tradnl"/>
        </w:rPr>
        <w:t xml:space="preserve"> </w:t>
      </w:r>
      <w:r w:rsidR="00E8786C">
        <w:rPr>
          <w:szCs w:val="22"/>
          <w:lang w:val="es-ES_tradnl"/>
        </w:rPr>
        <w:t xml:space="preserve"> </w:t>
      </w:r>
      <w:r w:rsidRPr="000A19E1">
        <w:rPr>
          <w:szCs w:val="22"/>
          <w:lang w:val="es-ES_tradnl"/>
        </w:rPr>
        <w:t>Las tecnologías complejas, por el contrario, incluyen aquellos productos y procesos que consisten en varias invenciones patentables por separado, donde la propiedad de las patentes se encuentra más distribuida.</w:t>
      </w:r>
      <w:r w:rsidR="00E8786C">
        <w:rPr>
          <w:szCs w:val="22"/>
          <w:lang w:val="es-ES_tradnl"/>
        </w:rPr>
        <w:t xml:space="preserve"> </w:t>
      </w:r>
      <w:r>
        <w:rPr>
          <w:szCs w:val="22"/>
          <w:lang w:val="es-ES_tradnl"/>
        </w:rPr>
        <w:t xml:space="preserve"> </w:t>
      </w:r>
      <w:r w:rsidRPr="000A19E1">
        <w:rPr>
          <w:szCs w:val="22"/>
          <w:lang w:val="es-ES_tradnl"/>
        </w:rPr>
        <w:t xml:space="preserve">La segunda clase de tecnologías, que incluye muchos campos relacionados a las </w:t>
      </w:r>
      <w:proofErr w:type="spellStart"/>
      <w:r w:rsidRPr="000A19E1">
        <w:rPr>
          <w:szCs w:val="22"/>
          <w:lang w:val="es-ES_tradnl"/>
        </w:rPr>
        <w:t>TICs</w:t>
      </w:r>
      <w:proofErr w:type="spellEnd"/>
      <w:r w:rsidRPr="000A19E1">
        <w:rPr>
          <w:szCs w:val="22"/>
          <w:lang w:val="es-ES_tradnl"/>
        </w:rPr>
        <w:t>, ha mostrado a nivel internacional un crecimiento más rápido de sus solicitudes de patentes.</w:t>
      </w:r>
      <w:r>
        <w:rPr>
          <w:szCs w:val="22"/>
          <w:lang w:val="es-ES_tradnl"/>
        </w:rPr>
        <w:t xml:space="preserve"> </w:t>
      </w:r>
      <w:r w:rsidR="00E8786C">
        <w:rPr>
          <w:szCs w:val="22"/>
          <w:lang w:val="es-ES_tradnl"/>
        </w:rPr>
        <w:t xml:space="preserve"> </w:t>
      </w:r>
      <w:r w:rsidRPr="000A19E1">
        <w:rPr>
          <w:szCs w:val="22"/>
          <w:lang w:val="es-ES_tradnl"/>
        </w:rPr>
        <w:t xml:space="preserve">Con la interesante excepción de </w:t>
      </w:r>
      <w:proofErr w:type="spellStart"/>
      <w:r w:rsidRPr="000A19E1">
        <w:rPr>
          <w:szCs w:val="22"/>
          <w:lang w:val="es-ES_tradnl"/>
        </w:rPr>
        <w:t>Qualcomm</w:t>
      </w:r>
      <w:proofErr w:type="spellEnd"/>
      <w:r w:rsidRPr="000A19E1">
        <w:rPr>
          <w:szCs w:val="22"/>
          <w:lang w:val="es-ES_tradnl"/>
        </w:rPr>
        <w:t xml:space="preserve"> (ver arriba), esta tendencia no se verifica en Chile.</w:t>
      </w:r>
      <w:r>
        <w:rPr>
          <w:szCs w:val="22"/>
          <w:lang w:val="es-ES_tradnl"/>
        </w:rPr>
        <w:t xml:space="preserve"> </w:t>
      </w:r>
      <w:r w:rsidR="00E8786C">
        <w:rPr>
          <w:szCs w:val="22"/>
          <w:lang w:val="es-ES_tradnl"/>
        </w:rPr>
        <w:t xml:space="preserve"> </w:t>
      </w:r>
      <w:r w:rsidRPr="000A19E1">
        <w:rPr>
          <w:szCs w:val="22"/>
          <w:lang w:val="es-ES_tradnl"/>
        </w:rPr>
        <w:t xml:space="preserve">Esto puede reflejar en parte la capacidad de imitación de las </w:t>
      </w:r>
      <w:r>
        <w:rPr>
          <w:szCs w:val="22"/>
          <w:lang w:val="es-ES_tradnl"/>
        </w:rPr>
        <w:t>empresas</w:t>
      </w:r>
      <w:r w:rsidRPr="000A19E1">
        <w:rPr>
          <w:szCs w:val="22"/>
          <w:lang w:val="es-ES_tradnl"/>
        </w:rPr>
        <w:t xml:space="preserve"> chilenas en las industrias farmacéutica y química, que no parece existir en los campos tecnológicos complejos.</w:t>
      </w:r>
      <w:r>
        <w:rPr>
          <w:szCs w:val="22"/>
          <w:lang w:val="es-ES_tradnl"/>
        </w:rPr>
        <w:t xml:space="preserve"> </w:t>
      </w:r>
      <w:r w:rsidR="00E8786C">
        <w:rPr>
          <w:szCs w:val="22"/>
          <w:lang w:val="es-ES_tradnl"/>
        </w:rPr>
        <w:t xml:space="preserve"> </w:t>
      </w:r>
      <w:r w:rsidRPr="000A19E1">
        <w:rPr>
          <w:szCs w:val="22"/>
          <w:lang w:val="es-ES_tradnl"/>
        </w:rPr>
        <w:t>Sin embargo, una comprensión más precisa de los motivos de la distribución por tecnología de las solicitudes de patentes en Chile, requiere de estudios adicionales.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El Gráfico 10 muestra la composición de las solicitudes de marcas por grupos de clases de la Clasificación de Niza asociados a diferentes actividades económicas.</w:t>
      </w:r>
      <w:r w:rsidRPr="000A19E1">
        <w:rPr>
          <w:rStyle w:val="FootnoteReference"/>
          <w:szCs w:val="22"/>
          <w:lang w:val="es-ES_tradnl"/>
        </w:rPr>
        <w:footnoteReference w:id="28"/>
      </w:r>
      <w:r w:rsidRPr="000A19E1">
        <w:rPr>
          <w:szCs w:val="22"/>
          <w:lang w:val="es-ES_tradnl"/>
        </w:rPr>
        <w:t xml:space="preserve"> </w:t>
      </w:r>
      <w:r w:rsidR="00E8786C">
        <w:rPr>
          <w:szCs w:val="22"/>
          <w:lang w:val="es-ES_tradnl"/>
        </w:rPr>
        <w:t xml:space="preserve"> </w:t>
      </w:r>
      <w:r w:rsidRPr="000A19E1">
        <w:rPr>
          <w:szCs w:val="22"/>
          <w:lang w:val="es-ES_tradnl"/>
        </w:rPr>
        <w:t>Se confirma lo que ya indicaba la lista de los 10 mayores solicitantes:</w:t>
      </w:r>
      <w:r>
        <w:rPr>
          <w:szCs w:val="22"/>
          <w:lang w:val="es-ES_tradnl"/>
        </w:rPr>
        <w:t xml:space="preserve"> </w:t>
      </w:r>
      <w:r w:rsidRPr="000A19E1">
        <w:rPr>
          <w:szCs w:val="22"/>
          <w:lang w:val="es-ES_tradnl"/>
        </w:rPr>
        <w:t>el uso de la marca está más ampliamente difundido en la actividad económica.</w:t>
      </w:r>
      <w:r>
        <w:rPr>
          <w:szCs w:val="22"/>
          <w:lang w:val="es-ES_tradnl"/>
        </w:rPr>
        <w:t xml:space="preserve"> </w:t>
      </w:r>
      <w:r w:rsidR="00E8786C">
        <w:rPr>
          <w:szCs w:val="22"/>
          <w:lang w:val="es-ES_tradnl"/>
        </w:rPr>
        <w:t xml:space="preserve"> </w:t>
      </w:r>
      <w:r w:rsidRPr="000A19E1">
        <w:rPr>
          <w:szCs w:val="22"/>
          <w:lang w:val="es-ES_tradnl"/>
        </w:rPr>
        <w:t>La agricultura presenta la participación más importante en solicitudes de marcas, con un promedio del 15%.</w:t>
      </w:r>
      <w:r>
        <w:rPr>
          <w:szCs w:val="22"/>
          <w:lang w:val="es-ES_tradnl"/>
        </w:rPr>
        <w:t xml:space="preserve"> </w:t>
      </w:r>
      <w:r w:rsidR="00E8786C">
        <w:rPr>
          <w:szCs w:val="22"/>
          <w:lang w:val="es-ES_tradnl"/>
        </w:rPr>
        <w:t xml:space="preserve"> </w:t>
      </w:r>
      <w:r w:rsidRPr="000A19E1">
        <w:rPr>
          <w:szCs w:val="22"/>
          <w:lang w:val="es-ES_tradnl"/>
        </w:rPr>
        <w:t xml:space="preserve">La categoría Agricultura comprende las marcas </w:t>
      </w:r>
      <w:r>
        <w:rPr>
          <w:szCs w:val="22"/>
          <w:lang w:val="es-ES_tradnl"/>
        </w:rPr>
        <w:t>pertenecientes a</w:t>
      </w:r>
      <w:r w:rsidRPr="000A19E1">
        <w:rPr>
          <w:szCs w:val="22"/>
          <w:lang w:val="es-ES_tradnl"/>
        </w:rPr>
        <w:t xml:space="preserve"> productores de vinos (Clase de la Clasificación de Niza 33) y de frutas (Clases 29 y 31), que representan conjuntamente una </w:t>
      </w:r>
      <w:r w:rsidRPr="000A19E1">
        <w:rPr>
          <w:szCs w:val="22"/>
          <w:lang w:val="es-ES_tradnl"/>
        </w:rPr>
        <w:lastRenderedPageBreak/>
        <w:t>parte considerable de la actividad agrícola en Chile.</w:t>
      </w:r>
      <w:r>
        <w:rPr>
          <w:szCs w:val="22"/>
          <w:lang w:val="es-ES_tradnl"/>
        </w:rPr>
        <w:t xml:space="preserve"> </w:t>
      </w:r>
      <w:r w:rsidR="00E8786C">
        <w:rPr>
          <w:szCs w:val="22"/>
          <w:lang w:val="es-ES_tradnl"/>
        </w:rPr>
        <w:t xml:space="preserve"> </w:t>
      </w:r>
      <w:r w:rsidRPr="000A19E1">
        <w:rPr>
          <w:szCs w:val="22"/>
          <w:lang w:val="es-ES_tradnl"/>
        </w:rPr>
        <w:t>También la farmacéutica alcanza una cuota importante de las solicitudes de marcas, con un promedio del 11% entre 1991 y 2010 – aunque muy por debajo de la participación mostrada en las patentes.</w:t>
      </w:r>
      <w:r w:rsidRPr="000A19E1">
        <w:rPr>
          <w:rStyle w:val="FootnoteReference"/>
          <w:szCs w:val="22"/>
          <w:lang w:val="es-ES_tradnl"/>
        </w:rPr>
        <w:footnoteReference w:id="29"/>
      </w:r>
      <w:r w:rsidRPr="000A19E1">
        <w:rPr>
          <w:szCs w:val="22"/>
          <w:lang w:val="es-ES_tradnl"/>
        </w:rPr>
        <w:t xml:space="preserve"> </w:t>
      </w:r>
      <w:r w:rsidR="00E8786C">
        <w:rPr>
          <w:szCs w:val="22"/>
          <w:lang w:val="es-ES_tradnl"/>
        </w:rPr>
        <w:t xml:space="preserve"> </w:t>
      </w:r>
      <w:r w:rsidRPr="000A19E1">
        <w:rPr>
          <w:szCs w:val="22"/>
          <w:lang w:val="es-ES_tradnl"/>
        </w:rPr>
        <w:t xml:space="preserve">Es interesante notar que el Gráfico 10 indica un cambio estructural ocurrido en 2006, cuando el </w:t>
      </w:r>
      <w:r>
        <w:rPr>
          <w:szCs w:val="22"/>
          <w:lang w:val="es-ES_tradnl"/>
        </w:rPr>
        <w:t xml:space="preserve">sector </w:t>
      </w:r>
      <w:r w:rsidRPr="000A19E1">
        <w:rPr>
          <w:szCs w:val="22"/>
          <w:lang w:val="es-ES_tradnl"/>
        </w:rPr>
        <w:t xml:space="preserve">de </w:t>
      </w:r>
      <w:r>
        <w:rPr>
          <w:szCs w:val="22"/>
          <w:lang w:val="es-ES_tradnl"/>
        </w:rPr>
        <w:t>f</w:t>
      </w:r>
      <w:r w:rsidRPr="000A19E1">
        <w:rPr>
          <w:szCs w:val="22"/>
          <w:lang w:val="es-ES_tradnl"/>
        </w:rPr>
        <w:t>inanzas, seguros y bienes raíces más que duplicó su cuota de solicitudes a expensas de textiles y artículos para el hogar.</w:t>
      </w:r>
      <w:r>
        <w:rPr>
          <w:szCs w:val="22"/>
          <w:lang w:val="es-ES_tradnl"/>
        </w:rPr>
        <w:t xml:space="preserve"> </w:t>
      </w:r>
      <w:r w:rsidR="00E8786C">
        <w:rPr>
          <w:szCs w:val="22"/>
          <w:lang w:val="es-ES_tradnl"/>
        </w:rPr>
        <w:t xml:space="preserve"> </w:t>
      </w:r>
      <w:r w:rsidRPr="000A19E1">
        <w:rPr>
          <w:szCs w:val="22"/>
          <w:lang w:val="es-ES_tradnl"/>
        </w:rPr>
        <w:t>Como se explica más adelante, este cambio en la composición parece haber sido determinado por una modificación de las normas de procedimiento sobre cómo especificar las clases en las solicitudes de marcas.</w:t>
      </w:r>
    </w:p>
    <w:p w:rsidR="001A2943" w:rsidRPr="000A19E1" w:rsidRDefault="001A2943" w:rsidP="001A2943">
      <w:pPr>
        <w:rPr>
          <w:b/>
          <w:lang w:val="es-ES_tradnl"/>
        </w:rPr>
      </w:pPr>
    </w:p>
    <w:p w:rsidR="001A2943" w:rsidRPr="000A19E1" w:rsidRDefault="001A2943" w:rsidP="001A2943">
      <w:pPr>
        <w:jc w:val="center"/>
        <w:rPr>
          <w:lang w:val="es-ES_tradnl"/>
        </w:rPr>
      </w:pPr>
      <w:r w:rsidRPr="000A19E1">
        <w:rPr>
          <w:b/>
          <w:lang w:val="es-ES_tradnl"/>
        </w:rPr>
        <w:t>Gráfico 10</w:t>
      </w:r>
      <w:proofErr w:type="gramStart"/>
      <w:r w:rsidRPr="000A19E1">
        <w:rPr>
          <w:b/>
          <w:lang w:val="es-ES_tradnl"/>
        </w:rPr>
        <w:t>:</w:t>
      </w:r>
      <w:r>
        <w:rPr>
          <w:b/>
          <w:lang w:val="es-ES_tradnl"/>
        </w:rPr>
        <w:t xml:space="preserve"> </w:t>
      </w:r>
      <w:r w:rsidR="005A7E46">
        <w:rPr>
          <w:b/>
          <w:lang w:val="es-ES_tradnl"/>
        </w:rPr>
        <w:t xml:space="preserve"> </w:t>
      </w:r>
      <w:r w:rsidRPr="000A19E1">
        <w:rPr>
          <w:b/>
          <w:lang w:val="es-ES_tradnl"/>
        </w:rPr>
        <w:t>Marcas</w:t>
      </w:r>
      <w:proofErr w:type="gramEnd"/>
      <w:r w:rsidRPr="000A19E1">
        <w:rPr>
          <w:b/>
          <w:lang w:val="es-ES_tradnl"/>
        </w:rPr>
        <w:t xml:space="preserve"> (clases de la Clasificación de Niza) – mapa de actividad económica (1991-2010)</w:t>
      </w:r>
    </w:p>
    <w:p w:rsidR="001A2943" w:rsidRPr="000A19E1" w:rsidRDefault="001A2943" w:rsidP="001A2943">
      <w:pPr>
        <w:rPr>
          <w:lang w:val="es-ES_tradnl"/>
        </w:rPr>
      </w:pPr>
    </w:p>
    <w:p w:rsidR="001A2943" w:rsidRPr="000A19E1" w:rsidRDefault="001A2943" w:rsidP="001A2943">
      <w:pPr>
        <w:jc w:val="center"/>
        <w:rPr>
          <w:lang w:val="es-ES_tradnl"/>
        </w:rPr>
      </w:pPr>
      <w:r w:rsidRPr="000A19E1">
        <w:rPr>
          <w:noProof/>
          <w:lang w:val="en-US" w:eastAsia="en-US"/>
        </w:rPr>
        <w:drawing>
          <wp:inline distT="0" distB="0" distL="0" distR="0" wp14:anchorId="0D893F41" wp14:editId="654C51FD">
            <wp:extent cx="5120640" cy="3745230"/>
            <wp:effectExtent l="0" t="0" r="0" b="762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sz w:val="20"/>
          <w:lang w:val="es-ES_tradnl"/>
        </w:rPr>
      </w:pPr>
      <w:r w:rsidRPr="000A19E1">
        <w:rPr>
          <w:sz w:val="20"/>
          <w:lang w:val="es-ES_tradnl"/>
        </w:rPr>
        <w:t>Nota:</w:t>
      </w:r>
      <w:r>
        <w:rPr>
          <w:sz w:val="20"/>
          <w:lang w:val="es-ES_tradnl"/>
        </w:rPr>
        <w:t xml:space="preserve"> </w:t>
      </w:r>
      <w:r w:rsidR="00E8786C">
        <w:rPr>
          <w:sz w:val="20"/>
          <w:lang w:val="es-ES_tradnl"/>
        </w:rPr>
        <w:t xml:space="preserve"> </w:t>
      </w:r>
      <w:r w:rsidRPr="000A19E1">
        <w:rPr>
          <w:sz w:val="20"/>
          <w:lang w:val="es-ES_tradnl"/>
        </w:rPr>
        <w:t>Agricultura:</w:t>
      </w:r>
      <w:r>
        <w:rPr>
          <w:sz w:val="20"/>
          <w:lang w:val="es-ES_tradnl"/>
        </w:rPr>
        <w:t xml:space="preserve"> </w:t>
      </w:r>
      <w:r w:rsidRPr="000A19E1">
        <w:rPr>
          <w:sz w:val="20"/>
          <w:lang w:val="es-ES_tradnl"/>
        </w:rPr>
        <w:t>productos y servicios agrícolas;</w:t>
      </w:r>
      <w:r>
        <w:rPr>
          <w:sz w:val="20"/>
          <w:lang w:val="es-ES_tradnl"/>
        </w:rPr>
        <w:t xml:space="preserve"> </w:t>
      </w:r>
      <w:r w:rsidRPr="000A19E1">
        <w:rPr>
          <w:sz w:val="20"/>
          <w:lang w:val="es-ES_tradnl"/>
        </w:rPr>
        <w:t>construcción:</w:t>
      </w:r>
      <w:r>
        <w:rPr>
          <w:sz w:val="20"/>
          <w:lang w:val="es-ES_tradnl"/>
        </w:rPr>
        <w:t xml:space="preserve"> </w:t>
      </w:r>
      <w:r w:rsidRPr="000A19E1">
        <w:rPr>
          <w:sz w:val="20"/>
          <w:lang w:val="es-ES_tradnl"/>
        </w:rPr>
        <w:t>construcción e infraestructura;</w:t>
      </w:r>
      <w:r>
        <w:rPr>
          <w:sz w:val="20"/>
          <w:lang w:val="es-ES_tradnl"/>
        </w:rPr>
        <w:t xml:space="preserve"> </w:t>
      </w:r>
      <w:r w:rsidRPr="000A19E1">
        <w:rPr>
          <w:sz w:val="20"/>
          <w:lang w:val="es-ES_tradnl"/>
        </w:rPr>
        <w:t>hogar:</w:t>
      </w:r>
      <w:r>
        <w:rPr>
          <w:sz w:val="20"/>
          <w:lang w:val="es-ES_tradnl"/>
        </w:rPr>
        <w:t xml:space="preserve"> </w:t>
      </w:r>
      <w:r w:rsidRPr="000A19E1">
        <w:rPr>
          <w:sz w:val="20"/>
          <w:lang w:val="es-ES_tradnl"/>
        </w:rPr>
        <w:t>artículos para el hogar;</w:t>
      </w:r>
      <w:r>
        <w:rPr>
          <w:sz w:val="20"/>
          <w:lang w:val="es-ES_tradnl"/>
        </w:rPr>
        <w:t xml:space="preserve"> </w:t>
      </w:r>
      <w:r w:rsidRPr="000A19E1">
        <w:rPr>
          <w:sz w:val="20"/>
          <w:lang w:val="es-ES_tradnl"/>
        </w:rPr>
        <w:t>educación:</w:t>
      </w:r>
      <w:r>
        <w:rPr>
          <w:sz w:val="20"/>
          <w:lang w:val="es-ES_tradnl"/>
        </w:rPr>
        <w:t xml:space="preserve"> </w:t>
      </w:r>
      <w:r w:rsidRPr="000A19E1">
        <w:rPr>
          <w:sz w:val="20"/>
          <w:lang w:val="es-ES_tradnl"/>
        </w:rPr>
        <w:t>esparcimiento, educación, formación;</w:t>
      </w:r>
      <w:r>
        <w:rPr>
          <w:sz w:val="20"/>
          <w:lang w:val="es-ES_tradnl"/>
        </w:rPr>
        <w:t xml:space="preserve"> </w:t>
      </w:r>
      <w:r w:rsidRPr="000A19E1">
        <w:rPr>
          <w:sz w:val="20"/>
          <w:lang w:val="es-ES_tradnl"/>
        </w:rPr>
        <w:t>finanzas, seguros y bienes raíces:</w:t>
      </w:r>
      <w:r>
        <w:rPr>
          <w:sz w:val="20"/>
          <w:lang w:val="es-ES_tradnl"/>
        </w:rPr>
        <w:t xml:space="preserve"> </w:t>
      </w:r>
      <w:r w:rsidRPr="000A19E1">
        <w:rPr>
          <w:sz w:val="20"/>
          <w:lang w:val="es-ES_tradnl"/>
        </w:rPr>
        <w:t>gestión, comunicación, bienes raíces y servicios financieros;</w:t>
      </w:r>
      <w:r>
        <w:rPr>
          <w:sz w:val="20"/>
          <w:lang w:val="es-ES_tradnl"/>
        </w:rPr>
        <w:t xml:space="preserve"> </w:t>
      </w:r>
      <w:r w:rsidRPr="000A19E1">
        <w:rPr>
          <w:sz w:val="20"/>
          <w:lang w:val="es-ES_tradnl"/>
        </w:rPr>
        <w:t>farmacéutica/cosméticos:</w:t>
      </w:r>
      <w:r>
        <w:rPr>
          <w:sz w:val="20"/>
          <w:lang w:val="es-ES_tradnl"/>
        </w:rPr>
        <w:t xml:space="preserve"> </w:t>
      </w:r>
      <w:r w:rsidRPr="000A19E1">
        <w:rPr>
          <w:sz w:val="20"/>
          <w:lang w:val="es-ES_tradnl"/>
        </w:rPr>
        <w:t>farmacéutica, salud, productos cosméticos;</w:t>
      </w:r>
      <w:r>
        <w:rPr>
          <w:sz w:val="20"/>
          <w:lang w:val="es-ES_tradnl"/>
        </w:rPr>
        <w:t xml:space="preserve"> </w:t>
      </w:r>
      <w:r w:rsidRPr="000A19E1">
        <w:rPr>
          <w:sz w:val="20"/>
          <w:lang w:val="es-ES_tradnl"/>
        </w:rPr>
        <w:t>científico:</w:t>
      </w:r>
      <w:r>
        <w:rPr>
          <w:sz w:val="20"/>
          <w:lang w:val="es-ES_tradnl"/>
        </w:rPr>
        <w:t xml:space="preserve"> </w:t>
      </w:r>
      <w:r w:rsidRPr="000A19E1">
        <w:rPr>
          <w:sz w:val="20"/>
          <w:lang w:val="es-ES_tradnl"/>
        </w:rPr>
        <w:t>investigación científica, tecnologías de la información, comunicación;</w:t>
      </w:r>
      <w:r>
        <w:rPr>
          <w:sz w:val="20"/>
          <w:lang w:val="es-ES_tradnl"/>
        </w:rPr>
        <w:t xml:space="preserve"> </w:t>
      </w:r>
      <w:r w:rsidRPr="000A19E1">
        <w:rPr>
          <w:sz w:val="20"/>
          <w:lang w:val="es-ES_tradnl"/>
        </w:rPr>
        <w:t>textiles:</w:t>
      </w:r>
      <w:r>
        <w:rPr>
          <w:sz w:val="20"/>
          <w:lang w:val="es-ES_tradnl"/>
        </w:rPr>
        <w:t xml:space="preserve"> </w:t>
      </w:r>
      <w:r w:rsidR="00E8786C">
        <w:rPr>
          <w:sz w:val="20"/>
          <w:lang w:val="es-ES_tradnl"/>
        </w:rPr>
        <w:t xml:space="preserve"> </w:t>
      </w:r>
      <w:r w:rsidRPr="000A19E1">
        <w:rPr>
          <w:sz w:val="20"/>
          <w:lang w:val="es-ES_tradnl"/>
        </w:rPr>
        <w:t>textiles – indumentaria y accesorios;</w:t>
      </w:r>
      <w:r>
        <w:rPr>
          <w:sz w:val="20"/>
          <w:lang w:val="es-ES_tradnl"/>
        </w:rPr>
        <w:t xml:space="preserve"> </w:t>
      </w:r>
      <w:r w:rsidRPr="000A19E1">
        <w:rPr>
          <w:sz w:val="20"/>
          <w:lang w:val="es-ES_tradnl"/>
        </w:rPr>
        <w:t>transporte:</w:t>
      </w:r>
      <w:r>
        <w:rPr>
          <w:sz w:val="20"/>
          <w:lang w:val="es-ES_tradnl"/>
        </w:rPr>
        <w:t xml:space="preserve"> </w:t>
      </w:r>
      <w:r w:rsidRPr="000A19E1">
        <w:rPr>
          <w:sz w:val="20"/>
          <w:lang w:val="es-ES_tradnl"/>
        </w:rPr>
        <w:t>transporte y logística.</w:t>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¿La distribución sectorial de las solicitudes de P.I. difiere según el tipo y el origen del solicitante?</w:t>
      </w:r>
      <w:r>
        <w:rPr>
          <w:szCs w:val="22"/>
          <w:lang w:val="es-ES_tradnl"/>
        </w:rPr>
        <w:t xml:space="preserve"> </w:t>
      </w:r>
      <w:r w:rsidR="00E8786C">
        <w:rPr>
          <w:szCs w:val="22"/>
          <w:lang w:val="es-ES_tradnl"/>
        </w:rPr>
        <w:t xml:space="preserve"> </w:t>
      </w:r>
      <w:r w:rsidRPr="000A19E1">
        <w:rPr>
          <w:szCs w:val="22"/>
          <w:lang w:val="es-ES_tradnl"/>
        </w:rPr>
        <w:t xml:space="preserve">El Gráfico 11 muestra la distribución sectorial total para universidades, </w:t>
      </w:r>
      <w:r>
        <w:rPr>
          <w:szCs w:val="22"/>
          <w:lang w:val="es-ES_tradnl"/>
        </w:rPr>
        <w:t>empresas</w:t>
      </w:r>
      <w:r w:rsidRPr="000A19E1">
        <w:rPr>
          <w:szCs w:val="22"/>
          <w:lang w:val="es-ES_tradnl"/>
        </w:rPr>
        <w:t xml:space="preserve"> y personas en el período 1991-2010.</w:t>
      </w:r>
      <w:r>
        <w:rPr>
          <w:szCs w:val="22"/>
          <w:lang w:val="es-ES_tradnl"/>
        </w:rPr>
        <w:t xml:space="preserve"> </w:t>
      </w:r>
      <w:r w:rsidRPr="000A19E1">
        <w:rPr>
          <w:szCs w:val="22"/>
          <w:lang w:val="es-ES_tradnl"/>
        </w:rPr>
        <w:t xml:space="preserve">El Gráfico 12 hace lo mismo para residentes, </w:t>
      </w:r>
      <w:proofErr w:type="spellStart"/>
      <w:r w:rsidRPr="000A19E1">
        <w:rPr>
          <w:szCs w:val="22"/>
          <w:lang w:val="es-ES_tradnl"/>
        </w:rPr>
        <w:t>multi</w:t>
      </w:r>
      <w:proofErr w:type="spellEnd"/>
      <w:r w:rsidR="00E8786C">
        <w:rPr>
          <w:szCs w:val="22"/>
          <w:lang w:val="es-ES_tradnl"/>
        </w:rPr>
        <w:noBreakHyphen/>
      </w:r>
      <w:r w:rsidRPr="000A19E1">
        <w:rPr>
          <w:szCs w:val="22"/>
          <w:lang w:val="es-ES_tradnl"/>
        </w:rPr>
        <w:t>residentes y no residentes.</w:t>
      </w:r>
      <w:r w:rsidR="00E8786C">
        <w:rPr>
          <w:szCs w:val="22"/>
          <w:lang w:val="es-ES_tradnl"/>
        </w:rPr>
        <w:t xml:space="preserve"> </w:t>
      </w:r>
      <w:r>
        <w:rPr>
          <w:szCs w:val="22"/>
          <w:lang w:val="es-ES_tradnl"/>
        </w:rPr>
        <w:t xml:space="preserve"> </w:t>
      </w:r>
      <w:r w:rsidRPr="000A19E1">
        <w:rPr>
          <w:szCs w:val="22"/>
          <w:lang w:val="es-ES_tradnl"/>
        </w:rPr>
        <w:t>En la interpretación de estos gráficos es importante tener en cuenta que las barras horizontales muestran solamente participaciones que se refieren a volúmenes de solicitudes cuyas magnitudes pueden ser muy diferentes.</w:t>
      </w:r>
    </w:p>
    <w:p w:rsidR="001A2943" w:rsidRPr="000A19E1" w:rsidRDefault="001A2943" w:rsidP="001A2943">
      <w:pPr>
        <w:rPr>
          <w:szCs w:val="22"/>
          <w:lang w:val="es-ES_tradnl"/>
        </w:rPr>
      </w:pPr>
    </w:p>
    <w:p w:rsidR="001A2943" w:rsidRPr="000A19E1" w:rsidRDefault="001A2943" w:rsidP="001A2943">
      <w:pPr>
        <w:rPr>
          <w:szCs w:val="22"/>
          <w:lang w:val="es-ES_tradnl"/>
        </w:rPr>
      </w:pPr>
    </w:p>
    <w:p w:rsidR="001A2943" w:rsidRPr="000A19E1" w:rsidRDefault="001A2943" w:rsidP="001A2943">
      <w:pPr>
        <w:keepNext/>
        <w:jc w:val="center"/>
        <w:rPr>
          <w:lang w:val="es-ES_tradnl"/>
        </w:rPr>
      </w:pPr>
      <w:r w:rsidRPr="000A19E1">
        <w:rPr>
          <w:b/>
          <w:lang w:val="es-ES_tradnl"/>
        </w:rPr>
        <w:lastRenderedPageBreak/>
        <w:t>Gráfico 11</w:t>
      </w:r>
      <w:proofErr w:type="gramStart"/>
      <w:r w:rsidRPr="000A19E1">
        <w:rPr>
          <w:b/>
          <w:lang w:val="es-ES_tradnl"/>
        </w:rPr>
        <w:t>:</w:t>
      </w:r>
      <w:r>
        <w:rPr>
          <w:b/>
          <w:lang w:val="es-ES_tradnl"/>
        </w:rPr>
        <w:t xml:space="preserve"> </w:t>
      </w:r>
      <w:r w:rsidR="00E8786C">
        <w:rPr>
          <w:b/>
          <w:lang w:val="es-ES_tradnl"/>
        </w:rPr>
        <w:t xml:space="preserve"> </w:t>
      </w:r>
      <w:r w:rsidRPr="000A19E1">
        <w:rPr>
          <w:b/>
          <w:lang w:val="es-ES_tradnl"/>
        </w:rPr>
        <w:t>Distribución</w:t>
      </w:r>
      <w:proofErr w:type="gramEnd"/>
      <w:r w:rsidRPr="000A19E1">
        <w:rPr>
          <w:b/>
          <w:lang w:val="es-ES_tradnl"/>
        </w:rPr>
        <w:t xml:space="preserve"> por tipo de solicitante de Patentes (tecnología – CIP) y Marcas (actividad económica </w:t>
      </w:r>
      <w:r w:rsidRPr="000A19E1">
        <w:rPr>
          <w:b/>
          <w:lang w:val="es-ES_tradnl"/>
        </w:rPr>
        <w:noBreakHyphen/>
        <w:t>clases de la Clasificación de Niza) (1991-2010)</w:t>
      </w:r>
    </w:p>
    <w:p w:rsidR="001A2943" w:rsidRPr="000A19E1" w:rsidRDefault="001A2943" w:rsidP="001A2943">
      <w:pPr>
        <w:jc w:val="center"/>
        <w:rPr>
          <w:lang w:val="es-ES_tradnl"/>
        </w:rPr>
      </w:pPr>
      <w:r w:rsidRPr="000A19E1">
        <w:rPr>
          <w:noProof/>
          <w:lang w:val="en-US" w:eastAsia="en-US"/>
        </w:rPr>
        <w:drawing>
          <wp:inline distT="0" distB="0" distL="0" distR="0" wp14:anchorId="68213CC0" wp14:editId="5E2485F6">
            <wp:extent cx="5120640" cy="3745230"/>
            <wp:effectExtent l="0" t="0" r="0" b="762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ind w:left="720"/>
        <w:rPr>
          <w:sz w:val="20"/>
          <w:lang w:val="es-ES_tradnl"/>
        </w:rPr>
      </w:pPr>
      <w:r w:rsidRPr="000A19E1">
        <w:rPr>
          <w:sz w:val="20"/>
          <w:lang w:val="es-ES_tradnl"/>
        </w:rPr>
        <w:t>Nota:</w:t>
      </w:r>
      <w:r>
        <w:rPr>
          <w:sz w:val="20"/>
          <w:lang w:val="es-ES_tradnl"/>
        </w:rPr>
        <w:t xml:space="preserve"> </w:t>
      </w:r>
      <w:r w:rsidRPr="000A19E1">
        <w:rPr>
          <w:sz w:val="20"/>
          <w:lang w:val="es-ES_tradnl"/>
        </w:rPr>
        <w:t>En las patentes, la categoría “Otros” incluye muebles y juguetes, otros bienes de consumo e ingeniería civil.</w:t>
      </w:r>
      <w:r>
        <w:rPr>
          <w:sz w:val="20"/>
          <w:lang w:val="es-ES_tradnl"/>
        </w:rPr>
        <w:t xml:space="preserve"> </w:t>
      </w:r>
      <w:r w:rsidRPr="000A19E1">
        <w:rPr>
          <w:sz w:val="20"/>
          <w:lang w:val="es-ES_tradnl"/>
        </w:rPr>
        <w:t>Para las marcas, ver las notas del Gráfico 10.</w:t>
      </w:r>
    </w:p>
    <w:p w:rsidR="001A2943" w:rsidRPr="000A19E1" w:rsidRDefault="001A2943" w:rsidP="001A2943">
      <w:pPr>
        <w:jc w:val="center"/>
        <w:rPr>
          <w:sz w:val="20"/>
          <w:lang w:val="es-ES_tradnl"/>
        </w:rPr>
      </w:pPr>
    </w:p>
    <w:p w:rsidR="001A2943" w:rsidRPr="000A19E1" w:rsidRDefault="001A2943" w:rsidP="001A2943">
      <w:pPr>
        <w:jc w:val="center"/>
        <w:rPr>
          <w:lang w:val="es-ES_tradnl"/>
        </w:rPr>
      </w:pPr>
    </w:p>
    <w:p w:rsidR="001A2943" w:rsidRPr="000A19E1" w:rsidRDefault="001A2943" w:rsidP="001A2943">
      <w:pPr>
        <w:rPr>
          <w:szCs w:val="22"/>
          <w:lang w:val="es-ES_tradnl"/>
        </w:rPr>
      </w:pPr>
      <w:r w:rsidRPr="000A19E1">
        <w:rPr>
          <w:szCs w:val="22"/>
          <w:lang w:val="es-ES_tradnl"/>
        </w:rPr>
        <w:t>Del Gráfico 11 surgen varias observaciones.</w:t>
      </w:r>
      <w:r>
        <w:rPr>
          <w:szCs w:val="22"/>
          <w:lang w:val="es-ES_tradnl"/>
        </w:rPr>
        <w:t xml:space="preserve"> </w:t>
      </w:r>
      <w:r w:rsidR="00E8786C">
        <w:rPr>
          <w:szCs w:val="22"/>
          <w:lang w:val="es-ES_tradnl"/>
        </w:rPr>
        <w:t xml:space="preserve"> </w:t>
      </w:r>
      <w:r w:rsidRPr="000A19E1">
        <w:rPr>
          <w:szCs w:val="22"/>
          <w:lang w:val="es-ES_tradnl"/>
        </w:rPr>
        <w:t>En primer lugar, los campos farmacéutico y químico dan cuenta de menores participaciones de los individuos en las solicitudes de patentes, pero cuotas más importantes en el caso de las universidades.</w:t>
      </w:r>
      <w:r w:rsidR="00E8786C">
        <w:rPr>
          <w:szCs w:val="22"/>
          <w:lang w:val="es-ES_tradnl"/>
        </w:rPr>
        <w:t xml:space="preserve"> </w:t>
      </w:r>
      <w:r>
        <w:rPr>
          <w:szCs w:val="22"/>
          <w:lang w:val="es-ES_tradnl"/>
        </w:rPr>
        <w:t xml:space="preserve"> </w:t>
      </w:r>
      <w:r w:rsidRPr="000A19E1">
        <w:rPr>
          <w:szCs w:val="22"/>
          <w:lang w:val="es-ES_tradnl"/>
        </w:rPr>
        <w:t>Este último elemento puede reflejar la naturaleza intensiva en ciencia de estos dos campos tecnológicos.</w:t>
      </w:r>
      <w:r>
        <w:rPr>
          <w:szCs w:val="22"/>
          <w:lang w:val="es-ES_tradnl"/>
        </w:rPr>
        <w:t xml:space="preserve"> </w:t>
      </w:r>
      <w:r w:rsidR="00E8786C">
        <w:rPr>
          <w:szCs w:val="22"/>
          <w:lang w:val="es-ES_tradnl"/>
        </w:rPr>
        <w:t xml:space="preserve"> </w:t>
      </w:r>
      <w:r w:rsidRPr="000A19E1">
        <w:rPr>
          <w:szCs w:val="22"/>
          <w:lang w:val="es-ES_tradnl"/>
        </w:rPr>
        <w:t>El primer elemento puede reflejar el hecho de que muchas personas que poseen patentes son propietarios de pequeñas empresas, que suelen ser raras en la industria química/farmacéutica.</w:t>
      </w:r>
      <w:r>
        <w:rPr>
          <w:szCs w:val="22"/>
          <w:lang w:val="es-ES_tradnl"/>
        </w:rPr>
        <w:t xml:space="preserve"> </w:t>
      </w:r>
      <w:r w:rsidRPr="000A19E1">
        <w:rPr>
          <w:szCs w:val="22"/>
          <w:lang w:val="es-ES_tradnl"/>
        </w:rPr>
        <w:t xml:space="preserve">En segundo lugar, la distribución sectorial de las solicitudes de marcas de las universidades difiere considerablemente de la que presentan individuos y </w:t>
      </w:r>
      <w:r>
        <w:rPr>
          <w:szCs w:val="22"/>
          <w:lang w:val="es-ES_tradnl"/>
        </w:rPr>
        <w:t>empresas</w:t>
      </w:r>
      <w:r w:rsidRPr="000A19E1">
        <w:rPr>
          <w:szCs w:val="22"/>
          <w:lang w:val="es-ES_tradnl"/>
        </w:rPr>
        <w:t>.</w:t>
      </w:r>
      <w:r>
        <w:rPr>
          <w:szCs w:val="22"/>
          <w:lang w:val="es-ES_tradnl"/>
        </w:rPr>
        <w:t xml:space="preserve"> </w:t>
      </w:r>
      <w:r w:rsidR="00E8786C">
        <w:rPr>
          <w:szCs w:val="22"/>
          <w:lang w:val="es-ES_tradnl"/>
        </w:rPr>
        <w:t xml:space="preserve"> </w:t>
      </w:r>
      <w:r w:rsidRPr="000A19E1">
        <w:rPr>
          <w:szCs w:val="22"/>
          <w:lang w:val="es-ES_tradnl"/>
        </w:rPr>
        <w:t>Esto refleja claramente el foco de las universidades en la educación y la investigación científica, y el consecuente predominio de las categorías de “investigación científica” y “educación y formación”.</w:t>
      </w:r>
    </w:p>
    <w:p w:rsidR="001A2943" w:rsidRPr="000A19E1" w:rsidRDefault="001A2943" w:rsidP="001A2943">
      <w:pPr>
        <w:rPr>
          <w:lang w:val="es-ES_tradnl"/>
        </w:rPr>
      </w:pPr>
    </w:p>
    <w:p w:rsidR="001A2943" w:rsidRPr="000A19E1" w:rsidRDefault="001A2943" w:rsidP="001A2943">
      <w:pPr>
        <w:rPr>
          <w:b/>
          <w:lang w:val="es-ES_tradnl"/>
        </w:rPr>
      </w:pPr>
      <w:r w:rsidRPr="000A19E1">
        <w:rPr>
          <w:b/>
          <w:lang w:val="es-ES_tradnl"/>
        </w:rPr>
        <w:br w:type="page"/>
      </w:r>
    </w:p>
    <w:p w:rsidR="001A2943" w:rsidRPr="000A19E1" w:rsidRDefault="001A2943" w:rsidP="001A2943">
      <w:pPr>
        <w:jc w:val="center"/>
        <w:rPr>
          <w:b/>
          <w:lang w:val="es-ES_tradnl"/>
        </w:rPr>
      </w:pPr>
      <w:r w:rsidRPr="000A19E1">
        <w:rPr>
          <w:b/>
          <w:lang w:val="es-ES_tradnl"/>
        </w:rPr>
        <w:lastRenderedPageBreak/>
        <w:t>Gráfico 12</w:t>
      </w:r>
      <w:proofErr w:type="gramStart"/>
      <w:r w:rsidRPr="000A19E1">
        <w:rPr>
          <w:b/>
          <w:lang w:val="es-ES_tradnl"/>
        </w:rPr>
        <w:t>:</w:t>
      </w:r>
      <w:r>
        <w:rPr>
          <w:b/>
          <w:lang w:val="es-ES_tradnl"/>
        </w:rPr>
        <w:t xml:space="preserve"> </w:t>
      </w:r>
      <w:r w:rsidR="009E3701">
        <w:rPr>
          <w:b/>
          <w:lang w:val="es-ES_tradnl"/>
        </w:rPr>
        <w:t xml:space="preserve"> </w:t>
      </w:r>
      <w:r w:rsidRPr="000A19E1">
        <w:rPr>
          <w:b/>
          <w:lang w:val="es-ES_tradnl"/>
        </w:rPr>
        <w:t>Distribución</w:t>
      </w:r>
      <w:proofErr w:type="gramEnd"/>
      <w:r w:rsidRPr="000A19E1">
        <w:rPr>
          <w:b/>
          <w:lang w:val="es-ES_tradnl"/>
        </w:rPr>
        <w:t xml:space="preserve"> por residencia de Patentes (tecnología – CIP) y Marcas (actividad económica – clases de la Clasificación de Niza) (1991-2010)</w:t>
      </w:r>
    </w:p>
    <w:p w:rsidR="001A2943" w:rsidRPr="000A19E1" w:rsidRDefault="001A2943" w:rsidP="001A2943">
      <w:pPr>
        <w:jc w:val="center"/>
        <w:rPr>
          <w:lang w:val="es-ES_tradnl"/>
        </w:rPr>
      </w:pPr>
      <w:r w:rsidRPr="000A19E1">
        <w:rPr>
          <w:noProof/>
          <w:lang w:val="en-US" w:eastAsia="en-US"/>
        </w:rPr>
        <w:drawing>
          <wp:inline distT="0" distB="0" distL="0" distR="0" wp14:anchorId="0A626412" wp14:editId="7BA5AF99">
            <wp:extent cx="5120640" cy="3745230"/>
            <wp:effectExtent l="0" t="0" r="0" b="762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ind w:left="720"/>
        <w:rPr>
          <w:sz w:val="20"/>
          <w:lang w:val="es-ES_tradnl"/>
        </w:rPr>
      </w:pPr>
      <w:r w:rsidRPr="000A19E1">
        <w:rPr>
          <w:sz w:val="20"/>
          <w:lang w:val="es-ES_tradnl"/>
        </w:rPr>
        <w:t>Nota:</w:t>
      </w:r>
      <w:r>
        <w:rPr>
          <w:sz w:val="20"/>
          <w:lang w:val="es-ES_tradnl"/>
        </w:rPr>
        <w:t xml:space="preserve"> </w:t>
      </w:r>
      <w:r w:rsidRPr="000A19E1">
        <w:rPr>
          <w:sz w:val="20"/>
          <w:lang w:val="es-ES_tradnl"/>
        </w:rPr>
        <w:t>En las patentes, la categoría “Otros” incluye muebles y juguetes, otros bienes de consumo e ingeniería civil.</w:t>
      </w:r>
      <w:r>
        <w:rPr>
          <w:sz w:val="20"/>
          <w:lang w:val="es-ES_tradnl"/>
        </w:rPr>
        <w:t xml:space="preserve"> </w:t>
      </w:r>
      <w:r w:rsidRPr="000A19E1">
        <w:rPr>
          <w:sz w:val="20"/>
          <w:lang w:val="es-ES_tradnl"/>
        </w:rPr>
        <w:t>Para las marcas, ver las notas del Gráfico 10.</w:t>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 xml:space="preserve">Si se consideran las presentaciones de patentes y marcas por solicitantes residentes – excluyendo los </w:t>
      </w:r>
      <w:proofErr w:type="spellStart"/>
      <w:r w:rsidRPr="000A19E1">
        <w:rPr>
          <w:szCs w:val="22"/>
          <w:lang w:val="es-ES_tradnl"/>
        </w:rPr>
        <w:t>multi</w:t>
      </w:r>
      <w:proofErr w:type="spellEnd"/>
      <w:r w:rsidRPr="000A19E1">
        <w:rPr>
          <w:szCs w:val="22"/>
          <w:lang w:val="es-ES_tradnl"/>
        </w:rPr>
        <w:t>-residentes –en el Gráfico 12, los campos farmacéutico y químico representan una participación relativamente menor de solicitudes respecto a lo observado para los no residentes.</w:t>
      </w:r>
      <w:r>
        <w:rPr>
          <w:szCs w:val="22"/>
          <w:lang w:val="es-ES_tradnl"/>
        </w:rPr>
        <w:t xml:space="preserve"> </w:t>
      </w:r>
      <w:r w:rsidR="009E3701">
        <w:rPr>
          <w:szCs w:val="22"/>
          <w:lang w:val="es-ES_tradnl"/>
        </w:rPr>
        <w:t xml:space="preserve"> </w:t>
      </w:r>
      <w:r w:rsidRPr="000A19E1">
        <w:rPr>
          <w:szCs w:val="22"/>
          <w:lang w:val="es-ES_tradnl"/>
        </w:rPr>
        <w:t xml:space="preserve">Sin embargo, en el caso de las patentes, tales áreas representan aún la participación mayoritaria, lo cual sugiere la existencia de cierto nivel en las capacidades de innovación de las universidades y </w:t>
      </w:r>
      <w:r>
        <w:rPr>
          <w:szCs w:val="22"/>
          <w:lang w:val="es-ES_tradnl"/>
        </w:rPr>
        <w:t>empresas</w:t>
      </w:r>
      <w:r w:rsidRPr="000A19E1">
        <w:rPr>
          <w:szCs w:val="22"/>
          <w:lang w:val="es-ES_tradnl"/>
        </w:rPr>
        <w:t xml:space="preserve"> chilenas en esos campos.</w:t>
      </w:r>
      <w:r>
        <w:rPr>
          <w:szCs w:val="22"/>
          <w:lang w:val="es-ES_tradnl"/>
        </w:rPr>
        <w:t xml:space="preserve"> </w:t>
      </w:r>
      <w:r w:rsidR="009E3701">
        <w:rPr>
          <w:szCs w:val="22"/>
          <w:lang w:val="es-ES_tradnl"/>
        </w:rPr>
        <w:t xml:space="preserve"> </w:t>
      </w:r>
      <w:r w:rsidRPr="000A19E1">
        <w:rPr>
          <w:szCs w:val="22"/>
          <w:lang w:val="es-ES_tradnl"/>
        </w:rPr>
        <w:t xml:space="preserve">Muchas patentes de </w:t>
      </w:r>
      <w:r>
        <w:rPr>
          <w:szCs w:val="22"/>
          <w:lang w:val="es-ES_tradnl"/>
        </w:rPr>
        <w:t>empresas</w:t>
      </w:r>
      <w:r w:rsidRPr="000A19E1">
        <w:rPr>
          <w:szCs w:val="22"/>
          <w:lang w:val="es-ES_tradnl"/>
        </w:rPr>
        <w:t xml:space="preserve"> chilenas en estas áreas son poseídas por </w:t>
      </w:r>
      <w:r>
        <w:rPr>
          <w:szCs w:val="22"/>
          <w:lang w:val="es-ES_tradnl"/>
        </w:rPr>
        <w:t>empresas</w:t>
      </w:r>
      <w:r w:rsidRPr="000A19E1">
        <w:rPr>
          <w:szCs w:val="22"/>
          <w:lang w:val="es-ES_tradnl"/>
        </w:rPr>
        <w:t xml:space="preserve"> de la industria minera tales como </w:t>
      </w:r>
      <w:r>
        <w:rPr>
          <w:szCs w:val="22"/>
          <w:lang w:val="es-ES_tradnl"/>
        </w:rPr>
        <w:t xml:space="preserve">CODELCO </w:t>
      </w:r>
      <w:r w:rsidRPr="000A19E1">
        <w:rPr>
          <w:szCs w:val="22"/>
          <w:lang w:val="es-ES_tradnl"/>
        </w:rPr>
        <w:t xml:space="preserve">y </w:t>
      </w:r>
      <w:proofErr w:type="spellStart"/>
      <w:r w:rsidRPr="000A19E1">
        <w:rPr>
          <w:szCs w:val="22"/>
          <w:lang w:val="es-ES_tradnl"/>
        </w:rPr>
        <w:t>Biosigma</w:t>
      </w:r>
      <w:proofErr w:type="spellEnd"/>
      <w:r w:rsidRPr="000A19E1">
        <w:rPr>
          <w:szCs w:val="22"/>
          <w:lang w:val="es-ES_tradnl"/>
        </w:rPr>
        <w:t>, pero también por firmas que cuentan con un portafolio más extenso de productos químicos, como Sociedad Química y Minera</w:t>
      </w:r>
      <w:r>
        <w:rPr>
          <w:szCs w:val="22"/>
          <w:lang w:val="es-ES_tradnl"/>
        </w:rPr>
        <w:t xml:space="preserve"> (SOQUIMICH)</w:t>
      </w:r>
      <w:r w:rsidRPr="000A19E1">
        <w:rPr>
          <w:szCs w:val="22"/>
          <w:lang w:val="es-ES_tradnl"/>
        </w:rPr>
        <w:t xml:space="preserve"> que también produce fertilizantes.</w:t>
      </w:r>
      <w:r w:rsidR="009E3701">
        <w:rPr>
          <w:szCs w:val="22"/>
          <w:lang w:val="es-ES_tradnl"/>
        </w:rPr>
        <w:t xml:space="preserve"> </w:t>
      </w:r>
      <w:r>
        <w:rPr>
          <w:szCs w:val="22"/>
          <w:lang w:val="es-ES_tradnl"/>
        </w:rPr>
        <w:t xml:space="preserve"> </w:t>
      </w:r>
      <w:r w:rsidRPr="000A19E1">
        <w:rPr>
          <w:szCs w:val="22"/>
          <w:lang w:val="es-ES_tradnl"/>
        </w:rPr>
        <w:t xml:space="preserve">Tanto para las patentes como para las marcas, las solicitudes de los </w:t>
      </w:r>
      <w:proofErr w:type="spellStart"/>
      <w:r w:rsidRPr="000A19E1">
        <w:rPr>
          <w:szCs w:val="22"/>
          <w:lang w:val="es-ES_tradnl"/>
        </w:rPr>
        <w:t>multi</w:t>
      </w:r>
      <w:proofErr w:type="spellEnd"/>
      <w:r w:rsidRPr="000A19E1">
        <w:rPr>
          <w:szCs w:val="22"/>
          <w:lang w:val="es-ES_tradnl"/>
        </w:rPr>
        <w:t>-residentes parecen ser relativamente más importantes en los sectores farmacéutico y químico.</w:t>
      </w:r>
      <w:r>
        <w:rPr>
          <w:szCs w:val="22"/>
          <w:lang w:val="es-ES_tradnl"/>
        </w:rPr>
        <w:t xml:space="preserve"> </w:t>
      </w:r>
      <w:r w:rsidR="009E3701">
        <w:rPr>
          <w:szCs w:val="22"/>
          <w:lang w:val="es-ES_tradnl"/>
        </w:rPr>
        <w:t xml:space="preserve"> </w:t>
      </w:r>
      <w:r w:rsidRPr="000A19E1">
        <w:rPr>
          <w:szCs w:val="22"/>
          <w:lang w:val="es-ES_tradnl"/>
        </w:rPr>
        <w:t xml:space="preserve">De todos modos, en relación al total de solicitudes de los </w:t>
      </w:r>
      <w:proofErr w:type="spellStart"/>
      <w:r w:rsidRPr="000A19E1">
        <w:rPr>
          <w:szCs w:val="22"/>
          <w:lang w:val="es-ES_tradnl"/>
        </w:rPr>
        <w:t>multi</w:t>
      </w:r>
      <w:proofErr w:type="spellEnd"/>
      <w:r w:rsidRPr="000A19E1">
        <w:rPr>
          <w:szCs w:val="22"/>
          <w:lang w:val="es-ES_tradnl"/>
        </w:rPr>
        <w:t>-residentes, las</w:t>
      </w:r>
      <w:r>
        <w:rPr>
          <w:szCs w:val="22"/>
          <w:lang w:val="es-ES_tradnl"/>
        </w:rPr>
        <w:t xml:space="preserve"> </w:t>
      </w:r>
      <w:r w:rsidRPr="000A19E1">
        <w:rPr>
          <w:szCs w:val="22"/>
          <w:lang w:val="es-ES_tradnl"/>
        </w:rPr>
        <w:t>que provienen de los sectores farmacéutico y químico, parecen tener más frecuentemente su origen fuera de Chile.</w:t>
      </w:r>
    </w:p>
    <w:p w:rsidR="001A2943" w:rsidRPr="00270124" w:rsidRDefault="001A2943" w:rsidP="001A2943">
      <w:pPr>
        <w:pStyle w:val="Heading1"/>
        <w:rPr>
          <w:b w:val="0"/>
          <w:u w:val="single"/>
          <w:lang w:val="es-ES_tradnl"/>
        </w:rPr>
      </w:pPr>
      <w:bookmarkStart w:id="12" w:name="_Toc359312059"/>
      <w:r w:rsidRPr="00270124">
        <w:rPr>
          <w:b w:val="0"/>
          <w:lang w:val="es-ES_tradnl"/>
        </w:rPr>
        <w:t>8.</w:t>
      </w:r>
      <w:r w:rsidRPr="00270124">
        <w:rPr>
          <w:b w:val="0"/>
          <w:lang w:val="es-ES_tradnl"/>
        </w:rPr>
        <w:tab/>
      </w:r>
      <w:r w:rsidR="0011555F" w:rsidRPr="00270124">
        <w:rPr>
          <w:b w:val="0"/>
          <w:u w:val="single"/>
          <w:lang w:val="es-ES_tradnl"/>
        </w:rPr>
        <w:t>T</w:t>
      </w:r>
      <w:r w:rsidR="0011555F" w:rsidRPr="00270124">
        <w:rPr>
          <w:b w:val="0"/>
          <w:caps w:val="0"/>
          <w:u w:val="single"/>
          <w:lang w:val="es-ES_tradnl"/>
        </w:rPr>
        <w:t>asa y tiempo de otorgamiento</w:t>
      </w:r>
      <w:bookmarkEnd w:id="12"/>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¿Qué ocurre con las solicitudes cuando los solicitantes las presentan ante la oficina de P.I.?</w:t>
      </w:r>
      <w:r>
        <w:rPr>
          <w:szCs w:val="22"/>
          <w:lang w:val="es-ES_tradnl"/>
        </w:rPr>
        <w:t xml:space="preserve"> </w:t>
      </w:r>
      <w:r w:rsidRPr="000A19E1">
        <w:rPr>
          <w:szCs w:val="22"/>
          <w:lang w:val="es-ES_tradnl"/>
        </w:rPr>
        <w:t>Dos indicadores interesantes a considerar en este ámbito son la tasa de otorgamiento– la proporción de patentes solicitadas que fueron finalmente otorgadas – y el tiempo de otorgamiento–</w:t>
      </w:r>
      <w:r w:rsidRPr="000A19E1" w:rsidDel="002157D8">
        <w:rPr>
          <w:szCs w:val="22"/>
          <w:lang w:val="es-ES_tradnl"/>
        </w:rPr>
        <w:t xml:space="preserve"> </w:t>
      </w:r>
      <w:r w:rsidRPr="000A19E1">
        <w:rPr>
          <w:szCs w:val="22"/>
          <w:lang w:val="es-ES_tradnl"/>
        </w:rPr>
        <w:t>cuánto tarda una patente en ser concedida.</w:t>
      </w:r>
      <w:r>
        <w:rPr>
          <w:szCs w:val="22"/>
          <w:lang w:val="es-ES_tradnl"/>
        </w:rPr>
        <w:t xml:space="preserve"> </w:t>
      </w:r>
      <w:r w:rsidR="00021714">
        <w:rPr>
          <w:szCs w:val="22"/>
          <w:lang w:val="es-ES_tradnl"/>
        </w:rPr>
        <w:t xml:space="preserve"> </w:t>
      </w:r>
      <w:r w:rsidRPr="000A19E1">
        <w:rPr>
          <w:szCs w:val="22"/>
          <w:lang w:val="es-ES_tradnl"/>
        </w:rPr>
        <w:t>El Gráfico 13 muestra la tasa y el tiempo de otorgamiento para todas las solicitudes de patentes desde 1991 por año de presentación.</w:t>
      </w:r>
      <w:r>
        <w:rPr>
          <w:szCs w:val="22"/>
          <w:lang w:val="es-ES_tradnl"/>
        </w:rPr>
        <w:t xml:space="preserve"> </w:t>
      </w:r>
      <w:r w:rsidR="00021714">
        <w:rPr>
          <w:szCs w:val="22"/>
          <w:lang w:val="es-ES_tradnl"/>
        </w:rPr>
        <w:t xml:space="preserve"> </w:t>
      </w:r>
      <w:r w:rsidRPr="000A19E1">
        <w:rPr>
          <w:szCs w:val="22"/>
          <w:lang w:val="es-ES_tradnl"/>
        </w:rPr>
        <w:t>El gráfico muestra una participación decreciente de las patentes concedidas.</w:t>
      </w:r>
      <w:r>
        <w:rPr>
          <w:szCs w:val="22"/>
          <w:lang w:val="es-ES_tradnl"/>
        </w:rPr>
        <w:t xml:space="preserve"> </w:t>
      </w:r>
      <w:r w:rsidRPr="000A19E1">
        <w:rPr>
          <w:szCs w:val="22"/>
          <w:lang w:val="es-ES_tradnl"/>
        </w:rPr>
        <w:t>Esa participación es excepcionalmente alta en 1991.</w:t>
      </w:r>
      <w:r w:rsidR="00021714">
        <w:rPr>
          <w:szCs w:val="22"/>
          <w:lang w:val="es-ES_tradnl"/>
        </w:rPr>
        <w:t xml:space="preserve"> </w:t>
      </w:r>
      <w:r>
        <w:rPr>
          <w:szCs w:val="22"/>
          <w:lang w:val="es-ES_tradnl"/>
        </w:rPr>
        <w:t xml:space="preserve"> </w:t>
      </w:r>
      <w:r w:rsidRPr="000A19E1">
        <w:rPr>
          <w:szCs w:val="22"/>
          <w:lang w:val="es-ES_tradnl"/>
        </w:rPr>
        <w:t>Como se mencionó anteriormente esto coincide con la modificación de la ley chilena de patentes.</w:t>
      </w:r>
      <w:r>
        <w:rPr>
          <w:szCs w:val="22"/>
          <w:lang w:val="es-ES_tradnl"/>
        </w:rPr>
        <w:t xml:space="preserve"> </w:t>
      </w:r>
      <w:r w:rsidR="00021714">
        <w:rPr>
          <w:szCs w:val="22"/>
          <w:lang w:val="es-ES_tradnl"/>
        </w:rPr>
        <w:t xml:space="preserve"> </w:t>
      </w:r>
      <w:r w:rsidRPr="000A19E1">
        <w:rPr>
          <w:szCs w:val="22"/>
          <w:lang w:val="es-ES_tradnl"/>
        </w:rPr>
        <w:t xml:space="preserve">Como se explica más detalladamente en el Apéndice 1.3, esta modificación determinó una suerte de mecanismo </w:t>
      </w:r>
      <w:r w:rsidRPr="000A19E1">
        <w:rPr>
          <w:szCs w:val="22"/>
          <w:lang w:val="es-ES_tradnl"/>
        </w:rPr>
        <w:lastRenderedPageBreak/>
        <w:t>de protección retroactiva, por el</w:t>
      </w:r>
      <w:r w:rsidRPr="000A19E1">
        <w:rPr>
          <w:rStyle w:val="hps"/>
          <w:szCs w:val="22"/>
          <w:lang w:val="es-ES_tradnl"/>
        </w:rPr>
        <w:t xml:space="preserve"> </w:t>
      </w:r>
      <w:r w:rsidRPr="000A19E1">
        <w:rPr>
          <w:szCs w:val="22"/>
          <w:lang w:val="es-ES_tradnl"/>
        </w:rPr>
        <w:t>cual las patentes que ya hubiesen sido otorgadas o estuviesen en trámite en otra jurisdicción podrían ser solicitadas en Chile, independientemente de la fecha de prioridad de la patente.</w:t>
      </w:r>
      <w:r>
        <w:rPr>
          <w:szCs w:val="22"/>
          <w:lang w:val="es-ES_tradnl"/>
        </w:rPr>
        <w:t xml:space="preserve"> </w:t>
      </w:r>
      <w:r w:rsidR="00021714">
        <w:rPr>
          <w:szCs w:val="22"/>
          <w:lang w:val="es-ES_tradnl"/>
        </w:rPr>
        <w:t xml:space="preserve"> </w:t>
      </w:r>
      <w:r w:rsidRPr="000A19E1">
        <w:rPr>
          <w:szCs w:val="22"/>
          <w:lang w:val="es-ES_tradnl"/>
        </w:rPr>
        <w:t>Es probable que este mecanismo explique la alta tasa de otorgamiento para la cohorte de patentes de 1991.</w:t>
      </w:r>
      <w:r>
        <w:rPr>
          <w:szCs w:val="22"/>
          <w:lang w:val="es-ES_tradnl"/>
        </w:rPr>
        <w:t xml:space="preserve"> </w:t>
      </w:r>
      <w:r w:rsidR="00021714">
        <w:rPr>
          <w:szCs w:val="22"/>
          <w:lang w:val="es-ES_tradnl"/>
        </w:rPr>
        <w:t xml:space="preserve"> </w:t>
      </w:r>
      <w:r w:rsidRPr="000A19E1">
        <w:rPr>
          <w:szCs w:val="22"/>
          <w:lang w:val="es-ES_tradnl"/>
        </w:rPr>
        <w:t>Después de 1991, el porcentaje de patentes concedidas se estabilizó entre alrededor del 40% en 1992 y el 20% en 2000.</w:t>
      </w:r>
      <w:r w:rsidR="00021714">
        <w:rPr>
          <w:szCs w:val="22"/>
          <w:lang w:val="es-ES_tradnl"/>
        </w:rPr>
        <w:t xml:space="preserve"> </w:t>
      </w:r>
      <w:r>
        <w:rPr>
          <w:szCs w:val="22"/>
          <w:lang w:val="es-ES_tradnl"/>
        </w:rPr>
        <w:t xml:space="preserve"> </w:t>
      </w:r>
      <w:r w:rsidRPr="000A19E1">
        <w:rPr>
          <w:szCs w:val="22"/>
          <w:lang w:val="es-ES_tradnl"/>
        </w:rPr>
        <w:t>La tasa significativamente menor de otorgamientos de 2007 y 2008 se debe a los tiempos de otorgamiento, es decir, muchas de las patentes solicitadas en aquellos años todavía no habían llegado a la fase de concesión.</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El gráfico también muestra que entre 1992 y 1996, la mitad de todas las patentes otorgadas fueron concedidas dentro de un lapso de cinco años desde la fecha de solicitud y, la otra mitad, dentro de los siguientes cinco años.</w:t>
      </w:r>
      <w:r>
        <w:rPr>
          <w:szCs w:val="22"/>
          <w:lang w:val="es-ES_tradnl"/>
        </w:rPr>
        <w:t xml:space="preserve"> </w:t>
      </w:r>
      <w:r w:rsidR="00021714">
        <w:rPr>
          <w:szCs w:val="22"/>
          <w:lang w:val="es-ES_tradnl"/>
        </w:rPr>
        <w:t xml:space="preserve"> </w:t>
      </w:r>
      <w:r w:rsidRPr="000A19E1">
        <w:rPr>
          <w:szCs w:val="22"/>
          <w:lang w:val="es-ES_tradnl"/>
        </w:rPr>
        <w:t>A partir de 1998, el porcentaje de patentes concedidas dentro de los primeros cinco años casi desaparece y la abrumadora mayoría de las patentes es otorgada entre 5 y 10 años después de la solicitud.</w:t>
      </w:r>
      <w:r>
        <w:rPr>
          <w:szCs w:val="22"/>
          <w:lang w:val="es-ES_tradnl"/>
        </w:rPr>
        <w:t xml:space="preserve"> </w:t>
      </w:r>
      <w:r w:rsidR="00021714">
        <w:rPr>
          <w:szCs w:val="22"/>
          <w:lang w:val="es-ES_tradnl"/>
        </w:rPr>
        <w:t xml:space="preserve"> </w:t>
      </w:r>
      <w:r w:rsidRPr="000A19E1">
        <w:rPr>
          <w:szCs w:val="22"/>
          <w:lang w:val="es-ES_tradnl"/>
        </w:rPr>
        <w:t xml:space="preserve">Sin embargo, en 2003, las patentes volvieron a ser concedidas más rápidamente y la proporción de patentes otorgadas en un período de </w:t>
      </w:r>
      <w:smartTag w:uri="urn:schemas-microsoft-com:office:smarttags" w:element="metricconverter">
        <w:smartTagPr>
          <w:attr w:name="ProductID" w:val="3 a"/>
        </w:smartTagPr>
        <w:r w:rsidRPr="000A19E1">
          <w:rPr>
            <w:szCs w:val="22"/>
            <w:lang w:val="es-ES_tradnl"/>
          </w:rPr>
          <w:t>3 a</w:t>
        </w:r>
      </w:smartTag>
      <w:r w:rsidRPr="000A19E1">
        <w:rPr>
          <w:szCs w:val="22"/>
          <w:lang w:val="es-ES_tradnl"/>
        </w:rPr>
        <w:t xml:space="preserve"> 4 años aumenta considerablemente.</w:t>
      </w:r>
      <w:r>
        <w:rPr>
          <w:szCs w:val="22"/>
          <w:lang w:val="es-ES_tradnl"/>
        </w:rPr>
        <w:t xml:space="preserve"> </w:t>
      </w:r>
      <w:r w:rsidR="00021714">
        <w:rPr>
          <w:szCs w:val="22"/>
          <w:lang w:val="es-ES_tradnl"/>
        </w:rPr>
        <w:t xml:space="preserve"> </w:t>
      </w:r>
      <w:r w:rsidRPr="000A19E1">
        <w:rPr>
          <w:szCs w:val="22"/>
          <w:lang w:val="es-ES_tradnl"/>
        </w:rPr>
        <w:t>De todos modos, cuanto más cercanos a</w:t>
      </w:r>
      <w:r w:rsidR="00021714">
        <w:rPr>
          <w:szCs w:val="22"/>
          <w:lang w:val="es-ES_tradnl"/>
        </w:rPr>
        <w:t> </w:t>
      </w:r>
      <w:r w:rsidRPr="000A19E1">
        <w:rPr>
          <w:szCs w:val="22"/>
          <w:lang w:val="es-ES_tradnl"/>
        </w:rPr>
        <w:t>2010, menos confiables son los datos, ya que es mayor la proporción de patentes que aún espera la decisión de concesión.</w:t>
      </w:r>
    </w:p>
    <w:p w:rsidR="001A2943" w:rsidRPr="000A19E1" w:rsidRDefault="001A2943" w:rsidP="001A2943">
      <w:pPr>
        <w:rPr>
          <w:lang w:val="es-ES_tradnl"/>
        </w:rPr>
      </w:pPr>
    </w:p>
    <w:p w:rsidR="001A2943" w:rsidRPr="000A19E1" w:rsidRDefault="001A2943" w:rsidP="001A2943">
      <w:pPr>
        <w:keepNext/>
        <w:jc w:val="center"/>
        <w:rPr>
          <w:lang w:val="es-ES_tradnl"/>
        </w:rPr>
      </w:pPr>
      <w:r w:rsidRPr="000A19E1">
        <w:rPr>
          <w:b/>
          <w:lang w:val="es-ES_tradnl"/>
        </w:rPr>
        <w:t>Gráfico 13</w:t>
      </w:r>
      <w:proofErr w:type="gramStart"/>
      <w:r w:rsidRPr="000A19E1">
        <w:rPr>
          <w:b/>
          <w:lang w:val="es-ES_tradnl"/>
        </w:rPr>
        <w:t>:</w:t>
      </w:r>
      <w:r>
        <w:rPr>
          <w:b/>
          <w:lang w:val="es-ES_tradnl"/>
        </w:rPr>
        <w:t xml:space="preserve"> </w:t>
      </w:r>
      <w:r w:rsidR="0011555F">
        <w:rPr>
          <w:b/>
          <w:lang w:val="es-ES_tradnl"/>
        </w:rPr>
        <w:t xml:space="preserve"> </w:t>
      </w:r>
      <w:r w:rsidRPr="000A19E1">
        <w:rPr>
          <w:b/>
          <w:lang w:val="es-ES_tradnl"/>
        </w:rPr>
        <w:t>Patentes</w:t>
      </w:r>
      <w:proofErr w:type="gramEnd"/>
      <w:r w:rsidRPr="000A19E1">
        <w:rPr>
          <w:b/>
          <w:lang w:val="es-ES_tradnl"/>
        </w:rPr>
        <w:t xml:space="preserve"> – tasa y tiempo de otorgamiento (1991-2010)</w:t>
      </w:r>
    </w:p>
    <w:p w:rsidR="001A2943" w:rsidRPr="000A19E1" w:rsidRDefault="001A2943" w:rsidP="001A2943">
      <w:pPr>
        <w:jc w:val="center"/>
        <w:rPr>
          <w:lang w:val="es-ES_tradnl"/>
        </w:rPr>
      </w:pPr>
      <w:r w:rsidRPr="000A19E1">
        <w:rPr>
          <w:noProof/>
          <w:lang w:val="en-US" w:eastAsia="en-US"/>
        </w:rPr>
        <w:drawing>
          <wp:inline distT="0" distB="0" distL="0" distR="0" wp14:anchorId="57806765" wp14:editId="740B7098">
            <wp:extent cx="5120640" cy="3745230"/>
            <wp:effectExtent l="0" t="0" r="0" b="762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El Gráfico 14 ilustra el tiempo y la tasa de otorgamiento para los modelos de utilidad según el año de solicitud.</w:t>
      </w:r>
      <w:r>
        <w:rPr>
          <w:szCs w:val="22"/>
          <w:lang w:val="es-ES_tradnl"/>
        </w:rPr>
        <w:t xml:space="preserve"> </w:t>
      </w:r>
      <w:r w:rsidR="00066FB7">
        <w:rPr>
          <w:szCs w:val="22"/>
          <w:lang w:val="es-ES_tradnl"/>
        </w:rPr>
        <w:t xml:space="preserve"> </w:t>
      </w:r>
      <w:r w:rsidRPr="000A19E1">
        <w:rPr>
          <w:szCs w:val="22"/>
          <w:lang w:val="es-ES_tradnl"/>
        </w:rPr>
        <w:t>En la Sección 3 ya se había destacado el escaso número de solicitudes de modelos de utilidad.</w:t>
      </w:r>
      <w:r>
        <w:rPr>
          <w:szCs w:val="22"/>
          <w:lang w:val="es-ES_tradnl"/>
        </w:rPr>
        <w:t xml:space="preserve"> </w:t>
      </w:r>
      <w:r w:rsidR="00066FB7">
        <w:rPr>
          <w:szCs w:val="22"/>
          <w:lang w:val="es-ES_tradnl"/>
        </w:rPr>
        <w:t xml:space="preserve"> </w:t>
      </w:r>
      <w:r w:rsidRPr="000A19E1">
        <w:rPr>
          <w:szCs w:val="22"/>
          <w:lang w:val="es-ES_tradnl"/>
        </w:rPr>
        <w:t>El Gráfico 14 sugiere que los tiempos relativamente largos de otorgamiento – con frecuencia alrededor de entre 4 y 7 años – pueden ser en parte responsables por el bajo uso de los modelos de utilidad.</w:t>
      </w:r>
      <w:r>
        <w:rPr>
          <w:szCs w:val="22"/>
          <w:lang w:val="es-ES_tradnl"/>
        </w:rPr>
        <w:t xml:space="preserve"> </w:t>
      </w:r>
      <w:r w:rsidR="00066FB7">
        <w:rPr>
          <w:szCs w:val="22"/>
          <w:lang w:val="es-ES_tradnl"/>
        </w:rPr>
        <w:t xml:space="preserve"> </w:t>
      </w:r>
      <w:r w:rsidRPr="000A19E1">
        <w:rPr>
          <w:szCs w:val="22"/>
          <w:lang w:val="es-ES_tradnl"/>
        </w:rPr>
        <w:t xml:space="preserve">Por otra parte, </w:t>
      </w:r>
      <w:r>
        <w:t>el g</w:t>
      </w:r>
      <w:r w:rsidRPr="00B36550">
        <w:t xml:space="preserve">ráfico </w:t>
      </w:r>
      <w:r w:rsidRPr="000A19E1">
        <w:rPr>
          <w:szCs w:val="22"/>
          <w:lang w:val="es-ES_tradnl"/>
        </w:rPr>
        <w:t>muestra que se concede sólo una parte relativamente pequeña del total de solicitudes de modelos de utilidad.</w:t>
      </w:r>
      <w:r w:rsidR="00066FB7">
        <w:rPr>
          <w:szCs w:val="22"/>
          <w:lang w:val="es-ES_tradnl"/>
        </w:rPr>
        <w:t xml:space="preserve"> </w:t>
      </w:r>
      <w:r>
        <w:rPr>
          <w:szCs w:val="22"/>
          <w:lang w:val="es-ES_tradnl"/>
        </w:rPr>
        <w:t xml:space="preserve"> </w:t>
      </w:r>
      <w:r w:rsidRPr="000A19E1">
        <w:rPr>
          <w:szCs w:val="22"/>
          <w:lang w:val="es-ES_tradnl"/>
        </w:rPr>
        <w:t xml:space="preserve">El relativamente largo tiempo de otorgamiento y la baja tasa de otorgamiento difieren de la experiencia de otros países </w:t>
      </w:r>
      <w:r w:rsidRPr="000A19E1">
        <w:rPr>
          <w:szCs w:val="22"/>
          <w:lang w:val="es-ES_tradnl"/>
        </w:rPr>
        <w:noBreakHyphen/>
        <w:t>especialmente aquellos que usan un sistema de mero registro de modelos de utilidad</w:t>
      </w:r>
      <w:r w:rsidRPr="000A19E1">
        <w:rPr>
          <w:szCs w:val="22"/>
          <w:lang w:val="es-ES_tradnl"/>
        </w:rPr>
        <w:noBreakHyphen/>
        <w:t xml:space="preserve"> y plantea interrogantes en cuanto a su rol efectivo en el sistema de innovación chileno.</w:t>
      </w:r>
    </w:p>
    <w:p w:rsidR="001A2943" w:rsidRPr="000A19E1" w:rsidRDefault="001A2943" w:rsidP="001A2943">
      <w:pPr>
        <w:rPr>
          <w:lang w:val="es-ES_tradnl"/>
        </w:rPr>
      </w:pPr>
    </w:p>
    <w:p w:rsidR="001A2943" w:rsidRPr="000A19E1" w:rsidRDefault="001A2943" w:rsidP="001A2943">
      <w:pPr>
        <w:keepNext/>
        <w:jc w:val="center"/>
        <w:rPr>
          <w:lang w:val="es-ES_tradnl"/>
        </w:rPr>
      </w:pPr>
      <w:r w:rsidRPr="000A19E1">
        <w:rPr>
          <w:b/>
          <w:lang w:val="es-ES_tradnl"/>
        </w:rPr>
        <w:t>Gráfico 14</w:t>
      </w:r>
      <w:proofErr w:type="gramStart"/>
      <w:r w:rsidRPr="000A19E1">
        <w:rPr>
          <w:b/>
          <w:lang w:val="es-ES_tradnl"/>
        </w:rPr>
        <w:t>:</w:t>
      </w:r>
      <w:r>
        <w:rPr>
          <w:b/>
          <w:lang w:val="es-ES_tradnl"/>
        </w:rPr>
        <w:t xml:space="preserve"> </w:t>
      </w:r>
      <w:r w:rsidR="00F92AB8">
        <w:rPr>
          <w:b/>
          <w:lang w:val="es-ES_tradnl"/>
        </w:rPr>
        <w:t xml:space="preserve"> </w:t>
      </w:r>
      <w:r w:rsidRPr="000A19E1">
        <w:rPr>
          <w:b/>
          <w:lang w:val="es-ES_tradnl"/>
        </w:rPr>
        <w:t>Modelos</w:t>
      </w:r>
      <w:proofErr w:type="gramEnd"/>
      <w:r w:rsidRPr="000A19E1">
        <w:rPr>
          <w:b/>
          <w:lang w:val="es-ES_tradnl"/>
        </w:rPr>
        <w:t xml:space="preserve"> de utilidad </w:t>
      </w:r>
      <w:r w:rsidRPr="000A19E1">
        <w:rPr>
          <w:b/>
          <w:lang w:val="es-ES_tradnl"/>
        </w:rPr>
        <w:noBreakHyphen/>
        <w:t>tasa y tiempo de otorgamiento (1991-2010)</w:t>
      </w:r>
    </w:p>
    <w:p w:rsidR="001A2943" w:rsidRPr="000A19E1" w:rsidRDefault="001A2943" w:rsidP="001A2943">
      <w:pPr>
        <w:pStyle w:val="ListParagraph"/>
        <w:jc w:val="both"/>
        <w:rPr>
          <w:rFonts w:ascii="Times New Roman" w:hAnsi="Times New Roman"/>
          <w:lang w:val="es-ES_tradnl"/>
        </w:rPr>
      </w:pPr>
    </w:p>
    <w:p w:rsidR="001A2943" w:rsidRPr="000A19E1" w:rsidRDefault="001A2943" w:rsidP="001A2943">
      <w:pPr>
        <w:pStyle w:val="ListParagraph"/>
        <w:jc w:val="both"/>
        <w:rPr>
          <w:rFonts w:ascii="Times New Roman" w:hAnsi="Times New Roman"/>
          <w:lang w:val="es-ES_tradnl"/>
        </w:rPr>
      </w:pPr>
      <w:r w:rsidRPr="000A19E1">
        <w:rPr>
          <w:rFonts w:ascii="Times New Roman" w:hAnsi="Times New Roman"/>
          <w:noProof/>
        </w:rPr>
        <w:drawing>
          <wp:inline distT="0" distB="0" distL="0" distR="0" wp14:anchorId="39455968" wp14:editId="3483AB72">
            <wp:extent cx="5120640" cy="3745230"/>
            <wp:effectExtent l="0" t="0" r="0" b="762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shd w:val="clear" w:color="auto" w:fill="FFFFFF"/>
        <w:textAlignment w:val="top"/>
        <w:rPr>
          <w:szCs w:val="22"/>
          <w:lang w:val="es-ES_tradnl"/>
        </w:rPr>
      </w:pPr>
      <w:r w:rsidRPr="000A19E1">
        <w:rPr>
          <w:szCs w:val="22"/>
          <w:lang w:val="es-ES_tradnl"/>
        </w:rPr>
        <w:t xml:space="preserve">La reducida tasa de otorgamiento para los modelos de utilidad se encuentra en marcado contraste con la significativamente más alta tasa de otorgamiento </w:t>
      </w:r>
      <w:r w:rsidRPr="000A19E1">
        <w:rPr>
          <w:szCs w:val="22"/>
          <w:lang w:val="es-ES_tradnl"/>
        </w:rPr>
        <w:noBreakHyphen/>
        <w:t xml:space="preserve">también en comparación con las patentes </w:t>
      </w:r>
      <w:r w:rsidRPr="000A19E1">
        <w:rPr>
          <w:szCs w:val="22"/>
          <w:lang w:val="es-ES_tradnl"/>
        </w:rPr>
        <w:noBreakHyphen/>
        <w:t>de los diseños industriales que se observa en el Gráfico 15.</w:t>
      </w:r>
      <w:r>
        <w:rPr>
          <w:szCs w:val="22"/>
          <w:lang w:val="es-ES_tradnl"/>
        </w:rPr>
        <w:t xml:space="preserve"> </w:t>
      </w:r>
      <w:r w:rsidR="009C6953">
        <w:rPr>
          <w:szCs w:val="22"/>
          <w:lang w:val="es-ES_tradnl"/>
        </w:rPr>
        <w:t xml:space="preserve"> </w:t>
      </w:r>
      <w:r w:rsidRPr="000A19E1">
        <w:rPr>
          <w:szCs w:val="22"/>
          <w:lang w:val="es-ES_tradnl"/>
        </w:rPr>
        <w:t>El gráfico también muestra que los tiempos de otorgamiento son considerablemente más cortos que para los modelos de utilidad y las patentes;</w:t>
      </w:r>
      <w:r>
        <w:rPr>
          <w:szCs w:val="22"/>
          <w:lang w:val="es-ES_tradnl"/>
        </w:rPr>
        <w:t xml:space="preserve"> </w:t>
      </w:r>
      <w:r w:rsidRPr="000A19E1">
        <w:rPr>
          <w:szCs w:val="22"/>
          <w:lang w:val="es-ES_tradnl"/>
        </w:rPr>
        <w:t xml:space="preserve">muchos diseños industriales son registrados dentro de los </w:t>
      </w:r>
      <w:smartTag w:uri="urn:schemas-microsoft-com:office:smarttags" w:element="metricconverter">
        <w:smartTagPr>
          <w:attr w:name="ProductID" w:val="2 a"/>
        </w:smartTagPr>
        <w:r w:rsidRPr="000A19E1">
          <w:rPr>
            <w:szCs w:val="22"/>
            <w:lang w:val="es-ES_tradnl"/>
          </w:rPr>
          <w:t>2 a</w:t>
        </w:r>
      </w:smartTag>
      <w:r w:rsidRPr="000A19E1">
        <w:rPr>
          <w:szCs w:val="22"/>
          <w:lang w:val="es-ES_tradnl"/>
        </w:rPr>
        <w:t xml:space="preserve"> 3 años a partir de la fecha de presentación.</w:t>
      </w:r>
    </w:p>
    <w:p w:rsidR="001A2943" w:rsidRPr="000A19E1" w:rsidRDefault="001A2943" w:rsidP="001A2943">
      <w:pPr>
        <w:pStyle w:val="ListParagraph"/>
        <w:ind w:left="0"/>
        <w:jc w:val="both"/>
        <w:rPr>
          <w:lang w:val="es-ES_tradnl"/>
        </w:rPr>
      </w:pPr>
    </w:p>
    <w:p w:rsidR="001A2943" w:rsidRPr="000A19E1" w:rsidRDefault="001A2943" w:rsidP="001A2943">
      <w:pPr>
        <w:rPr>
          <w:b/>
          <w:lang w:val="es-ES_tradnl"/>
        </w:rPr>
      </w:pPr>
      <w:r w:rsidRPr="000A19E1">
        <w:rPr>
          <w:b/>
          <w:lang w:val="es-ES_tradnl"/>
        </w:rPr>
        <w:br w:type="page"/>
      </w:r>
    </w:p>
    <w:p w:rsidR="001A2943" w:rsidRPr="000A19E1" w:rsidRDefault="001A2943" w:rsidP="001A2943">
      <w:pPr>
        <w:pStyle w:val="ListParagraph"/>
        <w:jc w:val="center"/>
        <w:rPr>
          <w:rFonts w:ascii="Times New Roman" w:hAnsi="Times New Roman"/>
          <w:lang w:val="es-ES_tradnl"/>
        </w:rPr>
      </w:pPr>
      <w:r w:rsidRPr="000A19E1">
        <w:rPr>
          <w:b/>
          <w:lang w:val="es-ES_tradnl"/>
        </w:rPr>
        <w:lastRenderedPageBreak/>
        <w:t>Gráfico 15</w:t>
      </w:r>
      <w:proofErr w:type="gramStart"/>
      <w:r w:rsidRPr="000A19E1">
        <w:rPr>
          <w:b/>
          <w:lang w:val="es-ES_tradnl"/>
        </w:rPr>
        <w:t>:</w:t>
      </w:r>
      <w:r>
        <w:rPr>
          <w:b/>
          <w:lang w:val="es-ES_tradnl"/>
        </w:rPr>
        <w:t xml:space="preserve"> </w:t>
      </w:r>
      <w:r w:rsidR="00F92AB8">
        <w:rPr>
          <w:b/>
          <w:lang w:val="es-ES_tradnl"/>
        </w:rPr>
        <w:t xml:space="preserve"> </w:t>
      </w:r>
      <w:r w:rsidRPr="000A19E1">
        <w:rPr>
          <w:b/>
          <w:lang w:val="es-ES_tradnl"/>
        </w:rPr>
        <w:t>Diseños</w:t>
      </w:r>
      <w:proofErr w:type="gramEnd"/>
      <w:r w:rsidRPr="000A19E1">
        <w:rPr>
          <w:b/>
          <w:lang w:val="es-ES_tradnl"/>
        </w:rPr>
        <w:t xml:space="preserve"> </w:t>
      </w:r>
      <w:r w:rsidRPr="000A19E1">
        <w:rPr>
          <w:b/>
          <w:lang w:val="es-ES_tradnl"/>
        </w:rPr>
        <w:noBreakHyphen/>
        <w:t>tasa y tiempo de otorgamiento (1991-2010)</w:t>
      </w:r>
    </w:p>
    <w:p w:rsidR="001A2943" w:rsidRPr="000A19E1" w:rsidRDefault="001A2943" w:rsidP="001A2943">
      <w:pPr>
        <w:pStyle w:val="ListParagraph"/>
        <w:jc w:val="both"/>
        <w:rPr>
          <w:rFonts w:ascii="Times New Roman" w:hAnsi="Times New Roman"/>
          <w:lang w:val="es-ES_tradnl"/>
        </w:rPr>
      </w:pPr>
      <w:r w:rsidRPr="000A19E1">
        <w:rPr>
          <w:rFonts w:ascii="Times New Roman" w:hAnsi="Times New Roman"/>
          <w:noProof/>
        </w:rPr>
        <w:drawing>
          <wp:inline distT="0" distB="0" distL="0" distR="0" wp14:anchorId="2BD417BF" wp14:editId="029FD32E">
            <wp:extent cx="5120640" cy="3745230"/>
            <wp:effectExtent l="0" t="0" r="0" b="7620"/>
            <wp:docPr id="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F92AB8">
      <w:pPr>
        <w:pStyle w:val="ListParagraph"/>
        <w:ind w:left="0"/>
        <w:rPr>
          <w:rFonts w:ascii="Arial" w:hAnsi="Arial" w:cs="Arial"/>
          <w:sz w:val="22"/>
          <w:szCs w:val="22"/>
          <w:lang w:val="es-ES_tradnl"/>
        </w:rPr>
      </w:pPr>
      <w:r w:rsidRPr="000A19E1">
        <w:rPr>
          <w:rFonts w:ascii="Arial" w:hAnsi="Arial" w:cs="Arial"/>
          <w:sz w:val="22"/>
          <w:szCs w:val="22"/>
          <w:lang w:val="es-ES_tradnl"/>
        </w:rPr>
        <w:t>El Gráfico 16 muestra la tasa y los tiempos de registro para las marcas.</w:t>
      </w:r>
      <w:r>
        <w:rPr>
          <w:rFonts w:ascii="Arial" w:hAnsi="Arial" w:cs="Arial"/>
          <w:sz w:val="22"/>
          <w:szCs w:val="22"/>
          <w:lang w:val="es-ES_tradnl"/>
        </w:rPr>
        <w:t xml:space="preserve"> </w:t>
      </w:r>
      <w:r w:rsidR="009C6953">
        <w:rPr>
          <w:rFonts w:ascii="Arial" w:hAnsi="Arial" w:cs="Arial"/>
          <w:sz w:val="22"/>
          <w:szCs w:val="22"/>
          <w:lang w:val="es-ES_tradnl"/>
        </w:rPr>
        <w:t xml:space="preserve"> </w:t>
      </w:r>
      <w:r w:rsidRPr="000A19E1">
        <w:rPr>
          <w:rFonts w:ascii="Arial" w:hAnsi="Arial" w:cs="Arial"/>
          <w:sz w:val="22"/>
          <w:szCs w:val="22"/>
          <w:lang w:val="es-ES_tradnl"/>
        </w:rPr>
        <w:t>Casi todas las solicitudes de marcas terminan en un registro, reflejando la naturaleza fundamentalmente diferente del proceso de evaluación para este tipo de P.I.</w:t>
      </w:r>
      <w:r>
        <w:rPr>
          <w:rFonts w:ascii="Arial" w:hAnsi="Arial" w:cs="Arial"/>
          <w:sz w:val="22"/>
          <w:szCs w:val="22"/>
          <w:lang w:val="es-ES_tradnl"/>
        </w:rPr>
        <w:t xml:space="preserve"> </w:t>
      </w:r>
      <w:r w:rsidR="009C6953">
        <w:rPr>
          <w:rFonts w:ascii="Arial" w:hAnsi="Arial" w:cs="Arial"/>
          <w:sz w:val="22"/>
          <w:szCs w:val="22"/>
          <w:lang w:val="es-ES_tradnl"/>
        </w:rPr>
        <w:t xml:space="preserve"> </w:t>
      </w:r>
      <w:r w:rsidRPr="000A19E1">
        <w:rPr>
          <w:rFonts w:ascii="Arial" w:hAnsi="Arial" w:cs="Arial"/>
          <w:sz w:val="22"/>
          <w:szCs w:val="22"/>
          <w:lang w:val="es-ES_tradnl"/>
        </w:rPr>
        <w:t xml:space="preserve">El registro de marcas se tramitó aceleradamente durante el período 1991-2010, en gran parte dentro de 1 </w:t>
      </w:r>
      <w:proofErr w:type="spellStart"/>
      <w:r w:rsidRPr="000A19E1">
        <w:rPr>
          <w:rFonts w:ascii="Arial" w:hAnsi="Arial" w:cs="Arial"/>
          <w:sz w:val="22"/>
          <w:szCs w:val="22"/>
          <w:lang w:val="es-ES_tradnl"/>
        </w:rPr>
        <w:t>ó</w:t>
      </w:r>
      <w:proofErr w:type="spellEnd"/>
      <w:r w:rsidRPr="000A19E1">
        <w:rPr>
          <w:rFonts w:ascii="Arial" w:hAnsi="Arial" w:cs="Arial"/>
          <w:sz w:val="22"/>
          <w:szCs w:val="22"/>
          <w:lang w:val="es-ES_tradnl"/>
        </w:rPr>
        <w:t xml:space="preserve"> 2 años desde</w:t>
      </w:r>
      <w:r>
        <w:rPr>
          <w:rFonts w:ascii="Arial" w:hAnsi="Arial" w:cs="Arial"/>
          <w:sz w:val="22"/>
          <w:szCs w:val="22"/>
          <w:lang w:val="es-ES_tradnl"/>
        </w:rPr>
        <w:t xml:space="preserve"> </w:t>
      </w:r>
      <w:r w:rsidRPr="000A19E1">
        <w:rPr>
          <w:rFonts w:ascii="Arial" w:hAnsi="Arial" w:cs="Arial"/>
          <w:sz w:val="22"/>
          <w:szCs w:val="22"/>
          <w:lang w:val="es-ES_tradnl"/>
        </w:rPr>
        <w:t>la presentación.</w:t>
      </w:r>
      <w:r w:rsidR="009C6953">
        <w:rPr>
          <w:rFonts w:ascii="Arial" w:hAnsi="Arial" w:cs="Arial"/>
          <w:sz w:val="22"/>
          <w:szCs w:val="22"/>
          <w:lang w:val="es-ES_tradnl"/>
        </w:rPr>
        <w:t xml:space="preserve"> </w:t>
      </w:r>
      <w:r>
        <w:rPr>
          <w:rFonts w:ascii="Arial" w:hAnsi="Arial" w:cs="Arial"/>
          <w:sz w:val="22"/>
          <w:szCs w:val="22"/>
          <w:lang w:val="es-ES_tradnl"/>
        </w:rPr>
        <w:t xml:space="preserve"> </w:t>
      </w:r>
      <w:r w:rsidRPr="000A19E1">
        <w:rPr>
          <w:rFonts w:ascii="Arial" w:hAnsi="Arial" w:cs="Arial"/>
          <w:sz w:val="22"/>
          <w:szCs w:val="22"/>
          <w:lang w:val="es-ES_tradnl"/>
        </w:rPr>
        <w:t>El proceso de concesión comparativamente más fluido puede explicar en parte la popularidad de las marcas en Chile.</w:t>
      </w:r>
    </w:p>
    <w:p w:rsidR="001A2943" w:rsidRPr="000A19E1" w:rsidRDefault="001A2943" w:rsidP="00F92AB8">
      <w:pPr>
        <w:pStyle w:val="ListParagraph"/>
        <w:ind w:left="0"/>
        <w:rPr>
          <w:rFonts w:ascii="Arial" w:hAnsi="Arial" w:cs="Arial"/>
          <w:sz w:val="22"/>
          <w:szCs w:val="22"/>
          <w:lang w:val="es-ES_tradnl"/>
        </w:rPr>
      </w:pPr>
    </w:p>
    <w:p w:rsidR="001A2943" w:rsidRPr="000A19E1" w:rsidRDefault="001A2943" w:rsidP="001A2943">
      <w:pPr>
        <w:pStyle w:val="ListParagraph"/>
        <w:jc w:val="center"/>
        <w:rPr>
          <w:rFonts w:ascii="Times New Roman" w:hAnsi="Times New Roman"/>
          <w:lang w:val="es-ES_tradnl"/>
        </w:rPr>
      </w:pPr>
      <w:r w:rsidRPr="000A19E1">
        <w:rPr>
          <w:b/>
          <w:lang w:val="es-ES_tradnl"/>
        </w:rPr>
        <w:lastRenderedPageBreak/>
        <w:t>Gráfico 16</w:t>
      </w:r>
      <w:proofErr w:type="gramStart"/>
      <w:r w:rsidRPr="000A19E1">
        <w:rPr>
          <w:b/>
          <w:lang w:val="es-ES_tradnl"/>
        </w:rPr>
        <w:t>:</w:t>
      </w:r>
      <w:r>
        <w:rPr>
          <w:b/>
          <w:lang w:val="es-ES_tradnl"/>
        </w:rPr>
        <w:t xml:space="preserve"> </w:t>
      </w:r>
      <w:r w:rsidR="00F92AB8">
        <w:rPr>
          <w:b/>
          <w:lang w:val="es-ES_tradnl"/>
        </w:rPr>
        <w:t xml:space="preserve"> </w:t>
      </w:r>
      <w:r w:rsidRPr="000A19E1">
        <w:rPr>
          <w:b/>
          <w:lang w:val="es-ES_tradnl"/>
        </w:rPr>
        <w:t>Marcas</w:t>
      </w:r>
      <w:proofErr w:type="gramEnd"/>
      <w:r w:rsidRPr="000A19E1">
        <w:rPr>
          <w:b/>
          <w:lang w:val="es-ES_tradnl"/>
        </w:rPr>
        <w:t xml:space="preserve"> </w:t>
      </w:r>
      <w:r w:rsidRPr="000A19E1">
        <w:rPr>
          <w:b/>
          <w:lang w:val="es-ES_tradnl"/>
        </w:rPr>
        <w:noBreakHyphen/>
        <w:t xml:space="preserve">tasa y tiempo de otorgamiento (1991-2010) </w:t>
      </w:r>
      <w:r w:rsidRPr="000A19E1">
        <w:rPr>
          <w:b/>
          <w:noProof/>
        </w:rPr>
        <w:drawing>
          <wp:inline distT="0" distB="0" distL="0" distR="0" wp14:anchorId="6D735A71" wp14:editId="7D618DFE">
            <wp:extent cx="5120640" cy="3745230"/>
            <wp:effectExtent l="0" t="0" r="0" b="7620"/>
            <wp:docPr id="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270124" w:rsidRDefault="00F92AB8" w:rsidP="001A2943">
      <w:pPr>
        <w:pStyle w:val="Heading1"/>
        <w:rPr>
          <w:b w:val="0"/>
          <w:u w:val="single"/>
          <w:lang w:val="es-ES_tradnl"/>
        </w:rPr>
      </w:pPr>
      <w:bookmarkStart w:id="13" w:name="_Toc359312060"/>
      <w:r w:rsidRPr="00270124">
        <w:rPr>
          <w:b w:val="0"/>
          <w:lang w:val="es-ES_tradnl"/>
        </w:rPr>
        <w:t>9.</w:t>
      </w:r>
      <w:r w:rsidR="00725748" w:rsidRPr="00270124">
        <w:rPr>
          <w:b w:val="0"/>
          <w:lang w:val="es-ES_tradnl"/>
        </w:rPr>
        <w:tab/>
      </w:r>
      <w:r w:rsidRPr="00270124">
        <w:rPr>
          <w:b w:val="0"/>
          <w:u w:val="single"/>
          <w:lang w:val="es-ES_tradnl"/>
        </w:rPr>
        <w:t>P</w:t>
      </w:r>
      <w:r w:rsidRPr="00270124">
        <w:rPr>
          <w:b w:val="0"/>
          <w:caps w:val="0"/>
          <w:u w:val="single"/>
          <w:lang w:val="es-ES_tradnl"/>
        </w:rPr>
        <w:t xml:space="preserve">aquetes de </w:t>
      </w:r>
      <w:bookmarkEnd w:id="13"/>
      <w:r w:rsidR="001A2943" w:rsidRPr="00270124">
        <w:rPr>
          <w:b w:val="0"/>
          <w:u w:val="single"/>
          <w:lang w:val="es-ES_tradnl"/>
        </w:rPr>
        <w:t>P.I.</w:t>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Diferentes formas de P.I. protegen diferentes contenidos y sirven para diferentes objetivos de política pública.</w:t>
      </w:r>
      <w:r w:rsidR="009C6953">
        <w:rPr>
          <w:szCs w:val="22"/>
          <w:lang w:val="es-ES_tradnl"/>
        </w:rPr>
        <w:t xml:space="preserve"> </w:t>
      </w:r>
      <w:r>
        <w:rPr>
          <w:szCs w:val="22"/>
          <w:lang w:val="es-ES_tradnl"/>
        </w:rPr>
        <w:t xml:space="preserve"> </w:t>
      </w:r>
      <w:r w:rsidRPr="000A19E1">
        <w:rPr>
          <w:szCs w:val="22"/>
          <w:lang w:val="es-ES_tradnl"/>
        </w:rPr>
        <w:t>Sin embargo, la comercialización de nuevos productos y tecnologías a menudo implica la creación de activos complementarios intangibles que están protegidos por paquetes de derechos de P.I.</w:t>
      </w:r>
      <w:r w:rsidR="009C6953">
        <w:rPr>
          <w:szCs w:val="22"/>
          <w:lang w:val="es-ES_tradnl"/>
        </w:rPr>
        <w:t xml:space="preserve"> </w:t>
      </w:r>
      <w:r>
        <w:rPr>
          <w:szCs w:val="22"/>
          <w:lang w:val="es-ES_tradnl"/>
        </w:rPr>
        <w:t xml:space="preserve"> </w:t>
      </w:r>
      <w:r w:rsidRPr="000A19E1">
        <w:rPr>
          <w:szCs w:val="22"/>
          <w:lang w:val="es-ES_tradnl"/>
        </w:rPr>
        <w:t>Por lo tanto, es interesante preguntarse en qué medida las mismas entidades solicitan sólo una o bien varias formas de P.I.</w:t>
      </w:r>
    </w:p>
    <w:p w:rsidR="001A2943" w:rsidRPr="000A19E1" w:rsidRDefault="001A2943" w:rsidP="001A2943">
      <w:pPr>
        <w:rPr>
          <w:szCs w:val="22"/>
          <w:lang w:val="es-ES_tradnl"/>
        </w:rPr>
      </w:pPr>
    </w:p>
    <w:p w:rsidR="001A2943" w:rsidRPr="000A19E1" w:rsidRDefault="001A2943" w:rsidP="001A2943">
      <w:pPr>
        <w:shd w:val="clear" w:color="auto" w:fill="FFFFFF"/>
        <w:textAlignment w:val="top"/>
        <w:rPr>
          <w:rFonts w:eastAsia="Times New Roman"/>
          <w:szCs w:val="22"/>
          <w:lang w:val="es-ES_tradnl" w:eastAsia="es-AR"/>
        </w:rPr>
      </w:pPr>
      <w:r w:rsidRPr="000A19E1">
        <w:rPr>
          <w:szCs w:val="22"/>
          <w:lang w:val="es-ES_tradnl"/>
        </w:rPr>
        <w:t>El Gráfico 17 muestra la proporción de solicitantes que realiza solicitudes por los diferentes derechos de P.I. distinguiendo entre los que solicitan un único derecho de P.I. y los que solicitan paquetes de P.I.</w:t>
      </w:r>
      <w:r>
        <w:rPr>
          <w:szCs w:val="22"/>
          <w:lang w:val="es-ES_tradnl"/>
        </w:rPr>
        <w:t xml:space="preserve"> </w:t>
      </w:r>
      <w:r w:rsidR="009C6953">
        <w:rPr>
          <w:szCs w:val="22"/>
          <w:lang w:val="es-ES_tradnl"/>
        </w:rPr>
        <w:t xml:space="preserve"> </w:t>
      </w:r>
      <w:r w:rsidRPr="000A19E1">
        <w:rPr>
          <w:rFonts w:eastAsia="Times New Roman"/>
          <w:szCs w:val="22"/>
          <w:lang w:val="es-ES_tradnl" w:eastAsia="es-AR"/>
        </w:rPr>
        <w:t>El gráfico circular de la izquierda muestra que la gran mayoría de los solicitantes (92%) sólo solicita marcas, lo cual no es sorprendente dado el número significativamente mayor de solicitudes de marcas.</w:t>
      </w:r>
      <w:r>
        <w:rPr>
          <w:rFonts w:eastAsia="Times New Roman"/>
          <w:szCs w:val="22"/>
          <w:lang w:val="es-ES_tradnl" w:eastAsia="es-AR"/>
        </w:rPr>
        <w:t xml:space="preserve"> </w:t>
      </w:r>
      <w:r w:rsidR="009C6953">
        <w:rPr>
          <w:rFonts w:eastAsia="Times New Roman"/>
          <w:szCs w:val="22"/>
          <w:lang w:val="es-ES_tradnl" w:eastAsia="es-AR"/>
        </w:rPr>
        <w:t xml:space="preserve"> </w:t>
      </w:r>
      <w:r w:rsidRPr="000A19E1">
        <w:rPr>
          <w:rFonts w:eastAsia="Times New Roman"/>
          <w:szCs w:val="22"/>
          <w:lang w:val="es-ES_tradnl" w:eastAsia="es-AR"/>
        </w:rPr>
        <w:t>El segundo grupo más grande se compone de los solicitantes que sólo solicitan patentes (4%).</w:t>
      </w:r>
      <w:r>
        <w:rPr>
          <w:rFonts w:eastAsia="Times New Roman"/>
          <w:szCs w:val="22"/>
          <w:lang w:val="es-ES_tradnl" w:eastAsia="es-AR"/>
        </w:rPr>
        <w:t xml:space="preserve"> </w:t>
      </w:r>
      <w:r w:rsidR="009C6953">
        <w:rPr>
          <w:rFonts w:eastAsia="Times New Roman"/>
          <w:szCs w:val="22"/>
          <w:lang w:val="es-ES_tradnl" w:eastAsia="es-AR"/>
        </w:rPr>
        <w:t xml:space="preserve"> </w:t>
      </w:r>
      <w:r w:rsidRPr="000A19E1">
        <w:rPr>
          <w:rFonts w:eastAsia="Times New Roman"/>
          <w:szCs w:val="22"/>
          <w:lang w:val="es-ES_tradnl" w:eastAsia="es-AR"/>
        </w:rPr>
        <w:t xml:space="preserve">Los solicitantes de paquetes, en cambio, son </w:t>
      </w:r>
      <w:proofErr w:type="gramStart"/>
      <w:r w:rsidRPr="000A19E1">
        <w:rPr>
          <w:rFonts w:eastAsia="Times New Roman"/>
          <w:szCs w:val="22"/>
          <w:lang w:val="es-ES_tradnl" w:eastAsia="es-AR"/>
        </w:rPr>
        <w:t>poco frecuentes</w:t>
      </w:r>
      <w:proofErr w:type="gramEnd"/>
      <w:r w:rsidRPr="000A19E1">
        <w:rPr>
          <w:rFonts w:eastAsia="Times New Roman"/>
          <w:szCs w:val="22"/>
          <w:lang w:val="es-ES_tradnl" w:eastAsia="es-AR"/>
        </w:rPr>
        <w:t xml:space="preserve"> (2%).</w:t>
      </w:r>
      <w:r>
        <w:rPr>
          <w:rFonts w:eastAsia="Times New Roman"/>
          <w:szCs w:val="22"/>
          <w:lang w:val="es-ES_tradnl" w:eastAsia="es-AR"/>
        </w:rPr>
        <w:t xml:space="preserve"> </w:t>
      </w:r>
      <w:r w:rsidR="009C6953">
        <w:rPr>
          <w:rFonts w:eastAsia="Times New Roman"/>
          <w:szCs w:val="22"/>
          <w:lang w:val="es-ES_tradnl" w:eastAsia="es-AR"/>
        </w:rPr>
        <w:t xml:space="preserve"> </w:t>
      </w:r>
      <w:r w:rsidRPr="000A19E1">
        <w:rPr>
          <w:rFonts w:eastAsia="Times New Roman"/>
          <w:szCs w:val="22"/>
          <w:lang w:val="es-ES_tradnl" w:eastAsia="es-AR"/>
        </w:rPr>
        <w:t>Para tener una mejor idea de la utilización de paquetes de P.I., el gráfico de la derecha muestra los porcentajes de solicitantes que solicitan más de un derecho de P.I.</w:t>
      </w:r>
      <w:r w:rsidR="009C6953">
        <w:rPr>
          <w:rFonts w:eastAsia="Times New Roman"/>
          <w:szCs w:val="22"/>
          <w:lang w:val="es-ES_tradnl" w:eastAsia="es-AR"/>
        </w:rPr>
        <w:t xml:space="preserve"> </w:t>
      </w:r>
      <w:r>
        <w:rPr>
          <w:rFonts w:eastAsia="Times New Roman"/>
          <w:szCs w:val="22"/>
          <w:lang w:val="es-ES_tradnl" w:eastAsia="es-AR"/>
        </w:rPr>
        <w:t xml:space="preserve"> </w:t>
      </w:r>
      <w:r w:rsidRPr="000A19E1">
        <w:rPr>
          <w:rFonts w:eastAsia="Times New Roman"/>
          <w:szCs w:val="22"/>
          <w:lang w:val="es-ES_tradnl" w:eastAsia="es-AR"/>
        </w:rPr>
        <w:t>El paquete más común consta de patentes y marcas (1,7% de todos los solicitantes).</w:t>
      </w:r>
      <w:r w:rsidR="009C6953">
        <w:rPr>
          <w:rFonts w:eastAsia="Times New Roman"/>
          <w:szCs w:val="22"/>
          <w:lang w:val="es-ES_tradnl" w:eastAsia="es-AR"/>
        </w:rPr>
        <w:t xml:space="preserve"> </w:t>
      </w:r>
      <w:r>
        <w:rPr>
          <w:rFonts w:eastAsia="Times New Roman"/>
          <w:szCs w:val="22"/>
          <w:lang w:val="es-ES_tradnl" w:eastAsia="es-AR"/>
        </w:rPr>
        <w:t xml:space="preserve"> </w:t>
      </w:r>
      <w:r w:rsidRPr="000A19E1">
        <w:rPr>
          <w:rFonts w:eastAsia="Times New Roman"/>
          <w:szCs w:val="22"/>
          <w:lang w:val="es-ES_tradnl" w:eastAsia="es-AR"/>
        </w:rPr>
        <w:t>La segunda cuota más importante de paquetes está constituida por los que solicitan marcas y derechos de diseño (0,3% de todos los solicitantes).</w:t>
      </w:r>
      <w:r>
        <w:rPr>
          <w:rFonts w:eastAsia="Times New Roman"/>
          <w:szCs w:val="22"/>
          <w:lang w:val="es-ES_tradnl" w:eastAsia="es-AR"/>
        </w:rPr>
        <w:t xml:space="preserve"> </w:t>
      </w:r>
      <w:r w:rsidR="009C6953">
        <w:rPr>
          <w:rFonts w:eastAsia="Times New Roman"/>
          <w:szCs w:val="22"/>
          <w:lang w:val="es-ES_tradnl" w:eastAsia="es-AR"/>
        </w:rPr>
        <w:t xml:space="preserve"> </w:t>
      </w:r>
      <w:r w:rsidRPr="000A19E1">
        <w:rPr>
          <w:rFonts w:eastAsia="Times New Roman"/>
          <w:szCs w:val="22"/>
          <w:lang w:val="es-ES_tradnl" w:eastAsia="es-AR"/>
        </w:rPr>
        <w:t>Los solicitantes de marcas y modelos de utilidad representan el 0,2% de todos los solicitantes.</w:t>
      </w:r>
      <w:r>
        <w:rPr>
          <w:rFonts w:eastAsia="Times New Roman"/>
          <w:szCs w:val="22"/>
          <w:lang w:val="es-ES_tradnl" w:eastAsia="es-AR"/>
        </w:rPr>
        <w:t xml:space="preserve"> </w:t>
      </w:r>
      <w:r w:rsidR="009C6953">
        <w:rPr>
          <w:rFonts w:eastAsia="Times New Roman"/>
          <w:szCs w:val="22"/>
          <w:lang w:val="es-ES_tradnl" w:eastAsia="es-AR"/>
        </w:rPr>
        <w:t xml:space="preserve"> </w:t>
      </w:r>
      <w:r w:rsidRPr="000A19E1">
        <w:rPr>
          <w:rFonts w:eastAsia="Times New Roman"/>
          <w:szCs w:val="22"/>
          <w:lang w:val="es-ES_tradnl" w:eastAsia="es-AR"/>
        </w:rPr>
        <w:t>Los porcentajes de las demás categorías de paquetes son insignificantes.</w:t>
      </w:r>
    </w:p>
    <w:p w:rsidR="001A2943" w:rsidRPr="000A19E1" w:rsidRDefault="001A2943" w:rsidP="001A2943">
      <w:pPr>
        <w:rPr>
          <w:lang w:val="es-ES_tradnl"/>
        </w:rPr>
      </w:pPr>
    </w:p>
    <w:p w:rsidR="001A2943" w:rsidRPr="000A19E1" w:rsidRDefault="001A2943" w:rsidP="001A2943">
      <w:pPr>
        <w:jc w:val="center"/>
        <w:rPr>
          <w:b/>
          <w:lang w:val="es-ES_tradnl"/>
        </w:rPr>
      </w:pPr>
    </w:p>
    <w:p w:rsidR="001A2943" w:rsidRPr="000A19E1" w:rsidRDefault="001A2943" w:rsidP="001A2943">
      <w:pPr>
        <w:jc w:val="center"/>
        <w:rPr>
          <w:b/>
          <w:lang w:val="es-ES_tradnl"/>
        </w:rPr>
      </w:pPr>
    </w:p>
    <w:p w:rsidR="001A2943" w:rsidRPr="000A19E1" w:rsidRDefault="001A2943" w:rsidP="001A2943">
      <w:pPr>
        <w:rPr>
          <w:b/>
          <w:lang w:val="es-ES_tradnl"/>
        </w:rPr>
      </w:pPr>
      <w:r w:rsidRPr="000A19E1">
        <w:rPr>
          <w:b/>
          <w:lang w:val="es-ES_tradnl"/>
        </w:rPr>
        <w:br w:type="page"/>
      </w:r>
    </w:p>
    <w:p w:rsidR="001A2943" w:rsidRPr="000A19E1" w:rsidRDefault="001A2943" w:rsidP="001A2943">
      <w:pPr>
        <w:jc w:val="center"/>
        <w:rPr>
          <w:lang w:val="es-ES_tradnl"/>
        </w:rPr>
      </w:pPr>
      <w:r w:rsidRPr="000A19E1">
        <w:rPr>
          <w:b/>
          <w:lang w:val="es-ES_tradnl"/>
        </w:rPr>
        <w:lastRenderedPageBreak/>
        <w:t>Gráfico 17</w:t>
      </w:r>
      <w:proofErr w:type="gramStart"/>
      <w:r w:rsidRPr="000A19E1">
        <w:rPr>
          <w:b/>
          <w:lang w:val="es-ES_tradnl"/>
        </w:rPr>
        <w:t>:</w:t>
      </w:r>
      <w:r>
        <w:rPr>
          <w:b/>
          <w:lang w:val="es-ES_tradnl"/>
        </w:rPr>
        <w:t xml:space="preserve"> </w:t>
      </w:r>
      <w:r w:rsidR="00725748">
        <w:rPr>
          <w:b/>
          <w:lang w:val="es-ES_tradnl"/>
        </w:rPr>
        <w:t xml:space="preserve"> </w:t>
      </w:r>
      <w:r w:rsidRPr="000A19E1">
        <w:rPr>
          <w:b/>
          <w:lang w:val="es-ES_tradnl"/>
        </w:rPr>
        <w:t>Paquetes</w:t>
      </w:r>
      <w:proofErr w:type="gramEnd"/>
      <w:r w:rsidRPr="000A19E1">
        <w:rPr>
          <w:b/>
          <w:lang w:val="es-ES_tradnl"/>
        </w:rPr>
        <w:t xml:space="preserve"> de P.I. (1991-2010)</w:t>
      </w:r>
    </w:p>
    <w:p w:rsidR="001A2943" w:rsidRPr="000A19E1" w:rsidRDefault="001A2943" w:rsidP="001A2943">
      <w:pPr>
        <w:rPr>
          <w:lang w:val="es-ES_tradnl"/>
        </w:rPr>
      </w:pPr>
    </w:p>
    <w:p w:rsidR="001A2943" w:rsidRPr="000A19E1" w:rsidRDefault="001A2943" w:rsidP="001A2943">
      <w:pPr>
        <w:jc w:val="center"/>
        <w:rPr>
          <w:lang w:val="es-ES_tradnl"/>
        </w:rPr>
      </w:pPr>
      <w:r w:rsidRPr="000A19E1">
        <w:rPr>
          <w:noProof/>
          <w:lang w:val="en-US" w:eastAsia="en-US"/>
        </w:rPr>
        <w:drawing>
          <wp:inline distT="0" distB="0" distL="0" distR="0" wp14:anchorId="19349B01" wp14:editId="122B4218">
            <wp:extent cx="5033010" cy="3657600"/>
            <wp:effectExtent l="0" t="0" r="0" b="0"/>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inline>
        </w:drawing>
      </w:r>
    </w:p>
    <w:p w:rsidR="001A2943" w:rsidRPr="000A19E1" w:rsidRDefault="001A2943" w:rsidP="001A2943">
      <w:pPr>
        <w:jc w:val="center"/>
        <w:rPr>
          <w:lang w:val="es-ES_tradnl"/>
        </w:rPr>
      </w:pP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El Gráfico 18 indica la presencia de paquetes de P.I. por tipo de solicitante.</w:t>
      </w:r>
      <w:r>
        <w:rPr>
          <w:szCs w:val="22"/>
          <w:lang w:val="es-ES_tradnl"/>
        </w:rPr>
        <w:t xml:space="preserve"> </w:t>
      </w:r>
      <w:r w:rsidR="006E43FF">
        <w:rPr>
          <w:szCs w:val="22"/>
          <w:lang w:val="es-ES_tradnl"/>
        </w:rPr>
        <w:t xml:space="preserve"> </w:t>
      </w:r>
      <w:r w:rsidRPr="000A19E1">
        <w:rPr>
          <w:szCs w:val="22"/>
          <w:lang w:val="es-ES_tradnl"/>
        </w:rPr>
        <w:t>Dada la escasa utilización de modelos de utilidad y de derechos de diseño en Chile, el Gráfico 18 se limita a las patentes y las marcas.</w:t>
      </w:r>
      <w:r w:rsidR="006E43FF">
        <w:rPr>
          <w:szCs w:val="22"/>
          <w:lang w:val="es-ES_tradnl"/>
        </w:rPr>
        <w:t xml:space="preserve"> </w:t>
      </w:r>
      <w:r>
        <w:rPr>
          <w:szCs w:val="22"/>
          <w:lang w:val="es-ES_tradnl"/>
        </w:rPr>
        <w:t xml:space="preserve"> </w:t>
      </w:r>
      <w:r w:rsidRPr="000A19E1">
        <w:rPr>
          <w:szCs w:val="22"/>
          <w:lang w:val="es-ES_tradnl"/>
        </w:rPr>
        <w:t>Allí puede observarse que casi el 9% de todas las universidades solicitantes han solicitado al menos una marca y una patente durante el período 1991-2010.</w:t>
      </w:r>
      <w:r>
        <w:rPr>
          <w:szCs w:val="22"/>
          <w:lang w:val="es-ES_tradnl"/>
        </w:rPr>
        <w:t xml:space="preserve"> </w:t>
      </w:r>
      <w:r w:rsidRPr="000A19E1">
        <w:rPr>
          <w:szCs w:val="22"/>
          <w:lang w:val="es-ES_tradnl"/>
        </w:rPr>
        <w:t>Sorprendentemente, un 42% de las universidades solicitantes solamente solicitó patentes y otro 49% sólo marcas.</w:t>
      </w:r>
      <w:r>
        <w:rPr>
          <w:szCs w:val="22"/>
          <w:lang w:val="es-ES_tradnl"/>
        </w:rPr>
        <w:t xml:space="preserve"> </w:t>
      </w:r>
      <w:r w:rsidRPr="000A19E1">
        <w:rPr>
          <w:szCs w:val="22"/>
          <w:lang w:val="es-ES_tradnl"/>
        </w:rPr>
        <w:t>La proporción de empresas o personas que sólo solicitó patentes es mucho más pequeña (5% y 4%, respectivamente).</w:t>
      </w:r>
      <w:r w:rsidR="006E43FF">
        <w:rPr>
          <w:szCs w:val="22"/>
          <w:lang w:val="es-ES_tradnl"/>
        </w:rPr>
        <w:t xml:space="preserve"> </w:t>
      </w:r>
      <w:r>
        <w:rPr>
          <w:szCs w:val="22"/>
          <w:lang w:val="es-ES_tradnl"/>
        </w:rPr>
        <w:t xml:space="preserve"> </w:t>
      </w:r>
      <w:r w:rsidRPr="000A19E1">
        <w:rPr>
          <w:szCs w:val="22"/>
          <w:lang w:val="es-ES_tradnl"/>
        </w:rPr>
        <w:t>Suponiendo que las marcas sirven en gran medida para fines de comercialización, la elevada participación de universidades que sólo solicitan patentes refleja una vez más el rol ligado a la investigación de las universidades.</w:t>
      </w:r>
      <w:r>
        <w:rPr>
          <w:szCs w:val="22"/>
          <w:lang w:val="es-ES_tradnl"/>
        </w:rPr>
        <w:t xml:space="preserve"> </w:t>
      </w:r>
      <w:r w:rsidR="006E43FF">
        <w:rPr>
          <w:szCs w:val="22"/>
          <w:lang w:val="es-ES_tradnl"/>
        </w:rPr>
        <w:t xml:space="preserve"> </w:t>
      </w:r>
      <w:r w:rsidRPr="000A19E1">
        <w:rPr>
          <w:szCs w:val="22"/>
          <w:lang w:val="es-ES_tradnl"/>
        </w:rPr>
        <w:t>Sin embargo, la mitad de todas las universidades activas en P.I. solicita únicamente la protección de marcas.</w:t>
      </w:r>
      <w:r>
        <w:rPr>
          <w:szCs w:val="22"/>
          <w:lang w:val="es-ES_tradnl"/>
        </w:rPr>
        <w:t xml:space="preserve"> </w:t>
      </w:r>
      <w:r w:rsidR="006E43FF">
        <w:rPr>
          <w:szCs w:val="22"/>
          <w:lang w:val="es-ES_tradnl"/>
        </w:rPr>
        <w:t xml:space="preserve"> </w:t>
      </w:r>
      <w:r w:rsidRPr="000A19E1">
        <w:rPr>
          <w:szCs w:val="22"/>
          <w:lang w:val="es-ES_tradnl"/>
        </w:rPr>
        <w:t>La mayoría de estas marcas se relaciona con los programas de grado y con la marca de las universidades en general.</w:t>
      </w:r>
      <w:r>
        <w:rPr>
          <w:szCs w:val="22"/>
          <w:lang w:val="es-ES_tradnl"/>
        </w:rPr>
        <w:t xml:space="preserve"> </w:t>
      </w:r>
      <w:r w:rsidR="006E43FF">
        <w:rPr>
          <w:szCs w:val="22"/>
          <w:lang w:val="es-ES_tradnl"/>
        </w:rPr>
        <w:t xml:space="preserve"> </w:t>
      </w:r>
      <w:r w:rsidRPr="000A19E1">
        <w:rPr>
          <w:szCs w:val="22"/>
          <w:lang w:val="es-ES_tradnl"/>
        </w:rPr>
        <w:t>Esto podría indicar que algunas universidades se especializan en la enseñanza y adoptan una estrategia de marca que incorpora el uso de marcas comerciales.</w:t>
      </w:r>
      <w:r>
        <w:rPr>
          <w:szCs w:val="22"/>
          <w:lang w:val="es-ES_tradnl"/>
        </w:rPr>
        <w:t xml:space="preserve"> </w:t>
      </w:r>
      <w:r w:rsidR="006E43FF">
        <w:rPr>
          <w:szCs w:val="22"/>
          <w:lang w:val="es-ES_tradnl"/>
        </w:rPr>
        <w:t xml:space="preserve"> </w:t>
      </w:r>
      <w:r w:rsidRPr="000A19E1">
        <w:rPr>
          <w:szCs w:val="22"/>
          <w:lang w:val="es-ES_tradnl"/>
        </w:rPr>
        <w:t>La proporción de universidades con paquetes de P.I. es del 9%.</w:t>
      </w:r>
      <w:r w:rsidR="006E43FF">
        <w:rPr>
          <w:szCs w:val="22"/>
          <w:lang w:val="es-ES_tradnl"/>
        </w:rPr>
        <w:t xml:space="preserve"> </w:t>
      </w:r>
      <w:r>
        <w:rPr>
          <w:szCs w:val="22"/>
          <w:lang w:val="es-ES_tradnl"/>
        </w:rPr>
        <w:t xml:space="preserve"> </w:t>
      </w:r>
      <w:r w:rsidRPr="000A19E1">
        <w:rPr>
          <w:szCs w:val="22"/>
          <w:lang w:val="es-ES_tradnl"/>
        </w:rPr>
        <w:t>La proporción de paquetes de P.I. es considerablemente menor para las empresas, situándose en el 3% y se encuentra cerca de cero para los individuos.</w:t>
      </w:r>
    </w:p>
    <w:p w:rsidR="001A2943" w:rsidRPr="000A19E1" w:rsidRDefault="001A2943" w:rsidP="001A2943">
      <w:pPr>
        <w:rPr>
          <w:lang w:val="es-ES_tradnl"/>
        </w:rPr>
      </w:pPr>
    </w:p>
    <w:p w:rsidR="001A2943" w:rsidRPr="000A19E1" w:rsidRDefault="001A2943" w:rsidP="001A2943">
      <w:pPr>
        <w:jc w:val="center"/>
        <w:rPr>
          <w:b/>
          <w:lang w:val="es-ES_tradnl"/>
        </w:rPr>
      </w:pPr>
    </w:p>
    <w:p w:rsidR="001A2943" w:rsidRPr="000A19E1" w:rsidRDefault="001A2943" w:rsidP="001A2943">
      <w:pPr>
        <w:rPr>
          <w:b/>
          <w:lang w:val="es-ES_tradnl"/>
        </w:rPr>
      </w:pPr>
      <w:r w:rsidRPr="000A19E1">
        <w:rPr>
          <w:b/>
          <w:lang w:val="es-ES_tradnl"/>
        </w:rPr>
        <w:br w:type="page"/>
      </w:r>
    </w:p>
    <w:p w:rsidR="001A2943" w:rsidRPr="000A19E1" w:rsidRDefault="001A2943" w:rsidP="001A2943">
      <w:pPr>
        <w:jc w:val="center"/>
        <w:rPr>
          <w:lang w:val="es-ES_tradnl"/>
        </w:rPr>
      </w:pPr>
      <w:r w:rsidRPr="000A19E1">
        <w:rPr>
          <w:b/>
          <w:lang w:val="es-ES_tradnl"/>
        </w:rPr>
        <w:lastRenderedPageBreak/>
        <w:t>Gráfico 18</w:t>
      </w:r>
      <w:proofErr w:type="gramStart"/>
      <w:r w:rsidRPr="000A19E1">
        <w:rPr>
          <w:b/>
          <w:lang w:val="es-ES_tradnl"/>
        </w:rPr>
        <w:t>:</w:t>
      </w:r>
      <w:r>
        <w:rPr>
          <w:b/>
          <w:lang w:val="es-ES_tradnl"/>
        </w:rPr>
        <w:t xml:space="preserve"> </w:t>
      </w:r>
      <w:r w:rsidR="00725748">
        <w:rPr>
          <w:b/>
          <w:lang w:val="es-ES_tradnl"/>
        </w:rPr>
        <w:t xml:space="preserve"> </w:t>
      </w:r>
      <w:r w:rsidRPr="000A19E1">
        <w:rPr>
          <w:b/>
          <w:lang w:val="es-ES_tradnl"/>
        </w:rPr>
        <w:t>Paquetes</w:t>
      </w:r>
      <w:proofErr w:type="gramEnd"/>
      <w:r w:rsidRPr="000A19E1">
        <w:rPr>
          <w:b/>
          <w:lang w:val="es-ES_tradnl"/>
        </w:rPr>
        <w:t xml:space="preserve"> de P.I. (patentes y marcas) por tipo de solicitante (1991</w:t>
      </w:r>
      <w:r w:rsidRPr="000A19E1">
        <w:rPr>
          <w:b/>
          <w:lang w:val="es-ES_tradnl"/>
        </w:rPr>
        <w:noBreakHyphen/>
        <w:t>2010)</w:t>
      </w:r>
    </w:p>
    <w:p w:rsidR="001A2943" w:rsidRPr="000A19E1" w:rsidRDefault="001A2943" w:rsidP="001A2943">
      <w:pPr>
        <w:jc w:val="center"/>
        <w:rPr>
          <w:lang w:val="es-ES_tradnl"/>
        </w:rPr>
      </w:pPr>
      <w:r w:rsidRPr="000A19E1">
        <w:rPr>
          <w:noProof/>
          <w:lang w:val="en-US" w:eastAsia="en-US"/>
        </w:rPr>
        <w:drawing>
          <wp:inline distT="0" distB="0" distL="0" distR="0" wp14:anchorId="234619DF" wp14:editId="535B4B17">
            <wp:extent cx="5033010" cy="3657600"/>
            <wp:effectExtent l="0" t="0" r="0" b="0"/>
            <wp:docPr id="1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inline>
        </w:drawing>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En la interpretación de los Gráficos 17 y 18, es importante tener en cuenta que el número de solicitudes de marcas supera con creces al número de solicitudes de patentes.</w:t>
      </w:r>
      <w:r>
        <w:rPr>
          <w:szCs w:val="22"/>
          <w:lang w:val="es-ES_tradnl"/>
        </w:rPr>
        <w:t xml:space="preserve"> </w:t>
      </w:r>
      <w:r w:rsidR="006E43FF">
        <w:rPr>
          <w:szCs w:val="22"/>
          <w:lang w:val="es-ES_tradnl"/>
        </w:rPr>
        <w:t xml:space="preserve"> </w:t>
      </w:r>
      <w:r w:rsidRPr="000A19E1">
        <w:rPr>
          <w:szCs w:val="22"/>
          <w:lang w:val="es-ES_tradnl"/>
        </w:rPr>
        <w:t>El alto porcentaje de quienes solicitan "sólo marca" resulta entonces natural.</w:t>
      </w:r>
      <w:r>
        <w:rPr>
          <w:szCs w:val="22"/>
          <w:lang w:val="es-ES_tradnl"/>
        </w:rPr>
        <w:t xml:space="preserve"> </w:t>
      </w:r>
      <w:r w:rsidR="006E43FF">
        <w:rPr>
          <w:szCs w:val="22"/>
          <w:lang w:val="es-ES_tradnl"/>
        </w:rPr>
        <w:t xml:space="preserve"> </w:t>
      </w:r>
      <w:r w:rsidRPr="000A19E1">
        <w:rPr>
          <w:szCs w:val="22"/>
          <w:lang w:val="es-ES_tradnl"/>
        </w:rPr>
        <w:t>Además, los diferentes tipos de P.I. pueden no referirse a la misma actividad subyacente.</w:t>
      </w:r>
      <w:r w:rsidR="006E43FF">
        <w:rPr>
          <w:szCs w:val="22"/>
          <w:lang w:val="es-ES_tradnl"/>
        </w:rPr>
        <w:t xml:space="preserve"> </w:t>
      </w:r>
      <w:r>
        <w:rPr>
          <w:szCs w:val="22"/>
          <w:lang w:val="es-ES_tradnl"/>
        </w:rPr>
        <w:t xml:space="preserve"> </w:t>
      </w:r>
      <w:r w:rsidRPr="000A19E1">
        <w:rPr>
          <w:szCs w:val="22"/>
          <w:lang w:val="es-ES_tradnl"/>
        </w:rPr>
        <w:t>Esto parece claro para las universidades, como se mencionó antes, pero tiene un sentido más amplio y enfatiza una salvedad importante en este análisis</w:t>
      </w:r>
      <w:proofErr w:type="gramStart"/>
      <w:r w:rsidRPr="000A19E1">
        <w:rPr>
          <w:szCs w:val="22"/>
          <w:lang w:val="es-ES_tradnl"/>
        </w:rPr>
        <w:t>:</w:t>
      </w:r>
      <w:r>
        <w:rPr>
          <w:szCs w:val="22"/>
          <w:lang w:val="es-ES_tradnl"/>
        </w:rPr>
        <w:t xml:space="preserve"> </w:t>
      </w:r>
      <w:r w:rsidR="006E43FF">
        <w:rPr>
          <w:szCs w:val="22"/>
          <w:lang w:val="es-ES_tradnl"/>
        </w:rPr>
        <w:t xml:space="preserve"> </w:t>
      </w:r>
      <w:r w:rsidRPr="000A19E1">
        <w:rPr>
          <w:szCs w:val="22"/>
          <w:lang w:val="es-ES_tradnl"/>
        </w:rPr>
        <w:t>nuestros</w:t>
      </w:r>
      <w:proofErr w:type="gramEnd"/>
      <w:r w:rsidRPr="000A19E1">
        <w:rPr>
          <w:szCs w:val="22"/>
          <w:lang w:val="es-ES_tradnl"/>
        </w:rPr>
        <w:t xml:space="preserve"> datos sólo muestran qué porcentaje de solicitantes ha solicitado conjuntamente patentes y marcas.</w:t>
      </w:r>
      <w:r w:rsidR="006E43FF">
        <w:rPr>
          <w:szCs w:val="22"/>
          <w:lang w:val="es-ES_tradnl"/>
        </w:rPr>
        <w:t xml:space="preserve"> </w:t>
      </w:r>
      <w:r>
        <w:rPr>
          <w:szCs w:val="22"/>
          <w:lang w:val="es-ES_tradnl"/>
        </w:rPr>
        <w:t xml:space="preserve"> </w:t>
      </w:r>
      <w:r w:rsidRPr="000A19E1">
        <w:rPr>
          <w:szCs w:val="22"/>
          <w:lang w:val="es-ES_tradnl"/>
        </w:rPr>
        <w:t>Esto no significa que los dos derechos de P.I. protegen efectivamente la misma invención o producto – que es lo que el concepto de paquete de P.I. trata de captar.</w:t>
      </w:r>
      <w:r>
        <w:rPr>
          <w:szCs w:val="22"/>
          <w:lang w:val="es-ES_tradnl"/>
        </w:rPr>
        <w:t xml:space="preserve"> </w:t>
      </w:r>
      <w:r w:rsidR="006E43FF">
        <w:rPr>
          <w:szCs w:val="22"/>
          <w:lang w:val="es-ES_tradnl"/>
        </w:rPr>
        <w:t xml:space="preserve"> </w:t>
      </w:r>
      <w:r w:rsidRPr="000A19E1">
        <w:rPr>
          <w:szCs w:val="22"/>
          <w:lang w:val="es-ES_tradnl"/>
        </w:rPr>
        <w:t>Una mejor comprensión de cómo las diferentes formas de P.I. se complementan entre sí, requeriría inevitablemente analizar la presencia de paquetes de P.I. a nivel de invención, producto o tecnología.</w:t>
      </w:r>
      <w:r w:rsidR="006E43FF">
        <w:rPr>
          <w:szCs w:val="22"/>
          <w:lang w:val="es-ES_tradnl"/>
        </w:rPr>
        <w:t xml:space="preserve"> </w:t>
      </w:r>
      <w:r>
        <w:rPr>
          <w:szCs w:val="22"/>
          <w:lang w:val="es-ES_tradnl"/>
        </w:rPr>
        <w:t xml:space="preserve"> </w:t>
      </w:r>
      <w:r w:rsidRPr="000A19E1">
        <w:rPr>
          <w:szCs w:val="22"/>
          <w:lang w:val="es-ES_tradnl"/>
        </w:rPr>
        <w:t>Pero relacionar específicamente las patentes con los productos es una tarea compleja.</w:t>
      </w:r>
      <w:r w:rsidRPr="000A19E1">
        <w:rPr>
          <w:rStyle w:val="FootnoteReference"/>
          <w:szCs w:val="22"/>
          <w:lang w:val="es-ES_tradnl"/>
        </w:rPr>
        <w:footnoteReference w:id="30"/>
      </w:r>
    </w:p>
    <w:p w:rsidR="00270124" w:rsidRDefault="00270124" w:rsidP="00270124">
      <w:pPr>
        <w:pStyle w:val="Heading1"/>
        <w:spacing w:before="0" w:after="0"/>
        <w:rPr>
          <w:b w:val="0"/>
          <w:lang w:val="es-ES_tradnl"/>
        </w:rPr>
      </w:pPr>
      <w:bookmarkStart w:id="14" w:name="_Toc359312061"/>
    </w:p>
    <w:p w:rsidR="001A2943" w:rsidRPr="00270124" w:rsidRDefault="001A2943" w:rsidP="001A2943">
      <w:pPr>
        <w:pStyle w:val="Heading1"/>
        <w:rPr>
          <w:b w:val="0"/>
          <w:u w:val="single"/>
          <w:lang w:val="es-ES_tradnl"/>
        </w:rPr>
      </w:pPr>
      <w:r w:rsidRPr="00270124">
        <w:rPr>
          <w:b w:val="0"/>
          <w:lang w:val="es-ES_tradnl"/>
        </w:rPr>
        <w:t>10.</w:t>
      </w:r>
      <w:r w:rsidRPr="00270124">
        <w:rPr>
          <w:b w:val="0"/>
          <w:lang w:val="es-ES_tradnl"/>
        </w:rPr>
        <w:tab/>
      </w:r>
      <w:proofErr w:type="spellStart"/>
      <w:r w:rsidR="00725748" w:rsidRPr="00270124">
        <w:rPr>
          <w:b w:val="0"/>
          <w:u w:val="single"/>
          <w:lang w:val="es-ES_tradnl"/>
        </w:rPr>
        <w:t>C</w:t>
      </w:r>
      <w:r w:rsidR="00725748" w:rsidRPr="00270124">
        <w:rPr>
          <w:b w:val="0"/>
          <w:caps w:val="0"/>
          <w:u w:val="single"/>
          <w:lang w:val="es-ES_tradnl"/>
        </w:rPr>
        <w:t>oasignación</w:t>
      </w:r>
      <w:proofErr w:type="spellEnd"/>
      <w:r w:rsidR="00725748" w:rsidRPr="00270124">
        <w:rPr>
          <w:b w:val="0"/>
          <w:caps w:val="0"/>
          <w:u w:val="single"/>
          <w:lang w:val="es-ES_tradnl"/>
        </w:rPr>
        <w:t xml:space="preserve"> de patentes </w:t>
      </w:r>
      <w:bookmarkEnd w:id="14"/>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 xml:space="preserve">El Gráfico 19 da una mirada a las patentes </w:t>
      </w:r>
      <w:proofErr w:type="spellStart"/>
      <w:r w:rsidRPr="000A19E1">
        <w:rPr>
          <w:szCs w:val="22"/>
          <w:lang w:val="es-ES_tradnl"/>
        </w:rPr>
        <w:t>coasignadas</w:t>
      </w:r>
      <w:proofErr w:type="spellEnd"/>
      <w:r w:rsidRPr="000A19E1">
        <w:rPr>
          <w:szCs w:val="22"/>
          <w:lang w:val="es-ES_tradnl"/>
        </w:rPr>
        <w:t>.</w:t>
      </w:r>
      <w:r w:rsidR="006E43FF">
        <w:rPr>
          <w:szCs w:val="22"/>
          <w:lang w:val="es-ES_tradnl"/>
        </w:rPr>
        <w:t xml:space="preserve"> </w:t>
      </w:r>
      <w:r>
        <w:rPr>
          <w:szCs w:val="22"/>
          <w:lang w:val="es-ES_tradnl"/>
        </w:rPr>
        <w:t xml:space="preserve"> </w:t>
      </w:r>
      <w:r w:rsidRPr="000A19E1">
        <w:rPr>
          <w:szCs w:val="22"/>
          <w:lang w:val="es-ES_tradnl"/>
        </w:rPr>
        <w:t xml:space="preserve">Las patentes </w:t>
      </w:r>
      <w:proofErr w:type="spellStart"/>
      <w:r w:rsidRPr="000A19E1">
        <w:rPr>
          <w:szCs w:val="22"/>
          <w:lang w:val="es-ES_tradnl"/>
        </w:rPr>
        <w:t>coasignadas</w:t>
      </w:r>
      <w:proofErr w:type="spellEnd"/>
      <w:r w:rsidRPr="000A19E1">
        <w:rPr>
          <w:szCs w:val="22"/>
          <w:lang w:val="es-ES_tradnl"/>
        </w:rPr>
        <w:t xml:space="preserve"> son patentes que tienen varios </w:t>
      </w:r>
      <w:r>
        <w:rPr>
          <w:szCs w:val="22"/>
          <w:lang w:val="es-ES_tradnl"/>
        </w:rPr>
        <w:t>titulares</w:t>
      </w:r>
      <w:r w:rsidRPr="000A19E1">
        <w:rPr>
          <w:szCs w:val="22"/>
          <w:lang w:val="es-ES_tradnl"/>
        </w:rPr>
        <w:t>, por ejemplo, una universidad que comparte una patente con una empresa privada</w:t>
      </w:r>
      <w:r w:rsidRPr="000A19E1">
        <w:rPr>
          <w:rStyle w:val="FootnoteReference"/>
          <w:szCs w:val="22"/>
          <w:lang w:val="es-ES_tradnl"/>
        </w:rPr>
        <w:footnoteReference w:id="31"/>
      </w:r>
      <w:r w:rsidRPr="000A19E1">
        <w:rPr>
          <w:szCs w:val="22"/>
          <w:lang w:val="es-ES_tradnl"/>
        </w:rPr>
        <w:t>.</w:t>
      </w:r>
      <w:r>
        <w:rPr>
          <w:szCs w:val="22"/>
          <w:lang w:val="es-ES_tradnl"/>
        </w:rPr>
        <w:t xml:space="preserve"> </w:t>
      </w:r>
      <w:r w:rsidR="006E43FF">
        <w:rPr>
          <w:szCs w:val="22"/>
          <w:lang w:val="es-ES_tradnl"/>
        </w:rPr>
        <w:t xml:space="preserve"> </w:t>
      </w:r>
      <w:r w:rsidRPr="000A19E1">
        <w:rPr>
          <w:szCs w:val="22"/>
          <w:lang w:val="es-ES_tradnl"/>
        </w:rPr>
        <w:t xml:space="preserve">Las patentes </w:t>
      </w:r>
      <w:proofErr w:type="spellStart"/>
      <w:r w:rsidRPr="000A19E1">
        <w:rPr>
          <w:szCs w:val="22"/>
          <w:lang w:val="es-ES_tradnl"/>
        </w:rPr>
        <w:t>coasignadas</w:t>
      </w:r>
      <w:proofErr w:type="spellEnd"/>
      <w:r w:rsidRPr="000A19E1">
        <w:rPr>
          <w:szCs w:val="22"/>
          <w:lang w:val="es-ES_tradnl"/>
        </w:rPr>
        <w:t xml:space="preserve"> son con frecuencia el resultado de la investigación conjunta (</w:t>
      </w:r>
      <w:proofErr w:type="spellStart"/>
      <w:r w:rsidRPr="000A19E1">
        <w:rPr>
          <w:szCs w:val="22"/>
          <w:lang w:val="es-ES_tradnl"/>
        </w:rPr>
        <w:t>Belderbos</w:t>
      </w:r>
      <w:proofErr w:type="spellEnd"/>
      <w:r w:rsidRPr="000A19E1">
        <w:rPr>
          <w:szCs w:val="22"/>
          <w:lang w:val="es-ES_tradnl"/>
        </w:rPr>
        <w:t xml:space="preserve"> et al., 2012).</w:t>
      </w:r>
      <w:r>
        <w:rPr>
          <w:szCs w:val="22"/>
          <w:lang w:val="es-ES_tradnl"/>
        </w:rPr>
        <w:t xml:space="preserve"> </w:t>
      </w:r>
      <w:r w:rsidR="006E43FF">
        <w:rPr>
          <w:szCs w:val="22"/>
          <w:lang w:val="es-ES_tradnl"/>
        </w:rPr>
        <w:t xml:space="preserve"> </w:t>
      </w:r>
      <w:r w:rsidRPr="000A19E1">
        <w:rPr>
          <w:szCs w:val="22"/>
          <w:lang w:val="es-ES_tradnl"/>
        </w:rPr>
        <w:t>Éstas suelen ser relativamente raras en las economías de la OCDE (</w:t>
      </w:r>
      <w:proofErr w:type="spellStart"/>
      <w:r w:rsidRPr="000A19E1">
        <w:rPr>
          <w:szCs w:val="22"/>
          <w:lang w:val="es-ES_tradnl"/>
        </w:rPr>
        <w:t>Hagedoorn</w:t>
      </w:r>
      <w:proofErr w:type="spellEnd"/>
      <w:r w:rsidRPr="000A19E1">
        <w:rPr>
          <w:szCs w:val="22"/>
          <w:lang w:val="es-ES_tradnl"/>
        </w:rPr>
        <w:t>, 2003).</w:t>
      </w:r>
      <w:r w:rsidR="006E43FF">
        <w:rPr>
          <w:szCs w:val="22"/>
          <w:lang w:val="es-ES_tradnl"/>
        </w:rPr>
        <w:t xml:space="preserve"> </w:t>
      </w:r>
      <w:r>
        <w:rPr>
          <w:szCs w:val="22"/>
          <w:lang w:val="es-ES_tradnl"/>
        </w:rPr>
        <w:t xml:space="preserve"> </w:t>
      </w:r>
      <w:r w:rsidRPr="000A19E1">
        <w:rPr>
          <w:szCs w:val="22"/>
          <w:lang w:val="es-ES_tradnl"/>
        </w:rPr>
        <w:t xml:space="preserve">El Gráfico 19 muestra que las patentes </w:t>
      </w:r>
      <w:proofErr w:type="spellStart"/>
      <w:r w:rsidRPr="000A19E1">
        <w:rPr>
          <w:szCs w:val="22"/>
          <w:lang w:val="es-ES_tradnl"/>
        </w:rPr>
        <w:t>coasignadas</w:t>
      </w:r>
      <w:proofErr w:type="spellEnd"/>
      <w:r w:rsidRPr="000A19E1">
        <w:rPr>
          <w:szCs w:val="22"/>
          <w:lang w:val="es-ES_tradnl"/>
        </w:rPr>
        <w:t xml:space="preserve"> también representan un pequeño porcentaje de las solicitudes de patentes en </w:t>
      </w:r>
      <w:r w:rsidRPr="000A19E1">
        <w:rPr>
          <w:szCs w:val="22"/>
          <w:lang w:val="es-ES_tradnl"/>
        </w:rPr>
        <w:lastRenderedPageBreak/>
        <w:t xml:space="preserve">Chile </w:t>
      </w:r>
      <w:r w:rsidRPr="000A19E1">
        <w:rPr>
          <w:szCs w:val="22"/>
          <w:lang w:val="es-ES_tradnl"/>
        </w:rPr>
        <w:noBreakHyphen/>
        <w:t>en promedio menos de 3% entre 1991 y 2010.</w:t>
      </w:r>
      <w:r>
        <w:rPr>
          <w:szCs w:val="22"/>
          <w:lang w:val="es-ES_tradnl"/>
        </w:rPr>
        <w:t xml:space="preserve"> </w:t>
      </w:r>
      <w:r w:rsidR="006E43FF">
        <w:rPr>
          <w:szCs w:val="22"/>
          <w:lang w:val="es-ES_tradnl"/>
        </w:rPr>
        <w:t xml:space="preserve"> </w:t>
      </w:r>
      <w:r w:rsidRPr="000A19E1">
        <w:rPr>
          <w:szCs w:val="22"/>
          <w:lang w:val="es-ES_tradnl"/>
        </w:rPr>
        <w:t>La proporción es relativamente estable en el tiempo, aunque se aprecia un pequeño aumento a partir de 2008.</w:t>
      </w:r>
      <w:r>
        <w:rPr>
          <w:szCs w:val="22"/>
          <w:lang w:val="es-ES_tradnl"/>
        </w:rPr>
        <w:t xml:space="preserve"> </w:t>
      </w:r>
      <w:r w:rsidR="006E43FF">
        <w:rPr>
          <w:szCs w:val="22"/>
          <w:lang w:val="es-ES_tradnl"/>
        </w:rPr>
        <w:t xml:space="preserve"> </w:t>
      </w:r>
      <w:r w:rsidRPr="000A19E1">
        <w:rPr>
          <w:szCs w:val="22"/>
          <w:lang w:val="es-ES_tradnl"/>
        </w:rPr>
        <w:t xml:space="preserve">A pesar de su pequeña participación en el total de solicitudes presentadas, las patentes </w:t>
      </w:r>
      <w:proofErr w:type="spellStart"/>
      <w:r w:rsidRPr="000A19E1">
        <w:rPr>
          <w:szCs w:val="22"/>
          <w:lang w:val="es-ES_tradnl"/>
        </w:rPr>
        <w:t>coasignadas</w:t>
      </w:r>
      <w:proofErr w:type="spellEnd"/>
      <w:r w:rsidRPr="000A19E1">
        <w:rPr>
          <w:szCs w:val="22"/>
          <w:lang w:val="es-ES_tradnl"/>
        </w:rPr>
        <w:t xml:space="preserve"> pueden ser un muy interesante objeto de estudio, ya que pueden revelar patrones subyacentes de cooperación en investigación que de otra manera podrían ser difíciles de observar.</w:t>
      </w:r>
    </w:p>
    <w:p w:rsidR="001A2943" w:rsidRPr="000A19E1" w:rsidRDefault="001A2943" w:rsidP="001A2943">
      <w:pPr>
        <w:rPr>
          <w:lang w:val="es-ES_tradnl"/>
        </w:rPr>
      </w:pPr>
    </w:p>
    <w:p w:rsidR="001A2943" w:rsidRPr="000A19E1" w:rsidRDefault="001A2943" w:rsidP="001A2943">
      <w:pPr>
        <w:rPr>
          <w:lang w:val="es-ES_tradnl"/>
        </w:rPr>
      </w:pPr>
    </w:p>
    <w:p w:rsidR="001A2943" w:rsidRPr="000A19E1" w:rsidRDefault="001A2943" w:rsidP="001A2943">
      <w:pPr>
        <w:jc w:val="center"/>
        <w:rPr>
          <w:b/>
          <w:lang w:val="es-ES_tradnl"/>
        </w:rPr>
      </w:pPr>
      <w:r w:rsidRPr="000A19E1">
        <w:rPr>
          <w:b/>
          <w:lang w:val="es-ES_tradnl"/>
        </w:rPr>
        <w:t>Gráfico 19</w:t>
      </w:r>
      <w:proofErr w:type="gramStart"/>
      <w:r w:rsidRPr="000A19E1">
        <w:rPr>
          <w:b/>
          <w:lang w:val="es-ES_tradnl"/>
        </w:rPr>
        <w:t>:</w:t>
      </w:r>
      <w:r>
        <w:rPr>
          <w:b/>
          <w:lang w:val="es-ES_tradnl"/>
        </w:rPr>
        <w:t xml:space="preserve"> </w:t>
      </w:r>
      <w:r w:rsidR="00725748">
        <w:rPr>
          <w:b/>
          <w:lang w:val="es-ES_tradnl"/>
        </w:rPr>
        <w:t xml:space="preserve"> </w:t>
      </w:r>
      <w:r w:rsidRPr="000A19E1">
        <w:rPr>
          <w:b/>
          <w:lang w:val="es-ES_tradnl"/>
        </w:rPr>
        <w:t>Proporción</w:t>
      </w:r>
      <w:proofErr w:type="gramEnd"/>
      <w:r w:rsidRPr="000A19E1">
        <w:rPr>
          <w:b/>
          <w:lang w:val="es-ES_tradnl"/>
        </w:rPr>
        <w:t xml:space="preserve"> de patentes </w:t>
      </w:r>
      <w:proofErr w:type="spellStart"/>
      <w:r w:rsidRPr="000A19E1">
        <w:rPr>
          <w:b/>
          <w:lang w:val="es-ES_tradnl"/>
        </w:rPr>
        <w:t>coasignadas</w:t>
      </w:r>
      <w:proofErr w:type="spellEnd"/>
      <w:r w:rsidRPr="000A19E1">
        <w:rPr>
          <w:b/>
          <w:lang w:val="es-ES_tradnl"/>
        </w:rPr>
        <w:t xml:space="preserve"> (1991-2010)</w:t>
      </w:r>
    </w:p>
    <w:p w:rsidR="001A2943" w:rsidRPr="000A19E1" w:rsidRDefault="001A2943" w:rsidP="001A2943">
      <w:pPr>
        <w:rPr>
          <w:b/>
          <w:lang w:val="es-ES_tradnl"/>
        </w:rPr>
      </w:pPr>
    </w:p>
    <w:p w:rsidR="001A2943" w:rsidRPr="000A19E1" w:rsidRDefault="001A2943" w:rsidP="001A2943">
      <w:pPr>
        <w:jc w:val="center"/>
        <w:rPr>
          <w:lang w:val="es-ES_tradnl"/>
        </w:rPr>
      </w:pPr>
      <w:r w:rsidRPr="000A19E1">
        <w:rPr>
          <w:noProof/>
          <w:lang w:val="en-US" w:eastAsia="en-US"/>
        </w:rPr>
        <w:drawing>
          <wp:inline distT="0" distB="0" distL="0" distR="0" wp14:anchorId="1799BBA8" wp14:editId="7FC0E156">
            <wp:extent cx="5120640" cy="3745230"/>
            <wp:effectExtent l="0" t="0" r="0" b="762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lang w:val="es-ES_tradnl"/>
        </w:rPr>
      </w:pPr>
    </w:p>
    <w:p w:rsidR="001A2943" w:rsidRPr="000A19E1" w:rsidRDefault="001A2943" w:rsidP="001A2943">
      <w:pPr>
        <w:rPr>
          <w:szCs w:val="22"/>
          <w:lang w:val="es-ES_tradnl"/>
        </w:rPr>
      </w:pPr>
      <w:r w:rsidRPr="000A19E1">
        <w:rPr>
          <w:rStyle w:val="hps"/>
          <w:szCs w:val="22"/>
          <w:lang w:val="es-ES_tradnl"/>
        </w:rPr>
        <w:t>El Gráfico</w:t>
      </w:r>
      <w:r w:rsidRPr="000A19E1">
        <w:rPr>
          <w:szCs w:val="22"/>
          <w:lang w:val="es-ES_tradnl"/>
        </w:rPr>
        <w:t xml:space="preserve"> </w:t>
      </w:r>
      <w:r w:rsidRPr="000A19E1">
        <w:rPr>
          <w:rStyle w:val="hps"/>
          <w:szCs w:val="22"/>
          <w:lang w:val="es-ES_tradnl"/>
        </w:rPr>
        <w:t>20</w:t>
      </w:r>
      <w:r w:rsidRPr="000A19E1">
        <w:rPr>
          <w:szCs w:val="22"/>
          <w:lang w:val="es-ES_tradnl"/>
        </w:rPr>
        <w:t xml:space="preserve"> </w:t>
      </w:r>
      <w:r w:rsidRPr="000A19E1">
        <w:rPr>
          <w:rStyle w:val="hps"/>
          <w:szCs w:val="22"/>
          <w:lang w:val="es-ES_tradnl"/>
        </w:rPr>
        <w:t>presenta la apertura del</w:t>
      </w:r>
      <w:r w:rsidRPr="000A19E1">
        <w:rPr>
          <w:szCs w:val="22"/>
          <w:lang w:val="es-ES_tradnl"/>
        </w:rPr>
        <w:t xml:space="preserve"> </w:t>
      </w:r>
      <w:r w:rsidRPr="000A19E1">
        <w:rPr>
          <w:rStyle w:val="hps"/>
          <w:szCs w:val="22"/>
          <w:lang w:val="es-ES_tradnl"/>
        </w:rPr>
        <w:t>conjunto de</w:t>
      </w:r>
      <w:r w:rsidRPr="000A19E1">
        <w:rPr>
          <w:szCs w:val="22"/>
          <w:lang w:val="es-ES_tradnl"/>
        </w:rPr>
        <w:t xml:space="preserve"> </w:t>
      </w:r>
      <w:r w:rsidRPr="000A19E1">
        <w:rPr>
          <w:rStyle w:val="hps"/>
          <w:szCs w:val="22"/>
          <w:lang w:val="es-ES_tradnl"/>
        </w:rPr>
        <w:t>patentes</w:t>
      </w:r>
      <w:r w:rsidRPr="000A19E1">
        <w:rPr>
          <w:szCs w:val="22"/>
          <w:lang w:val="es-ES_tradnl"/>
        </w:rPr>
        <w:t xml:space="preserve"> </w:t>
      </w:r>
      <w:proofErr w:type="spellStart"/>
      <w:r w:rsidRPr="000A19E1">
        <w:rPr>
          <w:rStyle w:val="hps"/>
          <w:szCs w:val="22"/>
          <w:lang w:val="es-ES_tradnl"/>
        </w:rPr>
        <w:t>co</w:t>
      </w:r>
      <w:r w:rsidRPr="000A19E1">
        <w:rPr>
          <w:szCs w:val="22"/>
          <w:lang w:val="es-ES_tradnl"/>
        </w:rPr>
        <w:t>asignadas</w:t>
      </w:r>
      <w:proofErr w:type="spellEnd"/>
      <w:r w:rsidRPr="000A19E1">
        <w:rPr>
          <w:szCs w:val="22"/>
          <w:lang w:val="es-ES_tradnl"/>
        </w:rPr>
        <w:t xml:space="preserve"> según el origen del solicitante</w:t>
      </w:r>
      <w:r w:rsidRPr="000A19E1">
        <w:rPr>
          <w:rStyle w:val="hps"/>
          <w:szCs w:val="22"/>
          <w:lang w:val="es-ES_tradnl"/>
        </w:rPr>
        <w:t>.</w:t>
      </w:r>
      <w:r>
        <w:rPr>
          <w:rStyle w:val="hps"/>
          <w:szCs w:val="22"/>
          <w:lang w:val="es-ES_tradnl"/>
        </w:rPr>
        <w:t xml:space="preserve"> </w:t>
      </w:r>
      <w:r w:rsidR="006E43FF">
        <w:rPr>
          <w:rStyle w:val="hps"/>
          <w:szCs w:val="22"/>
          <w:lang w:val="es-ES_tradnl"/>
        </w:rPr>
        <w:t xml:space="preserve"> </w:t>
      </w:r>
      <w:r w:rsidRPr="000A19E1">
        <w:rPr>
          <w:rStyle w:val="hps"/>
          <w:szCs w:val="22"/>
          <w:lang w:val="es-ES_tradnl"/>
        </w:rPr>
        <w:t>El gráfico muestra que</w:t>
      </w:r>
      <w:r w:rsidRPr="000A19E1">
        <w:rPr>
          <w:szCs w:val="22"/>
          <w:lang w:val="es-ES_tradnl"/>
        </w:rPr>
        <w:t xml:space="preserve"> </w:t>
      </w:r>
      <w:r w:rsidRPr="000A19E1">
        <w:rPr>
          <w:rStyle w:val="hps"/>
          <w:szCs w:val="22"/>
          <w:lang w:val="es-ES_tradnl"/>
        </w:rPr>
        <w:t>la mayoría de</w:t>
      </w:r>
      <w:r w:rsidRPr="000A19E1">
        <w:rPr>
          <w:szCs w:val="22"/>
          <w:lang w:val="es-ES_tradnl"/>
        </w:rPr>
        <w:t xml:space="preserve"> </w:t>
      </w:r>
      <w:r w:rsidRPr="000A19E1">
        <w:rPr>
          <w:rStyle w:val="hps"/>
          <w:szCs w:val="22"/>
          <w:lang w:val="es-ES_tradnl"/>
        </w:rPr>
        <w:t>las patentes</w:t>
      </w:r>
      <w:r w:rsidRPr="000A19E1">
        <w:rPr>
          <w:szCs w:val="22"/>
          <w:lang w:val="es-ES_tradnl"/>
        </w:rPr>
        <w:t xml:space="preserve"> </w:t>
      </w:r>
      <w:r w:rsidRPr="000A19E1">
        <w:rPr>
          <w:rStyle w:val="hps"/>
          <w:szCs w:val="22"/>
          <w:lang w:val="es-ES_tradnl"/>
        </w:rPr>
        <w:t xml:space="preserve">son </w:t>
      </w:r>
      <w:proofErr w:type="spellStart"/>
      <w:r w:rsidRPr="000A19E1">
        <w:rPr>
          <w:rStyle w:val="hps"/>
          <w:szCs w:val="22"/>
          <w:lang w:val="es-ES_tradnl"/>
        </w:rPr>
        <w:t>co</w:t>
      </w:r>
      <w:r w:rsidRPr="000A19E1">
        <w:rPr>
          <w:szCs w:val="22"/>
          <w:lang w:val="es-ES_tradnl"/>
        </w:rPr>
        <w:t>asignadas</w:t>
      </w:r>
      <w:proofErr w:type="spellEnd"/>
      <w:r w:rsidRPr="000A19E1">
        <w:rPr>
          <w:rStyle w:val="hps"/>
          <w:szCs w:val="22"/>
          <w:lang w:val="es-ES_tradnl"/>
        </w:rPr>
        <w:t xml:space="preserve"> a </w:t>
      </w:r>
      <w:r>
        <w:rPr>
          <w:rStyle w:val="hps"/>
          <w:szCs w:val="22"/>
          <w:lang w:val="es-ES_tradnl"/>
        </w:rPr>
        <w:t xml:space="preserve">empresas </w:t>
      </w:r>
      <w:r w:rsidRPr="000A19E1">
        <w:rPr>
          <w:rStyle w:val="hps"/>
          <w:szCs w:val="22"/>
          <w:lang w:val="es-ES_tradnl"/>
        </w:rPr>
        <w:t>no residentes, que</w:t>
      </w:r>
      <w:r w:rsidRPr="000A19E1">
        <w:rPr>
          <w:szCs w:val="22"/>
          <w:lang w:val="es-ES_tradnl"/>
        </w:rPr>
        <w:t xml:space="preserve"> </w:t>
      </w:r>
      <w:r w:rsidRPr="000A19E1">
        <w:rPr>
          <w:rStyle w:val="hps"/>
          <w:szCs w:val="22"/>
          <w:lang w:val="es-ES_tradnl"/>
        </w:rPr>
        <w:t>alcanzan una participación media</w:t>
      </w:r>
      <w:r w:rsidRPr="000A19E1">
        <w:rPr>
          <w:szCs w:val="22"/>
          <w:lang w:val="es-ES_tradnl"/>
        </w:rPr>
        <w:t xml:space="preserve"> </w:t>
      </w:r>
      <w:r w:rsidRPr="000A19E1">
        <w:rPr>
          <w:rStyle w:val="hps"/>
          <w:szCs w:val="22"/>
          <w:lang w:val="es-ES_tradnl"/>
        </w:rPr>
        <w:t>del 60</w:t>
      </w:r>
      <w:r w:rsidRPr="000A19E1">
        <w:rPr>
          <w:szCs w:val="22"/>
          <w:lang w:val="es-ES_tradnl"/>
        </w:rPr>
        <w:t>% en este tipo de patentes.</w:t>
      </w:r>
      <w:r>
        <w:rPr>
          <w:szCs w:val="22"/>
          <w:lang w:val="es-ES_tradnl"/>
        </w:rPr>
        <w:t xml:space="preserve"> </w:t>
      </w:r>
      <w:r w:rsidR="006E43FF">
        <w:rPr>
          <w:szCs w:val="22"/>
          <w:lang w:val="es-ES_tradnl"/>
        </w:rPr>
        <w:t xml:space="preserve"> </w:t>
      </w:r>
      <w:r w:rsidRPr="000A19E1">
        <w:rPr>
          <w:rStyle w:val="hps"/>
          <w:szCs w:val="22"/>
          <w:lang w:val="es-ES_tradnl"/>
        </w:rPr>
        <w:t>La</w:t>
      </w:r>
      <w:r w:rsidRPr="000A19E1">
        <w:rPr>
          <w:szCs w:val="22"/>
          <w:lang w:val="es-ES_tradnl"/>
        </w:rPr>
        <w:t xml:space="preserve"> </w:t>
      </w:r>
      <w:r w:rsidRPr="000A19E1">
        <w:rPr>
          <w:rStyle w:val="hps"/>
          <w:szCs w:val="22"/>
          <w:lang w:val="es-ES_tradnl"/>
        </w:rPr>
        <w:t>participación promedio de las patentes</w:t>
      </w:r>
      <w:r w:rsidRPr="000A19E1">
        <w:rPr>
          <w:szCs w:val="22"/>
          <w:lang w:val="es-ES_tradnl"/>
        </w:rPr>
        <w:t xml:space="preserve"> </w:t>
      </w:r>
      <w:proofErr w:type="spellStart"/>
      <w:r w:rsidRPr="000A19E1">
        <w:rPr>
          <w:rStyle w:val="hps"/>
          <w:szCs w:val="22"/>
          <w:lang w:val="es-ES_tradnl"/>
        </w:rPr>
        <w:t>co</w:t>
      </w:r>
      <w:r w:rsidRPr="000A19E1">
        <w:rPr>
          <w:szCs w:val="22"/>
          <w:lang w:val="es-ES_tradnl"/>
        </w:rPr>
        <w:t>asignadas</w:t>
      </w:r>
      <w:proofErr w:type="spellEnd"/>
      <w:r w:rsidRPr="000A19E1">
        <w:rPr>
          <w:szCs w:val="22"/>
          <w:lang w:val="es-ES_tradnl"/>
        </w:rPr>
        <w:t xml:space="preserve"> </w:t>
      </w:r>
      <w:r w:rsidRPr="000A19E1">
        <w:rPr>
          <w:rStyle w:val="hps"/>
          <w:szCs w:val="22"/>
          <w:lang w:val="es-ES_tradnl"/>
        </w:rPr>
        <w:t>a residentes</w:t>
      </w:r>
      <w:r w:rsidRPr="000A19E1">
        <w:rPr>
          <w:szCs w:val="22"/>
          <w:lang w:val="es-ES_tradnl"/>
        </w:rPr>
        <w:t xml:space="preserve"> </w:t>
      </w:r>
      <w:r w:rsidRPr="000A19E1">
        <w:rPr>
          <w:rStyle w:val="hps"/>
          <w:szCs w:val="22"/>
          <w:lang w:val="es-ES_tradnl"/>
        </w:rPr>
        <w:t>y no residentes</w:t>
      </w:r>
      <w:r w:rsidRPr="000A19E1">
        <w:rPr>
          <w:szCs w:val="22"/>
          <w:lang w:val="es-ES_tradnl"/>
        </w:rPr>
        <w:t xml:space="preserve"> conjuntamente </w:t>
      </w:r>
      <w:r w:rsidRPr="000A19E1">
        <w:rPr>
          <w:rStyle w:val="hps"/>
          <w:szCs w:val="22"/>
          <w:lang w:val="es-ES_tradnl"/>
        </w:rPr>
        <w:t>es relativamente baja,</w:t>
      </w:r>
      <w:r w:rsidRPr="000A19E1">
        <w:rPr>
          <w:szCs w:val="22"/>
          <w:lang w:val="es-ES_tradnl"/>
        </w:rPr>
        <w:t xml:space="preserve"> </w:t>
      </w:r>
      <w:r w:rsidRPr="000A19E1">
        <w:rPr>
          <w:rStyle w:val="hps"/>
          <w:szCs w:val="22"/>
          <w:lang w:val="es-ES_tradnl"/>
        </w:rPr>
        <w:t>del 8%</w:t>
      </w:r>
      <w:r w:rsidRPr="000A19E1">
        <w:rPr>
          <w:szCs w:val="22"/>
          <w:lang w:val="es-ES_tradnl"/>
        </w:rPr>
        <w:t>.</w:t>
      </w:r>
      <w:r>
        <w:rPr>
          <w:szCs w:val="22"/>
          <w:lang w:val="es-ES_tradnl"/>
        </w:rPr>
        <w:t xml:space="preserve"> </w:t>
      </w:r>
      <w:r w:rsidR="006E43FF">
        <w:rPr>
          <w:szCs w:val="22"/>
          <w:lang w:val="es-ES_tradnl"/>
        </w:rPr>
        <w:t xml:space="preserve"> </w:t>
      </w:r>
      <w:r w:rsidRPr="000A19E1">
        <w:rPr>
          <w:rStyle w:val="hps"/>
          <w:szCs w:val="22"/>
          <w:lang w:val="es-ES_tradnl"/>
        </w:rPr>
        <w:t>Ya que es posible identificar</w:t>
      </w:r>
      <w:r w:rsidRPr="000A19E1">
        <w:rPr>
          <w:szCs w:val="22"/>
          <w:lang w:val="es-ES_tradnl"/>
        </w:rPr>
        <w:t xml:space="preserve"> a los </w:t>
      </w:r>
      <w:proofErr w:type="spellStart"/>
      <w:r w:rsidRPr="000A19E1">
        <w:rPr>
          <w:rStyle w:val="hps"/>
          <w:szCs w:val="22"/>
          <w:lang w:val="es-ES_tradnl"/>
        </w:rPr>
        <w:t>multi</w:t>
      </w:r>
      <w:proofErr w:type="spellEnd"/>
      <w:r w:rsidRPr="000A19E1">
        <w:rPr>
          <w:rStyle w:val="hps"/>
          <w:szCs w:val="22"/>
          <w:lang w:val="es-ES_tradnl"/>
        </w:rPr>
        <w:t>-residentes,</w:t>
      </w:r>
      <w:r w:rsidRPr="000A19E1">
        <w:rPr>
          <w:szCs w:val="22"/>
          <w:lang w:val="es-ES_tradnl"/>
        </w:rPr>
        <w:t xml:space="preserve"> </w:t>
      </w:r>
      <w:r w:rsidRPr="000A19E1">
        <w:rPr>
          <w:rStyle w:val="hps"/>
          <w:szCs w:val="22"/>
          <w:lang w:val="es-ES_tradnl"/>
        </w:rPr>
        <w:t>esto</w:t>
      </w:r>
      <w:r w:rsidRPr="000A19E1">
        <w:rPr>
          <w:szCs w:val="22"/>
          <w:lang w:val="es-ES_tradnl"/>
        </w:rPr>
        <w:t xml:space="preserve"> permite identificar colaboraciones entre diferentes entidades </w:t>
      </w:r>
      <w:r w:rsidRPr="000A19E1">
        <w:rPr>
          <w:rStyle w:val="hps"/>
          <w:szCs w:val="22"/>
          <w:lang w:val="es-ES_tradnl"/>
        </w:rPr>
        <w:t>nacionales y extranjeras.</w:t>
      </w:r>
      <w:r>
        <w:rPr>
          <w:rStyle w:val="hps"/>
          <w:szCs w:val="22"/>
          <w:lang w:val="es-ES_tradnl"/>
        </w:rPr>
        <w:t xml:space="preserve"> </w:t>
      </w:r>
      <w:r w:rsidR="006E43FF">
        <w:rPr>
          <w:rStyle w:val="hps"/>
          <w:szCs w:val="22"/>
          <w:lang w:val="es-ES_tradnl"/>
        </w:rPr>
        <w:t xml:space="preserve"> </w:t>
      </w:r>
      <w:r w:rsidRPr="000A19E1">
        <w:rPr>
          <w:rStyle w:val="hps"/>
          <w:szCs w:val="22"/>
          <w:lang w:val="es-ES_tradnl"/>
        </w:rPr>
        <w:t>En</w:t>
      </w:r>
      <w:r w:rsidRPr="000A19E1">
        <w:rPr>
          <w:szCs w:val="22"/>
          <w:lang w:val="es-ES_tradnl"/>
        </w:rPr>
        <w:t xml:space="preserve"> </w:t>
      </w:r>
      <w:r w:rsidRPr="000A19E1">
        <w:rPr>
          <w:rStyle w:val="hps"/>
          <w:szCs w:val="22"/>
          <w:lang w:val="es-ES_tradnl"/>
        </w:rPr>
        <w:t>particular</w:t>
      </w:r>
      <w:r w:rsidRPr="000A19E1">
        <w:rPr>
          <w:szCs w:val="22"/>
          <w:lang w:val="es-ES_tradnl"/>
        </w:rPr>
        <w:t xml:space="preserve"> se evita </w:t>
      </w:r>
      <w:r w:rsidRPr="000A19E1">
        <w:rPr>
          <w:rStyle w:val="hps"/>
          <w:szCs w:val="22"/>
          <w:lang w:val="es-ES_tradnl"/>
        </w:rPr>
        <w:t>contabilizar</w:t>
      </w:r>
      <w:r w:rsidRPr="000A19E1">
        <w:rPr>
          <w:szCs w:val="22"/>
          <w:lang w:val="es-ES_tradnl"/>
        </w:rPr>
        <w:t xml:space="preserve"> </w:t>
      </w:r>
      <w:r w:rsidRPr="000A19E1">
        <w:rPr>
          <w:rStyle w:val="hps"/>
          <w:szCs w:val="22"/>
          <w:lang w:val="es-ES_tradnl"/>
        </w:rPr>
        <w:t>una patente que</w:t>
      </w:r>
      <w:r w:rsidRPr="000A19E1">
        <w:rPr>
          <w:szCs w:val="22"/>
          <w:lang w:val="es-ES_tradnl"/>
        </w:rPr>
        <w:t xml:space="preserve"> </w:t>
      </w:r>
      <w:r w:rsidRPr="000A19E1">
        <w:rPr>
          <w:rStyle w:val="hps"/>
          <w:szCs w:val="22"/>
          <w:lang w:val="es-ES_tradnl"/>
        </w:rPr>
        <w:t xml:space="preserve">es </w:t>
      </w:r>
      <w:proofErr w:type="spellStart"/>
      <w:r w:rsidRPr="000A19E1">
        <w:rPr>
          <w:rStyle w:val="hps"/>
          <w:szCs w:val="22"/>
          <w:lang w:val="es-ES_tradnl"/>
        </w:rPr>
        <w:t>co</w:t>
      </w:r>
      <w:r w:rsidRPr="000A19E1">
        <w:rPr>
          <w:szCs w:val="22"/>
          <w:lang w:val="es-ES_tradnl"/>
        </w:rPr>
        <w:t>asignada</w:t>
      </w:r>
      <w:proofErr w:type="spellEnd"/>
      <w:r w:rsidRPr="000A19E1">
        <w:rPr>
          <w:szCs w:val="22"/>
          <w:lang w:val="es-ES_tradnl"/>
        </w:rPr>
        <w:t xml:space="preserve"> </w:t>
      </w:r>
      <w:r w:rsidRPr="000A19E1">
        <w:rPr>
          <w:rStyle w:val="hps"/>
          <w:szCs w:val="22"/>
          <w:lang w:val="es-ES_tradnl"/>
        </w:rPr>
        <w:t>entre, por ejemplo</w:t>
      </w:r>
      <w:r w:rsidRPr="000A19E1">
        <w:rPr>
          <w:szCs w:val="22"/>
          <w:lang w:val="es-ES_tradnl"/>
        </w:rPr>
        <w:t xml:space="preserve">, Unilever </w:t>
      </w:r>
      <w:r w:rsidRPr="000A19E1">
        <w:rPr>
          <w:rStyle w:val="hps"/>
          <w:szCs w:val="22"/>
          <w:lang w:val="es-ES_tradnl"/>
        </w:rPr>
        <w:t>Chile</w:t>
      </w:r>
      <w:r w:rsidRPr="000A19E1">
        <w:rPr>
          <w:szCs w:val="22"/>
          <w:lang w:val="es-ES_tradnl"/>
        </w:rPr>
        <w:t xml:space="preserve"> </w:t>
      </w:r>
      <w:r w:rsidRPr="000A19E1">
        <w:rPr>
          <w:rStyle w:val="hps"/>
          <w:szCs w:val="22"/>
          <w:lang w:val="es-ES_tradnl"/>
        </w:rPr>
        <w:t>y una filial de</w:t>
      </w:r>
      <w:r w:rsidRPr="000A19E1">
        <w:rPr>
          <w:szCs w:val="22"/>
          <w:lang w:val="es-ES_tradnl"/>
        </w:rPr>
        <w:t xml:space="preserve"> </w:t>
      </w:r>
      <w:r w:rsidRPr="000A19E1">
        <w:rPr>
          <w:rStyle w:val="hps"/>
          <w:szCs w:val="22"/>
          <w:lang w:val="es-ES_tradnl"/>
        </w:rPr>
        <w:t>Unilever</w:t>
      </w:r>
      <w:r w:rsidRPr="000A19E1">
        <w:rPr>
          <w:szCs w:val="22"/>
          <w:lang w:val="es-ES_tradnl"/>
        </w:rPr>
        <w:t xml:space="preserve"> </w:t>
      </w:r>
      <w:r w:rsidRPr="000A19E1">
        <w:rPr>
          <w:rStyle w:val="hps"/>
          <w:szCs w:val="22"/>
          <w:lang w:val="es-ES_tradnl"/>
        </w:rPr>
        <w:t>en el extranjero.</w:t>
      </w:r>
    </w:p>
    <w:p w:rsidR="001A2943" w:rsidRPr="000A19E1" w:rsidRDefault="001A2943" w:rsidP="001A2943">
      <w:pPr>
        <w:rPr>
          <w:lang w:val="es-ES_tradnl"/>
        </w:rPr>
      </w:pPr>
    </w:p>
    <w:p w:rsidR="001A2943" w:rsidRPr="000A19E1" w:rsidRDefault="001A2943" w:rsidP="001A2943">
      <w:pPr>
        <w:keepNext/>
        <w:jc w:val="center"/>
        <w:rPr>
          <w:lang w:val="es-ES_tradnl"/>
        </w:rPr>
      </w:pPr>
      <w:r w:rsidRPr="000A19E1">
        <w:rPr>
          <w:b/>
          <w:lang w:val="es-ES_tradnl"/>
        </w:rPr>
        <w:lastRenderedPageBreak/>
        <w:t>Gráfico 20</w:t>
      </w:r>
      <w:proofErr w:type="gramStart"/>
      <w:r w:rsidRPr="000A19E1">
        <w:rPr>
          <w:b/>
          <w:lang w:val="es-ES_tradnl"/>
        </w:rPr>
        <w:t>:</w:t>
      </w:r>
      <w:r>
        <w:rPr>
          <w:b/>
          <w:lang w:val="es-ES_tradnl"/>
        </w:rPr>
        <w:t xml:space="preserve"> </w:t>
      </w:r>
      <w:r w:rsidR="00BF0264">
        <w:rPr>
          <w:b/>
          <w:lang w:val="es-ES_tradnl"/>
        </w:rPr>
        <w:t xml:space="preserve"> </w:t>
      </w:r>
      <w:r w:rsidRPr="000A19E1">
        <w:rPr>
          <w:b/>
          <w:lang w:val="es-ES_tradnl"/>
        </w:rPr>
        <w:t>Proporción</w:t>
      </w:r>
      <w:proofErr w:type="gramEnd"/>
      <w:r w:rsidRPr="000A19E1">
        <w:rPr>
          <w:b/>
          <w:lang w:val="es-ES_tradnl"/>
        </w:rPr>
        <w:t xml:space="preserve"> de patentes </w:t>
      </w:r>
      <w:proofErr w:type="spellStart"/>
      <w:r w:rsidRPr="000A19E1">
        <w:rPr>
          <w:b/>
          <w:lang w:val="es-ES_tradnl"/>
        </w:rPr>
        <w:t>coasignadas</w:t>
      </w:r>
      <w:proofErr w:type="spellEnd"/>
      <w:r w:rsidRPr="000A19E1">
        <w:rPr>
          <w:b/>
          <w:lang w:val="es-ES_tradnl"/>
        </w:rPr>
        <w:t xml:space="preserve"> a residentes y no residentes </w:t>
      </w:r>
      <w:r w:rsidR="00BF0264">
        <w:rPr>
          <w:b/>
          <w:lang w:val="es-ES_tradnl"/>
        </w:rPr>
        <w:br/>
      </w:r>
      <w:r w:rsidRPr="000A19E1">
        <w:rPr>
          <w:b/>
          <w:lang w:val="es-ES_tradnl"/>
        </w:rPr>
        <w:t>(1991-2010)</w:t>
      </w:r>
    </w:p>
    <w:p w:rsidR="001A2943" w:rsidRPr="000A19E1" w:rsidRDefault="001A2943" w:rsidP="001A2943">
      <w:pPr>
        <w:jc w:val="center"/>
        <w:rPr>
          <w:lang w:val="es-ES_tradnl"/>
        </w:rPr>
      </w:pPr>
      <w:r w:rsidRPr="000A19E1">
        <w:rPr>
          <w:noProof/>
          <w:lang w:val="en-US" w:eastAsia="en-US"/>
        </w:rPr>
        <w:drawing>
          <wp:inline distT="0" distB="0" distL="0" distR="0" wp14:anchorId="221590B4" wp14:editId="305D14C5">
            <wp:extent cx="5120640" cy="3745230"/>
            <wp:effectExtent l="0" t="0" r="0" b="7620"/>
            <wp:docPr id="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lang w:val="es-ES_tradnl"/>
        </w:rPr>
      </w:pPr>
    </w:p>
    <w:p w:rsidR="001A2943" w:rsidRPr="000A19E1" w:rsidRDefault="001A2943" w:rsidP="001A2943">
      <w:pPr>
        <w:shd w:val="clear" w:color="auto" w:fill="FFFFFF"/>
        <w:textAlignment w:val="top"/>
        <w:rPr>
          <w:szCs w:val="22"/>
          <w:lang w:val="es-ES_tradnl"/>
        </w:rPr>
      </w:pPr>
      <w:r w:rsidRPr="000A19E1">
        <w:rPr>
          <w:rFonts w:eastAsia="Times New Roman"/>
          <w:szCs w:val="22"/>
          <w:lang w:val="es-ES_tradnl" w:eastAsia="es-AR"/>
        </w:rPr>
        <w:t xml:space="preserve">Para profundizar sobre los modelos de colaboración subyacentes a la </w:t>
      </w:r>
      <w:proofErr w:type="spellStart"/>
      <w:r w:rsidRPr="000A19E1">
        <w:rPr>
          <w:rFonts w:eastAsia="Times New Roman"/>
          <w:szCs w:val="22"/>
          <w:lang w:val="es-ES_tradnl" w:eastAsia="es-AR"/>
        </w:rPr>
        <w:t>coasignación</w:t>
      </w:r>
      <w:proofErr w:type="spellEnd"/>
      <w:r w:rsidRPr="000A19E1">
        <w:rPr>
          <w:rFonts w:eastAsia="Times New Roman"/>
          <w:szCs w:val="22"/>
          <w:lang w:val="es-ES_tradnl" w:eastAsia="es-AR"/>
        </w:rPr>
        <w:t xml:space="preserve"> de patentes, el Gráfico 21 ilustra la proporción de patentes </w:t>
      </w:r>
      <w:proofErr w:type="spellStart"/>
      <w:r w:rsidRPr="000A19E1">
        <w:rPr>
          <w:rFonts w:eastAsia="Times New Roman"/>
          <w:szCs w:val="22"/>
          <w:lang w:val="es-ES_tradnl" w:eastAsia="es-AR"/>
        </w:rPr>
        <w:t>coasignadas</w:t>
      </w:r>
      <w:proofErr w:type="spellEnd"/>
      <w:r w:rsidRPr="000A19E1">
        <w:rPr>
          <w:rFonts w:eastAsia="Times New Roman"/>
          <w:szCs w:val="22"/>
          <w:lang w:val="es-ES_tradnl" w:eastAsia="es-AR"/>
        </w:rPr>
        <w:t xml:space="preserve"> entre los diferentes tipos de solicitantes.</w:t>
      </w:r>
      <w:r w:rsidR="006E43FF">
        <w:rPr>
          <w:rFonts w:eastAsia="Times New Roman"/>
          <w:szCs w:val="22"/>
          <w:lang w:val="es-ES_tradnl" w:eastAsia="es-AR"/>
        </w:rPr>
        <w:t xml:space="preserve"> </w:t>
      </w:r>
      <w:r>
        <w:rPr>
          <w:rFonts w:eastAsia="Times New Roman"/>
          <w:szCs w:val="22"/>
          <w:lang w:val="es-ES_tradnl" w:eastAsia="es-AR"/>
        </w:rPr>
        <w:t xml:space="preserve"> </w:t>
      </w:r>
      <w:r w:rsidRPr="000A19E1">
        <w:rPr>
          <w:rFonts w:eastAsia="Times New Roman"/>
          <w:szCs w:val="22"/>
          <w:lang w:val="es-ES_tradnl" w:eastAsia="es-AR"/>
        </w:rPr>
        <w:t xml:space="preserve">Las </w:t>
      </w:r>
      <w:proofErr w:type="spellStart"/>
      <w:r w:rsidRPr="000A19E1">
        <w:rPr>
          <w:rFonts w:eastAsia="Times New Roman"/>
          <w:szCs w:val="22"/>
          <w:lang w:val="es-ES_tradnl" w:eastAsia="es-AR"/>
        </w:rPr>
        <w:t>coasignaciones</w:t>
      </w:r>
      <w:proofErr w:type="spellEnd"/>
      <w:r w:rsidRPr="000A19E1">
        <w:rPr>
          <w:rFonts w:eastAsia="Times New Roman"/>
          <w:szCs w:val="22"/>
          <w:lang w:val="es-ES_tradnl" w:eastAsia="es-AR"/>
        </w:rPr>
        <w:t xml:space="preserve"> que involucran a universidades representan alrededor del</w:t>
      </w:r>
      <w:r w:rsidR="006E43FF">
        <w:rPr>
          <w:rFonts w:eastAsia="Times New Roman"/>
          <w:szCs w:val="22"/>
          <w:lang w:val="es-ES_tradnl" w:eastAsia="es-AR"/>
        </w:rPr>
        <w:t> </w:t>
      </w:r>
      <w:r w:rsidRPr="000A19E1">
        <w:rPr>
          <w:rFonts w:eastAsia="Times New Roman"/>
          <w:szCs w:val="22"/>
          <w:lang w:val="es-ES_tradnl" w:eastAsia="es-AR"/>
        </w:rPr>
        <w:t xml:space="preserve">20% de las patentes </w:t>
      </w:r>
      <w:proofErr w:type="spellStart"/>
      <w:r w:rsidRPr="000A19E1">
        <w:rPr>
          <w:rFonts w:eastAsia="Times New Roman"/>
          <w:szCs w:val="22"/>
          <w:lang w:val="es-ES_tradnl" w:eastAsia="es-AR"/>
        </w:rPr>
        <w:t>coasignadas</w:t>
      </w:r>
      <w:proofErr w:type="spellEnd"/>
      <w:r w:rsidRPr="000A19E1">
        <w:rPr>
          <w:rFonts w:eastAsia="Times New Roman"/>
          <w:szCs w:val="22"/>
          <w:lang w:val="es-ES_tradnl" w:eastAsia="es-AR"/>
        </w:rPr>
        <w:t xml:space="preserve"> durante todo el período 1991-2010.</w:t>
      </w:r>
      <w:r>
        <w:rPr>
          <w:rFonts w:eastAsia="Times New Roman"/>
          <w:szCs w:val="22"/>
          <w:lang w:val="es-ES_tradnl" w:eastAsia="es-AR"/>
        </w:rPr>
        <w:t xml:space="preserve"> </w:t>
      </w:r>
      <w:r w:rsidRPr="000A19E1">
        <w:rPr>
          <w:rFonts w:eastAsia="Times New Roman"/>
          <w:szCs w:val="22"/>
          <w:lang w:val="es-ES_tradnl" w:eastAsia="es-AR"/>
        </w:rPr>
        <w:t xml:space="preserve">La proporción varía considerablemente </w:t>
      </w:r>
      <w:r w:rsidRPr="000A19E1">
        <w:rPr>
          <w:rFonts w:eastAsia="Times New Roman"/>
          <w:szCs w:val="22"/>
          <w:lang w:val="es-ES_tradnl" w:eastAsia="es-AR"/>
        </w:rPr>
        <w:noBreakHyphen/>
        <w:t>entre el 4% en 1992 y el 50% en 2010, si bien la transición al PCT probablemente haya sesgado las participaciones del año 2010 (véase más arriba).</w:t>
      </w:r>
      <w:r>
        <w:rPr>
          <w:rFonts w:eastAsia="Times New Roman"/>
          <w:szCs w:val="22"/>
          <w:lang w:val="es-ES_tradnl" w:eastAsia="es-AR"/>
        </w:rPr>
        <w:t xml:space="preserve"> </w:t>
      </w:r>
      <w:r w:rsidR="006E43FF">
        <w:rPr>
          <w:rFonts w:eastAsia="Times New Roman"/>
          <w:szCs w:val="22"/>
          <w:lang w:val="es-ES_tradnl" w:eastAsia="es-AR"/>
        </w:rPr>
        <w:t xml:space="preserve"> </w:t>
      </w:r>
      <w:r w:rsidRPr="000A19E1">
        <w:rPr>
          <w:rFonts w:eastAsia="Times New Roman"/>
          <w:szCs w:val="22"/>
          <w:lang w:val="es-ES_tradnl" w:eastAsia="es-AR"/>
        </w:rPr>
        <w:t>El Gráfico</w:t>
      </w:r>
      <w:r w:rsidR="00B81FC3">
        <w:rPr>
          <w:rFonts w:eastAsia="Times New Roman"/>
          <w:szCs w:val="22"/>
          <w:lang w:val="es-ES_tradnl" w:eastAsia="es-AR"/>
        </w:rPr>
        <w:t> </w:t>
      </w:r>
      <w:r w:rsidRPr="000A19E1">
        <w:rPr>
          <w:rFonts w:eastAsia="Times New Roman"/>
          <w:szCs w:val="22"/>
          <w:lang w:val="es-ES_tradnl" w:eastAsia="es-AR"/>
        </w:rPr>
        <w:t xml:space="preserve">21 muestra también que una parte considerable de las patentes es </w:t>
      </w:r>
      <w:proofErr w:type="spellStart"/>
      <w:r w:rsidRPr="000A19E1">
        <w:rPr>
          <w:rFonts w:eastAsia="Times New Roman"/>
          <w:szCs w:val="22"/>
          <w:lang w:val="es-ES_tradnl" w:eastAsia="es-AR"/>
        </w:rPr>
        <w:t>coasignada</w:t>
      </w:r>
      <w:proofErr w:type="spellEnd"/>
      <w:r w:rsidRPr="000A19E1">
        <w:rPr>
          <w:rFonts w:eastAsia="Times New Roman"/>
          <w:szCs w:val="22"/>
          <w:lang w:val="es-ES_tradnl" w:eastAsia="es-AR"/>
        </w:rPr>
        <w:t xml:space="preserve"> entre individuos.</w:t>
      </w:r>
      <w:r w:rsidR="006E43FF">
        <w:rPr>
          <w:rFonts w:eastAsia="Times New Roman"/>
          <w:szCs w:val="22"/>
          <w:lang w:val="es-ES_tradnl" w:eastAsia="es-AR"/>
        </w:rPr>
        <w:t xml:space="preserve"> </w:t>
      </w:r>
      <w:r>
        <w:rPr>
          <w:rFonts w:eastAsia="Times New Roman"/>
          <w:szCs w:val="22"/>
          <w:lang w:val="es-ES_tradnl" w:eastAsia="es-AR"/>
        </w:rPr>
        <w:t xml:space="preserve"> </w:t>
      </w:r>
      <w:r w:rsidRPr="000A19E1">
        <w:rPr>
          <w:rFonts w:eastAsia="Times New Roman"/>
          <w:szCs w:val="22"/>
          <w:lang w:val="es-ES_tradnl" w:eastAsia="es-AR"/>
        </w:rPr>
        <w:t>Es probable que estos individuos también sean coinventores.</w:t>
      </w:r>
      <w:r>
        <w:rPr>
          <w:rFonts w:eastAsia="Times New Roman"/>
          <w:szCs w:val="22"/>
          <w:lang w:val="es-ES_tradnl" w:eastAsia="es-AR"/>
        </w:rPr>
        <w:t xml:space="preserve"> </w:t>
      </w:r>
      <w:r w:rsidR="006E43FF">
        <w:rPr>
          <w:rFonts w:eastAsia="Times New Roman"/>
          <w:szCs w:val="22"/>
          <w:lang w:val="es-ES_tradnl" w:eastAsia="es-AR"/>
        </w:rPr>
        <w:t xml:space="preserve"> </w:t>
      </w:r>
      <w:r w:rsidRPr="000A19E1">
        <w:rPr>
          <w:rFonts w:eastAsia="Times New Roman"/>
          <w:szCs w:val="22"/>
          <w:lang w:val="es-ES_tradnl" w:eastAsia="es-AR"/>
        </w:rPr>
        <w:t xml:space="preserve">La mayoría de las patentes son </w:t>
      </w:r>
      <w:proofErr w:type="spellStart"/>
      <w:r w:rsidRPr="000A19E1">
        <w:rPr>
          <w:rFonts w:eastAsia="Times New Roman"/>
          <w:szCs w:val="22"/>
          <w:lang w:val="es-ES_tradnl" w:eastAsia="es-AR"/>
        </w:rPr>
        <w:t>coasignadas</w:t>
      </w:r>
      <w:proofErr w:type="spellEnd"/>
      <w:r w:rsidRPr="000A19E1">
        <w:rPr>
          <w:rFonts w:eastAsia="Times New Roman"/>
          <w:szCs w:val="22"/>
          <w:lang w:val="es-ES_tradnl" w:eastAsia="es-AR"/>
        </w:rPr>
        <w:t xml:space="preserve"> entre empresas, lo cual refleja la presencia de colaboraciones en investigación entre empresas, lo cual podría abarcar eventualmente incluso a competidores del mismo mercado de productos</w:t>
      </w:r>
      <w:r w:rsidRPr="000A19E1">
        <w:rPr>
          <w:szCs w:val="22"/>
          <w:lang w:val="es-ES_tradnl"/>
        </w:rPr>
        <w:t>.</w:t>
      </w:r>
      <w:r w:rsidRPr="000A19E1">
        <w:rPr>
          <w:rStyle w:val="FootnoteReference"/>
          <w:szCs w:val="22"/>
          <w:lang w:val="es-ES_tradnl"/>
        </w:rPr>
        <w:footnoteReference w:id="32"/>
      </w:r>
    </w:p>
    <w:p w:rsidR="001A2943" w:rsidRPr="000A19E1" w:rsidRDefault="001A2943" w:rsidP="001A2943">
      <w:pPr>
        <w:rPr>
          <w:lang w:val="es-ES_tradnl"/>
        </w:rPr>
      </w:pPr>
    </w:p>
    <w:p w:rsidR="001A2943" w:rsidRPr="000A19E1" w:rsidRDefault="001A2943" w:rsidP="001A2943">
      <w:pPr>
        <w:rPr>
          <w:lang w:val="es-ES_tradnl"/>
        </w:rPr>
      </w:pPr>
      <w:r w:rsidRPr="000A19E1">
        <w:rPr>
          <w:lang w:val="es-ES_tradnl"/>
        </w:rPr>
        <w:br w:type="page"/>
      </w:r>
    </w:p>
    <w:p w:rsidR="001A2943" w:rsidRPr="000A19E1" w:rsidRDefault="001A2943" w:rsidP="001A2943">
      <w:pPr>
        <w:keepNext/>
        <w:jc w:val="center"/>
        <w:rPr>
          <w:b/>
          <w:lang w:val="es-ES_tradnl"/>
        </w:rPr>
      </w:pPr>
    </w:p>
    <w:p w:rsidR="001A2943" w:rsidRPr="000A19E1" w:rsidRDefault="001A2943" w:rsidP="001A2943">
      <w:pPr>
        <w:jc w:val="center"/>
        <w:rPr>
          <w:lang w:val="es-ES_tradnl"/>
        </w:rPr>
      </w:pPr>
      <w:r w:rsidRPr="000A19E1">
        <w:rPr>
          <w:b/>
          <w:lang w:val="es-ES_tradnl"/>
        </w:rPr>
        <w:t>Gráfico 21</w:t>
      </w:r>
      <w:proofErr w:type="gramStart"/>
      <w:r w:rsidRPr="000A19E1">
        <w:rPr>
          <w:b/>
          <w:lang w:val="es-ES_tradnl"/>
        </w:rPr>
        <w:t>:</w:t>
      </w:r>
      <w:r>
        <w:rPr>
          <w:b/>
          <w:lang w:val="es-ES_tradnl"/>
        </w:rPr>
        <w:t xml:space="preserve"> </w:t>
      </w:r>
      <w:r w:rsidR="00BF0264">
        <w:rPr>
          <w:b/>
          <w:lang w:val="es-ES_tradnl"/>
        </w:rPr>
        <w:t xml:space="preserve"> </w:t>
      </w:r>
      <w:r w:rsidRPr="000A19E1">
        <w:rPr>
          <w:b/>
          <w:lang w:val="es-ES_tradnl"/>
        </w:rPr>
        <w:t>Distribución</w:t>
      </w:r>
      <w:proofErr w:type="gramEnd"/>
      <w:r w:rsidRPr="000A19E1">
        <w:rPr>
          <w:b/>
          <w:lang w:val="es-ES_tradnl"/>
        </w:rPr>
        <w:t xml:space="preserve"> de patentes </w:t>
      </w:r>
      <w:proofErr w:type="spellStart"/>
      <w:r w:rsidRPr="000A19E1">
        <w:rPr>
          <w:b/>
          <w:lang w:val="es-ES_tradnl"/>
        </w:rPr>
        <w:t>coasignadas</w:t>
      </w:r>
      <w:proofErr w:type="spellEnd"/>
      <w:r w:rsidRPr="000A19E1">
        <w:rPr>
          <w:b/>
          <w:lang w:val="es-ES_tradnl"/>
        </w:rPr>
        <w:t xml:space="preserve"> por tipo de solicitante (1991</w:t>
      </w:r>
      <w:r w:rsidRPr="000A19E1">
        <w:rPr>
          <w:b/>
          <w:lang w:val="es-ES_tradnl"/>
        </w:rPr>
        <w:noBreakHyphen/>
        <w:t>2010)</w:t>
      </w:r>
      <w:r w:rsidRPr="000A19E1" w:rsidDel="009B2DF1">
        <w:rPr>
          <w:b/>
          <w:lang w:val="es-ES_tradnl"/>
        </w:rPr>
        <w:t xml:space="preserve"> </w:t>
      </w:r>
    </w:p>
    <w:p w:rsidR="001A2943" w:rsidRPr="000A19E1" w:rsidRDefault="001A2943" w:rsidP="001A2943">
      <w:pPr>
        <w:jc w:val="center"/>
        <w:rPr>
          <w:lang w:val="es-ES_tradnl"/>
        </w:rPr>
      </w:pPr>
      <w:r w:rsidRPr="000A19E1">
        <w:rPr>
          <w:noProof/>
          <w:lang w:val="en-US" w:eastAsia="en-US"/>
        </w:rPr>
        <w:drawing>
          <wp:inline distT="0" distB="0" distL="0" distR="0" wp14:anchorId="1258ED85" wp14:editId="789CBD7D">
            <wp:extent cx="5120640" cy="3745230"/>
            <wp:effectExtent l="0" t="0" r="0" b="7620"/>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270124" w:rsidRDefault="001A2943" w:rsidP="001A2943">
      <w:pPr>
        <w:pStyle w:val="Heading1"/>
        <w:rPr>
          <w:b w:val="0"/>
          <w:u w:val="single"/>
          <w:lang w:val="es-ES_tradnl"/>
        </w:rPr>
      </w:pPr>
      <w:bookmarkStart w:id="15" w:name="_Toc359312062"/>
      <w:r w:rsidRPr="00270124">
        <w:rPr>
          <w:b w:val="0"/>
          <w:lang w:val="es-ES_tradnl"/>
        </w:rPr>
        <w:t>11.</w:t>
      </w:r>
      <w:r w:rsidRPr="00270124">
        <w:rPr>
          <w:b w:val="0"/>
          <w:lang w:val="es-ES_tradnl"/>
        </w:rPr>
        <w:tab/>
      </w:r>
      <w:r w:rsidR="00B80E52" w:rsidRPr="00270124">
        <w:rPr>
          <w:b w:val="0"/>
          <w:u w:val="single"/>
          <w:lang w:val="es-ES_tradnl"/>
        </w:rPr>
        <w:t>S</w:t>
      </w:r>
      <w:r w:rsidR="00B80E52" w:rsidRPr="00270124">
        <w:rPr>
          <w:b w:val="0"/>
          <w:caps w:val="0"/>
          <w:u w:val="single"/>
          <w:lang w:val="es-ES_tradnl"/>
        </w:rPr>
        <w:t>olicitudes de patentes en el exterior</w:t>
      </w:r>
      <w:bookmarkEnd w:id="15"/>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En esta sección se combinan los datos sobre solicitudes de patentes en el exterior por parte de residentes chilenos con la base de datos del INAPI.</w:t>
      </w:r>
      <w:r>
        <w:rPr>
          <w:szCs w:val="22"/>
          <w:lang w:val="es-ES_tradnl"/>
        </w:rPr>
        <w:t xml:space="preserve"> </w:t>
      </w:r>
      <w:r w:rsidR="006E43FF">
        <w:rPr>
          <w:szCs w:val="22"/>
          <w:lang w:val="es-ES_tradnl"/>
        </w:rPr>
        <w:t xml:space="preserve"> </w:t>
      </w:r>
      <w:r w:rsidRPr="000A19E1">
        <w:rPr>
          <w:szCs w:val="22"/>
          <w:lang w:val="es-ES_tradnl"/>
        </w:rPr>
        <w:t xml:space="preserve">Se extrajeron de la base de datos </w:t>
      </w:r>
      <w:proofErr w:type="spellStart"/>
      <w:r w:rsidRPr="000A19E1">
        <w:rPr>
          <w:szCs w:val="22"/>
          <w:lang w:val="es-ES_tradnl"/>
        </w:rPr>
        <w:t>Patstat</w:t>
      </w:r>
      <w:proofErr w:type="spellEnd"/>
      <w:r w:rsidRPr="000A19E1">
        <w:rPr>
          <w:szCs w:val="22"/>
          <w:lang w:val="es-ES_tradnl"/>
        </w:rPr>
        <w:t xml:space="preserve"> de la OEP (versión de septiembre de 2012) todas las solicitudes de patentes que contienen a un solicitante o inventor chileno.</w:t>
      </w:r>
      <w:r w:rsidRPr="000A19E1">
        <w:rPr>
          <w:rStyle w:val="FootnoteReference"/>
          <w:szCs w:val="22"/>
          <w:lang w:val="es-ES_tradnl"/>
        </w:rPr>
        <w:footnoteReference w:id="33"/>
      </w:r>
      <w:r w:rsidRPr="000A19E1">
        <w:rPr>
          <w:szCs w:val="22"/>
          <w:lang w:val="es-ES_tradnl"/>
        </w:rPr>
        <w:t xml:space="preserve"> </w:t>
      </w:r>
      <w:r w:rsidR="006E43FF">
        <w:rPr>
          <w:szCs w:val="22"/>
          <w:lang w:val="es-ES_tradnl"/>
        </w:rPr>
        <w:t xml:space="preserve"> </w:t>
      </w:r>
      <w:r w:rsidRPr="000A19E1">
        <w:rPr>
          <w:szCs w:val="22"/>
          <w:lang w:val="es-ES_tradnl"/>
        </w:rPr>
        <w:t>Para evitar la doble contabilización, se controlaron las solicitudes internacionales al nivel equivalente o al nivel de la familia de patentes.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rStyle w:val="hps"/>
          <w:szCs w:val="22"/>
          <w:lang w:val="es-ES_tradnl"/>
        </w:rPr>
        <w:t>En primer lugar</w:t>
      </w:r>
      <w:r w:rsidRPr="000A19E1">
        <w:rPr>
          <w:szCs w:val="22"/>
          <w:lang w:val="es-ES_tradnl"/>
        </w:rPr>
        <w:t xml:space="preserve">, se encontró </w:t>
      </w:r>
      <w:r w:rsidRPr="000A19E1">
        <w:rPr>
          <w:rStyle w:val="hps"/>
          <w:szCs w:val="22"/>
          <w:lang w:val="es-ES_tradnl"/>
        </w:rPr>
        <w:t>un total</w:t>
      </w:r>
      <w:r w:rsidRPr="000A19E1">
        <w:rPr>
          <w:szCs w:val="22"/>
          <w:lang w:val="es-ES_tradnl"/>
        </w:rPr>
        <w:t xml:space="preserve"> </w:t>
      </w:r>
      <w:r w:rsidRPr="000A19E1">
        <w:rPr>
          <w:rStyle w:val="hps"/>
          <w:szCs w:val="22"/>
          <w:lang w:val="es-ES_tradnl"/>
        </w:rPr>
        <w:t>de 1.236</w:t>
      </w:r>
      <w:r w:rsidRPr="000A19E1">
        <w:rPr>
          <w:szCs w:val="22"/>
          <w:lang w:val="es-ES_tradnl"/>
        </w:rPr>
        <w:t xml:space="preserve"> </w:t>
      </w:r>
      <w:r w:rsidRPr="000A19E1">
        <w:rPr>
          <w:rStyle w:val="hps"/>
          <w:szCs w:val="22"/>
          <w:lang w:val="es-ES_tradnl"/>
        </w:rPr>
        <w:t>familias de patentes</w:t>
      </w:r>
      <w:r w:rsidRPr="000A19E1">
        <w:rPr>
          <w:szCs w:val="22"/>
          <w:lang w:val="es-ES_tradnl"/>
        </w:rPr>
        <w:t xml:space="preserve"> </w:t>
      </w:r>
      <w:r w:rsidRPr="000A19E1">
        <w:rPr>
          <w:rStyle w:val="hps"/>
          <w:szCs w:val="22"/>
          <w:lang w:val="es-ES_tradnl"/>
        </w:rPr>
        <w:t>que incluyen a solicitantes</w:t>
      </w:r>
      <w:r w:rsidRPr="000A19E1">
        <w:rPr>
          <w:szCs w:val="22"/>
          <w:lang w:val="es-ES_tradnl"/>
        </w:rPr>
        <w:t xml:space="preserve"> </w:t>
      </w:r>
      <w:r w:rsidRPr="000A19E1">
        <w:rPr>
          <w:rStyle w:val="hps"/>
          <w:szCs w:val="22"/>
          <w:lang w:val="es-ES_tradnl"/>
        </w:rPr>
        <w:t>chilenos.</w:t>
      </w:r>
      <w:r>
        <w:rPr>
          <w:rStyle w:val="hps"/>
          <w:szCs w:val="22"/>
          <w:lang w:val="es-ES_tradnl"/>
        </w:rPr>
        <w:t xml:space="preserve"> </w:t>
      </w:r>
      <w:r w:rsidR="006E43FF">
        <w:rPr>
          <w:rStyle w:val="hps"/>
          <w:szCs w:val="22"/>
          <w:lang w:val="es-ES_tradnl"/>
        </w:rPr>
        <w:t xml:space="preserve"> </w:t>
      </w:r>
      <w:r w:rsidRPr="000A19E1">
        <w:rPr>
          <w:rStyle w:val="hps"/>
          <w:szCs w:val="22"/>
          <w:lang w:val="es-ES_tradnl"/>
        </w:rPr>
        <w:t>Cuando</w:t>
      </w:r>
      <w:r w:rsidRPr="000A19E1">
        <w:rPr>
          <w:szCs w:val="22"/>
          <w:lang w:val="es-ES_tradnl"/>
        </w:rPr>
        <w:t xml:space="preserve"> </w:t>
      </w:r>
      <w:r w:rsidRPr="000A19E1">
        <w:rPr>
          <w:rStyle w:val="hps"/>
          <w:szCs w:val="22"/>
          <w:lang w:val="es-ES_tradnl"/>
        </w:rPr>
        <w:t>se restringen</w:t>
      </w:r>
      <w:r w:rsidRPr="000A19E1">
        <w:rPr>
          <w:szCs w:val="22"/>
          <w:lang w:val="es-ES_tradnl"/>
        </w:rPr>
        <w:t xml:space="preserve"> </w:t>
      </w:r>
      <w:r w:rsidRPr="000A19E1">
        <w:rPr>
          <w:rStyle w:val="hps"/>
          <w:szCs w:val="22"/>
          <w:lang w:val="es-ES_tradnl"/>
        </w:rPr>
        <w:t>los datos a las que tienen una fecha de prioridad</w:t>
      </w:r>
      <w:r w:rsidRPr="000A19E1">
        <w:rPr>
          <w:szCs w:val="22"/>
          <w:lang w:val="es-ES_tradnl"/>
        </w:rPr>
        <w:t xml:space="preserve"> </w:t>
      </w:r>
      <w:r w:rsidRPr="000A19E1">
        <w:rPr>
          <w:rStyle w:val="hps"/>
          <w:szCs w:val="22"/>
          <w:lang w:val="es-ES_tradnl"/>
        </w:rPr>
        <w:t>entre 1991</w:t>
      </w:r>
      <w:r w:rsidRPr="000A19E1">
        <w:rPr>
          <w:szCs w:val="22"/>
          <w:lang w:val="es-ES_tradnl"/>
        </w:rPr>
        <w:t xml:space="preserve"> </w:t>
      </w:r>
      <w:r w:rsidRPr="000A19E1">
        <w:rPr>
          <w:rStyle w:val="hps"/>
          <w:szCs w:val="22"/>
          <w:lang w:val="es-ES_tradnl"/>
        </w:rPr>
        <w:t>y</w:t>
      </w:r>
      <w:r w:rsidR="006E43FF">
        <w:rPr>
          <w:rStyle w:val="hps"/>
          <w:szCs w:val="22"/>
          <w:lang w:val="es-ES_tradnl"/>
        </w:rPr>
        <w:t> </w:t>
      </w:r>
      <w:r w:rsidRPr="000A19E1">
        <w:rPr>
          <w:rStyle w:val="hps"/>
          <w:szCs w:val="22"/>
          <w:lang w:val="es-ES_tradnl"/>
        </w:rPr>
        <w:t>2010</w:t>
      </w:r>
      <w:r w:rsidRPr="000A19E1">
        <w:rPr>
          <w:szCs w:val="22"/>
          <w:lang w:val="es-ES_tradnl"/>
        </w:rPr>
        <w:t xml:space="preserve">, </w:t>
      </w:r>
      <w:r w:rsidRPr="000A19E1">
        <w:rPr>
          <w:rStyle w:val="hps"/>
          <w:szCs w:val="22"/>
          <w:lang w:val="es-ES_tradnl"/>
        </w:rPr>
        <w:t>quedan 903</w:t>
      </w:r>
      <w:r w:rsidRPr="000A19E1">
        <w:rPr>
          <w:szCs w:val="22"/>
          <w:lang w:val="es-ES_tradnl"/>
        </w:rPr>
        <w:t xml:space="preserve"> </w:t>
      </w:r>
      <w:r w:rsidRPr="000A19E1">
        <w:rPr>
          <w:rStyle w:val="hps"/>
          <w:szCs w:val="22"/>
          <w:lang w:val="es-ES_tradnl"/>
        </w:rPr>
        <w:t>familias de patentes</w:t>
      </w:r>
      <w:r w:rsidRPr="000A19E1">
        <w:rPr>
          <w:szCs w:val="22"/>
          <w:lang w:val="es-ES_tradnl"/>
        </w:rPr>
        <w:t>.</w:t>
      </w:r>
      <w:r>
        <w:rPr>
          <w:szCs w:val="22"/>
          <w:lang w:val="es-ES_tradnl"/>
        </w:rPr>
        <w:t xml:space="preserve"> </w:t>
      </w:r>
      <w:r w:rsidR="006E43FF">
        <w:rPr>
          <w:szCs w:val="22"/>
          <w:lang w:val="es-ES_tradnl"/>
        </w:rPr>
        <w:t xml:space="preserve"> </w:t>
      </w:r>
      <w:r w:rsidRPr="000A19E1">
        <w:rPr>
          <w:rStyle w:val="hps"/>
          <w:szCs w:val="22"/>
          <w:lang w:val="es-ES_tradnl"/>
        </w:rPr>
        <w:t>Luego, se limpiaron</w:t>
      </w:r>
      <w:r w:rsidRPr="000A19E1">
        <w:rPr>
          <w:szCs w:val="22"/>
          <w:lang w:val="es-ES_tradnl"/>
        </w:rPr>
        <w:t xml:space="preserve"> </w:t>
      </w:r>
      <w:r w:rsidRPr="000A19E1">
        <w:rPr>
          <w:rStyle w:val="hps"/>
          <w:szCs w:val="22"/>
          <w:lang w:val="es-ES_tradnl"/>
        </w:rPr>
        <w:t>y</w:t>
      </w:r>
      <w:r w:rsidRPr="000A19E1">
        <w:rPr>
          <w:szCs w:val="22"/>
          <w:lang w:val="es-ES_tradnl"/>
        </w:rPr>
        <w:t xml:space="preserve"> </w:t>
      </w:r>
      <w:r w:rsidRPr="000A19E1">
        <w:rPr>
          <w:rStyle w:val="hps"/>
          <w:szCs w:val="22"/>
          <w:lang w:val="es-ES_tradnl"/>
        </w:rPr>
        <w:t>armonizaron</w:t>
      </w:r>
      <w:r w:rsidRPr="000A19E1">
        <w:rPr>
          <w:szCs w:val="22"/>
          <w:lang w:val="es-ES_tradnl"/>
        </w:rPr>
        <w:t xml:space="preserve"> </w:t>
      </w:r>
      <w:r w:rsidRPr="000A19E1">
        <w:rPr>
          <w:rStyle w:val="hps"/>
          <w:szCs w:val="22"/>
          <w:lang w:val="es-ES_tradnl"/>
        </w:rPr>
        <w:t>los</w:t>
      </w:r>
      <w:r w:rsidRPr="000A19E1">
        <w:rPr>
          <w:szCs w:val="22"/>
          <w:lang w:val="es-ES_tradnl"/>
        </w:rPr>
        <w:t xml:space="preserve"> </w:t>
      </w:r>
      <w:r w:rsidRPr="000A19E1">
        <w:rPr>
          <w:rStyle w:val="hps"/>
          <w:szCs w:val="22"/>
          <w:lang w:val="es-ES_tradnl"/>
        </w:rPr>
        <w:t>nombres de los solicitantes</w:t>
      </w:r>
      <w:r w:rsidRPr="000A19E1">
        <w:rPr>
          <w:szCs w:val="22"/>
          <w:lang w:val="es-ES_tradnl"/>
        </w:rPr>
        <w:t xml:space="preserve"> </w:t>
      </w:r>
      <w:r w:rsidRPr="000A19E1">
        <w:rPr>
          <w:rStyle w:val="hps"/>
          <w:szCs w:val="22"/>
          <w:lang w:val="es-ES_tradnl"/>
        </w:rPr>
        <w:t>asociados a estas</w:t>
      </w:r>
      <w:r w:rsidRPr="000A19E1">
        <w:rPr>
          <w:szCs w:val="22"/>
          <w:lang w:val="es-ES_tradnl"/>
        </w:rPr>
        <w:t xml:space="preserve"> </w:t>
      </w:r>
      <w:r w:rsidRPr="000A19E1">
        <w:rPr>
          <w:rStyle w:val="hps"/>
          <w:szCs w:val="22"/>
          <w:lang w:val="es-ES_tradnl"/>
        </w:rPr>
        <w:t>familias de patentes</w:t>
      </w:r>
      <w:r w:rsidRPr="000A19E1">
        <w:rPr>
          <w:szCs w:val="22"/>
          <w:lang w:val="es-ES_tradnl"/>
        </w:rPr>
        <w:t xml:space="preserve"> </w:t>
      </w:r>
      <w:r w:rsidRPr="000A19E1">
        <w:rPr>
          <w:rStyle w:val="hps"/>
          <w:szCs w:val="22"/>
          <w:lang w:val="es-ES_tradnl"/>
        </w:rPr>
        <w:t>y</w:t>
      </w:r>
      <w:r w:rsidRPr="000A19E1">
        <w:rPr>
          <w:szCs w:val="22"/>
          <w:lang w:val="es-ES_tradnl"/>
        </w:rPr>
        <w:t xml:space="preserve"> </w:t>
      </w:r>
      <w:r w:rsidRPr="000A19E1">
        <w:rPr>
          <w:rStyle w:val="hps"/>
          <w:szCs w:val="22"/>
          <w:lang w:val="es-ES_tradnl"/>
        </w:rPr>
        <w:t>se cruzaron con</w:t>
      </w:r>
      <w:r w:rsidRPr="000A19E1">
        <w:rPr>
          <w:szCs w:val="22"/>
          <w:lang w:val="es-ES_tradnl"/>
        </w:rPr>
        <w:t xml:space="preserve"> </w:t>
      </w:r>
      <w:r w:rsidRPr="000A19E1">
        <w:rPr>
          <w:rStyle w:val="hps"/>
          <w:szCs w:val="22"/>
          <w:lang w:val="es-ES_tradnl"/>
        </w:rPr>
        <w:t>los</w:t>
      </w:r>
      <w:r w:rsidRPr="000A19E1">
        <w:rPr>
          <w:szCs w:val="22"/>
          <w:lang w:val="es-ES_tradnl"/>
        </w:rPr>
        <w:t xml:space="preserve"> </w:t>
      </w:r>
      <w:r w:rsidRPr="000A19E1">
        <w:rPr>
          <w:rStyle w:val="hps"/>
          <w:szCs w:val="22"/>
          <w:lang w:val="es-ES_tradnl"/>
        </w:rPr>
        <w:t>nombres de</w:t>
      </w:r>
      <w:r w:rsidRPr="000A19E1">
        <w:rPr>
          <w:szCs w:val="22"/>
          <w:lang w:val="es-ES_tradnl"/>
        </w:rPr>
        <w:t xml:space="preserve"> </w:t>
      </w:r>
      <w:r w:rsidRPr="000A19E1">
        <w:rPr>
          <w:rStyle w:val="hps"/>
          <w:szCs w:val="22"/>
          <w:lang w:val="es-ES_tradnl"/>
        </w:rPr>
        <w:t>los solicitantes de la base de datos</w:t>
      </w:r>
      <w:r w:rsidRPr="000A19E1">
        <w:rPr>
          <w:szCs w:val="22"/>
          <w:lang w:val="es-ES_tradnl"/>
        </w:rPr>
        <w:t xml:space="preserve"> de </w:t>
      </w:r>
      <w:r w:rsidRPr="000A19E1">
        <w:rPr>
          <w:rStyle w:val="hps"/>
          <w:szCs w:val="22"/>
          <w:lang w:val="es-ES_tradnl"/>
        </w:rPr>
        <w:t>INAPI-OMPI</w:t>
      </w:r>
      <w:r w:rsidRPr="000A19E1">
        <w:rPr>
          <w:szCs w:val="22"/>
          <w:lang w:val="es-ES_tradnl"/>
        </w:rPr>
        <w:t>.</w:t>
      </w:r>
      <w:r w:rsidR="006E43FF">
        <w:rPr>
          <w:szCs w:val="22"/>
          <w:lang w:val="es-ES_tradnl"/>
        </w:rPr>
        <w:t xml:space="preserve"> </w:t>
      </w:r>
      <w:r>
        <w:rPr>
          <w:szCs w:val="22"/>
          <w:lang w:val="es-ES_tradnl"/>
        </w:rPr>
        <w:t xml:space="preserve"> </w:t>
      </w:r>
      <w:r w:rsidRPr="000A19E1">
        <w:rPr>
          <w:szCs w:val="22"/>
          <w:lang w:val="es-ES_tradnl"/>
        </w:rPr>
        <w:t xml:space="preserve">El Gráfico </w:t>
      </w:r>
      <w:r w:rsidRPr="000A19E1">
        <w:rPr>
          <w:rStyle w:val="hps"/>
          <w:szCs w:val="22"/>
          <w:lang w:val="es-ES_tradnl"/>
        </w:rPr>
        <w:t>22</w:t>
      </w:r>
      <w:r w:rsidRPr="000A19E1">
        <w:rPr>
          <w:szCs w:val="22"/>
          <w:lang w:val="es-ES_tradnl"/>
        </w:rPr>
        <w:t xml:space="preserve"> </w:t>
      </w:r>
      <w:r w:rsidRPr="000A19E1">
        <w:rPr>
          <w:rStyle w:val="hps"/>
          <w:szCs w:val="22"/>
          <w:lang w:val="es-ES_tradnl"/>
        </w:rPr>
        <w:t>indica</w:t>
      </w:r>
      <w:r w:rsidRPr="000A19E1">
        <w:rPr>
          <w:szCs w:val="22"/>
          <w:lang w:val="es-ES_tradnl"/>
        </w:rPr>
        <w:t xml:space="preserve"> la proporción de </w:t>
      </w:r>
      <w:r w:rsidRPr="000A19E1">
        <w:rPr>
          <w:rStyle w:val="hps"/>
          <w:szCs w:val="22"/>
          <w:lang w:val="es-ES_tradnl"/>
        </w:rPr>
        <w:t>solicitantes residentes</w:t>
      </w:r>
      <w:r w:rsidRPr="000A19E1">
        <w:rPr>
          <w:szCs w:val="22"/>
          <w:lang w:val="es-ES_tradnl"/>
        </w:rPr>
        <w:t xml:space="preserve"> </w:t>
      </w:r>
      <w:r w:rsidRPr="000A19E1">
        <w:rPr>
          <w:rStyle w:val="hps"/>
          <w:szCs w:val="22"/>
          <w:lang w:val="es-ES_tradnl"/>
        </w:rPr>
        <w:t>chilenos</w:t>
      </w:r>
      <w:r w:rsidRPr="000A19E1">
        <w:rPr>
          <w:szCs w:val="22"/>
          <w:lang w:val="es-ES_tradnl"/>
        </w:rPr>
        <w:t xml:space="preserve"> </w:t>
      </w:r>
      <w:r w:rsidRPr="000A19E1">
        <w:rPr>
          <w:rStyle w:val="hps"/>
          <w:szCs w:val="22"/>
          <w:lang w:val="es-ES_tradnl"/>
        </w:rPr>
        <w:t>que</w:t>
      </w:r>
      <w:r w:rsidRPr="000A19E1">
        <w:rPr>
          <w:szCs w:val="22"/>
          <w:lang w:val="es-ES_tradnl"/>
        </w:rPr>
        <w:t xml:space="preserve"> </w:t>
      </w:r>
      <w:r w:rsidRPr="000A19E1">
        <w:rPr>
          <w:rStyle w:val="hps"/>
          <w:szCs w:val="22"/>
          <w:lang w:val="es-ES_tradnl"/>
        </w:rPr>
        <w:t>solicitan una patente</w:t>
      </w:r>
      <w:r w:rsidRPr="000A19E1">
        <w:rPr>
          <w:szCs w:val="22"/>
          <w:lang w:val="es-ES_tradnl"/>
        </w:rPr>
        <w:t xml:space="preserve"> </w:t>
      </w:r>
      <w:r w:rsidRPr="000A19E1">
        <w:rPr>
          <w:rStyle w:val="hps"/>
          <w:szCs w:val="22"/>
          <w:lang w:val="es-ES_tradnl"/>
        </w:rPr>
        <w:t>tanto en el país</w:t>
      </w:r>
      <w:r w:rsidRPr="000A19E1">
        <w:rPr>
          <w:szCs w:val="22"/>
          <w:lang w:val="es-ES_tradnl"/>
        </w:rPr>
        <w:t xml:space="preserve"> </w:t>
      </w:r>
      <w:r w:rsidRPr="000A19E1">
        <w:rPr>
          <w:rStyle w:val="hps"/>
          <w:szCs w:val="22"/>
          <w:lang w:val="es-ES_tradnl"/>
        </w:rPr>
        <w:t>como en el extranjero</w:t>
      </w:r>
      <w:r w:rsidRPr="000A19E1">
        <w:rPr>
          <w:szCs w:val="22"/>
          <w:lang w:val="es-ES_tradnl"/>
        </w:rPr>
        <w:t>.</w:t>
      </w:r>
      <w:r w:rsidR="006E43FF">
        <w:rPr>
          <w:szCs w:val="22"/>
          <w:lang w:val="es-ES_tradnl"/>
        </w:rPr>
        <w:t xml:space="preserve"> </w:t>
      </w:r>
      <w:r>
        <w:rPr>
          <w:szCs w:val="22"/>
          <w:lang w:val="es-ES_tradnl"/>
        </w:rPr>
        <w:t xml:space="preserve"> </w:t>
      </w:r>
      <w:r w:rsidRPr="000A19E1">
        <w:rPr>
          <w:rStyle w:val="hps"/>
          <w:szCs w:val="22"/>
          <w:lang w:val="es-ES_tradnl"/>
        </w:rPr>
        <w:t>Este porcentaje</w:t>
      </w:r>
      <w:r w:rsidRPr="000A19E1">
        <w:rPr>
          <w:szCs w:val="22"/>
          <w:lang w:val="es-ES_tradnl"/>
        </w:rPr>
        <w:t xml:space="preserve"> </w:t>
      </w:r>
      <w:r w:rsidRPr="000A19E1">
        <w:rPr>
          <w:rStyle w:val="hps"/>
          <w:szCs w:val="22"/>
          <w:lang w:val="es-ES_tradnl"/>
        </w:rPr>
        <w:t>se encuentra</w:t>
      </w:r>
      <w:r w:rsidRPr="000A19E1">
        <w:rPr>
          <w:szCs w:val="22"/>
          <w:lang w:val="es-ES_tradnl"/>
        </w:rPr>
        <w:t xml:space="preserve"> </w:t>
      </w:r>
      <w:r w:rsidRPr="000A19E1">
        <w:rPr>
          <w:rStyle w:val="hps"/>
          <w:szCs w:val="22"/>
          <w:lang w:val="es-ES_tradnl"/>
        </w:rPr>
        <w:t>por debajo del 15%</w:t>
      </w:r>
      <w:r w:rsidRPr="000A19E1">
        <w:rPr>
          <w:szCs w:val="22"/>
          <w:lang w:val="es-ES_tradnl"/>
        </w:rPr>
        <w:t xml:space="preserve"> </w:t>
      </w:r>
      <w:r w:rsidRPr="000A19E1">
        <w:rPr>
          <w:rStyle w:val="hps"/>
          <w:szCs w:val="22"/>
          <w:lang w:val="es-ES_tradnl"/>
        </w:rPr>
        <w:t>en todo el</w:t>
      </w:r>
      <w:r w:rsidRPr="000A19E1">
        <w:rPr>
          <w:szCs w:val="22"/>
          <w:lang w:val="es-ES_tradnl"/>
        </w:rPr>
        <w:t xml:space="preserve"> período de </w:t>
      </w:r>
      <w:smartTag w:uri="urn:schemas-microsoft-com:office:smarttags" w:element="metricconverter">
        <w:smartTagPr>
          <w:attr w:name="ProductID" w:val="1991 a"/>
        </w:smartTagPr>
        <w:r w:rsidRPr="000A19E1">
          <w:rPr>
            <w:rStyle w:val="hps"/>
            <w:szCs w:val="22"/>
            <w:lang w:val="es-ES_tradnl"/>
          </w:rPr>
          <w:t>1991 a</w:t>
        </w:r>
      </w:smartTag>
      <w:r w:rsidRPr="000A19E1">
        <w:rPr>
          <w:rStyle w:val="hps"/>
          <w:szCs w:val="22"/>
          <w:lang w:val="es-ES_tradnl"/>
        </w:rPr>
        <w:t xml:space="preserve"> 2010</w:t>
      </w:r>
      <w:r w:rsidRPr="000A19E1">
        <w:rPr>
          <w:szCs w:val="22"/>
          <w:lang w:val="es-ES_tradnl"/>
        </w:rPr>
        <w:t xml:space="preserve">, </w:t>
      </w:r>
      <w:r w:rsidRPr="000A19E1">
        <w:rPr>
          <w:rStyle w:val="hps"/>
          <w:szCs w:val="22"/>
          <w:lang w:val="es-ES_tradnl"/>
        </w:rPr>
        <w:t>aunque se aprecia una</w:t>
      </w:r>
      <w:r w:rsidRPr="000A19E1">
        <w:rPr>
          <w:szCs w:val="22"/>
          <w:lang w:val="es-ES_tradnl"/>
        </w:rPr>
        <w:t xml:space="preserve"> </w:t>
      </w:r>
      <w:r w:rsidRPr="000A19E1">
        <w:rPr>
          <w:rStyle w:val="hps"/>
          <w:szCs w:val="22"/>
          <w:lang w:val="es-ES_tradnl"/>
        </w:rPr>
        <w:t>clara tendencia al alza</w:t>
      </w:r>
      <w:r w:rsidRPr="000A19E1">
        <w:rPr>
          <w:szCs w:val="22"/>
          <w:lang w:val="es-ES_tradnl"/>
        </w:rPr>
        <w:t xml:space="preserve"> </w:t>
      </w:r>
      <w:r w:rsidRPr="000A19E1">
        <w:rPr>
          <w:rStyle w:val="hps"/>
          <w:szCs w:val="22"/>
          <w:lang w:val="es-ES_tradnl"/>
        </w:rPr>
        <w:t>desde</w:t>
      </w:r>
      <w:r w:rsidRPr="000A19E1">
        <w:rPr>
          <w:szCs w:val="22"/>
          <w:lang w:val="es-ES_tradnl"/>
        </w:rPr>
        <w:t xml:space="preserve"> </w:t>
      </w:r>
      <w:r w:rsidRPr="000A19E1">
        <w:rPr>
          <w:rStyle w:val="hps"/>
          <w:szCs w:val="22"/>
          <w:lang w:val="es-ES_tradnl"/>
        </w:rPr>
        <w:t>2001</w:t>
      </w:r>
      <w:r w:rsidRPr="000A19E1">
        <w:rPr>
          <w:szCs w:val="22"/>
          <w:lang w:val="es-ES_tradnl"/>
        </w:rPr>
        <w:t xml:space="preserve"> </w:t>
      </w:r>
      <w:r w:rsidRPr="000A19E1">
        <w:rPr>
          <w:rStyle w:val="hps"/>
          <w:szCs w:val="22"/>
          <w:lang w:val="es-ES_tradnl"/>
        </w:rPr>
        <w:t>en adelante.</w:t>
      </w:r>
      <w:r>
        <w:rPr>
          <w:rStyle w:val="hps"/>
          <w:szCs w:val="22"/>
          <w:lang w:val="es-ES_tradnl"/>
        </w:rPr>
        <w:t xml:space="preserve"> </w:t>
      </w:r>
      <w:r w:rsidR="006E43FF">
        <w:rPr>
          <w:rStyle w:val="hps"/>
          <w:szCs w:val="22"/>
          <w:lang w:val="es-ES_tradnl"/>
        </w:rPr>
        <w:t xml:space="preserve"> </w:t>
      </w:r>
      <w:r w:rsidRPr="000A19E1">
        <w:rPr>
          <w:rStyle w:val="hps"/>
          <w:szCs w:val="22"/>
          <w:lang w:val="es-ES_tradnl"/>
        </w:rPr>
        <w:t>Es probable que esto</w:t>
      </w:r>
      <w:r w:rsidRPr="000A19E1">
        <w:rPr>
          <w:szCs w:val="22"/>
          <w:lang w:val="es-ES_tradnl"/>
        </w:rPr>
        <w:t xml:space="preserve"> </w:t>
      </w:r>
      <w:r w:rsidRPr="000A19E1">
        <w:rPr>
          <w:rStyle w:val="hps"/>
          <w:szCs w:val="22"/>
          <w:lang w:val="es-ES_tradnl"/>
        </w:rPr>
        <w:t>refleje</w:t>
      </w:r>
      <w:r w:rsidRPr="000A19E1">
        <w:rPr>
          <w:szCs w:val="22"/>
          <w:lang w:val="es-ES_tradnl"/>
        </w:rPr>
        <w:t xml:space="preserve"> </w:t>
      </w:r>
      <w:r w:rsidRPr="000A19E1">
        <w:rPr>
          <w:rStyle w:val="hps"/>
          <w:szCs w:val="22"/>
          <w:lang w:val="es-ES_tradnl"/>
        </w:rPr>
        <w:t>una</w:t>
      </w:r>
      <w:r w:rsidRPr="000A19E1">
        <w:rPr>
          <w:szCs w:val="22"/>
          <w:lang w:val="es-ES_tradnl"/>
        </w:rPr>
        <w:t xml:space="preserve"> </w:t>
      </w:r>
      <w:r w:rsidRPr="000A19E1">
        <w:rPr>
          <w:rStyle w:val="hps"/>
          <w:szCs w:val="22"/>
          <w:lang w:val="es-ES_tradnl"/>
        </w:rPr>
        <w:t>cada vez más exitosa orientación a la exportación</w:t>
      </w:r>
      <w:r w:rsidRPr="000A19E1">
        <w:rPr>
          <w:szCs w:val="22"/>
          <w:lang w:val="es-ES_tradnl"/>
        </w:rPr>
        <w:t xml:space="preserve"> </w:t>
      </w:r>
      <w:r w:rsidRPr="000A19E1">
        <w:rPr>
          <w:rStyle w:val="hps"/>
          <w:szCs w:val="22"/>
          <w:lang w:val="es-ES_tradnl"/>
        </w:rPr>
        <w:t>por parte de al menos algunas</w:t>
      </w:r>
      <w:r w:rsidRPr="000A19E1">
        <w:rPr>
          <w:szCs w:val="22"/>
          <w:lang w:val="es-ES_tradnl"/>
        </w:rPr>
        <w:t xml:space="preserve"> </w:t>
      </w:r>
      <w:r>
        <w:rPr>
          <w:rStyle w:val="hps"/>
          <w:szCs w:val="22"/>
          <w:lang w:val="es-ES_tradnl"/>
        </w:rPr>
        <w:t>empresas</w:t>
      </w:r>
      <w:r w:rsidRPr="000A19E1">
        <w:rPr>
          <w:rStyle w:val="hps"/>
          <w:szCs w:val="22"/>
          <w:lang w:val="es-ES_tradnl"/>
        </w:rPr>
        <w:t xml:space="preserve"> chilenas.</w:t>
      </w:r>
    </w:p>
    <w:p w:rsidR="001A2943" w:rsidRDefault="001A2943" w:rsidP="001A2943">
      <w:pPr>
        <w:rPr>
          <w:lang w:val="es-ES_tradnl"/>
        </w:rPr>
      </w:pPr>
    </w:p>
    <w:p w:rsidR="00B80E52" w:rsidRDefault="00B80E52" w:rsidP="001A2943">
      <w:pPr>
        <w:rPr>
          <w:lang w:val="es-ES_tradnl"/>
        </w:rPr>
      </w:pPr>
    </w:p>
    <w:p w:rsidR="00B80E52" w:rsidRPr="000A19E1" w:rsidRDefault="00B80E52" w:rsidP="001A2943">
      <w:pPr>
        <w:rPr>
          <w:lang w:val="es-ES_tradnl"/>
        </w:rPr>
      </w:pPr>
    </w:p>
    <w:p w:rsidR="001A2943" w:rsidRPr="000A19E1" w:rsidRDefault="001A2943" w:rsidP="001A2943">
      <w:pPr>
        <w:jc w:val="center"/>
        <w:rPr>
          <w:lang w:val="es-ES_tradnl"/>
        </w:rPr>
      </w:pPr>
      <w:r w:rsidRPr="000A19E1">
        <w:rPr>
          <w:b/>
          <w:lang w:val="es-ES_tradnl"/>
        </w:rPr>
        <w:lastRenderedPageBreak/>
        <w:t>Gráfico 22</w:t>
      </w:r>
      <w:proofErr w:type="gramStart"/>
      <w:r w:rsidRPr="000A19E1">
        <w:rPr>
          <w:b/>
          <w:lang w:val="es-ES_tradnl"/>
        </w:rPr>
        <w:t>:</w:t>
      </w:r>
      <w:r>
        <w:rPr>
          <w:b/>
          <w:lang w:val="es-ES_tradnl"/>
        </w:rPr>
        <w:t xml:space="preserve"> </w:t>
      </w:r>
      <w:r w:rsidR="00B80E52">
        <w:rPr>
          <w:b/>
          <w:lang w:val="es-ES_tradnl"/>
        </w:rPr>
        <w:t xml:space="preserve"> </w:t>
      </w:r>
      <w:r w:rsidRPr="000A19E1">
        <w:rPr>
          <w:b/>
          <w:lang w:val="es-ES_tradnl"/>
        </w:rPr>
        <w:t>Proporción</w:t>
      </w:r>
      <w:proofErr w:type="gramEnd"/>
      <w:r w:rsidRPr="000A19E1">
        <w:rPr>
          <w:b/>
          <w:lang w:val="es-ES_tradnl"/>
        </w:rPr>
        <w:t xml:space="preserve"> de solicitantes que presentan sólo en el país y que presentan tanto en el país como en el exterior (año de solicitud 1991-2010)</w:t>
      </w:r>
    </w:p>
    <w:p w:rsidR="001A2943" w:rsidRPr="000A19E1" w:rsidRDefault="001A2943" w:rsidP="001A2943">
      <w:pPr>
        <w:jc w:val="center"/>
        <w:rPr>
          <w:lang w:val="es-ES_tradnl"/>
        </w:rPr>
      </w:pPr>
      <w:r w:rsidRPr="000A19E1">
        <w:rPr>
          <w:noProof/>
          <w:lang w:val="en-US" w:eastAsia="en-US"/>
        </w:rPr>
        <w:drawing>
          <wp:inline distT="0" distB="0" distL="0" distR="0" wp14:anchorId="3041BCD9" wp14:editId="64F69C35">
            <wp:extent cx="5120640" cy="3745230"/>
            <wp:effectExtent l="0" t="0" r="0" b="7620"/>
            <wp:docPr id="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jc w:val="center"/>
        <w:rPr>
          <w:lang w:val="es-ES_tradnl"/>
        </w:rPr>
      </w:pPr>
    </w:p>
    <w:p w:rsidR="001A2943" w:rsidRPr="000A19E1" w:rsidRDefault="001A2943" w:rsidP="001A2943">
      <w:pPr>
        <w:rPr>
          <w:szCs w:val="22"/>
          <w:lang w:val="es-ES_tradnl"/>
        </w:rPr>
      </w:pPr>
      <w:r w:rsidRPr="000A19E1">
        <w:rPr>
          <w:szCs w:val="22"/>
          <w:lang w:val="es-ES_tradnl"/>
        </w:rPr>
        <w:t>El Gráfico 23 muestra la distribución de todas las familias internacionales de patentes con al menos un solicitante chileno de acuerdo a la autoridad de presentación de prioridad.</w:t>
      </w:r>
      <w:r>
        <w:rPr>
          <w:szCs w:val="22"/>
          <w:lang w:val="es-ES_tradnl"/>
        </w:rPr>
        <w:t xml:space="preserve"> </w:t>
      </w:r>
      <w:r w:rsidRPr="000A19E1">
        <w:rPr>
          <w:szCs w:val="22"/>
          <w:lang w:val="es-ES_tradnl"/>
        </w:rPr>
        <w:t>Curiosamente, Chile representa casi la mitad de todas las solicitudes de prioridad.</w:t>
      </w:r>
      <w:r w:rsidR="00FC3187">
        <w:rPr>
          <w:szCs w:val="22"/>
          <w:lang w:val="es-ES_tradnl"/>
        </w:rPr>
        <w:t xml:space="preserve"> </w:t>
      </w:r>
      <w:r>
        <w:rPr>
          <w:szCs w:val="22"/>
          <w:lang w:val="es-ES_tradnl"/>
        </w:rPr>
        <w:t xml:space="preserve"> </w:t>
      </w:r>
      <w:r w:rsidRPr="000A19E1">
        <w:rPr>
          <w:szCs w:val="22"/>
          <w:lang w:val="es-ES_tradnl"/>
        </w:rPr>
        <w:t>Esto puede sugerir que la mitad de las invenciones que subyacen a estas familias de patentes también se originan en Chile y se consideran lo suficientemente prometedoras como para buscar la protección de patentes en el extranjero.</w:t>
      </w:r>
      <w:r w:rsidR="00FC3187">
        <w:rPr>
          <w:szCs w:val="22"/>
          <w:lang w:val="es-ES_tradnl"/>
        </w:rPr>
        <w:t xml:space="preserve"> </w:t>
      </w:r>
      <w:r>
        <w:rPr>
          <w:szCs w:val="22"/>
          <w:lang w:val="es-ES_tradnl"/>
        </w:rPr>
        <w:t xml:space="preserve"> </w:t>
      </w:r>
      <w:r w:rsidRPr="000A19E1">
        <w:rPr>
          <w:szCs w:val="22"/>
          <w:lang w:val="es-ES_tradnl"/>
        </w:rPr>
        <w:t>Las oficinas extranjeras más importantes para la primera presentación se encuentran en los EE.UU. y Europa, representando un promedio de casi el 42% de todas las solicitudes prioritarias.</w:t>
      </w:r>
      <w:r w:rsidR="00FC3187">
        <w:rPr>
          <w:szCs w:val="22"/>
          <w:lang w:val="es-ES_tradnl"/>
        </w:rPr>
        <w:t xml:space="preserve"> </w:t>
      </w:r>
      <w:r>
        <w:rPr>
          <w:szCs w:val="22"/>
          <w:lang w:val="es-ES_tradnl"/>
        </w:rPr>
        <w:t xml:space="preserve"> </w:t>
      </w:r>
      <w:r w:rsidRPr="000A19E1">
        <w:rPr>
          <w:szCs w:val="22"/>
          <w:lang w:val="es-ES_tradnl"/>
        </w:rPr>
        <w:t>Otros países de América del Sur, por el contrario, rara vez son la jurisdicción de la primera presentación.</w:t>
      </w:r>
    </w:p>
    <w:p w:rsidR="001A2943" w:rsidRPr="000A19E1" w:rsidRDefault="001A2943" w:rsidP="001A2943">
      <w:pPr>
        <w:rPr>
          <w:lang w:val="es-ES_tradnl"/>
        </w:rPr>
      </w:pPr>
    </w:p>
    <w:p w:rsidR="001A2943" w:rsidRPr="000A19E1" w:rsidRDefault="001A2943" w:rsidP="001A2943">
      <w:pPr>
        <w:rPr>
          <w:lang w:val="es-ES_tradnl"/>
        </w:rPr>
      </w:pPr>
    </w:p>
    <w:p w:rsidR="001A2943" w:rsidRPr="000A19E1" w:rsidRDefault="001A2943" w:rsidP="001A2943">
      <w:pPr>
        <w:keepNext/>
        <w:jc w:val="center"/>
        <w:rPr>
          <w:lang w:val="es-ES_tradnl"/>
        </w:rPr>
      </w:pPr>
      <w:r w:rsidRPr="000A19E1">
        <w:rPr>
          <w:b/>
          <w:lang w:val="es-ES_tradnl"/>
        </w:rPr>
        <w:lastRenderedPageBreak/>
        <w:t>Gráfico 23</w:t>
      </w:r>
      <w:proofErr w:type="gramStart"/>
      <w:r w:rsidRPr="000A19E1">
        <w:rPr>
          <w:b/>
          <w:lang w:val="es-ES_tradnl"/>
        </w:rPr>
        <w:t>:</w:t>
      </w:r>
      <w:r>
        <w:rPr>
          <w:b/>
          <w:lang w:val="es-ES_tradnl"/>
        </w:rPr>
        <w:t xml:space="preserve"> </w:t>
      </w:r>
      <w:r w:rsidR="00050CAD">
        <w:rPr>
          <w:b/>
          <w:lang w:val="es-ES_tradnl"/>
        </w:rPr>
        <w:t xml:space="preserve"> </w:t>
      </w:r>
      <w:r w:rsidRPr="000A19E1">
        <w:rPr>
          <w:b/>
          <w:lang w:val="es-ES_tradnl"/>
        </w:rPr>
        <w:t>Oficina</w:t>
      </w:r>
      <w:proofErr w:type="gramEnd"/>
      <w:r w:rsidRPr="000A19E1">
        <w:rPr>
          <w:b/>
          <w:lang w:val="es-ES_tradnl"/>
        </w:rPr>
        <w:t xml:space="preserve"> de presentación de prioridad de las solicitudes internacionales chilenas (1991-2010)</w:t>
      </w:r>
    </w:p>
    <w:p w:rsidR="001A2943" w:rsidRPr="000A19E1" w:rsidRDefault="001A2943" w:rsidP="001A2943">
      <w:pPr>
        <w:keepNext/>
        <w:jc w:val="center"/>
        <w:rPr>
          <w:lang w:val="es-ES_tradnl"/>
        </w:rPr>
      </w:pPr>
      <w:r w:rsidRPr="000A19E1">
        <w:rPr>
          <w:noProof/>
          <w:lang w:val="en-US" w:eastAsia="en-US"/>
        </w:rPr>
        <w:drawing>
          <wp:inline distT="0" distB="0" distL="0" distR="0" wp14:anchorId="0C05E35C" wp14:editId="58EFFB9D">
            <wp:extent cx="5120640" cy="3745230"/>
            <wp:effectExtent l="0" t="0" r="0" b="7620"/>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szCs w:val="22"/>
          <w:lang w:val="es-ES_tradnl"/>
        </w:rPr>
      </w:pPr>
      <w:r w:rsidRPr="000A19E1">
        <w:rPr>
          <w:szCs w:val="22"/>
          <w:lang w:val="es-ES_tradnl"/>
        </w:rPr>
        <w:t>Para tener una visión más clara acerca de dónde presentan las solicitudes de patentes los solicitantes chilenos, el Gráfico 24 muestra todas las oficinas en las que se presentaron equivalentes (es decir, el Gráfico 24 muestra todos los equivalentes asociados con las presentaciones de prioridad).</w:t>
      </w:r>
      <w:r>
        <w:rPr>
          <w:szCs w:val="22"/>
          <w:lang w:val="es-ES_tradnl"/>
        </w:rPr>
        <w:t xml:space="preserve"> </w:t>
      </w:r>
      <w:r w:rsidR="00FC3187">
        <w:rPr>
          <w:szCs w:val="22"/>
          <w:lang w:val="es-ES_tradnl"/>
        </w:rPr>
        <w:t xml:space="preserve"> </w:t>
      </w:r>
      <w:r w:rsidRPr="000A19E1">
        <w:rPr>
          <w:szCs w:val="22"/>
          <w:lang w:val="es-ES_tradnl"/>
        </w:rPr>
        <w:t>Esto demuestra que la mayoría de las presentaciones en el extranjero van a la UE y a los EE.UU.</w:t>
      </w:r>
      <w:r>
        <w:rPr>
          <w:szCs w:val="22"/>
          <w:lang w:val="es-ES_tradnl"/>
        </w:rPr>
        <w:t xml:space="preserve"> </w:t>
      </w:r>
      <w:r w:rsidR="00FC3187">
        <w:rPr>
          <w:szCs w:val="22"/>
          <w:lang w:val="es-ES_tradnl"/>
        </w:rPr>
        <w:t xml:space="preserve"> </w:t>
      </w:r>
      <w:r w:rsidRPr="000A19E1">
        <w:rPr>
          <w:szCs w:val="22"/>
          <w:lang w:val="es-ES_tradnl"/>
        </w:rPr>
        <w:t>Otras jurisdicciones importantes son Australia y Canadá</w:t>
      </w:r>
      <w:r w:rsidRPr="000A19E1">
        <w:rPr>
          <w:rFonts w:eastAsia="Times New Roman"/>
          <w:szCs w:val="22"/>
          <w:lang w:val="es-ES_tradnl" w:eastAsia="es-ES"/>
        </w:rPr>
        <w:t>.</w:t>
      </w:r>
      <w:r w:rsidRPr="000A19E1">
        <w:rPr>
          <w:rStyle w:val="FootnoteReference"/>
          <w:szCs w:val="22"/>
          <w:lang w:val="es-ES_tradnl"/>
        </w:rPr>
        <w:footnoteReference w:id="34"/>
      </w:r>
      <w:r>
        <w:rPr>
          <w:szCs w:val="22"/>
          <w:lang w:val="es-ES_tradnl"/>
        </w:rPr>
        <w:t xml:space="preserve"> </w:t>
      </w:r>
      <w:r w:rsidR="00FC3187">
        <w:rPr>
          <w:szCs w:val="22"/>
          <w:lang w:val="es-ES_tradnl"/>
        </w:rPr>
        <w:t xml:space="preserve"> </w:t>
      </w:r>
      <w:r w:rsidRPr="000A19E1">
        <w:rPr>
          <w:szCs w:val="22"/>
          <w:lang w:val="es-ES_tradnl"/>
        </w:rPr>
        <w:t>El gráfico también refleja los cambios en el panorama internacional de la P.I</w:t>
      </w:r>
      <w:proofErr w:type="gramStart"/>
      <w:r w:rsidRPr="000A19E1">
        <w:rPr>
          <w:szCs w:val="22"/>
          <w:lang w:val="es-ES_tradnl"/>
        </w:rPr>
        <w:t>:</w:t>
      </w:r>
      <w:r>
        <w:rPr>
          <w:szCs w:val="22"/>
          <w:lang w:val="es-ES_tradnl"/>
        </w:rPr>
        <w:t xml:space="preserve"> </w:t>
      </w:r>
      <w:r w:rsidR="00FC3187">
        <w:rPr>
          <w:szCs w:val="22"/>
          <w:lang w:val="es-ES_tradnl"/>
        </w:rPr>
        <w:t xml:space="preserve"> </w:t>
      </w:r>
      <w:r w:rsidRPr="000A19E1">
        <w:rPr>
          <w:szCs w:val="22"/>
          <w:lang w:val="es-ES_tradnl"/>
        </w:rPr>
        <w:t>China</w:t>
      </w:r>
      <w:proofErr w:type="gramEnd"/>
      <w:r w:rsidRPr="000A19E1">
        <w:rPr>
          <w:szCs w:val="22"/>
          <w:lang w:val="es-ES_tradnl"/>
        </w:rPr>
        <w:t>, México y Sudáfrica emergen a partir de 2000 como importantes destinos para las patentes de solicitantes chilenos.</w:t>
      </w:r>
    </w:p>
    <w:p w:rsidR="001A2943" w:rsidRPr="000A19E1" w:rsidRDefault="001A2943" w:rsidP="001A2943">
      <w:pPr>
        <w:rPr>
          <w:lang w:val="es-ES_tradnl"/>
        </w:rPr>
      </w:pPr>
    </w:p>
    <w:p w:rsidR="001A2943" w:rsidRPr="000A19E1" w:rsidRDefault="001A2943" w:rsidP="001A2943">
      <w:pPr>
        <w:rPr>
          <w:lang w:val="es-ES_tradnl"/>
        </w:rPr>
      </w:pPr>
    </w:p>
    <w:p w:rsidR="001A2943" w:rsidRPr="000A19E1" w:rsidRDefault="001A2943" w:rsidP="001A2943">
      <w:pPr>
        <w:keepNext/>
        <w:jc w:val="center"/>
        <w:rPr>
          <w:lang w:val="es-ES_tradnl"/>
        </w:rPr>
      </w:pPr>
      <w:r w:rsidRPr="000A19E1">
        <w:rPr>
          <w:b/>
          <w:lang w:val="es-ES_tradnl"/>
        </w:rPr>
        <w:lastRenderedPageBreak/>
        <w:t>Gráfico 24</w:t>
      </w:r>
      <w:proofErr w:type="gramStart"/>
      <w:r w:rsidRPr="000A19E1">
        <w:rPr>
          <w:b/>
          <w:lang w:val="es-ES_tradnl"/>
        </w:rPr>
        <w:t>:</w:t>
      </w:r>
      <w:r>
        <w:rPr>
          <w:b/>
          <w:lang w:val="es-ES_tradnl"/>
        </w:rPr>
        <w:t xml:space="preserve"> </w:t>
      </w:r>
      <w:r w:rsidR="00807E77">
        <w:rPr>
          <w:b/>
          <w:lang w:val="es-ES_tradnl"/>
        </w:rPr>
        <w:t xml:space="preserve"> </w:t>
      </w:r>
      <w:r w:rsidRPr="000A19E1">
        <w:rPr>
          <w:b/>
          <w:lang w:val="es-ES_tradnl"/>
        </w:rPr>
        <w:t>Oficinas</w:t>
      </w:r>
      <w:proofErr w:type="gramEnd"/>
      <w:r w:rsidRPr="000A19E1">
        <w:rPr>
          <w:b/>
          <w:lang w:val="es-ES_tradnl"/>
        </w:rPr>
        <w:t xml:space="preserve"> de familias de solicitudes internacional presentadas por solicitantes chilenos (1991-2010)</w:t>
      </w:r>
      <w:r w:rsidRPr="000A19E1" w:rsidDel="009B2DF1">
        <w:rPr>
          <w:b/>
          <w:lang w:val="es-ES_tradnl"/>
        </w:rPr>
        <w:t xml:space="preserve"> </w:t>
      </w:r>
    </w:p>
    <w:p w:rsidR="001A2943" w:rsidRPr="000A19E1" w:rsidRDefault="001A2943" w:rsidP="001A2943">
      <w:pPr>
        <w:keepNext/>
        <w:jc w:val="center"/>
        <w:rPr>
          <w:lang w:val="es-ES_tradnl"/>
        </w:rPr>
      </w:pPr>
      <w:r w:rsidRPr="000A19E1">
        <w:rPr>
          <w:noProof/>
          <w:lang w:val="en-US" w:eastAsia="en-US"/>
        </w:rPr>
        <w:drawing>
          <wp:inline distT="0" distB="0" distL="0" distR="0" wp14:anchorId="2E349C3A" wp14:editId="335A1724">
            <wp:extent cx="5120640" cy="3745230"/>
            <wp:effectExtent l="0" t="0" r="0" b="7620"/>
            <wp:docPr id="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lang w:val="es-ES_tradnl"/>
        </w:rPr>
      </w:pPr>
    </w:p>
    <w:p w:rsidR="001A2943" w:rsidRPr="000A19E1" w:rsidRDefault="001A2943" w:rsidP="001A2943">
      <w:pPr>
        <w:textAlignment w:val="top"/>
        <w:rPr>
          <w:szCs w:val="22"/>
          <w:lang w:val="es-ES_tradnl"/>
        </w:rPr>
      </w:pPr>
      <w:r w:rsidRPr="000A19E1">
        <w:rPr>
          <w:szCs w:val="22"/>
          <w:lang w:val="es-ES_tradnl"/>
        </w:rPr>
        <w:t>Para entender mejor lo que determina la elección de la jurisdicción, el Gráfico 25 muestra la distribución tecnológica por jurisdicción.</w:t>
      </w:r>
      <w:r w:rsidR="00FC3187">
        <w:rPr>
          <w:szCs w:val="22"/>
          <w:lang w:val="es-ES_tradnl"/>
        </w:rPr>
        <w:t xml:space="preserve"> </w:t>
      </w:r>
      <w:r>
        <w:rPr>
          <w:szCs w:val="22"/>
          <w:lang w:val="es-ES_tradnl"/>
        </w:rPr>
        <w:t xml:space="preserve"> </w:t>
      </w:r>
      <w:r w:rsidRPr="000A19E1">
        <w:rPr>
          <w:szCs w:val="22"/>
          <w:lang w:val="es-ES_tradnl"/>
        </w:rPr>
        <w:t>Hay algunas diferencias en la distribución tecnológica entre jurisdicciones.</w:t>
      </w:r>
      <w:r>
        <w:rPr>
          <w:szCs w:val="22"/>
          <w:lang w:val="es-ES_tradnl"/>
        </w:rPr>
        <w:t xml:space="preserve"> </w:t>
      </w:r>
      <w:r w:rsidR="00FC3187">
        <w:rPr>
          <w:szCs w:val="22"/>
          <w:lang w:val="es-ES_tradnl"/>
        </w:rPr>
        <w:t xml:space="preserve"> </w:t>
      </w:r>
      <w:r w:rsidRPr="000A19E1">
        <w:rPr>
          <w:szCs w:val="22"/>
          <w:lang w:val="es-ES_tradnl"/>
        </w:rPr>
        <w:t>Los productos químicos y farmacéuticos predominan en las solicitudes en la mayoría de las jurisdicciones.</w:t>
      </w:r>
      <w:r>
        <w:rPr>
          <w:szCs w:val="22"/>
          <w:lang w:val="es-ES_tradnl"/>
        </w:rPr>
        <w:t xml:space="preserve"> </w:t>
      </w:r>
      <w:r w:rsidR="00FC3187">
        <w:rPr>
          <w:szCs w:val="22"/>
          <w:lang w:val="es-ES_tradnl"/>
        </w:rPr>
        <w:t xml:space="preserve"> </w:t>
      </w:r>
      <w:r w:rsidRPr="000A19E1">
        <w:rPr>
          <w:szCs w:val="22"/>
          <w:lang w:val="es-ES_tradnl"/>
        </w:rPr>
        <w:t>Como se discutió en la Sección 7, la mayoría de las patentes en esta área es presentada por empresas chilenas de la industria minera y por universidades y que a su vez con frecuencia buscan la protección a través de patentes en el extranjero.</w:t>
      </w:r>
      <w:r>
        <w:rPr>
          <w:szCs w:val="22"/>
          <w:lang w:val="es-ES_tradnl"/>
        </w:rPr>
        <w:t xml:space="preserve"> </w:t>
      </w:r>
      <w:r w:rsidRPr="000A19E1">
        <w:rPr>
          <w:szCs w:val="22"/>
          <w:lang w:val="es-ES_tradnl"/>
        </w:rPr>
        <w:t>También hay un porcentaje relativamente elevado de solicitudes de patentes en ingeniería mecánica en Canadá, China y otros países de América Latina.</w:t>
      </w:r>
    </w:p>
    <w:p w:rsidR="001A2943" w:rsidRPr="000A19E1" w:rsidRDefault="001A2943" w:rsidP="001A2943">
      <w:pPr>
        <w:rPr>
          <w:lang w:val="es-ES_tradnl"/>
        </w:rPr>
      </w:pPr>
    </w:p>
    <w:p w:rsidR="001A2943" w:rsidRPr="000A19E1" w:rsidRDefault="001A2943" w:rsidP="001A2943">
      <w:pPr>
        <w:keepNext/>
        <w:jc w:val="center"/>
        <w:rPr>
          <w:lang w:val="es-ES_tradnl"/>
        </w:rPr>
      </w:pPr>
      <w:r w:rsidRPr="000A19E1">
        <w:rPr>
          <w:b/>
          <w:lang w:val="es-ES_tradnl"/>
        </w:rPr>
        <w:lastRenderedPageBreak/>
        <w:t>Gráfico 25</w:t>
      </w:r>
      <w:proofErr w:type="gramStart"/>
      <w:r w:rsidRPr="000A19E1">
        <w:rPr>
          <w:b/>
          <w:lang w:val="es-ES_tradnl"/>
        </w:rPr>
        <w:t>:</w:t>
      </w:r>
      <w:r>
        <w:rPr>
          <w:b/>
          <w:lang w:val="es-ES_tradnl"/>
        </w:rPr>
        <w:t xml:space="preserve"> </w:t>
      </w:r>
      <w:r w:rsidR="00807E77">
        <w:rPr>
          <w:b/>
          <w:lang w:val="es-ES_tradnl"/>
        </w:rPr>
        <w:t xml:space="preserve"> </w:t>
      </w:r>
      <w:r w:rsidRPr="000A19E1">
        <w:rPr>
          <w:b/>
          <w:lang w:val="es-ES_tradnl"/>
        </w:rPr>
        <w:t>Distribución</w:t>
      </w:r>
      <w:proofErr w:type="gramEnd"/>
      <w:r w:rsidRPr="000A19E1">
        <w:rPr>
          <w:b/>
          <w:lang w:val="es-ES_tradnl"/>
        </w:rPr>
        <w:t xml:space="preserve"> tecnológica CIP de las solicitudes internacionales de solicitantes chilenos por oficina de presentación de prioridad (1991-2010)</w:t>
      </w:r>
    </w:p>
    <w:p w:rsidR="001A2943" w:rsidRPr="000A19E1" w:rsidRDefault="001A2943" w:rsidP="001A2943">
      <w:pPr>
        <w:jc w:val="center"/>
        <w:rPr>
          <w:lang w:val="es-ES_tradnl"/>
        </w:rPr>
      </w:pPr>
      <w:r w:rsidRPr="000A19E1">
        <w:rPr>
          <w:noProof/>
          <w:lang w:val="en-US" w:eastAsia="en-US"/>
        </w:rPr>
        <w:drawing>
          <wp:inline distT="0" distB="0" distL="0" distR="0" wp14:anchorId="54EE7382" wp14:editId="5AD22E1F">
            <wp:extent cx="5120640" cy="3745230"/>
            <wp:effectExtent l="0" t="0" r="0" b="7620"/>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El Cuadro 7 enumera los 10 principales solicitantes chilenos en el exterior.</w:t>
      </w:r>
      <w:r>
        <w:rPr>
          <w:szCs w:val="22"/>
          <w:lang w:val="es-ES_tradnl"/>
        </w:rPr>
        <w:t xml:space="preserve"> </w:t>
      </w:r>
      <w:r w:rsidR="00FC3187">
        <w:rPr>
          <w:szCs w:val="22"/>
          <w:lang w:val="es-ES_tradnl"/>
        </w:rPr>
        <w:t xml:space="preserve"> </w:t>
      </w:r>
      <w:r w:rsidRPr="000A19E1">
        <w:rPr>
          <w:szCs w:val="22"/>
          <w:lang w:val="es-ES_tradnl"/>
        </w:rPr>
        <w:t>El cuadro tiene similitudes con el de los 10 principales solicitantes de patentes residentes (Cuadro 2).</w:t>
      </w:r>
      <w:r w:rsidR="00FC3187">
        <w:rPr>
          <w:szCs w:val="22"/>
          <w:lang w:val="es-ES_tradnl"/>
        </w:rPr>
        <w:t xml:space="preserve"> </w:t>
      </w:r>
      <w:r>
        <w:rPr>
          <w:szCs w:val="22"/>
          <w:lang w:val="es-ES_tradnl"/>
        </w:rPr>
        <w:t xml:space="preserve"> </w:t>
      </w:r>
      <w:r w:rsidRPr="000A19E1">
        <w:rPr>
          <w:szCs w:val="22"/>
          <w:lang w:val="es-ES_tradnl"/>
        </w:rPr>
        <w:t>Las seis universidades que aparecen en el Cuadro 2 también se encuentran entre los 10 primeros solicitantes en el exterior.</w:t>
      </w:r>
      <w:r>
        <w:rPr>
          <w:szCs w:val="22"/>
          <w:lang w:val="es-ES_tradnl"/>
        </w:rPr>
        <w:t xml:space="preserve"> </w:t>
      </w:r>
      <w:r w:rsidR="00FC3187">
        <w:rPr>
          <w:szCs w:val="22"/>
          <w:lang w:val="es-ES_tradnl"/>
        </w:rPr>
        <w:t xml:space="preserve"> </w:t>
      </w:r>
      <w:r w:rsidRPr="000A19E1">
        <w:rPr>
          <w:szCs w:val="22"/>
          <w:lang w:val="es-ES_tradnl"/>
        </w:rPr>
        <w:t xml:space="preserve">Además, </w:t>
      </w:r>
      <w:proofErr w:type="spellStart"/>
      <w:r w:rsidRPr="000A19E1">
        <w:rPr>
          <w:szCs w:val="22"/>
          <w:lang w:val="es-ES_tradnl"/>
        </w:rPr>
        <w:t>Biosigma</w:t>
      </w:r>
      <w:proofErr w:type="spellEnd"/>
      <w:r w:rsidRPr="000A19E1">
        <w:rPr>
          <w:szCs w:val="22"/>
          <w:lang w:val="es-ES_tradnl"/>
        </w:rPr>
        <w:t xml:space="preserve"> y Codelco aparecen en ambas listas.</w:t>
      </w:r>
      <w:r>
        <w:rPr>
          <w:szCs w:val="22"/>
          <w:lang w:val="es-ES_tradnl"/>
        </w:rPr>
        <w:t xml:space="preserve"> </w:t>
      </w:r>
      <w:r w:rsidR="00FC3187">
        <w:rPr>
          <w:szCs w:val="22"/>
          <w:lang w:val="es-ES_tradnl"/>
        </w:rPr>
        <w:t xml:space="preserve"> </w:t>
      </w:r>
      <w:proofErr w:type="spellStart"/>
      <w:r w:rsidRPr="000A19E1">
        <w:rPr>
          <w:szCs w:val="22"/>
          <w:lang w:val="es-ES_tradnl"/>
        </w:rPr>
        <w:t>Vulco</w:t>
      </w:r>
      <w:proofErr w:type="spellEnd"/>
      <w:r w:rsidRPr="000A19E1">
        <w:rPr>
          <w:szCs w:val="22"/>
          <w:lang w:val="es-ES_tradnl"/>
        </w:rPr>
        <w:t xml:space="preserve"> y </w:t>
      </w:r>
      <w:proofErr w:type="spellStart"/>
      <w:r w:rsidRPr="000A19E1">
        <w:rPr>
          <w:szCs w:val="22"/>
          <w:lang w:val="es-ES_tradnl"/>
        </w:rPr>
        <w:t>Virutex</w:t>
      </w:r>
      <w:proofErr w:type="spellEnd"/>
      <w:r w:rsidRPr="000A19E1">
        <w:rPr>
          <w:szCs w:val="22"/>
          <w:lang w:val="es-ES_tradnl"/>
        </w:rPr>
        <w:t xml:space="preserve"> </w:t>
      </w:r>
      <w:proofErr w:type="spellStart"/>
      <w:r w:rsidRPr="000A19E1">
        <w:rPr>
          <w:szCs w:val="22"/>
          <w:lang w:val="es-ES_tradnl"/>
        </w:rPr>
        <w:t>Ilko</w:t>
      </w:r>
      <w:proofErr w:type="spellEnd"/>
      <w:r w:rsidRPr="000A19E1">
        <w:rPr>
          <w:szCs w:val="22"/>
          <w:lang w:val="es-ES_tradnl"/>
        </w:rPr>
        <w:t xml:space="preserve">, por su parte, aparecen entre las principales </w:t>
      </w:r>
      <w:r>
        <w:rPr>
          <w:szCs w:val="22"/>
          <w:lang w:val="es-ES_tradnl"/>
        </w:rPr>
        <w:t>empresas</w:t>
      </w:r>
      <w:r w:rsidRPr="000A19E1">
        <w:rPr>
          <w:szCs w:val="22"/>
          <w:lang w:val="es-ES_tradnl"/>
        </w:rPr>
        <w:t xml:space="preserve"> solicitantes en el exterior, a pesar de que no se encuentran entre los 10 principales solicitantes residentes.</w:t>
      </w:r>
      <w:r>
        <w:rPr>
          <w:szCs w:val="22"/>
          <w:lang w:val="es-ES_tradnl"/>
        </w:rPr>
        <w:t xml:space="preserve"> </w:t>
      </w:r>
      <w:r w:rsidR="00FC3187">
        <w:rPr>
          <w:szCs w:val="22"/>
          <w:lang w:val="es-ES_tradnl"/>
        </w:rPr>
        <w:t xml:space="preserve"> </w:t>
      </w:r>
      <w:proofErr w:type="spellStart"/>
      <w:r w:rsidRPr="000A19E1">
        <w:rPr>
          <w:szCs w:val="22"/>
          <w:lang w:val="es-ES_tradnl"/>
        </w:rPr>
        <w:t>Vulco</w:t>
      </w:r>
      <w:proofErr w:type="spellEnd"/>
      <w:r w:rsidRPr="000A19E1">
        <w:rPr>
          <w:szCs w:val="22"/>
          <w:lang w:val="es-ES_tradnl"/>
        </w:rPr>
        <w:t xml:space="preserve"> es una empresa de ingeniería mecánica que sirve principalmente a la industria minera.</w:t>
      </w:r>
      <w:r>
        <w:rPr>
          <w:szCs w:val="22"/>
          <w:lang w:val="es-ES_tradnl"/>
        </w:rPr>
        <w:t xml:space="preserve"> </w:t>
      </w:r>
      <w:r w:rsidR="00FC3187">
        <w:rPr>
          <w:szCs w:val="22"/>
          <w:lang w:val="es-ES_tradnl"/>
        </w:rPr>
        <w:t xml:space="preserve"> </w:t>
      </w:r>
      <w:proofErr w:type="spellStart"/>
      <w:r w:rsidRPr="000A19E1">
        <w:rPr>
          <w:szCs w:val="22"/>
          <w:lang w:val="es-ES_tradnl"/>
        </w:rPr>
        <w:t>Virutex</w:t>
      </w:r>
      <w:proofErr w:type="spellEnd"/>
      <w:r w:rsidRPr="000A19E1">
        <w:rPr>
          <w:szCs w:val="22"/>
          <w:lang w:val="es-ES_tradnl"/>
        </w:rPr>
        <w:t xml:space="preserve"> </w:t>
      </w:r>
      <w:proofErr w:type="spellStart"/>
      <w:r w:rsidRPr="000A19E1">
        <w:rPr>
          <w:szCs w:val="22"/>
          <w:lang w:val="es-ES_tradnl"/>
        </w:rPr>
        <w:t>Ilko</w:t>
      </w:r>
      <w:proofErr w:type="spellEnd"/>
      <w:r w:rsidRPr="000A19E1">
        <w:rPr>
          <w:szCs w:val="22"/>
          <w:lang w:val="es-ES_tradnl"/>
        </w:rPr>
        <w:t xml:space="preserve"> es una compañía de bienes de consumo y productos químicos.</w:t>
      </w:r>
    </w:p>
    <w:p w:rsidR="001A2943" w:rsidRPr="000A19E1" w:rsidRDefault="001A2943" w:rsidP="001A2943">
      <w:pPr>
        <w:rPr>
          <w:b/>
          <w:lang w:val="es-ES_tradnl"/>
        </w:rPr>
      </w:pPr>
      <w:r w:rsidRPr="000A19E1">
        <w:rPr>
          <w:b/>
          <w:lang w:val="es-ES_tradnl"/>
        </w:rPr>
        <w:br w:type="page"/>
      </w:r>
    </w:p>
    <w:p w:rsidR="001A2943" w:rsidRPr="000A19E1" w:rsidRDefault="001A2943" w:rsidP="001A2943">
      <w:pPr>
        <w:keepNext/>
        <w:keepLines/>
        <w:jc w:val="center"/>
        <w:rPr>
          <w:lang w:val="es-ES_tradnl"/>
        </w:rPr>
      </w:pPr>
      <w:r w:rsidRPr="000A19E1">
        <w:rPr>
          <w:b/>
          <w:lang w:val="es-ES_tradnl"/>
        </w:rPr>
        <w:lastRenderedPageBreak/>
        <w:t>Cuadro 7</w:t>
      </w:r>
      <w:proofErr w:type="gramStart"/>
      <w:r w:rsidRPr="000A19E1">
        <w:rPr>
          <w:b/>
          <w:lang w:val="es-ES_tradnl"/>
        </w:rPr>
        <w:t>:</w:t>
      </w:r>
      <w:r>
        <w:rPr>
          <w:b/>
          <w:lang w:val="es-ES_tradnl"/>
        </w:rPr>
        <w:t xml:space="preserve"> </w:t>
      </w:r>
      <w:r w:rsidR="00F66F51">
        <w:rPr>
          <w:b/>
          <w:lang w:val="es-ES_tradnl"/>
        </w:rPr>
        <w:t xml:space="preserve"> </w:t>
      </w:r>
      <w:r w:rsidRPr="000A19E1">
        <w:rPr>
          <w:b/>
          <w:lang w:val="es-ES_tradnl"/>
        </w:rPr>
        <w:t>Primeros</w:t>
      </w:r>
      <w:proofErr w:type="gramEnd"/>
      <w:r w:rsidRPr="000A19E1">
        <w:rPr>
          <w:b/>
          <w:lang w:val="es-ES_tradnl"/>
        </w:rPr>
        <w:t xml:space="preserve"> 10 solicitantes chilenos en el exterior </w:t>
      </w:r>
      <w:r w:rsidRPr="000A19E1">
        <w:rPr>
          <w:b/>
          <w:lang w:val="es-ES_tradnl"/>
        </w:rPr>
        <w:noBreakHyphen/>
        <w:t>patentes (1991</w:t>
      </w:r>
      <w:r w:rsidRPr="000A19E1">
        <w:rPr>
          <w:b/>
          <w:lang w:val="es-ES_tradnl"/>
        </w:rPr>
        <w:noBreakHyphen/>
        <w:t>2010)</w:t>
      </w:r>
    </w:p>
    <w:tbl>
      <w:tblPr>
        <w:tblW w:w="9755" w:type="dxa"/>
        <w:tblInd w:w="93" w:type="dxa"/>
        <w:tblLook w:val="04A0" w:firstRow="1" w:lastRow="0" w:firstColumn="1" w:lastColumn="0" w:noHBand="0" w:noVBand="1"/>
      </w:tblPr>
      <w:tblGrid>
        <w:gridCol w:w="947"/>
        <w:gridCol w:w="3719"/>
        <w:gridCol w:w="1583"/>
        <w:gridCol w:w="1367"/>
        <w:gridCol w:w="2139"/>
      </w:tblGrid>
      <w:tr w:rsidR="001A2943" w:rsidRPr="003B7535" w:rsidTr="00500C05">
        <w:trPr>
          <w:trHeight w:val="315"/>
        </w:trPr>
        <w:tc>
          <w:tcPr>
            <w:tcW w:w="947"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3719"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583"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367"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139"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r>
      <w:tr w:rsidR="001A2943" w:rsidRPr="000A19E1" w:rsidTr="00500C05">
        <w:trPr>
          <w:trHeight w:val="300"/>
        </w:trPr>
        <w:tc>
          <w:tcPr>
            <w:tcW w:w="947"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Posición</w:t>
            </w:r>
          </w:p>
        </w:tc>
        <w:tc>
          <w:tcPr>
            <w:tcW w:w="3719"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Nombre</w:t>
            </w:r>
          </w:p>
        </w:tc>
        <w:tc>
          <w:tcPr>
            <w:tcW w:w="1583"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Número de familias internacionales</w:t>
            </w:r>
          </w:p>
        </w:tc>
        <w:tc>
          <w:tcPr>
            <w:tcW w:w="1367"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 Total en el exterior</w:t>
            </w:r>
          </w:p>
        </w:tc>
        <w:tc>
          <w:tcPr>
            <w:tcW w:w="2139" w:type="dxa"/>
            <w:tcBorders>
              <w:top w:val="nil"/>
              <w:left w:val="nil"/>
              <w:bottom w:val="single" w:sz="4" w:space="0" w:color="auto"/>
              <w:right w:val="nil"/>
            </w:tcBorders>
            <w:shd w:val="clear" w:color="auto" w:fill="auto"/>
            <w:noWrap/>
            <w:vAlign w:val="bottom"/>
          </w:tcPr>
          <w:p w:rsidR="001A2943" w:rsidRPr="000A19E1" w:rsidRDefault="001A2943" w:rsidP="00500C05">
            <w:pPr>
              <w:rPr>
                <w:rFonts w:ascii="Calibri" w:eastAsia="Times New Roman" w:hAnsi="Calibri"/>
                <w:i/>
                <w:iCs/>
                <w:szCs w:val="22"/>
                <w:lang w:val="es-ES_tradnl"/>
              </w:rPr>
            </w:pPr>
            <w:r w:rsidRPr="000A19E1">
              <w:rPr>
                <w:rFonts w:ascii="Calibri" w:eastAsia="Times New Roman" w:hAnsi="Calibri"/>
                <w:i/>
                <w:iCs/>
                <w:szCs w:val="22"/>
                <w:lang w:val="es-ES_tradnl"/>
              </w:rPr>
              <w:t>Sector</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371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583"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367"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213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 de Chile</w:t>
            </w:r>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35</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w:t>
            </w:r>
            <w:r>
              <w:rPr>
                <w:rFonts w:ascii="Calibri" w:eastAsia="Times New Roman" w:hAnsi="Calibri"/>
                <w:szCs w:val="22"/>
                <w:lang w:val="es-ES_tradnl"/>
              </w:rPr>
              <w:t>,</w:t>
            </w:r>
            <w:r w:rsidRPr="000A19E1">
              <w:rPr>
                <w:rFonts w:ascii="Calibri" w:eastAsia="Times New Roman" w:hAnsi="Calibri"/>
                <w:szCs w:val="22"/>
                <w:lang w:val="es-ES_tradnl"/>
              </w:rPr>
              <w:t>17%</w:t>
            </w:r>
          </w:p>
        </w:tc>
        <w:tc>
          <w:tcPr>
            <w:tcW w:w="213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Biosigma</w:t>
            </w:r>
            <w:proofErr w:type="spellEnd"/>
            <w:r w:rsidRPr="000A19E1">
              <w:rPr>
                <w:rFonts w:ascii="Calibri" w:eastAsia="Times New Roman" w:hAnsi="Calibri"/>
                <w:szCs w:val="22"/>
                <w:lang w:val="es-ES_tradnl"/>
              </w:rPr>
              <w:t>*</w:t>
            </w:r>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27</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r>
              <w:rPr>
                <w:rFonts w:ascii="Calibri" w:eastAsia="Times New Roman" w:hAnsi="Calibri"/>
                <w:szCs w:val="22"/>
                <w:lang w:val="es-ES_tradnl"/>
              </w:rPr>
              <w:t>,</w:t>
            </w:r>
            <w:r w:rsidRPr="000A19E1">
              <w:rPr>
                <w:rFonts w:ascii="Calibri" w:eastAsia="Times New Roman" w:hAnsi="Calibri"/>
                <w:szCs w:val="22"/>
                <w:lang w:val="es-ES_tradnl"/>
              </w:rPr>
              <w:t>67%</w:t>
            </w:r>
          </w:p>
        </w:tc>
        <w:tc>
          <w:tcPr>
            <w:tcW w:w="213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Minería</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3</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PUC Chile</w:t>
            </w:r>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24</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r>
              <w:rPr>
                <w:rFonts w:ascii="Calibri" w:eastAsia="Times New Roman" w:hAnsi="Calibri"/>
                <w:szCs w:val="22"/>
                <w:lang w:val="es-ES_tradnl"/>
              </w:rPr>
              <w:t>,</w:t>
            </w:r>
            <w:r w:rsidRPr="000A19E1">
              <w:rPr>
                <w:rFonts w:ascii="Calibri" w:eastAsia="Times New Roman" w:hAnsi="Calibri"/>
                <w:szCs w:val="22"/>
                <w:lang w:val="es-ES_tradnl"/>
              </w:rPr>
              <w:t>49%</w:t>
            </w:r>
          </w:p>
        </w:tc>
        <w:tc>
          <w:tcPr>
            <w:tcW w:w="213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4</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 de Concepción</w:t>
            </w:r>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21</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r>
              <w:rPr>
                <w:rFonts w:ascii="Calibri" w:eastAsia="Times New Roman" w:hAnsi="Calibri"/>
                <w:szCs w:val="22"/>
                <w:lang w:val="es-ES_tradnl"/>
              </w:rPr>
              <w:t>,</w:t>
            </w:r>
            <w:r w:rsidRPr="000A19E1">
              <w:rPr>
                <w:rFonts w:ascii="Calibri" w:eastAsia="Times New Roman" w:hAnsi="Calibri"/>
                <w:szCs w:val="22"/>
                <w:lang w:val="es-ES_tradnl"/>
              </w:rPr>
              <w:t>30%</w:t>
            </w:r>
          </w:p>
        </w:tc>
        <w:tc>
          <w:tcPr>
            <w:tcW w:w="213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5</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 de Santiago Chile</w:t>
            </w:r>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19</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w:t>
            </w:r>
            <w:r>
              <w:rPr>
                <w:rFonts w:ascii="Calibri" w:eastAsia="Times New Roman" w:hAnsi="Calibri"/>
                <w:szCs w:val="22"/>
                <w:lang w:val="es-ES_tradnl"/>
              </w:rPr>
              <w:t>,</w:t>
            </w:r>
            <w:r w:rsidRPr="000A19E1">
              <w:rPr>
                <w:rFonts w:ascii="Calibri" w:eastAsia="Times New Roman" w:hAnsi="Calibri"/>
                <w:szCs w:val="22"/>
                <w:lang w:val="es-ES_tradnl"/>
              </w:rPr>
              <w:t>18%</w:t>
            </w:r>
          </w:p>
        </w:tc>
        <w:tc>
          <w:tcPr>
            <w:tcW w:w="213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6</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 Técnica Federico Santa María</w:t>
            </w:r>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15</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w:t>
            </w:r>
            <w:r>
              <w:rPr>
                <w:rFonts w:ascii="Calibri" w:eastAsia="Times New Roman" w:hAnsi="Calibri"/>
                <w:szCs w:val="22"/>
                <w:lang w:val="es-ES_tradnl"/>
              </w:rPr>
              <w:t>,</w:t>
            </w:r>
            <w:r w:rsidRPr="000A19E1">
              <w:rPr>
                <w:rFonts w:ascii="Calibri" w:eastAsia="Times New Roman" w:hAnsi="Calibri"/>
                <w:szCs w:val="22"/>
                <w:lang w:val="es-ES_tradnl"/>
              </w:rPr>
              <w:t>93%</w:t>
            </w:r>
          </w:p>
        </w:tc>
        <w:tc>
          <w:tcPr>
            <w:tcW w:w="213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7</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Codelco</w:t>
            </w:r>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15</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w:t>
            </w:r>
            <w:r>
              <w:rPr>
                <w:rFonts w:ascii="Calibri" w:eastAsia="Times New Roman" w:hAnsi="Calibri"/>
                <w:szCs w:val="22"/>
                <w:lang w:val="es-ES_tradnl"/>
              </w:rPr>
              <w:t>,</w:t>
            </w:r>
            <w:r w:rsidRPr="000A19E1">
              <w:rPr>
                <w:rFonts w:ascii="Calibri" w:eastAsia="Times New Roman" w:hAnsi="Calibri"/>
                <w:szCs w:val="22"/>
                <w:lang w:val="es-ES_tradnl"/>
              </w:rPr>
              <w:t>93%</w:t>
            </w:r>
          </w:p>
        </w:tc>
        <w:tc>
          <w:tcPr>
            <w:tcW w:w="213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Minería</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8</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Vulco</w:t>
            </w:r>
            <w:proofErr w:type="spellEnd"/>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13</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w:t>
            </w:r>
            <w:r>
              <w:rPr>
                <w:rFonts w:ascii="Calibri" w:eastAsia="Times New Roman" w:hAnsi="Calibri"/>
                <w:szCs w:val="22"/>
                <w:lang w:val="es-ES_tradnl"/>
              </w:rPr>
              <w:t>,</w:t>
            </w:r>
            <w:r w:rsidRPr="000A19E1">
              <w:rPr>
                <w:rFonts w:ascii="Calibri" w:eastAsia="Times New Roman" w:hAnsi="Calibri"/>
                <w:szCs w:val="22"/>
                <w:lang w:val="es-ES_tradnl"/>
              </w:rPr>
              <w:t>81%</w:t>
            </w:r>
          </w:p>
        </w:tc>
        <w:tc>
          <w:tcPr>
            <w:tcW w:w="213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Ingeniería mecánica</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9</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PUC Valparaíso</w:t>
            </w:r>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11</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w:t>
            </w:r>
            <w:r>
              <w:rPr>
                <w:rFonts w:ascii="Calibri" w:eastAsia="Times New Roman" w:hAnsi="Calibri"/>
                <w:szCs w:val="22"/>
                <w:lang w:val="es-ES_tradnl"/>
              </w:rPr>
              <w:t>,</w:t>
            </w:r>
            <w:r w:rsidRPr="000A19E1">
              <w:rPr>
                <w:rFonts w:ascii="Calibri" w:eastAsia="Times New Roman" w:hAnsi="Calibri"/>
                <w:szCs w:val="22"/>
                <w:lang w:val="es-ES_tradnl"/>
              </w:rPr>
              <w:t>68%</w:t>
            </w:r>
          </w:p>
        </w:tc>
        <w:tc>
          <w:tcPr>
            <w:tcW w:w="213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Universidad</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10</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proofErr w:type="spellStart"/>
            <w:r w:rsidRPr="000A19E1">
              <w:rPr>
                <w:rFonts w:ascii="Calibri" w:eastAsia="Times New Roman" w:hAnsi="Calibri"/>
                <w:szCs w:val="22"/>
                <w:lang w:val="es-ES_tradnl"/>
              </w:rPr>
              <w:t>Virutex</w:t>
            </w:r>
            <w:proofErr w:type="spellEnd"/>
            <w:r w:rsidRPr="000A19E1">
              <w:rPr>
                <w:rFonts w:ascii="Calibri" w:eastAsia="Times New Roman" w:hAnsi="Calibri"/>
                <w:szCs w:val="22"/>
                <w:lang w:val="es-ES_tradnl"/>
              </w:rPr>
              <w:t xml:space="preserve"> </w:t>
            </w:r>
            <w:proofErr w:type="spellStart"/>
            <w:r w:rsidRPr="000A19E1">
              <w:rPr>
                <w:rFonts w:ascii="Calibri" w:eastAsia="Times New Roman" w:hAnsi="Calibri"/>
                <w:szCs w:val="22"/>
                <w:lang w:val="es-ES_tradnl"/>
              </w:rPr>
              <w:t>Ilko</w:t>
            </w:r>
            <w:proofErr w:type="spellEnd"/>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9</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0</w:t>
            </w:r>
            <w:r>
              <w:rPr>
                <w:rFonts w:ascii="Calibri" w:eastAsia="Times New Roman" w:hAnsi="Calibri"/>
                <w:szCs w:val="22"/>
                <w:lang w:val="es-ES_tradnl"/>
              </w:rPr>
              <w:t>,</w:t>
            </w:r>
            <w:r w:rsidRPr="000A19E1">
              <w:rPr>
                <w:rFonts w:ascii="Calibri" w:eastAsia="Times New Roman" w:hAnsi="Calibri"/>
                <w:szCs w:val="22"/>
                <w:lang w:val="es-ES_tradnl"/>
              </w:rPr>
              <w:t>56%</w:t>
            </w:r>
          </w:p>
        </w:tc>
        <w:tc>
          <w:tcPr>
            <w:tcW w:w="213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Bienes de consumo</w:t>
            </w:r>
          </w:p>
        </w:tc>
      </w:tr>
      <w:tr w:rsidR="001A2943" w:rsidRPr="000A19E1" w:rsidTr="00500C05">
        <w:trPr>
          <w:trHeight w:val="300"/>
        </w:trPr>
        <w:tc>
          <w:tcPr>
            <w:tcW w:w="947"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Total</w:t>
            </w:r>
          </w:p>
        </w:tc>
        <w:tc>
          <w:tcPr>
            <w:tcW w:w="3719" w:type="dxa"/>
            <w:tcBorders>
              <w:top w:val="nil"/>
              <w:left w:val="nil"/>
              <w:bottom w:val="nil"/>
              <w:right w:val="nil"/>
            </w:tcBorders>
            <w:shd w:val="clear" w:color="auto" w:fill="auto"/>
            <w:noWrap/>
            <w:vAlign w:val="center"/>
          </w:tcPr>
          <w:p w:rsidR="001A2943" w:rsidRPr="000A19E1" w:rsidRDefault="001A2943" w:rsidP="00500C05">
            <w:pPr>
              <w:rPr>
                <w:rFonts w:ascii="Calibri" w:eastAsia="Times New Roman" w:hAnsi="Calibri"/>
                <w:szCs w:val="22"/>
                <w:lang w:val="es-ES_tradnl"/>
              </w:rPr>
            </w:pPr>
          </w:p>
        </w:tc>
        <w:tc>
          <w:tcPr>
            <w:tcW w:w="1583"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189</w:t>
            </w:r>
          </w:p>
        </w:tc>
        <w:tc>
          <w:tcPr>
            <w:tcW w:w="1367" w:type="dxa"/>
            <w:tcBorders>
              <w:top w:val="nil"/>
              <w:left w:val="nil"/>
              <w:bottom w:val="nil"/>
              <w:right w:val="nil"/>
            </w:tcBorders>
            <w:shd w:val="clear" w:color="auto" w:fill="auto"/>
            <w:noWrap/>
            <w:vAlign w:val="center"/>
          </w:tcPr>
          <w:p w:rsidR="001A2943" w:rsidRPr="000A19E1" w:rsidRDefault="001A2943" w:rsidP="00500C05">
            <w:pPr>
              <w:jc w:val="center"/>
              <w:rPr>
                <w:rFonts w:ascii="Calibri" w:eastAsia="Times New Roman" w:hAnsi="Calibri"/>
                <w:szCs w:val="22"/>
                <w:lang w:val="es-ES_tradnl"/>
              </w:rPr>
            </w:pPr>
            <w:r w:rsidRPr="000A19E1">
              <w:rPr>
                <w:rFonts w:ascii="Calibri" w:eastAsia="Times New Roman" w:hAnsi="Calibri"/>
                <w:szCs w:val="22"/>
                <w:lang w:val="es-ES_tradnl"/>
              </w:rPr>
              <w:t>11</w:t>
            </w:r>
            <w:r>
              <w:rPr>
                <w:rFonts w:ascii="Calibri" w:eastAsia="Times New Roman" w:hAnsi="Calibri"/>
                <w:szCs w:val="22"/>
                <w:lang w:val="es-ES_tradnl"/>
              </w:rPr>
              <w:t>,</w:t>
            </w:r>
            <w:r w:rsidRPr="000A19E1">
              <w:rPr>
                <w:rFonts w:ascii="Calibri" w:eastAsia="Times New Roman" w:hAnsi="Calibri"/>
                <w:szCs w:val="22"/>
                <w:lang w:val="es-ES_tradnl"/>
              </w:rPr>
              <w:t>53%</w:t>
            </w:r>
          </w:p>
        </w:tc>
        <w:tc>
          <w:tcPr>
            <w:tcW w:w="213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r>
      <w:tr w:rsidR="001A2943" w:rsidRPr="000A19E1" w:rsidTr="00500C05">
        <w:trPr>
          <w:trHeight w:val="315"/>
        </w:trPr>
        <w:tc>
          <w:tcPr>
            <w:tcW w:w="947"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3719"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583"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1367"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c>
          <w:tcPr>
            <w:tcW w:w="2139" w:type="dxa"/>
            <w:tcBorders>
              <w:top w:val="nil"/>
              <w:left w:val="nil"/>
              <w:bottom w:val="single" w:sz="8" w:space="0" w:color="auto"/>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r w:rsidRPr="000A19E1">
              <w:rPr>
                <w:rFonts w:ascii="Calibri" w:eastAsia="Times New Roman" w:hAnsi="Calibri"/>
                <w:szCs w:val="22"/>
                <w:lang w:val="es-ES_tradnl"/>
              </w:rPr>
              <w:t> </w:t>
            </w:r>
          </w:p>
        </w:tc>
      </w:tr>
      <w:tr w:rsidR="001A2943" w:rsidRPr="000A19E1" w:rsidTr="00500C05">
        <w:trPr>
          <w:trHeight w:val="300"/>
        </w:trPr>
        <w:tc>
          <w:tcPr>
            <w:tcW w:w="4666" w:type="dxa"/>
            <w:gridSpan w:val="2"/>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 w:val="20"/>
                <w:lang w:val="es-ES_tradnl"/>
              </w:rPr>
            </w:pPr>
            <w:r w:rsidRPr="000A19E1">
              <w:rPr>
                <w:rFonts w:ascii="Calibri" w:eastAsia="Times New Roman" w:hAnsi="Calibri"/>
                <w:sz w:val="20"/>
                <w:lang w:val="es-ES_tradnl"/>
              </w:rPr>
              <w:t>* Subsidiaria de Codelco desde 2002.</w:t>
            </w:r>
          </w:p>
        </w:tc>
        <w:tc>
          <w:tcPr>
            <w:tcW w:w="1583"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1367"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c>
          <w:tcPr>
            <w:tcW w:w="2139" w:type="dxa"/>
            <w:tcBorders>
              <w:top w:val="nil"/>
              <w:left w:val="nil"/>
              <w:bottom w:val="nil"/>
              <w:right w:val="nil"/>
            </w:tcBorders>
            <w:shd w:val="clear" w:color="auto" w:fill="auto"/>
            <w:noWrap/>
            <w:vAlign w:val="bottom"/>
          </w:tcPr>
          <w:p w:rsidR="001A2943" w:rsidRPr="000A19E1" w:rsidRDefault="001A2943" w:rsidP="00500C05">
            <w:pPr>
              <w:rPr>
                <w:rFonts w:ascii="Calibri" w:eastAsia="Times New Roman" w:hAnsi="Calibri"/>
                <w:szCs w:val="22"/>
                <w:lang w:val="es-ES_tradnl"/>
              </w:rPr>
            </w:pPr>
          </w:p>
        </w:tc>
      </w:tr>
    </w:tbl>
    <w:p w:rsidR="001A2943" w:rsidRPr="000A19E1" w:rsidRDefault="001A2943" w:rsidP="001A2943">
      <w:pPr>
        <w:rPr>
          <w:lang w:val="es-ES_tradnl"/>
        </w:rPr>
      </w:pP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 xml:space="preserve">Por último, también se han extraído de la base </w:t>
      </w:r>
      <w:proofErr w:type="spellStart"/>
      <w:r w:rsidRPr="000A19E1">
        <w:rPr>
          <w:szCs w:val="22"/>
          <w:lang w:val="es-ES_tradnl"/>
        </w:rPr>
        <w:t>Patstat</w:t>
      </w:r>
      <w:proofErr w:type="spellEnd"/>
      <w:r w:rsidRPr="000A19E1">
        <w:rPr>
          <w:szCs w:val="22"/>
          <w:lang w:val="es-ES_tradnl"/>
        </w:rPr>
        <w:t xml:space="preserve"> todas las familias de patentes que incluyen a un residente chileno entre los inventores.</w:t>
      </w:r>
      <w:r>
        <w:rPr>
          <w:szCs w:val="22"/>
          <w:lang w:val="es-ES_tradnl"/>
        </w:rPr>
        <w:t xml:space="preserve"> </w:t>
      </w:r>
      <w:r w:rsidR="00455EDB">
        <w:rPr>
          <w:szCs w:val="22"/>
          <w:lang w:val="es-ES_tradnl"/>
        </w:rPr>
        <w:t xml:space="preserve"> </w:t>
      </w:r>
      <w:r w:rsidRPr="000A19E1">
        <w:rPr>
          <w:szCs w:val="22"/>
          <w:lang w:val="es-ES_tradnl"/>
        </w:rPr>
        <w:t>Se encontraron 799 de estas familias de patentes con fecha de prioridad entre 1991 y 2010, lo cual representa 1.698 inventores chilenos.</w:t>
      </w:r>
      <w:r>
        <w:rPr>
          <w:szCs w:val="22"/>
          <w:lang w:val="es-ES_tradnl"/>
        </w:rPr>
        <w:t xml:space="preserve"> </w:t>
      </w:r>
      <w:r w:rsidR="00455EDB">
        <w:rPr>
          <w:szCs w:val="22"/>
          <w:lang w:val="es-ES_tradnl"/>
        </w:rPr>
        <w:t xml:space="preserve"> </w:t>
      </w:r>
      <w:r w:rsidRPr="000A19E1">
        <w:rPr>
          <w:szCs w:val="22"/>
          <w:lang w:val="es-ES_tradnl"/>
        </w:rPr>
        <w:t>El Gráfico 26 muestra la distribución tecnológica de los códigos de la CIP que aparecen en esas patentes.</w:t>
      </w:r>
      <w:r>
        <w:rPr>
          <w:szCs w:val="22"/>
          <w:lang w:val="es-ES_tradnl"/>
        </w:rPr>
        <w:t xml:space="preserve"> </w:t>
      </w:r>
      <w:r w:rsidR="00455EDB">
        <w:rPr>
          <w:szCs w:val="22"/>
          <w:lang w:val="es-ES_tradnl"/>
        </w:rPr>
        <w:t xml:space="preserve"> </w:t>
      </w:r>
      <w:r w:rsidRPr="000A19E1">
        <w:rPr>
          <w:szCs w:val="22"/>
          <w:lang w:val="es-ES_tradnl"/>
        </w:rPr>
        <w:t>La distribución resultante es similar a la de las familias de patentes con solicitantes chilenos.</w:t>
      </w:r>
      <w:r>
        <w:rPr>
          <w:szCs w:val="22"/>
          <w:lang w:val="es-ES_tradnl"/>
        </w:rPr>
        <w:t xml:space="preserve"> </w:t>
      </w:r>
      <w:r w:rsidR="00455EDB">
        <w:rPr>
          <w:szCs w:val="22"/>
          <w:lang w:val="es-ES_tradnl"/>
        </w:rPr>
        <w:t xml:space="preserve"> </w:t>
      </w:r>
      <w:r w:rsidRPr="000A19E1">
        <w:rPr>
          <w:szCs w:val="22"/>
          <w:lang w:val="es-ES_tradnl"/>
        </w:rPr>
        <w:t>Los campos de química y farmacéutica representan casi la mitad del total.</w:t>
      </w:r>
      <w:r w:rsidR="00455EDB">
        <w:rPr>
          <w:szCs w:val="22"/>
          <w:lang w:val="es-ES_tradnl"/>
        </w:rPr>
        <w:t xml:space="preserve"> </w:t>
      </w:r>
      <w:r>
        <w:rPr>
          <w:szCs w:val="22"/>
          <w:lang w:val="es-ES_tradnl"/>
        </w:rPr>
        <w:t xml:space="preserve"> </w:t>
      </w:r>
      <w:r w:rsidRPr="000A19E1">
        <w:rPr>
          <w:szCs w:val="22"/>
          <w:lang w:val="es-ES_tradnl"/>
        </w:rPr>
        <w:t>La ingeniería mecánica es el segundo campo más grande y representa alrededor del</w:t>
      </w:r>
      <w:r w:rsidR="00807E77">
        <w:rPr>
          <w:szCs w:val="22"/>
          <w:lang w:val="es-ES_tradnl"/>
        </w:rPr>
        <w:t> </w:t>
      </w:r>
      <w:r w:rsidRPr="000A19E1">
        <w:rPr>
          <w:szCs w:val="22"/>
          <w:lang w:val="es-ES_tradnl"/>
        </w:rPr>
        <w:t>18%.</w:t>
      </w:r>
      <w:r w:rsidR="00455EDB">
        <w:rPr>
          <w:szCs w:val="22"/>
          <w:lang w:val="es-ES_tradnl"/>
        </w:rPr>
        <w:t xml:space="preserve"> </w:t>
      </w:r>
      <w:r>
        <w:rPr>
          <w:szCs w:val="22"/>
          <w:lang w:val="es-ES_tradnl"/>
        </w:rPr>
        <w:t xml:space="preserve"> </w:t>
      </w:r>
      <w:r w:rsidRPr="000A19E1">
        <w:rPr>
          <w:szCs w:val="22"/>
          <w:lang w:val="es-ES_tradnl"/>
        </w:rPr>
        <w:t>La mayoría de las patentes en la extensa categoría "Otros" están relacionadas con la ingeniería civil.</w:t>
      </w:r>
    </w:p>
    <w:p w:rsidR="001A2943" w:rsidRPr="000A19E1" w:rsidRDefault="001A2943" w:rsidP="001A2943">
      <w:pPr>
        <w:rPr>
          <w:lang w:val="es-ES_tradnl"/>
        </w:rPr>
      </w:pPr>
    </w:p>
    <w:p w:rsidR="001A2943" w:rsidRPr="000A19E1" w:rsidRDefault="001A2943" w:rsidP="001A2943">
      <w:pPr>
        <w:rPr>
          <w:lang w:val="es-ES_tradnl"/>
        </w:rPr>
      </w:pPr>
    </w:p>
    <w:p w:rsidR="001A2943" w:rsidRPr="000A19E1" w:rsidRDefault="001A2943" w:rsidP="001A2943">
      <w:pPr>
        <w:keepNext/>
        <w:ind w:firstLine="720"/>
        <w:jc w:val="center"/>
        <w:rPr>
          <w:lang w:val="es-ES_tradnl"/>
        </w:rPr>
      </w:pPr>
      <w:r w:rsidRPr="000A19E1">
        <w:rPr>
          <w:b/>
          <w:lang w:val="es-ES_tradnl"/>
        </w:rPr>
        <w:lastRenderedPageBreak/>
        <w:t>Gráfico 26</w:t>
      </w:r>
      <w:proofErr w:type="gramStart"/>
      <w:r w:rsidRPr="000A19E1">
        <w:rPr>
          <w:b/>
          <w:lang w:val="es-ES_tradnl"/>
        </w:rPr>
        <w:t>:</w:t>
      </w:r>
      <w:r>
        <w:rPr>
          <w:b/>
          <w:lang w:val="es-ES_tradnl"/>
        </w:rPr>
        <w:t xml:space="preserve"> </w:t>
      </w:r>
      <w:r w:rsidR="00807E77">
        <w:rPr>
          <w:b/>
          <w:lang w:val="es-ES_tradnl"/>
        </w:rPr>
        <w:t xml:space="preserve"> </w:t>
      </w:r>
      <w:r w:rsidRPr="000A19E1">
        <w:rPr>
          <w:b/>
          <w:lang w:val="es-ES_tradnl"/>
        </w:rPr>
        <w:t>Distribución</w:t>
      </w:r>
      <w:proofErr w:type="gramEnd"/>
      <w:r w:rsidRPr="000A19E1">
        <w:rPr>
          <w:b/>
          <w:lang w:val="es-ES_tradnl"/>
        </w:rPr>
        <w:t xml:space="preserve"> tecnológica CIP de las solicitudes internacionales con inventores chilenos (1991-2010)</w:t>
      </w:r>
    </w:p>
    <w:p w:rsidR="001A2943" w:rsidRPr="000A19E1" w:rsidRDefault="001A2943" w:rsidP="001A2943">
      <w:pPr>
        <w:jc w:val="center"/>
        <w:rPr>
          <w:lang w:val="es-ES_tradnl"/>
        </w:rPr>
      </w:pPr>
      <w:r w:rsidRPr="000A19E1">
        <w:rPr>
          <w:noProof/>
          <w:lang w:val="en-US" w:eastAsia="en-US"/>
        </w:rPr>
        <w:drawing>
          <wp:inline distT="0" distB="0" distL="0" distR="0" wp14:anchorId="5E03B775" wp14:editId="4FA1E270">
            <wp:extent cx="5120640" cy="3745230"/>
            <wp:effectExtent l="0" t="0" r="0" b="762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lang w:val="es-ES_tradnl"/>
        </w:rPr>
      </w:pPr>
    </w:p>
    <w:p w:rsidR="001A2943" w:rsidRPr="00270124" w:rsidRDefault="001A2943" w:rsidP="001A2943">
      <w:pPr>
        <w:pStyle w:val="Heading1"/>
        <w:rPr>
          <w:b w:val="0"/>
          <w:u w:val="single"/>
          <w:lang w:val="es-ES_tradnl"/>
        </w:rPr>
      </w:pPr>
      <w:bookmarkStart w:id="16" w:name="_Toc359312063"/>
      <w:r w:rsidRPr="00270124">
        <w:rPr>
          <w:b w:val="0"/>
          <w:lang w:val="es-ES_tradnl"/>
        </w:rPr>
        <w:t>12.</w:t>
      </w:r>
      <w:r w:rsidRPr="00270124">
        <w:rPr>
          <w:b w:val="0"/>
          <w:lang w:val="es-ES_tradnl"/>
        </w:rPr>
        <w:tab/>
      </w:r>
      <w:r w:rsidR="00F66F51" w:rsidRPr="00270124">
        <w:rPr>
          <w:b w:val="0"/>
          <w:u w:val="single"/>
          <w:lang w:val="es-ES_tradnl"/>
        </w:rPr>
        <w:t>U</w:t>
      </w:r>
      <w:r w:rsidR="00F66F51" w:rsidRPr="00270124">
        <w:rPr>
          <w:b w:val="0"/>
          <w:caps w:val="0"/>
          <w:u w:val="single"/>
          <w:lang w:val="es-ES_tradnl"/>
        </w:rPr>
        <w:t>na mirada más cercana a las marcas</w:t>
      </w:r>
      <w:bookmarkEnd w:id="16"/>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Esta sección profundiza la solicitud de marcas desde diferentes perspectivas.</w:t>
      </w:r>
      <w:r>
        <w:rPr>
          <w:szCs w:val="22"/>
          <w:lang w:val="es-ES_tradnl"/>
        </w:rPr>
        <w:t xml:space="preserve"> </w:t>
      </w:r>
      <w:r w:rsidRPr="000A19E1">
        <w:rPr>
          <w:szCs w:val="22"/>
          <w:lang w:val="es-ES_tradnl"/>
        </w:rPr>
        <w:t>El Gráfico 27 considera la persistencia en la presentación de marcas.</w:t>
      </w:r>
      <w:r>
        <w:rPr>
          <w:szCs w:val="22"/>
          <w:lang w:val="es-ES_tradnl"/>
        </w:rPr>
        <w:t xml:space="preserve"> </w:t>
      </w:r>
      <w:r w:rsidR="00DB28D5">
        <w:rPr>
          <w:szCs w:val="22"/>
          <w:lang w:val="es-ES_tradnl"/>
        </w:rPr>
        <w:t xml:space="preserve"> </w:t>
      </w:r>
      <w:r w:rsidRPr="000A19E1">
        <w:rPr>
          <w:szCs w:val="22"/>
          <w:lang w:val="es-ES_tradnl"/>
        </w:rPr>
        <w:t xml:space="preserve">El objetivo del gráfico es evidenciar la participación que tienen las solicitudes de marcas que son presentadas por solicitantes que hacen un uso frecuente del sistema de marcas. </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El gráfico distingue entre tres tipos de presentaciones:</w:t>
      </w:r>
      <w:r w:rsidR="00DB28D5">
        <w:rPr>
          <w:szCs w:val="22"/>
          <w:lang w:val="es-ES_tradnl"/>
        </w:rPr>
        <w:t xml:space="preserve"> </w:t>
      </w:r>
      <w:r>
        <w:rPr>
          <w:szCs w:val="22"/>
          <w:lang w:val="es-ES_tradnl"/>
        </w:rPr>
        <w:t xml:space="preserve"> </w:t>
      </w:r>
      <w:r w:rsidRPr="000A19E1">
        <w:rPr>
          <w:szCs w:val="22"/>
          <w:lang w:val="es-ES_tradnl"/>
        </w:rPr>
        <w:t xml:space="preserve">i) las presentaciones de “única vez” de los solicitantes que presentan por primera vez en un año determinado y que no vuelven a presentar otra vez durante todo el período estudiado, ii) las presentaciones de los solicitantes que presentan por primera vez en un año determinado </w:t>
      </w:r>
      <w:r w:rsidRPr="000A19E1">
        <w:rPr>
          <w:szCs w:val="22"/>
          <w:lang w:val="es-ES_tradnl"/>
        </w:rPr>
        <w:noBreakHyphen/>
        <w:t>que puede ser interpretado como la "entrada" en la actividad de marcas</w:t>
      </w:r>
      <w:r w:rsidRPr="000A19E1">
        <w:rPr>
          <w:szCs w:val="22"/>
          <w:lang w:val="es-ES_tradnl"/>
        </w:rPr>
        <w:noBreakHyphen/>
        <w:t xml:space="preserve"> y que realizan una nueva presentación en un año posterior, y iii) las presentaciones hechas en un año determinado por los solicitantes que ya hayan presentado una marca en otro año anterior.</w:t>
      </w:r>
      <w:r>
        <w:rPr>
          <w:szCs w:val="22"/>
          <w:lang w:val="es-ES_tradnl"/>
        </w:rPr>
        <w:t xml:space="preserve"> </w:t>
      </w:r>
      <w:r w:rsidR="00DB28D5">
        <w:rPr>
          <w:szCs w:val="22"/>
          <w:lang w:val="es-ES_tradnl"/>
        </w:rPr>
        <w:t xml:space="preserve"> </w:t>
      </w:r>
      <w:r w:rsidRPr="000A19E1">
        <w:rPr>
          <w:szCs w:val="22"/>
          <w:lang w:val="es-ES_tradnl"/>
        </w:rPr>
        <w:t>El gráfico debe interpretarse con cautela, ya que se ve afectado por el truncamiento de los datos a la derecha y a la izquierda;</w:t>
      </w:r>
      <w:r>
        <w:rPr>
          <w:szCs w:val="22"/>
          <w:lang w:val="es-ES_tradnl"/>
        </w:rPr>
        <w:t xml:space="preserve"> </w:t>
      </w:r>
      <w:r w:rsidRPr="000A19E1">
        <w:rPr>
          <w:szCs w:val="22"/>
          <w:lang w:val="es-ES_tradnl"/>
        </w:rPr>
        <w:t>en particular, las barras de los primeros y de los últimos años de la muestra tienen poco significado.</w:t>
      </w:r>
      <w:r>
        <w:rPr>
          <w:szCs w:val="22"/>
          <w:lang w:val="es-ES_tradnl"/>
        </w:rPr>
        <w:t xml:space="preserve"> </w:t>
      </w:r>
      <w:r w:rsidR="00DB28D5">
        <w:rPr>
          <w:szCs w:val="22"/>
          <w:lang w:val="es-ES_tradnl"/>
        </w:rPr>
        <w:t xml:space="preserve"> </w:t>
      </w:r>
      <w:r w:rsidRPr="000A19E1">
        <w:rPr>
          <w:szCs w:val="22"/>
          <w:lang w:val="es-ES_tradnl"/>
        </w:rPr>
        <w:t>Aun así, el gráfico revela una sorprendentemente estable proporción a lo largo del tiempo, en torno al</w:t>
      </w:r>
      <w:r w:rsidR="00807E77">
        <w:rPr>
          <w:szCs w:val="22"/>
          <w:lang w:val="es-ES_tradnl"/>
        </w:rPr>
        <w:t> </w:t>
      </w:r>
      <w:r w:rsidRPr="000A19E1">
        <w:rPr>
          <w:szCs w:val="22"/>
          <w:lang w:val="es-ES_tradnl"/>
        </w:rPr>
        <w:t>25%, de los solicitantes de única vez.</w:t>
      </w:r>
      <w:r>
        <w:rPr>
          <w:szCs w:val="22"/>
          <w:lang w:val="es-ES_tradnl"/>
        </w:rPr>
        <w:t xml:space="preserve"> </w:t>
      </w:r>
      <w:r w:rsidR="00DB28D5">
        <w:rPr>
          <w:szCs w:val="22"/>
          <w:lang w:val="es-ES_tradnl"/>
        </w:rPr>
        <w:t xml:space="preserve"> </w:t>
      </w:r>
      <w:r w:rsidRPr="000A19E1">
        <w:rPr>
          <w:szCs w:val="22"/>
          <w:lang w:val="es-ES_tradnl"/>
        </w:rPr>
        <w:t>Esto implica que el crecimiento observado en el registro de marcas no está desproporcionadamente determinado por la entrada de este tipo de solicitantes ocasionales.</w:t>
      </w:r>
      <w:r w:rsidR="00DB28D5">
        <w:rPr>
          <w:szCs w:val="22"/>
          <w:lang w:val="es-ES_tradnl"/>
        </w:rPr>
        <w:t xml:space="preserve"> </w:t>
      </w:r>
      <w:r>
        <w:rPr>
          <w:szCs w:val="22"/>
          <w:lang w:val="es-ES_tradnl"/>
        </w:rPr>
        <w:t xml:space="preserve"> </w:t>
      </w:r>
      <w:r w:rsidRPr="000A19E1">
        <w:rPr>
          <w:szCs w:val="22"/>
          <w:lang w:val="es-ES_tradnl"/>
        </w:rPr>
        <w:t>La mayoría de las solicitudes de marcas deriva de solicitantes repetitivos, lo cual sugiere que las marcas subyacentes son utilizadas para algún propósito comercial.</w:t>
      </w:r>
    </w:p>
    <w:p w:rsidR="001A2943" w:rsidRPr="000A19E1" w:rsidRDefault="001A2943" w:rsidP="001A2943">
      <w:pPr>
        <w:rPr>
          <w:lang w:val="es-ES_tradnl"/>
        </w:rPr>
      </w:pPr>
    </w:p>
    <w:p w:rsidR="0059410E" w:rsidRDefault="0059410E">
      <w:pPr>
        <w:rPr>
          <w:b/>
          <w:lang w:val="es-ES_tradnl"/>
        </w:rPr>
      </w:pPr>
      <w:r>
        <w:rPr>
          <w:b/>
          <w:lang w:val="es-ES_tradnl"/>
        </w:rPr>
        <w:br w:type="page"/>
      </w:r>
    </w:p>
    <w:p w:rsidR="001A2943" w:rsidRPr="000A19E1" w:rsidRDefault="001A2943" w:rsidP="001A2943">
      <w:pPr>
        <w:jc w:val="center"/>
        <w:rPr>
          <w:b/>
          <w:lang w:val="es-ES_tradnl"/>
        </w:rPr>
      </w:pPr>
    </w:p>
    <w:p w:rsidR="001A2943" w:rsidRPr="000A19E1" w:rsidRDefault="001A2943" w:rsidP="001A2943">
      <w:pPr>
        <w:jc w:val="center"/>
        <w:rPr>
          <w:lang w:val="es-ES_tradnl"/>
        </w:rPr>
      </w:pPr>
      <w:r w:rsidRPr="000A19E1">
        <w:rPr>
          <w:b/>
          <w:lang w:val="es-ES_tradnl"/>
        </w:rPr>
        <w:t>Gráfico 27</w:t>
      </w:r>
      <w:proofErr w:type="gramStart"/>
      <w:r w:rsidRPr="000A19E1">
        <w:rPr>
          <w:b/>
          <w:lang w:val="es-ES_tradnl"/>
        </w:rPr>
        <w:t>:</w:t>
      </w:r>
      <w:r>
        <w:rPr>
          <w:b/>
          <w:lang w:val="es-ES_tradnl"/>
        </w:rPr>
        <w:t xml:space="preserve"> </w:t>
      </w:r>
      <w:r w:rsidR="0059410E">
        <w:rPr>
          <w:b/>
          <w:lang w:val="es-ES_tradnl"/>
        </w:rPr>
        <w:t xml:space="preserve"> </w:t>
      </w:r>
      <w:r w:rsidRPr="000A19E1">
        <w:rPr>
          <w:b/>
          <w:lang w:val="es-ES_tradnl"/>
        </w:rPr>
        <w:t>Persistencia</w:t>
      </w:r>
      <w:proofErr w:type="gramEnd"/>
      <w:r w:rsidRPr="000A19E1">
        <w:rPr>
          <w:b/>
          <w:lang w:val="es-ES_tradnl"/>
        </w:rPr>
        <w:t xml:space="preserve"> de comportamiento en la solicitud de marcas (1991</w:t>
      </w:r>
      <w:r w:rsidRPr="000A19E1">
        <w:rPr>
          <w:b/>
          <w:lang w:val="es-ES_tradnl"/>
        </w:rPr>
        <w:noBreakHyphen/>
        <w:t>2010)</w:t>
      </w:r>
    </w:p>
    <w:p w:rsidR="001A2943" w:rsidRPr="000A19E1" w:rsidRDefault="001A2943" w:rsidP="001A2943">
      <w:pPr>
        <w:jc w:val="center"/>
        <w:rPr>
          <w:lang w:val="es-ES_tradnl"/>
        </w:rPr>
      </w:pPr>
      <w:r w:rsidRPr="000A19E1">
        <w:rPr>
          <w:noProof/>
          <w:lang w:val="en-US" w:eastAsia="en-US"/>
        </w:rPr>
        <w:drawing>
          <wp:inline distT="0" distB="0" distL="0" distR="0" wp14:anchorId="590E61D6" wp14:editId="17CC39F8">
            <wp:extent cx="5033010" cy="3657600"/>
            <wp:effectExtent l="0" t="0" r="0" b="0"/>
            <wp:docPr id="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inline>
        </w:drawing>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Otra forma de ver esto es calcular la proporción de solicitudes realizadas por solicitantes que presentaron al menos una solicitud en el año anterior.</w:t>
      </w:r>
      <w:r w:rsidR="00DB28D5">
        <w:rPr>
          <w:szCs w:val="22"/>
          <w:lang w:val="es-ES_tradnl"/>
        </w:rPr>
        <w:t xml:space="preserve"> </w:t>
      </w:r>
      <w:r>
        <w:rPr>
          <w:szCs w:val="22"/>
          <w:lang w:val="es-ES_tradnl"/>
        </w:rPr>
        <w:t xml:space="preserve"> </w:t>
      </w:r>
      <w:r w:rsidRPr="000A19E1">
        <w:rPr>
          <w:szCs w:val="22"/>
          <w:lang w:val="es-ES_tradnl"/>
        </w:rPr>
        <w:t>Comenzar en 1992 resuelve el problema del truncamiento de datos, aunque introduce un criterio más estricto sobre qué se considera como solicitantes repetitivos.</w:t>
      </w:r>
      <w:r>
        <w:rPr>
          <w:szCs w:val="22"/>
          <w:lang w:val="es-ES_tradnl"/>
        </w:rPr>
        <w:t xml:space="preserve"> </w:t>
      </w:r>
      <w:r w:rsidR="00DB28D5">
        <w:rPr>
          <w:szCs w:val="22"/>
          <w:lang w:val="es-ES_tradnl"/>
        </w:rPr>
        <w:t xml:space="preserve"> </w:t>
      </w:r>
      <w:r w:rsidRPr="000A19E1">
        <w:rPr>
          <w:szCs w:val="22"/>
          <w:lang w:val="es-ES_tradnl"/>
        </w:rPr>
        <w:t xml:space="preserve">El Gráfico 28 muestra que la proporción de solicitudes hechas por quienes ya solicitaron el año anterior ha aumentado consistentemente durante el </w:t>
      </w:r>
      <w:r w:rsidR="0059410E">
        <w:rPr>
          <w:szCs w:val="22"/>
          <w:lang w:val="es-ES_tradnl"/>
        </w:rPr>
        <w:br/>
      </w:r>
      <w:r w:rsidRPr="000A19E1">
        <w:rPr>
          <w:szCs w:val="22"/>
          <w:lang w:val="es-ES_tradnl"/>
        </w:rPr>
        <w:t>período 1992</w:t>
      </w:r>
      <w:r w:rsidR="0059410E">
        <w:rPr>
          <w:szCs w:val="22"/>
          <w:lang w:val="es-ES_tradnl"/>
        </w:rPr>
        <w:noBreakHyphen/>
      </w:r>
      <w:r w:rsidRPr="000A19E1">
        <w:rPr>
          <w:szCs w:val="22"/>
          <w:lang w:val="es-ES_tradnl"/>
        </w:rPr>
        <w:t xml:space="preserve">2010, desde poco más del 50% en </w:t>
      </w:r>
      <w:smartTag w:uri="urn:schemas-microsoft-com:office:smarttags" w:element="metricconverter">
        <w:smartTagPr>
          <w:attr w:name="ProductID" w:val="1992 a"/>
        </w:smartTagPr>
        <w:r w:rsidRPr="000A19E1">
          <w:rPr>
            <w:szCs w:val="22"/>
            <w:lang w:val="es-ES_tradnl"/>
          </w:rPr>
          <w:t>1992 a</w:t>
        </w:r>
      </w:smartTag>
      <w:r w:rsidRPr="000A19E1">
        <w:rPr>
          <w:szCs w:val="22"/>
          <w:lang w:val="es-ES_tradnl"/>
        </w:rPr>
        <w:t xml:space="preserve"> casi el 75% en 2010.</w:t>
      </w:r>
      <w:r>
        <w:rPr>
          <w:szCs w:val="22"/>
          <w:lang w:val="es-ES_tradnl"/>
        </w:rPr>
        <w:t xml:space="preserve"> </w:t>
      </w:r>
      <w:r w:rsidR="00DB28D5">
        <w:rPr>
          <w:szCs w:val="22"/>
          <w:lang w:val="es-ES_tradnl"/>
        </w:rPr>
        <w:t xml:space="preserve"> </w:t>
      </w:r>
      <w:r w:rsidRPr="000A19E1">
        <w:rPr>
          <w:szCs w:val="22"/>
          <w:lang w:val="es-ES_tradnl"/>
        </w:rPr>
        <w:t>En otras palabras, los solicitantes repetitivos han tenido un crecimiento más rápido en sus presentaciones que los solicitantes que no repiten.</w:t>
      </w:r>
      <w:r>
        <w:rPr>
          <w:szCs w:val="22"/>
          <w:lang w:val="es-ES_tradnl"/>
        </w:rPr>
        <w:t xml:space="preserve"> </w:t>
      </w:r>
      <w:r w:rsidR="00DB28D5">
        <w:rPr>
          <w:szCs w:val="22"/>
          <w:lang w:val="es-ES_tradnl"/>
        </w:rPr>
        <w:t xml:space="preserve"> </w:t>
      </w:r>
      <w:r w:rsidRPr="000A19E1">
        <w:rPr>
          <w:szCs w:val="22"/>
          <w:lang w:val="es-ES_tradnl"/>
        </w:rPr>
        <w:t>Una observación más detallada de los datos revela que esto se debe a un aumento en el número de solicitantes repetitivos antes que a un aumento en el número promedio de presentaciones hechas por este tipo de solicitantes.</w:t>
      </w:r>
    </w:p>
    <w:p w:rsidR="001A2943" w:rsidRPr="000A19E1" w:rsidRDefault="001A2943" w:rsidP="001A2943">
      <w:pPr>
        <w:rPr>
          <w:lang w:val="es-ES_tradnl"/>
        </w:rPr>
      </w:pPr>
    </w:p>
    <w:p w:rsidR="001A2943" w:rsidRPr="000A19E1" w:rsidRDefault="001A2943" w:rsidP="001A2943">
      <w:pPr>
        <w:rPr>
          <w:b/>
          <w:lang w:val="es-ES_tradnl"/>
        </w:rPr>
      </w:pPr>
      <w:r w:rsidRPr="000A19E1">
        <w:rPr>
          <w:b/>
          <w:lang w:val="es-ES_tradnl"/>
        </w:rPr>
        <w:br w:type="page"/>
      </w:r>
    </w:p>
    <w:p w:rsidR="001A2943" w:rsidRPr="000A19E1" w:rsidRDefault="001A2943" w:rsidP="001A2943">
      <w:pPr>
        <w:jc w:val="center"/>
        <w:rPr>
          <w:b/>
          <w:lang w:val="es-ES_tradnl"/>
        </w:rPr>
      </w:pPr>
      <w:r w:rsidRPr="000A19E1">
        <w:rPr>
          <w:b/>
          <w:lang w:val="es-ES_tradnl"/>
        </w:rPr>
        <w:lastRenderedPageBreak/>
        <w:t>Gráfico 28:</w:t>
      </w:r>
      <w:r>
        <w:rPr>
          <w:b/>
          <w:lang w:val="es-ES_tradnl"/>
        </w:rPr>
        <w:t xml:space="preserve"> </w:t>
      </w:r>
      <w:r w:rsidRPr="000A19E1">
        <w:rPr>
          <w:b/>
          <w:lang w:val="es-ES_tradnl"/>
        </w:rPr>
        <w:t>Participación en las solicitudes de marcas en un año dado de solicitantes que también presentaron una marca en el año anterior (1992-2010)</w:t>
      </w:r>
    </w:p>
    <w:p w:rsidR="001A2943" w:rsidRPr="000A19E1" w:rsidRDefault="001A2943" w:rsidP="001A2943">
      <w:pPr>
        <w:rPr>
          <w:lang w:val="es-ES_tradnl"/>
        </w:rPr>
      </w:pPr>
    </w:p>
    <w:p w:rsidR="001A2943" w:rsidRPr="000A19E1" w:rsidRDefault="001A2943" w:rsidP="001A2943">
      <w:pPr>
        <w:jc w:val="center"/>
        <w:rPr>
          <w:lang w:val="es-ES_tradnl"/>
        </w:rPr>
      </w:pPr>
      <w:r w:rsidRPr="000A19E1">
        <w:rPr>
          <w:noProof/>
          <w:lang w:val="en-US" w:eastAsia="en-US"/>
        </w:rPr>
        <w:drawing>
          <wp:inline distT="0" distB="0" distL="0" distR="0" wp14:anchorId="62AB433A" wp14:editId="5F3EEBCC">
            <wp:extent cx="5033010" cy="3657600"/>
            <wp:effectExtent l="0" t="0" r="0" b="0"/>
            <wp:docPr id="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inline>
        </w:drawing>
      </w:r>
    </w:p>
    <w:p w:rsidR="001A2943" w:rsidRPr="000A19E1" w:rsidRDefault="001A2943" w:rsidP="001A2943">
      <w:pPr>
        <w:rPr>
          <w:lang w:val="es-ES_tradnl"/>
        </w:rPr>
      </w:pPr>
    </w:p>
    <w:p w:rsidR="001A2943" w:rsidRPr="000A19E1" w:rsidRDefault="001A2943" w:rsidP="001A2943">
      <w:pPr>
        <w:rPr>
          <w:szCs w:val="22"/>
          <w:lang w:val="es-ES_tradnl"/>
        </w:rPr>
      </w:pPr>
      <w:r w:rsidRPr="000A19E1">
        <w:rPr>
          <w:szCs w:val="22"/>
          <w:lang w:val="es-ES_tradnl"/>
        </w:rPr>
        <w:t>Considerando conjuntamente los Gráficos 27 y 28, emerge que el rápido crecimiento de las solicitudes de marcas en Chile ha sido impulsado por una ampliación de la base de solicitantes y, sobre todo, por un creciente número de solicitantes que efectuaron presentaciones de marcas en repetidas ocasiones.</w:t>
      </w:r>
      <w:r w:rsidR="00DB28D5">
        <w:rPr>
          <w:szCs w:val="22"/>
          <w:lang w:val="es-ES_tradnl"/>
        </w:rPr>
        <w:t xml:space="preserve"> </w:t>
      </w:r>
      <w:r>
        <w:rPr>
          <w:szCs w:val="22"/>
          <w:lang w:val="es-ES_tradnl"/>
        </w:rPr>
        <w:t xml:space="preserve"> </w:t>
      </w:r>
      <w:r w:rsidRPr="000A19E1">
        <w:rPr>
          <w:szCs w:val="22"/>
          <w:lang w:val="es-ES_tradnl"/>
        </w:rPr>
        <w:t>Este patrón es consistente con una economía que se está diversificando, si bien son necesarias investigaciones adicionales para identificar cuáles son los determinantes de los cambios en la base de solicitantes.</w:t>
      </w:r>
    </w:p>
    <w:p w:rsidR="001A2943" w:rsidRPr="000A19E1" w:rsidRDefault="001A2943" w:rsidP="001A2943">
      <w:pPr>
        <w:rPr>
          <w:szCs w:val="22"/>
          <w:lang w:val="es-ES_tradnl"/>
        </w:rPr>
      </w:pPr>
    </w:p>
    <w:p w:rsidR="001A2943" w:rsidRPr="000A19E1" w:rsidRDefault="001A2943" w:rsidP="001A2943">
      <w:pPr>
        <w:textAlignment w:val="top"/>
        <w:rPr>
          <w:rFonts w:eastAsia="Times New Roman"/>
          <w:szCs w:val="22"/>
          <w:lang w:val="es-ES_tradnl" w:eastAsia="es-ES"/>
        </w:rPr>
      </w:pPr>
      <w:r w:rsidRPr="000A19E1">
        <w:rPr>
          <w:szCs w:val="22"/>
          <w:lang w:val="es-ES_tradnl"/>
        </w:rPr>
        <w:t>El Gráfico 29 muestra el número promedio de clases de la Clasificación de Niza especificadas en una solicitud de registro de marca.</w:t>
      </w:r>
      <w:r>
        <w:rPr>
          <w:szCs w:val="22"/>
          <w:lang w:val="es-ES_tradnl"/>
        </w:rPr>
        <w:t xml:space="preserve"> </w:t>
      </w:r>
      <w:r w:rsidR="00DB28D5">
        <w:rPr>
          <w:szCs w:val="22"/>
          <w:lang w:val="es-ES_tradnl"/>
        </w:rPr>
        <w:t xml:space="preserve"> </w:t>
      </w:r>
      <w:r w:rsidRPr="000A19E1">
        <w:rPr>
          <w:szCs w:val="22"/>
          <w:lang w:val="es-ES_tradnl"/>
        </w:rPr>
        <w:t>Se puede ver que, en promedio, las marcas fueron presentadas en poco menos de 2,5 clases de la Clasificación de Niza hasta 2005.</w:t>
      </w:r>
      <w:r w:rsidR="00DB28D5">
        <w:rPr>
          <w:szCs w:val="22"/>
          <w:lang w:val="es-ES_tradnl"/>
        </w:rPr>
        <w:t xml:space="preserve"> </w:t>
      </w:r>
      <w:r>
        <w:rPr>
          <w:szCs w:val="22"/>
          <w:lang w:val="es-ES_tradnl"/>
        </w:rPr>
        <w:t xml:space="preserve"> </w:t>
      </w:r>
      <w:r w:rsidRPr="000A19E1">
        <w:rPr>
          <w:szCs w:val="22"/>
          <w:lang w:val="es-ES_tradnl"/>
        </w:rPr>
        <w:t>Entre 2005 y 2006, el número medio de clases cae bruscamente de 2,2 a 1,2.</w:t>
      </w:r>
      <w:r>
        <w:rPr>
          <w:szCs w:val="22"/>
          <w:lang w:val="es-ES_tradnl"/>
        </w:rPr>
        <w:t xml:space="preserve"> </w:t>
      </w:r>
      <w:r w:rsidR="00DB28D5">
        <w:rPr>
          <w:szCs w:val="22"/>
          <w:lang w:val="es-ES_tradnl"/>
        </w:rPr>
        <w:t xml:space="preserve"> </w:t>
      </w:r>
      <w:r w:rsidRPr="000A19E1">
        <w:rPr>
          <w:szCs w:val="22"/>
          <w:lang w:val="es-ES_tradnl"/>
        </w:rPr>
        <w:t>El gráfico también indica los percentiles 5 y 95 de la distribución de clases de la Clasificación de Niza por solicitud de marca.</w:t>
      </w:r>
      <w:r>
        <w:rPr>
          <w:szCs w:val="22"/>
          <w:lang w:val="es-ES_tradnl"/>
        </w:rPr>
        <w:t xml:space="preserve"> </w:t>
      </w:r>
      <w:r w:rsidRPr="000A19E1">
        <w:rPr>
          <w:szCs w:val="22"/>
          <w:lang w:val="es-ES_tradnl"/>
        </w:rPr>
        <w:t xml:space="preserve">El percentil 95 también cae bruscamente de </w:t>
      </w:r>
      <w:smartTag w:uri="urn:schemas-microsoft-com:office:smarttags" w:element="metricconverter">
        <w:smartTagPr>
          <w:attr w:name="ProductID" w:val="4 a"/>
        </w:smartTagPr>
        <w:r w:rsidRPr="000A19E1">
          <w:rPr>
            <w:szCs w:val="22"/>
            <w:lang w:val="es-ES_tradnl"/>
          </w:rPr>
          <w:t>4 a</w:t>
        </w:r>
      </w:smartTag>
      <w:r w:rsidRPr="000A19E1">
        <w:rPr>
          <w:szCs w:val="22"/>
          <w:lang w:val="es-ES_tradnl"/>
        </w:rPr>
        <w:t xml:space="preserve"> 2 clases de la Clasificación de Niza en 2006.</w:t>
      </w:r>
      <w:r>
        <w:rPr>
          <w:szCs w:val="22"/>
          <w:lang w:val="es-ES_tradnl"/>
        </w:rPr>
        <w:t xml:space="preserve"> </w:t>
      </w:r>
      <w:r w:rsidRPr="000A19E1">
        <w:rPr>
          <w:szCs w:val="22"/>
          <w:lang w:val="es-ES_tradnl"/>
        </w:rPr>
        <w:t>Esto sugiere un fuerte cambio en el comportamiento de las presentaciones, donde la mayoría de los solicitantes pasa de especificar dos clases de la Clasificación de Niza a presentar solicitudes en una sola clase.</w:t>
      </w:r>
      <w:r>
        <w:rPr>
          <w:szCs w:val="22"/>
          <w:lang w:val="es-ES_tradnl"/>
        </w:rPr>
        <w:t xml:space="preserve"> </w:t>
      </w:r>
      <w:r w:rsidR="00DB28D5">
        <w:rPr>
          <w:szCs w:val="22"/>
          <w:lang w:val="es-ES_tradnl"/>
        </w:rPr>
        <w:t xml:space="preserve"> </w:t>
      </w:r>
      <w:r w:rsidRPr="000A19E1">
        <w:rPr>
          <w:szCs w:val="22"/>
          <w:lang w:val="es-ES_tradnl"/>
        </w:rPr>
        <w:t>Es de destacar, sin embargo, que no se puede identificar un salto simultáneo en el número total de presentaciones de marcas (ver el Gráfico 2).</w:t>
      </w:r>
      <w:r>
        <w:rPr>
          <w:szCs w:val="22"/>
          <w:lang w:val="es-ES_tradnl"/>
        </w:rPr>
        <w:t xml:space="preserve"> </w:t>
      </w:r>
      <w:r w:rsidR="00DB28D5">
        <w:rPr>
          <w:szCs w:val="22"/>
          <w:lang w:val="es-ES_tradnl"/>
        </w:rPr>
        <w:t xml:space="preserve"> </w:t>
      </w:r>
      <w:r w:rsidRPr="000A19E1">
        <w:rPr>
          <w:szCs w:val="22"/>
          <w:lang w:val="es-ES_tradnl"/>
        </w:rPr>
        <w:t xml:space="preserve">Podría haberse esperado ver un salto, ya que las </w:t>
      </w:r>
      <w:r>
        <w:rPr>
          <w:szCs w:val="22"/>
          <w:lang w:val="es-ES_tradnl"/>
        </w:rPr>
        <w:t>empresas</w:t>
      </w:r>
      <w:r w:rsidRPr="000A19E1">
        <w:rPr>
          <w:szCs w:val="22"/>
          <w:lang w:val="es-ES_tradnl"/>
        </w:rPr>
        <w:t xml:space="preserve"> podrían haber decidido presentar más solicitudes de marcas en menos clases, pero no hay una evidencia clara al respecto.</w:t>
      </w:r>
      <w:r w:rsidRPr="000A19E1">
        <w:rPr>
          <w:rStyle w:val="FootnoteReference"/>
          <w:szCs w:val="22"/>
          <w:lang w:val="es-ES_tradnl"/>
        </w:rPr>
        <w:footnoteReference w:id="35"/>
      </w:r>
    </w:p>
    <w:p w:rsidR="001A2943" w:rsidRPr="000A19E1" w:rsidRDefault="001A2943" w:rsidP="001A2943">
      <w:pPr>
        <w:rPr>
          <w:lang w:val="es-ES_tradnl"/>
        </w:rPr>
      </w:pPr>
    </w:p>
    <w:p w:rsidR="001A2943" w:rsidRPr="000A19E1" w:rsidRDefault="001A2943" w:rsidP="001A2943">
      <w:pPr>
        <w:rPr>
          <w:rFonts w:ascii="Times-Roman" w:hAnsi="Times-Roman" w:cs="Times-Roman"/>
          <w:sz w:val="20"/>
          <w:lang w:val="es-ES_tradnl" w:eastAsia="es-ES"/>
        </w:rPr>
      </w:pPr>
    </w:p>
    <w:p w:rsidR="001A2943" w:rsidRPr="000A19E1" w:rsidRDefault="001A2943" w:rsidP="001A2943">
      <w:pPr>
        <w:jc w:val="center"/>
        <w:rPr>
          <w:b/>
          <w:lang w:val="es-ES_tradnl"/>
        </w:rPr>
      </w:pPr>
    </w:p>
    <w:p w:rsidR="001A2943" w:rsidRPr="000A19E1" w:rsidRDefault="001A2943" w:rsidP="001A2943">
      <w:pPr>
        <w:keepNext/>
        <w:jc w:val="center"/>
        <w:rPr>
          <w:lang w:val="es-ES_tradnl"/>
        </w:rPr>
      </w:pPr>
      <w:r w:rsidRPr="000A19E1">
        <w:rPr>
          <w:b/>
          <w:lang w:val="es-ES_tradnl"/>
        </w:rPr>
        <w:lastRenderedPageBreak/>
        <w:t>Gráfico 29</w:t>
      </w:r>
      <w:proofErr w:type="gramStart"/>
      <w:r w:rsidRPr="000A19E1">
        <w:rPr>
          <w:b/>
          <w:lang w:val="es-ES_tradnl"/>
        </w:rPr>
        <w:t>:</w:t>
      </w:r>
      <w:r>
        <w:rPr>
          <w:b/>
          <w:lang w:val="es-ES_tradnl"/>
        </w:rPr>
        <w:t xml:space="preserve"> </w:t>
      </w:r>
      <w:r w:rsidR="00A26496">
        <w:rPr>
          <w:b/>
          <w:lang w:val="es-ES_tradnl"/>
        </w:rPr>
        <w:t xml:space="preserve"> </w:t>
      </w:r>
      <w:r w:rsidRPr="000A19E1">
        <w:rPr>
          <w:b/>
          <w:lang w:val="es-ES_tradnl"/>
        </w:rPr>
        <w:t>Número</w:t>
      </w:r>
      <w:proofErr w:type="gramEnd"/>
      <w:r w:rsidRPr="000A19E1">
        <w:rPr>
          <w:b/>
          <w:lang w:val="es-ES_tradnl"/>
        </w:rPr>
        <w:t xml:space="preserve"> promedio de clases de la Clasificación de Niza por solicitud (1991-2010)</w:t>
      </w:r>
    </w:p>
    <w:p w:rsidR="001A2943" w:rsidRPr="000A19E1" w:rsidRDefault="001A2943" w:rsidP="001A2943">
      <w:pPr>
        <w:jc w:val="center"/>
        <w:rPr>
          <w:lang w:val="es-ES_tradnl"/>
        </w:rPr>
      </w:pPr>
      <w:r w:rsidRPr="000A19E1">
        <w:rPr>
          <w:noProof/>
          <w:lang w:val="en-US" w:eastAsia="en-US"/>
        </w:rPr>
        <w:drawing>
          <wp:inline distT="0" distB="0" distL="0" distR="0" wp14:anchorId="1CB9C64D" wp14:editId="1DF945AD">
            <wp:extent cx="5033010" cy="3657600"/>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inline>
        </w:drawing>
      </w:r>
    </w:p>
    <w:p w:rsidR="001A2943" w:rsidRPr="000A19E1" w:rsidRDefault="001A2943" w:rsidP="001A2943">
      <w:pPr>
        <w:rPr>
          <w:lang w:val="es-ES_tradnl"/>
        </w:rPr>
      </w:pPr>
    </w:p>
    <w:p w:rsidR="001A2943" w:rsidRDefault="001A2943" w:rsidP="001A2943">
      <w:pPr>
        <w:rPr>
          <w:szCs w:val="22"/>
          <w:lang w:val="es-ES_tradnl"/>
        </w:rPr>
      </w:pPr>
      <w:r w:rsidRPr="009010D6">
        <w:rPr>
          <w:szCs w:val="22"/>
          <w:lang w:val="es-ES_tradnl"/>
        </w:rPr>
        <w:t xml:space="preserve">Chile introdujo en 2012 un sistema de clases múltiples cuando entró en vigencia el Tratado sobre el Derecho de Marcas (TLT). </w:t>
      </w:r>
      <w:r w:rsidR="0075211D">
        <w:rPr>
          <w:szCs w:val="22"/>
          <w:lang w:val="es-ES_tradnl"/>
        </w:rPr>
        <w:t xml:space="preserve"> </w:t>
      </w:r>
      <w:r w:rsidRPr="009010D6">
        <w:rPr>
          <w:szCs w:val="22"/>
          <w:lang w:val="es-ES_tradnl"/>
        </w:rPr>
        <w:t>Anteriormente, los solicitantes solamente podían especificar múltiples clases dentro de clases de productos (Niza 1-34) o de servicios (Niza</w:t>
      </w:r>
      <w:r w:rsidR="0075211D">
        <w:rPr>
          <w:szCs w:val="22"/>
          <w:lang w:val="es-ES_tradnl"/>
        </w:rPr>
        <w:t> </w:t>
      </w:r>
      <w:r w:rsidRPr="009010D6">
        <w:rPr>
          <w:szCs w:val="22"/>
          <w:lang w:val="es-ES_tradnl"/>
        </w:rPr>
        <w:t>35</w:t>
      </w:r>
      <w:r w:rsidR="0075211D">
        <w:rPr>
          <w:szCs w:val="22"/>
          <w:lang w:val="es-ES_tradnl"/>
        </w:rPr>
        <w:noBreakHyphen/>
      </w:r>
      <w:r w:rsidRPr="009010D6">
        <w:rPr>
          <w:szCs w:val="22"/>
          <w:lang w:val="es-ES_tradnl"/>
        </w:rPr>
        <w:t xml:space="preserve">45). </w:t>
      </w:r>
    </w:p>
    <w:p w:rsidR="0075211D" w:rsidRPr="000A19E1" w:rsidRDefault="0075211D" w:rsidP="001A2943">
      <w:pPr>
        <w:rPr>
          <w:szCs w:val="22"/>
          <w:lang w:val="es-ES_tradnl"/>
        </w:rPr>
      </w:pPr>
    </w:p>
    <w:p w:rsidR="001A2943" w:rsidRPr="000A19E1" w:rsidRDefault="001A2943" w:rsidP="001A2943">
      <w:pPr>
        <w:rPr>
          <w:szCs w:val="22"/>
          <w:lang w:val="es-ES_tradnl"/>
        </w:rPr>
      </w:pPr>
      <w:r w:rsidRPr="000A19E1">
        <w:rPr>
          <w:szCs w:val="22"/>
          <w:lang w:val="es-ES_tradnl"/>
        </w:rPr>
        <w:t>El Gráfico 30 muestra la evolución de la participación de presentaciones de productos y servicios sobre el total de presentaciones.</w:t>
      </w:r>
      <w:r w:rsidR="0075211D">
        <w:rPr>
          <w:szCs w:val="22"/>
          <w:lang w:val="es-ES_tradnl"/>
        </w:rPr>
        <w:t xml:space="preserve"> </w:t>
      </w:r>
      <w:r>
        <w:rPr>
          <w:szCs w:val="22"/>
          <w:lang w:val="es-ES_tradnl"/>
        </w:rPr>
        <w:t xml:space="preserve"> </w:t>
      </w:r>
      <w:r w:rsidRPr="000A19E1">
        <w:rPr>
          <w:szCs w:val="22"/>
          <w:lang w:val="es-ES_tradnl"/>
        </w:rPr>
        <w:t>Existe una clara tendencia en el tiempo al incremento de la participación de las marcas de servicios desde casi el 30% en 1991 al 44% en</w:t>
      </w:r>
      <w:r w:rsidR="0075211D">
        <w:rPr>
          <w:szCs w:val="22"/>
          <w:lang w:val="es-ES_tradnl"/>
        </w:rPr>
        <w:t> </w:t>
      </w:r>
      <w:r w:rsidRPr="000A19E1">
        <w:rPr>
          <w:szCs w:val="22"/>
          <w:lang w:val="es-ES_tradnl"/>
        </w:rPr>
        <w:t>2010.</w:t>
      </w:r>
      <w:r>
        <w:rPr>
          <w:szCs w:val="22"/>
          <w:lang w:val="es-ES_tradnl"/>
        </w:rPr>
        <w:t xml:space="preserve"> </w:t>
      </w:r>
      <w:r w:rsidR="0075211D">
        <w:rPr>
          <w:szCs w:val="22"/>
          <w:lang w:val="es-ES_tradnl"/>
        </w:rPr>
        <w:t xml:space="preserve"> </w:t>
      </w:r>
      <w:r w:rsidRPr="000A19E1">
        <w:rPr>
          <w:szCs w:val="22"/>
          <w:lang w:val="es-ES_tradnl"/>
        </w:rPr>
        <w:t>Este cambio refleja una tendencia general de la economía chilena hacia los servicios.</w:t>
      </w:r>
    </w:p>
    <w:p w:rsidR="001A2943" w:rsidRPr="000A19E1" w:rsidRDefault="001A2943" w:rsidP="001A2943">
      <w:pPr>
        <w:rPr>
          <w:szCs w:val="22"/>
          <w:lang w:val="es-ES_tradnl"/>
        </w:rPr>
      </w:pPr>
    </w:p>
    <w:p w:rsidR="001A2943" w:rsidRPr="000A19E1" w:rsidRDefault="001A2943" w:rsidP="001A2943">
      <w:pPr>
        <w:keepNext/>
        <w:jc w:val="center"/>
        <w:rPr>
          <w:lang w:val="es-ES_tradnl"/>
        </w:rPr>
      </w:pPr>
      <w:r w:rsidRPr="000A19E1">
        <w:rPr>
          <w:b/>
          <w:lang w:val="es-ES_tradnl"/>
        </w:rPr>
        <w:lastRenderedPageBreak/>
        <w:t>Gráfico 30</w:t>
      </w:r>
      <w:proofErr w:type="gramStart"/>
      <w:r w:rsidRPr="000A19E1">
        <w:rPr>
          <w:b/>
          <w:lang w:val="es-ES_tradnl"/>
        </w:rPr>
        <w:t>:</w:t>
      </w:r>
      <w:r>
        <w:rPr>
          <w:b/>
          <w:lang w:val="es-ES_tradnl"/>
        </w:rPr>
        <w:t xml:space="preserve"> </w:t>
      </w:r>
      <w:r w:rsidR="00A26496">
        <w:rPr>
          <w:b/>
          <w:lang w:val="es-ES_tradnl"/>
        </w:rPr>
        <w:t xml:space="preserve"> </w:t>
      </w:r>
      <w:r w:rsidRPr="000A19E1">
        <w:rPr>
          <w:b/>
          <w:lang w:val="es-ES_tradnl"/>
        </w:rPr>
        <w:t>Clases</w:t>
      </w:r>
      <w:proofErr w:type="gramEnd"/>
      <w:r w:rsidRPr="000A19E1">
        <w:rPr>
          <w:b/>
          <w:lang w:val="es-ES_tradnl"/>
        </w:rPr>
        <w:t xml:space="preserve"> de productos y servicios – participación en las solicitudes (1991</w:t>
      </w:r>
      <w:r w:rsidR="00A26496">
        <w:rPr>
          <w:b/>
          <w:lang w:val="es-ES_tradnl"/>
        </w:rPr>
        <w:noBreakHyphen/>
      </w:r>
      <w:r w:rsidRPr="000A19E1">
        <w:rPr>
          <w:b/>
          <w:lang w:val="es-ES_tradnl"/>
        </w:rPr>
        <w:t>2010)</w:t>
      </w:r>
    </w:p>
    <w:p w:rsidR="001A2943" w:rsidRPr="000A19E1" w:rsidRDefault="001A2943" w:rsidP="001A2943">
      <w:pPr>
        <w:rPr>
          <w:lang w:val="es-ES_tradnl"/>
        </w:rPr>
      </w:pPr>
      <w:r w:rsidRPr="000A19E1">
        <w:rPr>
          <w:noProof/>
          <w:lang w:val="en-US" w:eastAsia="en-US"/>
        </w:rPr>
        <w:drawing>
          <wp:inline distT="0" distB="0" distL="0" distR="0" wp14:anchorId="7E587D4B" wp14:editId="23CB8FE6">
            <wp:extent cx="5120640" cy="3745230"/>
            <wp:effectExtent l="0" t="0" r="0" b="7620"/>
            <wp:docPr id="3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120640" cy="3745230"/>
                    </a:xfrm>
                    <a:prstGeom prst="rect">
                      <a:avLst/>
                    </a:prstGeom>
                    <a:noFill/>
                    <a:ln>
                      <a:noFill/>
                    </a:ln>
                  </pic:spPr>
                </pic:pic>
              </a:graphicData>
            </a:graphic>
          </wp:inline>
        </w:drawing>
      </w:r>
    </w:p>
    <w:p w:rsidR="001A2943" w:rsidRPr="000A19E1" w:rsidRDefault="001A2943" w:rsidP="001A2943">
      <w:pPr>
        <w:rPr>
          <w:lang w:val="es-ES_tradnl"/>
        </w:rPr>
      </w:pPr>
    </w:p>
    <w:p w:rsidR="001A2943" w:rsidRDefault="001A2943" w:rsidP="001A2943">
      <w:pPr>
        <w:rPr>
          <w:lang w:val="es-ES_tradnl"/>
        </w:rPr>
      </w:pPr>
      <w:r>
        <w:rPr>
          <w:szCs w:val="22"/>
          <w:lang w:val="es-ES_tradnl"/>
        </w:rPr>
        <w:t xml:space="preserve">  </w:t>
      </w:r>
    </w:p>
    <w:p w:rsidR="001A2943" w:rsidRDefault="001A2943" w:rsidP="001A2943">
      <w:r>
        <w:t>El g</w:t>
      </w:r>
      <w:r w:rsidRPr="00B36550">
        <w:t xml:space="preserve">ráfico </w:t>
      </w:r>
      <w:r>
        <w:t>31</w:t>
      </w:r>
      <w:r w:rsidRPr="004C2F95">
        <w:t xml:space="preserve"> revela que la caída en el promedio de n</w:t>
      </w:r>
      <w:r>
        <w:t>úmeros de Clasificación de Niza por solicitud en el 2005, que s</w:t>
      </w:r>
      <w:r w:rsidR="00796EF6">
        <w:t xml:space="preserve">e mostraba en la figura 29, se </w:t>
      </w:r>
      <w:r>
        <w:t xml:space="preserve">debe completamente a una baja en el porcentaje del número de clases de productos por solicitud. </w:t>
      </w:r>
      <w:r w:rsidR="00796EF6">
        <w:t xml:space="preserve"> </w:t>
      </w:r>
      <w:r>
        <w:t>El porcentaje de número de clases de servicios aumentó sostenidamente y no mostró un quiebre visible en el año 2005.</w:t>
      </w:r>
    </w:p>
    <w:p w:rsidR="001A2943" w:rsidRDefault="001A2943" w:rsidP="001A2943"/>
    <w:p w:rsidR="001A2943" w:rsidRPr="004C2F95" w:rsidRDefault="001A2943" w:rsidP="001A2943"/>
    <w:p w:rsidR="001A2943" w:rsidRPr="000A19E1" w:rsidRDefault="001A2943" w:rsidP="001A2943">
      <w:pPr>
        <w:keepNext/>
        <w:jc w:val="center"/>
        <w:rPr>
          <w:lang w:val="es-ES_tradnl"/>
        </w:rPr>
      </w:pPr>
      <w:r w:rsidRPr="000A19E1">
        <w:rPr>
          <w:b/>
          <w:lang w:val="es-ES_tradnl"/>
        </w:rPr>
        <w:lastRenderedPageBreak/>
        <w:t>Gráfico 31:</w:t>
      </w:r>
      <w:r>
        <w:rPr>
          <w:b/>
          <w:lang w:val="es-ES_tradnl"/>
        </w:rPr>
        <w:t xml:space="preserve"> </w:t>
      </w:r>
      <w:r w:rsidRPr="000A19E1">
        <w:rPr>
          <w:b/>
          <w:lang w:val="es-ES_tradnl"/>
        </w:rPr>
        <w:t>Clases de productos y servicios – número promedio de clases (1991</w:t>
      </w:r>
      <w:r w:rsidRPr="000A19E1">
        <w:rPr>
          <w:b/>
          <w:lang w:val="es-ES_tradnl"/>
        </w:rPr>
        <w:noBreakHyphen/>
        <w:t>2010)</w:t>
      </w:r>
    </w:p>
    <w:p w:rsidR="001A2943" w:rsidRPr="000A19E1" w:rsidRDefault="001A2943" w:rsidP="001A2943">
      <w:pPr>
        <w:jc w:val="center"/>
        <w:rPr>
          <w:lang w:val="es-ES_tradnl"/>
        </w:rPr>
      </w:pPr>
      <w:r w:rsidRPr="000A19E1">
        <w:rPr>
          <w:noProof/>
          <w:lang w:val="en-US" w:eastAsia="en-US"/>
        </w:rPr>
        <w:drawing>
          <wp:inline distT="0" distB="0" distL="0" distR="0" wp14:anchorId="016FA374" wp14:editId="32DE4354">
            <wp:extent cx="5033010" cy="3657600"/>
            <wp:effectExtent l="0" t="0" r="0" b="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inline>
        </w:drawing>
      </w:r>
    </w:p>
    <w:p w:rsidR="001A2943" w:rsidRPr="000A19E1" w:rsidRDefault="001A2943" w:rsidP="001A2943">
      <w:pPr>
        <w:rPr>
          <w:lang w:val="es-ES_tradnl"/>
        </w:rPr>
      </w:pPr>
    </w:p>
    <w:p w:rsidR="001A2943" w:rsidRPr="00F1585A" w:rsidRDefault="001A2943" w:rsidP="001A2943">
      <w:pPr>
        <w:textAlignment w:val="top"/>
        <w:rPr>
          <w:szCs w:val="22"/>
          <w:lang w:val="es-ES_tradnl"/>
        </w:rPr>
      </w:pPr>
      <w:r w:rsidRPr="004C2F95">
        <w:rPr>
          <w:szCs w:val="22"/>
          <w:lang w:val="es-ES_tradnl"/>
        </w:rPr>
        <w:t>La caída en el número promedio de clases de productos de la Clasificación de Niza puede ser atribuida a una modificación del procedimiento de solicitud de marcas que fue incluida en la enmienda a la ley de 2005.</w:t>
      </w:r>
      <w:r w:rsidRPr="004C2F95">
        <w:rPr>
          <w:rStyle w:val="FootnoteReference"/>
          <w:szCs w:val="22"/>
          <w:lang w:val="es-ES_tradnl"/>
        </w:rPr>
        <w:footnoteReference w:id="36"/>
      </w:r>
      <w:r>
        <w:rPr>
          <w:rFonts w:eastAsia="Times New Roman"/>
          <w:szCs w:val="22"/>
          <w:lang w:val="es-ES_tradnl" w:eastAsia="es-ES"/>
        </w:rPr>
        <w:t xml:space="preserve"> </w:t>
      </w:r>
      <w:r w:rsidR="00796EF6">
        <w:rPr>
          <w:rFonts w:eastAsia="Times New Roman"/>
          <w:szCs w:val="22"/>
          <w:lang w:val="es-ES_tradnl" w:eastAsia="es-ES"/>
        </w:rPr>
        <w:t xml:space="preserve"> </w:t>
      </w:r>
      <w:r w:rsidRPr="004C2F95">
        <w:rPr>
          <w:szCs w:val="22"/>
          <w:lang w:val="es-ES_tradnl"/>
        </w:rPr>
        <w:t>La enmienda establece la obligación de especificar los productos que deben ser protegidos por cada clase de la Clasificación de Niza solicitada.</w:t>
      </w:r>
      <w:r w:rsidRPr="004C2F95">
        <w:rPr>
          <w:rStyle w:val="FootnoteReference"/>
          <w:szCs w:val="22"/>
          <w:lang w:val="es-ES_tradnl"/>
        </w:rPr>
        <w:footnoteReference w:id="37"/>
      </w:r>
      <w:r>
        <w:rPr>
          <w:rFonts w:eastAsia="Times New Roman"/>
          <w:szCs w:val="22"/>
          <w:lang w:val="es-ES_tradnl" w:eastAsia="es-ES"/>
        </w:rPr>
        <w:t xml:space="preserve"> </w:t>
      </w:r>
      <w:r w:rsidR="00796EF6">
        <w:rPr>
          <w:rFonts w:eastAsia="Times New Roman"/>
          <w:szCs w:val="22"/>
          <w:lang w:val="es-ES_tradnl" w:eastAsia="es-ES"/>
        </w:rPr>
        <w:t xml:space="preserve"> </w:t>
      </w:r>
      <w:r w:rsidRPr="004C2F95">
        <w:rPr>
          <w:szCs w:val="22"/>
          <w:lang w:val="es-ES_tradnl"/>
        </w:rPr>
        <w:t>Antes de 2005, las marcas podían ser presentadas para todos los productos de una determinada clase de la Clasificación de Niza sin tener que especificar producto alguno.</w:t>
      </w:r>
      <w:r w:rsidR="00796EF6">
        <w:rPr>
          <w:szCs w:val="22"/>
          <w:lang w:val="es-ES_tradnl"/>
        </w:rPr>
        <w:t xml:space="preserve"> </w:t>
      </w:r>
      <w:r>
        <w:rPr>
          <w:szCs w:val="22"/>
          <w:lang w:val="es-ES_tradnl"/>
        </w:rPr>
        <w:t xml:space="preserve"> </w:t>
      </w:r>
      <w:r w:rsidRPr="004C2F95">
        <w:rPr>
          <w:szCs w:val="22"/>
          <w:lang w:val="es-ES_tradnl"/>
        </w:rPr>
        <w:t>A través de este requisito, la enmienda hizo que fuera más difícil solicitar un número mayor de clases de la Clasificación de Niza.</w:t>
      </w:r>
      <w:r>
        <w:rPr>
          <w:szCs w:val="22"/>
          <w:lang w:val="es-ES_tradnl"/>
        </w:rPr>
        <w:t xml:space="preserve"> </w:t>
      </w:r>
      <w:r w:rsidR="00796EF6">
        <w:rPr>
          <w:szCs w:val="22"/>
          <w:lang w:val="es-ES_tradnl"/>
        </w:rPr>
        <w:t xml:space="preserve"> </w:t>
      </w:r>
      <w:r w:rsidRPr="004C2F95">
        <w:rPr>
          <w:szCs w:val="22"/>
          <w:lang w:val="es-ES_tradnl"/>
        </w:rPr>
        <w:t xml:space="preserve">En contraste con las marcas de producto, las marcas de servicio ya estaban sujetas a este requisito (tener que especificar los servicios que serían </w:t>
      </w:r>
      <w:r w:rsidRPr="00F1585A">
        <w:rPr>
          <w:szCs w:val="22"/>
          <w:lang w:val="es-ES_tradnl"/>
        </w:rPr>
        <w:t>cubiertos por una determinada clase de marca) antes de 2005.</w:t>
      </w:r>
      <w:r>
        <w:rPr>
          <w:szCs w:val="22"/>
          <w:lang w:val="es-ES_tradnl"/>
        </w:rPr>
        <w:t xml:space="preserve"> </w:t>
      </w:r>
      <w:r w:rsidR="00796EF6">
        <w:rPr>
          <w:szCs w:val="22"/>
          <w:lang w:val="es-ES_tradnl"/>
        </w:rPr>
        <w:t xml:space="preserve"> </w:t>
      </w:r>
      <w:r w:rsidRPr="00F1585A">
        <w:rPr>
          <w:szCs w:val="22"/>
          <w:lang w:val="es-ES_tradnl"/>
        </w:rPr>
        <w:t>Esto significa que la enmienda de 2005 no tuvo ningún efecto directo sobre el comportamiento de solicitudes de clases de servicios.</w:t>
      </w:r>
      <w:r>
        <w:rPr>
          <w:szCs w:val="22"/>
          <w:lang w:val="es-ES_tradnl"/>
        </w:rPr>
        <w:t xml:space="preserve"> </w:t>
      </w:r>
      <w:r w:rsidR="00796EF6">
        <w:rPr>
          <w:szCs w:val="22"/>
          <w:lang w:val="es-ES_tradnl"/>
        </w:rPr>
        <w:t xml:space="preserve"> </w:t>
      </w:r>
      <w:r w:rsidRPr="00F1585A">
        <w:rPr>
          <w:szCs w:val="22"/>
          <w:lang w:val="es-ES_tradnl"/>
        </w:rPr>
        <w:t>Sin embargo, la fuerte caída a raíz de dicho cambio administrativo es sorprendente.</w:t>
      </w:r>
    </w:p>
    <w:p w:rsidR="001A2943" w:rsidRPr="00F1585A" w:rsidRDefault="001A2943" w:rsidP="001A2943">
      <w:pPr>
        <w:rPr>
          <w:szCs w:val="22"/>
          <w:lang w:val="es-ES_tradnl"/>
        </w:rPr>
      </w:pPr>
    </w:p>
    <w:p w:rsidR="001A2943" w:rsidRPr="000A19E1" w:rsidRDefault="001A2943" w:rsidP="001A2943">
      <w:pPr>
        <w:rPr>
          <w:szCs w:val="22"/>
          <w:lang w:val="es-ES_tradnl"/>
        </w:rPr>
      </w:pPr>
      <w:r w:rsidRPr="00F1585A">
        <w:rPr>
          <w:szCs w:val="22"/>
          <w:lang w:val="es-ES_tradnl"/>
        </w:rPr>
        <w:t>Finalmente, el Gráfico 32 considera el tipo de marcas presentadas.</w:t>
      </w:r>
      <w:r w:rsidR="002B63C5">
        <w:rPr>
          <w:szCs w:val="22"/>
          <w:lang w:val="es-ES_tradnl"/>
        </w:rPr>
        <w:t xml:space="preserve"> </w:t>
      </w:r>
      <w:r>
        <w:rPr>
          <w:szCs w:val="22"/>
          <w:lang w:val="es-ES_tradnl"/>
        </w:rPr>
        <w:t xml:space="preserve"> </w:t>
      </w:r>
      <w:r w:rsidRPr="00F1585A">
        <w:rPr>
          <w:szCs w:val="22"/>
          <w:lang w:val="es-ES_tradnl"/>
        </w:rPr>
        <w:t>El gráfico muestra el porcentaje marcas denominativas, figurativas, mixtas y de lemas comerciales en el total de solicitudes presentadas.</w:t>
      </w:r>
      <w:r>
        <w:rPr>
          <w:szCs w:val="22"/>
          <w:lang w:val="es-ES_tradnl"/>
        </w:rPr>
        <w:t xml:space="preserve"> </w:t>
      </w:r>
      <w:r w:rsidR="002B63C5">
        <w:rPr>
          <w:szCs w:val="22"/>
          <w:lang w:val="es-ES_tradnl"/>
        </w:rPr>
        <w:t xml:space="preserve"> </w:t>
      </w:r>
      <w:r w:rsidRPr="00F1585A">
        <w:rPr>
          <w:szCs w:val="22"/>
          <w:lang w:val="es-ES_tradnl"/>
        </w:rPr>
        <w:t>El número de marcas sonoras, denominaciones de origen e indicaciones geográficas es cercano a cero en el período de tiempo analizado y son por lo tanto excluidas del Gráfico 32.</w:t>
      </w:r>
      <w:r>
        <w:rPr>
          <w:szCs w:val="22"/>
          <w:lang w:val="es-ES_tradnl"/>
        </w:rPr>
        <w:t xml:space="preserve"> </w:t>
      </w:r>
      <w:r w:rsidR="002B63C5">
        <w:rPr>
          <w:szCs w:val="22"/>
          <w:lang w:val="es-ES_tradnl"/>
        </w:rPr>
        <w:t xml:space="preserve"> </w:t>
      </w:r>
      <w:r w:rsidRPr="00F1585A">
        <w:rPr>
          <w:szCs w:val="22"/>
          <w:lang w:val="es-ES_tradnl"/>
        </w:rPr>
        <w:t xml:space="preserve">Las marcas denominativas representan el mayor porcentaje de solicitudes, aunque la proporción de presentaciones de marcas mixtas (denominativas y figurativas) aumentó considerablemente en el tiempo </w:t>
      </w:r>
      <w:r w:rsidRPr="00F1585A">
        <w:rPr>
          <w:szCs w:val="22"/>
          <w:lang w:val="es-ES_tradnl"/>
        </w:rPr>
        <w:noBreakHyphen/>
        <w:t xml:space="preserve">el porcentaje casi se duplicó desde el 20% en </w:t>
      </w:r>
      <w:smartTag w:uri="urn:schemas-microsoft-com:office:smarttags" w:element="metricconverter">
        <w:smartTagPr>
          <w:attr w:name="ProductID" w:val="1991 a"/>
        </w:smartTagPr>
        <w:r w:rsidRPr="00F1585A">
          <w:rPr>
            <w:szCs w:val="22"/>
            <w:lang w:val="es-ES_tradnl"/>
          </w:rPr>
          <w:t>1991 a</w:t>
        </w:r>
      </w:smartTag>
      <w:r w:rsidRPr="00F1585A">
        <w:rPr>
          <w:szCs w:val="22"/>
          <w:lang w:val="es-ES_tradnl"/>
        </w:rPr>
        <w:t xml:space="preserve"> casi el 40% en 2010.</w:t>
      </w:r>
      <w:r>
        <w:rPr>
          <w:szCs w:val="22"/>
          <w:lang w:val="es-ES_tradnl"/>
        </w:rPr>
        <w:t xml:space="preserve"> </w:t>
      </w:r>
      <w:r w:rsidR="002B63C5">
        <w:rPr>
          <w:szCs w:val="22"/>
          <w:lang w:val="es-ES_tradnl"/>
        </w:rPr>
        <w:t xml:space="preserve"> </w:t>
      </w:r>
      <w:r w:rsidRPr="00F1585A">
        <w:rPr>
          <w:szCs w:val="22"/>
          <w:lang w:val="es-ES_tradnl"/>
        </w:rPr>
        <w:t>La participación de las marcas figurativas y de los lemas comerciales se mantuvo estable a lo largo del tiempo.</w:t>
      </w:r>
    </w:p>
    <w:p w:rsidR="001A2943" w:rsidRPr="000A19E1" w:rsidRDefault="001A2943" w:rsidP="001A2943">
      <w:pPr>
        <w:rPr>
          <w:lang w:val="es-ES_tradnl"/>
        </w:rPr>
      </w:pPr>
    </w:p>
    <w:p w:rsidR="001A2943" w:rsidRPr="000A19E1" w:rsidRDefault="001A2943" w:rsidP="001A2943">
      <w:pPr>
        <w:keepNext/>
        <w:jc w:val="center"/>
        <w:rPr>
          <w:lang w:val="es-ES_tradnl"/>
        </w:rPr>
      </w:pPr>
      <w:r w:rsidRPr="000A19E1">
        <w:rPr>
          <w:b/>
          <w:lang w:val="es-ES_tradnl"/>
        </w:rPr>
        <w:lastRenderedPageBreak/>
        <w:t>Gráfico 32</w:t>
      </w:r>
      <w:proofErr w:type="gramStart"/>
      <w:r w:rsidRPr="000A19E1">
        <w:rPr>
          <w:b/>
          <w:lang w:val="es-ES_tradnl"/>
        </w:rPr>
        <w:t>:</w:t>
      </w:r>
      <w:r>
        <w:rPr>
          <w:b/>
          <w:lang w:val="es-ES_tradnl"/>
        </w:rPr>
        <w:t xml:space="preserve"> </w:t>
      </w:r>
      <w:r w:rsidR="00A762F8">
        <w:rPr>
          <w:b/>
          <w:lang w:val="es-ES_tradnl"/>
        </w:rPr>
        <w:t xml:space="preserve"> </w:t>
      </w:r>
      <w:r w:rsidRPr="000A19E1">
        <w:rPr>
          <w:b/>
          <w:lang w:val="es-ES_tradnl"/>
        </w:rPr>
        <w:t>Tipos</w:t>
      </w:r>
      <w:proofErr w:type="gramEnd"/>
      <w:r w:rsidRPr="000A19E1">
        <w:rPr>
          <w:b/>
          <w:lang w:val="es-ES_tradnl"/>
        </w:rPr>
        <w:t xml:space="preserve"> de marcas – cuota de solicitudes (1991-2010)</w:t>
      </w:r>
      <w:r w:rsidRPr="000A19E1" w:rsidDel="00335D3D">
        <w:rPr>
          <w:b/>
          <w:lang w:val="es-ES_tradnl"/>
        </w:rPr>
        <w:t xml:space="preserve"> </w:t>
      </w:r>
      <w:r w:rsidRPr="000A19E1">
        <w:rPr>
          <w:b/>
          <w:noProof/>
          <w:lang w:val="en-US" w:eastAsia="en-US"/>
        </w:rPr>
        <w:drawing>
          <wp:inline distT="0" distB="0" distL="0" distR="0" wp14:anchorId="0DA4FEC6" wp14:editId="0DCEA15D">
            <wp:extent cx="5033010" cy="3657600"/>
            <wp:effectExtent l="0" t="0" r="0" b="0"/>
            <wp:docPr id="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inline>
        </w:drawing>
      </w:r>
    </w:p>
    <w:p w:rsidR="001A2943" w:rsidRPr="00270124" w:rsidRDefault="001A2943" w:rsidP="001A2943">
      <w:pPr>
        <w:pStyle w:val="Heading1"/>
        <w:rPr>
          <w:b w:val="0"/>
          <w:u w:val="single"/>
          <w:lang w:val="es-ES_tradnl"/>
        </w:rPr>
      </w:pPr>
      <w:bookmarkStart w:id="17" w:name="_Toc359312064"/>
      <w:r w:rsidRPr="00270124">
        <w:rPr>
          <w:b w:val="0"/>
          <w:lang w:val="es-ES_tradnl"/>
        </w:rPr>
        <w:t>13.</w:t>
      </w:r>
      <w:r w:rsidRPr="00270124">
        <w:rPr>
          <w:b w:val="0"/>
          <w:lang w:val="es-ES_tradnl"/>
        </w:rPr>
        <w:tab/>
      </w:r>
      <w:r w:rsidR="00A762F8" w:rsidRPr="00270124">
        <w:rPr>
          <w:b w:val="0"/>
          <w:u w:val="single"/>
          <w:lang w:val="es-ES_tradnl"/>
        </w:rPr>
        <w:t>C</w:t>
      </w:r>
      <w:r w:rsidR="00A762F8" w:rsidRPr="00270124">
        <w:rPr>
          <w:b w:val="0"/>
          <w:caps w:val="0"/>
          <w:u w:val="single"/>
          <w:lang w:val="es-ES_tradnl"/>
        </w:rPr>
        <w:t>onclusión</w:t>
      </w:r>
      <w:bookmarkEnd w:id="17"/>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Este documento estudia el uso de la P.I. en Chile utilizando datos generados en el marco de un proyecto conjunto INAPI-OMPI que contienen la población de solicitudes de patentes, marcas, modelos de utilidad y diseños en el período 1991-2010.</w:t>
      </w:r>
      <w:r w:rsidR="002B63C5">
        <w:rPr>
          <w:szCs w:val="22"/>
          <w:lang w:val="es-ES_tradnl"/>
        </w:rPr>
        <w:t xml:space="preserve"> </w:t>
      </w:r>
      <w:r>
        <w:rPr>
          <w:szCs w:val="22"/>
          <w:lang w:val="es-ES_tradnl"/>
        </w:rPr>
        <w:t xml:space="preserve"> </w:t>
      </w:r>
      <w:r w:rsidRPr="000A19E1">
        <w:rPr>
          <w:szCs w:val="22"/>
          <w:lang w:val="es-ES_tradnl"/>
        </w:rPr>
        <w:t>La base de datos contiene los nombres armonizados de los solicitantes para los cuatro tipos de P.I., lo cual nos permite analizar el uso de la P.I. desde diversas perspectivas.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Nuestro análisis muestra que el número de solicitudes de patentes se ha más que triplicado desde que la ley sobre P.I. fue promulgada en 1991.</w:t>
      </w:r>
      <w:r w:rsidR="002B63C5">
        <w:rPr>
          <w:szCs w:val="22"/>
          <w:lang w:val="es-ES_tradnl"/>
        </w:rPr>
        <w:t xml:space="preserve"> </w:t>
      </w:r>
      <w:r>
        <w:rPr>
          <w:szCs w:val="22"/>
          <w:lang w:val="es-ES_tradnl"/>
        </w:rPr>
        <w:t xml:space="preserve"> </w:t>
      </w:r>
      <w:r w:rsidRPr="000A19E1">
        <w:rPr>
          <w:szCs w:val="22"/>
          <w:lang w:val="es-ES_tradnl"/>
        </w:rPr>
        <w:t xml:space="preserve">Sin embargo, al igual que en la mayoría de países de ingresos medios, el uso de las patentes tal como se refleja en el número total de solicitudes </w:t>
      </w:r>
      <w:r w:rsidRPr="000A19E1">
        <w:rPr>
          <w:szCs w:val="22"/>
          <w:lang w:val="es-ES_tradnl"/>
        </w:rPr>
        <w:noBreakHyphen/>
        <w:t>un poco más de 3.000 en 2008</w:t>
      </w:r>
      <w:r w:rsidRPr="000A19E1">
        <w:rPr>
          <w:szCs w:val="22"/>
          <w:lang w:val="es-ES_tradnl"/>
        </w:rPr>
        <w:noBreakHyphen/>
        <w:t xml:space="preserve"> sigue siendo relativamente modesto.</w:t>
      </w:r>
      <w:r>
        <w:rPr>
          <w:szCs w:val="22"/>
          <w:lang w:val="es-ES_tradnl"/>
        </w:rPr>
        <w:t xml:space="preserve"> </w:t>
      </w:r>
      <w:r w:rsidR="002B63C5">
        <w:rPr>
          <w:szCs w:val="22"/>
          <w:lang w:val="es-ES_tradnl"/>
        </w:rPr>
        <w:t xml:space="preserve"> </w:t>
      </w:r>
      <w:r w:rsidRPr="000A19E1">
        <w:rPr>
          <w:szCs w:val="22"/>
          <w:lang w:val="es-ES_tradnl"/>
        </w:rPr>
        <w:t>Por el contrario, las marcas son utilizadas intensivamente.</w:t>
      </w:r>
      <w:r>
        <w:rPr>
          <w:szCs w:val="22"/>
          <w:lang w:val="es-ES_tradnl"/>
        </w:rPr>
        <w:t xml:space="preserve"> </w:t>
      </w:r>
      <w:r w:rsidR="002B63C5">
        <w:rPr>
          <w:szCs w:val="22"/>
          <w:lang w:val="es-ES_tradnl"/>
        </w:rPr>
        <w:t xml:space="preserve"> </w:t>
      </w:r>
      <w:r w:rsidRPr="000A19E1">
        <w:rPr>
          <w:szCs w:val="22"/>
          <w:lang w:val="es-ES_tradnl"/>
        </w:rPr>
        <w:t xml:space="preserve">Los registros aumentaron desde poco menos de 20.000 por año en </w:t>
      </w:r>
      <w:smartTag w:uri="urn:schemas-microsoft-com:office:smarttags" w:element="metricconverter">
        <w:smartTagPr>
          <w:attr w:name="ProductID" w:val="1991 a"/>
        </w:smartTagPr>
        <w:r w:rsidRPr="000A19E1">
          <w:rPr>
            <w:szCs w:val="22"/>
            <w:lang w:val="es-ES_tradnl"/>
          </w:rPr>
          <w:t>1991 a</w:t>
        </w:r>
      </w:smartTag>
      <w:r w:rsidRPr="000A19E1">
        <w:rPr>
          <w:szCs w:val="22"/>
          <w:lang w:val="es-ES_tradnl"/>
        </w:rPr>
        <w:t xml:space="preserve"> más de 30.000 en 2010.</w:t>
      </w:r>
      <w:r w:rsidR="002B63C5">
        <w:rPr>
          <w:szCs w:val="22"/>
          <w:lang w:val="es-ES_tradnl"/>
        </w:rPr>
        <w:t xml:space="preserve"> </w:t>
      </w:r>
      <w:r w:rsidRPr="000A19E1">
        <w:rPr>
          <w:szCs w:val="22"/>
          <w:lang w:val="es-ES_tradnl"/>
        </w:rPr>
        <w:t>El uso de los modelos de utilidad y diseños industriales se mantiene bajo durante las dos décadas, incluso en relación con países de niveles de ingreso similares.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Nuestros datos revelan que más del 90% de las patentes son presentadas por no residentes.</w:t>
      </w:r>
      <w:r>
        <w:rPr>
          <w:szCs w:val="22"/>
          <w:lang w:val="es-ES_tradnl"/>
        </w:rPr>
        <w:t xml:space="preserve"> </w:t>
      </w:r>
      <w:r w:rsidRPr="000A19E1">
        <w:rPr>
          <w:szCs w:val="22"/>
          <w:lang w:val="es-ES_tradnl"/>
        </w:rPr>
        <w:t>La mayor parte de estas patentes son presentadas por multinacionales farmacéuticas y químicas.</w:t>
      </w:r>
      <w:r w:rsidR="002B63C5">
        <w:rPr>
          <w:szCs w:val="22"/>
          <w:lang w:val="es-ES_tradnl"/>
        </w:rPr>
        <w:t xml:space="preserve"> </w:t>
      </w:r>
      <w:r>
        <w:rPr>
          <w:szCs w:val="22"/>
          <w:lang w:val="es-ES_tradnl"/>
        </w:rPr>
        <w:t xml:space="preserve"> </w:t>
      </w:r>
      <w:r w:rsidRPr="000A19E1">
        <w:rPr>
          <w:szCs w:val="22"/>
          <w:lang w:val="es-ES_tradnl"/>
        </w:rPr>
        <w:t xml:space="preserve">Esto significa que la mayoría de las patentes registradas en Chile </w:t>
      </w:r>
      <w:r w:rsidRPr="000A19E1">
        <w:rPr>
          <w:szCs w:val="22"/>
          <w:lang w:val="es-ES_tradnl"/>
        </w:rPr>
        <w:noBreakHyphen/>
        <w:t>alrededor de</w:t>
      </w:r>
      <w:r w:rsidR="00A762F8">
        <w:rPr>
          <w:szCs w:val="22"/>
          <w:lang w:val="es-ES_tradnl"/>
        </w:rPr>
        <w:t> </w:t>
      </w:r>
      <w:r w:rsidRPr="000A19E1">
        <w:rPr>
          <w:szCs w:val="22"/>
          <w:lang w:val="es-ES_tradnl"/>
        </w:rPr>
        <w:t>60%</w:t>
      </w:r>
      <w:r w:rsidRPr="000A19E1">
        <w:rPr>
          <w:szCs w:val="22"/>
          <w:lang w:val="es-ES_tradnl"/>
        </w:rPr>
        <w:noBreakHyphen/>
        <w:t xml:space="preserve"> están relacionadas con productos químicos y farmacéuticos, lo cual contrasta con la composición tecnológica de las solicitudes de patentes en los países desarrollados.</w:t>
      </w:r>
      <w:r w:rsidR="002B63C5">
        <w:rPr>
          <w:szCs w:val="22"/>
          <w:lang w:val="es-ES_tradnl"/>
        </w:rPr>
        <w:t xml:space="preserve"> </w:t>
      </w:r>
      <w:r>
        <w:rPr>
          <w:szCs w:val="22"/>
          <w:lang w:val="es-ES_tradnl"/>
        </w:rPr>
        <w:t xml:space="preserve"> </w:t>
      </w:r>
      <w:r w:rsidRPr="000A19E1">
        <w:rPr>
          <w:szCs w:val="22"/>
          <w:lang w:val="es-ES_tradnl"/>
        </w:rPr>
        <w:t>Los diseños industriales también son utilizados mayoritariamente por los no residentes, con sólo el 16% de las solicitudes procedentes de los residentes.</w:t>
      </w:r>
      <w:r>
        <w:rPr>
          <w:szCs w:val="22"/>
          <w:lang w:val="es-ES_tradnl"/>
        </w:rPr>
        <w:t xml:space="preserve"> </w:t>
      </w:r>
      <w:r w:rsidR="002B63C5">
        <w:rPr>
          <w:szCs w:val="22"/>
          <w:lang w:val="es-ES_tradnl"/>
        </w:rPr>
        <w:t xml:space="preserve"> </w:t>
      </w:r>
      <w:r w:rsidRPr="000A19E1">
        <w:rPr>
          <w:szCs w:val="22"/>
          <w:lang w:val="es-ES_tradnl"/>
        </w:rPr>
        <w:t>Las marcas, en cambio, son presentadas mayoritariamente por entidades nacionales como también es el caso de los modelos de utilidad.</w:t>
      </w:r>
      <w:r>
        <w:rPr>
          <w:szCs w:val="22"/>
          <w:lang w:val="es-ES_tradnl"/>
        </w:rPr>
        <w:t xml:space="preserve"> </w:t>
      </w:r>
      <w:r w:rsidR="002B63C5">
        <w:rPr>
          <w:szCs w:val="22"/>
          <w:lang w:val="es-ES_tradnl"/>
        </w:rPr>
        <w:t xml:space="preserve"> </w:t>
      </w:r>
      <w:r w:rsidRPr="000A19E1">
        <w:rPr>
          <w:szCs w:val="22"/>
          <w:lang w:val="es-ES_tradnl"/>
        </w:rPr>
        <w:t>Las marcas son utilizadas ampliamente en toda la economía.</w:t>
      </w:r>
      <w:r>
        <w:rPr>
          <w:szCs w:val="22"/>
          <w:lang w:val="es-ES_tradnl"/>
        </w:rPr>
        <w:t xml:space="preserve"> </w:t>
      </w:r>
      <w:r w:rsidR="002B63C5">
        <w:rPr>
          <w:szCs w:val="22"/>
          <w:lang w:val="es-ES_tradnl"/>
        </w:rPr>
        <w:t xml:space="preserve"> </w:t>
      </w:r>
      <w:r w:rsidRPr="000A19E1">
        <w:rPr>
          <w:szCs w:val="22"/>
          <w:lang w:val="es-ES_tradnl"/>
        </w:rPr>
        <w:t>Los productos agrícolas representan el mayor porcentaje de solicitudes de marcas, una categoría que incluye productos como vino y frutas.</w:t>
      </w:r>
      <w:r>
        <w:rPr>
          <w:szCs w:val="22"/>
          <w:lang w:val="es-ES_tradnl"/>
        </w:rPr>
        <w:t xml:space="preserve"> </w:t>
      </w:r>
      <w:r w:rsidR="002B63C5">
        <w:rPr>
          <w:szCs w:val="22"/>
          <w:lang w:val="es-ES_tradnl"/>
        </w:rPr>
        <w:t xml:space="preserve"> </w:t>
      </w:r>
      <w:r w:rsidRPr="000A19E1">
        <w:rPr>
          <w:szCs w:val="22"/>
          <w:lang w:val="es-ES_tradnl"/>
        </w:rPr>
        <w:t>También hay una gran proporción de marcas que están relacionadas con productos farmacéuticos.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lastRenderedPageBreak/>
        <w:t xml:space="preserve">La gran mayoría de las patentes son concedidas a </w:t>
      </w:r>
      <w:r>
        <w:rPr>
          <w:szCs w:val="22"/>
          <w:lang w:val="es-ES_tradnl"/>
        </w:rPr>
        <w:t>empresas</w:t>
      </w:r>
      <w:r w:rsidRPr="000A19E1">
        <w:rPr>
          <w:szCs w:val="22"/>
          <w:lang w:val="es-ES_tradnl"/>
        </w:rPr>
        <w:t>.</w:t>
      </w:r>
      <w:r>
        <w:rPr>
          <w:szCs w:val="22"/>
          <w:lang w:val="es-ES_tradnl"/>
        </w:rPr>
        <w:t xml:space="preserve"> </w:t>
      </w:r>
      <w:r w:rsidR="002B63C5">
        <w:rPr>
          <w:szCs w:val="22"/>
          <w:lang w:val="es-ES_tradnl"/>
        </w:rPr>
        <w:t xml:space="preserve"> </w:t>
      </w:r>
      <w:r w:rsidRPr="000A19E1">
        <w:rPr>
          <w:szCs w:val="22"/>
          <w:lang w:val="es-ES_tradnl"/>
        </w:rPr>
        <w:t>Un número considerable de universidades chilenas solicita patentes y se encuentra entre los 10 principales titulares de patentes residentes.</w:t>
      </w:r>
      <w:r w:rsidR="002B63C5">
        <w:rPr>
          <w:szCs w:val="22"/>
          <w:lang w:val="es-ES_tradnl"/>
        </w:rPr>
        <w:t xml:space="preserve"> </w:t>
      </w:r>
      <w:r>
        <w:rPr>
          <w:szCs w:val="22"/>
          <w:lang w:val="es-ES_tradnl"/>
        </w:rPr>
        <w:t xml:space="preserve"> </w:t>
      </w:r>
      <w:r w:rsidRPr="000A19E1">
        <w:rPr>
          <w:szCs w:val="22"/>
          <w:lang w:val="es-ES_tradnl"/>
        </w:rPr>
        <w:t xml:space="preserve">Entre estos principales titulares de patentes residentes también se encuentran las </w:t>
      </w:r>
      <w:r>
        <w:rPr>
          <w:szCs w:val="22"/>
          <w:lang w:val="es-ES_tradnl"/>
        </w:rPr>
        <w:t>empresas</w:t>
      </w:r>
      <w:r w:rsidRPr="000A19E1">
        <w:rPr>
          <w:szCs w:val="22"/>
          <w:lang w:val="es-ES_tradnl"/>
        </w:rPr>
        <w:t xml:space="preserve"> del sector minero.</w:t>
      </w:r>
      <w:r>
        <w:rPr>
          <w:szCs w:val="22"/>
          <w:lang w:val="es-ES_tradnl"/>
        </w:rPr>
        <w:t xml:space="preserve"> </w:t>
      </w:r>
      <w:r w:rsidR="002B63C5">
        <w:rPr>
          <w:szCs w:val="22"/>
          <w:lang w:val="es-ES_tradnl"/>
        </w:rPr>
        <w:t xml:space="preserve"> </w:t>
      </w:r>
      <w:r w:rsidRPr="000A19E1">
        <w:rPr>
          <w:szCs w:val="22"/>
          <w:lang w:val="es-ES_tradnl"/>
        </w:rPr>
        <w:t xml:space="preserve">Las presentaciones de marcas son originadas tanto por </w:t>
      </w:r>
      <w:r>
        <w:rPr>
          <w:szCs w:val="22"/>
          <w:lang w:val="es-ES_tradnl"/>
        </w:rPr>
        <w:t>empresas</w:t>
      </w:r>
      <w:r w:rsidRPr="000A19E1">
        <w:rPr>
          <w:szCs w:val="22"/>
          <w:lang w:val="es-ES_tradnl"/>
        </w:rPr>
        <w:t xml:space="preserve"> como por personas. </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Considerando el origen de las presentaciones de los no residentes, los datos indican que la gran mayoría, para las cuatro formas de P.I., provienen de los Estados Unidos y de Europa.</w:t>
      </w:r>
      <w:r>
        <w:rPr>
          <w:szCs w:val="22"/>
          <w:lang w:val="es-ES_tradnl"/>
        </w:rPr>
        <w:t xml:space="preserve"> </w:t>
      </w:r>
      <w:r w:rsidRPr="000A19E1">
        <w:rPr>
          <w:szCs w:val="22"/>
          <w:lang w:val="es-ES_tradnl"/>
        </w:rPr>
        <w:t>Los otros países de América del Sur, por el contrario, representan sólo una pequeña parte de las solicitudes.</w:t>
      </w:r>
      <w:r>
        <w:rPr>
          <w:szCs w:val="22"/>
          <w:lang w:val="es-ES_tradnl"/>
        </w:rPr>
        <w:t xml:space="preserve"> </w:t>
      </w:r>
      <w:r w:rsidR="002B63C5">
        <w:rPr>
          <w:szCs w:val="22"/>
          <w:lang w:val="es-ES_tradnl"/>
        </w:rPr>
        <w:t xml:space="preserve"> </w:t>
      </w:r>
      <w:r w:rsidRPr="000A19E1">
        <w:rPr>
          <w:szCs w:val="22"/>
          <w:lang w:val="es-ES_tradnl"/>
        </w:rPr>
        <w:t xml:space="preserve">Por ejemplo, en el caso de las patentes, representan sólo el 2% del total de solicitudes entre 1991 y 2010, mientras EEUU y UE representan en conjunto </w:t>
      </w:r>
      <w:r>
        <w:rPr>
          <w:szCs w:val="22"/>
          <w:lang w:val="es-ES_tradnl"/>
        </w:rPr>
        <w:t>más del </w:t>
      </w:r>
      <w:r w:rsidRPr="000A19E1">
        <w:rPr>
          <w:szCs w:val="22"/>
          <w:lang w:val="es-ES_tradnl"/>
        </w:rPr>
        <w:t xml:space="preserve">80% de las solicitudes. </w:t>
      </w:r>
    </w:p>
    <w:p w:rsidR="001A2943" w:rsidRPr="000A19E1" w:rsidRDefault="001A2943" w:rsidP="001A2943">
      <w:pPr>
        <w:pStyle w:val="ListParagraph"/>
        <w:ind w:left="0"/>
        <w:rPr>
          <w:rFonts w:ascii="Arial" w:hAnsi="Arial" w:cs="Arial"/>
          <w:sz w:val="22"/>
          <w:szCs w:val="22"/>
          <w:lang w:val="es-ES_tradnl"/>
        </w:rPr>
      </w:pPr>
    </w:p>
    <w:p w:rsidR="001A2943" w:rsidRPr="000A19E1" w:rsidRDefault="001A2943" w:rsidP="001A2943">
      <w:pPr>
        <w:rPr>
          <w:szCs w:val="22"/>
          <w:lang w:val="es-ES_tradnl"/>
        </w:rPr>
      </w:pPr>
      <w:r w:rsidRPr="000A19E1">
        <w:rPr>
          <w:szCs w:val="22"/>
          <w:lang w:val="es-ES_tradnl"/>
        </w:rPr>
        <w:t>También analizamos la utilización conjunta de diferentes derechos de P.I.</w:t>
      </w:r>
      <w:r>
        <w:rPr>
          <w:szCs w:val="22"/>
          <w:lang w:val="es-ES_tradnl"/>
        </w:rPr>
        <w:t xml:space="preserve"> </w:t>
      </w:r>
      <w:r w:rsidR="002B63C5">
        <w:rPr>
          <w:szCs w:val="22"/>
          <w:lang w:val="es-ES_tradnl"/>
        </w:rPr>
        <w:t xml:space="preserve"> </w:t>
      </w:r>
      <w:r w:rsidRPr="000A19E1">
        <w:rPr>
          <w:szCs w:val="22"/>
          <w:lang w:val="es-ES_tradnl"/>
        </w:rPr>
        <w:t>Más del 90% de los solicitantes sólo solicita marcas y menos del 5% solicita únicamente patentes.</w:t>
      </w:r>
      <w:r w:rsidR="002B63C5">
        <w:rPr>
          <w:szCs w:val="22"/>
          <w:lang w:val="es-ES_tradnl"/>
        </w:rPr>
        <w:t xml:space="preserve"> </w:t>
      </w:r>
      <w:r>
        <w:rPr>
          <w:szCs w:val="22"/>
          <w:lang w:val="es-ES_tradnl"/>
        </w:rPr>
        <w:t xml:space="preserve"> </w:t>
      </w:r>
      <w:r w:rsidRPr="000A19E1">
        <w:rPr>
          <w:szCs w:val="22"/>
          <w:lang w:val="es-ES_tradnl"/>
        </w:rPr>
        <w:t>La solicitud de más de un tipo de derecho de P.I. es marginal y alcanza a sólo el 2% de los solicitantes.</w:t>
      </w:r>
      <w:r>
        <w:rPr>
          <w:szCs w:val="22"/>
          <w:lang w:val="es-ES_tradnl"/>
        </w:rPr>
        <w:t xml:space="preserve"> </w:t>
      </w:r>
      <w:r w:rsidR="002B63C5">
        <w:rPr>
          <w:szCs w:val="22"/>
          <w:lang w:val="es-ES_tradnl"/>
        </w:rPr>
        <w:t xml:space="preserve"> </w:t>
      </w:r>
      <w:r w:rsidRPr="000A19E1">
        <w:rPr>
          <w:szCs w:val="22"/>
          <w:lang w:val="es-ES_tradnl"/>
        </w:rPr>
        <w:t>El uso conjunto de diferentes derechos de P.I. se limita a las patentes y las marcas, así como a las marcas y los derechos de diseño.</w:t>
      </w:r>
      <w:r>
        <w:rPr>
          <w:szCs w:val="22"/>
          <w:lang w:val="es-ES_tradnl"/>
        </w:rPr>
        <w:t xml:space="preserve"> </w:t>
      </w:r>
      <w:r w:rsidR="002B63C5">
        <w:rPr>
          <w:szCs w:val="22"/>
          <w:lang w:val="es-ES_tradnl"/>
        </w:rPr>
        <w:t xml:space="preserve"> </w:t>
      </w:r>
      <w:r w:rsidRPr="000A19E1">
        <w:rPr>
          <w:szCs w:val="22"/>
          <w:lang w:val="es-ES_tradnl"/>
        </w:rPr>
        <w:t xml:space="preserve">La descomposición por tipo de solicitante muestra que una proporción importante de universidades solicita tanto patentes como marcas. </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Los datos muestran que las marcas fueron presentadas en promedio en 2,5 clases de Niza hasta 2005.</w:t>
      </w:r>
      <w:r>
        <w:rPr>
          <w:szCs w:val="22"/>
          <w:lang w:val="es-ES_tradnl"/>
        </w:rPr>
        <w:t xml:space="preserve"> </w:t>
      </w:r>
      <w:r w:rsidR="002B63C5">
        <w:rPr>
          <w:szCs w:val="22"/>
          <w:lang w:val="es-ES_tradnl"/>
        </w:rPr>
        <w:t xml:space="preserve"> </w:t>
      </w:r>
      <w:r w:rsidRPr="000A19E1">
        <w:rPr>
          <w:szCs w:val="22"/>
          <w:lang w:val="es-ES_tradnl"/>
        </w:rPr>
        <w:t>Debido a la modificación de 2005 de la ley, el número promedio de clases se redujo drásticamente a 1,2 en 2006.</w:t>
      </w:r>
      <w:r>
        <w:rPr>
          <w:szCs w:val="22"/>
          <w:lang w:val="es-ES_tradnl"/>
        </w:rPr>
        <w:t xml:space="preserve"> </w:t>
      </w:r>
      <w:r w:rsidR="002B63C5">
        <w:rPr>
          <w:szCs w:val="22"/>
          <w:lang w:val="es-ES_tradnl"/>
        </w:rPr>
        <w:t xml:space="preserve"> </w:t>
      </w:r>
      <w:r w:rsidRPr="000A19E1">
        <w:rPr>
          <w:szCs w:val="22"/>
          <w:lang w:val="es-ES_tradnl"/>
        </w:rPr>
        <w:t>Esta caída en el número promedio de clases de Niza por presentación se debe a una caída en el número promedio de clases de productos por presentación.</w:t>
      </w:r>
      <w:r>
        <w:rPr>
          <w:szCs w:val="22"/>
          <w:lang w:val="es-ES_tradnl"/>
        </w:rPr>
        <w:t xml:space="preserve"> </w:t>
      </w:r>
      <w:r w:rsidR="002B63C5">
        <w:rPr>
          <w:szCs w:val="22"/>
          <w:lang w:val="es-ES_tradnl"/>
        </w:rPr>
        <w:t xml:space="preserve"> </w:t>
      </w:r>
      <w:r w:rsidRPr="000A19E1">
        <w:rPr>
          <w:szCs w:val="22"/>
          <w:lang w:val="es-ES_tradnl"/>
        </w:rPr>
        <w:t>El número promedio de clases de servicios, por el contrario, aumentó constantemente en el tiempo.</w:t>
      </w:r>
      <w:r w:rsidR="002B63C5">
        <w:rPr>
          <w:szCs w:val="22"/>
          <w:lang w:val="es-ES_tradnl"/>
        </w:rPr>
        <w:t xml:space="preserve"> </w:t>
      </w:r>
      <w:r>
        <w:rPr>
          <w:szCs w:val="22"/>
          <w:lang w:val="es-ES_tradnl"/>
        </w:rPr>
        <w:t xml:space="preserve"> </w:t>
      </w:r>
      <w:r w:rsidRPr="000A19E1">
        <w:rPr>
          <w:szCs w:val="22"/>
          <w:lang w:val="es-ES_tradnl"/>
        </w:rPr>
        <w:t>Esto se debe a que el cambio legal de 2005 no afectó a las solicitudes presentadas en las clases de servicios.</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 xml:space="preserve">La base de datos INAPI-OMPI también nos permite identificar patrones de </w:t>
      </w:r>
      <w:proofErr w:type="spellStart"/>
      <w:r w:rsidRPr="000A19E1">
        <w:rPr>
          <w:szCs w:val="22"/>
          <w:lang w:val="es-ES_tradnl"/>
        </w:rPr>
        <w:t>coasignación</w:t>
      </w:r>
      <w:proofErr w:type="spellEnd"/>
      <w:r w:rsidRPr="000A19E1">
        <w:rPr>
          <w:szCs w:val="22"/>
          <w:lang w:val="es-ES_tradnl"/>
        </w:rPr>
        <w:t xml:space="preserve"> en las solicitudes de patentes.</w:t>
      </w:r>
      <w:r>
        <w:rPr>
          <w:szCs w:val="22"/>
          <w:lang w:val="es-ES_tradnl"/>
        </w:rPr>
        <w:t xml:space="preserve"> </w:t>
      </w:r>
      <w:r w:rsidR="002B63C5">
        <w:rPr>
          <w:szCs w:val="22"/>
          <w:lang w:val="es-ES_tradnl"/>
        </w:rPr>
        <w:t xml:space="preserve"> </w:t>
      </w:r>
      <w:r w:rsidRPr="000A19E1">
        <w:rPr>
          <w:szCs w:val="22"/>
          <w:lang w:val="es-ES_tradnl"/>
        </w:rPr>
        <w:t xml:space="preserve">Las </w:t>
      </w:r>
      <w:proofErr w:type="spellStart"/>
      <w:r w:rsidRPr="000A19E1">
        <w:rPr>
          <w:szCs w:val="22"/>
          <w:lang w:val="es-ES_tradnl"/>
        </w:rPr>
        <w:t>coasignaciones</w:t>
      </w:r>
      <w:proofErr w:type="spellEnd"/>
      <w:r w:rsidRPr="000A19E1">
        <w:rPr>
          <w:szCs w:val="22"/>
          <w:lang w:val="es-ES_tradnl"/>
        </w:rPr>
        <w:t xml:space="preserve"> son interesantes, ya que revelan cooperaciones subyacentes en investigación entre universidades e industria, así como entre competidores en el mismo mercado de productos.</w:t>
      </w:r>
      <w:r w:rsidR="002B63C5">
        <w:rPr>
          <w:szCs w:val="22"/>
          <w:lang w:val="es-ES_tradnl"/>
        </w:rPr>
        <w:t xml:space="preserve"> </w:t>
      </w:r>
      <w:r>
        <w:rPr>
          <w:szCs w:val="22"/>
          <w:lang w:val="es-ES_tradnl"/>
        </w:rPr>
        <w:t xml:space="preserve"> </w:t>
      </w:r>
      <w:r w:rsidRPr="000A19E1">
        <w:rPr>
          <w:szCs w:val="22"/>
          <w:lang w:val="es-ES_tradnl"/>
        </w:rPr>
        <w:t xml:space="preserve">Al igual que en otros países, las patentes </w:t>
      </w:r>
      <w:proofErr w:type="spellStart"/>
      <w:r w:rsidRPr="000A19E1">
        <w:rPr>
          <w:szCs w:val="22"/>
          <w:lang w:val="es-ES_tradnl"/>
        </w:rPr>
        <w:t>coasignadas</w:t>
      </w:r>
      <w:proofErr w:type="spellEnd"/>
      <w:r w:rsidRPr="000A19E1">
        <w:rPr>
          <w:szCs w:val="22"/>
          <w:lang w:val="es-ES_tradnl"/>
        </w:rPr>
        <w:t xml:space="preserve"> representan en Chile un pequeño porcentaje de las solicitudes de patente </w:t>
      </w:r>
      <w:r w:rsidRPr="000A19E1">
        <w:rPr>
          <w:szCs w:val="22"/>
          <w:lang w:val="es-ES_tradnl"/>
        </w:rPr>
        <w:noBreakHyphen/>
        <w:t>en promedio, menos del 3% entre 1991 y 2010.</w:t>
      </w:r>
      <w:r>
        <w:rPr>
          <w:szCs w:val="22"/>
          <w:lang w:val="es-ES_tradnl"/>
        </w:rPr>
        <w:t xml:space="preserve"> </w:t>
      </w:r>
      <w:r w:rsidR="002B63C5">
        <w:rPr>
          <w:szCs w:val="22"/>
          <w:lang w:val="es-ES_tradnl"/>
        </w:rPr>
        <w:t xml:space="preserve"> </w:t>
      </w:r>
      <w:r w:rsidRPr="000A19E1">
        <w:rPr>
          <w:szCs w:val="22"/>
          <w:lang w:val="es-ES_tradnl"/>
        </w:rPr>
        <w:t xml:space="preserve">Observamos que la mayoría de las patentes son </w:t>
      </w:r>
      <w:proofErr w:type="spellStart"/>
      <w:r w:rsidRPr="000A19E1">
        <w:rPr>
          <w:szCs w:val="22"/>
          <w:lang w:val="es-ES_tradnl"/>
        </w:rPr>
        <w:t>coasignadas</w:t>
      </w:r>
      <w:proofErr w:type="spellEnd"/>
      <w:r w:rsidRPr="000A19E1">
        <w:rPr>
          <w:szCs w:val="22"/>
          <w:lang w:val="es-ES_tradnl"/>
        </w:rPr>
        <w:t xml:space="preserve"> a </w:t>
      </w:r>
      <w:r>
        <w:rPr>
          <w:szCs w:val="22"/>
          <w:lang w:val="es-ES_tradnl"/>
        </w:rPr>
        <w:t>empresas</w:t>
      </w:r>
      <w:r w:rsidRPr="000A19E1">
        <w:rPr>
          <w:szCs w:val="22"/>
          <w:lang w:val="es-ES_tradnl"/>
        </w:rPr>
        <w:t xml:space="preserve"> no residentes y, de hecho, hay poca evidencia de cooperación internacional.</w:t>
      </w:r>
      <w:r w:rsidR="002B63C5">
        <w:rPr>
          <w:szCs w:val="22"/>
          <w:lang w:val="es-ES_tradnl"/>
        </w:rPr>
        <w:t xml:space="preserve"> </w:t>
      </w:r>
      <w:r>
        <w:rPr>
          <w:szCs w:val="22"/>
          <w:lang w:val="es-ES_tradnl"/>
        </w:rPr>
        <w:t xml:space="preserve"> </w:t>
      </w:r>
      <w:r w:rsidRPr="000A19E1">
        <w:rPr>
          <w:szCs w:val="22"/>
          <w:lang w:val="es-ES_tradnl"/>
        </w:rPr>
        <w:t xml:space="preserve">La cuota de patentes </w:t>
      </w:r>
      <w:proofErr w:type="spellStart"/>
      <w:r w:rsidRPr="000A19E1">
        <w:rPr>
          <w:szCs w:val="22"/>
          <w:lang w:val="es-ES_tradnl"/>
        </w:rPr>
        <w:t>coasignadas</w:t>
      </w:r>
      <w:proofErr w:type="spellEnd"/>
      <w:r w:rsidRPr="000A19E1">
        <w:rPr>
          <w:szCs w:val="22"/>
          <w:lang w:val="es-ES_tradnl"/>
        </w:rPr>
        <w:t xml:space="preserve"> a residentes y no residentes sólo es el 8%.</w:t>
      </w:r>
      <w:r>
        <w:rPr>
          <w:szCs w:val="22"/>
          <w:lang w:val="es-ES_tradnl"/>
        </w:rPr>
        <w:t xml:space="preserve"> </w:t>
      </w:r>
      <w:r w:rsidR="002B63C5">
        <w:rPr>
          <w:szCs w:val="22"/>
          <w:lang w:val="es-ES_tradnl"/>
        </w:rPr>
        <w:t xml:space="preserve"> </w:t>
      </w:r>
      <w:r w:rsidRPr="000A19E1">
        <w:rPr>
          <w:szCs w:val="22"/>
          <w:lang w:val="es-ES_tradnl"/>
        </w:rPr>
        <w:t xml:space="preserve">Las </w:t>
      </w:r>
      <w:proofErr w:type="spellStart"/>
      <w:r w:rsidRPr="000A19E1">
        <w:rPr>
          <w:szCs w:val="22"/>
          <w:lang w:val="es-ES_tradnl"/>
        </w:rPr>
        <w:t>coasignaciones</w:t>
      </w:r>
      <w:proofErr w:type="spellEnd"/>
      <w:r w:rsidRPr="000A19E1">
        <w:rPr>
          <w:szCs w:val="22"/>
          <w:lang w:val="es-ES_tradnl"/>
        </w:rPr>
        <w:t xml:space="preserve"> que involucran a universidades son alrededor del 20% de las patentes </w:t>
      </w:r>
      <w:proofErr w:type="spellStart"/>
      <w:r w:rsidRPr="000A19E1">
        <w:rPr>
          <w:szCs w:val="22"/>
          <w:lang w:val="es-ES_tradnl"/>
        </w:rPr>
        <w:t>coasignadas</w:t>
      </w:r>
      <w:proofErr w:type="spellEnd"/>
      <w:r w:rsidRPr="000A19E1">
        <w:rPr>
          <w:szCs w:val="22"/>
          <w:lang w:val="es-ES_tradnl"/>
        </w:rPr>
        <w:t>, lo cual sugiere la presencia de una colaboración significativa entre universidad e industria.</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Asimismo, se analizaron las solicitudes de patentes internacionales que tienen por lo menos un titular o inventor chileno.</w:t>
      </w:r>
      <w:r>
        <w:rPr>
          <w:szCs w:val="22"/>
          <w:lang w:val="es-ES_tradnl"/>
        </w:rPr>
        <w:t xml:space="preserve"> </w:t>
      </w:r>
      <w:r w:rsidR="002B63C5">
        <w:rPr>
          <w:szCs w:val="22"/>
          <w:lang w:val="es-ES_tradnl"/>
        </w:rPr>
        <w:t xml:space="preserve"> </w:t>
      </w:r>
      <w:r w:rsidRPr="000A19E1">
        <w:rPr>
          <w:szCs w:val="22"/>
          <w:lang w:val="es-ES_tradnl"/>
        </w:rPr>
        <w:t>Mostramos que para la mitad de las invenciones subyacentes a dichas familias de patentes internacionales la prioridad de la patente es presentada ante el INAPI.</w:t>
      </w:r>
      <w:r>
        <w:rPr>
          <w:szCs w:val="22"/>
          <w:lang w:val="es-ES_tradnl"/>
        </w:rPr>
        <w:t xml:space="preserve"> </w:t>
      </w:r>
      <w:r w:rsidR="002B63C5">
        <w:rPr>
          <w:szCs w:val="22"/>
          <w:lang w:val="es-ES_tradnl"/>
        </w:rPr>
        <w:t xml:space="preserve"> </w:t>
      </w:r>
      <w:r w:rsidRPr="000A19E1">
        <w:rPr>
          <w:szCs w:val="22"/>
          <w:lang w:val="es-ES_tradnl"/>
        </w:rPr>
        <w:t>Las oficinas extranjeras más importantes para la primera presentación son los EE.UU. y Europa.</w:t>
      </w:r>
      <w:r>
        <w:rPr>
          <w:szCs w:val="22"/>
          <w:lang w:val="es-ES_tradnl"/>
        </w:rPr>
        <w:t xml:space="preserve"> </w:t>
      </w:r>
      <w:r w:rsidR="002B63C5">
        <w:rPr>
          <w:szCs w:val="22"/>
          <w:lang w:val="es-ES_tradnl"/>
        </w:rPr>
        <w:t xml:space="preserve"> </w:t>
      </w:r>
      <w:r w:rsidRPr="000A19E1">
        <w:rPr>
          <w:szCs w:val="22"/>
          <w:lang w:val="es-ES_tradnl"/>
        </w:rPr>
        <w:t>Los otros países de América del Sur, por el contrario, rara vez son la jurisdicción de la primera presentación.</w:t>
      </w:r>
      <w:r>
        <w:rPr>
          <w:szCs w:val="22"/>
          <w:lang w:val="es-ES_tradnl"/>
        </w:rPr>
        <w:t xml:space="preserve"> </w:t>
      </w:r>
      <w:r w:rsidR="002B63C5">
        <w:rPr>
          <w:szCs w:val="22"/>
          <w:lang w:val="es-ES_tradnl"/>
        </w:rPr>
        <w:t xml:space="preserve"> </w:t>
      </w:r>
      <w:r w:rsidRPr="000A19E1">
        <w:rPr>
          <w:szCs w:val="22"/>
          <w:lang w:val="es-ES_tradnl"/>
        </w:rPr>
        <w:t>China, México y Sudáfrica surgen a partir de 2000 como destinos importantes para las patentes solicitadas por chilenos.</w:t>
      </w:r>
      <w:r>
        <w:rPr>
          <w:szCs w:val="22"/>
          <w:lang w:val="es-ES_tradnl"/>
        </w:rPr>
        <w:t xml:space="preserve"> </w:t>
      </w:r>
      <w:r w:rsidR="002B63C5">
        <w:rPr>
          <w:szCs w:val="22"/>
          <w:lang w:val="es-ES_tradnl"/>
        </w:rPr>
        <w:t xml:space="preserve"> </w:t>
      </w:r>
      <w:r w:rsidRPr="000A19E1">
        <w:rPr>
          <w:szCs w:val="22"/>
          <w:lang w:val="es-ES_tradnl"/>
        </w:rPr>
        <w:t>Las solicitudes internacionales realizadas por residentes chilenos en la mayoría de las jurisdicciones están dominadas por patentes relacionadas con la minería, los productos químicos y las presentadas por las universidades.</w:t>
      </w:r>
    </w:p>
    <w:p w:rsidR="001A2943" w:rsidRDefault="001A2943" w:rsidP="001A2943">
      <w:pPr>
        <w:pStyle w:val="ListParagraph"/>
        <w:ind w:left="0"/>
        <w:rPr>
          <w:rFonts w:ascii="Arial" w:hAnsi="Arial" w:cs="Arial"/>
          <w:sz w:val="22"/>
          <w:szCs w:val="22"/>
          <w:lang w:val="es-ES_tradnl"/>
        </w:rPr>
      </w:pPr>
    </w:p>
    <w:p w:rsidR="005D237F" w:rsidRDefault="005D237F" w:rsidP="001A2943">
      <w:pPr>
        <w:pStyle w:val="ListParagraph"/>
        <w:ind w:left="0"/>
        <w:rPr>
          <w:rFonts w:ascii="Arial" w:hAnsi="Arial" w:cs="Arial"/>
          <w:sz w:val="22"/>
          <w:szCs w:val="22"/>
          <w:lang w:val="es-ES_tradnl"/>
        </w:rPr>
      </w:pPr>
    </w:p>
    <w:p w:rsidR="005D237F" w:rsidRPr="000A19E1" w:rsidRDefault="005D237F" w:rsidP="001A2943">
      <w:pPr>
        <w:pStyle w:val="ListParagraph"/>
        <w:ind w:left="0"/>
        <w:rPr>
          <w:rFonts w:ascii="Arial" w:hAnsi="Arial" w:cs="Arial"/>
          <w:sz w:val="22"/>
          <w:szCs w:val="22"/>
          <w:lang w:val="es-ES_tradnl"/>
        </w:rPr>
      </w:pPr>
    </w:p>
    <w:p w:rsidR="001A2943" w:rsidRPr="000A19E1" w:rsidRDefault="001A2943" w:rsidP="001A2943">
      <w:pPr>
        <w:pStyle w:val="ListParagraph"/>
        <w:ind w:left="0"/>
        <w:rPr>
          <w:rFonts w:ascii="Arial" w:hAnsi="Arial" w:cs="Arial"/>
          <w:sz w:val="22"/>
          <w:szCs w:val="22"/>
          <w:lang w:val="es-ES_tradnl"/>
        </w:rPr>
      </w:pPr>
      <w:r w:rsidRPr="000A19E1">
        <w:rPr>
          <w:rFonts w:ascii="Arial" w:hAnsi="Arial" w:cs="Arial"/>
          <w:sz w:val="22"/>
          <w:szCs w:val="22"/>
          <w:lang w:val="es-ES_tradnl"/>
        </w:rPr>
        <w:lastRenderedPageBreak/>
        <w:t>Este análisis provee por primera vez amplia evidencia empírica sobre el uso de la P.I. en Chile.</w:t>
      </w:r>
      <w:r>
        <w:rPr>
          <w:rFonts w:ascii="Arial" w:hAnsi="Arial" w:cs="Arial"/>
          <w:sz w:val="22"/>
          <w:szCs w:val="22"/>
          <w:lang w:val="es-ES_tradnl"/>
        </w:rPr>
        <w:t xml:space="preserve"> </w:t>
      </w:r>
      <w:r w:rsidR="002B63C5">
        <w:rPr>
          <w:rFonts w:ascii="Arial" w:hAnsi="Arial" w:cs="Arial"/>
          <w:sz w:val="22"/>
          <w:szCs w:val="22"/>
          <w:lang w:val="es-ES_tradnl"/>
        </w:rPr>
        <w:t xml:space="preserve"> </w:t>
      </w:r>
      <w:r w:rsidRPr="000A19E1">
        <w:rPr>
          <w:rFonts w:ascii="Arial" w:hAnsi="Arial" w:cs="Arial"/>
          <w:sz w:val="22"/>
          <w:szCs w:val="22"/>
          <w:lang w:val="es-ES_tradnl"/>
        </w:rPr>
        <w:t xml:space="preserve">Esto puede ser de utilidad para los responsables de las políticas públicas en Chile en sus esfuerzos por comprender mejor la naturaleza de la actividad innovadora en Chile y perfeccionar las políticas de innovación y de P.I. </w:t>
      </w:r>
    </w:p>
    <w:p w:rsidR="001A2943" w:rsidRPr="000A19E1" w:rsidRDefault="001A2943" w:rsidP="001A2943">
      <w:pPr>
        <w:pStyle w:val="ListParagraph"/>
        <w:ind w:left="0"/>
        <w:rPr>
          <w:rFonts w:ascii="Arial" w:hAnsi="Arial" w:cs="Arial"/>
          <w:sz w:val="22"/>
          <w:szCs w:val="22"/>
          <w:lang w:val="es-ES_tradnl"/>
        </w:rPr>
      </w:pPr>
    </w:p>
    <w:p w:rsidR="001A2943" w:rsidRPr="000A19E1" w:rsidRDefault="001A2943" w:rsidP="001A2943">
      <w:pPr>
        <w:pStyle w:val="ListParagraph"/>
        <w:ind w:left="0"/>
        <w:rPr>
          <w:rFonts w:ascii="Arial" w:hAnsi="Arial" w:cs="Arial"/>
          <w:sz w:val="22"/>
          <w:szCs w:val="22"/>
          <w:lang w:val="es-ES_tradnl"/>
        </w:rPr>
      </w:pPr>
      <w:r w:rsidRPr="000A19E1">
        <w:rPr>
          <w:rFonts w:ascii="Arial" w:hAnsi="Arial" w:cs="Arial"/>
          <w:sz w:val="22"/>
          <w:szCs w:val="22"/>
          <w:lang w:val="es-ES_tradnl"/>
        </w:rPr>
        <w:t>Nuestro análisis revela cierta capacidad de innovación en la industria minera, que cubre una amplia gama de diferentes tecnologías, y en las universidades chilenas.</w:t>
      </w:r>
      <w:r w:rsidR="002B63C5">
        <w:rPr>
          <w:rFonts w:ascii="Arial" w:hAnsi="Arial" w:cs="Arial"/>
          <w:sz w:val="22"/>
          <w:szCs w:val="22"/>
          <w:lang w:val="es-ES_tradnl"/>
        </w:rPr>
        <w:t xml:space="preserve"> </w:t>
      </w:r>
      <w:r>
        <w:rPr>
          <w:rFonts w:ascii="Arial" w:hAnsi="Arial" w:cs="Arial"/>
          <w:sz w:val="22"/>
          <w:szCs w:val="22"/>
          <w:lang w:val="es-ES_tradnl"/>
        </w:rPr>
        <w:t xml:space="preserve"> </w:t>
      </w:r>
      <w:r w:rsidRPr="000A19E1">
        <w:rPr>
          <w:rFonts w:ascii="Arial" w:hAnsi="Arial" w:cs="Arial"/>
          <w:sz w:val="22"/>
          <w:szCs w:val="22"/>
          <w:lang w:val="es-ES_tradnl"/>
        </w:rPr>
        <w:t xml:space="preserve">El análisis también revela un escaso uso de modelos de utilidad y de diseños registrados </w:t>
      </w:r>
      <w:r w:rsidRPr="000A19E1">
        <w:rPr>
          <w:rFonts w:ascii="Arial" w:hAnsi="Arial" w:cs="Arial"/>
          <w:sz w:val="22"/>
          <w:szCs w:val="22"/>
          <w:lang w:val="es-ES_tradnl"/>
        </w:rPr>
        <w:noBreakHyphen/>
        <w:t>incluso en combinación con patentes o marcas.</w:t>
      </w:r>
      <w:r>
        <w:rPr>
          <w:rFonts w:ascii="Arial" w:hAnsi="Arial" w:cs="Arial"/>
          <w:sz w:val="22"/>
          <w:szCs w:val="22"/>
          <w:lang w:val="es-ES_tradnl"/>
        </w:rPr>
        <w:t xml:space="preserve"> </w:t>
      </w:r>
      <w:r w:rsidR="002B63C5">
        <w:rPr>
          <w:rFonts w:ascii="Arial" w:hAnsi="Arial" w:cs="Arial"/>
          <w:sz w:val="22"/>
          <w:szCs w:val="22"/>
          <w:lang w:val="es-ES_tradnl"/>
        </w:rPr>
        <w:t xml:space="preserve"> </w:t>
      </w:r>
      <w:r w:rsidRPr="000A19E1">
        <w:rPr>
          <w:rFonts w:ascii="Arial" w:hAnsi="Arial" w:cs="Arial"/>
          <w:sz w:val="22"/>
          <w:szCs w:val="22"/>
          <w:lang w:val="es-ES_tradnl"/>
        </w:rPr>
        <w:t>Mientras que los modelos de utilidad se asignan principalmente a individuos chilenos, las</w:t>
      </w:r>
      <w:r>
        <w:rPr>
          <w:rFonts w:ascii="Arial" w:hAnsi="Arial" w:cs="Arial"/>
          <w:sz w:val="22"/>
          <w:szCs w:val="22"/>
          <w:lang w:val="es-ES_tradnl"/>
        </w:rPr>
        <w:t xml:space="preserve"> </w:t>
      </w:r>
      <w:r w:rsidRPr="000A19E1">
        <w:rPr>
          <w:rFonts w:ascii="Arial" w:hAnsi="Arial" w:cs="Arial"/>
          <w:sz w:val="22"/>
          <w:szCs w:val="22"/>
          <w:lang w:val="es-ES_tradnl"/>
        </w:rPr>
        <w:t xml:space="preserve">presentaciones de diseños registrados están dominadas por </w:t>
      </w:r>
      <w:r>
        <w:rPr>
          <w:rFonts w:ascii="Arial" w:hAnsi="Arial" w:cs="Arial"/>
          <w:sz w:val="22"/>
          <w:szCs w:val="22"/>
          <w:lang w:val="es-ES_tradnl"/>
        </w:rPr>
        <w:t>empresas</w:t>
      </w:r>
      <w:r w:rsidRPr="000A19E1">
        <w:rPr>
          <w:rFonts w:ascii="Arial" w:hAnsi="Arial" w:cs="Arial"/>
          <w:sz w:val="22"/>
          <w:szCs w:val="22"/>
          <w:lang w:val="es-ES_tradnl"/>
        </w:rPr>
        <w:t xml:space="preserve"> extranjeras.</w:t>
      </w:r>
      <w:r w:rsidR="002B63C5">
        <w:rPr>
          <w:rFonts w:ascii="Arial" w:hAnsi="Arial" w:cs="Arial"/>
          <w:sz w:val="22"/>
          <w:szCs w:val="22"/>
          <w:lang w:val="es-ES_tradnl"/>
        </w:rPr>
        <w:t xml:space="preserve"> </w:t>
      </w:r>
      <w:r>
        <w:rPr>
          <w:rFonts w:ascii="Arial" w:hAnsi="Arial" w:cs="Arial"/>
          <w:sz w:val="22"/>
          <w:szCs w:val="22"/>
          <w:lang w:val="es-ES_tradnl"/>
        </w:rPr>
        <w:t xml:space="preserve"> </w:t>
      </w:r>
      <w:r w:rsidRPr="000A19E1">
        <w:rPr>
          <w:rFonts w:ascii="Arial" w:hAnsi="Arial" w:cs="Arial"/>
          <w:sz w:val="22"/>
          <w:szCs w:val="22"/>
          <w:lang w:val="es-ES_tradnl"/>
        </w:rPr>
        <w:t>No hay ninguna explicación obvia para este patrón.</w:t>
      </w:r>
      <w:r>
        <w:rPr>
          <w:rFonts w:ascii="Arial" w:hAnsi="Arial" w:cs="Arial"/>
          <w:sz w:val="22"/>
          <w:szCs w:val="22"/>
          <w:lang w:val="es-ES_tradnl"/>
        </w:rPr>
        <w:t xml:space="preserve"> </w:t>
      </w:r>
      <w:r w:rsidR="002B63C5">
        <w:rPr>
          <w:rFonts w:ascii="Arial" w:hAnsi="Arial" w:cs="Arial"/>
          <w:sz w:val="22"/>
          <w:szCs w:val="22"/>
          <w:lang w:val="es-ES_tradnl"/>
        </w:rPr>
        <w:t xml:space="preserve"> </w:t>
      </w:r>
      <w:r w:rsidRPr="000A19E1">
        <w:rPr>
          <w:rFonts w:ascii="Arial" w:hAnsi="Arial" w:cs="Arial"/>
          <w:sz w:val="22"/>
          <w:szCs w:val="22"/>
          <w:lang w:val="es-ES_tradnl"/>
        </w:rPr>
        <w:t>Esto puede motivar a un examen más detallado, en particular, explorando si estos dos derechos de P.I. cumplen con su propósito o si se superponen con otras formas P.I. de una manera que ofrece pocos beneficios a sus propietarios.</w:t>
      </w:r>
    </w:p>
    <w:p w:rsidR="001A2943" w:rsidRPr="000A19E1" w:rsidRDefault="001A2943" w:rsidP="001A2943">
      <w:pPr>
        <w:pStyle w:val="ListParagraph"/>
        <w:ind w:left="0"/>
        <w:rPr>
          <w:rFonts w:ascii="Arial" w:hAnsi="Arial" w:cs="Arial"/>
          <w:sz w:val="22"/>
          <w:szCs w:val="22"/>
          <w:lang w:val="es-ES_tradnl"/>
        </w:rPr>
      </w:pPr>
    </w:p>
    <w:p w:rsidR="001A2943" w:rsidRPr="000A19E1" w:rsidRDefault="001A2943" w:rsidP="001A2943">
      <w:pPr>
        <w:pStyle w:val="ListParagraph"/>
        <w:ind w:left="0"/>
        <w:rPr>
          <w:rFonts w:ascii="Arial" w:hAnsi="Arial" w:cs="Arial"/>
          <w:sz w:val="22"/>
          <w:szCs w:val="22"/>
          <w:lang w:val="es-ES_tradnl"/>
        </w:rPr>
      </w:pPr>
      <w:r w:rsidRPr="000A19E1">
        <w:rPr>
          <w:rFonts w:ascii="Arial" w:hAnsi="Arial" w:cs="Arial"/>
          <w:sz w:val="22"/>
          <w:szCs w:val="22"/>
          <w:lang w:val="es-ES_tradnl"/>
        </w:rPr>
        <w:t>Las presentaciones de patentes en Chile están predominantemente relacionadas con productos farmacéuticos y químicos y son concedidos a grandes multinacionales farmacéuticas de EE.UU. y Europa.</w:t>
      </w:r>
      <w:r>
        <w:rPr>
          <w:rFonts w:ascii="Arial" w:hAnsi="Arial" w:cs="Arial"/>
          <w:sz w:val="22"/>
          <w:szCs w:val="22"/>
          <w:lang w:val="es-ES_tradnl"/>
        </w:rPr>
        <w:t xml:space="preserve"> </w:t>
      </w:r>
      <w:r w:rsidR="002B63C5">
        <w:rPr>
          <w:rFonts w:ascii="Arial" w:hAnsi="Arial" w:cs="Arial"/>
          <w:sz w:val="22"/>
          <w:szCs w:val="22"/>
          <w:lang w:val="es-ES_tradnl"/>
        </w:rPr>
        <w:t xml:space="preserve"> </w:t>
      </w:r>
      <w:r w:rsidRPr="000A19E1">
        <w:rPr>
          <w:rFonts w:ascii="Arial" w:hAnsi="Arial" w:cs="Arial"/>
          <w:sz w:val="22"/>
          <w:szCs w:val="22"/>
          <w:lang w:val="es-ES_tradnl"/>
        </w:rPr>
        <w:t xml:space="preserve">Las marcas, por el contrario, son ampliamente usadas por </w:t>
      </w:r>
      <w:r>
        <w:rPr>
          <w:rFonts w:ascii="Arial" w:hAnsi="Arial" w:cs="Arial"/>
          <w:sz w:val="22"/>
          <w:szCs w:val="22"/>
          <w:lang w:val="es-ES_tradnl"/>
        </w:rPr>
        <w:t>empresas</w:t>
      </w:r>
      <w:r w:rsidRPr="000A19E1">
        <w:rPr>
          <w:rFonts w:ascii="Arial" w:hAnsi="Arial" w:cs="Arial"/>
          <w:sz w:val="22"/>
          <w:szCs w:val="22"/>
          <w:lang w:val="es-ES_tradnl"/>
        </w:rPr>
        <w:t xml:space="preserve"> y personas locales.</w:t>
      </w:r>
      <w:r>
        <w:rPr>
          <w:rFonts w:ascii="Arial" w:hAnsi="Arial" w:cs="Arial"/>
          <w:sz w:val="22"/>
          <w:szCs w:val="22"/>
          <w:lang w:val="es-ES_tradnl"/>
        </w:rPr>
        <w:t xml:space="preserve"> </w:t>
      </w:r>
      <w:r w:rsidR="002B63C5">
        <w:rPr>
          <w:rFonts w:ascii="Arial" w:hAnsi="Arial" w:cs="Arial"/>
          <w:sz w:val="22"/>
          <w:szCs w:val="22"/>
          <w:lang w:val="es-ES_tradnl"/>
        </w:rPr>
        <w:t xml:space="preserve"> </w:t>
      </w:r>
      <w:r w:rsidRPr="000A19E1">
        <w:rPr>
          <w:rFonts w:ascii="Arial" w:hAnsi="Arial" w:cs="Arial"/>
          <w:sz w:val="22"/>
          <w:szCs w:val="22"/>
          <w:lang w:val="es-ES_tradnl"/>
        </w:rPr>
        <w:t>El número excepcionalmente alto de presentaciones de marcas para una economía del tamaño de Chile invita a una mayor investigación.</w:t>
      </w:r>
    </w:p>
    <w:p w:rsidR="001A2943" w:rsidRPr="000A19E1" w:rsidRDefault="001A2943" w:rsidP="001A2943">
      <w:pPr>
        <w:pStyle w:val="ListParagraph"/>
        <w:ind w:left="0"/>
        <w:rPr>
          <w:rFonts w:ascii="Arial" w:hAnsi="Arial" w:cs="Arial"/>
          <w:sz w:val="22"/>
          <w:szCs w:val="22"/>
          <w:lang w:val="es-ES_tradnl"/>
        </w:rPr>
      </w:pPr>
    </w:p>
    <w:p w:rsidR="001A2943" w:rsidRPr="000A19E1" w:rsidRDefault="001A2943" w:rsidP="001A2943">
      <w:pPr>
        <w:pStyle w:val="ListParagraph"/>
        <w:ind w:left="0"/>
        <w:rPr>
          <w:rFonts w:ascii="Arial" w:hAnsi="Arial" w:cs="Arial"/>
          <w:sz w:val="22"/>
          <w:szCs w:val="22"/>
          <w:lang w:val="es-ES_tradnl"/>
        </w:rPr>
      </w:pPr>
      <w:r w:rsidRPr="000A19E1">
        <w:rPr>
          <w:rFonts w:ascii="Arial" w:hAnsi="Arial" w:cs="Arial"/>
          <w:sz w:val="22"/>
          <w:szCs w:val="22"/>
          <w:lang w:val="es-ES_tradnl"/>
        </w:rPr>
        <w:t>En términos más generales, este estudio ofrece un ejemplo de investigación empírica que puede ser realizado sobre el uso de la P.I. en economías de ingresos medios una vez que haya sido puesta en marcha una adecuada infraestructura de datos.</w:t>
      </w:r>
      <w:r>
        <w:rPr>
          <w:rFonts w:ascii="Arial" w:hAnsi="Arial" w:cs="Arial"/>
          <w:sz w:val="22"/>
          <w:szCs w:val="22"/>
          <w:lang w:val="es-ES_tradnl"/>
        </w:rPr>
        <w:t xml:space="preserve"> </w:t>
      </w:r>
      <w:r w:rsidR="002B63C5">
        <w:rPr>
          <w:rFonts w:ascii="Arial" w:hAnsi="Arial" w:cs="Arial"/>
          <w:sz w:val="22"/>
          <w:szCs w:val="22"/>
          <w:lang w:val="es-ES_tradnl"/>
        </w:rPr>
        <w:t xml:space="preserve"> </w:t>
      </w:r>
      <w:r w:rsidRPr="000A19E1">
        <w:rPr>
          <w:rFonts w:ascii="Arial" w:hAnsi="Arial" w:cs="Arial"/>
          <w:sz w:val="22"/>
          <w:szCs w:val="22"/>
          <w:lang w:val="es-ES_tradnl"/>
        </w:rPr>
        <w:t>También muestra la importancia de incluir en este tipo de análisis a otros derechos de P.I. más allá de las patentes y de analizar el uso de las diferentes formas de P.I. en forma conjunta en lugar de hacerlo por separado.</w:t>
      </w:r>
    </w:p>
    <w:p w:rsidR="001A2943" w:rsidRPr="000A19E1" w:rsidRDefault="001A2943" w:rsidP="001A2943">
      <w:pPr>
        <w:pStyle w:val="ListParagraph"/>
        <w:ind w:left="0"/>
        <w:rPr>
          <w:rFonts w:ascii="Arial" w:hAnsi="Arial" w:cs="Arial"/>
          <w:b/>
          <w:sz w:val="22"/>
          <w:szCs w:val="22"/>
          <w:lang w:val="es-ES_tradnl"/>
        </w:rPr>
      </w:pPr>
    </w:p>
    <w:p w:rsidR="001A2943" w:rsidRDefault="001A2943" w:rsidP="001A2943">
      <w:pPr>
        <w:pStyle w:val="ListParagraph"/>
        <w:ind w:left="0"/>
        <w:rPr>
          <w:rFonts w:ascii="Arial" w:hAnsi="Arial" w:cs="Arial"/>
          <w:sz w:val="22"/>
          <w:szCs w:val="22"/>
          <w:lang w:val="es-ES_tradnl"/>
        </w:rPr>
      </w:pPr>
      <w:r w:rsidRPr="000A19E1">
        <w:rPr>
          <w:rFonts w:ascii="Arial" w:hAnsi="Arial" w:cs="Arial"/>
          <w:sz w:val="22"/>
          <w:szCs w:val="22"/>
          <w:lang w:val="es-ES_tradnl"/>
        </w:rPr>
        <w:t>La evidencia descriptiva presentada en este estudio proporciona información útil para una mejor comprensión del rol de la P.I. en la economía de Chile.</w:t>
      </w:r>
      <w:r w:rsidR="002B63C5">
        <w:rPr>
          <w:rFonts w:ascii="Arial" w:hAnsi="Arial" w:cs="Arial"/>
          <w:sz w:val="22"/>
          <w:szCs w:val="22"/>
          <w:lang w:val="es-ES_tradnl"/>
        </w:rPr>
        <w:t xml:space="preserve"> </w:t>
      </w:r>
      <w:r>
        <w:rPr>
          <w:rFonts w:ascii="Arial" w:hAnsi="Arial" w:cs="Arial"/>
          <w:sz w:val="22"/>
          <w:szCs w:val="22"/>
          <w:lang w:val="es-ES_tradnl"/>
        </w:rPr>
        <w:t xml:space="preserve"> </w:t>
      </w:r>
      <w:r w:rsidRPr="000A19E1">
        <w:rPr>
          <w:rFonts w:ascii="Arial" w:hAnsi="Arial" w:cs="Arial"/>
          <w:sz w:val="22"/>
          <w:szCs w:val="22"/>
          <w:lang w:val="es-ES_tradnl"/>
        </w:rPr>
        <w:t>Por supuesto, la evidencia descriptiva no puede ir más lejos en la evaluación de los efectos de las decisiones de política de P.I. sobre el comportamiento de los solicitantes y el desempeño económico.</w:t>
      </w:r>
      <w:r w:rsidR="002B63C5">
        <w:rPr>
          <w:rFonts w:ascii="Arial" w:hAnsi="Arial" w:cs="Arial"/>
          <w:sz w:val="22"/>
          <w:szCs w:val="22"/>
          <w:lang w:val="es-ES_tradnl"/>
        </w:rPr>
        <w:t xml:space="preserve"> </w:t>
      </w:r>
      <w:r>
        <w:rPr>
          <w:rFonts w:ascii="Arial" w:hAnsi="Arial" w:cs="Arial"/>
          <w:sz w:val="22"/>
          <w:szCs w:val="22"/>
          <w:lang w:val="es-ES_tradnl"/>
        </w:rPr>
        <w:t xml:space="preserve"> </w:t>
      </w:r>
      <w:r w:rsidRPr="000A19E1">
        <w:rPr>
          <w:rFonts w:ascii="Arial" w:hAnsi="Arial" w:cs="Arial"/>
          <w:sz w:val="22"/>
          <w:szCs w:val="22"/>
          <w:lang w:val="es-ES_tradnl"/>
        </w:rPr>
        <w:t>Para esto, es necesario un análisis más profundo a partir de la nueva infraestructura de datos disponible.</w:t>
      </w:r>
    </w:p>
    <w:p w:rsidR="001A2943" w:rsidRDefault="001A2943" w:rsidP="001A2943">
      <w:pPr>
        <w:pStyle w:val="ListParagraph"/>
        <w:ind w:left="0"/>
        <w:rPr>
          <w:rFonts w:ascii="Arial" w:hAnsi="Arial" w:cs="Arial"/>
          <w:sz w:val="22"/>
          <w:szCs w:val="22"/>
          <w:lang w:val="es-ES_tradnl"/>
        </w:rPr>
      </w:pPr>
    </w:p>
    <w:p w:rsidR="001A2943" w:rsidRPr="000A19E1" w:rsidRDefault="001A2943" w:rsidP="001A2943">
      <w:pPr>
        <w:pStyle w:val="ListParagraph"/>
        <w:ind w:left="0"/>
        <w:rPr>
          <w:rFonts w:ascii="Arial" w:hAnsi="Arial" w:cs="Arial"/>
          <w:sz w:val="22"/>
          <w:szCs w:val="22"/>
          <w:lang w:val="es-ES_tradnl"/>
        </w:rPr>
      </w:pPr>
      <w:r>
        <w:rPr>
          <w:rFonts w:ascii="Arial" w:hAnsi="Arial" w:cs="Arial"/>
          <w:sz w:val="22"/>
          <w:szCs w:val="22"/>
          <w:lang w:val="es-ES_tradnl"/>
        </w:rPr>
        <w:t xml:space="preserve">En efecto, dos estudios analíticos –sobre la incidencia y efectos del </w:t>
      </w:r>
      <w:proofErr w:type="spellStart"/>
      <w:r w:rsidRPr="00F1585A">
        <w:rPr>
          <w:rFonts w:ascii="Arial" w:hAnsi="Arial" w:cs="Arial"/>
          <w:i/>
          <w:sz w:val="22"/>
          <w:szCs w:val="22"/>
          <w:lang w:val="es-ES_tradnl"/>
        </w:rPr>
        <w:t>squatting</w:t>
      </w:r>
      <w:proofErr w:type="spellEnd"/>
      <w:r w:rsidRPr="00F1585A">
        <w:rPr>
          <w:rFonts w:ascii="Arial" w:hAnsi="Arial" w:cs="Arial"/>
          <w:i/>
          <w:sz w:val="22"/>
          <w:szCs w:val="22"/>
          <w:lang w:val="es-ES_tradnl"/>
        </w:rPr>
        <w:t xml:space="preserve"> </w:t>
      </w:r>
      <w:r>
        <w:rPr>
          <w:rFonts w:ascii="Arial" w:hAnsi="Arial" w:cs="Arial"/>
          <w:sz w:val="22"/>
          <w:szCs w:val="22"/>
          <w:lang w:val="es-ES_tradnl"/>
        </w:rPr>
        <w:t>de marcas, y sobre el rol de las patentes en el área farmacéutica local- se encuentran actualmente en desarrollo, y estarán disponibles separadamente.</w:t>
      </w:r>
    </w:p>
    <w:p w:rsidR="001A2943" w:rsidRDefault="001A2943" w:rsidP="001A2943">
      <w:pPr>
        <w:pStyle w:val="Heading1"/>
        <w:rPr>
          <w:lang w:val="es-ES_tradnl"/>
        </w:rPr>
      </w:pPr>
    </w:p>
    <w:p w:rsidR="001A2943" w:rsidRPr="005D237F" w:rsidRDefault="001A2943" w:rsidP="001A2943">
      <w:pPr>
        <w:pStyle w:val="Heading1"/>
        <w:rPr>
          <w:b w:val="0"/>
          <w:u w:val="single"/>
          <w:lang w:val="es-ES_tradnl"/>
        </w:rPr>
      </w:pPr>
      <w:r w:rsidRPr="000A19E1">
        <w:rPr>
          <w:lang w:val="es-ES_tradnl"/>
        </w:rPr>
        <w:br w:type="page"/>
      </w:r>
      <w:bookmarkStart w:id="18" w:name="_Toc359312065"/>
      <w:r w:rsidR="005D237F" w:rsidRPr="005D237F">
        <w:rPr>
          <w:b w:val="0"/>
          <w:caps w:val="0"/>
          <w:u w:val="single"/>
          <w:lang w:val="es-ES_tradnl"/>
        </w:rPr>
        <w:lastRenderedPageBreak/>
        <w:t>Referencias Bibliográficas</w:t>
      </w:r>
      <w:bookmarkEnd w:id="18"/>
    </w:p>
    <w:p w:rsidR="001A2943" w:rsidRPr="000A19E1" w:rsidRDefault="001A2943" w:rsidP="001A2943">
      <w:pPr>
        <w:pStyle w:val="ListParagraph"/>
        <w:ind w:left="0"/>
        <w:rPr>
          <w:lang w:val="es-ES_tradnl"/>
        </w:rPr>
      </w:pPr>
    </w:p>
    <w:p w:rsidR="001A2943" w:rsidRPr="000A19E1" w:rsidRDefault="001A2943" w:rsidP="001A2943">
      <w:pPr>
        <w:rPr>
          <w:szCs w:val="22"/>
          <w:lang w:val="es-ES_tradnl"/>
        </w:rPr>
      </w:pPr>
      <w:proofErr w:type="spellStart"/>
      <w:r w:rsidRPr="000A19E1">
        <w:rPr>
          <w:szCs w:val="22"/>
          <w:lang w:val="es-ES_tradnl"/>
        </w:rPr>
        <w:t>Alvarez</w:t>
      </w:r>
      <w:proofErr w:type="spellEnd"/>
      <w:r w:rsidRPr="000A19E1">
        <w:rPr>
          <w:szCs w:val="22"/>
          <w:lang w:val="es-ES_tradnl"/>
        </w:rPr>
        <w:t xml:space="preserve"> R.</w:t>
      </w:r>
      <w:r>
        <w:rPr>
          <w:szCs w:val="22"/>
          <w:lang w:val="es-ES_tradnl"/>
        </w:rPr>
        <w:t xml:space="preserve"> </w:t>
      </w:r>
      <w:r w:rsidRPr="000A19E1">
        <w:rPr>
          <w:szCs w:val="22"/>
          <w:lang w:val="es-ES_tradnl"/>
        </w:rPr>
        <w:t>(2001) “</w:t>
      </w:r>
      <w:proofErr w:type="spellStart"/>
      <w:r w:rsidRPr="000A19E1">
        <w:rPr>
          <w:szCs w:val="22"/>
          <w:lang w:val="es-ES_tradnl"/>
        </w:rPr>
        <w:t>External</w:t>
      </w:r>
      <w:proofErr w:type="spellEnd"/>
      <w:r w:rsidRPr="000A19E1">
        <w:rPr>
          <w:szCs w:val="22"/>
          <w:lang w:val="es-ES_tradnl"/>
        </w:rPr>
        <w:t xml:space="preserve"> </w:t>
      </w:r>
      <w:proofErr w:type="spellStart"/>
      <w:r w:rsidRPr="000A19E1">
        <w:rPr>
          <w:szCs w:val="22"/>
          <w:lang w:val="es-ES_tradnl"/>
        </w:rPr>
        <w:t>Sources</w:t>
      </w:r>
      <w:proofErr w:type="spellEnd"/>
      <w:r w:rsidRPr="000A19E1">
        <w:rPr>
          <w:szCs w:val="22"/>
          <w:lang w:val="es-ES_tradnl"/>
        </w:rPr>
        <w:t xml:space="preserve"> of </w:t>
      </w:r>
      <w:proofErr w:type="spellStart"/>
      <w:r w:rsidRPr="000A19E1">
        <w:rPr>
          <w:szCs w:val="22"/>
          <w:lang w:val="es-ES_tradnl"/>
        </w:rPr>
        <w:t>Technological</w:t>
      </w:r>
      <w:proofErr w:type="spellEnd"/>
      <w:r w:rsidRPr="000A19E1">
        <w:rPr>
          <w:szCs w:val="22"/>
          <w:lang w:val="es-ES_tradnl"/>
        </w:rPr>
        <w:t xml:space="preserve"> </w:t>
      </w:r>
      <w:proofErr w:type="spellStart"/>
      <w:r w:rsidRPr="000A19E1">
        <w:rPr>
          <w:szCs w:val="22"/>
          <w:lang w:val="es-ES_tradnl"/>
        </w:rPr>
        <w:t>Innovation</w:t>
      </w:r>
      <w:proofErr w:type="spellEnd"/>
      <w:r w:rsidRPr="000A19E1">
        <w:rPr>
          <w:szCs w:val="22"/>
          <w:lang w:val="es-ES_tradnl"/>
        </w:rPr>
        <w:t xml:space="preserve"> in </w:t>
      </w:r>
      <w:proofErr w:type="spellStart"/>
      <w:r w:rsidRPr="000A19E1">
        <w:rPr>
          <w:szCs w:val="22"/>
          <w:lang w:val="es-ES_tradnl"/>
        </w:rPr>
        <w:t>Chilean</w:t>
      </w:r>
      <w:proofErr w:type="spellEnd"/>
      <w:r w:rsidRPr="000A19E1">
        <w:rPr>
          <w:szCs w:val="22"/>
          <w:lang w:val="es-ES_tradnl"/>
        </w:rPr>
        <w:t xml:space="preserve"> </w:t>
      </w:r>
      <w:proofErr w:type="spellStart"/>
      <w:r w:rsidRPr="000A19E1">
        <w:rPr>
          <w:szCs w:val="22"/>
          <w:lang w:val="es-ES_tradnl"/>
        </w:rPr>
        <w:t>Manufacturing</w:t>
      </w:r>
      <w:proofErr w:type="spellEnd"/>
      <w:r w:rsidRPr="000A19E1">
        <w:rPr>
          <w:szCs w:val="22"/>
          <w:lang w:val="es-ES_tradnl"/>
        </w:rPr>
        <w:t xml:space="preserve"> </w:t>
      </w:r>
      <w:proofErr w:type="spellStart"/>
      <w:r w:rsidRPr="000A19E1">
        <w:rPr>
          <w:szCs w:val="22"/>
          <w:lang w:val="es-ES_tradnl"/>
        </w:rPr>
        <w:t>Industry</w:t>
      </w:r>
      <w:proofErr w:type="spellEnd"/>
      <w:r w:rsidRPr="000A19E1">
        <w:rPr>
          <w:szCs w:val="22"/>
          <w:lang w:val="es-ES_tradnl"/>
        </w:rPr>
        <w:t xml:space="preserve">”, Estudios de Economía, junio, año/vol. 28, No 001, pp. 53-68. </w:t>
      </w:r>
    </w:p>
    <w:p w:rsidR="001A2943" w:rsidRPr="000A19E1" w:rsidRDefault="001A2943" w:rsidP="001A2943">
      <w:pPr>
        <w:rPr>
          <w:szCs w:val="22"/>
          <w:lang w:val="es-ES_tradnl"/>
        </w:rPr>
      </w:pPr>
    </w:p>
    <w:p w:rsidR="001A2943" w:rsidRPr="001A2943" w:rsidRDefault="001A2943" w:rsidP="001A2943">
      <w:pPr>
        <w:rPr>
          <w:szCs w:val="22"/>
          <w:lang w:val="en-US"/>
        </w:rPr>
      </w:pPr>
      <w:r w:rsidRPr="001A2943">
        <w:rPr>
          <w:szCs w:val="22"/>
          <w:lang w:val="en-US"/>
        </w:rPr>
        <w:t xml:space="preserve">Alvarez R., </w:t>
      </w:r>
      <w:proofErr w:type="spellStart"/>
      <w:r w:rsidRPr="001A2943">
        <w:rPr>
          <w:szCs w:val="22"/>
          <w:lang w:val="en-US"/>
        </w:rPr>
        <w:t>Crespi</w:t>
      </w:r>
      <w:proofErr w:type="spellEnd"/>
      <w:r w:rsidRPr="001A2943">
        <w:rPr>
          <w:szCs w:val="22"/>
          <w:lang w:val="en-US"/>
        </w:rPr>
        <w:t xml:space="preserve"> G. y Ramos J. (2002) “The Impact of Licenses on a “Later Starter” LCD: Chile in the 1990s”, World Development Vol. 30 No.8, pp. 1445-1460. </w:t>
      </w:r>
    </w:p>
    <w:p w:rsidR="001A2943" w:rsidRPr="001A2943" w:rsidRDefault="001A2943" w:rsidP="001A2943">
      <w:pPr>
        <w:rPr>
          <w:szCs w:val="22"/>
          <w:lang w:val="en-US"/>
        </w:rPr>
      </w:pPr>
    </w:p>
    <w:p w:rsidR="001A2943" w:rsidRPr="000A19E1" w:rsidRDefault="001A2943" w:rsidP="001A2943">
      <w:pPr>
        <w:rPr>
          <w:szCs w:val="22"/>
          <w:lang w:val="es-ES_tradnl"/>
        </w:rPr>
      </w:pPr>
      <w:r w:rsidRPr="000A19E1">
        <w:rPr>
          <w:szCs w:val="22"/>
          <w:lang w:val="es-ES_tradnl"/>
        </w:rPr>
        <w:t>Amorós, J.E. y Guerra, M.</w:t>
      </w:r>
      <w:r>
        <w:rPr>
          <w:szCs w:val="22"/>
          <w:lang w:val="es-ES_tradnl"/>
        </w:rPr>
        <w:t xml:space="preserve"> </w:t>
      </w:r>
      <w:r w:rsidRPr="000A19E1">
        <w:rPr>
          <w:szCs w:val="22"/>
          <w:lang w:val="es-ES_tradnl"/>
        </w:rPr>
        <w:t xml:space="preserve">(2008) “Global </w:t>
      </w:r>
      <w:proofErr w:type="spellStart"/>
      <w:r w:rsidRPr="000A19E1">
        <w:rPr>
          <w:szCs w:val="22"/>
          <w:lang w:val="es-ES_tradnl"/>
        </w:rPr>
        <w:t>Entrepreneurship</w:t>
      </w:r>
      <w:proofErr w:type="spellEnd"/>
      <w:r w:rsidRPr="000A19E1">
        <w:rPr>
          <w:szCs w:val="22"/>
          <w:lang w:val="es-ES_tradnl"/>
        </w:rPr>
        <w:t xml:space="preserve"> </w:t>
      </w:r>
      <w:proofErr w:type="gramStart"/>
      <w:r w:rsidRPr="000A19E1">
        <w:rPr>
          <w:szCs w:val="22"/>
          <w:lang w:val="es-ES_tradnl"/>
        </w:rPr>
        <w:t>Monitor</w:t>
      </w:r>
      <w:r>
        <w:rPr>
          <w:szCs w:val="22"/>
          <w:lang w:val="es-ES_tradnl"/>
        </w:rPr>
        <w:t xml:space="preserve"> </w:t>
      </w:r>
      <w:r w:rsidRPr="000A19E1">
        <w:rPr>
          <w:szCs w:val="22"/>
          <w:lang w:val="es-ES_tradnl"/>
        </w:rPr>
        <w:t>:</w:t>
      </w:r>
      <w:proofErr w:type="gramEnd"/>
      <w:r w:rsidRPr="000A19E1">
        <w:rPr>
          <w:szCs w:val="22"/>
          <w:lang w:val="es-ES_tradnl"/>
        </w:rPr>
        <w:t xml:space="preserve"> Reporte Nacional de Chile”</w:t>
      </w:r>
    </w:p>
    <w:p w:rsidR="001A2943" w:rsidRPr="000A19E1" w:rsidRDefault="001A2943" w:rsidP="001A2943">
      <w:pPr>
        <w:rPr>
          <w:szCs w:val="22"/>
          <w:lang w:val="es-ES_tradnl"/>
        </w:rPr>
      </w:pPr>
    </w:p>
    <w:p w:rsidR="001A2943" w:rsidRPr="000A19E1" w:rsidRDefault="001A2943" w:rsidP="001A2943">
      <w:pPr>
        <w:pStyle w:val="ListParagraph"/>
        <w:ind w:left="0"/>
        <w:rPr>
          <w:rFonts w:ascii="Arial" w:hAnsi="Arial" w:cs="Arial"/>
          <w:sz w:val="22"/>
          <w:szCs w:val="22"/>
        </w:rPr>
      </w:pPr>
      <w:proofErr w:type="spellStart"/>
      <w:r w:rsidRPr="000A19E1">
        <w:rPr>
          <w:rFonts w:ascii="Arial" w:hAnsi="Arial" w:cs="Arial"/>
          <w:sz w:val="22"/>
          <w:szCs w:val="22"/>
          <w:lang w:val="es-ES_tradnl"/>
        </w:rPr>
        <w:t>Belderbos</w:t>
      </w:r>
      <w:proofErr w:type="spellEnd"/>
      <w:r w:rsidRPr="000A19E1">
        <w:rPr>
          <w:rFonts w:ascii="Arial" w:hAnsi="Arial" w:cs="Arial"/>
          <w:sz w:val="22"/>
          <w:szCs w:val="22"/>
          <w:lang w:val="es-ES_tradnl"/>
        </w:rPr>
        <w:t xml:space="preserve">, R., B. </w:t>
      </w:r>
      <w:proofErr w:type="spellStart"/>
      <w:r w:rsidRPr="000A19E1">
        <w:rPr>
          <w:rFonts w:ascii="Arial" w:hAnsi="Arial" w:cs="Arial"/>
          <w:sz w:val="22"/>
          <w:szCs w:val="22"/>
          <w:lang w:val="es-ES_tradnl"/>
        </w:rPr>
        <w:t>Cassiman</w:t>
      </w:r>
      <w:proofErr w:type="spellEnd"/>
      <w:r w:rsidRPr="000A19E1">
        <w:rPr>
          <w:rFonts w:ascii="Arial" w:hAnsi="Arial" w:cs="Arial"/>
          <w:sz w:val="22"/>
          <w:szCs w:val="22"/>
          <w:lang w:val="es-ES_tradnl"/>
        </w:rPr>
        <w:t xml:space="preserve">, D. </w:t>
      </w:r>
      <w:proofErr w:type="spellStart"/>
      <w:r w:rsidRPr="000A19E1">
        <w:rPr>
          <w:rFonts w:ascii="Arial" w:hAnsi="Arial" w:cs="Arial"/>
          <w:sz w:val="22"/>
          <w:szCs w:val="22"/>
          <w:lang w:val="es-ES_tradnl"/>
        </w:rPr>
        <w:t>Faems</w:t>
      </w:r>
      <w:proofErr w:type="spellEnd"/>
      <w:r w:rsidRPr="000A19E1">
        <w:rPr>
          <w:rFonts w:ascii="Arial" w:hAnsi="Arial" w:cs="Arial"/>
          <w:sz w:val="22"/>
          <w:szCs w:val="22"/>
          <w:lang w:val="es-ES_tradnl"/>
        </w:rPr>
        <w:t xml:space="preserve">, B. </w:t>
      </w:r>
      <w:proofErr w:type="spellStart"/>
      <w:r w:rsidRPr="000A19E1">
        <w:rPr>
          <w:rFonts w:ascii="Arial" w:hAnsi="Arial" w:cs="Arial"/>
          <w:sz w:val="22"/>
          <w:szCs w:val="22"/>
          <w:lang w:val="es-ES_tradnl"/>
        </w:rPr>
        <w:t>Leten</w:t>
      </w:r>
      <w:proofErr w:type="spellEnd"/>
      <w:r w:rsidRPr="000A19E1">
        <w:rPr>
          <w:rFonts w:ascii="Arial" w:hAnsi="Arial" w:cs="Arial"/>
          <w:sz w:val="22"/>
          <w:szCs w:val="22"/>
          <w:lang w:val="es-ES_tradnl"/>
        </w:rPr>
        <w:t xml:space="preserve">, y B. V. </w:t>
      </w:r>
      <w:proofErr w:type="spellStart"/>
      <w:r w:rsidRPr="000A19E1">
        <w:rPr>
          <w:rFonts w:ascii="Arial" w:hAnsi="Arial" w:cs="Arial"/>
          <w:sz w:val="22"/>
          <w:szCs w:val="22"/>
          <w:lang w:val="es-ES_tradnl"/>
        </w:rPr>
        <w:t>Looy</w:t>
      </w:r>
      <w:proofErr w:type="spellEnd"/>
      <w:r w:rsidRPr="000A19E1">
        <w:rPr>
          <w:rFonts w:ascii="Arial" w:hAnsi="Arial" w:cs="Arial"/>
          <w:sz w:val="22"/>
          <w:szCs w:val="22"/>
          <w:lang w:val="es-ES_tradnl"/>
        </w:rPr>
        <w:t xml:space="preserve"> (2012). </w:t>
      </w:r>
      <w:r w:rsidRPr="000A19E1">
        <w:rPr>
          <w:rFonts w:ascii="Arial" w:hAnsi="Arial" w:cs="Arial"/>
          <w:sz w:val="22"/>
          <w:szCs w:val="22"/>
        </w:rPr>
        <w:t>Coownership of intellectual property:</w:t>
      </w:r>
      <w:r>
        <w:rPr>
          <w:rFonts w:ascii="Arial" w:hAnsi="Arial" w:cs="Arial"/>
          <w:sz w:val="22"/>
          <w:szCs w:val="22"/>
        </w:rPr>
        <w:t xml:space="preserve"> </w:t>
      </w:r>
      <w:r w:rsidRPr="000A19E1">
        <w:rPr>
          <w:rFonts w:ascii="Arial" w:hAnsi="Arial" w:cs="Arial"/>
          <w:sz w:val="22"/>
          <w:szCs w:val="22"/>
        </w:rPr>
        <w:t>Exploring the value creation and appropriation implications of co-patenting. KU Leuven mimeo</w:t>
      </w:r>
      <w:r>
        <w:rPr>
          <w:rFonts w:ascii="Arial" w:hAnsi="Arial" w:cs="Arial"/>
          <w:sz w:val="22"/>
          <w:szCs w:val="22"/>
        </w:rPr>
        <w:t>.</w:t>
      </w:r>
    </w:p>
    <w:p w:rsidR="001A2943" w:rsidRPr="001A2943" w:rsidRDefault="001A2943" w:rsidP="001A2943">
      <w:pPr>
        <w:rPr>
          <w:szCs w:val="22"/>
          <w:lang w:val="en-US"/>
        </w:rPr>
      </w:pPr>
    </w:p>
    <w:p w:rsidR="001A2943" w:rsidRPr="001A2943" w:rsidRDefault="001A2943" w:rsidP="001A2943">
      <w:pPr>
        <w:rPr>
          <w:szCs w:val="22"/>
          <w:lang w:val="en-US"/>
        </w:rPr>
      </w:pPr>
      <w:proofErr w:type="spellStart"/>
      <w:r w:rsidRPr="001A2943">
        <w:rPr>
          <w:szCs w:val="22"/>
          <w:lang w:val="en-US"/>
        </w:rPr>
        <w:t>Benavente</w:t>
      </w:r>
      <w:proofErr w:type="spellEnd"/>
      <w:r w:rsidRPr="001A2943">
        <w:rPr>
          <w:szCs w:val="22"/>
          <w:lang w:val="en-US"/>
        </w:rPr>
        <w:t xml:space="preserve">, J.M. y </w:t>
      </w:r>
      <w:proofErr w:type="spellStart"/>
      <w:r w:rsidRPr="001A2943">
        <w:rPr>
          <w:szCs w:val="22"/>
          <w:lang w:val="en-US"/>
        </w:rPr>
        <w:t>Lauterbach</w:t>
      </w:r>
      <w:proofErr w:type="spellEnd"/>
      <w:r w:rsidRPr="001A2943">
        <w:rPr>
          <w:szCs w:val="22"/>
          <w:lang w:val="en-US"/>
        </w:rPr>
        <w:t xml:space="preserve">, R. (2007) “R&amp;D Cooperation Determinants, Evidence with Chilean Firms”. </w:t>
      </w:r>
    </w:p>
    <w:p w:rsidR="001A2943" w:rsidRPr="001A2943" w:rsidRDefault="001A2943" w:rsidP="001A2943">
      <w:pPr>
        <w:rPr>
          <w:szCs w:val="22"/>
          <w:lang w:val="en-US"/>
        </w:rPr>
      </w:pPr>
    </w:p>
    <w:p w:rsidR="001A2943" w:rsidRPr="000E7B65" w:rsidRDefault="001A2943" w:rsidP="001A2943">
      <w:pPr>
        <w:pStyle w:val="ListParagraph"/>
        <w:ind w:left="0"/>
        <w:rPr>
          <w:rFonts w:ascii="Arial" w:hAnsi="Arial" w:cs="Arial"/>
          <w:sz w:val="22"/>
          <w:szCs w:val="22"/>
        </w:rPr>
      </w:pPr>
      <w:proofErr w:type="spellStart"/>
      <w:r w:rsidRPr="000A19E1">
        <w:rPr>
          <w:rFonts w:ascii="Arial" w:hAnsi="Arial" w:cs="Arial"/>
          <w:sz w:val="22"/>
          <w:szCs w:val="22"/>
        </w:rPr>
        <w:t>Hagedoorn</w:t>
      </w:r>
      <w:proofErr w:type="spellEnd"/>
      <w:r w:rsidRPr="000A19E1">
        <w:rPr>
          <w:rFonts w:ascii="Arial" w:hAnsi="Arial" w:cs="Arial"/>
          <w:sz w:val="22"/>
          <w:szCs w:val="22"/>
        </w:rPr>
        <w:t xml:space="preserve">, J. (2003). </w:t>
      </w:r>
      <w:proofErr w:type="gramStart"/>
      <w:r w:rsidRPr="000A19E1">
        <w:rPr>
          <w:rFonts w:ascii="Arial" w:hAnsi="Arial" w:cs="Arial"/>
          <w:sz w:val="22"/>
          <w:szCs w:val="22"/>
        </w:rPr>
        <w:t xml:space="preserve">Sharing intellectual property </w:t>
      </w:r>
      <w:proofErr w:type="spellStart"/>
      <w:r w:rsidRPr="000A19E1">
        <w:rPr>
          <w:rFonts w:ascii="Arial" w:hAnsi="Arial" w:cs="Arial"/>
          <w:sz w:val="22"/>
          <w:szCs w:val="22"/>
        </w:rPr>
        <w:t>rightsan</w:t>
      </w:r>
      <w:proofErr w:type="spellEnd"/>
      <w:r w:rsidRPr="000A19E1">
        <w:rPr>
          <w:rFonts w:ascii="Arial" w:hAnsi="Arial" w:cs="Arial"/>
          <w:sz w:val="22"/>
          <w:szCs w:val="22"/>
        </w:rPr>
        <w:t xml:space="preserve"> exploratory study of joint patenting amongst companies.</w:t>
      </w:r>
      <w:proofErr w:type="gramEnd"/>
      <w:r>
        <w:rPr>
          <w:rFonts w:ascii="Arial" w:hAnsi="Arial" w:cs="Arial"/>
          <w:sz w:val="22"/>
          <w:szCs w:val="22"/>
        </w:rPr>
        <w:t xml:space="preserve"> </w:t>
      </w:r>
      <w:r w:rsidRPr="000E7B65">
        <w:rPr>
          <w:rFonts w:ascii="Arial" w:hAnsi="Arial" w:cs="Arial"/>
          <w:sz w:val="22"/>
          <w:szCs w:val="22"/>
        </w:rPr>
        <w:t xml:space="preserve">Industrial and Corporate Change 12 (5), </w:t>
      </w:r>
      <w:r>
        <w:rPr>
          <w:rFonts w:ascii="Arial" w:hAnsi="Arial" w:cs="Arial"/>
          <w:sz w:val="22"/>
          <w:szCs w:val="22"/>
        </w:rPr>
        <w:t xml:space="preserve">pp. </w:t>
      </w:r>
      <w:r w:rsidRPr="000E7B65">
        <w:rPr>
          <w:rFonts w:ascii="Arial" w:hAnsi="Arial" w:cs="Arial"/>
          <w:sz w:val="22"/>
          <w:szCs w:val="22"/>
        </w:rPr>
        <w:t>1035–1050.</w:t>
      </w:r>
    </w:p>
    <w:p w:rsidR="001A2943" w:rsidRPr="001A2943" w:rsidRDefault="001A2943" w:rsidP="001A2943">
      <w:pPr>
        <w:rPr>
          <w:szCs w:val="22"/>
          <w:lang w:val="en-US"/>
        </w:rPr>
      </w:pPr>
    </w:p>
    <w:p w:rsidR="001A2943" w:rsidRPr="001A2943" w:rsidRDefault="001A2943" w:rsidP="001A2943">
      <w:pPr>
        <w:rPr>
          <w:szCs w:val="22"/>
          <w:lang w:val="en-US"/>
        </w:rPr>
      </w:pPr>
      <w:r w:rsidRPr="001A2943">
        <w:rPr>
          <w:szCs w:val="22"/>
          <w:lang w:val="en-US"/>
        </w:rPr>
        <w:t xml:space="preserve">Katz, J. y Spence, R. (1998) “Chile: Universities and the National Innovation System, an Initial Scoping Study”, </w:t>
      </w:r>
      <w:proofErr w:type="spellStart"/>
      <w:r w:rsidRPr="001A2943">
        <w:rPr>
          <w:szCs w:val="22"/>
          <w:lang w:val="en-US"/>
        </w:rPr>
        <w:t>Serie</w:t>
      </w:r>
      <w:proofErr w:type="spellEnd"/>
      <w:r w:rsidRPr="001A2943">
        <w:rPr>
          <w:szCs w:val="22"/>
          <w:lang w:val="en-US"/>
        </w:rPr>
        <w:t xml:space="preserve"> de </w:t>
      </w:r>
      <w:proofErr w:type="spellStart"/>
      <w:r w:rsidRPr="001A2943">
        <w:rPr>
          <w:szCs w:val="22"/>
          <w:lang w:val="en-US"/>
        </w:rPr>
        <w:t>Documentos</w:t>
      </w:r>
      <w:proofErr w:type="spellEnd"/>
      <w:r w:rsidRPr="001A2943">
        <w:rPr>
          <w:szCs w:val="22"/>
          <w:lang w:val="en-US"/>
        </w:rPr>
        <w:t xml:space="preserve"> de </w:t>
      </w:r>
      <w:proofErr w:type="spellStart"/>
      <w:r w:rsidRPr="001A2943">
        <w:rPr>
          <w:szCs w:val="22"/>
          <w:lang w:val="en-US"/>
        </w:rPr>
        <w:t>Trabajo</w:t>
      </w:r>
      <w:proofErr w:type="spellEnd"/>
      <w:r w:rsidRPr="001A2943">
        <w:rPr>
          <w:szCs w:val="22"/>
          <w:lang w:val="en-US"/>
        </w:rPr>
        <w:t xml:space="preserve"> 287 del </w:t>
      </w:r>
      <w:proofErr w:type="spellStart"/>
      <w:r w:rsidRPr="001A2943">
        <w:rPr>
          <w:szCs w:val="22"/>
          <w:lang w:val="en-US"/>
        </w:rPr>
        <w:t>Departamento</w:t>
      </w:r>
      <w:proofErr w:type="spellEnd"/>
      <w:r w:rsidRPr="001A2943">
        <w:rPr>
          <w:szCs w:val="22"/>
          <w:lang w:val="en-US"/>
        </w:rPr>
        <w:t xml:space="preserve"> de </w:t>
      </w:r>
      <w:proofErr w:type="spellStart"/>
      <w:r w:rsidRPr="001A2943">
        <w:rPr>
          <w:szCs w:val="22"/>
          <w:lang w:val="en-US"/>
        </w:rPr>
        <w:t>Economía</w:t>
      </w:r>
      <w:proofErr w:type="spellEnd"/>
      <w:r w:rsidRPr="001A2943">
        <w:rPr>
          <w:szCs w:val="22"/>
          <w:lang w:val="en-US"/>
        </w:rPr>
        <w:t xml:space="preserve"> de la Universidad de Chile. </w:t>
      </w:r>
    </w:p>
    <w:p w:rsidR="001A2943" w:rsidRPr="001A2943" w:rsidRDefault="001A2943" w:rsidP="001A2943">
      <w:pPr>
        <w:rPr>
          <w:szCs w:val="22"/>
          <w:lang w:val="en-US"/>
        </w:rPr>
      </w:pPr>
    </w:p>
    <w:p w:rsidR="001A2943" w:rsidRPr="001A2943" w:rsidRDefault="001A2943" w:rsidP="001A2943">
      <w:pPr>
        <w:rPr>
          <w:szCs w:val="22"/>
          <w:lang w:val="en-US"/>
        </w:rPr>
      </w:pPr>
      <w:proofErr w:type="spellStart"/>
      <w:r w:rsidRPr="001A2943">
        <w:rPr>
          <w:szCs w:val="22"/>
          <w:lang w:val="en-US"/>
        </w:rPr>
        <w:t>Krauskopf</w:t>
      </w:r>
      <w:proofErr w:type="spellEnd"/>
      <w:r w:rsidRPr="001A2943">
        <w:rPr>
          <w:szCs w:val="22"/>
          <w:lang w:val="en-US"/>
        </w:rPr>
        <w:t xml:space="preserve">, M., </w:t>
      </w:r>
      <w:proofErr w:type="spellStart"/>
      <w:r w:rsidRPr="001A2943">
        <w:rPr>
          <w:szCs w:val="22"/>
          <w:lang w:val="en-US"/>
        </w:rPr>
        <w:t>Krauskopf</w:t>
      </w:r>
      <w:proofErr w:type="spellEnd"/>
      <w:r w:rsidRPr="001A2943">
        <w:rPr>
          <w:szCs w:val="22"/>
          <w:lang w:val="en-US"/>
        </w:rPr>
        <w:t xml:space="preserve">, E. y Mendez B. (2007) “Low Awareness of the Link </w:t>
      </w:r>
      <w:proofErr w:type="gramStart"/>
      <w:r w:rsidRPr="001A2943">
        <w:rPr>
          <w:szCs w:val="22"/>
          <w:lang w:val="en-US"/>
        </w:rPr>
        <w:t>Between</w:t>
      </w:r>
      <w:proofErr w:type="gramEnd"/>
      <w:r w:rsidRPr="001A2943">
        <w:rPr>
          <w:szCs w:val="22"/>
          <w:lang w:val="en-US"/>
        </w:rPr>
        <w:t xml:space="preserve"> Science and Innovation Affects Public Policies in Developing Countries: The Chilean Case”, </w:t>
      </w:r>
      <w:proofErr w:type="spellStart"/>
      <w:r w:rsidRPr="001A2943">
        <w:rPr>
          <w:szCs w:val="22"/>
          <w:lang w:val="en-US"/>
        </w:rPr>
        <w:t>Scientometrics</w:t>
      </w:r>
      <w:proofErr w:type="spellEnd"/>
      <w:r w:rsidRPr="001A2943">
        <w:rPr>
          <w:szCs w:val="22"/>
          <w:lang w:val="en-US"/>
        </w:rPr>
        <w:t xml:space="preserve"> Vol. 72, No. 1, pp. 93-103. </w:t>
      </w:r>
    </w:p>
    <w:p w:rsidR="001A2943" w:rsidRPr="001A2943" w:rsidRDefault="001A2943" w:rsidP="001A2943">
      <w:pPr>
        <w:rPr>
          <w:szCs w:val="22"/>
          <w:lang w:val="en-US"/>
        </w:rPr>
      </w:pPr>
    </w:p>
    <w:p w:rsidR="001A2943" w:rsidRPr="001A2943" w:rsidRDefault="001A2943" w:rsidP="001A2943">
      <w:pPr>
        <w:rPr>
          <w:szCs w:val="22"/>
          <w:lang w:val="en-US"/>
        </w:rPr>
      </w:pPr>
      <w:proofErr w:type="gramStart"/>
      <w:r w:rsidRPr="001A2943">
        <w:rPr>
          <w:szCs w:val="22"/>
          <w:lang w:val="en-US"/>
        </w:rPr>
        <w:t>OCDE.</w:t>
      </w:r>
      <w:proofErr w:type="gramEnd"/>
      <w:r w:rsidRPr="001A2943">
        <w:rPr>
          <w:szCs w:val="22"/>
          <w:lang w:val="en-US"/>
        </w:rPr>
        <w:t xml:space="preserve"> (2007) “OECD Reviews of Innovation Policy: Chile”. </w:t>
      </w:r>
    </w:p>
    <w:p w:rsidR="001A2943" w:rsidRPr="001A2943" w:rsidRDefault="001A2943" w:rsidP="001A2943">
      <w:pPr>
        <w:rPr>
          <w:szCs w:val="22"/>
          <w:lang w:val="en-US"/>
        </w:rPr>
      </w:pPr>
    </w:p>
    <w:p w:rsidR="001A2943" w:rsidRPr="001A2943" w:rsidRDefault="001A2943" w:rsidP="001A2943">
      <w:pPr>
        <w:rPr>
          <w:szCs w:val="22"/>
          <w:lang w:val="en-US"/>
        </w:rPr>
      </w:pPr>
      <w:proofErr w:type="spellStart"/>
      <w:proofErr w:type="gramStart"/>
      <w:r w:rsidRPr="001A2943">
        <w:rPr>
          <w:szCs w:val="22"/>
          <w:lang w:val="en-US"/>
        </w:rPr>
        <w:t>Schmoch</w:t>
      </w:r>
      <w:proofErr w:type="spellEnd"/>
      <w:r w:rsidRPr="001A2943">
        <w:rPr>
          <w:szCs w:val="22"/>
          <w:lang w:val="en-US"/>
        </w:rPr>
        <w:t xml:space="preserve"> U. (2008).</w:t>
      </w:r>
      <w:proofErr w:type="gramEnd"/>
      <w:r w:rsidRPr="001A2943">
        <w:rPr>
          <w:szCs w:val="22"/>
          <w:lang w:val="en-US"/>
        </w:rPr>
        <w:t xml:space="preserve"> </w:t>
      </w:r>
      <w:proofErr w:type="gramStart"/>
      <w:r w:rsidRPr="001A2943">
        <w:rPr>
          <w:szCs w:val="22"/>
          <w:lang w:val="en-US"/>
        </w:rPr>
        <w:t>Concept of a Technology Classification for Country Comparisons, OMPI.</w:t>
      </w:r>
      <w:proofErr w:type="gramEnd"/>
    </w:p>
    <w:p w:rsidR="001A2943" w:rsidRPr="001A2943" w:rsidRDefault="001A2943" w:rsidP="001A2943">
      <w:pPr>
        <w:rPr>
          <w:szCs w:val="22"/>
          <w:lang w:val="en-US"/>
        </w:rPr>
      </w:pPr>
    </w:p>
    <w:p w:rsidR="001A2943" w:rsidRPr="000A19E1" w:rsidRDefault="001A2943" w:rsidP="001A2943">
      <w:pPr>
        <w:rPr>
          <w:szCs w:val="22"/>
          <w:lang w:val="es-ES_tradnl"/>
        </w:rPr>
      </w:pPr>
      <w:proofErr w:type="gramStart"/>
      <w:r w:rsidRPr="001A2943">
        <w:rPr>
          <w:szCs w:val="22"/>
          <w:lang w:val="en-US"/>
        </w:rPr>
        <w:t>OMPI (2011a).</w:t>
      </w:r>
      <w:proofErr w:type="gramEnd"/>
      <w:r w:rsidRPr="001A2943">
        <w:rPr>
          <w:szCs w:val="22"/>
          <w:lang w:val="en-US"/>
        </w:rPr>
        <w:t xml:space="preserve"> </w:t>
      </w:r>
      <w:proofErr w:type="gramStart"/>
      <w:r w:rsidRPr="001A2943">
        <w:rPr>
          <w:i/>
          <w:szCs w:val="22"/>
          <w:lang w:val="en-US"/>
        </w:rPr>
        <w:t>World Intellectual Property Report.</w:t>
      </w:r>
      <w:proofErr w:type="gramEnd"/>
      <w:r w:rsidRPr="001A2943">
        <w:rPr>
          <w:szCs w:val="22"/>
          <w:lang w:val="en-US"/>
        </w:rPr>
        <w:t xml:space="preserve"> </w:t>
      </w:r>
      <w:r w:rsidRPr="000A19E1">
        <w:rPr>
          <w:szCs w:val="22"/>
          <w:lang w:val="es-ES_tradnl"/>
        </w:rPr>
        <w:t>(Ginebra, OMPI).</w:t>
      </w:r>
    </w:p>
    <w:p w:rsidR="001A2943" w:rsidRPr="000A19E1" w:rsidRDefault="001A2943" w:rsidP="001A2943">
      <w:pPr>
        <w:rPr>
          <w:szCs w:val="22"/>
          <w:lang w:val="es-ES_tradnl"/>
        </w:rPr>
      </w:pPr>
    </w:p>
    <w:p w:rsidR="001A2943" w:rsidRPr="000A19E1" w:rsidRDefault="001A2943" w:rsidP="001A2943">
      <w:pPr>
        <w:rPr>
          <w:szCs w:val="22"/>
          <w:lang w:val="es-ES_tradnl"/>
        </w:rPr>
      </w:pPr>
      <w:r w:rsidRPr="000A19E1">
        <w:rPr>
          <w:szCs w:val="22"/>
          <w:lang w:val="es-ES_tradnl"/>
        </w:rPr>
        <w:t>OMPI (2011b). “</w:t>
      </w:r>
      <w:proofErr w:type="spellStart"/>
      <w:r w:rsidRPr="000A19E1">
        <w:rPr>
          <w:szCs w:val="22"/>
          <w:lang w:val="es-ES_tradnl"/>
        </w:rPr>
        <w:t>The</w:t>
      </w:r>
      <w:proofErr w:type="spellEnd"/>
      <w:r w:rsidRPr="000A19E1">
        <w:rPr>
          <w:szCs w:val="22"/>
          <w:lang w:val="es-ES_tradnl"/>
        </w:rPr>
        <w:t xml:space="preserve"> Surge in </w:t>
      </w:r>
      <w:proofErr w:type="spellStart"/>
      <w:r w:rsidRPr="000A19E1">
        <w:rPr>
          <w:szCs w:val="22"/>
          <w:lang w:val="es-ES_tradnl"/>
        </w:rPr>
        <w:t>Worldwide</w:t>
      </w:r>
      <w:proofErr w:type="spellEnd"/>
      <w:r w:rsidRPr="000A19E1">
        <w:rPr>
          <w:szCs w:val="22"/>
          <w:lang w:val="es-ES_tradnl"/>
        </w:rPr>
        <w:t xml:space="preserve"> </w:t>
      </w:r>
      <w:proofErr w:type="spellStart"/>
      <w:r w:rsidRPr="000A19E1">
        <w:rPr>
          <w:szCs w:val="22"/>
          <w:lang w:val="es-ES_tradnl"/>
        </w:rPr>
        <w:t>Patent</w:t>
      </w:r>
      <w:proofErr w:type="spellEnd"/>
      <w:r w:rsidRPr="000A19E1">
        <w:rPr>
          <w:szCs w:val="22"/>
          <w:lang w:val="es-ES_tradnl"/>
        </w:rPr>
        <w:t xml:space="preserve"> </w:t>
      </w:r>
      <w:proofErr w:type="spellStart"/>
      <w:r w:rsidRPr="000A19E1">
        <w:rPr>
          <w:szCs w:val="22"/>
          <w:lang w:val="es-ES_tradnl"/>
        </w:rPr>
        <w:t>Applications</w:t>
      </w:r>
      <w:proofErr w:type="spellEnd"/>
      <w:r w:rsidRPr="000A19E1">
        <w:rPr>
          <w:szCs w:val="22"/>
          <w:lang w:val="es-ES_tradnl"/>
        </w:rPr>
        <w:t>”, Grupo de Trabajo del Tratado de Cooperación en materia de Patentes, documento PCT/WG/5/4 de la OMPI.</w:t>
      </w:r>
    </w:p>
    <w:p w:rsidR="001A2943" w:rsidRDefault="001A2943" w:rsidP="001A2943">
      <w:pPr>
        <w:pStyle w:val="ListParagraph"/>
        <w:ind w:left="0"/>
        <w:rPr>
          <w:rFonts w:ascii="Arial" w:hAnsi="Arial" w:cs="Arial"/>
          <w:sz w:val="22"/>
          <w:szCs w:val="22"/>
          <w:lang w:val="es-ES_tradnl"/>
        </w:rPr>
      </w:pPr>
    </w:p>
    <w:p w:rsidR="00924086" w:rsidRDefault="00924086" w:rsidP="001A2943">
      <w:pPr>
        <w:pStyle w:val="ListParagraph"/>
        <w:ind w:left="0"/>
        <w:rPr>
          <w:rFonts w:ascii="Arial" w:hAnsi="Arial" w:cs="Arial"/>
          <w:sz w:val="22"/>
          <w:szCs w:val="22"/>
          <w:lang w:val="es-ES_tradnl"/>
        </w:rPr>
      </w:pPr>
    </w:p>
    <w:p w:rsidR="00924086" w:rsidRDefault="00924086" w:rsidP="001A2943">
      <w:pPr>
        <w:pStyle w:val="ListParagraph"/>
        <w:ind w:left="0"/>
        <w:rPr>
          <w:rFonts w:ascii="Arial" w:hAnsi="Arial" w:cs="Arial"/>
          <w:sz w:val="22"/>
          <w:szCs w:val="22"/>
          <w:lang w:val="es-ES_tradnl"/>
        </w:rPr>
      </w:pPr>
    </w:p>
    <w:p w:rsidR="002B63C5" w:rsidRPr="0057360F" w:rsidRDefault="002B63C5">
      <w:pPr>
        <w:rPr>
          <w:lang w:val="es-ES_tradnl"/>
        </w:rPr>
      </w:pPr>
      <w:r w:rsidRPr="0057360F">
        <w:rPr>
          <w:lang w:val="es-ES_tradnl"/>
        </w:rPr>
        <w:br w:type="page"/>
      </w:r>
    </w:p>
    <w:p w:rsidR="00085FB9" w:rsidRPr="00085FB9" w:rsidRDefault="00085FB9" w:rsidP="00085FB9">
      <w:pPr>
        <w:keepNext/>
        <w:outlineLvl w:val="0"/>
        <w:rPr>
          <w:b/>
          <w:bCs/>
          <w:caps/>
          <w:kern w:val="32"/>
          <w:szCs w:val="22"/>
          <w:lang w:val="en-US"/>
        </w:rPr>
      </w:pPr>
      <w:bookmarkStart w:id="19" w:name="_Toc352163330"/>
      <w:r w:rsidRPr="00085FB9">
        <w:rPr>
          <w:b/>
          <w:bCs/>
          <w:kern w:val="32"/>
          <w:szCs w:val="22"/>
          <w:lang w:val="en-US"/>
        </w:rPr>
        <w:lastRenderedPageBreak/>
        <w:t xml:space="preserve">Appendix 1:  The IP System in </w:t>
      </w:r>
      <w:smartTag w:uri="urn:schemas-microsoft-com:office:smarttags" w:element="country-region">
        <w:smartTag w:uri="urn:schemas-microsoft-com:office:smarttags" w:element="place">
          <w:r w:rsidRPr="00085FB9">
            <w:rPr>
              <w:b/>
              <w:bCs/>
              <w:kern w:val="32"/>
              <w:szCs w:val="22"/>
              <w:lang w:val="en-US"/>
            </w:rPr>
            <w:t>Chile</w:t>
          </w:r>
        </w:smartTag>
      </w:smartTag>
      <w:bookmarkEnd w:id="19"/>
    </w:p>
    <w:p w:rsidR="00085FB9" w:rsidRPr="00085FB9" w:rsidRDefault="00085FB9" w:rsidP="00085FB9">
      <w:pPr>
        <w:rPr>
          <w:b/>
          <w:szCs w:val="22"/>
          <w:lang w:val="en-US"/>
        </w:rPr>
      </w:pPr>
    </w:p>
    <w:p w:rsidR="00085FB9" w:rsidRPr="00085FB9" w:rsidRDefault="00085FB9" w:rsidP="00085FB9">
      <w:pPr>
        <w:keepNext/>
        <w:outlineLvl w:val="1"/>
        <w:rPr>
          <w:b/>
          <w:iCs/>
          <w:caps/>
          <w:szCs w:val="22"/>
          <w:lang w:val="en-US"/>
        </w:rPr>
      </w:pPr>
      <w:bookmarkStart w:id="20" w:name="_Toc352163331"/>
      <w:r w:rsidRPr="00085FB9">
        <w:rPr>
          <w:b/>
          <w:iCs/>
          <w:szCs w:val="22"/>
          <w:lang w:val="en-US"/>
        </w:rPr>
        <w:t>Appendix 1.1:  Application Procedure for Trademarks</w:t>
      </w:r>
      <w:bookmarkEnd w:id="20"/>
      <w:r w:rsidRPr="00085FB9">
        <w:rPr>
          <w:b/>
          <w:iCs/>
          <w:szCs w:val="22"/>
          <w:lang w:val="en-US"/>
        </w:rPr>
        <w:t xml:space="preserve"> </w:t>
      </w:r>
    </w:p>
    <w:p w:rsidR="00085FB9" w:rsidRPr="00085FB9" w:rsidRDefault="00085FB9" w:rsidP="00085FB9">
      <w:pPr>
        <w:keepNext/>
        <w:autoSpaceDE w:val="0"/>
        <w:autoSpaceDN w:val="0"/>
        <w:adjustRightInd w:val="0"/>
        <w:rPr>
          <w:szCs w:val="22"/>
          <w:lang w:val="en-US"/>
        </w:rPr>
      </w:pPr>
    </w:p>
    <w:p w:rsidR="00085FB9" w:rsidRPr="00085FB9" w:rsidRDefault="00085FB9" w:rsidP="00085FB9">
      <w:pPr>
        <w:keepNext/>
        <w:autoSpaceDE w:val="0"/>
        <w:autoSpaceDN w:val="0"/>
        <w:adjustRightInd w:val="0"/>
        <w:rPr>
          <w:szCs w:val="22"/>
          <w:lang w:val="en-US"/>
        </w:rPr>
      </w:pPr>
      <w:r w:rsidRPr="00085FB9">
        <w:rPr>
          <w:szCs w:val="22"/>
          <w:lang w:val="en-US"/>
        </w:rPr>
        <w:t xml:space="preserve">The registration of marks distinguishes between marks for goods, services, commercial establishments, industrial establishments, slogans, and geographical indications or appellations of origin.  Applicants have to provide information about themselves and their potential legal representatives.  The application form has to specify the requested trademark, the description of the mark and the requested Nice </w:t>
      </w:r>
      <w:proofErr w:type="gramStart"/>
      <w:r w:rsidRPr="00085FB9">
        <w:rPr>
          <w:szCs w:val="22"/>
          <w:lang w:val="en-US"/>
        </w:rPr>
        <w:t>class(</w:t>
      </w:r>
      <w:proofErr w:type="spellStart"/>
      <w:proofErr w:type="gramEnd"/>
      <w:r w:rsidRPr="00085FB9">
        <w:rPr>
          <w:szCs w:val="22"/>
          <w:lang w:val="en-US"/>
        </w:rPr>
        <w:t>es</w:t>
      </w:r>
      <w:proofErr w:type="spellEnd"/>
      <w:r w:rsidRPr="00085FB9">
        <w:rPr>
          <w:szCs w:val="22"/>
          <w:lang w:val="en-US"/>
        </w:rPr>
        <w:t xml:space="preserve">). </w:t>
      </w:r>
    </w:p>
    <w:p w:rsidR="00085FB9" w:rsidRPr="00085FB9" w:rsidRDefault="00085FB9" w:rsidP="00085FB9">
      <w:pPr>
        <w:keepNext/>
        <w:autoSpaceDE w:val="0"/>
        <w:autoSpaceDN w:val="0"/>
        <w:adjustRightInd w:val="0"/>
        <w:rPr>
          <w:szCs w:val="22"/>
          <w:lang w:val="en-US"/>
        </w:rPr>
      </w:pPr>
    </w:p>
    <w:p w:rsidR="00085FB9" w:rsidRPr="00085FB9" w:rsidRDefault="00085FB9" w:rsidP="00085FB9">
      <w:pPr>
        <w:keepNext/>
        <w:autoSpaceDE w:val="0"/>
        <w:autoSpaceDN w:val="0"/>
        <w:adjustRightInd w:val="0"/>
        <w:rPr>
          <w:szCs w:val="22"/>
          <w:lang w:val="en-US"/>
        </w:rPr>
      </w:pPr>
      <w:r w:rsidRPr="00085FB9">
        <w:rPr>
          <w:szCs w:val="22"/>
          <w:lang w:val="en-US"/>
        </w:rPr>
        <w:t xml:space="preserve">The procedure for registering a trademark in </w:t>
      </w:r>
      <w:smartTag w:uri="urn:schemas-microsoft-com:office:smarttags" w:element="place">
        <w:smartTag w:uri="urn:schemas-microsoft-com:office:smarttags" w:element="country-region">
          <w:r w:rsidRPr="00085FB9">
            <w:rPr>
              <w:szCs w:val="22"/>
              <w:lang w:val="en-US"/>
            </w:rPr>
            <w:t>Chile</w:t>
          </w:r>
        </w:smartTag>
      </w:smartTag>
      <w:r w:rsidRPr="00085FB9">
        <w:rPr>
          <w:szCs w:val="22"/>
          <w:lang w:val="en-US"/>
        </w:rPr>
        <w:t xml:space="preserve"> has two stages:  (</w:t>
      </w:r>
      <w:proofErr w:type="spellStart"/>
      <w:r w:rsidRPr="00085FB9">
        <w:rPr>
          <w:szCs w:val="22"/>
          <w:lang w:val="en-US"/>
        </w:rPr>
        <w:t>i</w:t>
      </w:r>
      <w:proofErr w:type="spellEnd"/>
      <w:r w:rsidRPr="00085FB9">
        <w:rPr>
          <w:szCs w:val="22"/>
          <w:lang w:val="en-US"/>
        </w:rPr>
        <w:t>) the filing of an application, its formality examination and publication in the Official Gazette</w:t>
      </w:r>
      <w:proofErr w:type="gramStart"/>
      <w:r w:rsidRPr="00085FB9">
        <w:rPr>
          <w:szCs w:val="22"/>
          <w:lang w:val="en-US"/>
        </w:rPr>
        <w:t>;  and</w:t>
      </w:r>
      <w:proofErr w:type="gramEnd"/>
      <w:r w:rsidRPr="00085FB9">
        <w:rPr>
          <w:szCs w:val="22"/>
          <w:lang w:val="en-US"/>
        </w:rPr>
        <w:t xml:space="preserve"> (ii) a substantive examination.  In case of opposition, the case is evaluated in parallel with the substantial examination stage.  The application fee for a trademark is around USD85 per class.  Before 2012, applicants could only apply for product or service classes, but not for a combination of both. </w:t>
      </w:r>
    </w:p>
    <w:p w:rsidR="00085FB9" w:rsidRPr="00085FB9" w:rsidRDefault="00085FB9" w:rsidP="00085FB9">
      <w:pPr>
        <w:keepNext/>
        <w:autoSpaceDE w:val="0"/>
        <w:autoSpaceDN w:val="0"/>
        <w:adjustRightInd w:val="0"/>
        <w:rPr>
          <w:szCs w:val="22"/>
          <w:lang w:val="en-US"/>
        </w:rPr>
      </w:pPr>
    </w:p>
    <w:p w:rsidR="00085FB9" w:rsidRPr="00085FB9" w:rsidRDefault="00085FB9" w:rsidP="00085FB9">
      <w:pPr>
        <w:autoSpaceDE w:val="0"/>
        <w:autoSpaceDN w:val="0"/>
        <w:adjustRightInd w:val="0"/>
        <w:rPr>
          <w:b/>
          <w:bCs/>
          <w:i/>
          <w:szCs w:val="22"/>
          <w:lang w:val="en-US"/>
        </w:rPr>
      </w:pPr>
      <w:r w:rsidRPr="00085FB9">
        <w:rPr>
          <w:b/>
          <w:bCs/>
          <w:i/>
          <w:szCs w:val="22"/>
          <w:lang w:val="en-US"/>
        </w:rPr>
        <w:t>Formality examination</w:t>
      </w:r>
    </w:p>
    <w:p w:rsidR="00085FB9" w:rsidRPr="00085FB9" w:rsidRDefault="00085FB9" w:rsidP="00085FB9">
      <w:pPr>
        <w:autoSpaceDE w:val="0"/>
        <w:autoSpaceDN w:val="0"/>
        <w:adjustRightInd w:val="0"/>
        <w:jc w:val="both"/>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The formality examination ensures that an application meets formal requirements, but does not provide any assessment of the application’s merits.  If an application meets the formal requirements, it is published in the Official Gazette for which a publication fee is charged.  The publication cost depends on the size of the application; on average it costs USD38.  After publication, third parties have 30 days to file an opposition.  If no opposition is filed, the procedure passes on to the substantial examination stage.</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b/>
          <w:bCs/>
          <w:i/>
          <w:szCs w:val="22"/>
          <w:lang w:val="en-US"/>
        </w:rPr>
      </w:pPr>
      <w:r w:rsidRPr="00085FB9">
        <w:rPr>
          <w:b/>
          <w:bCs/>
          <w:i/>
          <w:szCs w:val="22"/>
          <w:lang w:val="en-US"/>
        </w:rPr>
        <w:t>Opposition</w:t>
      </w:r>
    </w:p>
    <w:p w:rsidR="00085FB9" w:rsidRPr="00085FB9" w:rsidRDefault="00085FB9" w:rsidP="00085FB9">
      <w:pPr>
        <w:autoSpaceDE w:val="0"/>
        <w:autoSpaceDN w:val="0"/>
        <w:adjustRightInd w:val="0"/>
        <w:jc w:val="both"/>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The opposing party has to be represented by an attorney.  All information related to the opposition is publicly available.  The applicant has 30 days to respond to the opposition.</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b/>
          <w:bCs/>
          <w:i/>
          <w:szCs w:val="22"/>
          <w:lang w:val="en-US"/>
        </w:rPr>
      </w:pPr>
      <w:r w:rsidRPr="00085FB9">
        <w:rPr>
          <w:b/>
          <w:bCs/>
          <w:i/>
          <w:szCs w:val="22"/>
          <w:lang w:val="en-US"/>
        </w:rPr>
        <w:t>Substantive Examination</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 xml:space="preserve">After the 30 day period to file an opposition, the application is substantively examined.  The examiner carries out searches for similar marks within the </w:t>
      </w:r>
      <w:proofErr w:type="gramStart"/>
      <w:r w:rsidRPr="00085FB9">
        <w:rPr>
          <w:szCs w:val="22"/>
          <w:lang w:val="en-US"/>
        </w:rPr>
        <w:t>Nice</w:t>
      </w:r>
      <w:proofErr w:type="gramEnd"/>
      <w:r w:rsidRPr="00085FB9">
        <w:rPr>
          <w:szCs w:val="22"/>
          <w:lang w:val="en-US"/>
        </w:rPr>
        <w:t xml:space="preserve"> class for which coverage is requested as well as related classes.  However, a search can also be carried out in all related classes to determine the existence of trademarks that can create confusion.  In </w:t>
      </w:r>
      <w:smartTag w:uri="urn:schemas-microsoft-com:office:smarttags" w:element="place">
        <w:smartTag w:uri="urn:schemas-microsoft-com:office:smarttags" w:element="country-region">
          <w:r w:rsidRPr="00085FB9">
            <w:rPr>
              <w:szCs w:val="22"/>
              <w:lang w:val="en-US"/>
            </w:rPr>
            <w:t>Chile</w:t>
          </w:r>
        </w:smartTag>
      </w:smartTag>
      <w:r w:rsidRPr="00085FB9">
        <w:rPr>
          <w:szCs w:val="22"/>
          <w:lang w:val="en-US"/>
        </w:rPr>
        <w:t xml:space="preserve">, trademark examiners must identify all possible causes for rejection.  Different grounds for rejection are not mutually exclusive and can be invoked in combination.  However, a single ground is sufficient to reject a trademark application. </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If an application successfully passes the substantive examination, the trademark is registered.  At this point, another fee of around USD170 per class is payable.  If a trademark is rejected, the applicant can file an appeal to the Industrial Property Tribunal within 30 days.</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b/>
          <w:bCs/>
          <w:i/>
          <w:szCs w:val="22"/>
          <w:lang w:val="en-US"/>
        </w:rPr>
      </w:pPr>
      <w:r w:rsidRPr="00085FB9">
        <w:rPr>
          <w:b/>
          <w:bCs/>
          <w:i/>
          <w:szCs w:val="22"/>
          <w:lang w:val="en-US"/>
        </w:rPr>
        <w:t>Cancellation of Trademarks</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 xml:space="preserve">The procedure to cancel a registered trademark is similar to the opposition procedure.  The owner of the trademark has 30 days to respond.  INAPI opens a 30 day term for both parties to present evidence.  This period may be extended for 30 days.  If INAPI cancels the trademark, it will be considered invalid counting from its grant date. </w:t>
      </w:r>
    </w:p>
    <w:p w:rsidR="00085FB9" w:rsidRPr="00085FB9" w:rsidRDefault="00085FB9" w:rsidP="00085FB9">
      <w:pPr>
        <w:keepNext/>
        <w:outlineLvl w:val="1"/>
        <w:rPr>
          <w:b/>
          <w:iCs/>
          <w:caps/>
          <w:szCs w:val="22"/>
          <w:lang w:val="en-US"/>
        </w:rPr>
      </w:pPr>
      <w:bookmarkStart w:id="21" w:name="_Toc352163332"/>
      <w:r w:rsidRPr="00085FB9">
        <w:rPr>
          <w:bCs/>
          <w:iCs/>
          <w:caps/>
          <w:szCs w:val="22"/>
          <w:lang w:val="en-US"/>
        </w:rPr>
        <w:br w:type="page"/>
      </w:r>
      <w:r w:rsidRPr="00085FB9">
        <w:rPr>
          <w:b/>
          <w:iCs/>
          <w:szCs w:val="22"/>
          <w:lang w:val="en-US"/>
        </w:rPr>
        <w:lastRenderedPageBreak/>
        <w:t>Appendix 1.2:  Intellectual Property Rights Enforcement</w:t>
      </w:r>
      <w:bookmarkEnd w:id="21"/>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 xml:space="preserve">According to Chilean law, IP infringement can be sanctioned by both civil and criminal courts, depending on the type of infringement.  IP rights are enforced in civil or criminal courts.  </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The Chilean industrial property law considers the following as acts of infringing of:</w:t>
      </w:r>
    </w:p>
    <w:p w:rsidR="00085FB9" w:rsidRPr="00085FB9" w:rsidRDefault="00085FB9" w:rsidP="00085FB9">
      <w:pPr>
        <w:autoSpaceDE w:val="0"/>
        <w:autoSpaceDN w:val="0"/>
        <w:adjustRightInd w:val="0"/>
        <w:rPr>
          <w:szCs w:val="22"/>
          <w:lang w:val="en-US"/>
        </w:rPr>
      </w:pPr>
    </w:p>
    <w:p w:rsidR="00085FB9" w:rsidRPr="00085FB9" w:rsidRDefault="00085FB9" w:rsidP="004C3144">
      <w:pPr>
        <w:numPr>
          <w:ilvl w:val="0"/>
          <w:numId w:val="12"/>
        </w:numPr>
        <w:autoSpaceDE w:val="0"/>
        <w:autoSpaceDN w:val="0"/>
        <w:adjustRightInd w:val="0"/>
        <w:ind w:left="927"/>
        <w:rPr>
          <w:szCs w:val="22"/>
          <w:lang w:val="en-US"/>
        </w:rPr>
      </w:pPr>
      <w:r w:rsidRPr="00085FB9">
        <w:rPr>
          <w:szCs w:val="22"/>
          <w:lang w:val="en-US"/>
        </w:rPr>
        <w:t>A trademark:</w:t>
      </w:r>
      <w:r w:rsidRPr="00085FB9">
        <w:rPr>
          <w:szCs w:val="22"/>
          <w:lang w:val="en-US"/>
        </w:rPr>
        <w:br/>
      </w:r>
    </w:p>
    <w:p w:rsidR="00085FB9" w:rsidRPr="00085FB9" w:rsidRDefault="00085FB9" w:rsidP="004C3144">
      <w:pPr>
        <w:numPr>
          <w:ilvl w:val="1"/>
          <w:numId w:val="12"/>
        </w:numPr>
        <w:autoSpaceDE w:val="0"/>
        <w:autoSpaceDN w:val="0"/>
        <w:adjustRightInd w:val="0"/>
        <w:ind w:left="1647"/>
        <w:rPr>
          <w:szCs w:val="22"/>
          <w:lang w:val="en-US"/>
        </w:rPr>
      </w:pPr>
      <w:r w:rsidRPr="00085FB9">
        <w:rPr>
          <w:szCs w:val="22"/>
          <w:lang w:val="en-US"/>
        </w:rPr>
        <w:t>Commercial use in bad faith of a trademark equal or similar to another trademark that is already registered for the same products, services or establishments related to the registered trademark;</w:t>
      </w:r>
    </w:p>
    <w:p w:rsidR="00085FB9" w:rsidRPr="00085FB9" w:rsidRDefault="00085FB9" w:rsidP="004C3144">
      <w:pPr>
        <w:numPr>
          <w:ilvl w:val="1"/>
          <w:numId w:val="12"/>
        </w:numPr>
        <w:autoSpaceDE w:val="0"/>
        <w:autoSpaceDN w:val="0"/>
        <w:adjustRightInd w:val="0"/>
        <w:ind w:left="1647"/>
        <w:rPr>
          <w:szCs w:val="22"/>
          <w:lang w:val="en-US"/>
        </w:rPr>
      </w:pPr>
      <w:r w:rsidRPr="00085FB9">
        <w:rPr>
          <w:szCs w:val="22"/>
          <w:lang w:val="en-US"/>
        </w:rPr>
        <w:t>Commercial use of a non-registered, expired, or cancelled trademark, falsely indicating that it is a registered trademark;</w:t>
      </w:r>
    </w:p>
    <w:p w:rsidR="00085FB9" w:rsidRPr="00085FB9" w:rsidRDefault="00085FB9" w:rsidP="004C3144">
      <w:pPr>
        <w:numPr>
          <w:ilvl w:val="1"/>
          <w:numId w:val="12"/>
        </w:numPr>
        <w:autoSpaceDE w:val="0"/>
        <w:autoSpaceDN w:val="0"/>
        <w:adjustRightInd w:val="0"/>
        <w:ind w:left="1647"/>
        <w:rPr>
          <w:szCs w:val="22"/>
          <w:lang w:val="en-US"/>
        </w:rPr>
      </w:pPr>
      <w:r w:rsidRPr="00085FB9">
        <w:rPr>
          <w:szCs w:val="22"/>
          <w:lang w:val="en-US"/>
        </w:rPr>
        <w:t>Commercial use of packaging that contains a trademark without the right to use it or without having deleted the trademark before using the packaging.</w:t>
      </w:r>
      <w:r w:rsidRPr="00085FB9">
        <w:rPr>
          <w:szCs w:val="22"/>
          <w:lang w:val="en-US"/>
        </w:rPr>
        <w:br/>
      </w:r>
    </w:p>
    <w:p w:rsidR="00085FB9" w:rsidRPr="00085FB9" w:rsidRDefault="00085FB9" w:rsidP="004C3144">
      <w:pPr>
        <w:numPr>
          <w:ilvl w:val="0"/>
          <w:numId w:val="12"/>
        </w:numPr>
        <w:autoSpaceDE w:val="0"/>
        <w:autoSpaceDN w:val="0"/>
        <w:adjustRightInd w:val="0"/>
        <w:ind w:left="927"/>
        <w:rPr>
          <w:szCs w:val="22"/>
          <w:lang w:val="en-US"/>
        </w:rPr>
      </w:pPr>
      <w:r w:rsidRPr="00085FB9">
        <w:rPr>
          <w:szCs w:val="22"/>
          <w:lang w:val="en-US"/>
        </w:rPr>
        <w:t>A patent:</w:t>
      </w:r>
      <w:r w:rsidRPr="00085FB9">
        <w:rPr>
          <w:szCs w:val="22"/>
          <w:lang w:val="en-US"/>
        </w:rPr>
        <w:br/>
      </w:r>
    </w:p>
    <w:p w:rsidR="00085FB9" w:rsidRPr="00085FB9" w:rsidRDefault="00085FB9" w:rsidP="004C3144">
      <w:pPr>
        <w:numPr>
          <w:ilvl w:val="1"/>
          <w:numId w:val="12"/>
        </w:numPr>
        <w:autoSpaceDE w:val="0"/>
        <w:autoSpaceDN w:val="0"/>
        <w:adjustRightInd w:val="0"/>
        <w:ind w:left="1647"/>
        <w:contextualSpacing/>
        <w:rPr>
          <w:szCs w:val="22"/>
          <w:lang w:val="en-US"/>
        </w:rPr>
      </w:pPr>
      <w:r w:rsidRPr="00085FB9">
        <w:rPr>
          <w:szCs w:val="22"/>
          <w:lang w:val="en-US"/>
        </w:rPr>
        <w:t>Commercial use of a patented invention in bad faith.</w:t>
      </w:r>
    </w:p>
    <w:p w:rsidR="00085FB9" w:rsidRPr="00085FB9" w:rsidRDefault="00085FB9" w:rsidP="004C3144">
      <w:pPr>
        <w:numPr>
          <w:ilvl w:val="1"/>
          <w:numId w:val="12"/>
        </w:numPr>
        <w:autoSpaceDE w:val="0"/>
        <w:autoSpaceDN w:val="0"/>
        <w:adjustRightInd w:val="0"/>
        <w:ind w:left="1647"/>
        <w:rPr>
          <w:szCs w:val="22"/>
          <w:lang w:val="en-US"/>
        </w:rPr>
      </w:pPr>
      <w:r w:rsidRPr="00085FB9">
        <w:rPr>
          <w:szCs w:val="22"/>
          <w:lang w:val="en-US"/>
        </w:rPr>
        <w:t>Commercial use of a patent on a non-patented object or of an expired, or cancelled patent;</w:t>
      </w:r>
      <w:r w:rsidRPr="00085FB9">
        <w:rPr>
          <w:szCs w:val="22"/>
          <w:lang w:val="en-US"/>
        </w:rPr>
        <w:br/>
      </w:r>
    </w:p>
    <w:p w:rsidR="00085FB9" w:rsidRPr="00085FB9" w:rsidRDefault="00085FB9" w:rsidP="004C3144">
      <w:pPr>
        <w:numPr>
          <w:ilvl w:val="0"/>
          <w:numId w:val="12"/>
        </w:numPr>
        <w:autoSpaceDE w:val="0"/>
        <w:autoSpaceDN w:val="0"/>
        <w:adjustRightInd w:val="0"/>
        <w:ind w:left="927"/>
        <w:rPr>
          <w:szCs w:val="22"/>
          <w:lang w:val="en-US"/>
        </w:rPr>
      </w:pPr>
      <w:r w:rsidRPr="00085FB9">
        <w:rPr>
          <w:szCs w:val="22"/>
          <w:lang w:val="en-US"/>
        </w:rPr>
        <w:t>Integrated circuit topographies, utility models, industrial designs and drawings:</w:t>
      </w:r>
      <w:r w:rsidRPr="00085FB9">
        <w:rPr>
          <w:szCs w:val="22"/>
          <w:vertAlign w:val="superscript"/>
          <w:lang w:val="en-US"/>
        </w:rPr>
        <w:t xml:space="preserve"> </w:t>
      </w:r>
      <w:r w:rsidRPr="00085FB9">
        <w:rPr>
          <w:szCs w:val="22"/>
          <w:vertAlign w:val="superscript"/>
          <w:lang w:val="en-US"/>
        </w:rPr>
        <w:footnoteReference w:id="38"/>
      </w:r>
    </w:p>
    <w:p w:rsidR="00085FB9" w:rsidRPr="00085FB9" w:rsidRDefault="00085FB9" w:rsidP="00085FB9">
      <w:pPr>
        <w:autoSpaceDE w:val="0"/>
        <w:autoSpaceDN w:val="0"/>
        <w:adjustRightInd w:val="0"/>
        <w:ind w:left="1287"/>
        <w:rPr>
          <w:szCs w:val="22"/>
          <w:lang w:val="en-US"/>
        </w:rPr>
      </w:pPr>
    </w:p>
    <w:p w:rsidR="00085FB9" w:rsidRPr="00085FB9" w:rsidRDefault="00085FB9" w:rsidP="004C3144">
      <w:pPr>
        <w:numPr>
          <w:ilvl w:val="1"/>
          <w:numId w:val="12"/>
        </w:numPr>
        <w:autoSpaceDE w:val="0"/>
        <w:autoSpaceDN w:val="0"/>
        <w:adjustRightInd w:val="0"/>
        <w:ind w:left="1647"/>
        <w:rPr>
          <w:szCs w:val="22"/>
          <w:lang w:val="en-US"/>
        </w:rPr>
      </w:pPr>
      <w:r w:rsidRPr="00085FB9">
        <w:rPr>
          <w:szCs w:val="22"/>
          <w:lang w:val="en-US"/>
        </w:rPr>
        <w:t>Commercial use in bad faith of a registered integrated circuit topography, utility model, industrial design or drawing.</w:t>
      </w:r>
    </w:p>
    <w:p w:rsidR="00085FB9" w:rsidRPr="00085FB9" w:rsidRDefault="00085FB9" w:rsidP="004C3144">
      <w:pPr>
        <w:numPr>
          <w:ilvl w:val="1"/>
          <w:numId w:val="12"/>
        </w:numPr>
        <w:autoSpaceDE w:val="0"/>
        <w:autoSpaceDN w:val="0"/>
        <w:adjustRightInd w:val="0"/>
        <w:ind w:left="1647"/>
        <w:rPr>
          <w:rFonts w:eastAsia="Calibri"/>
          <w:szCs w:val="22"/>
          <w:lang w:val="en-US"/>
        </w:rPr>
      </w:pPr>
      <w:r w:rsidRPr="00085FB9">
        <w:rPr>
          <w:rFonts w:eastAsia="Calibri"/>
          <w:szCs w:val="22"/>
          <w:lang w:val="en-US"/>
        </w:rPr>
        <w:t>Use of an integrated circuits topography right, utility model, industrial design or drawing for commercial purposes despite of the absence of a registered right.</w:t>
      </w:r>
    </w:p>
    <w:p w:rsidR="00085FB9" w:rsidRPr="00085FB9" w:rsidRDefault="00085FB9" w:rsidP="00085FB9">
      <w:pPr>
        <w:autoSpaceDE w:val="0"/>
        <w:autoSpaceDN w:val="0"/>
        <w:adjustRightInd w:val="0"/>
        <w:ind w:left="720"/>
        <w:rPr>
          <w:szCs w:val="22"/>
          <w:lang w:val="en-US"/>
        </w:rPr>
      </w:pPr>
    </w:p>
    <w:p w:rsidR="00085FB9" w:rsidRPr="00085FB9" w:rsidRDefault="00085FB9" w:rsidP="00085FB9">
      <w:pPr>
        <w:autoSpaceDE w:val="0"/>
        <w:autoSpaceDN w:val="0"/>
        <w:adjustRightInd w:val="0"/>
        <w:rPr>
          <w:b/>
          <w:bCs/>
          <w:i/>
          <w:szCs w:val="22"/>
          <w:lang w:val="en-US"/>
        </w:rPr>
      </w:pPr>
      <w:r w:rsidRPr="00085FB9">
        <w:rPr>
          <w:b/>
          <w:bCs/>
          <w:i/>
          <w:szCs w:val="22"/>
          <w:lang w:val="en-US"/>
        </w:rPr>
        <w:t>Criminal enforcement</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All offenses are punishable with fines between USD2</w:t>
      </w:r>
      <w:proofErr w:type="gramStart"/>
      <w:r w:rsidRPr="00085FB9">
        <w:rPr>
          <w:szCs w:val="22"/>
          <w:lang w:val="en-US"/>
        </w:rPr>
        <w:t>,125</w:t>
      </w:r>
      <w:proofErr w:type="gramEnd"/>
      <w:r w:rsidRPr="00085FB9">
        <w:rPr>
          <w:szCs w:val="22"/>
          <w:lang w:val="en-US"/>
        </w:rPr>
        <w:t xml:space="preserve"> and USD85,000.  In case of repeated offenses, fines can double (they are capped at USD170</w:t>
      </w:r>
      <w:proofErr w:type="gramStart"/>
      <w:r w:rsidRPr="00085FB9">
        <w:rPr>
          <w:szCs w:val="22"/>
          <w:lang w:val="en-US"/>
        </w:rPr>
        <w:t>,000</w:t>
      </w:r>
      <w:proofErr w:type="gramEnd"/>
      <w:r w:rsidRPr="00085FB9">
        <w:rPr>
          <w:szCs w:val="22"/>
          <w:lang w:val="en-US"/>
        </w:rPr>
        <w:t xml:space="preserve">).  Both compensatory damages and the payment of reasonable attorney and court costs are available.  All </w:t>
      </w:r>
      <w:r w:rsidRPr="00085FB9">
        <w:rPr>
          <w:szCs w:val="22"/>
          <w:lang w:val="en-US" w:eastAsia="es-CL"/>
        </w:rPr>
        <w:t xml:space="preserve">material that </w:t>
      </w:r>
      <w:r w:rsidRPr="00085FB9">
        <w:rPr>
          <w:szCs w:val="22"/>
          <w:lang w:val="en-US"/>
        </w:rPr>
        <w:t>enabled infringement as well as all infringing goods can be seized and destroyed.</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b/>
          <w:bCs/>
          <w:i/>
          <w:szCs w:val="22"/>
          <w:lang w:val="en-US"/>
        </w:rPr>
      </w:pPr>
      <w:r w:rsidRPr="00085FB9">
        <w:rPr>
          <w:b/>
          <w:bCs/>
          <w:i/>
          <w:szCs w:val="22"/>
          <w:lang w:val="en-US"/>
        </w:rPr>
        <w:t>Civil Enforcement</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 xml:space="preserve">The holder of an infringed IP right can, in all cases, file a civil claim requesting: </w:t>
      </w:r>
    </w:p>
    <w:p w:rsidR="00085FB9" w:rsidRPr="00085FB9" w:rsidRDefault="00085FB9" w:rsidP="00085FB9">
      <w:pPr>
        <w:autoSpaceDE w:val="0"/>
        <w:autoSpaceDN w:val="0"/>
        <w:adjustRightInd w:val="0"/>
        <w:rPr>
          <w:szCs w:val="22"/>
          <w:lang w:val="en-US"/>
        </w:rPr>
      </w:pPr>
    </w:p>
    <w:p w:rsidR="00085FB9" w:rsidRPr="00085FB9" w:rsidRDefault="00085FB9" w:rsidP="004C3144">
      <w:pPr>
        <w:numPr>
          <w:ilvl w:val="0"/>
          <w:numId w:val="13"/>
        </w:numPr>
        <w:ind w:left="714" w:hanging="357"/>
        <w:contextualSpacing/>
        <w:rPr>
          <w:szCs w:val="22"/>
          <w:lang w:val="en-US"/>
        </w:rPr>
      </w:pPr>
      <w:r w:rsidRPr="00085FB9">
        <w:rPr>
          <w:szCs w:val="22"/>
          <w:lang w:val="en-US"/>
        </w:rPr>
        <w:t>the cessation of the infringing acts;</w:t>
      </w:r>
    </w:p>
    <w:p w:rsidR="00085FB9" w:rsidRPr="00085FB9" w:rsidRDefault="00085FB9" w:rsidP="004C3144">
      <w:pPr>
        <w:numPr>
          <w:ilvl w:val="0"/>
          <w:numId w:val="13"/>
        </w:numPr>
        <w:ind w:left="714" w:hanging="357"/>
        <w:contextualSpacing/>
        <w:rPr>
          <w:szCs w:val="22"/>
          <w:lang w:val="en-US"/>
        </w:rPr>
      </w:pPr>
      <w:r w:rsidRPr="00085FB9">
        <w:rPr>
          <w:szCs w:val="22"/>
          <w:lang w:val="en-US"/>
        </w:rPr>
        <w:t>the adoption of measures to prevent the continuation of the infringing acts;</w:t>
      </w:r>
    </w:p>
    <w:p w:rsidR="00085FB9" w:rsidRPr="00085FB9" w:rsidRDefault="00085FB9" w:rsidP="004C3144">
      <w:pPr>
        <w:numPr>
          <w:ilvl w:val="0"/>
          <w:numId w:val="13"/>
        </w:numPr>
        <w:ind w:left="714" w:hanging="357"/>
        <w:contextualSpacing/>
        <w:rPr>
          <w:szCs w:val="22"/>
          <w:lang w:val="en-US"/>
        </w:rPr>
      </w:pPr>
      <w:proofErr w:type="gramStart"/>
      <w:r w:rsidRPr="00085FB9">
        <w:rPr>
          <w:szCs w:val="22"/>
          <w:lang w:val="en-US"/>
        </w:rPr>
        <w:t>publication</w:t>
      </w:r>
      <w:proofErr w:type="gramEnd"/>
      <w:r w:rsidRPr="00085FB9">
        <w:rPr>
          <w:szCs w:val="22"/>
          <w:lang w:val="en-US"/>
        </w:rPr>
        <w:t xml:space="preserve"> of the judgment at the expense of the losing party in a newspaper chosen by the winning party.</w:t>
      </w:r>
      <w:r w:rsidRPr="00085FB9">
        <w:rPr>
          <w:szCs w:val="22"/>
          <w:vertAlign w:val="superscript"/>
          <w:lang w:val="en-US"/>
        </w:rPr>
        <w:footnoteReference w:id="39"/>
      </w:r>
      <w:r w:rsidRPr="00085FB9">
        <w:rPr>
          <w:szCs w:val="22"/>
          <w:lang w:val="en-US"/>
        </w:rPr>
        <w:t xml:space="preserve"> </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br w:type="page"/>
      </w:r>
      <w:r w:rsidRPr="00085FB9">
        <w:rPr>
          <w:szCs w:val="22"/>
          <w:lang w:val="en-US"/>
        </w:rPr>
        <w:lastRenderedPageBreak/>
        <w:t>Damages can be calculated based on tort law or by determining them through a) lost profits, b) profits earned by the infringer as a result of the infringing acts, or c) forgone royalties.</w:t>
      </w:r>
      <w:r w:rsidRPr="00085FB9">
        <w:rPr>
          <w:szCs w:val="22"/>
          <w:vertAlign w:val="superscript"/>
          <w:lang w:val="en-US"/>
        </w:rPr>
        <w:footnoteReference w:id="40"/>
      </w:r>
      <w:r w:rsidRPr="00085FB9">
        <w:rPr>
          <w:szCs w:val="22"/>
          <w:lang w:val="en-US"/>
        </w:rPr>
        <w:t xml:space="preserve"> </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 xml:space="preserve">According to the law, entities that produce or market infringing products are liable for damages only if they are aware of the fact that they are infringing an IP right. </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Civil remedies, except for those considered as “restitution actions” can be obtained in criminal procedures.  This and the fact that criminal procedures are generally faster and carried through by a government prosecutor (with or without the help of a private attorney)</w:t>
      </w:r>
      <w:proofErr w:type="gramStart"/>
      <w:r w:rsidRPr="00085FB9">
        <w:rPr>
          <w:szCs w:val="22"/>
          <w:lang w:val="en-US"/>
        </w:rPr>
        <w:t>,</w:t>
      </w:r>
      <w:proofErr w:type="gramEnd"/>
      <w:r w:rsidRPr="00085FB9">
        <w:rPr>
          <w:szCs w:val="22"/>
          <w:lang w:val="en-US"/>
        </w:rPr>
        <w:t xml:space="preserve"> make criminal claims more common than civil claims.</w:t>
      </w:r>
    </w:p>
    <w:p w:rsidR="00085FB9" w:rsidRPr="00085FB9" w:rsidRDefault="00085FB9" w:rsidP="00085FB9">
      <w:pPr>
        <w:autoSpaceDE w:val="0"/>
        <w:autoSpaceDN w:val="0"/>
        <w:adjustRightInd w:val="0"/>
        <w:rPr>
          <w:szCs w:val="22"/>
          <w:lang w:val="en-US"/>
        </w:rPr>
      </w:pPr>
    </w:p>
    <w:p w:rsidR="00085FB9" w:rsidRPr="00085FB9" w:rsidRDefault="00085FB9" w:rsidP="00085FB9">
      <w:pPr>
        <w:rPr>
          <w:b/>
          <w:bCs/>
          <w:szCs w:val="22"/>
          <w:lang w:val="en-US"/>
        </w:rPr>
      </w:pPr>
      <w:bookmarkStart w:id="22" w:name="_Toc352163333"/>
      <w:r w:rsidRPr="00085FB9">
        <w:rPr>
          <w:b/>
          <w:iCs/>
          <w:szCs w:val="22"/>
          <w:lang w:val="en-US"/>
        </w:rPr>
        <w:t>Appendix 1.3:  Restrictions on Patentability</w:t>
      </w:r>
      <w:bookmarkEnd w:id="22"/>
      <w:r w:rsidRPr="00085FB9">
        <w:rPr>
          <w:b/>
          <w:bCs/>
          <w:szCs w:val="22"/>
          <w:vertAlign w:val="superscript"/>
        </w:rPr>
        <w:footnoteReference w:id="41"/>
      </w:r>
      <w:r w:rsidRPr="00085FB9">
        <w:rPr>
          <w:b/>
          <w:bCs/>
          <w:szCs w:val="22"/>
          <w:lang w:val="en-US"/>
        </w:rPr>
        <w:t xml:space="preserve"> </w:t>
      </w:r>
    </w:p>
    <w:p w:rsidR="00085FB9" w:rsidRPr="00085FB9" w:rsidRDefault="00085FB9" w:rsidP="00085FB9">
      <w:pPr>
        <w:ind w:left="720"/>
        <w:contextualSpacing/>
        <w:rPr>
          <w:rFonts w:eastAsia="MS Mincho"/>
          <w:szCs w:val="22"/>
          <w:lang w:val="en-US" w:eastAsia="en-US"/>
        </w:rPr>
      </w:pPr>
    </w:p>
    <w:p w:rsidR="00085FB9" w:rsidRPr="00085FB9" w:rsidRDefault="00085FB9" w:rsidP="00085FB9">
      <w:pPr>
        <w:contextualSpacing/>
        <w:rPr>
          <w:rFonts w:eastAsia="MS Mincho"/>
          <w:szCs w:val="22"/>
          <w:lang w:val="en-US" w:eastAsia="en-US"/>
        </w:rPr>
      </w:pPr>
      <w:r w:rsidRPr="00085FB9">
        <w:rPr>
          <w:rFonts w:eastAsia="MS Mincho"/>
          <w:szCs w:val="22"/>
          <w:lang w:val="en-US" w:eastAsia="en-US"/>
        </w:rPr>
        <w:t xml:space="preserve">According to </w:t>
      </w:r>
      <w:smartTag w:uri="urn:schemas-microsoft-com:office:smarttags" w:element="place">
        <w:smartTag w:uri="urn:schemas-microsoft-com:office:smarttags" w:element="country-region">
          <w:r w:rsidRPr="00085FB9">
            <w:rPr>
              <w:rFonts w:eastAsia="MS Mincho"/>
              <w:szCs w:val="22"/>
              <w:lang w:val="en-US" w:eastAsia="en-US"/>
            </w:rPr>
            <w:t>Chile</w:t>
          </w:r>
        </w:smartTag>
      </w:smartTag>
      <w:r w:rsidRPr="00085FB9">
        <w:rPr>
          <w:rFonts w:eastAsia="MS Mincho"/>
          <w:szCs w:val="22"/>
          <w:lang w:val="en-US" w:eastAsia="en-US"/>
        </w:rPr>
        <w:t xml:space="preserve">’s Industrial Property Law, inventions, in all technical fields can be protected if they are new, involve an inventive step and are capable of industrial application.  Patent protection lasts for 20 years from the date of application and can be extended in cases of unreasonable delays in the examination process. </w:t>
      </w:r>
    </w:p>
    <w:p w:rsidR="00085FB9" w:rsidRPr="00085FB9" w:rsidRDefault="00085FB9" w:rsidP="00085FB9">
      <w:pPr>
        <w:contextualSpacing/>
        <w:rPr>
          <w:rFonts w:eastAsia="MS Mincho"/>
          <w:szCs w:val="22"/>
          <w:lang w:val="en-US" w:eastAsia="en-US"/>
        </w:rPr>
      </w:pPr>
    </w:p>
    <w:p w:rsidR="00085FB9" w:rsidRPr="00085FB9" w:rsidRDefault="00085FB9" w:rsidP="00085FB9">
      <w:pPr>
        <w:contextualSpacing/>
        <w:rPr>
          <w:rFonts w:eastAsia="MS Mincho"/>
          <w:szCs w:val="22"/>
          <w:lang w:val="en-US" w:eastAsia="en-US"/>
        </w:rPr>
      </w:pPr>
      <w:r w:rsidRPr="00085FB9">
        <w:rPr>
          <w:rFonts w:eastAsia="MS Mincho"/>
          <w:szCs w:val="22"/>
          <w:lang w:val="en-US" w:eastAsia="en-US"/>
        </w:rPr>
        <w:t>Patents cannot be obtained for:</w:t>
      </w:r>
    </w:p>
    <w:p w:rsidR="00085FB9" w:rsidRPr="00085FB9" w:rsidRDefault="00085FB9" w:rsidP="00085FB9">
      <w:pPr>
        <w:ind w:left="720"/>
        <w:contextualSpacing/>
        <w:rPr>
          <w:rFonts w:eastAsia="MS Mincho"/>
          <w:szCs w:val="22"/>
          <w:lang w:val="en-US" w:eastAsia="en-US"/>
        </w:rPr>
      </w:pPr>
    </w:p>
    <w:p w:rsidR="00085FB9" w:rsidRPr="00085FB9" w:rsidRDefault="00085FB9" w:rsidP="004C3144">
      <w:pPr>
        <w:numPr>
          <w:ilvl w:val="0"/>
          <w:numId w:val="14"/>
        </w:numPr>
        <w:ind w:left="714" w:hanging="357"/>
        <w:contextualSpacing/>
        <w:rPr>
          <w:rFonts w:eastAsia="MS Mincho"/>
          <w:szCs w:val="22"/>
          <w:lang w:val="en-US" w:eastAsia="en-US"/>
        </w:rPr>
      </w:pPr>
      <w:r w:rsidRPr="00085FB9">
        <w:rPr>
          <w:rFonts w:eastAsia="MS Mincho"/>
          <w:szCs w:val="22"/>
          <w:lang w:val="en-US" w:eastAsia="en-US"/>
        </w:rPr>
        <w:t>Discoveries, scientific theories and mathematical methods.</w:t>
      </w:r>
    </w:p>
    <w:p w:rsidR="00085FB9" w:rsidRPr="00085FB9" w:rsidRDefault="00085FB9" w:rsidP="004C3144">
      <w:pPr>
        <w:numPr>
          <w:ilvl w:val="0"/>
          <w:numId w:val="14"/>
        </w:numPr>
        <w:ind w:left="714" w:hanging="357"/>
        <w:contextualSpacing/>
        <w:rPr>
          <w:rFonts w:eastAsia="MS Mincho"/>
          <w:szCs w:val="22"/>
          <w:lang w:val="en-US" w:eastAsia="en-US"/>
        </w:rPr>
      </w:pPr>
      <w:r w:rsidRPr="00085FB9">
        <w:rPr>
          <w:rFonts w:eastAsia="MS Mincho"/>
          <w:szCs w:val="22"/>
          <w:lang w:val="en-US" w:eastAsia="en-US"/>
        </w:rPr>
        <w:t>Plant varieties (although protection is granted through a plant variety protection system in accordance with UPOV 91) and animal breeds.</w:t>
      </w:r>
    </w:p>
    <w:p w:rsidR="00085FB9" w:rsidRPr="00085FB9" w:rsidRDefault="00085FB9" w:rsidP="004C3144">
      <w:pPr>
        <w:numPr>
          <w:ilvl w:val="0"/>
          <w:numId w:val="14"/>
        </w:numPr>
        <w:ind w:left="714" w:hanging="357"/>
        <w:contextualSpacing/>
        <w:rPr>
          <w:rFonts w:eastAsia="MS Mincho"/>
          <w:szCs w:val="22"/>
          <w:lang w:val="en-US" w:eastAsia="en-US"/>
        </w:rPr>
      </w:pPr>
      <w:r w:rsidRPr="00085FB9">
        <w:rPr>
          <w:rFonts w:eastAsia="MS Mincho"/>
          <w:szCs w:val="22"/>
          <w:lang w:val="en-US" w:eastAsia="en-US"/>
        </w:rPr>
        <w:t xml:space="preserve">Economic and mental methods related to purely mental or intellectual activities or to games. </w:t>
      </w:r>
    </w:p>
    <w:p w:rsidR="00085FB9" w:rsidRPr="00085FB9" w:rsidRDefault="00085FB9" w:rsidP="004C3144">
      <w:pPr>
        <w:numPr>
          <w:ilvl w:val="0"/>
          <w:numId w:val="14"/>
        </w:numPr>
        <w:ind w:left="714" w:hanging="357"/>
        <w:contextualSpacing/>
        <w:rPr>
          <w:rFonts w:eastAsia="MS Mincho"/>
          <w:szCs w:val="22"/>
          <w:lang w:val="en-US" w:eastAsia="en-US"/>
        </w:rPr>
      </w:pPr>
      <w:r w:rsidRPr="00085FB9">
        <w:rPr>
          <w:rFonts w:eastAsia="MS Mincho"/>
          <w:szCs w:val="22"/>
          <w:lang w:val="en-US" w:eastAsia="en-US"/>
        </w:rPr>
        <w:t>Methods of surgical or therapeutic treatment of the human body or animals, as well as diagnostic methods, except for products intended to implement one of these methods.</w:t>
      </w:r>
    </w:p>
    <w:p w:rsidR="00085FB9" w:rsidRPr="00085FB9" w:rsidRDefault="00085FB9" w:rsidP="004C3144">
      <w:pPr>
        <w:numPr>
          <w:ilvl w:val="0"/>
          <w:numId w:val="14"/>
        </w:numPr>
        <w:ind w:left="714" w:hanging="357"/>
        <w:contextualSpacing/>
        <w:rPr>
          <w:rFonts w:eastAsia="MS Mincho"/>
          <w:szCs w:val="22"/>
          <w:lang w:val="en-US" w:eastAsia="en-US"/>
        </w:rPr>
      </w:pPr>
      <w:r w:rsidRPr="00085FB9">
        <w:rPr>
          <w:rFonts w:eastAsia="MS Mincho"/>
          <w:szCs w:val="22"/>
          <w:lang w:val="en-US" w:eastAsia="en-US"/>
        </w:rPr>
        <w:t xml:space="preserve">Inventions contrary to the law, </w:t>
      </w:r>
      <w:proofErr w:type="spellStart"/>
      <w:r w:rsidRPr="00085FB9">
        <w:rPr>
          <w:rFonts w:eastAsia="MS Mincho"/>
          <w:i/>
          <w:szCs w:val="22"/>
          <w:lang w:val="en-US" w:eastAsia="en-US"/>
        </w:rPr>
        <w:t>ordre</w:t>
      </w:r>
      <w:proofErr w:type="spellEnd"/>
      <w:r w:rsidRPr="00085FB9">
        <w:rPr>
          <w:rFonts w:eastAsia="MS Mincho"/>
          <w:i/>
          <w:szCs w:val="22"/>
          <w:lang w:val="en-US" w:eastAsia="en-US"/>
        </w:rPr>
        <w:t xml:space="preserve"> </w:t>
      </w:r>
      <w:proofErr w:type="spellStart"/>
      <w:r w:rsidRPr="00085FB9">
        <w:rPr>
          <w:rFonts w:eastAsia="MS Mincho"/>
          <w:i/>
          <w:szCs w:val="22"/>
          <w:lang w:val="en-US" w:eastAsia="en-US"/>
        </w:rPr>
        <w:t>publique</w:t>
      </w:r>
      <w:proofErr w:type="spellEnd"/>
      <w:r w:rsidRPr="00085FB9">
        <w:rPr>
          <w:rFonts w:eastAsia="MS Mincho"/>
          <w:szCs w:val="22"/>
          <w:lang w:val="en-US" w:eastAsia="en-US"/>
        </w:rPr>
        <w:t>, and national security.  The 2005 amendment also excluded all those inventions that harmful to health, the environment and the life of persons, animals and vegetables.</w:t>
      </w:r>
    </w:p>
    <w:p w:rsidR="00085FB9" w:rsidRPr="00085FB9" w:rsidRDefault="00085FB9" w:rsidP="004C3144">
      <w:pPr>
        <w:numPr>
          <w:ilvl w:val="0"/>
          <w:numId w:val="14"/>
        </w:numPr>
        <w:ind w:left="714" w:hanging="357"/>
        <w:contextualSpacing/>
        <w:rPr>
          <w:rFonts w:eastAsia="MS Mincho"/>
          <w:szCs w:val="22"/>
          <w:lang w:val="en-US" w:eastAsia="en-US"/>
        </w:rPr>
      </w:pPr>
      <w:r w:rsidRPr="00085FB9">
        <w:rPr>
          <w:rFonts w:eastAsia="MS Mincho"/>
          <w:szCs w:val="22"/>
          <w:lang w:val="en-US" w:eastAsia="en-US"/>
        </w:rPr>
        <w:t>A new use unless it solves a technical problem with no prior equivalent solution and the invention is physically modified to achieve this solution.</w:t>
      </w:r>
    </w:p>
    <w:p w:rsidR="00085FB9" w:rsidRPr="00085FB9" w:rsidRDefault="00085FB9" w:rsidP="004C3144">
      <w:pPr>
        <w:numPr>
          <w:ilvl w:val="0"/>
          <w:numId w:val="14"/>
        </w:numPr>
        <w:ind w:left="714" w:hanging="357"/>
        <w:contextualSpacing/>
        <w:rPr>
          <w:rFonts w:eastAsia="MS Mincho"/>
          <w:szCs w:val="22"/>
          <w:lang w:val="en-US" w:eastAsia="en-US"/>
        </w:rPr>
      </w:pPr>
      <w:r w:rsidRPr="00085FB9">
        <w:rPr>
          <w:rFonts w:eastAsia="MS Mincho"/>
          <w:szCs w:val="22"/>
          <w:lang w:val="en-US" w:eastAsia="en-US"/>
        </w:rPr>
        <w:t>Living organisms as found in nature and biological material as found in nature even if isolated. Procedures using biological material that is properly disclosed are patentable.</w:t>
      </w:r>
    </w:p>
    <w:p w:rsidR="00085FB9" w:rsidRPr="00085FB9" w:rsidRDefault="00085FB9" w:rsidP="00085FB9">
      <w:pPr>
        <w:ind w:left="720"/>
        <w:contextualSpacing/>
        <w:rPr>
          <w:rFonts w:eastAsia="MS Mincho"/>
          <w:szCs w:val="22"/>
          <w:lang w:val="en-US" w:eastAsia="en-US"/>
        </w:rPr>
      </w:pPr>
    </w:p>
    <w:p w:rsidR="00085FB9" w:rsidRPr="00085FB9" w:rsidRDefault="00085FB9" w:rsidP="00085FB9">
      <w:pPr>
        <w:rPr>
          <w:b/>
          <w:bCs/>
          <w:i/>
          <w:szCs w:val="22"/>
          <w:lang w:val="en-US"/>
        </w:rPr>
      </w:pPr>
      <w:r w:rsidRPr="00085FB9">
        <w:rPr>
          <w:b/>
          <w:bCs/>
          <w:i/>
          <w:szCs w:val="22"/>
          <w:lang w:val="en-US"/>
        </w:rPr>
        <w:t>Relevant modifications to the patents system</w:t>
      </w:r>
    </w:p>
    <w:p w:rsidR="00085FB9" w:rsidRPr="00085FB9" w:rsidRDefault="00085FB9" w:rsidP="00085FB9">
      <w:pPr>
        <w:rPr>
          <w:szCs w:val="22"/>
          <w:lang w:val="en-US"/>
        </w:rPr>
      </w:pPr>
    </w:p>
    <w:p w:rsidR="00085FB9" w:rsidRPr="00085FB9" w:rsidRDefault="00085FB9" w:rsidP="00085FB9">
      <w:pPr>
        <w:rPr>
          <w:szCs w:val="22"/>
          <w:lang w:val="en-US"/>
        </w:rPr>
      </w:pPr>
      <w:r w:rsidRPr="00085FB9">
        <w:rPr>
          <w:szCs w:val="22"/>
          <w:lang w:val="en-US"/>
        </w:rPr>
        <w:t xml:space="preserve">Since its enactment, the Industrial Property law has undergone two major amendments, which adapted the national legislation to the standards set forth in the TRIPS Agreement and several Free Trade Agreements signed by </w:t>
      </w:r>
      <w:smartTag w:uri="urn:schemas-microsoft-com:office:smarttags" w:element="country-region">
        <w:smartTag w:uri="urn:schemas-microsoft-com:office:smarttags" w:element="place">
          <w:r w:rsidRPr="00085FB9">
            <w:rPr>
              <w:szCs w:val="22"/>
              <w:lang w:val="en-US"/>
            </w:rPr>
            <w:t>Chile</w:t>
          </w:r>
        </w:smartTag>
      </w:smartTag>
      <w:r w:rsidRPr="00085FB9">
        <w:rPr>
          <w:szCs w:val="22"/>
          <w:lang w:val="en-US"/>
        </w:rPr>
        <w:t>.</w:t>
      </w:r>
    </w:p>
    <w:p w:rsidR="00085FB9" w:rsidRPr="00085FB9" w:rsidRDefault="00085FB9" w:rsidP="00085FB9">
      <w:pPr>
        <w:ind w:firstLine="360"/>
        <w:rPr>
          <w:b/>
          <w:szCs w:val="22"/>
          <w:lang w:val="en-US"/>
        </w:rPr>
      </w:pPr>
    </w:p>
    <w:p w:rsidR="00085FB9" w:rsidRPr="00085FB9" w:rsidRDefault="00085FB9" w:rsidP="00085FB9">
      <w:pPr>
        <w:rPr>
          <w:b/>
          <w:bCs/>
          <w:szCs w:val="22"/>
          <w:lang w:val="en-US"/>
        </w:rPr>
      </w:pPr>
      <w:r w:rsidRPr="00085FB9">
        <w:rPr>
          <w:i/>
          <w:szCs w:val="22"/>
          <w:lang w:val="en-US"/>
        </w:rPr>
        <w:br w:type="page"/>
      </w:r>
      <w:r w:rsidRPr="00085FB9">
        <w:rPr>
          <w:b/>
          <w:bCs/>
          <w:i/>
          <w:szCs w:val="22"/>
          <w:lang w:val="en-US"/>
        </w:rPr>
        <w:lastRenderedPageBreak/>
        <w:t>The 2005 amendment</w:t>
      </w:r>
    </w:p>
    <w:p w:rsidR="00085FB9" w:rsidRPr="00085FB9" w:rsidRDefault="00085FB9" w:rsidP="00085FB9">
      <w:pPr>
        <w:rPr>
          <w:szCs w:val="22"/>
          <w:lang w:val="en-US"/>
        </w:rPr>
      </w:pPr>
    </w:p>
    <w:p w:rsidR="00085FB9" w:rsidRPr="00085FB9" w:rsidRDefault="00085FB9" w:rsidP="00085FB9">
      <w:pPr>
        <w:rPr>
          <w:szCs w:val="22"/>
          <w:lang w:val="en-US"/>
        </w:rPr>
      </w:pPr>
      <w:r w:rsidRPr="00085FB9">
        <w:rPr>
          <w:szCs w:val="22"/>
          <w:lang w:val="en-US"/>
        </w:rPr>
        <w:t>Although most of the standards set in the TRIPS Agreement where introduced in 1991 with the enactment of Law N° 19.039, some important changes were needed and approved in the 2005 amendment.  The following are the main modifications:</w:t>
      </w:r>
    </w:p>
    <w:p w:rsidR="00085FB9" w:rsidRPr="00085FB9" w:rsidRDefault="00085FB9" w:rsidP="00085FB9">
      <w:pPr>
        <w:rPr>
          <w:szCs w:val="22"/>
          <w:lang w:val="en-US"/>
        </w:rPr>
      </w:pPr>
    </w:p>
    <w:p w:rsidR="00085FB9" w:rsidRPr="00085FB9" w:rsidRDefault="00085FB9" w:rsidP="004C3144">
      <w:pPr>
        <w:numPr>
          <w:ilvl w:val="0"/>
          <w:numId w:val="15"/>
        </w:numPr>
        <w:ind w:left="714" w:hanging="357"/>
        <w:rPr>
          <w:szCs w:val="22"/>
          <w:lang w:val="en-US"/>
        </w:rPr>
      </w:pPr>
      <w:r w:rsidRPr="00085FB9">
        <w:rPr>
          <w:szCs w:val="22"/>
          <w:lang w:val="en-US"/>
        </w:rPr>
        <w:t>Period of protection:  until 2005, patents were granted for a period of 15 years from the date of grant.</w:t>
      </w:r>
    </w:p>
    <w:p w:rsidR="00085FB9" w:rsidRPr="00085FB9" w:rsidRDefault="00085FB9" w:rsidP="004C3144">
      <w:pPr>
        <w:numPr>
          <w:ilvl w:val="0"/>
          <w:numId w:val="15"/>
        </w:numPr>
        <w:ind w:left="714" w:hanging="357"/>
        <w:rPr>
          <w:szCs w:val="22"/>
          <w:lang w:val="en-US"/>
        </w:rPr>
      </w:pPr>
      <w:r w:rsidRPr="00085FB9">
        <w:rPr>
          <w:szCs w:val="22"/>
          <w:lang w:val="en-US"/>
        </w:rPr>
        <w:t>Elimination of pipeline patents: the 1991 law made patents available in all fields of technology, including pharmaceuticals.  Pipeline patens or “</w:t>
      </w:r>
      <w:proofErr w:type="spellStart"/>
      <w:r w:rsidRPr="00085FB9">
        <w:rPr>
          <w:szCs w:val="22"/>
          <w:lang w:val="en-US"/>
        </w:rPr>
        <w:t>revalidas</w:t>
      </w:r>
      <w:proofErr w:type="spellEnd"/>
      <w:r w:rsidRPr="00085FB9">
        <w:rPr>
          <w:szCs w:val="22"/>
          <w:lang w:val="en-US"/>
        </w:rPr>
        <w:t xml:space="preserve">” were allowed.  According to the law, and regardless of the date of priority, patents granted or pending in another jurisdiction could be filed in </w:t>
      </w:r>
      <w:smartTag w:uri="urn:schemas-microsoft-com:office:smarttags" w:element="place">
        <w:smartTag w:uri="urn:schemas-microsoft-com:office:smarttags" w:element="country-region">
          <w:r w:rsidRPr="00085FB9">
            <w:rPr>
              <w:szCs w:val="22"/>
              <w:lang w:val="en-US"/>
            </w:rPr>
            <w:t>Chile</w:t>
          </w:r>
        </w:smartTag>
      </w:smartTag>
      <w:r w:rsidRPr="00085FB9">
        <w:rPr>
          <w:szCs w:val="22"/>
          <w:lang w:val="en-US"/>
        </w:rPr>
        <w:t>, and granted for the remaining statutory validity period in the country of origin or 15 years from the date of approval whichever is shorter.  Pipeline patents were eliminated from the system in 2005.</w:t>
      </w:r>
    </w:p>
    <w:p w:rsidR="00085FB9" w:rsidRPr="00085FB9" w:rsidRDefault="00085FB9" w:rsidP="004C3144">
      <w:pPr>
        <w:numPr>
          <w:ilvl w:val="0"/>
          <w:numId w:val="15"/>
        </w:numPr>
        <w:ind w:left="714" w:hanging="357"/>
        <w:contextualSpacing/>
        <w:rPr>
          <w:rFonts w:eastAsia="MS Mincho"/>
          <w:szCs w:val="22"/>
          <w:lang w:val="en-US" w:eastAsia="en-US"/>
        </w:rPr>
      </w:pPr>
      <w:r w:rsidRPr="00085FB9">
        <w:rPr>
          <w:rFonts w:eastAsia="MS Mincho"/>
          <w:szCs w:val="22"/>
          <w:lang w:val="en-US" w:eastAsia="en-US"/>
        </w:rPr>
        <w:t>Elimination of so-called improvement patents:  prior to the 2005 amendment, patents were also granted for improvements to inventions, as long as they were new, well-known and relevant.  For improvements to be patented the authorization of the original inventor was required and the patent was granted only for the remaining lifetime of the original patent.</w:t>
      </w:r>
    </w:p>
    <w:p w:rsidR="00085FB9" w:rsidRPr="00085FB9" w:rsidRDefault="00085FB9" w:rsidP="004C3144">
      <w:pPr>
        <w:numPr>
          <w:ilvl w:val="0"/>
          <w:numId w:val="15"/>
        </w:numPr>
        <w:ind w:left="714" w:hanging="357"/>
        <w:contextualSpacing/>
        <w:rPr>
          <w:rFonts w:eastAsia="MS Mincho"/>
          <w:szCs w:val="22"/>
          <w:lang w:val="en-US" w:eastAsia="en-US"/>
        </w:rPr>
      </w:pPr>
      <w:r w:rsidRPr="00085FB9">
        <w:rPr>
          <w:rFonts w:eastAsia="MS Mincho"/>
          <w:szCs w:val="22"/>
          <w:lang w:val="en-US" w:eastAsia="en-US"/>
        </w:rPr>
        <w:t xml:space="preserve">Elimination of precautionary patents:  precautionary patents were granted for a period of one year in cases where public experimentation was required.  These patents were replaced by a grace period of one year.  The grace period applies to all public disclosures made or authorized by the inventor or as a consequence of unfair practices. </w:t>
      </w:r>
    </w:p>
    <w:p w:rsidR="00085FB9" w:rsidRPr="00085FB9" w:rsidRDefault="00085FB9" w:rsidP="004C3144">
      <w:pPr>
        <w:numPr>
          <w:ilvl w:val="0"/>
          <w:numId w:val="15"/>
        </w:numPr>
        <w:ind w:left="714" w:hanging="357"/>
        <w:rPr>
          <w:szCs w:val="22"/>
          <w:lang w:val="en-US"/>
        </w:rPr>
      </w:pPr>
      <w:r w:rsidRPr="00085FB9">
        <w:rPr>
          <w:szCs w:val="22"/>
          <w:lang w:val="en-US"/>
        </w:rPr>
        <w:t>International exhaustion:  the 2005 amendment introduced the possibility of parallel imports, giving continuity to the international exhaustion doctrine that had been applied by the antitrust authorities.</w:t>
      </w:r>
    </w:p>
    <w:p w:rsidR="00085FB9" w:rsidRPr="00085FB9" w:rsidRDefault="00085FB9" w:rsidP="004C3144">
      <w:pPr>
        <w:numPr>
          <w:ilvl w:val="0"/>
          <w:numId w:val="15"/>
        </w:numPr>
        <w:ind w:left="714" w:hanging="357"/>
        <w:rPr>
          <w:szCs w:val="22"/>
          <w:lang w:val="en-US"/>
        </w:rPr>
      </w:pPr>
      <w:r w:rsidRPr="00085FB9">
        <w:rPr>
          <w:szCs w:val="22"/>
          <w:lang w:val="en-US"/>
        </w:rPr>
        <w:t>Compulsory licenses:  rules regarding compulsory licenses where introduced to reflecting the provisions of the TRIPS Agreement.</w:t>
      </w:r>
    </w:p>
    <w:p w:rsidR="00085FB9" w:rsidRPr="00085FB9" w:rsidRDefault="00085FB9" w:rsidP="004C3144">
      <w:pPr>
        <w:numPr>
          <w:ilvl w:val="0"/>
          <w:numId w:val="15"/>
        </w:numPr>
        <w:ind w:left="714" w:hanging="357"/>
        <w:rPr>
          <w:szCs w:val="22"/>
          <w:lang w:val="en-US"/>
        </w:rPr>
      </w:pPr>
      <w:r w:rsidRPr="00085FB9">
        <w:rPr>
          <w:szCs w:val="22"/>
          <w:lang w:val="en-US"/>
        </w:rPr>
        <w:t>Revocation procedures:  the 2005 amendment reduced the time to file a claim for revocation from 10 to 5 years since the date of grant.</w:t>
      </w:r>
    </w:p>
    <w:p w:rsidR="00085FB9" w:rsidRPr="00085FB9" w:rsidRDefault="00085FB9" w:rsidP="00085FB9">
      <w:pPr>
        <w:ind w:left="720"/>
        <w:rPr>
          <w:szCs w:val="22"/>
          <w:lang w:val="en-US"/>
        </w:rPr>
      </w:pPr>
    </w:p>
    <w:p w:rsidR="00085FB9" w:rsidRPr="00085FB9" w:rsidRDefault="00085FB9" w:rsidP="00085FB9">
      <w:pPr>
        <w:ind w:firstLine="360"/>
        <w:rPr>
          <w:b/>
          <w:bCs/>
          <w:i/>
          <w:szCs w:val="22"/>
          <w:lang w:val="en-US"/>
        </w:rPr>
      </w:pPr>
      <w:r w:rsidRPr="00085FB9">
        <w:rPr>
          <w:b/>
          <w:bCs/>
          <w:i/>
          <w:szCs w:val="22"/>
          <w:lang w:val="en-US"/>
        </w:rPr>
        <w:t>The 2007 amendment</w:t>
      </w:r>
    </w:p>
    <w:p w:rsidR="00085FB9" w:rsidRPr="00085FB9" w:rsidRDefault="00085FB9" w:rsidP="00085FB9">
      <w:pPr>
        <w:ind w:firstLine="360"/>
        <w:rPr>
          <w:iCs/>
          <w:szCs w:val="22"/>
          <w:lang w:val="en-US"/>
        </w:rPr>
      </w:pPr>
    </w:p>
    <w:p w:rsidR="00085FB9" w:rsidRPr="00085FB9" w:rsidRDefault="00085FB9" w:rsidP="004C3144">
      <w:pPr>
        <w:numPr>
          <w:ilvl w:val="0"/>
          <w:numId w:val="16"/>
        </w:numPr>
        <w:contextualSpacing/>
        <w:rPr>
          <w:rFonts w:eastAsia="MS Mincho"/>
          <w:szCs w:val="22"/>
          <w:lang w:val="en-US" w:eastAsia="en-US"/>
        </w:rPr>
      </w:pPr>
      <w:r w:rsidRPr="00085FB9">
        <w:rPr>
          <w:rFonts w:eastAsia="MS Mincho"/>
          <w:szCs w:val="22"/>
          <w:lang w:val="en-US" w:eastAsia="en-US"/>
        </w:rPr>
        <w:t xml:space="preserve">The 2007 amendment included extensions of the patent term for unreasonable delays in the processing of a patent application or in the processing of a sanitary permit for pharmaceutical products protected by a patent.  Extensions are available to all patents, for all unjustified delays provided that the granting of the patent occurs 5 years after the filing date, or the request for examination occurs </w:t>
      </w:r>
      <w:r w:rsidRPr="00085FB9">
        <w:rPr>
          <w:rFonts w:eastAsia="MS Mincho"/>
          <w:szCs w:val="22"/>
          <w:lang w:val="en-US" w:eastAsia="en-US"/>
        </w:rPr>
        <w:br/>
        <w:t xml:space="preserve">3 years after the filing date.  The </w:t>
      </w:r>
      <w:smartTag w:uri="urn:schemas-microsoft-com:office:smarttags" w:element="Street">
        <w:smartTag w:uri="urn:schemas-microsoft-com:office:smarttags" w:element="address">
          <w:r w:rsidRPr="00085FB9">
            <w:rPr>
              <w:rFonts w:eastAsia="MS Mincho"/>
              <w:szCs w:val="22"/>
              <w:lang w:val="en-US" w:eastAsia="en-US"/>
            </w:rPr>
            <w:t>Industrial Court</w:t>
          </w:r>
        </w:smartTag>
      </w:smartTag>
      <w:r w:rsidRPr="00085FB9">
        <w:rPr>
          <w:rFonts w:eastAsia="MS Mincho"/>
          <w:szCs w:val="22"/>
          <w:lang w:val="en-US" w:eastAsia="en-US"/>
        </w:rPr>
        <w:t xml:space="preserve"> is responsible for deciding on such unjustified delays on a case by case basis.  The </w:t>
      </w:r>
      <w:smartTag w:uri="urn:schemas-microsoft-com:office:smarttags" w:element="Street">
        <w:smartTag w:uri="urn:schemas-microsoft-com:office:smarttags" w:element="address">
          <w:r w:rsidRPr="00085FB9">
            <w:rPr>
              <w:rFonts w:eastAsia="MS Mincho"/>
              <w:szCs w:val="22"/>
              <w:lang w:val="en-US" w:eastAsia="en-US"/>
            </w:rPr>
            <w:t>Industrial Court</w:t>
          </w:r>
        </w:smartTag>
      </w:smartTag>
      <w:r w:rsidRPr="00085FB9">
        <w:rPr>
          <w:rFonts w:eastAsia="MS Mincho"/>
          <w:szCs w:val="22"/>
          <w:lang w:val="en-US" w:eastAsia="en-US"/>
        </w:rPr>
        <w:t xml:space="preserve"> is a court of first instance, whose decisions can be appealed.</w:t>
      </w:r>
    </w:p>
    <w:p w:rsidR="00085FB9" w:rsidRPr="00085FB9" w:rsidRDefault="00085FB9" w:rsidP="004C3144">
      <w:pPr>
        <w:numPr>
          <w:ilvl w:val="0"/>
          <w:numId w:val="16"/>
        </w:numPr>
        <w:contextualSpacing/>
        <w:rPr>
          <w:rFonts w:eastAsia="MS Mincho"/>
          <w:szCs w:val="22"/>
          <w:lang w:val="en-US" w:eastAsia="en-US"/>
        </w:rPr>
      </w:pPr>
      <w:r w:rsidRPr="00085FB9">
        <w:rPr>
          <w:rFonts w:eastAsia="MS Mincho"/>
          <w:szCs w:val="22"/>
          <w:lang w:val="en-US" w:eastAsia="en-US"/>
        </w:rPr>
        <w:t xml:space="preserve">The 2007 amendment introduced a so-called </w:t>
      </w:r>
      <w:proofErr w:type="spellStart"/>
      <w:r w:rsidRPr="00085FB9">
        <w:rPr>
          <w:rFonts w:eastAsia="MS Mincho"/>
          <w:szCs w:val="22"/>
          <w:lang w:val="en-US" w:eastAsia="en-US"/>
        </w:rPr>
        <w:t>Bolar</w:t>
      </w:r>
      <w:proofErr w:type="spellEnd"/>
      <w:r w:rsidRPr="00085FB9">
        <w:rPr>
          <w:rFonts w:eastAsia="MS Mincho"/>
          <w:szCs w:val="22"/>
          <w:lang w:val="en-US" w:eastAsia="en-US"/>
        </w:rPr>
        <w:t xml:space="preserve"> exemption.</w:t>
      </w:r>
    </w:p>
    <w:p w:rsidR="00085FB9" w:rsidRPr="00085FB9" w:rsidRDefault="00085FB9" w:rsidP="00085FB9">
      <w:pPr>
        <w:ind w:left="720"/>
        <w:contextualSpacing/>
        <w:rPr>
          <w:rFonts w:eastAsia="MS Mincho"/>
          <w:szCs w:val="22"/>
          <w:lang w:val="en-US" w:eastAsia="en-US"/>
        </w:rPr>
      </w:pPr>
    </w:p>
    <w:p w:rsidR="00085FB9" w:rsidRPr="00085FB9" w:rsidRDefault="00085FB9" w:rsidP="00085FB9">
      <w:pPr>
        <w:keepNext/>
        <w:outlineLvl w:val="1"/>
        <w:rPr>
          <w:b/>
          <w:iCs/>
          <w:caps/>
          <w:szCs w:val="22"/>
          <w:lang w:val="en-US"/>
        </w:rPr>
      </w:pPr>
      <w:bookmarkStart w:id="23" w:name="_Toc352163334"/>
      <w:r w:rsidRPr="00085FB9">
        <w:rPr>
          <w:bCs/>
          <w:iCs/>
          <w:szCs w:val="22"/>
          <w:lang w:val="en-US"/>
        </w:rPr>
        <w:br w:type="page"/>
      </w:r>
      <w:r w:rsidRPr="00085FB9">
        <w:rPr>
          <w:b/>
          <w:iCs/>
          <w:szCs w:val="22"/>
          <w:lang w:val="en-US"/>
        </w:rPr>
        <w:lastRenderedPageBreak/>
        <w:t xml:space="preserve">Appendix 1.4:  Application Procedure </w:t>
      </w:r>
      <w:proofErr w:type="spellStart"/>
      <w:r w:rsidRPr="00085FB9">
        <w:rPr>
          <w:b/>
          <w:iCs/>
          <w:szCs w:val="22"/>
          <w:lang w:val="en-US"/>
        </w:rPr>
        <w:t>gor</w:t>
      </w:r>
      <w:proofErr w:type="spellEnd"/>
      <w:r w:rsidRPr="00085FB9">
        <w:rPr>
          <w:b/>
          <w:iCs/>
          <w:szCs w:val="22"/>
          <w:lang w:val="en-US"/>
        </w:rPr>
        <w:t xml:space="preserve"> Patents, Utility Models, Industrial Designs, Drawings </w:t>
      </w:r>
      <w:proofErr w:type="spellStart"/>
      <w:r w:rsidRPr="00085FB9">
        <w:rPr>
          <w:b/>
          <w:iCs/>
          <w:szCs w:val="22"/>
          <w:lang w:val="en-US"/>
        </w:rPr>
        <w:t>znd</w:t>
      </w:r>
      <w:proofErr w:type="spellEnd"/>
      <w:r w:rsidRPr="00085FB9">
        <w:rPr>
          <w:b/>
          <w:iCs/>
          <w:szCs w:val="22"/>
          <w:lang w:val="en-US"/>
        </w:rPr>
        <w:t xml:space="preserve"> Integrated Circuit Topographies</w:t>
      </w:r>
      <w:bookmarkEnd w:id="23"/>
      <w:r w:rsidRPr="00085FB9">
        <w:rPr>
          <w:b/>
          <w:iCs/>
          <w:szCs w:val="22"/>
          <w:lang w:val="en-US"/>
        </w:rPr>
        <w:t xml:space="preserve"> </w:t>
      </w:r>
    </w:p>
    <w:p w:rsidR="00085FB9" w:rsidRPr="00085FB9" w:rsidRDefault="00085FB9" w:rsidP="00085FB9">
      <w:pPr>
        <w:rPr>
          <w:bCs/>
          <w:szCs w:val="22"/>
          <w:lang w:val="en-US"/>
        </w:rPr>
      </w:pPr>
    </w:p>
    <w:p w:rsidR="00085FB9" w:rsidRPr="00085FB9" w:rsidRDefault="00085FB9" w:rsidP="00085FB9">
      <w:pPr>
        <w:rPr>
          <w:rFonts w:eastAsia="Times New Roman"/>
          <w:b/>
          <w:bCs/>
          <w:i/>
          <w:szCs w:val="22"/>
          <w:lang w:val="en-US"/>
        </w:rPr>
      </w:pPr>
      <w:r w:rsidRPr="00085FB9">
        <w:rPr>
          <w:rFonts w:eastAsia="Times New Roman"/>
          <w:b/>
          <w:bCs/>
          <w:i/>
          <w:szCs w:val="22"/>
          <w:lang w:val="en-US"/>
        </w:rPr>
        <w:t>Application requirements</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 xml:space="preserve">There is a single application form for patents, utility models, industrial designs, drawings and integrated circuits.  In addition to this application form, the applicant must file a technical form, a descriptive report, the claims and if applicable technical drawings. </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The technical form must include a summary of the invention, its scope and the problem that it aims to solve.</w:t>
      </w:r>
      <w:r w:rsidRPr="00085FB9">
        <w:rPr>
          <w:bCs/>
          <w:szCs w:val="22"/>
          <w:vertAlign w:val="superscript"/>
          <w:lang w:val="en-US"/>
        </w:rPr>
        <w:footnoteReference w:id="42"/>
      </w:r>
      <w:r w:rsidRPr="00085FB9">
        <w:rPr>
          <w:bCs/>
          <w:szCs w:val="22"/>
          <w:lang w:val="en-US"/>
        </w:rPr>
        <w:t xml:space="preserve">  In the case of</w:t>
      </w:r>
      <w:r w:rsidRPr="00085FB9">
        <w:rPr>
          <w:szCs w:val="22"/>
          <w:lang w:val="en-US"/>
        </w:rPr>
        <w:t xml:space="preserve"> integrated circuit topographies,</w:t>
      </w:r>
      <w:r w:rsidRPr="00085FB9">
        <w:rPr>
          <w:bCs/>
          <w:szCs w:val="22"/>
          <w:lang w:val="en-US"/>
        </w:rPr>
        <w:t xml:space="preserve"> industrial designs and drawings the technical form is not required. </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The descriptive report is a document that contains a detailed and complete description of what shall be protected.  For patents and utility models, this document has to contain a description of prior art, a description of any included drawings, a detailed description of the invention and an example of an application.</w:t>
      </w:r>
      <w:r w:rsidRPr="00085FB9">
        <w:rPr>
          <w:bCs/>
          <w:szCs w:val="22"/>
          <w:vertAlign w:val="superscript"/>
          <w:lang w:val="en-US"/>
        </w:rPr>
        <w:footnoteReference w:id="43"/>
      </w:r>
      <w:r w:rsidRPr="00085FB9">
        <w:rPr>
          <w:bCs/>
          <w:szCs w:val="22"/>
          <w:lang w:val="en-US"/>
        </w:rPr>
        <w:t xml:space="preserve">  For industrial designs, the descriptive report must describe the industrial object in question and its application.  Also, a description of the drawings and a detailed description of the geometrical characteristics of the design (describing proportions or dimensions) must be enclosed.  In the case of drawings, the descriptive report must describe the industrial drawing.</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The claims describe the invention for which protection is sought.</w:t>
      </w:r>
      <w:r w:rsidRPr="00085FB9">
        <w:rPr>
          <w:bCs/>
          <w:szCs w:val="22"/>
          <w:vertAlign w:val="superscript"/>
          <w:lang w:val="en-US"/>
        </w:rPr>
        <w:footnoteReference w:id="44"/>
      </w:r>
      <w:r w:rsidRPr="00085FB9">
        <w:rPr>
          <w:bCs/>
          <w:szCs w:val="22"/>
          <w:lang w:val="en-US"/>
        </w:rPr>
        <w:t xml:space="preserve">  No claims need to be filed for industrial designs, drawings and integrated circuit topographies.</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The technical drawings include flow charts, graphs and schemes.  Drawings must omit any kind of label or explanatory text.  The explanatory text of each drawing must be included in the descriptive report.</w:t>
      </w:r>
      <w:r w:rsidRPr="00085FB9">
        <w:rPr>
          <w:bCs/>
          <w:szCs w:val="22"/>
          <w:vertAlign w:val="superscript"/>
          <w:lang w:val="en-US"/>
        </w:rPr>
        <w:footnoteReference w:id="45"/>
      </w:r>
      <w:r w:rsidRPr="00085FB9">
        <w:rPr>
          <w:color w:val="666666"/>
          <w:szCs w:val="22"/>
          <w:shd w:val="clear" w:color="auto" w:fill="F6F6F6"/>
          <w:lang w:val="en-US"/>
        </w:rPr>
        <w:t xml:space="preserve">  </w:t>
      </w:r>
      <w:r w:rsidRPr="00085FB9">
        <w:rPr>
          <w:bCs/>
          <w:szCs w:val="22"/>
          <w:lang w:val="en-US"/>
        </w:rPr>
        <w:t>The drawings of industrial designs shall contain at least a top plan view, elevation, profile and perspective.  Other views may be required, depending on the complexity of the design.</w:t>
      </w:r>
      <w:r w:rsidRPr="00085FB9">
        <w:rPr>
          <w:szCs w:val="22"/>
          <w:vertAlign w:val="superscript"/>
          <w:lang w:val="en-US"/>
        </w:rPr>
        <w:footnoteReference w:id="46"/>
      </w:r>
      <w:r w:rsidRPr="00085FB9">
        <w:rPr>
          <w:bCs/>
          <w:szCs w:val="22"/>
          <w:lang w:val="en-US"/>
        </w:rPr>
        <w:t xml:space="preserve"> </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There is an application fee of USD 85 (1 UTM).</w:t>
      </w:r>
      <w:r w:rsidRPr="00085FB9">
        <w:rPr>
          <w:bCs/>
          <w:szCs w:val="22"/>
          <w:vertAlign w:val="superscript"/>
          <w:lang w:val="en-US"/>
        </w:rPr>
        <w:footnoteReference w:id="47"/>
      </w:r>
      <w:r w:rsidRPr="00085FB9">
        <w:rPr>
          <w:bCs/>
          <w:szCs w:val="22"/>
          <w:lang w:val="en-US"/>
        </w:rPr>
        <w:t xml:space="preserve">  This payment is the same for patents, utility models, industrial designs, drawings and integrated circuits. </w:t>
      </w:r>
    </w:p>
    <w:p w:rsidR="00085FB9" w:rsidRPr="00085FB9" w:rsidRDefault="00085FB9" w:rsidP="00085FB9">
      <w:pPr>
        <w:contextualSpacing/>
        <w:rPr>
          <w:szCs w:val="22"/>
          <w:lang w:val="en-US"/>
        </w:rPr>
      </w:pPr>
    </w:p>
    <w:p w:rsidR="00085FB9" w:rsidRPr="00085FB9" w:rsidRDefault="00085FB9" w:rsidP="00085FB9">
      <w:pPr>
        <w:contextualSpacing/>
        <w:rPr>
          <w:rFonts w:eastAsia="Times New Roman"/>
          <w:szCs w:val="22"/>
          <w:lang w:val="en-US"/>
        </w:rPr>
      </w:pPr>
      <w:r w:rsidRPr="00085FB9">
        <w:rPr>
          <w:szCs w:val="22"/>
          <w:lang w:val="en-US"/>
        </w:rPr>
        <w:t>There are two stages in the application procedure:  (</w:t>
      </w:r>
      <w:proofErr w:type="spellStart"/>
      <w:r w:rsidRPr="00085FB9">
        <w:rPr>
          <w:szCs w:val="22"/>
          <w:lang w:val="en-US"/>
        </w:rPr>
        <w:t>i</w:t>
      </w:r>
      <w:proofErr w:type="spellEnd"/>
      <w:r w:rsidRPr="00085FB9">
        <w:rPr>
          <w:szCs w:val="22"/>
          <w:lang w:val="en-US"/>
        </w:rPr>
        <w:t>) the filing of an application, formality examination, and publication in the Official Gazette</w:t>
      </w:r>
      <w:proofErr w:type="gramStart"/>
      <w:r w:rsidRPr="00085FB9">
        <w:rPr>
          <w:szCs w:val="22"/>
          <w:lang w:val="en-US"/>
        </w:rPr>
        <w:t>;  and</w:t>
      </w:r>
      <w:proofErr w:type="gramEnd"/>
      <w:r w:rsidRPr="00085FB9">
        <w:rPr>
          <w:szCs w:val="22"/>
          <w:lang w:val="en-US"/>
        </w:rPr>
        <w:t xml:space="preserve"> (ii) substantive examination.</w:t>
      </w:r>
    </w:p>
    <w:p w:rsidR="00085FB9" w:rsidRPr="00085FB9" w:rsidRDefault="00085FB9" w:rsidP="00085FB9">
      <w:pPr>
        <w:rPr>
          <w:bCs/>
          <w:szCs w:val="22"/>
          <w:lang w:val="en-US"/>
        </w:rPr>
      </w:pPr>
    </w:p>
    <w:p w:rsidR="00085FB9" w:rsidRPr="00085FB9" w:rsidRDefault="00085FB9" w:rsidP="00085FB9">
      <w:pPr>
        <w:contextualSpacing/>
        <w:rPr>
          <w:rFonts w:eastAsia="Times New Roman"/>
          <w:b/>
          <w:bCs/>
          <w:i/>
          <w:szCs w:val="22"/>
          <w:lang w:val="en-US"/>
        </w:rPr>
      </w:pPr>
      <w:r w:rsidRPr="00085FB9">
        <w:rPr>
          <w:rFonts w:eastAsia="Times New Roman"/>
          <w:b/>
          <w:bCs/>
          <w:i/>
          <w:szCs w:val="22"/>
          <w:lang w:val="en-US"/>
        </w:rPr>
        <w:t xml:space="preserve">Formality Examination </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 xml:space="preserve">Once the application is submitted, INAPI performs a formality examination of the application, verifying that the required documents have been filed and that the application satisfies the minimum formal requirements. </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 xml:space="preserve">INAPI informs the applicant if the formal requirements are not met. The applicant has </w:t>
      </w:r>
      <w:r w:rsidRPr="00085FB9">
        <w:rPr>
          <w:bCs/>
          <w:szCs w:val="22"/>
          <w:lang w:val="en-US"/>
        </w:rPr>
        <w:br/>
        <w:t>60 working days to amend or correct the application. If such an amendment or correction is not made within this period, the application will be considered as void.</w:t>
      </w:r>
      <w:r w:rsidRPr="00085FB9">
        <w:rPr>
          <w:szCs w:val="22"/>
          <w:vertAlign w:val="superscript"/>
          <w:lang w:val="en-US"/>
        </w:rPr>
        <w:footnoteReference w:id="48"/>
      </w:r>
      <w:r w:rsidRPr="00085FB9">
        <w:rPr>
          <w:szCs w:val="22"/>
          <w:vertAlign w:val="superscript"/>
          <w:lang w:val="en-US"/>
        </w:rPr>
        <w:t xml:space="preserve">. </w:t>
      </w:r>
    </w:p>
    <w:p w:rsidR="00085FB9" w:rsidRPr="00085FB9" w:rsidRDefault="00085FB9" w:rsidP="00085FB9">
      <w:pPr>
        <w:rPr>
          <w:szCs w:val="22"/>
          <w:lang w:val="en-US"/>
        </w:rPr>
      </w:pPr>
      <w:r w:rsidRPr="00085FB9">
        <w:rPr>
          <w:bCs/>
          <w:szCs w:val="22"/>
          <w:lang w:val="en-US"/>
        </w:rPr>
        <w:lastRenderedPageBreak/>
        <w:t xml:space="preserve">If the formal requirements are met, INAPI publishes an extract of the application in the </w:t>
      </w:r>
      <w:r w:rsidRPr="00085FB9">
        <w:rPr>
          <w:szCs w:val="22"/>
          <w:lang w:val="en-US"/>
        </w:rPr>
        <w:t>Official Gazette.</w:t>
      </w:r>
      <w:r w:rsidRPr="00085FB9">
        <w:rPr>
          <w:bCs/>
          <w:szCs w:val="22"/>
          <w:lang w:val="en-US"/>
        </w:rPr>
        <w:t xml:space="preserve">  </w:t>
      </w:r>
      <w:r w:rsidRPr="00085FB9">
        <w:rPr>
          <w:szCs w:val="22"/>
          <w:lang w:val="en-US"/>
        </w:rPr>
        <w:t>In order to do so, a publication fee is required.  The cost of the publication depends on the application’s size</w:t>
      </w:r>
      <w:r w:rsidRPr="00085FB9">
        <w:rPr>
          <w:bCs/>
          <w:szCs w:val="22"/>
          <w:lang w:val="en-US"/>
        </w:rPr>
        <w:t>.  All the records of the application will be public as from the publication date.  There is no legal requirement for a minimum delay between application and publication.</w:t>
      </w:r>
      <w:r w:rsidRPr="00085FB9">
        <w:rPr>
          <w:bCs/>
          <w:szCs w:val="22"/>
          <w:vertAlign w:val="superscript"/>
          <w:lang w:val="en-US"/>
        </w:rPr>
        <w:footnoteReference w:id="49"/>
      </w:r>
      <w:r w:rsidRPr="00085FB9">
        <w:rPr>
          <w:bCs/>
          <w:szCs w:val="22"/>
          <w:lang w:val="en-US"/>
        </w:rPr>
        <w:t xml:space="preserve">  If no request for publication is made within the 60 days period, the application is considered abandoned.  If the applicant wants to resume the application after the 60 day period, the applicant must request the reopening of the application and request publication within 120 working days, counting from the date on which the application was declared abandoned.  Otherwise, the request is definitely considered abandoned. </w:t>
      </w:r>
      <w:r w:rsidRPr="00085FB9">
        <w:rPr>
          <w:szCs w:val="22"/>
          <w:lang w:val="en-US"/>
        </w:rPr>
        <w:t>After publication, third parties have 45 days to file an opposition.  If no opposition is filed, the procedure passes on to the substantial examination stage.</w:t>
      </w:r>
    </w:p>
    <w:p w:rsidR="00085FB9" w:rsidRPr="00085FB9" w:rsidRDefault="00085FB9" w:rsidP="00085FB9">
      <w:pPr>
        <w:contextualSpacing/>
        <w:rPr>
          <w:rFonts w:eastAsia="Times New Roman"/>
          <w:i/>
          <w:szCs w:val="22"/>
          <w:lang w:val="en-US"/>
        </w:rPr>
      </w:pPr>
    </w:p>
    <w:p w:rsidR="00085FB9" w:rsidRPr="00085FB9" w:rsidRDefault="00085FB9" w:rsidP="00085FB9">
      <w:pPr>
        <w:contextualSpacing/>
        <w:rPr>
          <w:rFonts w:eastAsia="Times New Roman"/>
          <w:b/>
          <w:bCs/>
          <w:i/>
          <w:szCs w:val="22"/>
          <w:lang w:val="en-US"/>
        </w:rPr>
      </w:pPr>
      <w:r w:rsidRPr="00085FB9">
        <w:rPr>
          <w:rFonts w:eastAsia="Times New Roman"/>
          <w:b/>
          <w:bCs/>
          <w:i/>
          <w:szCs w:val="22"/>
          <w:lang w:val="en-US"/>
        </w:rPr>
        <w:t>Opposition</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The opposing party needs to be represented by an attorney to file the opposition, so attorney fees may apply.  All information related to the opposition is publicly available.</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 xml:space="preserve">The applicant has 45 days to respond to the opposition.  If there are substantial, relevant and controversial facts, INAPI will send a notification to the applicant. </w:t>
      </w:r>
    </w:p>
    <w:p w:rsidR="00085FB9" w:rsidRPr="00085FB9" w:rsidRDefault="00085FB9" w:rsidP="00085FB9">
      <w:pPr>
        <w:autoSpaceDE w:val="0"/>
        <w:autoSpaceDN w:val="0"/>
        <w:adjustRightInd w:val="0"/>
        <w:rPr>
          <w:szCs w:val="22"/>
          <w:lang w:val="en-US"/>
        </w:rPr>
      </w:pPr>
    </w:p>
    <w:p w:rsidR="00085FB9" w:rsidRPr="00085FB9" w:rsidRDefault="00085FB9" w:rsidP="00085FB9">
      <w:pPr>
        <w:autoSpaceDE w:val="0"/>
        <w:autoSpaceDN w:val="0"/>
        <w:adjustRightInd w:val="0"/>
        <w:rPr>
          <w:szCs w:val="22"/>
          <w:lang w:val="en-US"/>
        </w:rPr>
      </w:pPr>
      <w:r w:rsidRPr="00085FB9">
        <w:rPr>
          <w:szCs w:val="22"/>
          <w:lang w:val="en-US"/>
        </w:rPr>
        <w:t>The complainant has 45 days to present relevant evidence and may obtain an extension of another 30 days.  The parties are entitled to present any type of evidence except for testimonials.</w:t>
      </w:r>
    </w:p>
    <w:p w:rsidR="00085FB9" w:rsidRPr="00085FB9" w:rsidRDefault="00085FB9" w:rsidP="00085FB9">
      <w:pPr>
        <w:contextualSpacing/>
        <w:rPr>
          <w:rFonts w:eastAsia="Times New Roman"/>
          <w:b/>
          <w:szCs w:val="22"/>
          <w:lang w:val="en-US"/>
        </w:rPr>
      </w:pPr>
    </w:p>
    <w:p w:rsidR="00085FB9" w:rsidRPr="00085FB9" w:rsidRDefault="00085FB9" w:rsidP="00085FB9">
      <w:pPr>
        <w:rPr>
          <w:b/>
          <w:i/>
          <w:szCs w:val="22"/>
          <w:lang w:val="en-US"/>
        </w:rPr>
      </w:pPr>
      <w:r w:rsidRPr="00085FB9">
        <w:rPr>
          <w:b/>
          <w:i/>
          <w:szCs w:val="22"/>
          <w:lang w:val="en-US"/>
        </w:rPr>
        <w:t>Substantive Examination</w:t>
      </w:r>
    </w:p>
    <w:p w:rsidR="00085FB9" w:rsidRPr="00085FB9" w:rsidRDefault="00085FB9" w:rsidP="00085FB9">
      <w:pPr>
        <w:rPr>
          <w:szCs w:val="22"/>
          <w:lang w:val="en-US"/>
        </w:rPr>
      </w:pPr>
    </w:p>
    <w:p w:rsidR="00085FB9" w:rsidRPr="00085FB9" w:rsidRDefault="00085FB9" w:rsidP="00085FB9">
      <w:pPr>
        <w:rPr>
          <w:bCs/>
          <w:szCs w:val="22"/>
          <w:lang w:val="en-US"/>
        </w:rPr>
      </w:pPr>
      <w:r w:rsidRPr="00085FB9">
        <w:rPr>
          <w:szCs w:val="22"/>
          <w:lang w:val="en-US"/>
        </w:rPr>
        <w:t xml:space="preserve">If there is no opposition or if the application survives opposition, </w:t>
      </w:r>
      <w:r w:rsidRPr="00085FB9">
        <w:rPr>
          <w:rFonts w:eastAsia="Times New Roman"/>
          <w:szCs w:val="22"/>
          <w:lang w:val="en-US"/>
        </w:rPr>
        <w:t>the</w:t>
      </w:r>
      <w:r w:rsidRPr="00085FB9">
        <w:rPr>
          <w:bCs/>
          <w:szCs w:val="22"/>
          <w:lang w:val="en-US"/>
        </w:rPr>
        <w:t xml:space="preserve"> applicant has 60 days to pay the examination fee.</w:t>
      </w:r>
      <w:r w:rsidRPr="00085FB9">
        <w:rPr>
          <w:szCs w:val="22"/>
          <w:vertAlign w:val="superscript"/>
          <w:lang w:val="en-US"/>
        </w:rPr>
        <w:footnoteReference w:id="50"/>
      </w:r>
      <w:r w:rsidRPr="00085FB9">
        <w:rPr>
          <w:bCs/>
          <w:szCs w:val="22"/>
          <w:lang w:val="en-US"/>
        </w:rPr>
        <w:t xml:space="preserve">  If the payment is not made, the application is considered abandoned.</w:t>
      </w:r>
      <w:r w:rsidRPr="00085FB9">
        <w:rPr>
          <w:bCs/>
          <w:szCs w:val="22"/>
          <w:vertAlign w:val="superscript"/>
          <w:lang w:val="en-US"/>
        </w:rPr>
        <w:footnoteReference w:id="51"/>
      </w:r>
      <w:r w:rsidRPr="00085FB9">
        <w:rPr>
          <w:bCs/>
          <w:szCs w:val="22"/>
          <w:lang w:val="en-US"/>
        </w:rPr>
        <w:t xml:space="preserve">  The examination fee varies depending on the intellectual property right.  In the case of patents the fee is 427.000 Chilean pesos (approx. 854 US dollars)</w:t>
      </w:r>
      <w:proofErr w:type="gramStart"/>
      <w:r w:rsidRPr="00085FB9">
        <w:rPr>
          <w:bCs/>
          <w:szCs w:val="22"/>
          <w:lang w:val="en-US"/>
        </w:rPr>
        <w:t>;  in</w:t>
      </w:r>
      <w:proofErr w:type="gramEnd"/>
      <w:r w:rsidRPr="00085FB9">
        <w:rPr>
          <w:bCs/>
          <w:szCs w:val="22"/>
          <w:lang w:val="en-US"/>
        </w:rPr>
        <w:t xml:space="preserve"> the case of utility models it is 343.000 Chilean pesos (approx. 686 US dollars) and for industrial designs and drawings it is 287.000 Chilean pesos (approx. 574 US dollars).</w:t>
      </w:r>
      <w:r w:rsidRPr="00085FB9">
        <w:rPr>
          <w:bCs/>
          <w:szCs w:val="22"/>
          <w:vertAlign w:val="superscript"/>
          <w:lang w:val="en-US"/>
        </w:rPr>
        <w:footnoteReference w:id="52"/>
      </w:r>
      <w:r w:rsidRPr="00085FB9">
        <w:rPr>
          <w:bCs/>
          <w:szCs w:val="22"/>
          <w:lang w:val="en-US"/>
        </w:rPr>
        <w:t xml:space="preserve"> </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 xml:space="preserve">Once the examination fee has been paid, INAPI assigns the application to an examiner according to the technical area of </w:t>
      </w:r>
      <w:r w:rsidRPr="00085FB9">
        <w:rPr>
          <w:rFonts w:ascii="MS Gothic" w:eastAsia="MS Gothic" w:hAnsi="MS Gothic" w:cs="MS Gothic" w:hint="eastAsia"/>
          <w:bCs/>
          <w:szCs w:val="22"/>
          <w:lang w:val="en-US"/>
        </w:rPr>
        <w:t>​​</w:t>
      </w:r>
      <w:r w:rsidRPr="00085FB9">
        <w:rPr>
          <w:bCs/>
          <w:szCs w:val="22"/>
          <w:lang w:val="en-US"/>
        </w:rPr>
        <w:t>the application.  The examiner has 60 working days to issue the examination report.</w:t>
      </w:r>
      <w:r w:rsidRPr="00085FB9">
        <w:rPr>
          <w:szCs w:val="22"/>
          <w:vertAlign w:val="superscript"/>
          <w:lang w:val="en-US"/>
        </w:rPr>
        <w:footnoteReference w:id="53"/>
      </w:r>
      <w:r w:rsidRPr="00085FB9">
        <w:rPr>
          <w:bCs/>
          <w:szCs w:val="22"/>
          <w:lang w:val="en-US"/>
        </w:rPr>
        <w:t xml:space="preserve">  The examination report contains a technical analysis of the application, intended to verify whether the application meets the statutory patentability requirements set forth in Law 19.039.  If the examiner comments on the application, the applicant has 60 days to respond the examiner.  If there are no comments and the application meets the statutory requirements, the right is granted. </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br w:type="page"/>
      </w:r>
      <w:r w:rsidRPr="00085FB9">
        <w:rPr>
          <w:bCs/>
          <w:szCs w:val="22"/>
          <w:lang w:val="en-US"/>
        </w:rPr>
        <w:lastRenderedPageBreak/>
        <w:t xml:space="preserve">Once the application has been granted, the applicant has to pay the grant fee.  The final payment depends on the effective term of the IP right.  For patents, the effective term is </w:t>
      </w:r>
      <w:r w:rsidRPr="00085FB9">
        <w:rPr>
          <w:bCs/>
          <w:szCs w:val="22"/>
          <w:lang w:val="en-US"/>
        </w:rPr>
        <w:br/>
        <w:t xml:space="preserve">20 years. Once the application is granted, the applicant must pay 3 UTM (approx. </w:t>
      </w:r>
      <w:r w:rsidRPr="00085FB9">
        <w:rPr>
          <w:bCs/>
          <w:szCs w:val="22"/>
          <w:lang w:val="en-US"/>
        </w:rPr>
        <w:br/>
        <w:t xml:space="preserve">255 US dollars).  After ten years counting from the filling date the applicant must pay 4 UTM (approx. 340 US dollars) to renew the patent. </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For utility models, industrial designs, and drawings the effective term is 10 years. Once the application is granted the applicant has to pay 1 UTM (approx. 85 US dollars).  After five years counting from the filling date the applicant must pay 2 UTM (approx. 170 US dollars) to renew the right.  In case of non-payment within that period, the application is considered abandoned.</w:t>
      </w:r>
    </w:p>
    <w:p w:rsidR="00085FB9" w:rsidRPr="00085FB9" w:rsidRDefault="00085FB9" w:rsidP="00085FB9">
      <w:pPr>
        <w:rPr>
          <w:bCs/>
          <w:szCs w:val="22"/>
          <w:lang w:val="en-US"/>
        </w:rPr>
      </w:pPr>
    </w:p>
    <w:p w:rsidR="00085FB9" w:rsidRPr="00085FB9" w:rsidRDefault="00085FB9" w:rsidP="00085FB9">
      <w:pPr>
        <w:rPr>
          <w:b/>
          <w:i/>
          <w:szCs w:val="22"/>
          <w:lang w:val="en-US"/>
        </w:rPr>
      </w:pPr>
      <w:r w:rsidRPr="00085FB9">
        <w:rPr>
          <w:b/>
          <w:i/>
          <w:szCs w:val="22"/>
          <w:lang w:val="en-US"/>
        </w:rPr>
        <w:t>Revocation of Patents</w:t>
      </w:r>
    </w:p>
    <w:p w:rsidR="00085FB9" w:rsidRPr="00085FB9" w:rsidRDefault="00085FB9" w:rsidP="00085FB9">
      <w:pPr>
        <w:rPr>
          <w:bCs/>
          <w:szCs w:val="22"/>
          <w:lang w:val="en-US"/>
        </w:rPr>
      </w:pPr>
    </w:p>
    <w:p w:rsidR="00085FB9" w:rsidRPr="00085FB9" w:rsidRDefault="00085FB9" w:rsidP="00085FB9">
      <w:pPr>
        <w:rPr>
          <w:bCs/>
          <w:szCs w:val="22"/>
          <w:lang w:val="en-US"/>
        </w:rPr>
      </w:pPr>
      <w:r w:rsidRPr="00085FB9">
        <w:rPr>
          <w:bCs/>
          <w:szCs w:val="22"/>
          <w:lang w:val="en-US"/>
        </w:rPr>
        <w:t xml:space="preserve">Requests for revocation have to be submitted to INAPI.  In the case of patents and utility models, revocation may be sought in respect of all or individual claims.  The IP right holder has 60 days to respond.  INAPI requests a report by one or several experts.  The experts are appointed jointly by the parties or, in case there is no agreement, by INAPI.  Once the expert report has been issued, the parties have 60 days to respond.  In case there are controversial issues, there is another 45 day term to present additional evidence (with the possibility of second extension of 45 days).  If INAPI revokes the IP right, it is considered void </w:t>
      </w:r>
      <w:proofErr w:type="spellStart"/>
      <w:r w:rsidRPr="00085FB9">
        <w:rPr>
          <w:bCs/>
          <w:i/>
          <w:szCs w:val="22"/>
          <w:lang w:val="en-US"/>
        </w:rPr>
        <w:t>ab</w:t>
      </w:r>
      <w:proofErr w:type="spellEnd"/>
      <w:r w:rsidRPr="00085FB9">
        <w:rPr>
          <w:bCs/>
          <w:i/>
          <w:szCs w:val="22"/>
          <w:lang w:val="en-US"/>
        </w:rPr>
        <w:t xml:space="preserve"> initio</w:t>
      </w:r>
      <w:r w:rsidRPr="00085FB9">
        <w:rPr>
          <w:bCs/>
          <w:szCs w:val="22"/>
          <w:lang w:val="en-US"/>
        </w:rPr>
        <w:t>.</w:t>
      </w:r>
    </w:p>
    <w:p w:rsidR="00085FB9" w:rsidRPr="00085FB9" w:rsidRDefault="00085FB9" w:rsidP="00085FB9">
      <w:pPr>
        <w:autoSpaceDE w:val="0"/>
        <w:autoSpaceDN w:val="0"/>
        <w:adjustRightInd w:val="0"/>
        <w:rPr>
          <w:szCs w:val="22"/>
          <w:lang w:val="en-US"/>
        </w:rPr>
      </w:pPr>
    </w:p>
    <w:p w:rsidR="00085FB9" w:rsidRPr="00085FB9" w:rsidRDefault="00085FB9" w:rsidP="00085FB9">
      <w:pPr>
        <w:rPr>
          <w:b/>
          <w:bCs/>
          <w:lang w:val="en-US"/>
        </w:rPr>
      </w:pPr>
      <w:bookmarkStart w:id="24" w:name="_Toc352163335"/>
      <w:r w:rsidRPr="00085FB9">
        <w:rPr>
          <w:b/>
          <w:bCs/>
          <w:lang w:val="en-US"/>
        </w:rPr>
        <w:t>Appendix 2:  The INAPI-WIPO Intellectual Property Database</w:t>
      </w:r>
      <w:bookmarkEnd w:id="24"/>
    </w:p>
    <w:p w:rsidR="00085FB9" w:rsidRPr="00085FB9" w:rsidRDefault="00085FB9" w:rsidP="00085FB9">
      <w:pPr>
        <w:rPr>
          <w:b/>
          <w:lang w:val="en-US"/>
        </w:rPr>
      </w:pPr>
    </w:p>
    <w:p w:rsidR="00085FB9" w:rsidRPr="00085FB9" w:rsidRDefault="00085FB9" w:rsidP="00085FB9">
      <w:pPr>
        <w:rPr>
          <w:b/>
          <w:bCs/>
          <w:lang w:val="en-US"/>
        </w:rPr>
      </w:pPr>
      <w:bookmarkStart w:id="25" w:name="_Toc333252981"/>
      <w:bookmarkStart w:id="26" w:name="_Toc352163336"/>
      <w:r w:rsidRPr="00085FB9">
        <w:rPr>
          <w:b/>
          <w:bCs/>
          <w:lang w:val="en-US"/>
        </w:rPr>
        <w:t>Appendix 2.1:  Introduction</w:t>
      </w:r>
      <w:bookmarkEnd w:id="25"/>
      <w:bookmarkEnd w:id="26"/>
    </w:p>
    <w:p w:rsidR="00085FB9" w:rsidRPr="00085FB9" w:rsidRDefault="00085FB9" w:rsidP="00085FB9">
      <w:pPr>
        <w:rPr>
          <w:lang w:val="en-US"/>
        </w:rPr>
      </w:pPr>
    </w:p>
    <w:p w:rsidR="00085FB9" w:rsidRPr="00085FB9" w:rsidRDefault="00085FB9" w:rsidP="00085FB9">
      <w:pPr>
        <w:rPr>
          <w:lang w:val="en-US"/>
        </w:rPr>
      </w:pPr>
      <w:r w:rsidRPr="00085FB9">
        <w:rPr>
          <w:lang w:val="en-GB"/>
        </w:rPr>
        <w:t>The objective of this appendix is to explain how we transformed the raw data provided by INAPI into a database that can be used for statistical and economic analysis.</w:t>
      </w:r>
      <w:r w:rsidRPr="00085FB9">
        <w:rPr>
          <w:lang w:val="en-US"/>
        </w:rPr>
        <w:t xml:space="preserve">  We discuss various challenges posed by the data and how we tackled them.</w:t>
      </w:r>
    </w:p>
    <w:p w:rsidR="00085FB9" w:rsidRPr="00085FB9" w:rsidRDefault="00085FB9" w:rsidP="00085FB9">
      <w:pPr>
        <w:rPr>
          <w:lang w:val="en-US"/>
        </w:rPr>
      </w:pPr>
      <w:bookmarkStart w:id="27" w:name="_Toc333252982"/>
    </w:p>
    <w:p w:rsidR="00085FB9" w:rsidRPr="00085FB9" w:rsidRDefault="00085FB9" w:rsidP="00085FB9">
      <w:pPr>
        <w:rPr>
          <w:b/>
          <w:bCs/>
          <w:lang w:val="en-US"/>
        </w:rPr>
      </w:pPr>
      <w:bookmarkStart w:id="28" w:name="_Toc352163337"/>
      <w:r w:rsidRPr="00085FB9">
        <w:rPr>
          <w:b/>
          <w:bCs/>
          <w:lang w:val="en-US"/>
        </w:rPr>
        <w:t>Appendix 2.2:  Description of the Raw Data</w:t>
      </w:r>
      <w:bookmarkEnd w:id="27"/>
      <w:bookmarkEnd w:id="28"/>
    </w:p>
    <w:p w:rsidR="00085FB9" w:rsidRPr="00085FB9" w:rsidRDefault="00085FB9" w:rsidP="00085FB9">
      <w:pPr>
        <w:rPr>
          <w:lang w:val="en-US"/>
        </w:rPr>
      </w:pPr>
    </w:p>
    <w:p w:rsidR="00085FB9" w:rsidRPr="00085FB9" w:rsidRDefault="00085FB9" w:rsidP="00085FB9">
      <w:pPr>
        <w:rPr>
          <w:lang w:val="en-US"/>
        </w:rPr>
      </w:pPr>
      <w:r w:rsidRPr="00085FB9">
        <w:rPr>
          <w:lang w:val="en-US"/>
        </w:rPr>
        <w:t>This section describes the raw data that were obtained from INAPI in June 2011.</w:t>
      </w:r>
    </w:p>
    <w:p w:rsidR="00085FB9" w:rsidRPr="00085FB9" w:rsidRDefault="00085FB9" w:rsidP="00085FB9">
      <w:pPr>
        <w:rPr>
          <w:lang w:val="en-US"/>
        </w:rPr>
      </w:pPr>
    </w:p>
    <w:p w:rsidR="00085FB9" w:rsidRPr="00085FB9" w:rsidRDefault="00085FB9" w:rsidP="00085FB9">
      <w:pPr>
        <w:rPr>
          <w:b/>
          <w:bCs/>
          <w:lang w:val="en-US"/>
        </w:rPr>
      </w:pPr>
      <w:bookmarkStart w:id="29" w:name="_Toc333252983"/>
      <w:bookmarkStart w:id="30" w:name="_Toc352163338"/>
      <w:r w:rsidRPr="00085FB9">
        <w:rPr>
          <w:b/>
          <w:bCs/>
          <w:lang w:val="en-US"/>
        </w:rPr>
        <w:t>2.2.1 Characteristics of the raw data</w:t>
      </w:r>
      <w:bookmarkEnd w:id="29"/>
      <w:bookmarkEnd w:id="30"/>
    </w:p>
    <w:p w:rsidR="00085FB9" w:rsidRPr="00085FB9" w:rsidRDefault="00085FB9" w:rsidP="00085FB9">
      <w:pPr>
        <w:rPr>
          <w:lang w:val="en-US"/>
        </w:rPr>
      </w:pPr>
    </w:p>
    <w:p w:rsidR="00085FB9" w:rsidRPr="00085FB9" w:rsidRDefault="00085FB9" w:rsidP="00085FB9">
      <w:pPr>
        <w:rPr>
          <w:lang w:val="en-US"/>
        </w:rPr>
      </w:pPr>
      <w:r w:rsidRPr="00085FB9">
        <w:rPr>
          <w:lang w:val="en-US"/>
        </w:rPr>
        <w:t>The raw data provided by INAPI contain the population of published trademark, patent, industrial design, and utility model applications filed between 01/01/1990 and 10/06/2011.  This includes all applications that have been published, although there are also records without a publication date.</w:t>
      </w:r>
    </w:p>
    <w:p w:rsidR="00085FB9" w:rsidRPr="00085FB9" w:rsidRDefault="00085FB9" w:rsidP="00085FB9">
      <w:pPr>
        <w:rPr>
          <w:b/>
          <w:lang w:val="en-US"/>
        </w:rPr>
      </w:pPr>
    </w:p>
    <w:p w:rsidR="00085FB9" w:rsidRPr="00085FB9" w:rsidRDefault="00085FB9" w:rsidP="00085FB9">
      <w:pPr>
        <w:rPr>
          <w:lang w:val="en-US"/>
        </w:rPr>
      </w:pPr>
      <w:r w:rsidRPr="00085FB9">
        <w:rPr>
          <w:b/>
          <w:lang w:val="en-US"/>
        </w:rPr>
        <w:t>Structure of files:</w:t>
      </w:r>
    </w:p>
    <w:p w:rsidR="00085FB9" w:rsidRPr="00085FB9" w:rsidRDefault="00085FB9" w:rsidP="00085FB9">
      <w:pPr>
        <w:rPr>
          <w:lang w:val="en-US"/>
        </w:rPr>
      </w:pPr>
    </w:p>
    <w:p w:rsidR="00085FB9" w:rsidRPr="00085FB9" w:rsidRDefault="00085FB9" w:rsidP="00085FB9">
      <w:pPr>
        <w:rPr>
          <w:lang w:val="en-US"/>
        </w:rPr>
      </w:pPr>
      <w:r w:rsidRPr="00085FB9">
        <w:rPr>
          <w:lang w:val="en-US"/>
        </w:rPr>
        <w:t>The raw data were provided in.csv format.  We obtained a total of sixteen data files that contain the patent, industrial design, utility model and trademark data.  The patent data files contain patents, industrial designs, and utility models.</w:t>
      </w:r>
      <w:r w:rsidRPr="00085FB9">
        <w:rPr>
          <w:szCs w:val="22"/>
          <w:vertAlign w:val="superscript"/>
          <w:lang w:val="en-US"/>
        </w:rPr>
        <w:t xml:space="preserve"> </w:t>
      </w:r>
      <w:r w:rsidRPr="00085FB9">
        <w:rPr>
          <w:szCs w:val="22"/>
          <w:vertAlign w:val="superscript"/>
          <w:lang w:val="en-US"/>
        </w:rPr>
        <w:footnoteReference w:id="54"/>
      </w:r>
      <w:r w:rsidRPr="00085FB9">
        <w:rPr>
          <w:lang w:val="en-US"/>
        </w:rPr>
        <w:t xml:space="preserve"> For ease of exposition, the discussion and tables, therefore, subsume utility models and designs under the patent category (for a breakdown see Table A15). </w:t>
      </w:r>
    </w:p>
    <w:p w:rsidR="00085FB9" w:rsidRPr="00085FB9" w:rsidRDefault="00085FB9" w:rsidP="00085FB9">
      <w:pPr>
        <w:rPr>
          <w:lang w:val="en-US"/>
        </w:rPr>
      </w:pPr>
    </w:p>
    <w:p w:rsidR="00085FB9" w:rsidRPr="00085FB9" w:rsidRDefault="00085FB9" w:rsidP="00085FB9">
      <w:pPr>
        <w:rPr>
          <w:lang w:val="en-US"/>
        </w:rPr>
      </w:pPr>
      <w:r w:rsidRPr="00085FB9">
        <w:rPr>
          <w:lang w:val="en-US"/>
        </w:rPr>
        <w:br w:type="page"/>
      </w:r>
      <w:r w:rsidRPr="00085FB9">
        <w:rPr>
          <w:lang w:val="en-US"/>
        </w:rPr>
        <w:lastRenderedPageBreak/>
        <w:t>For both patents and trademarks, the different data files can be linked by a common identifier.</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The most relevant information for the construction of our database is the applicant information (contained in “applicants.csv”) and the data on trademark and patent applications (contained in “</w:t>
      </w:r>
      <w:proofErr w:type="spellStart"/>
      <w:r w:rsidRPr="00085FB9">
        <w:rPr>
          <w:szCs w:val="22"/>
          <w:lang w:val="en-US"/>
        </w:rPr>
        <w:t>trademarks.cvs</w:t>
      </w:r>
      <w:proofErr w:type="spellEnd"/>
      <w:r w:rsidRPr="00085FB9">
        <w:rPr>
          <w:szCs w:val="22"/>
          <w:lang w:val="en-US"/>
        </w:rPr>
        <w:t>” and “patents.csv”). Both files contain five variables each:</w:t>
      </w:r>
    </w:p>
    <w:p w:rsidR="00085FB9" w:rsidRPr="00085FB9" w:rsidRDefault="00085FB9" w:rsidP="00085FB9">
      <w:pPr>
        <w:tabs>
          <w:tab w:val="left" w:pos="0"/>
        </w:tabs>
        <w:rPr>
          <w:szCs w:val="22"/>
          <w:lang w:val="en-US"/>
        </w:rPr>
      </w:pPr>
    </w:p>
    <w:p w:rsidR="00085FB9" w:rsidRPr="00085FB9" w:rsidRDefault="00085FB9" w:rsidP="004C3144">
      <w:pPr>
        <w:numPr>
          <w:ilvl w:val="0"/>
          <w:numId w:val="11"/>
        </w:numPr>
        <w:tabs>
          <w:tab w:val="left" w:pos="0"/>
        </w:tabs>
        <w:ind w:left="0" w:firstLine="0"/>
        <w:contextualSpacing/>
        <w:rPr>
          <w:rFonts w:eastAsia="MS Mincho"/>
          <w:szCs w:val="22"/>
          <w:lang w:val="en-US" w:eastAsia="en-US"/>
        </w:rPr>
      </w:pPr>
      <w:proofErr w:type="spellStart"/>
      <w:r w:rsidRPr="00085FB9">
        <w:rPr>
          <w:rFonts w:eastAsia="MS Mincho"/>
          <w:szCs w:val="22"/>
          <w:lang w:val="en-US" w:eastAsia="en-US"/>
        </w:rPr>
        <w:t>Sol_nro</w:t>
      </w:r>
      <w:proofErr w:type="spellEnd"/>
      <w:r w:rsidRPr="00085FB9">
        <w:rPr>
          <w:rFonts w:eastAsia="MS Mincho"/>
          <w:szCs w:val="22"/>
          <w:lang w:val="en-US" w:eastAsia="en-US"/>
        </w:rPr>
        <w:t xml:space="preserve"> (numeric 10):  Application number (unique identifier of filing)</w:t>
      </w:r>
    </w:p>
    <w:p w:rsidR="00085FB9" w:rsidRPr="00085FB9" w:rsidRDefault="00085FB9" w:rsidP="004C3144">
      <w:pPr>
        <w:numPr>
          <w:ilvl w:val="0"/>
          <w:numId w:val="11"/>
        </w:numPr>
        <w:tabs>
          <w:tab w:val="left" w:pos="0"/>
        </w:tabs>
        <w:ind w:left="0" w:firstLine="0"/>
        <w:contextualSpacing/>
        <w:rPr>
          <w:rFonts w:eastAsia="MS Mincho"/>
          <w:szCs w:val="22"/>
          <w:lang w:val="en-US" w:eastAsia="en-US"/>
        </w:rPr>
      </w:pPr>
      <w:proofErr w:type="spellStart"/>
      <w:r w:rsidRPr="00085FB9">
        <w:rPr>
          <w:rFonts w:eastAsia="MS Mincho"/>
          <w:szCs w:val="22"/>
          <w:lang w:val="en-US" w:eastAsia="en-US"/>
        </w:rPr>
        <w:t>Pro_cod</w:t>
      </w:r>
      <w:proofErr w:type="spellEnd"/>
      <w:r w:rsidRPr="00085FB9">
        <w:rPr>
          <w:rFonts w:eastAsia="MS Mincho"/>
          <w:szCs w:val="22"/>
          <w:lang w:val="en-US" w:eastAsia="en-US"/>
        </w:rPr>
        <w:t xml:space="preserve"> (numeric 10):  Internal code</w:t>
      </w:r>
    </w:p>
    <w:p w:rsidR="00085FB9" w:rsidRPr="00085FB9" w:rsidRDefault="00085FB9" w:rsidP="004C3144">
      <w:pPr>
        <w:numPr>
          <w:ilvl w:val="0"/>
          <w:numId w:val="11"/>
        </w:numPr>
        <w:tabs>
          <w:tab w:val="left" w:pos="0"/>
        </w:tabs>
        <w:ind w:left="0" w:firstLine="0"/>
        <w:contextualSpacing/>
        <w:rPr>
          <w:rFonts w:eastAsia="MS Mincho"/>
          <w:szCs w:val="22"/>
          <w:lang w:val="en-US" w:eastAsia="en-US"/>
        </w:rPr>
      </w:pPr>
      <w:proofErr w:type="spellStart"/>
      <w:r w:rsidRPr="00085FB9">
        <w:rPr>
          <w:rFonts w:eastAsia="MS Mincho"/>
          <w:szCs w:val="22"/>
          <w:lang w:val="en-US" w:eastAsia="en-US"/>
        </w:rPr>
        <w:t>Pro_nom</w:t>
      </w:r>
      <w:proofErr w:type="spellEnd"/>
      <w:r w:rsidRPr="00085FB9">
        <w:rPr>
          <w:rFonts w:eastAsia="MS Mincho"/>
          <w:szCs w:val="22"/>
          <w:lang w:val="en-US" w:eastAsia="en-US"/>
        </w:rPr>
        <w:t xml:space="preserve"> (</w:t>
      </w:r>
      <w:proofErr w:type="spellStart"/>
      <w:r w:rsidRPr="00085FB9">
        <w:rPr>
          <w:rFonts w:eastAsia="MS Mincho"/>
          <w:szCs w:val="22"/>
          <w:lang w:val="en-US" w:eastAsia="en-US"/>
        </w:rPr>
        <w:t>varchar</w:t>
      </w:r>
      <w:proofErr w:type="spellEnd"/>
      <w:r w:rsidRPr="00085FB9">
        <w:rPr>
          <w:rFonts w:eastAsia="MS Mincho"/>
          <w:szCs w:val="22"/>
          <w:lang w:val="en-US" w:eastAsia="en-US"/>
        </w:rPr>
        <w:t xml:space="preserve"> 120):  Applicant name</w:t>
      </w:r>
    </w:p>
    <w:p w:rsidR="00085FB9" w:rsidRPr="00085FB9" w:rsidRDefault="00085FB9" w:rsidP="004C3144">
      <w:pPr>
        <w:numPr>
          <w:ilvl w:val="0"/>
          <w:numId w:val="11"/>
        </w:numPr>
        <w:tabs>
          <w:tab w:val="left" w:pos="0"/>
        </w:tabs>
        <w:ind w:left="0" w:firstLine="0"/>
        <w:contextualSpacing/>
        <w:rPr>
          <w:rFonts w:eastAsia="MS Mincho"/>
          <w:szCs w:val="22"/>
          <w:lang w:val="en-US" w:eastAsia="en-US"/>
        </w:rPr>
      </w:pPr>
      <w:proofErr w:type="spellStart"/>
      <w:r w:rsidRPr="00085FB9">
        <w:rPr>
          <w:rFonts w:eastAsia="MS Mincho"/>
          <w:szCs w:val="22"/>
          <w:lang w:val="en-US" w:eastAsia="en-US"/>
        </w:rPr>
        <w:t>Pro_pais</w:t>
      </w:r>
      <w:proofErr w:type="spellEnd"/>
      <w:r w:rsidRPr="00085FB9">
        <w:rPr>
          <w:rFonts w:eastAsia="MS Mincho"/>
          <w:szCs w:val="22"/>
          <w:lang w:val="en-US" w:eastAsia="en-US"/>
        </w:rPr>
        <w:t xml:space="preserve"> char(2):  Applicant country</w:t>
      </w:r>
    </w:p>
    <w:p w:rsidR="00085FB9" w:rsidRPr="00085FB9" w:rsidRDefault="00085FB9" w:rsidP="004C3144">
      <w:pPr>
        <w:numPr>
          <w:ilvl w:val="0"/>
          <w:numId w:val="11"/>
        </w:numPr>
        <w:tabs>
          <w:tab w:val="left" w:pos="0"/>
        </w:tabs>
        <w:ind w:left="0" w:firstLine="0"/>
        <w:contextualSpacing/>
        <w:rPr>
          <w:rFonts w:eastAsia="MS Mincho"/>
          <w:szCs w:val="22"/>
          <w:lang w:val="en-US" w:eastAsia="en-US"/>
        </w:rPr>
      </w:pPr>
      <w:proofErr w:type="spellStart"/>
      <w:r w:rsidRPr="00085FB9">
        <w:rPr>
          <w:rFonts w:eastAsia="MS Mincho"/>
          <w:szCs w:val="22"/>
          <w:lang w:val="en-US" w:eastAsia="en-US"/>
        </w:rPr>
        <w:t>Pro_direccion</w:t>
      </w:r>
      <w:proofErr w:type="spellEnd"/>
      <w:r w:rsidRPr="00085FB9">
        <w:rPr>
          <w:rFonts w:eastAsia="MS Mincho"/>
          <w:szCs w:val="22"/>
          <w:lang w:val="en-US" w:eastAsia="en-US"/>
        </w:rPr>
        <w:t xml:space="preserve"> (</w:t>
      </w:r>
      <w:proofErr w:type="spellStart"/>
      <w:r w:rsidRPr="00085FB9">
        <w:rPr>
          <w:rFonts w:eastAsia="MS Mincho"/>
          <w:szCs w:val="22"/>
          <w:lang w:val="en-US" w:eastAsia="en-US"/>
        </w:rPr>
        <w:t>varchar</w:t>
      </w:r>
      <w:proofErr w:type="spellEnd"/>
      <w:r w:rsidRPr="00085FB9">
        <w:rPr>
          <w:rFonts w:eastAsia="MS Mincho"/>
          <w:szCs w:val="22"/>
          <w:lang w:val="en-US" w:eastAsia="en-US"/>
        </w:rPr>
        <w:t xml:space="preserve"> 150):  Applicant address</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b/>
          <w:szCs w:val="22"/>
          <w:lang w:val="en-US"/>
        </w:rPr>
        <w:t xml:space="preserve">Raw Data Description: </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proofErr w:type="gramStart"/>
      <w:r w:rsidRPr="00085FB9">
        <w:rPr>
          <w:szCs w:val="22"/>
          <w:lang w:val="en-US"/>
        </w:rPr>
        <w:t>Tables A1 and A2 show the raw patent and trademark data by application year.</w:t>
      </w:r>
      <w:proofErr w:type="gramEnd"/>
      <w:r w:rsidRPr="00085FB9">
        <w:rPr>
          <w:szCs w:val="22"/>
          <w:lang w:val="en-US"/>
        </w:rPr>
        <w:t xml:space="preserve">  </w:t>
      </w:r>
      <w:proofErr w:type="gramStart"/>
      <w:r w:rsidRPr="00085FB9">
        <w:rPr>
          <w:szCs w:val="22"/>
          <w:lang w:val="en-US"/>
        </w:rPr>
        <w:t>Table A1 shows that there are 778,095 trademark applications between 1990 and 2010.</w:t>
      </w:r>
      <w:proofErr w:type="gramEnd"/>
      <w:r w:rsidRPr="00085FB9">
        <w:rPr>
          <w:szCs w:val="22"/>
          <w:lang w:val="en-US"/>
        </w:rPr>
        <w:t xml:space="preserve">  The number of applications has increased steadily up to 2008 (the figures for 2009 and 2010 may be still incomplete).  The table also looks at applicants, which are counted by applicant names.  These are the `raw’ names as received from INAPI so they have not been cleaned or corrected.  This means the figures in Table A1 are likely to over-count the number of unique applicants.  The table shows that there </w:t>
      </w:r>
      <w:proofErr w:type="gramStart"/>
      <w:r w:rsidRPr="00085FB9">
        <w:rPr>
          <w:szCs w:val="22"/>
          <w:lang w:val="en-US"/>
        </w:rPr>
        <w:t>is</w:t>
      </w:r>
      <w:proofErr w:type="gramEnd"/>
      <w:r w:rsidRPr="00085FB9">
        <w:rPr>
          <w:szCs w:val="22"/>
          <w:lang w:val="en-US"/>
        </w:rPr>
        <w:t xml:space="preserve"> a total of 220,064 unique applicants, with their number also steadily increasing from around 11,200 in 1990 to 19,500 in 2008.  The table distinguishes between residents and non-residents based on a country identifier in the data. It is possible that the same applicant files both with a Chilean and a foreign country identifier, in which case the applicant would show up both as a resident and non-resident.</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In the trademark data, the applicant’s RUT (tax identifier) is available (as reported by the applicant), which in principle could serve as a unique identifier of the applicant.  Table A3 shows the raw data received from INAPI where we classify RUTs according to RUT length.  According to the Modulo 11 algorithm, correct RUTs should have 9 digits.  In our raw data, the last digit (“</w:t>
      </w:r>
      <w:proofErr w:type="spellStart"/>
      <w:r w:rsidRPr="00085FB9">
        <w:rPr>
          <w:szCs w:val="22"/>
          <w:lang w:val="en-US"/>
        </w:rPr>
        <w:t>digito</w:t>
      </w:r>
      <w:proofErr w:type="spellEnd"/>
      <w:r w:rsidRPr="00085FB9">
        <w:rPr>
          <w:szCs w:val="22"/>
          <w:lang w:val="en-US"/>
        </w:rPr>
        <w:t xml:space="preserve"> </w:t>
      </w:r>
      <w:proofErr w:type="spellStart"/>
      <w:r w:rsidRPr="00085FB9">
        <w:rPr>
          <w:szCs w:val="22"/>
          <w:lang w:val="en-US"/>
        </w:rPr>
        <w:t>verificador</w:t>
      </w:r>
      <w:proofErr w:type="spellEnd"/>
      <w:r w:rsidRPr="00085FB9">
        <w:rPr>
          <w:szCs w:val="22"/>
          <w:lang w:val="en-US"/>
        </w:rPr>
        <w:t>”) is often separated with a dash, which means correct RUTs should have 9 or 10 digits in our data.  The table shows that about 36% of RUTs have a length different from 9 or 10.  Moreover, in principle, RUTs are reported only by domestic entities (although foreign applicants may also apply for a RUT)</w:t>
      </w:r>
      <w:proofErr w:type="gramStart"/>
      <w:r w:rsidRPr="00085FB9">
        <w:rPr>
          <w:szCs w:val="22"/>
          <w:lang w:val="en-US"/>
        </w:rPr>
        <w:t>,</w:t>
      </w:r>
      <w:proofErr w:type="gramEnd"/>
      <w:r w:rsidRPr="00085FB9">
        <w:rPr>
          <w:szCs w:val="22"/>
          <w:lang w:val="en-US"/>
        </w:rPr>
        <w:t xml:space="preserve"> hence the presence of RUTs for a non-negligible number of foreign applicants prompts questions.  While the length of a RUT is an indicator of whether a given RUT is correct, the Modulo 11 algorithm allows us to verify if a given RUT is indeed valid.  Table A4 shows that about 30% of RUTs are invalid. While this also implies that 70% of RUTs are valid, this does not mean that a valid RUT corresponds to the associated applicant.  The correspondence between RUT and applicant name is verified in a separate step as discussed further below.</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As mentioned above, there are no RUTs available for applicants of the other IP forms. Applicants are only identified through the name provided on the application form.</w:t>
      </w:r>
    </w:p>
    <w:p w:rsidR="00085FB9" w:rsidRPr="00085FB9" w:rsidRDefault="00085FB9" w:rsidP="00085FB9">
      <w:pPr>
        <w:keepNext/>
        <w:outlineLvl w:val="1"/>
        <w:rPr>
          <w:bCs/>
          <w:iCs/>
          <w:caps/>
          <w:szCs w:val="22"/>
          <w:lang w:val="en-US"/>
        </w:rPr>
      </w:pPr>
      <w:bookmarkStart w:id="31" w:name="_Toc333252984"/>
      <w:bookmarkStart w:id="32" w:name="_Toc352163339"/>
    </w:p>
    <w:p w:rsidR="00085FB9" w:rsidRPr="00085FB9" w:rsidRDefault="00085FB9" w:rsidP="00085FB9">
      <w:pPr>
        <w:keepNext/>
        <w:outlineLvl w:val="1"/>
        <w:rPr>
          <w:b/>
          <w:iCs/>
          <w:caps/>
          <w:szCs w:val="22"/>
          <w:lang w:val="en-US"/>
        </w:rPr>
      </w:pPr>
      <w:r w:rsidRPr="00085FB9">
        <w:rPr>
          <w:bCs/>
          <w:iCs/>
          <w:szCs w:val="22"/>
          <w:lang w:val="en-US"/>
        </w:rPr>
        <w:br w:type="page"/>
      </w:r>
      <w:r w:rsidRPr="00085FB9">
        <w:rPr>
          <w:b/>
          <w:iCs/>
          <w:szCs w:val="22"/>
          <w:lang w:val="en-US"/>
        </w:rPr>
        <w:lastRenderedPageBreak/>
        <w:t>Appendix 2.3:  Data Challenges</w:t>
      </w:r>
      <w:bookmarkEnd w:id="31"/>
      <w:bookmarkEnd w:id="32"/>
    </w:p>
    <w:p w:rsidR="00085FB9" w:rsidRPr="00085FB9" w:rsidRDefault="00085FB9" w:rsidP="00085FB9">
      <w:pPr>
        <w:rPr>
          <w:szCs w:val="22"/>
          <w:lang w:val="en-US"/>
        </w:rPr>
      </w:pPr>
    </w:p>
    <w:p w:rsidR="00085FB9" w:rsidRPr="00085FB9" w:rsidRDefault="00085FB9" w:rsidP="00085FB9">
      <w:pPr>
        <w:tabs>
          <w:tab w:val="left" w:pos="0"/>
        </w:tabs>
        <w:rPr>
          <w:szCs w:val="22"/>
          <w:lang w:val="en-US"/>
        </w:rPr>
      </w:pPr>
      <w:r w:rsidRPr="00085FB9">
        <w:rPr>
          <w:szCs w:val="22"/>
          <w:lang w:val="en-US"/>
        </w:rPr>
        <w:t xml:space="preserve">The main challenges in the creation of our database are the identification of unique applicants and their RUT as a unique identifier (for entities registered in </w:t>
      </w:r>
      <w:smartTag w:uri="urn:schemas-microsoft-com:office:smarttags" w:element="place">
        <w:smartTag w:uri="urn:schemas-microsoft-com:office:smarttags" w:element="country-region">
          <w:r w:rsidRPr="00085FB9">
            <w:rPr>
              <w:szCs w:val="22"/>
              <w:lang w:val="en-US"/>
            </w:rPr>
            <w:t>Chile</w:t>
          </w:r>
        </w:smartTag>
      </w:smartTag>
      <w:r w:rsidRPr="00085FB9">
        <w:rPr>
          <w:szCs w:val="22"/>
          <w:lang w:val="en-US"/>
        </w:rPr>
        <w:t>).  To identify unique applicants and RUTs, information on applicant names, the corresponding country of origin and RUT in case of domestic applicants was required.</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There is an important difference between the trademark and patent data:  while trademark applicants are required to provide a RUT, this is not the case for patent applicants.  This implies that there is no information on RUTs in the patent data regardless of the nationality of the applicant.  While trademark applicants are required to provide a RUT, this does not automatically imply that the RUT provided is valid and/or belongs to the applicant name provided on the application form.  While in principle the RUT is only applicable to companies registered in Chile,</w:t>
      </w:r>
      <w:r w:rsidRPr="00085FB9">
        <w:rPr>
          <w:szCs w:val="22"/>
          <w:vertAlign w:val="superscript"/>
          <w:lang w:val="en-US"/>
        </w:rPr>
        <w:footnoteReference w:id="55"/>
      </w:r>
      <w:r w:rsidRPr="00085FB9">
        <w:rPr>
          <w:szCs w:val="22"/>
          <w:lang w:val="en-US"/>
        </w:rPr>
        <w:t xml:space="preserve"> as shown in Table A3 foreign companies may still report a RUT, which is in most cases either that of a Chilean legal representative or an artificial RUT assigned by Chilean administrative bodies to foreign companies (this RUT does not uniquely identify the foreign company instead it is that of for example INAPI).  In both cases, there is no unique correspondence between the RUT and the foreign applicant.</w:t>
      </w:r>
    </w:p>
    <w:p w:rsidR="00085FB9" w:rsidRPr="00085FB9" w:rsidRDefault="00085FB9" w:rsidP="00085FB9">
      <w:pPr>
        <w:tabs>
          <w:tab w:val="left" w:pos="0"/>
        </w:tabs>
        <w:rPr>
          <w:szCs w:val="22"/>
          <w:lang w:val="en-US"/>
        </w:rPr>
      </w:pPr>
    </w:p>
    <w:p w:rsidR="00085FB9" w:rsidRPr="00085FB9" w:rsidRDefault="00085FB9" w:rsidP="00085FB9">
      <w:pPr>
        <w:tabs>
          <w:tab w:val="left" w:pos="0"/>
        </w:tabs>
        <w:rPr>
          <w:lang w:val="en-US"/>
        </w:rPr>
      </w:pPr>
      <w:r w:rsidRPr="00085FB9">
        <w:rPr>
          <w:lang w:val="en-US"/>
        </w:rPr>
        <w:t xml:space="preserve">Therefore, there are two distinct problems.  First, we need to identify unique applicants.  The second problem consists in assigning a valid RUT to each domestic applicant where the RUT is unique in the sense that it is only assigned to a unique applicant.  However, an applicant may still be found to have more than a single RUT, as will be explained in more detail below. </w:t>
      </w:r>
    </w:p>
    <w:p w:rsidR="00085FB9" w:rsidRPr="00085FB9" w:rsidRDefault="00085FB9" w:rsidP="00085FB9">
      <w:pPr>
        <w:tabs>
          <w:tab w:val="left" w:pos="0"/>
        </w:tabs>
        <w:rPr>
          <w:bCs/>
          <w:iCs/>
          <w:caps/>
          <w:szCs w:val="22"/>
          <w:lang w:val="en-US"/>
        </w:rPr>
      </w:pPr>
    </w:p>
    <w:p w:rsidR="00085FB9" w:rsidRPr="00085FB9" w:rsidRDefault="00085FB9" w:rsidP="00085FB9">
      <w:pPr>
        <w:keepNext/>
        <w:outlineLvl w:val="2"/>
        <w:rPr>
          <w:b/>
          <w:szCs w:val="26"/>
          <w:lang w:val="en-US"/>
        </w:rPr>
      </w:pPr>
      <w:bookmarkStart w:id="33" w:name="_Toc333252985"/>
      <w:bookmarkStart w:id="34" w:name="_Toc352163340"/>
      <w:r w:rsidRPr="00085FB9">
        <w:rPr>
          <w:b/>
          <w:szCs w:val="26"/>
          <w:lang w:val="en-US"/>
        </w:rPr>
        <w:t>2.3.1 Identification of unique RUT for each applicant</w:t>
      </w:r>
      <w:bookmarkEnd w:id="33"/>
      <w:bookmarkEnd w:id="34"/>
    </w:p>
    <w:p w:rsidR="00085FB9" w:rsidRPr="00085FB9" w:rsidRDefault="00085FB9" w:rsidP="00085FB9">
      <w:pPr>
        <w:rPr>
          <w:szCs w:val="22"/>
          <w:lang w:val="en-US"/>
        </w:rPr>
      </w:pPr>
    </w:p>
    <w:p w:rsidR="00085FB9" w:rsidRPr="00085FB9" w:rsidRDefault="00085FB9" w:rsidP="00085FB9">
      <w:pPr>
        <w:tabs>
          <w:tab w:val="left" w:pos="0"/>
        </w:tabs>
        <w:rPr>
          <w:szCs w:val="22"/>
          <w:lang w:val="en-US"/>
        </w:rPr>
      </w:pPr>
      <w:r w:rsidRPr="00085FB9">
        <w:rPr>
          <w:szCs w:val="22"/>
          <w:lang w:val="en-US"/>
        </w:rPr>
        <w:t>The first problem consists in the identification of unique applicants.  The problem arises among other for the following reasons:</w:t>
      </w:r>
    </w:p>
    <w:p w:rsidR="00085FB9" w:rsidRPr="00085FB9" w:rsidRDefault="00085FB9" w:rsidP="00085FB9">
      <w:pPr>
        <w:tabs>
          <w:tab w:val="left" w:pos="0"/>
        </w:tabs>
        <w:rPr>
          <w:szCs w:val="22"/>
          <w:lang w:val="en-US"/>
        </w:rPr>
      </w:pPr>
    </w:p>
    <w:p w:rsidR="00085FB9" w:rsidRPr="00085FB9" w:rsidRDefault="00085FB9" w:rsidP="004C3144">
      <w:pPr>
        <w:numPr>
          <w:ilvl w:val="0"/>
          <w:numId w:val="6"/>
        </w:numPr>
        <w:tabs>
          <w:tab w:val="left" w:pos="0"/>
        </w:tabs>
        <w:ind w:left="0" w:firstLine="0"/>
        <w:contextualSpacing/>
        <w:rPr>
          <w:rFonts w:eastAsia="MS Mincho"/>
          <w:b/>
          <w:szCs w:val="22"/>
          <w:lang w:val="en-US" w:eastAsia="en-US"/>
        </w:rPr>
      </w:pPr>
      <w:r w:rsidRPr="00085FB9">
        <w:rPr>
          <w:rFonts w:eastAsia="MS Mincho"/>
          <w:b/>
          <w:szCs w:val="22"/>
          <w:lang w:val="en-US" w:eastAsia="en-US"/>
        </w:rPr>
        <w:t>Same name written in multiple ways</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There is no standard format to enter the name of an applicant.  This implies that it is not possible to identify automatically the different applications made by the same entity.  Also, there is no unique way of spelling an applicant name or the legal form of companies.  For example, the same company can be registered as “</w:t>
      </w:r>
      <w:proofErr w:type="spellStart"/>
      <w:r w:rsidRPr="00085FB9">
        <w:rPr>
          <w:szCs w:val="22"/>
          <w:lang w:val="en-US"/>
        </w:rPr>
        <w:t>sociedad</w:t>
      </w:r>
      <w:proofErr w:type="spellEnd"/>
      <w:r w:rsidRPr="00085FB9">
        <w:rPr>
          <w:szCs w:val="22"/>
          <w:lang w:val="en-US"/>
        </w:rPr>
        <w:t xml:space="preserve"> </w:t>
      </w:r>
      <w:proofErr w:type="spellStart"/>
      <w:r w:rsidRPr="00085FB9">
        <w:rPr>
          <w:szCs w:val="22"/>
          <w:lang w:val="en-US"/>
        </w:rPr>
        <w:t>anonima</w:t>
      </w:r>
      <w:proofErr w:type="spellEnd"/>
      <w:r w:rsidRPr="00085FB9">
        <w:rPr>
          <w:szCs w:val="22"/>
          <w:lang w:val="en-US"/>
        </w:rPr>
        <w:t>”, “</w:t>
      </w:r>
      <w:proofErr w:type="spellStart"/>
      <w:r w:rsidRPr="00085FB9">
        <w:rPr>
          <w:szCs w:val="22"/>
          <w:lang w:val="en-US"/>
        </w:rPr>
        <w:t>sa</w:t>
      </w:r>
      <w:proofErr w:type="spellEnd"/>
      <w:r w:rsidRPr="00085FB9">
        <w:rPr>
          <w:szCs w:val="22"/>
          <w:lang w:val="en-US"/>
        </w:rPr>
        <w:t>” or “</w:t>
      </w:r>
      <w:proofErr w:type="spellStart"/>
      <w:r w:rsidRPr="00085FB9">
        <w:rPr>
          <w:szCs w:val="22"/>
          <w:lang w:val="en-US"/>
        </w:rPr>
        <w:t>soc</w:t>
      </w:r>
      <w:proofErr w:type="spellEnd"/>
      <w:r w:rsidRPr="00085FB9">
        <w:rPr>
          <w:szCs w:val="22"/>
          <w:lang w:val="en-US"/>
        </w:rPr>
        <w:t xml:space="preserve"> </w:t>
      </w:r>
      <w:proofErr w:type="spellStart"/>
      <w:r w:rsidRPr="00085FB9">
        <w:rPr>
          <w:szCs w:val="22"/>
          <w:lang w:val="en-US"/>
        </w:rPr>
        <w:t>anom</w:t>
      </w:r>
      <w:proofErr w:type="spellEnd"/>
      <w:r w:rsidRPr="00085FB9">
        <w:rPr>
          <w:szCs w:val="22"/>
          <w:lang w:val="en-US"/>
        </w:rPr>
        <w:t xml:space="preserve">”.  Applicant names may also appear in various shuffled forms, such </w:t>
      </w:r>
      <w:proofErr w:type="gramStart"/>
      <w:r w:rsidRPr="00085FB9">
        <w:rPr>
          <w:szCs w:val="22"/>
          <w:lang w:val="en-US"/>
        </w:rPr>
        <w:t>as ”</w:t>
      </w:r>
      <w:proofErr w:type="gramEnd"/>
      <w:r w:rsidRPr="00085FB9">
        <w:rPr>
          <w:szCs w:val="22"/>
          <w:lang w:val="en-US"/>
        </w:rPr>
        <w:t xml:space="preserve">Jaime Ignacio Mendez </w:t>
      </w:r>
      <w:proofErr w:type="spellStart"/>
      <w:r w:rsidRPr="00085FB9">
        <w:rPr>
          <w:szCs w:val="22"/>
          <w:lang w:val="en-US"/>
        </w:rPr>
        <w:t>Reveco</w:t>
      </w:r>
      <w:proofErr w:type="spellEnd"/>
      <w:r w:rsidRPr="00085FB9">
        <w:rPr>
          <w:szCs w:val="22"/>
          <w:lang w:val="en-US"/>
        </w:rPr>
        <w:t xml:space="preserve">” who can also be found as ”Mendez </w:t>
      </w:r>
      <w:proofErr w:type="spellStart"/>
      <w:r w:rsidRPr="00085FB9">
        <w:rPr>
          <w:szCs w:val="22"/>
          <w:lang w:val="en-US"/>
        </w:rPr>
        <w:t>Reveco</w:t>
      </w:r>
      <w:proofErr w:type="spellEnd"/>
      <w:r w:rsidRPr="00085FB9">
        <w:rPr>
          <w:szCs w:val="22"/>
          <w:lang w:val="en-US"/>
        </w:rPr>
        <w:t xml:space="preserve"> Jaime Ignacio.”  A problem also arises in the case of abbreviations and acronyms, such as “</w:t>
      </w:r>
      <w:proofErr w:type="spellStart"/>
      <w:r w:rsidRPr="00085FB9">
        <w:rPr>
          <w:szCs w:val="22"/>
          <w:lang w:val="en-US"/>
        </w:rPr>
        <w:t>Pontificia</w:t>
      </w:r>
      <w:proofErr w:type="spellEnd"/>
      <w:r w:rsidRPr="00085FB9">
        <w:rPr>
          <w:szCs w:val="22"/>
          <w:lang w:val="en-US"/>
        </w:rPr>
        <w:t xml:space="preserve"> Universidad </w:t>
      </w:r>
      <w:proofErr w:type="spellStart"/>
      <w:r w:rsidRPr="00085FB9">
        <w:rPr>
          <w:szCs w:val="22"/>
          <w:lang w:val="en-US"/>
        </w:rPr>
        <w:t>Catolica</w:t>
      </w:r>
      <w:proofErr w:type="spellEnd"/>
      <w:r w:rsidRPr="00085FB9">
        <w:rPr>
          <w:szCs w:val="22"/>
          <w:lang w:val="en-US"/>
        </w:rPr>
        <w:t xml:space="preserve"> de Chile” which can be found also as “PUC”. </w:t>
      </w:r>
    </w:p>
    <w:p w:rsidR="00085FB9" w:rsidRPr="00085FB9" w:rsidRDefault="00085FB9" w:rsidP="00085FB9">
      <w:pPr>
        <w:tabs>
          <w:tab w:val="left" w:pos="0"/>
        </w:tabs>
        <w:rPr>
          <w:szCs w:val="22"/>
          <w:lang w:val="en-US"/>
        </w:rPr>
      </w:pPr>
    </w:p>
    <w:p w:rsidR="00085FB9" w:rsidRPr="00085FB9" w:rsidRDefault="00085FB9" w:rsidP="004C3144">
      <w:pPr>
        <w:numPr>
          <w:ilvl w:val="0"/>
          <w:numId w:val="6"/>
        </w:numPr>
        <w:tabs>
          <w:tab w:val="left" w:pos="0"/>
        </w:tabs>
        <w:ind w:left="0" w:firstLine="0"/>
        <w:contextualSpacing/>
        <w:rPr>
          <w:rFonts w:eastAsia="MS Mincho"/>
          <w:b/>
          <w:szCs w:val="22"/>
          <w:lang w:val="en-US" w:eastAsia="en-US"/>
        </w:rPr>
      </w:pPr>
      <w:r w:rsidRPr="00085FB9">
        <w:rPr>
          <w:rFonts w:eastAsia="MS Mincho"/>
          <w:b/>
          <w:szCs w:val="22"/>
          <w:lang w:val="en-US" w:eastAsia="en-US"/>
        </w:rPr>
        <w:t>Spelling mistakes</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Due to the lack of an automatic spell check, applicant names may be misspelled.  This applies equally to foreign and national applicants.  This may involve minor omissions such as in the example of “</w:t>
      </w:r>
      <w:proofErr w:type="spellStart"/>
      <w:r w:rsidRPr="00085FB9">
        <w:rPr>
          <w:szCs w:val="22"/>
          <w:lang w:val="en-US"/>
        </w:rPr>
        <w:t>Tresmontes</w:t>
      </w:r>
      <w:proofErr w:type="spellEnd"/>
      <w:r w:rsidRPr="00085FB9">
        <w:rPr>
          <w:szCs w:val="22"/>
          <w:lang w:val="en-US"/>
        </w:rPr>
        <w:t xml:space="preserve"> </w:t>
      </w:r>
      <w:proofErr w:type="spellStart"/>
      <w:r w:rsidRPr="00085FB9">
        <w:rPr>
          <w:szCs w:val="22"/>
          <w:lang w:val="en-US"/>
        </w:rPr>
        <w:t>Lucchetti</w:t>
      </w:r>
      <w:proofErr w:type="spellEnd"/>
      <w:r w:rsidRPr="00085FB9">
        <w:rPr>
          <w:szCs w:val="22"/>
          <w:lang w:val="en-US"/>
        </w:rPr>
        <w:t xml:space="preserve"> </w:t>
      </w:r>
      <w:proofErr w:type="spellStart"/>
      <w:proofErr w:type="gramStart"/>
      <w:r w:rsidRPr="00085FB9">
        <w:rPr>
          <w:szCs w:val="22"/>
          <w:lang w:val="en-US"/>
        </w:rPr>
        <w:t>sa</w:t>
      </w:r>
      <w:proofErr w:type="spellEnd"/>
      <w:proofErr w:type="gramEnd"/>
      <w:r w:rsidRPr="00085FB9">
        <w:rPr>
          <w:szCs w:val="22"/>
          <w:lang w:val="en-US"/>
        </w:rPr>
        <w:t>” which also appears as “</w:t>
      </w:r>
      <w:proofErr w:type="spellStart"/>
      <w:r w:rsidRPr="00085FB9">
        <w:rPr>
          <w:szCs w:val="22"/>
          <w:lang w:val="en-US"/>
        </w:rPr>
        <w:t>Tresmontes</w:t>
      </w:r>
      <w:proofErr w:type="spellEnd"/>
      <w:r w:rsidRPr="00085FB9">
        <w:rPr>
          <w:szCs w:val="22"/>
          <w:lang w:val="en-US"/>
        </w:rPr>
        <w:t xml:space="preserve"> </w:t>
      </w:r>
      <w:proofErr w:type="spellStart"/>
      <w:r w:rsidRPr="00085FB9">
        <w:rPr>
          <w:szCs w:val="22"/>
          <w:lang w:val="en-US"/>
        </w:rPr>
        <w:t>Luchetti</w:t>
      </w:r>
      <w:proofErr w:type="spellEnd"/>
      <w:r w:rsidRPr="00085FB9">
        <w:rPr>
          <w:szCs w:val="22"/>
          <w:lang w:val="en-US"/>
        </w:rPr>
        <w:t xml:space="preserve"> </w:t>
      </w:r>
      <w:proofErr w:type="spellStart"/>
      <w:r w:rsidRPr="00085FB9">
        <w:rPr>
          <w:szCs w:val="22"/>
          <w:lang w:val="en-US"/>
        </w:rPr>
        <w:t>sa</w:t>
      </w:r>
      <w:proofErr w:type="spellEnd"/>
      <w:r w:rsidRPr="00085FB9">
        <w:rPr>
          <w:szCs w:val="22"/>
          <w:lang w:val="en-US"/>
        </w:rPr>
        <w:t>” or “</w:t>
      </w:r>
      <w:proofErr w:type="spellStart"/>
      <w:r w:rsidRPr="00085FB9">
        <w:rPr>
          <w:szCs w:val="22"/>
          <w:lang w:val="en-US"/>
        </w:rPr>
        <w:t>Tresmontes</w:t>
      </w:r>
      <w:proofErr w:type="spellEnd"/>
      <w:r w:rsidRPr="00085FB9">
        <w:rPr>
          <w:szCs w:val="22"/>
          <w:lang w:val="en-US"/>
        </w:rPr>
        <w:t xml:space="preserve"> </w:t>
      </w:r>
      <w:proofErr w:type="spellStart"/>
      <w:r w:rsidRPr="00085FB9">
        <w:rPr>
          <w:szCs w:val="22"/>
          <w:lang w:val="en-US"/>
        </w:rPr>
        <w:t>Lucheti</w:t>
      </w:r>
      <w:proofErr w:type="spellEnd"/>
      <w:r w:rsidRPr="00085FB9">
        <w:rPr>
          <w:szCs w:val="22"/>
          <w:lang w:val="en-US"/>
        </w:rPr>
        <w:t xml:space="preserve"> </w:t>
      </w:r>
      <w:proofErr w:type="spellStart"/>
      <w:r w:rsidRPr="00085FB9">
        <w:rPr>
          <w:szCs w:val="22"/>
          <w:lang w:val="en-US"/>
        </w:rPr>
        <w:t>sa</w:t>
      </w:r>
      <w:proofErr w:type="spellEnd"/>
      <w:r w:rsidRPr="00085FB9">
        <w:rPr>
          <w:szCs w:val="22"/>
          <w:lang w:val="en-US"/>
        </w:rPr>
        <w:t>”.  It may also involve cases were names can only be guessed due to numerous misspellings.  For example the name “</w:t>
      </w:r>
      <w:proofErr w:type="spellStart"/>
      <w:r w:rsidRPr="00085FB9">
        <w:rPr>
          <w:szCs w:val="22"/>
          <w:lang w:val="en-US"/>
        </w:rPr>
        <w:t>Garrido</w:t>
      </w:r>
      <w:proofErr w:type="spellEnd"/>
      <w:r w:rsidRPr="00085FB9">
        <w:rPr>
          <w:szCs w:val="22"/>
          <w:lang w:val="en-US"/>
        </w:rPr>
        <w:t xml:space="preserve"> </w:t>
      </w:r>
      <w:proofErr w:type="spellStart"/>
      <w:r w:rsidRPr="00085FB9">
        <w:rPr>
          <w:szCs w:val="22"/>
          <w:lang w:val="en-US"/>
        </w:rPr>
        <w:t>Badilla</w:t>
      </w:r>
      <w:proofErr w:type="spellEnd"/>
      <w:r w:rsidRPr="00085FB9">
        <w:rPr>
          <w:szCs w:val="22"/>
          <w:lang w:val="en-US"/>
        </w:rPr>
        <w:t xml:space="preserve"> Aide” was found also as “</w:t>
      </w:r>
      <w:proofErr w:type="spellStart"/>
      <w:r w:rsidRPr="00085FB9">
        <w:rPr>
          <w:szCs w:val="22"/>
          <w:lang w:val="en-US"/>
        </w:rPr>
        <w:t>Garrido</w:t>
      </w:r>
      <w:proofErr w:type="spellEnd"/>
      <w:r w:rsidRPr="00085FB9">
        <w:rPr>
          <w:szCs w:val="22"/>
          <w:lang w:val="en-US"/>
        </w:rPr>
        <w:t xml:space="preserve"> </w:t>
      </w:r>
      <w:proofErr w:type="spellStart"/>
      <w:r w:rsidRPr="00085FB9">
        <w:rPr>
          <w:szCs w:val="22"/>
          <w:lang w:val="en-US"/>
        </w:rPr>
        <w:t>Badilla</w:t>
      </w:r>
      <w:proofErr w:type="spellEnd"/>
      <w:r w:rsidRPr="00085FB9">
        <w:rPr>
          <w:szCs w:val="22"/>
          <w:lang w:val="en-US"/>
        </w:rPr>
        <w:t xml:space="preserve"> </w:t>
      </w:r>
      <w:proofErr w:type="spellStart"/>
      <w:r w:rsidRPr="00085FB9">
        <w:rPr>
          <w:szCs w:val="22"/>
          <w:lang w:val="en-US"/>
        </w:rPr>
        <w:t>Haydee</w:t>
      </w:r>
      <w:proofErr w:type="spellEnd"/>
      <w:r w:rsidRPr="00085FB9">
        <w:rPr>
          <w:szCs w:val="22"/>
          <w:lang w:val="en-US"/>
        </w:rPr>
        <w:t>”.</w:t>
      </w:r>
    </w:p>
    <w:p w:rsidR="00085FB9" w:rsidRPr="00085FB9" w:rsidRDefault="00085FB9" w:rsidP="00085FB9">
      <w:pPr>
        <w:tabs>
          <w:tab w:val="left" w:pos="0"/>
        </w:tabs>
        <w:jc w:val="both"/>
        <w:rPr>
          <w:szCs w:val="22"/>
          <w:lang w:val="en-US"/>
        </w:rPr>
      </w:pPr>
    </w:p>
    <w:p w:rsidR="00085FB9" w:rsidRPr="00085FB9" w:rsidRDefault="00085FB9" w:rsidP="004C3144">
      <w:pPr>
        <w:numPr>
          <w:ilvl w:val="0"/>
          <w:numId w:val="6"/>
        </w:numPr>
        <w:tabs>
          <w:tab w:val="left" w:pos="0"/>
        </w:tabs>
        <w:ind w:left="0" w:firstLine="0"/>
        <w:contextualSpacing/>
        <w:rPr>
          <w:rFonts w:eastAsia="MS Mincho"/>
          <w:b/>
          <w:szCs w:val="22"/>
          <w:lang w:val="en-US" w:eastAsia="en-US"/>
        </w:rPr>
      </w:pPr>
      <w:r w:rsidRPr="00085FB9">
        <w:rPr>
          <w:rFonts w:eastAsia="MS Mincho"/>
          <w:b/>
          <w:szCs w:val="22"/>
          <w:lang w:val="en-US" w:eastAsia="en-US"/>
        </w:rPr>
        <w:br w:type="page"/>
      </w:r>
      <w:r w:rsidRPr="00085FB9">
        <w:rPr>
          <w:rFonts w:eastAsia="MS Mincho"/>
          <w:b/>
          <w:szCs w:val="22"/>
          <w:lang w:val="en-US" w:eastAsia="en-US"/>
        </w:rPr>
        <w:lastRenderedPageBreak/>
        <w:t xml:space="preserve">Names contain additional information </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Applicant names may contain additional information beyond the name.  Companies may for example provide information on their legal registration form.  A large number of foreign applications contain information about their geographic origin (e.g. “</w:t>
      </w:r>
      <w:proofErr w:type="spellStart"/>
      <w:r w:rsidRPr="00085FB9">
        <w:rPr>
          <w:szCs w:val="22"/>
          <w:lang w:val="en-US"/>
        </w:rPr>
        <w:t>sociedad</w:t>
      </w:r>
      <w:proofErr w:type="spellEnd"/>
      <w:r w:rsidRPr="00085FB9">
        <w:rPr>
          <w:szCs w:val="22"/>
          <w:lang w:val="en-US"/>
        </w:rPr>
        <w:t xml:space="preserve"> </w:t>
      </w:r>
      <w:proofErr w:type="spellStart"/>
      <w:r w:rsidRPr="00085FB9">
        <w:rPr>
          <w:szCs w:val="22"/>
          <w:lang w:val="en-US"/>
        </w:rPr>
        <w:t>anonima</w:t>
      </w:r>
      <w:proofErr w:type="spellEnd"/>
      <w:r w:rsidRPr="00085FB9">
        <w:rPr>
          <w:szCs w:val="22"/>
          <w:lang w:val="en-US"/>
        </w:rPr>
        <w:t xml:space="preserve"> </w:t>
      </w:r>
      <w:proofErr w:type="spellStart"/>
      <w:r w:rsidRPr="00085FB9">
        <w:rPr>
          <w:szCs w:val="22"/>
          <w:lang w:val="en-US"/>
        </w:rPr>
        <w:t>organizada</w:t>
      </w:r>
      <w:proofErr w:type="spellEnd"/>
      <w:r w:rsidRPr="00085FB9">
        <w:rPr>
          <w:szCs w:val="22"/>
          <w:lang w:val="en-US"/>
        </w:rPr>
        <w:t xml:space="preserve"> en </w:t>
      </w:r>
      <w:proofErr w:type="spellStart"/>
      <w:r w:rsidRPr="00085FB9">
        <w:rPr>
          <w:szCs w:val="22"/>
          <w:lang w:val="en-US"/>
        </w:rPr>
        <w:t>conformidad</w:t>
      </w:r>
      <w:proofErr w:type="spellEnd"/>
      <w:r w:rsidRPr="00085FB9">
        <w:rPr>
          <w:szCs w:val="22"/>
          <w:lang w:val="en-US"/>
        </w:rPr>
        <w:t xml:space="preserve"> a </w:t>
      </w:r>
      <w:proofErr w:type="spellStart"/>
      <w:r w:rsidRPr="00085FB9">
        <w:rPr>
          <w:szCs w:val="22"/>
          <w:lang w:val="en-US"/>
        </w:rPr>
        <w:t>las</w:t>
      </w:r>
      <w:proofErr w:type="spellEnd"/>
      <w:r w:rsidRPr="00085FB9">
        <w:rPr>
          <w:szCs w:val="22"/>
          <w:lang w:val="en-US"/>
        </w:rPr>
        <w:t xml:space="preserve"> </w:t>
      </w:r>
      <w:proofErr w:type="spellStart"/>
      <w:r w:rsidRPr="00085FB9">
        <w:rPr>
          <w:szCs w:val="22"/>
          <w:lang w:val="en-US"/>
        </w:rPr>
        <w:t>leyes</w:t>
      </w:r>
      <w:proofErr w:type="spellEnd"/>
      <w:r w:rsidRPr="00085FB9">
        <w:rPr>
          <w:szCs w:val="22"/>
          <w:lang w:val="en-US"/>
        </w:rPr>
        <w:t xml:space="preserve"> </w:t>
      </w:r>
      <w:smartTag w:uri="urn:schemas-microsoft-com:office:smarttags" w:element="State">
        <w:r w:rsidRPr="00085FB9">
          <w:rPr>
            <w:szCs w:val="22"/>
            <w:lang w:val="en-US"/>
          </w:rPr>
          <w:t>del</w:t>
        </w:r>
      </w:smartTag>
      <w:r w:rsidRPr="00085FB9">
        <w:rPr>
          <w:szCs w:val="22"/>
          <w:lang w:val="en-US"/>
        </w:rPr>
        <w:t xml:space="preserve"> </w:t>
      </w:r>
      <w:proofErr w:type="spellStart"/>
      <w:r w:rsidRPr="00085FB9">
        <w:rPr>
          <w:szCs w:val="22"/>
          <w:lang w:val="en-US"/>
        </w:rPr>
        <w:t>estado</w:t>
      </w:r>
      <w:proofErr w:type="spellEnd"/>
      <w:r w:rsidRPr="00085FB9">
        <w:rPr>
          <w:szCs w:val="22"/>
          <w:lang w:val="en-US"/>
        </w:rPr>
        <w:t xml:space="preserve"> de </w:t>
      </w:r>
      <w:smartTag w:uri="urn:schemas-microsoft-com:office:smarttags" w:element="place">
        <w:smartTag w:uri="urn:schemas-microsoft-com:office:smarttags" w:element="State">
          <w:r w:rsidRPr="00085FB9">
            <w:rPr>
              <w:szCs w:val="22"/>
              <w:lang w:val="en-US"/>
            </w:rPr>
            <w:t>Pennsylvania</w:t>
          </w:r>
        </w:smartTag>
      </w:smartTag>
      <w:r w:rsidRPr="00085FB9">
        <w:rPr>
          <w:szCs w:val="22"/>
          <w:lang w:val="en-US"/>
        </w:rPr>
        <w:t xml:space="preserve">”).  Also, in some cases there is information on the designation of the origin of a trademark or the percentage of ownership in case of jointly owned patents (e.g. “34 Universidad </w:t>
      </w:r>
      <w:proofErr w:type="spellStart"/>
      <w:r w:rsidRPr="00085FB9">
        <w:rPr>
          <w:szCs w:val="22"/>
          <w:lang w:val="en-US"/>
        </w:rPr>
        <w:t>Catolica</w:t>
      </w:r>
      <w:proofErr w:type="spellEnd"/>
      <w:r w:rsidRPr="00085FB9">
        <w:rPr>
          <w:szCs w:val="22"/>
          <w:lang w:val="en-US"/>
        </w:rPr>
        <w:t xml:space="preserve"> </w:t>
      </w:r>
      <w:smartTag w:uri="urn:schemas-microsoft-com:office:smarttags" w:element="place">
        <w:smartTag w:uri="urn:schemas-microsoft-com:office:smarttags" w:element="country-region">
          <w:r w:rsidRPr="00085FB9">
            <w:rPr>
              <w:szCs w:val="22"/>
              <w:lang w:val="en-US"/>
            </w:rPr>
            <w:t>Chile</w:t>
          </w:r>
        </w:smartTag>
      </w:smartTag>
      <w:r w:rsidRPr="00085FB9">
        <w:rPr>
          <w:szCs w:val="22"/>
          <w:lang w:val="en-US"/>
        </w:rPr>
        <w:t xml:space="preserve"> 36 </w:t>
      </w:r>
      <w:proofErr w:type="spellStart"/>
      <w:r w:rsidRPr="00085FB9">
        <w:rPr>
          <w:szCs w:val="22"/>
          <w:lang w:val="en-US"/>
        </w:rPr>
        <w:t>Rossana</w:t>
      </w:r>
      <w:proofErr w:type="spellEnd"/>
      <w:r w:rsidRPr="00085FB9">
        <w:rPr>
          <w:szCs w:val="22"/>
          <w:lang w:val="en-US"/>
        </w:rPr>
        <w:t xml:space="preserve"> </w:t>
      </w:r>
      <w:proofErr w:type="spellStart"/>
      <w:r w:rsidRPr="00085FB9">
        <w:rPr>
          <w:szCs w:val="22"/>
          <w:lang w:val="en-US"/>
        </w:rPr>
        <w:t>Ginocchio</w:t>
      </w:r>
      <w:proofErr w:type="spellEnd"/>
      <w:r w:rsidRPr="00085FB9">
        <w:rPr>
          <w:szCs w:val="22"/>
          <w:lang w:val="en-US"/>
        </w:rPr>
        <w:t xml:space="preserve"> 20 </w:t>
      </w:r>
      <w:proofErr w:type="spellStart"/>
      <w:r w:rsidRPr="00085FB9">
        <w:rPr>
          <w:szCs w:val="22"/>
          <w:lang w:val="en-US"/>
        </w:rPr>
        <w:t>Cimm</w:t>
      </w:r>
      <w:proofErr w:type="spellEnd"/>
      <w:r w:rsidRPr="00085FB9">
        <w:rPr>
          <w:szCs w:val="22"/>
          <w:lang w:val="en-US"/>
        </w:rPr>
        <w:t xml:space="preserve"> 10 Miguel Herrera </w:t>
      </w:r>
      <w:proofErr w:type="spellStart"/>
      <w:r w:rsidRPr="00085FB9">
        <w:rPr>
          <w:szCs w:val="22"/>
          <w:lang w:val="en-US"/>
        </w:rPr>
        <w:t>Marchant</w:t>
      </w:r>
      <w:proofErr w:type="spellEnd"/>
      <w:r w:rsidRPr="00085FB9">
        <w:rPr>
          <w:szCs w:val="22"/>
          <w:lang w:val="en-US"/>
        </w:rPr>
        <w:t xml:space="preserve">”). </w:t>
      </w:r>
    </w:p>
    <w:p w:rsidR="00085FB9" w:rsidRPr="00085FB9" w:rsidRDefault="00085FB9" w:rsidP="00085FB9">
      <w:pPr>
        <w:tabs>
          <w:tab w:val="left" w:pos="0"/>
        </w:tabs>
        <w:rPr>
          <w:szCs w:val="22"/>
          <w:lang w:val="en-US"/>
        </w:rPr>
      </w:pPr>
    </w:p>
    <w:p w:rsidR="00085FB9" w:rsidRPr="00085FB9" w:rsidRDefault="00085FB9" w:rsidP="004C3144">
      <w:pPr>
        <w:numPr>
          <w:ilvl w:val="0"/>
          <w:numId w:val="6"/>
        </w:numPr>
        <w:tabs>
          <w:tab w:val="left" w:pos="0"/>
        </w:tabs>
        <w:ind w:left="0" w:firstLine="0"/>
        <w:contextualSpacing/>
        <w:rPr>
          <w:rFonts w:eastAsia="MS Mincho"/>
          <w:b/>
          <w:szCs w:val="22"/>
          <w:lang w:val="en-US" w:eastAsia="en-US"/>
        </w:rPr>
      </w:pPr>
      <w:r w:rsidRPr="00085FB9">
        <w:rPr>
          <w:rFonts w:eastAsia="MS Mincho"/>
          <w:b/>
          <w:szCs w:val="22"/>
          <w:lang w:val="en-US" w:eastAsia="en-US"/>
        </w:rPr>
        <w:t>Name changes over time</w:t>
      </w:r>
    </w:p>
    <w:p w:rsidR="00085FB9" w:rsidRPr="00085FB9" w:rsidRDefault="00085FB9" w:rsidP="00085FB9">
      <w:pPr>
        <w:tabs>
          <w:tab w:val="left" w:pos="0"/>
        </w:tabs>
        <w:contextualSpacing/>
        <w:rPr>
          <w:rFonts w:eastAsia="MS Mincho"/>
          <w:szCs w:val="22"/>
          <w:lang w:val="en-US" w:eastAsia="en-US"/>
        </w:rPr>
      </w:pPr>
    </w:p>
    <w:p w:rsidR="00085FB9" w:rsidRPr="00085FB9" w:rsidRDefault="00085FB9" w:rsidP="00085FB9">
      <w:pPr>
        <w:tabs>
          <w:tab w:val="left" w:pos="0"/>
        </w:tabs>
        <w:rPr>
          <w:szCs w:val="22"/>
          <w:lang w:val="en-US"/>
        </w:rPr>
      </w:pPr>
      <w:r w:rsidRPr="00085FB9">
        <w:rPr>
          <w:szCs w:val="22"/>
          <w:lang w:val="en-US"/>
        </w:rPr>
        <w:t xml:space="preserve">There are several reasons why company names change over time.  It can be the result of a merger, the acquisition by another company or simply a decision by the company to change its trading name.  INAPI´s database does not keep track of such </w:t>
      </w:r>
      <w:proofErr w:type="gramStart"/>
      <w:r w:rsidRPr="00085FB9">
        <w:rPr>
          <w:szCs w:val="22"/>
          <w:lang w:val="en-US"/>
        </w:rPr>
        <w:t>changes which means</w:t>
      </w:r>
      <w:proofErr w:type="gramEnd"/>
      <w:r w:rsidRPr="00085FB9">
        <w:rPr>
          <w:szCs w:val="22"/>
          <w:lang w:val="en-US"/>
        </w:rPr>
        <w:t xml:space="preserve"> that different applications by the same company cannot be identified in case it has changed its name.  For example, the company “</w:t>
      </w:r>
      <w:proofErr w:type="spellStart"/>
      <w:r w:rsidRPr="00085FB9">
        <w:rPr>
          <w:szCs w:val="22"/>
          <w:lang w:val="en-US"/>
        </w:rPr>
        <w:t>Luchetti</w:t>
      </w:r>
      <w:proofErr w:type="spellEnd"/>
      <w:r w:rsidRPr="00085FB9">
        <w:rPr>
          <w:szCs w:val="22"/>
          <w:lang w:val="en-US"/>
        </w:rPr>
        <w:t xml:space="preserve"> </w:t>
      </w:r>
      <w:proofErr w:type="spellStart"/>
      <w:r w:rsidRPr="00085FB9">
        <w:rPr>
          <w:szCs w:val="22"/>
          <w:lang w:val="en-US"/>
        </w:rPr>
        <w:t>s.a.</w:t>
      </w:r>
      <w:proofErr w:type="spellEnd"/>
      <w:r w:rsidRPr="00085FB9">
        <w:rPr>
          <w:szCs w:val="22"/>
          <w:lang w:val="en-US"/>
        </w:rPr>
        <w:t xml:space="preserve">” was bought by “Corpora </w:t>
      </w:r>
      <w:proofErr w:type="spellStart"/>
      <w:r w:rsidRPr="00085FB9">
        <w:rPr>
          <w:szCs w:val="22"/>
          <w:lang w:val="en-US"/>
        </w:rPr>
        <w:t>Tres</w:t>
      </w:r>
      <w:proofErr w:type="spellEnd"/>
      <w:r w:rsidRPr="00085FB9">
        <w:rPr>
          <w:szCs w:val="22"/>
          <w:lang w:val="en-US"/>
        </w:rPr>
        <w:t xml:space="preserve"> Montes </w:t>
      </w:r>
      <w:proofErr w:type="spellStart"/>
      <w:r w:rsidRPr="00085FB9">
        <w:rPr>
          <w:szCs w:val="22"/>
          <w:lang w:val="en-US"/>
        </w:rPr>
        <w:t>s.a.</w:t>
      </w:r>
      <w:proofErr w:type="spellEnd"/>
      <w:r w:rsidRPr="00085FB9">
        <w:rPr>
          <w:szCs w:val="22"/>
          <w:lang w:val="en-US"/>
        </w:rPr>
        <w:t>” in 2004.  After the acquisition the company was re-named “</w:t>
      </w:r>
      <w:proofErr w:type="spellStart"/>
      <w:r w:rsidRPr="00085FB9">
        <w:rPr>
          <w:szCs w:val="22"/>
          <w:lang w:val="en-US"/>
        </w:rPr>
        <w:t>Tresmontes</w:t>
      </w:r>
      <w:proofErr w:type="spellEnd"/>
      <w:r w:rsidRPr="00085FB9">
        <w:rPr>
          <w:szCs w:val="22"/>
          <w:lang w:val="en-US"/>
        </w:rPr>
        <w:t xml:space="preserve"> </w:t>
      </w:r>
      <w:proofErr w:type="spellStart"/>
      <w:r w:rsidRPr="00085FB9">
        <w:rPr>
          <w:szCs w:val="22"/>
          <w:lang w:val="en-US"/>
        </w:rPr>
        <w:t>Luccetti</w:t>
      </w:r>
      <w:proofErr w:type="spellEnd"/>
      <w:r w:rsidRPr="00085FB9">
        <w:rPr>
          <w:szCs w:val="22"/>
          <w:lang w:val="en-US"/>
        </w:rPr>
        <w:t xml:space="preserve"> </w:t>
      </w:r>
      <w:proofErr w:type="spellStart"/>
      <w:r w:rsidRPr="00085FB9">
        <w:rPr>
          <w:szCs w:val="22"/>
          <w:lang w:val="en-US"/>
        </w:rPr>
        <w:t>s.a.</w:t>
      </w:r>
      <w:proofErr w:type="spellEnd"/>
      <w:proofErr w:type="gramStart"/>
      <w:r w:rsidRPr="00085FB9">
        <w:rPr>
          <w:szCs w:val="22"/>
          <w:lang w:val="en-US"/>
        </w:rPr>
        <w:t>”.</w:t>
      </w:r>
      <w:proofErr w:type="gramEnd"/>
      <w:r w:rsidRPr="00085FB9">
        <w:rPr>
          <w:szCs w:val="22"/>
          <w:lang w:val="en-US"/>
        </w:rPr>
        <w:t xml:space="preserve">  Another example is the company “Bellsouth Chile </w:t>
      </w:r>
      <w:proofErr w:type="spellStart"/>
      <w:r w:rsidRPr="00085FB9">
        <w:rPr>
          <w:szCs w:val="22"/>
          <w:lang w:val="en-US"/>
        </w:rPr>
        <w:t>s.a.</w:t>
      </w:r>
      <w:proofErr w:type="spellEnd"/>
      <w:r w:rsidRPr="00085FB9">
        <w:rPr>
          <w:szCs w:val="22"/>
          <w:lang w:val="en-US"/>
        </w:rPr>
        <w:t>” which was renamed “</w:t>
      </w:r>
      <w:proofErr w:type="spellStart"/>
      <w:r w:rsidRPr="00085FB9">
        <w:rPr>
          <w:szCs w:val="22"/>
          <w:lang w:val="en-US"/>
        </w:rPr>
        <w:t>Telefonica</w:t>
      </w:r>
      <w:proofErr w:type="spellEnd"/>
      <w:r w:rsidRPr="00085FB9">
        <w:rPr>
          <w:szCs w:val="22"/>
          <w:lang w:val="en-US"/>
        </w:rPr>
        <w:t xml:space="preserve"> </w:t>
      </w:r>
      <w:proofErr w:type="spellStart"/>
      <w:r w:rsidRPr="00085FB9">
        <w:rPr>
          <w:szCs w:val="22"/>
          <w:lang w:val="en-US"/>
        </w:rPr>
        <w:t>Moviles</w:t>
      </w:r>
      <w:proofErr w:type="spellEnd"/>
      <w:r w:rsidRPr="00085FB9">
        <w:rPr>
          <w:szCs w:val="22"/>
          <w:lang w:val="en-US"/>
        </w:rPr>
        <w:t xml:space="preserve"> Chile </w:t>
      </w:r>
      <w:proofErr w:type="spellStart"/>
      <w:r w:rsidRPr="00085FB9">
        <w:rPr>
          <w:szCs w:val="22"/>
          <w:lang w:val="en-US"/>
        </w:rPr>
        <w:t>s.a.</w:t>
      </w:r>
      <w:proofErr w:type="spellEnd"/>
      <w:r w:rsidRPr="00085FB9">
        <w:rPr>
          <w:szCs w:val="22"/>
          <w:lang w:val="en-US"/>
        </w:rPr>
        <w:t>” after its merger with “</w:t>
      </w:r>
      <w:proofErr w:type="spellStart"/>
      <w:r w:rsidRPr="00085FB9">
        <w:rPr>
          <w:szCs w:val="22"/>
          <w:lang w:val="en-US"/>
        </w:rPr>
        <w:t>Telefonica</w:t>
      </w:r>
      <w:proofErr w:type="spellEnd"/>
      <w:r w:rsidRPr="00085FB9">
        <w:rPr>
          <w:szCs w:val="22"/>
          <w:lang w:val="en-US"/>
        </w:rPr>
        <w:t xml:space="preserve">”. </w:t>
      </w:r>
    </w:p>
    <w:p w:rsidR="00085FB9" w:rsidRPr="00085FB9" w:rsidRDefault="00085FB9" w:rsidP="00085FB9">
      <w:pPr>
        <w:tabs>
          <w:tab w:val="left" w:pos="0"/>
        </w:tabs>
        <w:rPr>
          <w:szCs w:val="22"/>
          <w:lang w:val="en-US"/>
        </w:rPr>
      </w:pPr>
    </w:p>
    <w:p w:rsidR="00085FB9" w:rsidRPr="00085FB9" w:rsidRDefault="00085FB9" w:rsidP="004C3144">
      <w:pPr>
        <w:numPr>
          <w:ilvl w:val="0"/>
          <w:numId w:val="6"/>
        </w:numPr>
        <w:tabs>
          <w:tab w:val="left" w:pos="0"/>
        </w:tabs>
        <w:ind w:left="0" w:firstLine="0"/>
        <w:contextualSpacing/>
        <w:rPr>
          <w:rFonts w:eastAsia="MS Mincho"/>
          <w:b/>
          <w:szCs w:val="22"/>
          <w:lang w:val="en-US" w:eastAsia="en-US"/>
        </w:rPr>
      </w:pPr>
      <w:r w:rsidRPr="00085FB9">
        <w:rPr>
          <w:rFonts w:eastAsia="MS Mincho"/>
          <w:b/>
          <w:szCs w:val="22"/>
          <w:lang w:val="en-US" w:eastAsia="en-US"/>
        </w:rPr>
        <w:t xml:space="preserve">Multiple applicants </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INAPI’s application form does not allow more than one applicant name.  This means that in the case of the co-assignment of a patent or trademark, the names are written in the same field.  This situation makes it necessary to separate for each application the different applicant names in order to identify each unique applicant.  Due to the lack of a standardized way of separating names (e.g. “</w:t>
      </w:r>
      <w:proofErr w:type="spellStart"/>
      <w:r w:rsidRPr="00085FB9">
        <w:rPr>
          <w:szCs w:val="22"/>
          <w:lang w:val="en-US"/>
        </w:rPr>
        <w:t>Astrazeneca</w:t>
      </w:r>
      <w:proofErr w:type="spellEnd"/>
      <w:r w:rsidRPr="00085FB9">
        <w:rPr>
          <w:szCs w:val="22"/>
          <w:lang w:val="en-US"/>
        </w:rPr>
        <w:t xml:space="preserve"> </w:t>
      </w:r>
      <w:proofErr w:type="spellStart"/>
      <w:r w:rsidRPr="00085FB9">
        <w:rPr>
          <w:szCs w:val="22"/>
          <w:lang w:val="en-US"/>
        </w:rPr>
        <w:t>ab</w:t>
      </w:r>
      <w:proofErr w:type="spellEnd"/>
      <w:r w:rsidRPr="00085FB9">
        <w:rPr>
          <w:szCs w:val="22"/>
          <w:lang w:val="en-US"/>
        </w:rPr>
        <w:t xml:space="preserve"> </w:t>
      </w:r>
      <w:proofErr w:type="spellStart"/>
      <w:r w:rsidRPr="00085FB9">
        <w:rPr>
          <w:szCs w:val="22"/>
          <w:lang w:val="en-US"/>
        </w:rPr>
        <w:t>Astex</w:t>
      </w:r>
      <w:proofErr w:type="spellEnd"/>
      <w:r w:rsidRPr="00085FB9">
        <w:rPr>
          <w:szCs w:val="22"/>
          <w:lang w:val="en-US"/>
        </w:rPr>
        <w:t xml:space="preserve"> Therapeutics ltd”)</w:t>
      </w:r>
      <w:proofErr w:type="gramStart"/>
      <w:r w:rsidRPr="00085FB9">
        <w:rPr>
          <w:szCs w:val="22"/>
          <w:lang w:val="en-US"/>
        </w:rPr>
        <w:t>,</w:t>
      </w:r>
      <w:proofErr w:type="gramEnd"/>
      <w:r w:rsidRPr="00085FB9">
        <w:rPr>
          <w:szCs w:val="22"/>
          <w:lang w:val="en-US"/>
        </w:rPr>
        <w:t xml:space="preserve"> such fields have to be split manually. </w:t>
      </w:r>
    </w:p>
    <w:p w:rsidR="00085FB9" w:rsidRPr="00085FB9" w:rsidRDefault="00085FB9" w:rsidP="00085FB9">
      <w:pPr>
        <w:tabs>
          <w:tab w:val="left" w:pos="0"/>
        </w:tabs>
        <w:rPr>
          <w:szCs w:val="22"/>
          <w:lang w:val="en-US"/>
        </w:rPr>
      </w:pPr>
    </w:p>
    <w:p w:rsidR="00085FB9" w:rsidRPr="00085FB9" w:rsidRDefault="00085FB9" w:rsidP="004C3144">
      <w:pPr>
        <w:numPr>
          <w:ilvl w:val="0"/>
          <w:numId w:val="6"/>
        </w:numPr>
        <w:tabs>
          <w:tab w:val="left" w:pos="0"/>
        </w:tabs>
        <w:ind w:left="0" w:firstLine="0"/>
        <w:contextualSpacing/>
        <w:rPr>
          <w:rFonts w:eastAsia="MS Mincho"/>
          <w:b/>
          <w:szCs w:val="22"/>
          <w:lang w:val="en-US" w:eastAsia="en-US"/>
        </w:rPr>
      </w:pPr>
      <w:r w:rsidRPr="00085FB9">
        <w:rPr>
          <w:rFonts w:eastAsia="MS Mincho"/>
          <w:b/>
          <w:szCs w:val="22"/>
          <w:lang w:val="en-US" w:eastAsia="en-US"/>
        </w:rPr>
        <w:t>No records of re-assignments of IP right</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There is no record of the changes of IP owners. This means that is not possible to know if an IP right is sold to another company or individual, and hence in our database, IP rights remain with the original assignee.  This is a data problem that we are unable to address without additional information.</w:t>
      </w:r>
    </w:p>
    <w:p w:rsidR="00085FB9" w:rsidRPr="00085FB9" w:rsidRDefault="00085FB9" w:rsidP="00085FB9">
      <w:pPr>
        <w:tabs>
          <w:tab w:val="left" w:pos="0"/>
        </w:tabs>
        <w:rPr>
          <w:szCs w:val="22"/>
          <w:lang w:val="en-US"/>
        </w:rPr>
      </w:pPr>
    </w:p>
    <w:p w:rsidR="00085FB9" w:rsidRPr="00085FB9" w:rsidRDefault="00085FB9" w:rsidP="00085FB9">
      <w:pPr>
        <w:keepNext/>
        <w:outlineLvl w:val="2"/>
        <w:rPr>
          <w:b/>
          <w:szCs w:val="26"/>
          <w:lang w:val="en-US"/>
        </w:rPr>
      </w:pPr>
      <w:bookmarkStart w:id="35" w:name="_Toc333252986"/>
      <w:bookmarkStart w:id="36" w:name="_Toc352163341"/>
      <w:r w:rsidRPr="00085FB9">
        <w:rPr>
          <w:b/>
          <w:szCs w:val="26"/>
          <w:lang w:val="en-US"/>
        </w:rPr>
        <w:t>2.3.2. Identification of unique RUT for each applicant</w:t>
      </w:r>
      <w:bookmarkEnd w:id="35"/>
      <w:bookmarkEnd w:id="36"/>
    </w:p>
    <w:p w:rsidR="00085FB9" w:rsidRPr="00085FB9" w:rsidRDefault="00085FB9" w:rsidP="00085FB9">
      <w:pPr>
        <w:rPr>
          <w:szCs w:val="22"/>
          <w:lang w:val="en-US"/>
        </w:rPr>
      </w:pPr>
    </w:p>
    <w:p w:rsidR="00085FB9" w:rsidRPr="00085FB9" w:rsidRDefault="00085FB9" w:rsidP="00085FB9">
      <w:pPr>
        <w:tabs>
          <w:tab w:val="left" w:pos="0"/>
        </w:tabs>
        <w:rPr>
          <w:szCs w:val="22"/>
          <w:lang w:val="en-US"/>
        </w:rPr>
      </w:pPr>
      <w:r w:rsidRPr="00085FB9">
        <w:rPr>
          <w:szCs w:val="22"/>
          <w:lang w:val="en-US"/>
        </w:rPr>
        <w:t xml:space="preserve">The second problem, which is closely related to the first, is that in principle RUTs should uniquely identify domestic applicants.  This may not be the case </w:t>
      </w:r>
      <w:r w:rsidRPr="00085FB9">
        <w:rPr>
          <w:i/>
          <w:szCs w:val="22"/>
          <w:lang w:val="en-US"/>
        </w:rPr>
        <w:t>inter alia</w:t>
      </w:r>
      <w:r w:rsidRPr="00085FB9">
        <w:rPr>
          <w:szCs w:val="22"/>
          <w:lang w:val="en-US"/>
        </w:rPr>
        <w:t xml:space="preserve"> for the following reasons:</w:t>
      </w:r>
    </w:p>
    <w:p w:rsidR="00085FB9" w:rsidRPr="00085FB9" w:rsidRDefault="00085FB9" w:rsidP="00085FB9">
      <w:pPr>
        <w:tabs>
          <w:tab w:val="left" w:pos="0"/>
        </w:tabs>
        <w:rPr>
          <w:szCs w:val="22"/>
          <w:lang w:val="en-US"/>
        </w:rPr>
      </w:pPr>
    </w:p>
    <w:p w:rsidR="00085FB9" w:rsidRPr="00085FB9" w:rsidRDefault="00085FB9" w:rsidP="004C3144">
      <w:pPr>
        <w:numPr>
          <w:ilvl w:val="0"/>
          <w:numId w:val="7"/>
        </w:numPr>
        <w:tabs>
          <w:tab w:val="left" w:pos="0"/>
        </w:tabs>
        <w:ind w:left="0" w:firstLine="0"/>
        <w:contextualSpacing/>
        <w:rPr>
          <w:rFonts w:eastAsia="MS Mincho"/>
          <w:b/>
          <w:szCs w:val="22"/>
          <w:lang w:val="en-US" w:eastAsia="en-US"/>
        </w:rPr>
      </w:pPr>
      <w:r w:rsidRPr="00085FB9">
        <w:rPr>
          <w:rFonts w:eastAsia="MS Mincho"/>
          <w:b/>
          <w:szCs w:val="22"/>
          <w:lang w:val="en-US" w:eastAsia="en-US"/>
        </w:rPr>
        <w:t>No RUT</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There is no RUT available in the patent data.  This problem applies to a few trademark applications too as shown in Table A3.</w:t>
      </w:r>
    </w:p>
    <w:p w:rsidR="00085FB9" w:rsidRPr="00085FB9" w:rsidRDefault="00085FB9" w:rsidP="00085FB9">
      <w:pPr>
        <w:tabs>
          <w:tab w:val="left" w:pos="0"/>
        </w:tabs>
        <w:rPr>
          <w:szCs w:val="22"/>
          <w:lang w:val="en-US"/>
        </w:rPr>
      </w:pPr>
    </w:p>
    <w:p w:rsidR="00085FB9" w:rsidRPr="00085FB9" w:rsidRDefault="00085FB9" w:rsidP="004C3144">
      <w:pPr>
        <w:numPr>
          <w:ilvl w:val="0"/>
          <w:numId w:val="7"/>
        </w:numPr>
        <w:tabs>
          <w:tab w:val="left" w:pos="0"/>
        </w:tabs>
        <w:ind w:left="0" w:firstLine="0"/>
        <w:contextualSpacing/>
        <w:rPr>
          <w:rFonts w:eastAsia="MS Mincho"/>
          <w:b/>
          <w:szCs w:val="22"/>
          <w:lang w:val="en-US" w:eastAsia="en-US"/>
        </w:rPr>
      </w:pPr>
      <w:r w:rsidRPr="00085FB9">
        <w:rPr>
          <w:rFonts w:eastAsia="MS Mincho"/>
          <w:b/>
          <w:szCs w:val="22"/>
          <w:lang w:val="en-US" w:eastAsia="en-US"/>
        </w:rPr>
        <w:t xml:space="preserve">Invalid/incomplete RUT </w:t>
      </w:r>
    </w:p>
    <w:p w:rsidR="00085FB9" w:rsidRPr="00085FB9" w:rsidRDefault="00085FB9" w:rsidP="00085FB9">
      <w:pPr>
        <w:tabs>
          <w:tab w:val="left" w:pos="0"/>
        </w:tabs>
        <w:rPr>
          <w:szCs w:val="22"/>
          <w:lang w:val="en-US"/>
        </w:rPr>
      </w:pPr>
    </w:p>
    <w:p w:rsidR="00085FB9" w:rsidRDefault="00085FB9" w:rsidP="00085FB9">
      <w:pPr>
        <w:tabs>
          <w:tab w:val="left" w:pos="0"/>
        </w:tabs>
        <w:rPr>
          <w:szCs w:val="22"/>
          <w:lang w:val="en-US"/>
        </w:rPr>
      </w:pPr>
      <w:r w:rsidRPr="00085FB9">
        <w:rPr>
          <w:szCs w:val="22"/>
          <w:lang w:val="en-US"/>
        </w:rPr>
        <w:t xml:space="preserve">At the moment of application, INAPI does not verify that the RUT reported by an applicant is valid. Also, there is no standardized format for reporting RUTs.  For example in some cases </w:t>
      </w:r>
      <w:proofErr w:type="gramStart"/>
      <w:r w:rsidRPr="00085FB9">
        <w:rPr>
          <w:szCs w:val="22"/>
          <w:lang w:val="en-US"/>
        </w:rPr>
        <w:t>the ”</w:t>
      </w:r>
      <w:proofErr w:type="spellStart"/>
      <w:proofErr w:type="gramEnd"/>
      <w:r w:rsidRPr="00085FB9">
        <w:rPr>
          <w:szCs w:val="22"/>
          <w:lang w:val="en-US"/>
        </w:rPr>
        <w:t>digito</w:t>
      </w:r>
      <w:proofErr w:type="spellEnd"/>
      <w:r w:rsidRPr="00085FB9">
        <w:rPr>
          <w:szCs w:val="22"/>
          <w:lang w:val="en-US"/>
        </w:rPr>
        <w:t xml:space="preserve"> </w:t>
      </w:r>
      <w:proofErr w:type="spellStart"/>
      <w:r w:rsidRPr="00085FB9">
        <w:rPr>
          <w:szCs w:val="22"/>
          <w:lang w:val="en-US"/>
        </w:rPr>
        <w:t>verificador</w:t>
      </w:r>
      <w:proofErr w:type="spellEnd"/>
      <w:r w:rsidRPr="00085FB9">
        <w:rPr>
          <w:szCs w:val="22"/>
          <w:lang w:val="en-US"/>
        </w:rPr>
        <w:t xml:space="preserve">” is separated by a dash whereas in other cases is not.  This makes it difficult to verify and if necessary correct RUTs. </w:t>
      </w:r>
    </w:p>
    <w:p w:rsidR="001E1730" w:rsidRPr="00085FB9" w:rsidRDefault="001E1730" w:rsidP="00085FB9">
      <w:pPr>
        <w:tabs>
          <w:tab w:val="left" w:pos="0"/>
        </w:tabs>
        <w:rPr>
          <w:szCs w:val="22"/>
          <w:lang w:val="en-US"/>
        </w:rPr>
      </w:pPr>
    </w:p>
    <w:p w:rsidR="00085FB9" w:rsidRPr="00085FB9" w:rsidRDefault="00085FB9" w:rsidP="004C3144">
      <w:pPr>
        <w:keepNext/>
        <w:numPr>
          <w:ilvl w:val="0"/>
          <w:numId w:val="7"/>
        </w:numPr>
        <w:tabs>
          <w:tab w:val="left" w:pos="0"/>
        </w:tabs>
        <w:ind w:left="0" w:firstLine="0"/>
        <w:contextualSpacing/>
        <w:rPr>
          <w:rFonts w:eastAsia="MS Mincho"/>
          <w:b/>
          <w:szCs w:val="22"/>
          <w:lang w:val="en-US" w:eastAsia="en-US"/>
        </w:rPr>
      </w:pPr>
      <w:r w:rsidRPr="00085FB9">
        <w:rPr>
          <w:rFonts w:eastAsia="MS Mincho"/>
          <w:b/>
          <w:szCs w:val="22"/>
          <w:lang w:val="en-US" w:eastAsia="en-US"/>
        </w:rPr>
        <w:lastRenderedPageBreak/>
        <w:t xml:space="preserve">Multiple RUT </w:t>
      </w:r>
    </w:p>
    <w:p w:rsidR="00085FB9" w:rsidRPr="00085FB9" w:rsidRDefault="00085FB9" w:rsidP="001E1730">
      <w:pPr>
        <w:keepNext/>
        <w:tabs>
          <w:tab w:val="left" w:pos="0"/>
        </w:tabs>
        <w:contextualSpacing/>
        <w:rPr>
          <w:rFonts w:eastAsia="MS Mincho"/>
          <w:szCs w:val="22"/>
          <w:lang w:val="en-US" w:eastAsia="en-US"/>
        </w:rPr>
      </w:pPr>
    </w:p>
    <w:p w:rsidR="00085FB9" w:rsidRPr="00085FB9" w:rsidRDefault="00085FB9" w:rsidP="001E1730">
      <w:pPr>
        <w:keepNext/>
        <w:tabs>
          <w:tab w:val="left" w:pos="0"/>
        </w:tabs>
        <w:rPr>
          <w:szCs w:val="22"/>
          <w:lang w:val="en-US"/>
        </w:rPr>
      </w:pPr>
      <w:r w:rsidRPr="00085FB9">
        <w:rPr>
          <w:szCs w:val="22"/>
          <w:lang w:val="en-US"/>
        </w:rPr>
        <w:t xml:space="preserve">There are some cases in which the same applicant has reported more than one RUT in different applications. It is possible that Chilean companies have more than a single RUT, which means that the reporting of several RUTs is not necessarily an error.  However, different RUTs may belong to different entities or even individuals (e.g. the owner of a company using his personal RUT and the company´s RUT in different applications). </w:t>
      </w:r>
    </w:p>
    <w:p w:rsidR="00085FB9" w:rsidRPr="00085FB9" w:rsidRDefault="00085FB9" w:rsidP="00085FB9">
      <w:pPr>
        <w:tabs>
          <w:tab w:val="left" w:pos="0"/>
        </w:tabs>
        <w:rPr>
          <w:szCs w:val="22"/>
          <w:lang w:val="en-US"/>
        </w:rPr>
      </w:pPr>
    </w:p>
    <w:p w:rsidR="00085FB9" w:rsidRPr="00085FB9" w:rsidRDefault="00085FB9" w:rsidP="004C3144">
      <w:pPr>
        <w:numPr>
          <w:ilvl w:val="0"/>
          <w:numId w:val="7"/>
        </w:numPr>
        <w:tabs>
          <w:tab w:val="left" w:pos="0"/>
        </w:tabs>
        <w:ind w:left="0" w:firstLine="0"/>
        <w:contextualSpacing/>
        <w:rPr>
          <w:rFonts w:eastAsia="MS Mincho"/>
          <w:b/>
          <w:szCs w:val="22"/>
          <w:lang w:val="en-US" w:eastAsia="en-US"/>
        </w:rPr>
      </w:pPr>
      <w:r w:rsidRPr="00085FB9">
        <w:rPr>
          <w:rFonts w:eastAsia="MS Mincho"/>
          <w:b/>
          <w:szCs w:val="22"/>
          <w:lang w:val="en-US" w:eastAsia="en-US"/>
        </w:rPr>
        <w:t xml:space="preserve">“Special” RUT </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 xml:space="preserve">There are RUTs that are shared by several different applicants.  This situation arises because instead of using their own RUT, applicants may use the RUT of their legal representative or the RUT of an institution (e.g. INAPI, </w:t>
      </w:r>
      <w:proofErr w:type="spellStart"/>
      <w:r w:rsidRPr="00085FB9">
        <w:rPr>
          <w:szCs w:val="22"/>
          <w:lang w:val="en-US"/>
        </w:rPr>
        <w:t>Ministerio</w:t>
      </w:r>
      <w:proofErr w:type="spellEnd"/>
      <w:r w:rsidRPr="00085FB9">
        <w:rPr>
          <w:szCs w:val="22"/>
          <w:lang w:val="en-US"/>
        </w:rPr>
        <w:t xml:space="preserve"> de </w:t>
      </w:r>
      <w:proofErr w:type="spellStart"/>
      <w:r w:rsidRPr="00085FB9">
        <w:rPr>
          <w:szCs w:val="22"/>
          <w:lang w:val="en-US"/>
        </w:rPr>
        <w:t>Economía</w:t>
      </w:r>
      <w:proofErr w:type="spellEnd"/>
      <w:r w:rsidRPr="00085FB9">
        <w:rPr>
          <w:szCs w:val="22"/>
          <w:lang w:val="en-US"/>
        </w:rPr>
        <w:t xml:space="preserve">).  This explains to some degree why the raw data also contain RUTs for foreign applicants.  Foreign companies usually do not have a RUT so in many cases they use the RUT of their legal representative. For example, companies such as “Merck”, “Xerox” or “Adidas” share the same RUT in the raw data, where the RUT belongs to the law firm “Sargent &amp; </w:t>
      </w:r>
      <w:proofErr w:type="spellStart"/>
      <w:r w:rsidRPr="00085FB9">
        <w:rPr>
          <w:szCs w:val="22"/>
          <w:lang w:val="en-US"/>
        </w:rPr>
        <w:t>Krahn</w:t>
      </w:r>
      <w:proofErr w:type="spellEnd"/>
      <w:r w:rsidRPr="00085FB9">
        <w:rPr>
          <w:szCs w:val="22"/>
          <w:lang w:val="en-US"/>
        </w:rPr>
        <w:t xml:space="preserve"> </w:t>
      </w:r>
      <w:proofErr w:type="spellStart"/>
      <w:r w:rsidRPr="00085FB9">
        <w:rPr>
          <w:szCs w:val="22"/>
          <w:lang w:val="en-US"/>
        </w:rPr>
        <w:t>ltda</w:t>
      </w:r>
      <w:proofErr w:type="spellEnd"/>
      <w:r w:rsidRPr="00085FB9">
        <w:rPr>
          <w:szCs w:val="22"/>
          <w:lang w:val="en-US"/>
        </w:rPr>
        <w:t>”.</w:t>
      </w:r>
    </w:p>
    <w:p w:rsidR="00085FB9" w:rsidRPr="00085FB9" w:rsidRDefault="00085FB9" w:rsidP="00085FB9">
      <w:pPr>
        <w:tabs>
          <w:tab w:val="left" w:pos="0"/>
        </w:tabs>
        <w:rPr>
          <w:szCs w:val="22"/>
          <w:lang w:val="en-US"/>
        </w:rPr>
      </w:pPr>
    </w:p>
    <w:p w:rsidR="00085FB9" w:rsidRPr="00085FB9" w:rsidRDefault="00085FB9" w:rsidP="004C3144">
      <w:pPr>
        <w:numPr>
          <w:ilvl w:val="0"/>
          <w:numId w:val="7"/>
        </w:numPr>
        <w:tabs>
          <w:tab w:val="left" w:pos="0"/>
        </w:tabs>
        <w:ind w:left="0" w:firstLine="0"/>
        <w:contextualSpacing/>
        <w:rPr>
          <w:rFonts w:eastAsia="MS Mincho"/>
          <w:b/>
          <w:szCs w:val="22"/>
          <w:lang w:val="en-US" w:eastAsia="en-US"/>
        </w:rPr>
      </w:pPr>
      <w:r w:rsidRPr="00085FB9">
        <w:rPr>
          <w:rFonts w:eastAsia="MS Mincho"/>
          <w:b/>
          <w:szCs w:val="22"/>
          <w:lang w:val="en-US" w:eastAsia="en-US"/>
        </w:rPr>
        <w:t xml:space="preserve">Same RUT shared by multiple applicants </w:t>
      </w:r>
    </w:p>
    <w:p w:rsidR="00085FB9" w:rsidRPr="00085FB9" w:rsidRDefault="00085FB9" w:rsidP="00085FB9">
      <w:pPr>
        <w:tabs>
          <w:tab w:val="left" w:pos="0"/>
        </w:tabs>
        <w:contextualSpacing/>
        <w:rPr>
          <w:rFonts w:eastAsia="MS Mincho"/>
          <w:szCs w:val="22"/>
          <w:lang w:val="en-US" w:eastAsia="en-US"/>
        </w:rPr>
      </w:pPr>
    </w:p>
    <w:p w:rsidR="00085FB9" w:rsidRPr="00085FB9" w:rsidRDefault="00085FB9" w:rsidP="00085FB9">
      <w:pPr>
        <w:tabs>
          <w:tab w:val="left" w:pos="0"/>
        </w:tabs>
        <w:rPr>
          <w:szCs w:val="22"/>
          <w:lang w:val="en-US"/>
        </w:rPr>
      </w:pPr>
      <w:r w:rsidRPr="00085FB9">
        <w:rPr>
          <w:szCs w:val="22"/>
          <w:lang w:val="en-US"/>
        </w:rPr>
        <w:t xml:space="preserve">Finally, there are cases were a RUT that is not that of a legal representative or institution is shared by multiple different applicants.  This may reflect data entry errors since there is no apparent explanation for this pattern as the different applicants that share the same RUT do not seem to belong together. </w:t>
      </w:r>
    </w:p>
    <w:p w:rsidR="00085FB9" w:rsidRPr="00085FB9" w:rsidRDefault="00085FB9" w:rsidP="00F753D4">
      <w:pPr>
        <w:rPr>
          <w:szCs w:val="22"/>
          <w:lang w:val="en-US"/>
        </w:rPr>
      </w:pPr>
      <w:bookmarkStart w:id="37" w:name="_Toc333252987"/>
    </w:p>
    <w:p w:rsidR="00085FB9" w:rsidRPr="00085FB9" w:rsidRDefault="00085FB9" w:rsidP="00085FB9">
      <w:pPr>
        <w:keepNext/>
        <w:outlineLvl w:val="1"/>
        <w:rPr>
          <w:b/>
          <w:iCs/>
          <w:caps/>
          <w:szCs w:val="22"/>
          <w:lang w:val="en-US"/>
        </w:rPr>
      </w:pPr>
      <w:bookmarkStart w:id="38" w:name="_Toc352163342"/>
      <w:r w:rsidRPr="00085FB9">
        <w:rPr>
          <w:b/>
          <w:iCs/>
          <w:szCs w:val="22"/>
          <w:lang w:val="en-US"/>
        </w:rPr>
        <w:t>Appendix 2.4:  Data Base Design</w:t>
      </w:r>
      <w:bookmarkEnd w:id="37"/>
      <w:bookmarkEnd w:id="38"/>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This section describes the procedure used to construct the INAPI patents and trademark database.  We applied a combination of automated cleaning algorithms and extensive manual cleaning of the data.  The objective of the procedure was to obtain an “applicant dictionary” that uniquely identifies applicants that may appear in the database in various incarnations and the associated valid RUTs through a unique applicant identifier (ID).</w:t>
      </w:r>
    </w:p>
    <w:p w:rsidR="00085FB9" w:rsidRPr="00085FB9" w:rsidRDefault="00085FB9" w:rsidP="00085FB9">
      <w:pPr>
        <w:tabs>
          <w:tab w:val="left" w:pos="0"/>
        </w:tabs>
        <w:rPr>
          <w:szCs w:val="22"/>
          <w:lang w:val="en-US"/>
        </w:rPr>
      </w:pPr>
    </w:p>
    <w:p w:rsidR="00085FB9" w:rsidRPr="00085FB9" w:rsidRDefault="00085FB9" w:rsidP="00085FB9">
      <w:pPr>
        <w:keepNext/>
        <w:outlineLvl w:val="2"/>
        <w:rPr>
          <w:b/>
          <w:szCs w:val="26"/>
          <w:lang w:val="en-US"/>
        </w:rPr>
      </w:pPr>
      <w:bookmarkStart w:id="39" w:name="_Toc333252988"/>
      <w:bookmarkStart w:id="40" w:name="_Toc352163343"/>
      <w:r w:rsidRPr="00085FB9">
        <w:rPr>
          <w:b/>
          <w:szCs w:val="26"/>
          <w:lang w:val="en-US"/>
        </w:rPr>
        <w:t>2.4.1 Trademark Data</w:t>
      </w:r>
      <w:bookmarkEnd w:id="39"/>
      <w:bookmarkEnd w:id="40"/>
    </w:p>
    <w:p w:rsidR="00085FB9" w:rsidRPr="00085FB9" w:rsidRDefault="00085FB9" w:rsidP="00085FB9">
      <w:pPr>
        <w:rPr>
          <w:szCs w:val="22"/>
          <w:lang w:val="en-US"/>
        </w:rPr>
      </w:pPr>
    </w:p>
    <w:p w:rsidR="00085FB9" w:rsidRPr="00085FB9" w:rsidRDefault="00085FB9" w:rsidP="00085FB9">
      <w:pPr>
        <w:tabs>
          <w:tab w:val="left" w:pos="0"/>
        </w:tabs>
        <w:rPr>
          <w:szCs w:val="22"/>
          <w:lang w:val="en-US"/>
        </w:rPr>
      </w:pPr>
      <w:r w:rsidRPr="00085FB9">
        <w:rPr>
          <w:szCs w:val="22"/>
          <w:lang w:val="en-US"/>
        </w:rPr>
        <w:t xml:space="preserve">We begin the construction of the database with the trademark data.  The main reasons for proceeding in this way are that (a) RUTs are only available in the trademark data and (b) the number of applicants by far exceeds that of the patent data.  Since often patenting entities also obtain trademarks, by cleaning the trademark data we are likely to indirectly clean a substantial part of the patent database.  Note that we make simultaneous use of </w:t>
      </w:r>
      <w:proofErr w:type="gramStart"/>
      <w:r w:rsidRPr="00085FB9">
        <w:rPr>
          <w:szCs w:val="22"/>
          <w:lang w:val="en-US"/>
        </w:rPr>
        <w:t>both applicant</w:t>
      </w:r>
      <w:proofErr w:type="gramEnd"/>
      <w:r w:rsidRPr="00085FB9">
        <w:rPr>
          <w:szCs w:val="22"/>
          <w:lang w:val="en-US"/>
        </w:rPr>
        <w:t xml:space="preserve"> names and RUTs to identify unique applicants as well as unique RUTs. </w:t>
      </w:r>
    </w:p>
    <w:p w:rsidR="00085FB9" w:rsidRPr="00085FB9" w:rsidRDefault="00085FB9" w:rsidP="00085FB9">
      <w:pPr>
        <w:tabs>
          <w:tab w:val="left" w:pos="0"/>
        </w:tabs>
        <w:rPr>
          <w:szCs w:val="22"/>
          <w:lang w:val="en-US"/>
        </w:rPr>
      </w:pPr>
    </w:p>
    <w:p w:rsidR="00085FB9" w:rsidRPr="00085FB9" w:rsidRDefault="00085FB9" w:rsidP="004C3144">
      <w:pPr>
        <w:numPr>
          <w:ilvl w:val="0"/>
          <w:numId w:val="8"/>
        </w:numPr>
        <w:tabs>
          <w:tab w:val="left" w:pos="0"/>
        </w:tabs>
        <w:spacing w:after="200" w:line="276" w:lineRule="auto"/>
        <w:ind w:left="0" w:firstLine="0"/>
        <w:contextualSpacing/>
        <w:rPr>
          <w:rFonts w:eastAsia="MS Mincho"/>
          <w:b/>
          <w:bCs/>
          <w:szCs w:val="22"/>
          <w:lang w:val="en-US" w:eastAsia="en-US"/>
        </w:rPr>
      </w:pPr>
      <w:r w:rsidRPr="00085FB9">
        <w:rPr>
          <w:rFonts w:eastAsia="MS Mincho"/>
          <w:b/>
          <w:bCs/>
          <w:szCs w:val="22"/>
          <w:lang w:val="en-US" w:eastAsia="en-US"/>
        </w:rPr>
        <w:t>Cleaning and standardization of applicant names</w:t>
      </w:r>
    </w:p>
    <w:p w:rsidR="00085FB9" w:rsidRPr="00085FB9" w:rsidRDefault="00085FB9" w:rsidP="00085FB9">
      <w:pPr>
        <w:tabs>
          <w:tab w:val="left" w:pos="0"/>
        </w:tabs>
        <w:rPr>
          <w:b/>
          <w:bCs/>
          <w:szCs w:val="22"/>
          <w:lang w:val="en-US"/>
        </w:rPr>
      </w:pPr>
      <w:r w:rsidRPr="00085FB9">
        <w:rPr>
          <w:bCs/>
          <w:szCs w:val="22"/>
          <w:lang w:val="en-US"/>
        </w:rPr>
        <w:t xml:space="preserve">As a first step, we standardize applicant names.  This means for example removing blanks, removing special characters, correcting generic spelling mistakes, standardizing company registration forms, dropping designations of origin etc.  </w:t>
      </w:r>
    </w:p>
    <w:p w:rsidR="00085FB9" w:rsidRPr="00085FB9" w:rsidRDefault="00085FB9" w:rsidP="00085FB9">
      <w:pPr>
        <w:tabs>
          <w:tab w:val="left" w:pos="0"/>
        </w:tabs>
        <w:contextualSpacing/>
        <w:rPr>
          <w:rFonts w:eastAsia="MS Mincho"/>
          <w:bCs/>
          <w:szCs w:val="22"/>
          <w:lang w:val="en-US" w:eastAsia="en-US"/>
        </w:rPr>
      </w:pPr>
    </w:p>
    <w:p w:rsidR="00085FB9" w:rsidRPr="00085FB9" w:rsidRDefault="00085FB9" w:rsidP="004C3144">
      <w:pPr>
        <w:numPr>
          <w:ilvl w:val="0"/>
          <w:numId w:val="8"/>
        </w:numPr>
        <w:tabs>
          <w:tab w:val="left" w:pos="0"/>
        </w:tabs>
        <w:spacing w:after="200" w:line="276" w:lineRule="auto"/>
        <w:ind w:left="0" w:firstLine="0"/>
        <w:contextualSpacing/>
        <w:rPr>
          <w:rFonts w:eastAsia="MS Mincho"/>
          <w:b/>
          <w:bCs/>
          <w:szCs w:val="22"/>
          <w:lang w:val="en-US" w:eastAsia="en-US"/>
        </w:rPr>
      </w:pPr>
      <w:r w:rsidRPr="00085FB9">
        <w:rPr>
          <w:rFonts w:eastAsia="MS Mincho"/>
          <w:b/>
          <w:bCs/>
          <w:szCs w:val="22"/>
          <w:lang w:val="en-US" w:eastAsia="en-US"/>
        </w:rPr>
        <w:t>RUT correction</w:t>
      </w:r>
    </w:p>
    <w:p w:rsidR="00085FB9" w:rsidRDefault="00085FB9" w:rsidP="00085FB9">
      <w:pPr>
        <w:tabs>
          <w:tab w:val="left" w:pos="0"/>
        </w:tabs>
        <w:rPr>
          <w:bCs/>
          <w:szCs w:val="22"/>
          <w:lang w:val="en-US"/>
        </w:rPr>
      </w:pPr>
      <w:r w:rsidRPr="00085FB9">
        <w:rPr>
          <w:bCs/>
          <w:szCs w:val="22"/>
          <w:lang w:val="en-US"/>
        </w:rPr>
        <w:t>In a second step, we apply the Modulo 11 algorithm to verify whether RUTs are valid.  In case we find a given RUT to be invalid, we attempt to correct it. We also mark all RUTs that belong to ‘special’ entities (see d) in Section 2.2.2 above), such as law firms or INAPI etc.  In these cases, the marker indicates that the RUT does not belong to the applicant name, but instead to a `special’ entity. For this purpose, we compiled a list of such `special’ entities.</w:t>
      </w:r>
    </w:p>
    <w:p w:rsidR="001E1730" w:rsidRDefault="001E1730" w:rsidP="00085FB9">
      <w:pPr>
        <w:tabs>
          <w:tab w:val="left" w:pos="0"/>
        </w:tabs>
        <w:rPr>
          <w:bCs/>
          <w:szCs w:val="22"/>
          <w:lang w:val="en-US"/>
        </w:rPr>
      </w:pPr>
    </w:p>
    <w:p w:rsidR="00085FB9" w:rsidRDefault="00085FB9" w:rsidP="004C3144">
      <w:pPr>
        <w:keepNext/>
        <w:numPr>
          <w:ilvl w:val="0"/>
          <w:numId w:val="8"/>
        </w:numPr>
        <w:tabs>
          <w:tab w:val="left" w:pos="0"/>
        </w:tabs>
        <w:spacing w:after="200" w:line="276" w:lineRule="auto"/>
        <w:ind w:left="0" w:firstLine="0"/>
        <w:contextualSpacing/>
        <w:rPr>
          <w:rFonts w:eastAsia="MS Mincho"/>
          <w:b/>
          <w:szCs w:val="22"/>
          <w:lang w:val="en-US" w:eastAsia="en-US"/>
        </w:rPr>
      </w:pPr>
      <w:r w:rsidRPr="00085FB9">
        <w:rPr>
          <w:rFonts w:eastAsia="MS Mincho"/>
          <w:b/>
          <w:szCs w:val="22"/>
          <w:lang w:val="en-US" w:eastAsia="en-US"/>
        </w:rPr>
        <w:lastRenderedPageBreak/>
        <w:t>Identification of unique applicants</w:t>
      </w:r>
    </w:p>
    <w:p w:rsidR="001E1730" w:rsidRPr="00085FB9" w:rsidRDefault="001E1730" w:rsidP="001E1730">
      <w:pPr>
        <w:keepNext/>
        <w:tabs>
          <w:tab w:val="left" w:pos="0"/>
        </w:tabs>
        <w:spacing w:after="200" w:line="276" w:lineRule="auto"/>
        <w:contextualSpacing/>
        <w:rPr>
          <w:rFonts w:eastAsia="MS Mincho"/>
          <w:b/>
          <w:szCs w:val="22"/>
          <w:lang w:val="en-US" w:eastAsia="en-US"/>
        </w:rPr>
      </w:pPr>
    </w:p>
    <w:p w:rsidR="00085FB9" w:rsidRPr="00085FB9" w:rsidRDefault="00085FB9" w:rsidP="001E1730">
      <w:pPr>
        <w:keepNext/>
        <w:tabs>
          <w:tab w:val="left" w:pos="0"/>
        </w:tabs>
        <w:rPr>
          <w:bCs/>
          <w:szCs w:val="22"/>
          <w:lang w:val="en-US"/>
        </w:rPr>
      </w:pPr>
      <w:r w:rsidRPr="00085FB9">
        <w:rPr>
          <w:bCs/>
          <w:szCs w:val="22"/>
          <w:lang w:val="en-US"/>
        </w:rPr>
        <w:t>Having cleaned applicant names and corrected RUTs, we proceed with the identification of “unique” applicants.  Unique means that while a given applicant name may show up in different ways, we associate the different names to a single applicant.  To help the identification of unique applicants, we divide the data in four “data types”:</w:t>
      </w:r>
    </w:p>
    <w:p w:rsidR="00085FB9" w:rsidRPr="00085FB9" w:rsidRDefault="00085FB9" w:rsidP="00085FB9">
      <w:pPr>
        <w:tabs>
          <w:tab w:val="left" w:pos="0"/>
        </w:tabs>
        <w:contextualSpacing/>
        <w:rPr>
          <w:rFonts w:eastAsia="MS Mincho"/>
          <w:b/>
          <w:szCs w:val="22"/>
          <w:lang w:val="en-US" w:eastAsia="en-US"/>
        </w:rPr>
      </w:pPr>
    </w:p>
    <w:p w:rsidR="00085FB9" w:rsidRPr="00085FB9" w:rsidRDefault="00085FB9" w:rsidP="004C3144">
      <w:pPr>
        <w:numPr>
          <w:ilvl w:val="0"/>
          <w:numId w:val="5"/>
        </w:numPr>
        <w:tabs>
          <w:tab w:val="left" w:pos="0"/>
        </w:tabs>
        <w:ind w:left="0" w:firstLine="0"/>
        <w:contextualSpacing/>
        <w:rPr>
          <w:rFonts w:eastAsia="MS Mincho"/>
          <w:szCs w:val="22"/>
          <w:lang w:val="en-US" w:eastAsia="en-US"/>
        </w:rPr>
      </w:pPr>
      <w:r w:rsidRPr="00085FB9">
        <w:rPr>
          <w:rFonts w:eastAsia="MS Mincho"/>
          <w:szCs w:val="22"/>
          <w:lang w:val="en-US" w:eastAsia="en-US"/>
        </w:rPr>
        <w:t>Unique “RUT + applicant name + country” combinations; these are seemingly clean entries. It may still occur, however, that a RUT or applicant name exists in a slightly modified form in the database.</w:t>
      </w:r>
    </w:p>
    <w:p w:rsidR="00085FB9" w:rsidRPr="00085FB9" w:rsidRDefault="00085FB9" w:rsidP="00085FB9">
      <w:pPr>
        <w:tabs>
          <w:tab w:val="left" w:pos="0"/>
        </w:tabs>
        <w:contextualSpacing/>
        <w:rPr>
          <w:rFonts w:eastAsia="MS Mincho"/>
          <w:szCs w:val="22"/>
          <w:lang w:val="en-US" w:eastAsia="en-US"/>
        </w:rPr>
      </w:pPr>
    </w:p>
    <w:p w:rsidR="00085FB9" w:rsidRPr="00085FB9" w:rsidRDefault="00085FB9" w:rsidP="004C3144">
      <w:pPr>
        <w:numPr>
          <w:ilvl w:val="0"/>
          <w:numId w:val="5"/>
        </w:numPr>
        <w:tabs>
          <w:tab w:val="left" w:pos="0"/>
        </w:tabs>
        <w:ind w:left="0" w:firstLine="0"/>
        <w:contextualSpacing/>
        <w:rPr>
          <w:rFonts w:eastAsia="MS Mincho"/>
          <w:szCs w:val="22"/>
          <w:lang w:val="en-US" w:eastAsia="en-US"/>
        </w:rPr>
      </w:pPr>
      <w:r w:rsidRPr="00085FB9">
        <w:rPr>
          <w:rFonts w:eastAsia="MS Mincho"/>
          <w:szCs w:val="22"/>
          <w:lang w:val="en-US" w:eastAsia="en-US"/>
        </w:rPr>
        <w:t>RUT duplicates, i.e., cases where RUTs have different “applicant name + country” combinations.</w:t>
      </w:r>
    </w:p>
    <w:p w:rsidR="00085FB9" w:rsidRPr="00085FB9" w:rsidRDefault="00085FB9" w:rsidP="00085FB9">
      <w:pPr>
        <w:tabs>
          <w:tab w:val="left" w:pos="0"/>
        </w:tabs>
        <w:contextualSpacing/>
        <w:rPr>
          <w:rFonts w:eastAsia="MS Mincho"/>
          <w:szCs w:val="22"/>
          <w:lang w:val="en-US" w:eastAsia="en-US"/>
        </w:rPr>
      </w:pPr>
    </w:p>
    <w:p w:rsidR="00085FB9" w:rsidRPr="00085FB9" w:rsidRDefault="00085FB9" w:rsidP="004C3144">
      <w:pPr>
        <w:numPr>
          <w:ilvl w:val="0"/>
          <w:numId w:val="5"/>
        </w:numPr>
        <w:tabs>
          <w:tab w:val="left" w:pos="0"/>
        </w:tabs>
        <w:ind w:left="0" w:firstLine="0"/>
        <w:contextualSpacing/>
        <w:rPr>
          <w:rFonts w:eastAsia="MS Mincho"/>
          <w:szCs w:val="22"/>
          <w:lang w:val="en-US" w:eastAsia="en-US"/>
        </w:rPr>
      </w:pPr>
      <w:r w:rsidRPr="00085FB9">
        <w:rPr>
          <w:rFonts w:eastAsia="MS Mincho"/>
          <w:szCs w:val="22"/>
          <w:lang w:val="en-US" w:eastAsia="en-US"/>
        </w:rPr>
        <w:t>“Applicant name + country” duplicates, i.e., applications with same “applicant name + country” combinations, but that have different RUTs.</w:t>
      </w:r>
    </w:p>
    <w:p w:rsidR="00085FB9" w:rsidRPr="00085FB9" w:rsidRDefault="00085FB9" w:rsidP="00085FB9">
      <w:pPr>
        <w:tabs>
          <w:tab w:val="left" w:pos="0"/>
        </w:tabs>
        <w:contextualSpacing/>
        <w:rPr>
          <w:rFonts w:eastAsia="MS Mincho"/>
          <w:szCs w:val="22"/>
          <w:lang w:val="en-US" w:eastAsia="en-US"/>
        </w:rPr>
      </w:pPr>
    </w:p>
    <w:p w:rsidR="00085FB9" w:rsidRPr="00085FB9" w:rsidRDefault="00085FB9" w:rsidP="004C3144">
      <w:pPr>
        <w:numPr>
          <w:ilvl w:val="0"/>
          <w:numId w:val="5"/>
        </w:numPr>
        <w:tabs>
          <w:tab w:val="left" w:pos="0"/>
        </w:tabs>
        <w:ind w:left="0" w:firstLine="0"/>
        <w:contextualSpacing/>
        <w:rPr>
          <w:rFonts w:eastAsia="MS Mincho"/>
          <w:szCs w:val="22"/>
          <w:lang w:val="en-US" w:eastAsia="en-US"/>
        </w:rPr>
      </w:pPr>
      <w:r w:rsidRPr="00085FB9">
        <w:rPr>
          <w:rFonts w:eastAsia="MS Mincho"/>
          <w:szCs w:val="22"/>
          <w:lang w:val="en-US" w:eastAsia="en-US"/>
        </w:rPr>
        <w:t xml:space="preserve">Applications with same “applicant name + RUT” combination but that report different country codes. </w:t>
      </w:r>
    </w:p>
    <w:p w:rsidR="00085FB9" w:rsidRPr="00085FB9" w:rsidRDefault="00085FB9" w:rsidP="00085FB9">
      <w:pPr>
        <w:tabs>
          <w:tab w:val="left" w:pos="0"/>
        </w:tabs>
        <w:autoSpaceDE w:val="0"/>
        <w:autoSpaceDN w:val="0"/>
        <w:adjustRightInd w:val="0"/>
        <w:rPr>
          <w:rFonts w:eastAsia="Calibri"/>
          <w:color w:val="000000"/>
          <w:szCs w:val="22"/>
          <w:lang w:val="en-US" w:eastAsia="en-US"/>
        </w:rPr>
      </w:pPr>
    </w:p>
    <w:p w:rsidR="00085FB9" w:rsidRPr="00085FB9" w:rsidRDefault="00085FB9" w:rsidP="00085FB9">
      <w:pPr>
        <w:tabs>
          <w:tab w:val="left" w:pos="0"/>
        </w:tabs>
        <w:rPr>
          <w:szCs w:val="22"/>
          <w:lang w:val="en-US"/>
        </w:rPr>
      </w:pPr>
      <w:r w:rsidRPr="00085FB9">
        <w:rPr>
          <w:szCs w:val="22"/>
          <w:lang w:val="en-US"/>
        </w:rPr>
        <w:t xml:space="preserve">For each data type we create a tailor-made algorithm that cleans applicant names further and that searches for variations of a given applicant name in the trademark database.  These cleaning and matching algorithms allowed us to identify unique applicants whose names appear in various forms in the database. </w:t>
      </w:r>
    </w:p>
    <w:p w:rsidR="00085FB9" w:rsidRPr="00085FB9" w:rsidRDefault="00085FB9" w:rsidP="00085FB9">
      <w:pPr>
        <w:tabs>
          <w:tab w:val="left" w:pos="0"/>
        </w:tabs>
        <w:rPr>
          <w:szCs w:val="22"/>
          <w:lang w:val="en-US"/>
        </w:rPr>
      </w:pPr>
    </w:p>
    <w:p w:rsidR="00085FB9" w:rsidRPr="00085FB9" w:rsidRDefault="00085FB9" w:rsidP="00085FB9">
      <w:pPr>
        <w:tabs>
          <w:tab w:val="left" w:pos="0"/>
        </w:tabs>
        <w:rPr>
          <w:szCs w:val="22"/>
          <w:lang w:val="en-US"/>
        </w:rPr>
      </w:pPr>
      <w:r w:rsidRPr="00085FB9">
        <w:rPr>
          <w:szCs w:val="22"/>
          <w:lang w:val="en-US"/>
        </w:rPr>
        <w:t>We then create an artificial identifier (ID) to mark the different applicant names that belong to the same applicant.</w:t>
      </w:r>
    </w:p>
    <w:p w:rsidR="00085FB9" w:rsidRPr="00085FB9" w:rsidRDefault="00085FB9" w:rsidP="00085FB9">
      <w:pPr>
        <w:tabs>
          <w:tab w:val="left" w:pos="0"/>
        </w:tabs>
        <w:rPr>
          <w:szCs w:val="22"/>
          <w:lang w:val="en-US"/>
        </w:rPr>
      </w:pPr>
    </w:p>
    <w:p w:rsidR="00085FB9" w:rsidRPr="00085FB9" w:rsidRDefault="00085FB9" w:rsidP="004C3144">
      <w:pPr>
        <w:numPr>
          <w:ilvl w:val="0"/>
          <w:numId w:val="8"/>
        </w:numPr>
        <w:tabs>
          <w:tab w:val="left" w:pos="0"/>
        </w:tabs>
        <w:ind w:left="0" w:firstLine="0"/>
        <w:contextualSpacing/>
        <w:rPr>
          <w:rFonts w:eastAsia="MS Mincho"/>
          <w:b/>
          <w:szCs w:val="22"/>
          <w:lang w:val="en-US" w:eastAsia="en-US"/>
        </w:rPr>
      </w:pPr>
      <w:r w:rsidRPr="00085FB9">
        <w:rPr>
          <w:rFonts w:eastAsia="MS Mincho"/>
          <w:b/>
          <w:szCs w:val="22"/>
          <w:lang w:val="en-US" w:eastAsia="en-US"/>
        </w:rPr>
        <w:t>Misspelled RUTs corrections</w:t>
      </w:r>
    </w:p>
    <w:p w:rsidR="00085FB9" w:rsidRPr="00085FB9" w:rsidRDefault="00085FB9" w:rsidP="00085FB9">
      <w:pPr>
        <w:tabs>
          <w:tab w:val="left" w:pos="0"/>
        </w:tabs>
        <w:rPr>
          <w:szCs w:val="22"/>
          <w:lang w:val="en-US"/>
        </w:rPr>
      </w:pPr>
    </w:p>
    <w:p w:rsidR="00085FB9" w:rsidRPr="00085FB9" w:rsidRDefault="00085FB9" w:rsidP="00085FB9">
      <w:pPr>
        <w:tabs>
          <w:tab w:val="left" w:pos="0"/>
        </w:tabs>
        <w:rPr>
          <w:b/>
          <w:szCs w:val="22"/>
          <w:lang w:val="en-US"/>
        </w:rPr>
      </w:pPr>
      <w:r w:rsidRPr="00085FB9">
        <w:rPr>
          <w:szCs w:val="22"/>
          <w:lang w:val="en-US"/>
        </w:rPr>
        <w:t>We correct RUTs associated with the different incarnations of the same unique applicant during the cleaning process described above under Step c).  For example, we find that often RUTs of the same applicant differ slightly, which results in “applicant name + country” duplicates.  However, often this is due to differences in few digits, commonly only the last or the two last digits of a given RUT.  We correct such misspelled RUTs at various stages of Step c) described above.</w:t>
      </w:r>
    </w:p>
    <w:p w:rsidR="00085FB9" w:rsidRPr="00085FB9" w:rsidRDefault="00085FB9" w:rsidP="00085FB9">
      <w:pPr>
        <w:tabs>
          <w:tab w:val="left" w:pos="0"/>
        </w:tabs>
        <w:contextualSpacing/>
        <w:rPr>
          <w:rFonts w:eastAsia="MS Mincho"/>
          <w:szCs w:val="22"/>
          <w:lang w:val="en-US" w:eastAsia="en-US"/>
        </w:rPr>
      </w:pPr>
    </w:p>
    <w:p w:rsidR="00085FB9" w:rsidRPr="00085FB9" w:rsidRDefault="00085FB9" w:rsidP="004C3144">
      <w:pPr>
        <w:numPr>
          <w:ilvl w:val="0"/>
          <w:numId w:val="8"/>
        </w:numPr>
        <w:tabs>
          <w:tab w:val="left" w:pos="0"/>
        </w:tabs>
        <w:spacing w:after="200" w:line="276" w:lineRule="auto"/>
        <w:ind w:left="0" w:firstLine="0"/>
        <w:contextualSpacing/>
        <w:rPr>
          <w:rFonts w:eastAsia="MS Mincho"/>
          <w:b/>
          <w:szCs w:val="22"/>
          <w:lang w:val="en-US" w:eastAsia="en-US"/>
        </w:rPr>
      </w:pPr>
      <w:r w:rsidRPr="00085FB9">
        <w:rPr>
          <w:rFonts w:eastAsia="MS Mincho"/>
          <w:b/>
          <w:szCs w:val="22"/>
          <w:lang w:val="en-US" w:eastAsia="en-US"/>
        </w:rPr>
        <w:t>Identification of unique ID for each unique applicant</w:t>
      </w:r>
    </w:p>
    <w:p w:rsidR="00085FB9" w:rsidRPr="00085FB9" w:rsidRDefault="00085FB9" w:rsidP="00085FB9">
      <w:pPr>
        <w:tabs>
          <w:tab w:val="left" w:pos="0"/>
        </w:tabs>
        <w:rPr>
          <w:szCs w:val="22"/>
          <w:lang w:val="en-US"/>
        </w:rPr>
      </w:pPr>
      <w:r w:rsidRPr="00085FB9">
        <w:rPr>
          <w:szCs w:val="22"/>
          <w:lang w:val="en-US"/>
        </w:rPr>
        <w:t>In a last step, we combine the four different data types and check the data manually to ensure that there were no cases in which the same person was assigned different IDs, that is to ensure “ID + RUT” combinations are unique (unique in the sense that a given RUT is associated only with a single ID; a given ID may nevertheless have several unique RUTs).  We did this for all Chilean applicants and for foreign applicants that appear most frequently in the data.  The outcome of this procedure is a dataset provided in Table A5.</w:t>
      </w:r>
    </w:p>
    <w:p w:rsidR="00085FB9" w:rsidRPr="00085FB9" w:rsidRDefault="00085FB9" w:rsidP="00085FB9">
      <w:pPr>
        <w:tabs>
          <w:tab w:val="left" w:pos="0"/>
        </w:tabs>
        <w:rPr>
          <w:b/>
          <w:szCs w:val="22"/>
          <w:lang w:val="en-US"/>
        </w:rPr>
      </w:pPr>
    </w:p>
    <w:p w:rsidR="00085FB9" w:rsidRPr="00085FB9" w:rsidRDefault="00085FB9" w:rsidP="004C3144">
      <w:pPr>
        <w:numPr>
          <w:ilvl w:val="0"/>
          <w:numId w:val="8"/>
        </w:numPr>
        <w:tabs>
          <w:tab w:val="left" w:pos="0"/>
        </w:tabs>
        <w:spacing w:after="200" w:line="276" w:lineRule="auto"/>
        <w:ind w:left="0" w:firstLine="0"/>
        <w:contextualSpacing/>
        <w:rPr>
          <w:rFonts w:eastAsia="MS Mincho"/>
          <w:szCs w:val="22"/>
          <w:lang w:val="en-US" w:eastAsia="en-US"/>
        </w:rPr>
      </w:pPr>
      <w:r w:rsidRPr="00085FB9">
        <w:rPr>
          <w:rFonts w:eastAsia="MS Mincho"/>
          <w:b/>
          <w:szCs w:val="22"/>
          <w:lang w:val="en-US" w:eastAsia="en-US"/>
        </w:rPr>
        <w:t xml:space="preserve">Multiple assignees </w:t>
      </w:r>
    </w:p>
    <w:p w:rsidR="00085FB9" w:rsidRPr="00085FB9" w:rsidRDefault="00085FB9" w:rsidP="00085FB9">
      <w:pPr>
        <w:tabs>
          <w:tab w:val="left" w:pos="0"/>
        </w:tabs>
        <w:contextualSpacing/>
        <w:rPr>
          <w:rFonts w:eastAsia="MS Mincho"/>
          <w:bCs/>
          <w:szCs w:val="22"/>
          <w:lang w:val="en-US" w:eastAsia="en-US"/>
        </w:rPr>
      </w:pPr>
    </w:p>
    <w:p w:rsidR="00085FB9" w:rsidRPr="00085FB9" w:rsidRDefault="00085FB9" w:rsidP="00085FB9">
      <w:pPr>
        <w:tabs>
          <w:tab w:val="left" w:pos="0"/>
        </w:tabs>
        <w:contextualSpacing/>
        <w:rPr>
          <w:rFonts w:eastAsia="MS Mincho"/>
          <w:szCs w:val="22"/>
          <w:lang w:val="en-US" w:eastAsia="en-US"/>
        </w:rPr>
      </w:pPr>
      <w:r w:rsidRPr="00085FB9">
        <w:rPr>
          <w:rFonts w:eastAsia="MS Mincho"/>
          <w:bCs/>
          <w:szCs w:val="22"/>
          <w:lang w:val="en-US" w:eastAsia="en-US"/>
        </w:rPr>
        <w:t xml:space="preserve">In the case of jointly owned trademarks we split names manually as there is no standard character that would allow separating names automatically.  </w:t>
      </w:r>
      <w:r w:rsidRPr="00085FB9">
        <w:rPr>
          <w:rFonts w:eastAsia="MS Mincho"/>
          <w:szCs w:val="22"/>
          <w:lang w:val="en-US" w:eastAsia="en-US"/>
        </w:rPr>
        <w:t>This is done as we check RUTs as explained in detail under b) in Section 3.3 below.</w:t>
      </w:r>
    </w:p>
    <w:p w:rsidR="00085FB9" w:rsidRPr="00085FB9" w:rsidRDefault="00085FB9" w:rsidP="00085FB9">
      <w:pPr>
        <w:tabs>
          <w:tab w:val="left" w:pos="0"/>
        </w:tabs>
        <w:rPr>
          <w:szCs w:val="22"/>
          <w:lang w:val="en-US"/>
        </w:rPr>
      </w:pPr>
    </w:p>
    <w:p w:rsidR="00085FB9" w:rsidRPr="00085FB9" w:rsidRDefault="00085FB9" w:rsidP="00085FB9">
      <w:pPr>
        <w:keepNext/>
        <w:outlineLvl w:val="2"/>
        <w:rPr>
          <w:b/>
          <w:szCs w:val="22"/>
          <w:lang w:val="en-US"/>
        </w:rPr>
      </w:pPr>
      <w:bookmarkStart w:id="41" w:name="_Toc333252989"/>
      <w:bookmarkStart w:id="42" w:name="_Toc352163344"/>
      <w:r w:rsidRPr="00085FB9">
        <w:rPr>
          <w:bCs/>
          <w:szCs w:val="22"/>
          <w:lang w:val="en-US"/>
        </w:rPr>
        <w:br w:type="page"/>
      </w:r>
      <w:r w:rsidRPr="00085FB9">
        <w:rPr>
          <w:b/>
          <w:szCs w:val="22"/>
          <w:lang w:val="en-US"/>
        </w:rPr>
        <w:lastRenderedPageBreak/>
        <w:t>2.4.2 Patent Data</w:t>
      </w:r>
      <w:bookmarkEnd w:id="41"/>
      <w:bookmarkEnd w:id="42"/>
    </w:p>
    <w:p w:rsidR="00085FB9" w:rsidRPr="00085FB9" w:rsidRDefault="00085FB9" w:rsidP="00085FB9">
      <w:pPr>
        <w:tabs>
          <w:tab w:val="left" w:pos="0"/>
        </w:tabs>
        <w:contextualSpacing/>
        <w:rPr>
          <w:rFonts w:eastAsia="MS Mincho"/>
          <w:szCs w:val="22"/>
          <w:lang w:val="en-US" w:eastAsia="en-US"/>
        </w:rPr>
      </w:pPr>
    </w:p>
    <w:p w:rsidR="00085FB9" w:rsidRPr="00085FB9" w:rsidRDefault="00085FB9" w:rsidP="00085FB9">
      <w:pPr>
        <w:tabs>
          <w:tab w:val="left" w:pos="0"/>
        </w:tabs>
        <w:rPr>
          <w:bCs/>
          <w:szCs w:val="22"/>
          <w:lang w:val="en-US"/>
        </w:rPr>
      </w:pPr>
      <w:r w:rsidRPr="00085FB9">
        <w:rPr>
          <w:bCs/>
          <w:szCs w:val="22"/>
          <w:lang w:val="en-US"/>
        </w:rPr>
        <w:t xml:space="preserve">As a next step, we clean the patent data.  The main challenge with regard to the patent data (which also contain industrial designs &amp; drawings and utility models) is the absence of RUTs.  The merging of the INAPI database with the different INE databases requires the identification of applicants by RUT.  This means that apart from cleaning the patent data and identifying unique applicants, we also had to retrieve RUTs for resident applicants. </w:t>
      </w:r>
    </w:p>
    <w:p w:rsidR="00085FB9" w:rsidRPr="00085FB9" w:rsidRDefault="00085FB9" w:rsidP="00085FB9">
      <w:pPr>
        <w:tabs>
          <w:tab w:val="left" w:pos="0"/>
        </w:tabs>
        <w:rPr>
          <w:bCs/>
          <w:szCs w:val="22"/>
          <w:lang w:val="en-US"/>
        </w:rPr>
      </w:pPr>
    </w:p>
    <w:p w:rsidR="00085FB9" w:rsidRPr="00085FB9" w:rsidRDefault="00085FB9" w:rsidP="00085FB9">
      <w:pPr>
        <w:tabs>
          <w:tab w:val="left" w:pos="0"/>
        </w:tabs>
        <w:rPr>
          <w:bCs/>
          <w:szCs w:val="22"/>
          <w:lang w:val="en-US"/>
        </w:rPr>
      </w:pPr>
      <w:r w:rsidRPr="00085FB9">
        <w:rPr>
          <w:bCs/>
          <w:szCs w:val="22"/>
          <w:lang w:val="en-US"/>
        </w:rPr>
        <w:t xml:space="preserve">The patent data poses an additional challenge, which is the frequent co-assignment of patents to several assignees.  </w:t>
      </w:r>
      <w:r w:rsidRPr="00085FB9">
        <w:rPr>
          <w:szCs w:val="22"/>
          <w:lang w:val="en-US"/>
        </w:rPr>
        <w:t xml:space="preserve">As explained in more detail in the Appendix, when there is more than one owner of an IP right, all names were recorded in the same applicant field. </w:t>
      </w:r>
      <w:r w:rsidRPr="00085FB9">
        <w:rPr>
          <w:bCs/>
          <w:szCs w:val="22"/>
          <w:lang w:val="en-US"/>
        </w:rPr>
        <w:t>12% of applicant names in the raw patent data contain several applicant names.</w:t>
      </w:r>
    </w:p>
    <w:p w:rsidR="00085FB9" w:rsidRPr="00085FB9" w:rsidRDefault="00085FB9" w:rsidP="00085FB9">
      <w:pPr>
        <w:tabs>
          <w:tab w:val="left" w:pos="0"/>
        </w:tabs>
        <w:rPr>
          <w:szCs w:val="22"/>
          <w:lang w:val="en-US"/>
        </w:rPr>
      </w:pPr>
      <w:r w:rsidRPr="00085FB9">
        <w:rPr>
          <w:szCs w:val="22"/>
          <w:lang w:val="en-US"/>
        </w:rPr>
        <w:t xml:space="preserve">To clean the data and to address these two challenges we proceed as follows: </w:t>
      </w:r>
    </w:p>
    <w:p w:rsidR="00085FB9" w:rsidRPr="00085FB9" w:rsidRDefault="00085FB9" w:rsidP="00085FB9">
      <w:pPr>
        <w:tabs>
          <w:tab w:val="left" w:pos="0"/>
        </w:tabs>
        <w:rPr>
          <w:szCs w:val="22"/>
          <w:lang w:val="en-US"/>
        </w:rPr>
      </w:pPr>
    </w:p>
    <w:p w:rsidR="00085FB9" w:rsidRPr="00085FB9" w:rsidRDefault="00085FB9" w:rsidP="004C3144">
      <w:pPr>
        <w:numPr>
          <w:ilvl w:val="0"/>
          <w:numId w:val="9"/>
        </w:numPr>
        <w:tabs>
          <w:tab w:val="left" w:pos="0"/>
        </w:tabs>
        <w:ind w:left="0" w:firstLine="0"/>
        <w:contextualSpacing/>
        <w:rPr>
          <w:rFonts w:eastAsia="MS Mincho"/>
          <w:b/>
          <w:bCs/>
          <w:szCs w:val="22"/>
          <w:lang w:val="en-US" w:eastAsia="en-US"/>
        </w:rPr>
      </w:pPr>
      <w:r w:rsidRPr="00085FB9">
        <w:rPr>
          <w:rFonts w:eastAsia="MS Mincho"/>
          <w:b/>
          <w:bCs/>
          <w:szCs w:val="22"/>
          <w:lang w:val="en-US" w:eastAsia="en-US"/>
        </w:rPr>
        <w:t>Cleaning and standardization of applicant names</w:t>
      </w:r>
    </w:p>
    <w:p w:rsidR="00085FB9" w:rsidRPr="00085FB9" w:rsidRDefault="00085FB9" w:rsidP="00085FB9">
      <w:pPr>
        <w:tabs>
          <w:tab w:val="left" w:pos="0"/>
        </w:tabs>
        <w:rPr>
          <w:bCs/>
          <w:szCs w:val="22"/>
          <w:lang w:val="en-US"/>
        </w:rPr>
      </w:pPr>
    </w:p>
    <w:p w:rsidR="00085FB9" w:rsidRPr="00085FB9" w:rsidRDefault="00085FB9" w:rsidP="00085FB9">
      <w:pPr>
        <w:tabs>
          <w:tab w:val="left" w:pos="0"/>
        </w:tabs>
        <w:rPr>
          <w:bCs/>
          <w:szCs w:val="22"/>
          <w:lang w:val="en-US"/>
        </w:rPr>
      </w:pPr>
      <w:r w:rsidRPr="00085FB9">
        <w:rPr>
          <w:bCs/>
          <w:szCs w:val="22"/>
          <w:lang w:val="en-US"/>
        </w:rPr>
        <w:t xml:space="preserve">We apply the same procedure as for trademarks, that is, we clean and standardize applicant names.  </w:t>
      </w:r>
    </w:p>
    <w:p w:rsidR="00085FB9" w:rsidRPr="00085FB9" w:rsidRDefault="00085FB9" w:rsidP="00085FB9">
      <w:pPr>
        <w:tabs>
          <w:tab w:val="left" w:pos="0"/>
        </w:tabs>
        <w:rPr>
          <w:bCs/>
          <w:szCs w:val="22"/>
          <w:lang w:val="en-US"/>
        </w:rPr>
      </w:pPr>
    </w:p>
    <w:p w:rsidR="00085FB9" w:rsidRPr="00085FB9" w:rsidRDefault="00085FB9" w:rsidP="004C3144">
      <w:pPr>
        <w:numPr>
          <w:ilvl w:val="0"/>
          <w:numId w:val="9"/>
        </w:numPr>
        <w:tabs>
          <w:tab w:val="left" w:pos="0"/>
        </w:tabs>
        <w:ind w:left="0" w:firstLine="0"/>
        <w:contextualSpacing/>
        <w:rPr>
          <w:rFonts w:eastAsia="MS Mincho"/>
          <w:b/>
          <w:bCs/>
          <w:szCs w:val="22"/>
          <w:lang w:val="en-US" w:eastAsia="en-US"/>
        </w:rPr>
      </w:pPr>
      <w:r w:rsidRPr="00085FB9">
        <w:rPr>
          <w:rFonts w:eastAsia="MS Mincho"/>
          <w:b/>
          <w:szCs w:val="22"/>
          <w:lang w:val="en-US" w:eastAsia="en-US"/>
        </w:rPr>
        <w:t xml:space="preserve">Multiple assignees </w:t>
      </w:r>
    </w:p>
    <w:p w:rsidR="00085FB9" w:rsidRPr="00085FB9" w:rsidRDefault="00085FB9" w:rsidP="00085FB9">
      <w:pPr>
        <w:tabs>
          <w:tab w:val="left" w:pos="0"/>
        </w:tabs>
        <w:rPr>
          <w:bCs/>
          <w:szCs w:val="22"/>
          <w:lang w:val="en-US"/>
        </w:rPr>
      </w:pPr>
    </w:p>
    <w:p w:rsidR="00085FB9" w:rsidRPr="00085FB9" w:rsidRDefault="00085FB9" w:rsidP="00085FB9">
      <w:pPr>
        <w:tabs>
          <w:tab w:val="left" w:pos="0"/>
        </w:tabs>
        <w:rPr>
          <w:bCs/>
          <w:szCs w:val="22"/>
          <w:lang w:val="en-US"/>
        </w:rPr>
      </w:pPr>
      <w:r w:rsidRPr="00085FB9">
        <w:rPr>
          <w:bCs/>
          <w:szCs w:val="22"/>
          <w:lang w:val="en-US"/>
        </w:rPr>
        <w:t xml:space="preserve">In the case of joint/co-assigned patents we split names manually as there is no standard character that would allow separating names automatically. </w:t>
      </w:r>
    </w:p>
    <w:p w:rsidR="00085FB9" w:rsidRPr="00085FB9" w:rsidRDefault="00085FB9" w:rsidP="00085FB9">
      <w:pPr>
        <w:tabs>
          <w:tab w:val="left" w:pos="0"/>
        </w:tabs>
        <w:rPr>
          <w:bCs/>
          <w:szCs w:val="22"/>
          <w:lang w:val="en-US"/>
        </w:rPr>
      </w:pPr>
    </w:p>
    <w:p w:rsidR="00085FB9" w:rsidRPr="00085FB9" w:rsidRDefault="00085FB9" w:rsidP="004C3144">
      <w:pPr>
        <w:numPr>
          <w:ilvl w:val="0"/>
          <w:numId w:val="9"/>
        </w:numPr>
        <w:tabs>
          <w:tab w:val="left" w:pos="0"/>
        </w:tabs>
        <w:ind w:left="0" w:firstLine="0"/>
        <w:contextualSpacing/>
        <w:rPr>
          <w:rFonts w:eastAsia="MS Mincho"/>
          <w:b/>
          <w:bCs/>
          <w:szCs w:val="22"/>
          <w:lang w:val="en-US" w:eastAsia="en-US"/>
        </w:rPr>
      </w:pPr>
      <w:r w:rsidRPr="00085FB9">
        <w:rPr>
          <w:rFonts w:eastAsia="MS Mincho"/>
          <w:b/>
          <w:bCs/>
          <w:szCs w:val="22"/>
          <w:lang w:val="en-US" w:eastAsia="en-US"/>
        </w:rPr>
        <w:t>Identification of unique applicants</w:t>
      </w:r>
    </w:p>
    <w:p w:rsidR="00085FB9" w:rsidRPr="00085FB9" w:rsidRDefault="00085FB9" w:rsidP="00085FB9">
      <w:pPr>
        <w:tabs>
          <w:tab w:val="left" w:pos="0"/>
        </w:tabs>
        <w:rPr>
          <w:bCs/>
          <w:szCs w:val="22"/>
          <w:lang w:val="en-US"/>
        </w:rPr>
      </w:pPr>
    </w:p>
    <w:p w:rsidR="00085FB9" w:rsidRPr="00085FB9" w:rsidRDefault="00085FB9" w:rsidP="00085FB9">
      <w:pPr>
        <w:tabs>
          <w:tab w:val="left" w:pos="0"/>
        </w:tabs>
        <w:rPr>
          <w:bCs/>
          <w:szCs w:val="22"/>
          <w:lang w:val="en-US"/>
        </w:rPr>
      </w:pPr>
      <w:r w:rsidRPr="00085FB9">
        <w:rPr>
          <w:bCs/>
          <w:szCs w:val="22"/>
          <w:lang w:val="en-US"/>
        </w:rPr>
        <w:t xml:space="preserve">As with trademarks, we identify different incarnations of the same applicant by using a matching algorithm and combine the different incarnations into a unique applicant ID. </w:t>
      </w:r>
    </w:p>
    <w:p w:rsidR="00085FB9" w:rsidRPr="00085FB9" w:rsidRDefault="00085FB9" w:rsidP="00085FB9">
      <w:pPr>
        <w:tabs>
          <w:tab w:val="left" w:pos="0"/>
        </w:tabs>
        <w:rPr>
          <w:bCs/>
          <w:szCs w:val="22"/>
          <w:lang w:val="en-US"/>
        </w:rPr>
      </w:pPr>
    </w:p>
    <w:p w:rsidR="00085FB9" w:rsidRPr="00085FB9" w:rsidRDefault="00085FB9" w:rsidP="004C3144">
      <w:pPr>
        <w:numPr>
          <w:ilvl w:val="0"/>
          <w:numId w:val="9"/>
        </w:numPr>
        <w:tabs>
          <w:tab w:val="left" w:pos="0"/>
        </w:tabs>
        <w:ind w:left="0" w:firstLine="0"/>
        <w:contextualSpacing/>
        <w:rPr>
          <w:rFonts w:eastAsia="MS Mincho"/>
          <w:b/>
          <w:szCs w:val="22"/>
          <w:lang w:val="en-US" w:eastAsia="en-US"/>
        </w:rPr>
      </w:pPr>
      <w:r w:rsidRPr="00085FB9">
        <w:rPr>
          <w:rFonts w:eastAsia="MS Mincho"/>
          <w:b/>
          <w:szCs w:val="22"/>
          <w:lang w:val="en-GB" w:eastAsia="en-US"/>
        </w:rPr>
        <w:t>Retrieve RUT and ID from Trademark Data</w:t>
      </w:r>
    </w:p>
    <w:p w:rsidR="00085FB9" w:rsidRPr="00085FB9" w:rsidRDefault="00085FB9" w:rsidP="00085FB9">
      <w:pPr>
        <w:tabs>
          <w:tab w:val="left" w:pos="0"/>
        </w:tabs>
        <w:rPr>
          <w:szCs w:val="22"/>
          <w:lang w:val="en-GB"/>
        </w:rPr>
      </w:pPr>
    </w:p>
    <w:p w:rsidR="00085FB9" w:rsidRPr="00085FB9" w:rsidRDefault="00085FB9" w:rsidP="00085FB9">
      <w:pPr>
        <w:tabs>
          <w:tab w:val="left" w:pos="0"/>
        </w:tabs>
        <w:rPr>
          <w:szCs w:val="22"/>
          <w:lang w:val="en-GB"/>
        </w:rPr>
      </w:pPr>
      <w:r w:rsidRPr="00085FB9">
        <w:rPr>
          <w:szCs w:val="22"/>
          <w:lang w:val="en-GB"/>
        </w:rPr>
        <w:t xml:space="preserve">Due to the lack of RUTs in the patent data, we retrieve RUTs from the trademark data.  This obviously implies that RUTs are only found for patent applicants that have also applied for a trademark.  We search for all names of patent applicants in the trademark ‘dictionary’ described above.  We first apply a matching algorithm and then search for all unmatched patent applicant names manually in the trademark dictionary.  Whenever a patent applicant was found in the trademark data, we retrieve the corresponding RUT as well as the ID to ensure consistency between our patent and trademark databases. </w:t>
      </w:r>
    </w:p>
    <w:p w:rsidR="00085FB9" w:rsidRPr="00085FB9" w:rsidRDefault="00085FB9" w:rsidP="00085FB9">
      <w:pPr>
        <w:tabs>
          <w:tab w:val="left" w:pos="0"/>
        </w:tabs>
        <w:rPr>
          <w:szCs w:val="22"/>
          <w:lang w:val="en-GB"/>
        </w:rPr>
      </w:pPr>
    </w:p>
    <w:p w:rsidR="00085FB9" w:rsidRPr="00085FB9" w:rsidRDefault="00085FB9" w:rsidP="004C3144">
      <w:pPr>
        <w:numPr>
          <w:ilvl w:val="0"/>
          <w:numId w:val="9"/>
        </w:numPr>
        <w:tabs>
          <w:tab w:val="left" w:pos="0"/>
        </w:tabs>
        <w:ind w:left="0" w:firstLine="0"/>
        <w:contextualSpacing/>
        <w:rPr>
          <w:rFonts w:eastAsia="MS Mincho"/>
          <w:b/>
          <w:szCs w:val="22"/>
          <w:lang w:val="en-US" w:eastAsia="en-US"/>
        </w:rPr>
      </w:pPr>
      <w:r w:rsidRPr="00085FB9">
        <w:rPr>
          <w:rFonts w:eastAsia="MS Mincho"/>
          <w:b/>
          <w:szCs w:val="22"/>
          <w:lang w:val="en-US" w:eastAsia="en-US"/>
        </w:rPr>
        <w:t xml:space="preserve">Assign ID to unique applicants not found in the trademark database </w:t>
      </w:r>
    </w:p>
    <w:p w:rsidR="00085FB9" w:rsidRPr="00085FB9" w:rsidRDefault="00085FB9" w:rsidP="00085FB9">
      <w:pPr>
        <w:tabs>
          <w:tab w:val="left" w:pos="0"/>
        </w:tabs>
        <w:rPr>
          <w:szCs w:val="22"/>
          <w:lang w:val="en-GB"/>
        </w:rPr>
      </w:pPr>
    </w:p>
    <w:p w:rsidR="00085FB9" w:rsidRPr="00085FB9" w:rsidRDefault="00085FB9" w:rsidP="00085FB9">
      <w:pPr>
        <w:tabs>
          <w:tab w:val="left" w:pos="0"/>
        </w:tabs>
        <w:rPr>
          <w:szCs w:val="22"/>
          <w:lang w:val="en-GB"/>
        </w:rPr>
      </w:pPr>
      <w:r w:rsidRPr="00085FB9">
        <w:rPr>
          <w:szCs w:val="22"/>
          <w:lang w:val="en-GB"/>
        </w:rPr>
        <w:t>Patent applicants that were not found in the trademark data were assigned a new ID (which does not exist in the trademark data), which serves as a unique identifier.  An example of t</w:t>
      </w:r>
      <w:r w:rsidRPr="00085FB9">
        <w:rPr>
          <w:szCs w:val="22"/>
          <w:lang w:val="en-US"/>
        </w:rPr>
        <w:t xml:space="preserve">he outcome of this procedure is provided in Table A6. </w:t>
      </w:r>
    </w:p>
    <w:p w:rsidR="00085FB9" w:rsidRPr="00085FB9" w:rsidRDefault="00085FB9" w:rsidP="00085FB9">
      <w:pPr>
        <w:keepNext/>
        <w:tabs>
          <w:tab w:val="left" w:pos="0"/>
        </w:tabs>
        <w:outlineLvl w:val="1"/>
        <w:rPr>
          <w:bCs/>
          <w:iCs/>
          <w:caps/>
          <w:szCs w:val="22"/>
          <w:lang w:val="en-US"/>
        </w:rPr>
      </w:pPr>
    </w:p>
    <w:p w:rsidR="001E1730" w:rsidRPr="001E1730" w:rsidRDefault="00085FB9" w:rsidP="001E1730">
      <w:pPr>
        <w:pStyle w:val="Heading2"/>
        <w:spacing w:before="0" w:after="0"/>
        <w:rPr>
          <w:b/>
          <w:bCs w:val="0"/>
          <w:szCs w:val="22"/>
          <w:lang w:val="en-US"/>
        </w:rPr>
      </w:pPr>
      <w:r w:rsidRPr="00085FB9">
        <w:rPr>
          <w:szCs w:val="22"/>
          <w:lang w:val="en-US"/>
        </w:rPr>
        <w:br w:type="page"/>
      </w:r>
      <w:r w:rsidR="001E1730" w:rsidRPr="001E1730">
        <w:rPr>
          <w:b/>
          <w:bCs w:val="0"/>
          <w:caps w:val="0"/>
          <w:szCs w:val="22"/>
          <w:lang w:val="en-US"/>
        </w:rPr>
        <w:lastRenderedPageBreak/>
        <w:t>Appendix 2.5:  Combining Trademark and Patent Data</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Having created the trademark and patent “dictionaries”, in a next step we combine the two databases to create a single “applicant dictionary” in the following way:</w:t>
      </w:r>
    </w:p>
    <w:p w:rsidR="001E1730" w:rsidRPr="001E1730" w:rsidRDefault="001E1730" w:rsidP="001E1730">
      <w:pPr>
        <w:tabs>
          <w:tab w:val="left" w:pos="0"/>
        </w:tabs>
        <w:rPr>
          <w:szCs w:val="22"/>
          <w:lang w:val="en-US"/>
        </w:rPr>
      </w:pPr>
    </w:p>
    <w:p w:rsidR="001E1730" w:rsidRPr="001E1730" w:rsidRDefault="001E1730" w:rsidP="004C3144">
      <w:pPr>
        <w:numPr>
          <w:ilvl w:val="0"/>
          <w:numId w:val="10"/>
        </w:numPr>
        <w:tabs>
          <w:tab w:val="left" w:pos="0"/>
        </w:tabs>
        <w:ind w:left="0" w:firstLine="0"/>
        <w:contextualSpacing/>
        <w:rPr>
          <w:rFonts w:eastAsia="MS Mincho"/>
          <w:b/>
          <w:szCs w:val="22"/>
          <w:lang w:val="en-US" w:eastAsia="en-US"/>
        </w:rPr>
      </w:pPr>
      <w:r w:rsidRPr="001E1730">
        <w:rPr>
          <w:rFonts w:eastAsia="MS Mincho"/>
          <w:b/>
          <w:szCs w:val="22"/>
          <w:lang w:val="en-US" w:eastAsia="en-US"/>
        </w:rPr>
        <w:t>Merge Trademark and Patent dictionaries</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We combine the patent and trademark datasets to create a single file that contains all “ID + applicant name + RUT + country” combinations.  Since we have already searched for all applicants that apply for both trademarks and patents in the construction of the patent dictionary, in principle, no further adjustments are needed when combining the two datasets.</w:t>
      </w:r>
    </w:p>
    <w:p w:rsidR="001E1730" w:rsidRPr="001E1730" w:rsidRDefault="001E1730" w:rsidP="001E1730">
      <w:pPr>
        <w:tabs>
          <w:tab w:val="left" w:pos="0"/>
        </w:tabs>
        <w:rPr>
          <w:szCs w:val="22"/>
          <w:lang w:val="en-US"/>
        </w:rPr>
      </w:pPr>
      <w:r w:rsidRPr="001E1730">
        <w:rPr>
          <w:szCs w:val="22"/>
          <w:lang w:val="en-US"/>
        </w:rPr>
        <w:t xml:space="preserve"> </w:t>
      </w:r>
    </w:p>
    <w:p w:rsidR="001E1730" w:rsidRPr="001E1730" w:rsidRDefault="001E1730" w:rsidP="004C3144">
      <w:pPr>
        <w:numPr>
          <w:ilvl w:val="0"/>
          <w:numId w:val="10"/>
        </w:numPr>
        <w:tabs>
          <w:tab w:val="left" w:pos="0"/>
        </w:tabs>
        <w:ind w:left="0" w:firstLine="0"/>
        <w:contextualSpacing/>
        <w:rPr>
          <w:rFonts w:eastAsia="MS Mincho"/>
          <w:b/>
          <w:szCs w:val="22"/>
          <w:lang w:val="en-US" w:eastAsia="en-US"/>
        </w:rPr>
      </w:pPr>
      <w:r w:rsidRPr="001E1730">
        <w:rPr>
          <w:rFonts w:eastAsia="MS Mincho"/>
          <w:b/>
          <w:szCs w:val="22"/>
          <w:lang w:val="en-US" w:eastAsia="en-US"/>
        </w:rPr>
        <w:t>RUT verification</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So far, we have only applied some corrections to RUTs to ensure they are valid, and made minor adjustments in the case of relatively obvious misspellings.  However, we have not yet verified whether a valid RUT indeed belongs to the applicant name in the INAPI database.  To do this, we adopt a two-pronged approach:</w:t>
      </w:r>
    </w:p>
    <w:p w:rsidR="001E1730" w:rsidRPr="001E1730" w:rsidRDefault="001E1730" w:rsidP="001E1730">
      <w:pPr>
        <w:tabs>
          <w:tab w:val="left" w:pos="0"/>
        </w:tabs>
        <w:rPr>
          <w:b/>
          <w:szCs w:val="22"/>
          <w:lang w:val="en-US"/>
        </w:rPr>
      </w:pPr>
    </w:p>
    <w:p w:rsidR="001E1730" w:rsidRPr="001E1730" w:rsidRDefault="001E1730" w:rsidP="001E1730">
      <w:pPr>
        <w:tabs>
          <w:tab w:val="left" w:pos="0"/>
        </w:tabs>
        <w:rPr>
          <w:b/>
          <w:szCs w:val="22"/>
          <w:lang w:val="en-US"/>
        </w:rPr>
      </w:pPr>
      <w:r w:rsidRPr="001E1730">
        <w:rPr>
          <w:b/>
          <w:szCs w:val="22"/>
          <w:lang w:val="en-US"/>
        </w:rPr>
        <w:t>Verification of “applicant name + RUT” correspondence:</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 xml:space="preserve">RUTs are registered with the </w:t>
      </w:r>
      <w:proofErr w:type="spellStart"/>
      <w:r w:rsidRPr="001E1730">
        <w:rPr>
          <w:szCs w:val="22"/>
          <w:lang w:val="en-US"/>
        </w:rPr>
        <w:t>Servicio</w:t>
      </w:r>
      <w:proofErr w:type="spellEnd"/>
      <w:r w:rsidRPr="001E1730">
        <w:rPr>
          <w:szCs w:val="22"/>
          <w:lang w:val="en-US"/>
        </w:rPr>
        <w:t xml:space="preserve"> de </w:t>
      </w:r>
      <w:proofErr w:type="spellStart"/>
      <w:r w:rsidRPr="001E1730">
        <w:rPr>
          <w:szCs w:val="22"/>
          <w:lang w:val="en-US"/>
        </w:rPr>
        <w:t>Impuestos</w:t>
      </w:r>
      <w:proofErr w:type="spellEnd"/>
      <w:r w:rsidRPr="001E1730">
        <w:rPr>
          <w:szCs w:val="22"/>
          <w:lang w:val="en-US"/>
        </w:rPr>
        <w:t xml:space="preserve"> </w:t>
      </w:r>
      <w:proofErr w:type="spellStart"/>
      <w:r w:rsidRPr="001E1730">
        <w:rPr>
          <w:szCs w:val="22"/>
          <w:lang w:val="en-US"/>
        </w:rPr>
        <w:t>Internos</w:t>
      </w:r>
      <w:proofErr w:type="spellEnd"/>
      <w:r w:rsidRPr="001E1730">
        <w:rPr>
          <w:szCs w:val="22"/>
          <w:lang w:val="en-US"/>
        </w:rPr>
        <w:t xml:space="preserve"> (SII).  It provides a web-based check that allows verifying whether a given RUT exists and what the name is that is associated with that RUT.</w:t>
      </w:r>
      <w:r w:rsidRPr="001E1730">
        <w:rPr>
          <w:szCs w:val="22"/>
          <w:vertAlign w:val="superscript"/>
          <w:lang w:val="en-US"/>
        </w:rPr>
        <w:footnoteReference w:id="56"/>
      </w:r>
      <w:r w:rsidRPr="001E1730">
        <w:rPr>
          <w:szCs w:val="22"/>
          <w:lang w:val="en-US"/>
        </w:rPr>
        <w:t xml:space="preserve">  We check all RUTs in our database using the SII website and retrieve the name for given RUT (which corresponds to the “</w:t>
      </w:r>
      <w:proofErr w:type="spellStart"/>
      <w:r w:rsidRPr="001E1730">
        <w:rPr>
          <w:szCs w:val="22"/>
          <w:lang w:val="en-US"/>
        </w:rPr>
        <w:t>nombre</w:t>
      </w:r>
      <w:proofErr w:type="spellEnd"/>
      <w:r w:rsidRPr="001E1730">
        <w:rPr>
          <w:szCs w:val="22"/>
          <w:lang w:val="en-US"/>
        </w:rPr>
        <w:t xml:space="preserve"> o </w:t>
      </w:r>
      <w:proofErr w:type="spellStart"/>
      <w:r w:rsidRPr="001E1730">
        <w:rPr>
          <w:szCs w:val="22"/>
          <w:lang w:val="en-US"/>
        </w:rPr>
        <w:t>razón</w:t>
      </w:r>
      <w:proofErr w:type="spellEnd"/>
      <w:r w:rsidRPr="001E1730">
        <w:rPr>
          <w:szCs w:val="22"/>
          <w:lang w:val="en-US"/>
        </w:rPr>
        <w:t xml:space="preserve"> social” associated with a given RUT) from the website.  This allows us to verify whether the applicant name with a given RUT in our database indeed corresponds to the name registered with SII for the same RUT. </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In addition, this check helps us identify cases where trademarks have been applied for jointly.  That is, the website returns a single name for a given RUT. This means that cases where trademarks are owned jointly, the list of names will differ from the name obtained from the website.  This helps us single out cases of jointly owned trademarks, which is an issue that we have neglected so far (we only corrected names for jointly owned patents).  Since the website provides us with an “applicant name + RUT” combination, we can associate a RUT with one of the applicant names in case there are several applicant names.  This allows us to manually split names in the case of joint trademark applications.  We create new entries for the other names and assign them either an existing ID in case the same name already exists in the database (we searched for them manually) or a new ID in case the name does not yet exist.</w:t>
      </w:r>
    </w:p>
    <w:p w:rsidR="001E1730" w:rsidRPr="001E1730" w:rsidRDefault="001E1730" w:rsidP="001E1730">
      <w:pPr>
        <w:tabs>
          <w:tab w:val="left" w:pos="0"/>
        </w:tabs>
        <w:rPr>
          <w:b/>
          <w:szCs w:val="22"/>
          <w:lang w:val="en-US"/>
        </w:rPr>
      </w:pPr>
    </w:p>
    <w:p w:rsidR="001E1730" w:rsidRPr="001E1730" w:rsidRDefault="001E1730" w:rsidP="001E1730">
      <w:pPr>
        <w:tabs>
          <w:tab w:val="left" w:pos="0"/>
        </w:tabs>
        <w:rPr>
          <w:b/>
          <w:szCs w:val="22"/>
          <w:lang w:val="en-US"/>
        </w:rPr>
      </w:pPr>
      <w:r w:rsidRPr="001E1730">
        <w:rPr>
          <w:b/>
          <w:szCs w:val="22"/>
          <w:lang w:val="en-US"/>
        </w:rPr>
        <w:t>Finding missing RUTs:</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The website check is only feasible for applicants that report a (valid) RUT.  However, we have a substantial number of cases where RUTs are either invalid or not available at all (mostly patents).  To complement the data, we obtained additional data from a private company specialized in data provision called Transunion.</w:t>
      </w:r>
      <w:r w:rsidRPr="001E1730">
        <w:rPr>
          <w:szCs w:val="22"/>
          <w:vertAlign w:val="superscript"/>
          <w:lang w:val="en-US"/>
        </w:rPr>
        <w:footnoteReference w:id="57"/>
      </w:r>
      <w:r w:rsidRPr="001E1730">
        <w:rPr>
          <w:szCs w:val="22"/>
          <w:lang w:val="en-US"/>
        </w:rPr>
        <w:t xml:space="preserve">  We obtained RUTs for applicant names without (valid) RUT as well as for all other applicant names in our database regardless of whether we had already verified the “applicant name + RUT” correspondence.  This provides us also with the possibility to double check the data for which we have verified “applicant name + RUT” combinations. </w:t>
      </w:r>
    </w:p>
    <w:p w:rsidR="001E1730" w:rsidRPr="001E1730" w:rsidRDefault="001E1730" w:rsidP="001E1730">
      <w:pPr>
        <w:tabs>
          <w:tab w:val="left" w:pos="0"/>
        </w:tabs>
        <w:rPr>
          <w:szCs w:val="22"/>
          <w:lang w:val="en-US"/>
        </w:rPr>
      </w:pPr>
      <w:r w:rsidRPr="001E1730">
        <w:rPr>
          <w:szCs w:val="22"/>
          <w:lang w:val="en-US"/>
        </w:rPr>
        <w:lastRenderedPageBreak/>
        <w:t>Similarly to the SII-based check, obtaining RUTs for names for which we previously did not have RUTs allows us to correct cases of joint trademark applications.</w:t>
      </w:r>
      <w:r w:rsidRPr="001E1730">
        <w:rPr>
          <w:bCs/>
          <w:szCs w:val="22"/>
          <w:lang w:val="en-US"/>
        </w:rPr>
        <w:t xml:space="preserve"> </w:t>
      </w:r>
    </w:p>
    <w:p w:rsidR="001E1730" w:rsidRPr="001E1730" w:rsidRDefault="001E1730" w:rsidP="001E1730">
      <w:pPr>
        <w:tabs>
          <w:tab w:val="left" w:pos="0"/>
        </w:tabs>
        <w:contextualSpacing/>
        <w:rPr>
          <w:rFonts w:eastAsia="MS Mincho"/>
          <w:szCs w:val="22"/>
          <w:lang w:val="en-US" w:eastAsia="en-US"/>
        </w:rPr>
      </w:pPr>
    </w:p>
    <w:p w:rsidR="001E1730" w:rsidRPr="001E1730" w:rsidRDefault="001E1730" w:rsidP="004C3144">
      <w:pPr>
        <w:numPr>
          <w:ilvl w:val="0"/>
          <w:numId w:val="10"/>
        </w:numPr>
        <w:tabs>
          <w:tab w:val="left" w:pos="0"/>
        </w:tabs>
        <w:ind w:left="0" w:firstLine="0"/>
        <w:contextualSpacing/>
        <w:rPr>
          <w:rFonts w:eastAsia="MS Mincho"/>
          <w:b/>
          <w:szCs w:val="22"/>
          <w:lang w:val="en-US" w:eastAsia="en-US"/>
        </w:rPr>
      </w:pPr>
      <w:r w:rsidRPr="001E1730">
        <w:rPr>
          <w:rFonts w:eastAsia="MS Mincho"/>
          <w:b/>
          <w:szCs w:val="22"/>
          <w:lang w:val="en-US" w:eastAsia="en-US"/>
        </w:rPr>
        <w:t>Manual correction</w:t>
      </w:r>
    </w:p>
    <w:p w:rsidR="001E1730" w:rsidRPr="001E1730" w:rsidRDefault="001E1730" w:rsidP="001E1730">
      <w:pPr>
        <w:tabs>
          <w:tab w:val="left" w:pos="0"/>
        </w:tabs>
        <w:rPr>
          <w:szCs w:val="22"/>
          <w:lang w:val="en-US"/>
        </w:rPr>
      </w:pPr>
    </w:p>
    <w:p w:rsidR="001E1730" w:rsidRPr="001E1730" w:rsidRDefault="001E1730" w:rsidP="001E1730">
      <w:pPr>
        <w:tabs>
          <w:tab w:val="left" w:pos="0"/>
        </w:tabs>
        <w:rPr>
          <w:b/>
          <w:szCs w:val="22"/>
          <w:lang w:val="en-US"/>
        </w:rPr>
      </w:pPr>
      <w:r w:rsidRPr="001E1730">
        <w:rPr>
          <w:szCs w:val="22"/>
          <w:lang w:val="en-US"/>
        </w:rPr>
        <w:t>Having verified “applicant name + RUT” combinations in these two ways and having corrected cases of joint trademark applications, we conduct a final extensive manual data check to ensure our ID identifies unique applicants.</w:t>
      </w:r>
    </w:p>
    <w:p w:rsidR="001E1730" w:rsidRPr="001E1730" w:rsidRDefault="001E1730" w:rsidP="001E1730">
      <w:pPr>
        <w:tabs>
          <w:tab w:val="left" w:pos="0"/>
        </w:tabs>
        <w:contextualSpacing/>
        <w:rPr>
          <w:rFonts w:eastAsia="MS Mincho"/>
          <w:szCs w:val="22"/>
          <w:lang w:val="en-US" w:eastAsia="en-US"/>
        </w:rPr>
      </w:pPr>
    </w:p>
    <w:p w:rsidR="001E1730" w:rsidRPr="001E1730" w:rsidRDefault="001E1730" w:rsidP="004C3144">
      <w:pPr>
        <w:numPr>
          <w:ilvl w:val="0"/>
          <w:numId w:val="10"/>
        </w:numPr>
        <w:tabs>
          <w:tab w:val="left" w:pos="0"/>
        </w:tabs>
        <w:ind w:left="0" w:firstLine="0"/>
        <w:contextualSpacing/>
        <w:rPr>
          <w:rFonts w:eastAsia="MS Mincho"/>
          <w:b/>
          <w:szCs w:val="22"/>
          <w:lang w:val="en-US" w:eastAsia="en-US"/>
        </w:rPr>
      </w:pPr>
      <w:r w:rsidRPr="001E1730">
        <w:rPr>
          <w:rFonts w:eastAsia="MS Mincho"/>
          <w:b/>
          <w:szCs w:val="22"/>
          <w:lang w:val="en-US" w:eastAsia="en-US"/>
        </w:rPr>
        <w:t>Applicant type</w:t>
      </w:r>
    </w:p>
    <w:p w:rsidR="001E1730" w:rsidRPr="001E1730" w:rsidRDefault="001E1730" w:rsidP="001E1730">
      <w:pPr>
        <w:tabs>
          <w:tab w:val="left" w:pos="0"/>
        </w:tabs>
        <w:rPr>
          <w:szCs w:val="22"/>
          <w:lang w:val="en-US"/>
        </w:rPr>
      </w:pPr>
    </w:p>
    <w:p w:rsidR="001E1730" w:rsidRPr="001E1730" w:rsidRDefault="001E1730" w:rsidP="001E1730">
      <w:pPr>
        <w:tabs>
          <w:tab w:val="left" w:pos="0"/>
        </w:tabs>
        <w:rPr>
          <w:b/>
          <w:szCs w:val="22"/>
          <w:lang w:val="en-US"/>
        </w:rPr>
      </w:pPr>
      <w:r w:rsidRPr="001E1730">
        <w:rPr>
          <w:szCs w:val="22"/>
          <w:lang w:val="en-US"/>
        </w:rPr>
        <w:t>Finally, we create a variable that identifies the “applicant type” to distinguish between applicants that are registered companies, universities, research institutions, government entities, or individuals.</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 xml:space="preserve">The outcome of the data construction described above is an “applicant dictionary”’ that allows us to uniquely identify applicants and provides their unique RUTs in case of domestic applicants (“unique” in the sense that the RUT is not shared by any other applicant in the dataset).  An extract of the “applicant dictionary” is provided in Table A7. </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Table A8 shows the number of unique applicants in the patent and trademark dictionary.  Comparing these figures with Tables A1 and A2 shows that the cleaning of the raw data resulted in a reduction of about a third in unique applicant names in the trademark data (220,064 unique applicant names in the raw data and 146,092 unique applicant names in the cleaned data) and of about 28% in unique applicant names in the patent data (15,151 unique applicant names in the raw data and 10,943 unique applicant names in the cleaned data).</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Table A9 shows the available data on applicants’ RUTs.  The table only contains data on resident applicants as in principle only Chilean applicants report a RUT.  The table shows that for about 82% of Chilean applicants we have at least one valid and verified RUT (see b) above on RUT verification).  This share is substantially larger in the case of trademarks than patents, although this is a consequence of the fact that RUTs were entirely absent in the raw patent data.  Having said this, after the cleaning of the data, we have a valid and verified RUT for around 66% of patent applicants – in only about 27% of cases is the RUT still entirely missing or belongs knowingly to an entity different from the applicant (e.g. law firm).</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Finally, Table A10 looks at the cleaning/matching success based on the number of filings of trademarks and patents for which we have at least one valid/verified RUT for the applicant.  To detect possible patterns over time, we tabulate the data by application year.  The data on trademark filings show that we have a valid RUT on average for around 87% of all filings.  This is above the 82% of applicants shown in Table A9, as would be expected.  Moreover, we detect an increase in the number of filings that can be assigned a valid RUT over time. While the share is less than 80% in 1990, it climbs to over 90% by 2009.  The patent data show that we are able to assign a valid RUT to even higher a share of filings by domestic applicants (88.3%).  This is remarkable given that we were able to obtain a valid RUT for only 66% of all domestic patent applicants and that the raw data do not contain RUTs.  The pattern over time is less conclusive in the case of patents.  While the share of filings with a valid RUT increases until 2002, it then drops to reach in 2010 approximately the same level as in 1990.  Overall, Table A10 underscores that the procedure adopted results in almost 90% of filings of both patents and trademarks with at least one valid/verified RUT.</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br w:type="page"/>
      </w:r>
      <w:r w:rsidRPr="001E1730">
        <w:rPr>
          <w:szCs w:val="22"/>
          <w:lang w:val="en-US"/>
        </w:rPr>
        <w:lastRenderedPageBreak/>
        <w:t>Table A11 summarizes the outcome of the cleaning procedure in terms of applications of both trademarks and patents.  It shows that we have a total of 778,095 trademark applications over the period 1990-2010.  In the raw data, about 70% of these applications were filed by residents (546,850 applications).  The percentages show that the applications of residents and non-residents exceed the total slightly as there are a few applications with resident and non-resident applicants.  This is not the case with regard to patent applications. The table shows that in the raw data there are a total of 49,480 applications.  In the case of patents, more than 90% of filings come from non-residents in the raw data.  When we compare these figures with the cleaned data, we note that the figures change substantially.  For both patents and trademarks, the number of applications by residents increases substantially.  The main reason for this is that residency is now defined at the level of the artificial unique applicant identifier (ID in Table A7). Hence, any ID that has at least one Chilean country code is considered to be a resident and hence all applications that belong to the ID are considered to be of resident origin.  This increases the number of trademark applications by residents from 70% to around 77% and that of patent applications from around 10% to 23%.</w:t>
      </w:r>
      <w:r w:rsidRPr="001E1730">
        <w:rPr>
          <w:szCs w:val="22"/>
          <w:vertAlign w:val="superscript"/>
          <w:lang w:val="en-US"/>
        </w:rPr>
        <w:footnoteReference w:id="58"/>
      </w:r>
      <w:r w:rsidRPr="001E1730">
        <w:rPr>
          <w:szCs w:val="22"/>
          <w:lang w:val="en-US"/>
        </w:rPr>
        <w:t xml:space="preserve">  The table also contains the number of applications for which the applicant is a resident and reports at least one valid/verified RUT.  We know from Table A10 that these applications account for slightly less than 90% of trademark and patent applications.  Table A11 now shows that this corresponds to around 68% of total trademark and 36</w:t>
      </w:r>
      <w:bookmarkStart w:id="43" w:name="_Toc333252991"/>
      <w:r w:rsidRPr="001E1730">
        <w:rPr>
          <w:szCs w:val="22"/>
          <w:lang w:val="en-US"/>
        </w:rPr>
        <w:t>% of total patent applications.</w:t>
      </w:r>
    </w:p>
    <w:p w:rsidR="001E1730" w:rsidRPr="001E1730" w:rsidRDefault="001E1730" w:rsidP="001E1730">
      <w:pPr>
        <w:tabs>
          <w:tab w:val="left" w:pos="0"/>
        </w:tabs>
        <w:rPr>
          <w:szCs w:val="22"/>
          <w:lang w:val="en-US"/>
        </w:rPr>
      </w:pPr>
    </w:p>
    <w:p w:rsidR="001E1730" w:rsidRPr="001E1730" w:rsidRDefault="001E1730" w:rsidP="001E1730">
      <w:pPr>
        <w:keepNext/>
        <w:outlineLvl w:val="0"/>
        <w:rPr>
          <w:b/>
          <w:bCs/>
          <w:caps/>
          <w:kern w:val="32"/>
          <w:szCs w:val="22"/>
          <w:lang w:val="en-US"/>
        </w:rPr>
      </w:pPr>
      <w:bookmarkStart w:id="44" w:name="_Toc352163346"/>
      <w:r w:rsidRPr="001E1730">
        <w:rPr>
          <w:b/>
          <w:bCs/>
          <w:kern w:val="32"/>
          <w:szCs w:val="22"/>
          <w:lang w:val="en-US"/>
        </w:rPr>
        <w:t>Appendix 2.6:  Trademark Data</w:t>
      </w:r>
      <w:bookmarkEnd w:id="43"/>
      <w:bookmarkEnd w:id="44"/>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This section describes the construction of the bibliographic trademark information. This information is joined with the applicant data through a unique application number.</w:t>
      </w:r>
    </w:p>
    <w:p w:rsidR="001E1730" w:rsidRPr="001E1730" w:rsidRDefault="001E1730" w:rsidP="001E1730">
      <w:pPr>
        <w:rPr>
          <w:szCs w:val="22"/>
          <w:lang w:val="en-US"/>
        </w:rPr>
      </w:pPr>
      <w:bookmarkStart w:id="45" w:name="_Toc333252992"/>
    </w:p>
    <w:p w:rsidR="001E1730" w:rsidRPr="001E1730" w:rsidRDefault="001E1730" w:rsidP="001E1730">
      <w:pPr>
        <w:keepNext/>
        <w:outlineLvl w:val="2"/>
        <w:rPr>
          <w:b/>
          <w:szCs w:val="22"/>
          <w:lang w:val="en-US"/>
        </w:rPr>
      </w:pPr>
      <w:bookmarkStart w:id="46" w:name="_Toc352163347"/>
      <w:r w:rsidRPr="001E1730">
        <w:rPr>
          <w:b/>
          <w:szCs w:val="22"/>
          <w:lang w:val="en-US"/>
        </w:rPr>
        <w:t>2.6.1 Nice classes</w:t>
      </w:r>
      <w:bookmarkEnd w:id="45"/>
      <w:bookmarkEnd w:id="46"/>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 xml:space="preserve">The raw data contain </w:t>
      </w:r>
      <w:proofErr w:type="gramStart"/>
      <w:r w:rsidRPr="001E1730">
        <w:rPr>
          <w:szCs w:val="22"/>
          <w:lang w:val="en-US"/>
        </w:rPr>
        <w:t>Nice</w:t>
      </w:r>
      <w:proofErr w:type="gramEnd"/>
      <w:r w:rsidRPr="001E1730">
        <w:rPr>
          <w:szCs w:val="22"/>
          <w:lang w:val="en-US"/>
        </w:rPr>
        <w:t xml:space="preserve"> classes. Apart from a number of erroneous data entries, the data also contain two additional classes (50 &amp; 51) that are not part of the </w:t>
      </w:r>
      <w:proofErr w:type="gramStart"/>
      <w:r w:rsidRPr="001E1730">
        <w:rPr>
          <w:szCs w:val="22"/>
          <w:lang w:val="en-US"/>
        </w:rPr>
        <w:t>Nice</w:t>
      </w:r>
      <w:proofErr w:type="gramEnd"/>
      <w:r w:rsidRPr="001E1730">
        <w:rPr>
          <w:szCs w:val="22"/>
          <w:lang w:val="en-US"/>
        </w:rPr>
        <w:t xml:space="preserve"> classification.  We drop these two artificial classes and map the 45 </w:t>
      </w:r>
      <w:proofErr w:type="gramStart"/>
      <w:r w:rsidRPr="001E1730">
        <w:rPr>
          <w:szCs w:val="22"/>
          <w:lang w:val="en-US"/>
        </w:rPr>
        <w:t>Nice</w:t>
      </w:r>
      <w:proofErr w:type="gramEnd"/>
      <w:r w:rsidRPr="001E1730">
        <w:rPr>
          <w:szCs w:val="22"/>
          <w:lang w:val="en-US"/>
        </w:rPr>
        <w:t xml:space="preserve"> classes into 10 categories of economic activity.  Table A12 shows the classification and the number of trademark applications mapped into the classification of economic activity.</w:t>
      </w:r>
    </w:p>
    <w:p w:rsidR="001E1730" w:rsidRPr="001E1730" w:rsidRDefault="001E1730" w:rsidP="001E1730">
      <w:pPr>
        <w:tabs>
          <w:tab w:val="left" w:pos="0"/>
        </w:tabs>
        <w:rPr>
          <w:szCs w:val="22"/>
          <w:lang w:val="en-US"/>
        </w:rPr>
      </w:pPr>
    </w:p>
    <w:p w:rsidR="001E1730" w:rsidRPr="001E1730" w:rsidRDefault="001E1730" w:rsidP="001E1730">
      <w:pPr>
        <w:keepNext/>
        <w:outlineLvl w:val="2"/>
        <w:rPr>
          <w:b/>
          <w:szCs w:val="22"/>
          <w:lang w:val="en-US"/>
        </w:rPr>
      </w:pPr>
      <w:bookmarkStart w:id="47" w:name="_Toc333252993"/>
      <w:bookmarkStart w:id="48" w:name="_Toc352163348"/>
      <w:r w:rsidRPr="001E1730">
        <w:rPr>
          <w:b/>
          <w:szCs w:val="22"/>
          <w:lang w:val="en-US"/>
        </w:rPr>
        <w:t>2.6.2 Priority information</w:t>
      </w:r>
      <w:bookmarkEnd w:id="47"/>
      <w:bookmarkEnd w:id="48"/>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The raw trademark data provide us with priority information in the form of priority numbers, priority filing dates, and the priority authorities.  The main data challenge consists in the lack of consistent recording of priority numbers.  Priority numbers are often only partly recorded making it extremely difficult if not impossible to retrieve the corresponding priority filing.  This means that we do not include the priority filing number in the database.  With regard to the priority authority and date, which we include in the database, there are a number of erroneous entries, which we attempt to correct.  Priority information is available for less than 2% of applications.</w:t>
      </w:r>
    </w:p>
    <w:p w:rsidR="001E1730" w:rsidRPr="001E1730" w:rsidRDefault="001E1730" w:rsidP="001E1730">
      <w:pPr>
        <w:rPr>
          <w:szCs w:val="22"/>
          <w:lang w:val="en-US"/>
        </w:rPr>
      </w:pPr>
      <w:bookmarkStart w:id="49" w:name="_Toc333252994"/>
    </w:p>
    <w:p w:rsidR="001E1730" w:rsidRPr="001E1730" w:rsidRDefault="001E1730" w:rsidP="001E1730">
      <w:pPr>
        <w:keepNext/>
        <w:outlineLvl w:val="2"/>
        <w:rPr>
          <w:b/>
          <w:szCs w:val="22"/>
          <w:lang w:val="en-US"/>
        </w:rPr>
      </w:pPr>
      <w:bookmarkStart w:id="50" w:name="_Toc352163349"/>
      <w:r w:rsidRPr="001E1730">
        <w:rPr>
          <w:bCs/>
          <w:szCs w:val="22"/>
          <w:lang w:val="en-US"/>
        </w:rPr>
        <w:br w:type="page"/>
      </w:r>
      <w:r w:rsidRPr="001E1730">
        <w:rPr>
          <w:b/>
          <w:szCs w:val="22"/>
          <w:lang w:val="en-US"/>
        </w:rPr>
        <w:lastRenderedPageBreak/>
        <w:t>2.6.3 Trademark type and use</w:t>
      </w:r>
      <w:bookmarkEnd w:id="49"/>
      <w:bookmarkEnd w:id="50"/>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 xml:space="preserve">The raw data also provide us with information on the type of trademark.  The data distinguish between </w:t>
      </w:r>
      <w:proofErr w:type="spellStart"/>
      <w:r w:rsidRPr="001E1730">
        <w:rPr>
          <w:szCs w:val="22"/>
          <w:lang w:val="en-US"/>
        </w:rPr>
        <w:t>Denominativas</w:t>
      </w:r>
      <w:proofErr w:type="spellEnd"/>
      <w:r w:rsidRPr="001E1730">
        <w:rPr>
          <w:szCs w:val="22"/>
          <w:lang w:val="en-US"/>
        </w:rPr>
        <w:t xml:space="preserve">, </w:t>
      </w:r>
      <w:proofErr w:type="spellStart"/>
      <w:r w:rsidRPr="001E1730">
        <w:rPr>
          <w:szCs w:val="22"/>
          <w:lang w:val="en-US"/>
        </w:rPr>
        <w:t>Figurativa</w:t>
      </w:r>
      <w:proofErr w:type="spellEnd"/>
      <w:r w:rsidRPr="001E1730">
        <w:rPr>
          <w:szCs w:val="22"/>
          <w:lang w:val="en-US"/>
        </w:rPr>
        <w:t xml:space="preserve">, </w:t>
      </w:r>
      <w:proofErr w:type="spellStart"/>
      <w:r w:rsidRPr="001E1730">
        <w:rPr>
          <w:szCs w:val="22"/>
          <w:lang w:val="en-US"/>
        </w:rPr>
        <w:t>Mixta</w:t>
      </w:r>
      <w:proofErr w:type="spellEnd"/>
      <w:r w:rsidRPr="001E1730">
        <w:rPr>
          <w:szCs w:val="22"/>
          <w:lang w:val="en-US"/>
        </w:rPr>
        <w:t xml:space="preserve">, Propaganda, </w:t>
      </w:r>
      <w:smartTag w:uri="urn:schemas-microsoft-com:office:smarttags" w:element="place">
        <w:smartTag w:uri="urn:schemas-microsoft-com:office:smarttags" w:element="State">
          <w:r w:rsidRPr="001E1730">
            <w:rPr>
              <w:szCs w:val="22"/>
              <w:lang w:val="en-US"/>
            </w:rPr>
            <w:t>Sonora</w:t>
          </w:r>
        </w:smartTag>
      </w:smartTag>
      <w:r w:rsidRPr="001E1730">
        <w:rPr>
          <w:szCs w:val="22"/>
          <w:lang w:val="en-US"/>
        </w:rPr>
        <w:t xml:space="preserve">, Origen, </w:t>
      </w:r>
      <w:proofErr w:type="spellStart"/>
      <w:r w:rsidRPr="001E1730">
        <w:rPr>
          <w:szCs w:val="22"/>
          <w:lang w:val="en-US"/>
        </w:rPr>
        <w:t>Geografia</w:t>
      </w:r>
      <w:proofErr w:type="spellEnd"/>
      <w:r w:rsidRPr="001E1730">
        <w:rPr>
          <w:szCs w:val="22"/>
          <w:lang w:val="en-US"/>
        </w:rPr>
        <w:t xml:space="preserve"> (see Table A13).  In addition, we also have information on the type of product/service covered by a given trademark (see lower panel in Table A13).</w:t>
      </w:r>
    </w:p>
    <w:p w:rsidR="001E1730" w:rsidRPr="001E1730" w:rsidRDefault="001E1730" w:rsidP="001E1730">
      <w:pPr>
        <w:rPr>
          <w:szCs w:val="22"/>
          <w:lang w:val="en-US"/>
        </w:rPr>
      </w:pPr>
      <w:bookmarkStart w:id="51" w:name="_Toc333252995"/>
    </w:p>
    <w:p w:rsidR="001E1730" w:rsidRPr="001E1730" w:rsidRDefault="001E1730" w:rsidP="001E1730">
      <w:pPr>
        <w:keepNext/>
        <w:outlineLvl w:val="2"/>
        <w:rPr>
          <w:b/>
          <w:szCs w:val="22"/>
          <w:lang w:val="en-US"/>
        </w:rPr>
      </w:pPr>
      <w:bookmarkStart w:id="52" w:name="_Toc352163350"/>
      <w:r w:rsidRPr="001E1730">
        <w:rPr>
          <w:b/>
          <w:szCs w:val="22"/>
          <w:lang w:val="en-US"/>
        </w:rPr>
        <w:t>2.6.4 Application, publication and registration date</w:t>
      </w:r>
      <w:bookmarkEnd w:id="51"/>
      <w:bookmarkEnd w:id="52"/>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We have the application, publication, and registration dates of trademarks.  The data on the different dates did not require substantial cleaning other than the correction of a number of erroneous entries (such as applications where the registration date predates the application date).</w:t>
      </w:r>
    </w:p>
    <w:p w:rsidR="001E1730" w:rsidRPr="001E1730" w:rsidRDefault="001E1730" w:rsidP="001E1730">
      <w:pPr>
        <w:rPr>
          <w:b/>
          <w:bCs/>
          <w:szCs w:val="22"/>
          <w:lang w:val="en-US"/>
        </w:rPr>
      </w:pPr>
      <w:bookmarkStart w:id="53" w:name="_Toc333252996"/>
    </w:p>
    <w:p w:rsidR="001E1730" w:rsidRPr="001E1730" w:rsidRDefault="001E1730" w:rsidP="001E1730">
      <w:pPr>
        <w:keepNext/>
        <w:outlineLvl w:val="2"/>
        <w:rPr>
          <w:b/>
          <w:szCs w:val="22"/>
          <w:lang w:val="en-US"/>
        </w:rPr>
      </w:pPr>
      <w:bookmarkStart w:id="54" w:name="_Toc352163351"/>
      <w:r w:rsidRPr="001E1730">
        <w:rPr>
          <w:b/>
          <w:szCs w:val="22"/>
          <w:lang w:val="en-US"/>
        </w:rPr>
        <w:t>2.6.5 Legal status</w:t>
      </w:r>
      <w:bookmarkEnd w:id="53"/>
      <w:bookmarkEnd w:id="54"/>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The data also offer some information on the legal status of trademark filings.  The information is summarized in Table A14.</w:t>
      </w:r>
    </w:p>
    <w:p w:rsidR="001E1730" w:rsidRPr="001E1730" w:rsidRDefault="001E1730" w:rsidP="001E1730">
      <w:pPr>
        <w:rPr>
          <w:szCs w:val="22"/>
          <w:lang w:val="en-US"/>
        </w:rPr>
      </w:pPr>
      <w:bookmarkStart w:id="55" w:name="_Toc333252997"/>
    </w:p>
    <w:p w:rsidR="001E1730" w:rsidRPr="001E1730" w:rsidRDefault="001E1730" w:rsidP="001E1730">
      <w:pPr>
        <w:keepNext/>
        <w:outlineLvl w:val="0"/>
        <w:rPr>
          <w:b/>
          <w:bCs/>
          <w:caps/>
          <w:kern w:val="32"/>
          <w:szCs w:val="22"/>
          <w:lang w:val="en-US"/>
        </w:rPr>
      </w:pPr>
      <w:bookmarkStart w:id="56" w:name="_Toc352163352"/>
      <w:r w:rsidRPr="001E1730">
        <w:rPr>
          <w:b/>
          <w:bCs/>
          <w:kern w:val="32"/>
          <w:szCs w:val="22"/>
          <w:lang w:val="en-US"/>
        </w:rPr>
        <w:t>Appendix 2.7:  Patent Data</w:t>
      </w:r>
      <w:bookmarkEnd w:id="55"/>
      <w:bookmarkEnd w:id="56"/>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This section describes the construction of the patent-level information.  We obtained raw data from INAPI that contain bibliographic and legal status information at the patent level.  The patent data files contain data on invention patents, utility models, industrial designs and drawings (as well as “</w:t>
      </w:r>
      <w:proofErr w:type="spellStart"/>
      <w:r w:rsidRPr="001E1730">
        <w:rPr>
          <w:szCs w:val="22"/>
          <w:lang w:val="en-US"/>
        </w:rPr>
        <w:t>patente</w:t>
      </w:r>
      <w:proofErr w:type="spellEnd"/>
      <w:r w:rsidRPr="001E1730">
        <w:rPr>
          <w:szCs w:val="22"/>
          <w:lang w:val="en-US"/>
        </w:rPr>
        <w:t xml:space="preserve"> </w:t>
      </w:r>
      <w:proofErr w:type="spellStart"/>
      <w:r w:rsidRPr="001E1730">
        <w:rPr>
          <w:szCs w:val="22"/>
          <w:lang w:val="en-US"/>
        </w:rPr>
        <w:t>precausional</w:t>
      </w:r>
      <w:proofErr w:type="spellEnd"/>
      <w:r w:rsidRPr="001E1730">
        <w:rPr>
          <w:szCs w:val="22"/>
          <w:lang w:val="en-US"/>
        </w:rPr>
        <w:t xml:space="preserve">” and industrial drawings).  These different types can be identified through a marker in the raw data.  </w:t>
      </w:r>
      <w:proofErr w:type="gramStart"/>
      <w:r w:rsidRPr="001E1730">
        <w:rPr>
          <w:szCs w:val="22"/>
          <w:lang w:val="en-US"/>
        </w:rPr>
        <w:t>Table A15 shows that 86% of the applications represent invention patents.</w:t>
      </w:r>
      <w:proofErr w:type="gramEnd"/>
      <w:r w:rsidRPr="001E1730">
        <w:rPr>
          <w:szCs w:val="22"/>
          <w:lang w:val="en-US"/>
        </w:rPr>
        <w:t xml:space="preserve">  While industrial designs account for almost 12%, utility models account for a mere 2%.</w:t>
      </w:r>
    </w:p>
    <w:p w:rsidR="001E1730" w:rsidRPr="001E1730" w:rsidRDefault="001E1730" w:rsidP="001E1730">
      <w:pPr>
        <w:rPr>
          <w:szCs w:val="22"/>
          <w:lang w:val="en-US"/>
        </w:rPr>
      </w:pPr>
      <w:bookmarkStart w:id="57" w:name="_Toc333252998"/>
    </w:p>
    <w:p w:rsidR="001E1730" w:rsidRPr="001E1730" w:rsidRDefault="001E1730" w:rsidP="001E1730">
      <w:pPr>
        <w:keepNext/>
        <w:outlineLvl w:val="2"/>
        <w:rPr>
          <w:b/>
          <w:szCs w:val="22"/>
          <w:lang w:val="en-US"/>
        </w:rPr>
      </w:pPr>
      <w:bookmarkStart w:id="58" w:name="_Toc352163353"/>
      <w:r w:rsidRPr="001E1730">
        <w:rPr>
          <w:b/>
          <w:szCs w:val="22"/>
          <w:lang w:val="en-US"/>
        </w:rPr>
        <w:t>2.7.1 IPCs</w:t>
      </w:r>
      <w:bookmarkEnd w:id="57"/>
      <w:bookmarkEnd w:id="58"/>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The main challenges with regard to IPCs are erroneous data entries and the use of different versions of the classification system.  The IPCs contained in the raw data are classified using versions 4, 5, 6, 7, and 8 of the IPC classification system.</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 xml:space="preserve">In a first step, we separate the invention patent and utility model data from the industrial designs because industrial designs are classified according to the </w:t>
      </w:r>
      <w:smartTag w:uri="urn:schemas-microsoft-com:office:smarttags" w:element="place">
        <w:smartTag w:uri="urn:schemas-microsoft-com:office:smarttags" w:element="City">
          <w:r w:rsidRPr="001E1730">
            <w:rPr>
              <w:szCs w:val="22"/>
              <w:lang w:val="en-US"/>
            </w:rPr>
            <w:t>Locarno</w:t>
          </w:r>
        </w:smartTag>
      </w:smartTag>
      <w:r w:rsidRPr="001E1730">
        <w:rPr>
          <w:szCs w:val="22"/>
          <w:lang w:val="en-US"/>
        </w:rPr>
        <w:t xml:space="preserve"> classification.  In a second step, we correct some data entries where the error is relatively obvious.  In a third step, we harmonize all IPC codes to version 8 of the classification (because the code that maps IPCs into technology classes is based on version 8 – see below).  This is done on the basis of a conversion code that translates older IPC versions into Version 8.  We face the additional problem that for some entries, the raw data indicate a version 0, which does not exist.  In this case, we re-classify these entries according to the filing year.  That is, filings between 1990 and 1994 are classified as version 6, filings between 1995 and 1999 as version 7, and filings from 2000 onward as version 8.</w:t>
      </w:r>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br w:type="page"/>
      </w:r>
      <w:r w:rsidRPr="001E1730">
        <w:rPr>
          <w:szCs w:val="22"/>
          <w:lang w:val="en-US"/>
        </w:rPr>
        <w:lastRenderedPageBreak/>
        <w:t xml:space="preserve">The corrected and harmonized IPC class symbols are mapped to technology categories using a concordance table developed by the </w:t>
      </w:r>
      <w:proofErr w:type="spellStart"/>
      <w:r w:rsidRPr="001E1730">
        <w:rPr>
          <w:szCs w:val="22"/>
          <w:lang w:val="en-US"/>
        </w:rPr>
        <w:t>Fraunhofer</w:t>
      </w:r>
      <w:proofErr w:type="spellEnd"/>
      <w:r w:rsidRPr="001E1730">
        <w:rPr>
          <w:szCs w:val="22"/>
          <w:lang w:val="en-US"/>
        </w:rPr>
        <w:t xml:space="preserve"> ISI and the </w:t>
      </w:r>
      <w:proofErr w:type="spellStart"/>
      <w:r w:rsidRPr="001E1730">
        <w:rPr>
          <w:i/>
          <w:iCs/>
          <w:szCs w:val="22"/>
          <w:lang w:val="en-US"/>
        </w:rPr>
        <w:t>Observatoire</w:t>
      </w:r>
      <w:proofErr w:type="spellEnd"/>
      <w:r w:rsidRPr="001E1730">
        <w:rPr>
          <w:i/>
          <w:iCs/>
          <w:szCs w:val="22"/>
          <w:lang w:val="en-US"/>
        </w:rPr>
        <w:t xml:space="preserve"> des Sciences </w:t>
      </w:r>
      <w:proofErr w:type="gramStart"/>
      <w:r w:rsidRPr="001E1730">
        <w:rPr>
          <w:i/>
          <w:iCs/>
          <w:szCs w:val="22"/>
          <w:lang w:val="en-US"/>
        </w:rPr>
        <w:t>et</w:t>
      </w:r>
      <w:proofErr w:type="gramEnd"/>
      <w:r w:rsidRPr="001E1730">
        <w:rPr>
          <w:i/>
          <w:iCs/>
          <w:szCs w:val="22"/>
          <w:lang w:val="en-US"/>
        </w:rPr>
        <w:t xml:space="preserve"> des Technologies</w:t>
      </w:r>
      <w:r w:rsidRPr="001E1730">
        <w:rPr>
          <w:szCs w:val="22"/>
          <w:lang w:val="en-US"/>
        </w:rPr>
        <w:t xml:space="preserve"> in cooperation with the French patent office.</w:t>
      </w:r>
      <w:r w:rsidRPr="001E1730">
        <w:rPr>
          <w:szCs w:val="22"/>
          <w:vertAlign w:val="superscript"/>
          <w:lang w:val="en-US"/>
        </w:rPr>
        <w:footnoteReference w:id="59"/>
      </w:r>
      <w:r w:rsidRPr="001E1730">
        <w:rPr>
          <w:szCs w:val="22"/>
          <w:lang w:val="en-US"/>
        </w:rPr>
        <w:t xml:space="preserve">  The concordance table groups IPCs into five broad technology classes:  (a) Electrical engineering, (b) Instruments, (c) Chemistry, (d) Mechanical engineering, (e) Other fields (including (</w:t>
      </w:r>
      <w:proofErr w:type="spellStart"/>
      <w:r w:rsidRPr="001E1730">
        <w:rPr>
          <w:szCs w:val="22"/>
          <w:lang w:val="en-US"/>
        </w:rPr>
        <w:t>i</w:t>
      </w:r>
      <w:proofErr w:type="spellEnd"/>
      <w:r w:rsidRPr="001E1730">
        <w:rPr>
          <w:szCs w:val="22"/>
          <w:lang w:val="en-US"/>
        </w:rPr>
        <w:t>) furniture, games, (ii) other consumer goods, and (iii) civil engineering). Each of these technology classes is broken down into a varying number of subclasses. Table A16 provides an overview.</w:t>
      </w:r>
    </w:p>
    <w:p w:rsidR="001E1730" w:rsidRPr="001E1730" w:rsidRDefault="001E1730" w:rsidP="001E1730">
      <w:pPr>
        <w:tabs>
          <w:tab w:val="left" w:pos="0"/>
        </w:tabs>
        <w:outlineLvl w:val="1"/>
        <w:rPr>
          <w:bCs/>
          <w:iCs/>
          <w:caps/>
          <w:szCs w:val="22"/>
          <w:lang w:val="en-US"/>
        </w:rPr>
      </w:pPr>
      <w:bookmarkStart w:id="59" w:name="_Toc333252999"/>
    </w:p>
    <w:p w:rsidR="001E1730" w:rsidRPr="001E1730" w:rsidRDefault="001E1730" w:rsidP="001E1730">
      <w:pPr>
        <w:rPr>
          <w:lang w:val="en-US"/>
        </w:rPr>
      </w:pPr>
    </w:p>
    <w:p w:rsidR="001E1730" w:rsidRPr="001E1730" w:rsidRDefault="001E1730" w:rsidP="001E1730">
      <w:pPr>
        <w:keepNext/>
        <w:outlineLvl w:val="2"/>
        <w:rPr>
          <w:b/>
          <w:szCs w:val="22"/>
          <w:lang w:val="en-US"/>
        </w:rPr>
      </w:pPr>
      <w:bookmarkStart w:id="60" w:name="_Toc352163354"/>
      <w:r w:rsidRPr="001E1730">
        <w:rPr>
          <w:b/>
          <w:szCs w:val="22"/>
          <w:lang w:val="en-US"/>
        </w:rPr>
        <w:t>2.7.2 Priority Information</w:t>
      </w:r>
      <w:bookmarkEnd w:id="59"/>
      <w:bookmarkEnd w:id="60"/>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 xml:space="preserve">In principle, the INAPI raw data provides us with priority information in the form of priority patent numbers, priority filing dates, and the priority authorities.  As with the trademark data, the main data challenge consists in the lack of consistent recording of priority patent numbers.  Priority numbers are often only partly recorded making it extremely difficult if not impossible to retrieve the corresponding priority filing.  As for trademarks, due to the lack of reliable information, we drop priority filing numbers from the database.  With regard to the priority authority and date, there are a number of erroneous entries, which we attempt to correct. </w:t>
      </w:r>
    </w:p>
    <w:p w:rsidR="001E1730" w:rsidRPr="001E1730" w:rsidRDefault="001E1730" w:rsidP="001E1730">
      <w:pPr>
        <w:tabs>
          <w:tab w:val="left" w:pos="0"/>
        </w:tabs>
        <w:outlineLvl w:val="1"/>
        <w:rPr>
          <w:bCs/>
          <w:iCs/>
          <w:caps/>
          <w:szCs w:val="22"/>
          <w:lang w:val="en-US"/>
        </w:rPr>
      </w:pPr>
      <w:bookmarkStart w:id="61" w:name="_Toc333253000"/>
    </w:p>
    <w:p w:rsidR="001E1730" w:rsidRPr="001E1730" w:rsidRDefault="001E1730" w:rsidP="001E1730">
      <w:pPr>
        <w:rPr>
          <w:lang w:val="en-US"/>
        </w:rPr>
      </w:pPr>
    </w:p>
    <w:p w:rsidR="001E1730" w:rsidRPr="001E1730" w:rsidRDefault="001E1730" w:rsidP="001E1730">
      <w:pPr>
        <w:keepNext/>
        <w:outlineLvl w:val="2"/>
        <w:rPr>
          <w:b/>
          <w:szCs w:val="22"/>
          <w:lang w:val="en-US"/>
        </w:rPr>
      </w:pPr>
      <w:bookmarkStart w:id="62" w:name="_Toc352163355"/>
      <w:r w:rsidRPr="001E1730">
        <w:rPr>
          <w:b/>
          <w:szCs w:val="22"/>
          <w:lang w:val="en-US"/>
        </w:rPr>
        <w:t>2.7.3 Application, grant, and lapse date</w:t>
      </w:r>
      <w:bookmarkEnd w:id="61"/>
      <w:bookmarkEnd w:id="62"/>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We also incorporate the application, grant, and lapse date of patents, utility models, and industrial designs (and “</w:t>
      </w:r>
      <w:proofErr w:type="spellStart"/>
      <w:r w:rsidRPr="001E1730">
        <w:rPr>
          <w:szCs w:val="22"/>
          <w:lang w:val="en-US"/>
        </w:rPr>
        <w:t>patente</w:t>
      </w:r>
      <w:proofErr w:type="spellEnd"/>
      <w:r w:rsidRPr="001E1730">
        <w:rPr>
          <w:szCs w:val="22"/>
          <w:lang w:val="en-US"/>
        </w:rPr>
        <w:t xml:space="preserve"> </w:t>
      </w:r>
      <w:proofErr w:type="spellStart"/>
      <w:r w:rsidRPr="001E1730">
        <w:rPr>
          <w:szCs w:val="22"/>
          <w:lang w:val="en-US"/>
        </w:rPr>
        <w:t>precausional</w:t>
      </w:r>
      <w:proofErr w:type="spellEnd"/>
      <w:r w:rsidRPr="001E1730">
        <w:rPr>
          <w:szCs w:val="22"/>
          <w:lang w:val="en-US"/>
        </w:rPr>
        <w:t>” and industrial drawings).  The construction of the dates required some corrections, in particular to ensure the consistency of the different dates (i.e., that the lapse date does not predate the application date etc.).  The main limitation of the available data is the lack of reliable information on publication dates.  We attempted to construct the publication date from the information in the legal status table.  This still resulted in error-prone data, which led us to exclude the publication date from the database.</w:t>
      </w:r>
    </w:p>
    <w:p w:rsidR="001E1730" w:rsidRPr="001E1730" w:rsidRDefault="001E1730" w:rsidP="001E1730">
      <w:pPr>
        <w:rPr>
          <w:szCs w:val="22"/>
          <w:lang w:val="en-US"/>
        </w:rPr>
      </w:pPr>
      <w:bookmarkStart w:id="63" w:name="_Toc333253001"/>
    </w:p>
    <w:p w:rsidR="001E1730" w:rsidRPr="001E1730" w:rsidRDefault="001E1730" w:rsidP="001E1730">
      <w:pPr>
        <w:rPr>
          <w:szCs w:val="22"/>
          <w:lang w:val="en-US"/>
        </w:rPr>
      </w:pPr>
    </w:p>
    <w:p w:rsidR="001E1730" w:rsidRPr="001E1730" w:rsidRDefault="001E1730" w:rsidP="001E1730">
      <w:pPr>
        <w:keepNext/>
        <w:outlineLvl w:val="2"/>
        <w:rPr>
          <w:b/>
          <w:szCs w:val="22"/>
          <w:lang w:val="en-US"/>
        </w:rPr>
      </w:pPr>
      <w:bookmarkStart w:id="64" w:name="_Toc352163356"/>
      <w:r w:rsidRPr="001E1730">
        <w:rPr>
          <w:b/>
          <w:szCs w:val="22"/>
          <w:lang w:val="en-US"/>
        </w:rPr>
        <w:t>2.7.4 Legal Status</w:t>
      </w:r>
      <w:bookmarkEnd w:id="63"/>
      <w:bookmarkEnd w:id="64"/>
    </w:p>
    <w:p w:rsidR="001E1730" w:rsidRPr="001E1730" w:rsidRDefault="001E1730" w:rsidP="001E1730">
      <w:pPr>
        <w:tabs>
          <w:tab w:val="left" w:pos="0"/>
        </w:tabs>
        <w:rPr>
          <w:szCs w:val="22"/>
          <w:lang w:val="en-US"/>
        </w:rPr>
      </w:pPr>
    </w:p>
    <w:p w:rsidR="001E1730" w:rsidRPr="001E1730" w:rsidRDefault="001E1730" w:rsidP="001E1730">
      <w:pPr>
        <w:tabs>
          <w:tab w:val="left" w:pos="0"/>
        </w:tabs>
        <w:rPr>
          <w:szCs w:val="22"/>
          <w:lang w:val="en-US"/>
        </w:rPr>
      </w:pPr>
      <w:r w:rsidRPr="001E1730">
        <w:rPr>
          <w:szCs w:val="22"/>
          <w:lang w:val="en-US"/>
        </w:rPr>
        <w:t>Table A17 shows the summary legal status information for the patent, utility mode, industrial design (and “</w:t>
      </w:r>
      <w:proofErr w:type="spellStart"/>
      <w:r w:rsidRPr="001E1730">
        <w:rPr>
          <w:szCs w:val="22"/>
          <w:lang w:val="en-US"/>
        </w:rPr>
        <w:t>patente</w:t>
      </w:r>
      <w:proofErr w:type="spellEnd"/>
      <w:r w:rsidRPr="001E1730">
        <w:rPr>
          <w:szCs w:val="22"/>
          <w:lang w:val="en-US"/>
        </w:rPr>
        <w:t xml:space="preserve"> </w:t>
      </w:r>
      <w:proofErr w:type="spellStart"/>
      <w:r w:rsidRPr="001E1730">
        <w:rPr>
          <w:szCs w:val="22"/>
          <w:lang w:val="en-US"/>
        </w:rPr>
        <w:t>precausional</w:t>
      </w:r>
      <w:proofErr w:type="spellEnd"/>
      <w:r w:rsidRPr="001E1730">
        <w:rPr>
          <w:szCs w:val="22"/>
          <w:lang w:val="en-US"/>
        </w:rPr>
        <w:t>” and industrial drawings) data.  While not shown in Table A17, the full legal status table is available to us, which provides more detailed information on the granting process and renewal decisions.</w:t>
      </w:r>
    </w:p>
    <w:p w:rsidR="001E1730" w:rsidRPr="001E1730" w:rsidRDefault="001E1730" w:rsidP="001E1730">
      <w:pPr>
        <w:tabs>
          <w:tab w:val="left" w:pos="0"/>
        </w:tabs>
        <w:rPr>
          <w:b/>
          <w:bCs/>
          <w:color w:val="365F91"/>
          <w:szCs w:val="22"/>
          <w:lang w:val="en-US"/>
        </w:rPr>
      </w:pPr>
    </w:p>
    <w:p w:rsidR="001E1730" w:rsidRPr="001E1730" w:rsidRDefault="001E1730" w:rsidP="001E1730">
      <w:pPr>
        <w:tabs>
          <w:tab w:val="left" w:pos="0"/>
        </w:tabs>
        <w:rPr>
          <w:b/>
          <w:bCs/>
          <w:color w:val="365F91"/>
          <w:szCs w:val="22"/>
          <w:lang w:val="en-US"/>
        </w:rPr>
      </w:pPr>
    </w:p>
    <w:p w:rsidR="001E1730" w:rsidRPr="001E1730" w:rsidRDefault="001E1730" w:rsidP="001E1730">
      <w:pPr>
        <w:contextualSpacing/>
        <w:rPr>
          <w:rFonts w:eastAsia="MS Mincho"/>
          <w:szCs w:val="22"/>
          <w:lang w:val="en-US" w:eastAsia="en-US"/>
        </w:rPr>
      </w:pPr>
      <w:r w:rsidRPr="001E1730">
        <w:rPr>
          <w:rFonts w:eastAsia="MS Mincho"/>
          <w:szCs w:val="22"/>
          <w:lang w:val="en-US" w:eastAsia="en-US"/>
        </w:rPr>
        <w:br w:type="page"/>
      </w:r>
    </w:p>
    <w:tbl>
      <w:tblPr>
        <w:tblW w:w="9969" w:type="dxa"/>
        <w:jc w:val="center"/>
        <w:tblInd w:w="93" w:type="dxa"/>
        <w:tblLook w:val="04A0" w:firstRow="1" w:lastRow="0" w:firstColumn="1" w:lastColumn="0" w:noHBand="0" w:noVBand="1"/>
      </w:tblPr>
      <w:tblGrid>
        <w:gridCol w:w="1640"/>
        <w:gridCol w:w="1480"/>
        <w:gridCol w:w="1500"/>
        <w:gridCol w:w="1660"/>
        <w:gridCol w:w="1232"/>
        <w:gridCol w:w="1403"/>
        <w:gridCol w:w="1232"/>
      </w:tblGrid>
      <w:tr w:rsidR="001E1730" w:rsidRPr="00FA7282" w:rsidTr="001E1730">
        <w:trPr>
          <w:trHeight w:val="315"/>
          <w:jc w:val="center"/>
        </w:trPr>
        <w:tc>
          <w:tcPr>
            <w:tcW w:w="16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14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6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89"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jc w:val="center"/>
        </w:trPr>
        <w:tc>
          <w:tcPr>
            <w:tcW w:w="9969" w:type="dxa"/>
            <w:gridSpan w:val="7"/>
            <w:tcBorders>
              <w:top w:val="single" w:sz="8" w:space="0" w:color="auto"/>
              <w:left w:val="nil"/>
              <w:bottom w:val="nil"/>
              <w:right w:val="nil"/>
            </w:tcBorders>
            <w:shd w:val="clear" w:color="auto" w:fill="auto"/>
            <w:vAlign w:val="center"/>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A1:  Trademark Data- Raw Data Description</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298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All</w:t>
            </w:r>
          </w:p>
        </w:tc>
        <w:tc>
          <w:tcPr>
            <w:tcW w:w="286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Residents</w:t>
            </w:r>
          </w:p>
        </w:tc>
        <w:tc>
          <w:tcPr>
            <w:tcW w:w="2489"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Non-residents</w:t>
            </w:r>
          </w:p>
        </w:tc>
      </w:tr>
      <w:tr w:rsidR="001E1730" w:rsidRPr="001E1730" w:rsidTr="001E1730">
        <w:trPr>
          <w:trHeight w:val="300"/>
          <w:jc w:val="center"/>
        </w:trPr>
        <w:tc>
          <w:tcPr>
            <w:tcW w:w="16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Application Year</w:t>
            </w:r>
          </w:p>
        </w:tc>
        <w:tc>
          <w:tcPr>
            <w:tcW w:w="148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Applications</w:t>
            </w:r>
          </w:p>
        </w:tc>
        <w:tc>
          <w:tcPr>
            <w:tcW w:w="15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Applicants</w:t>
            </w:r>
          </w:p>
        </w:tc>
        <w:tc>
          <w:tcPr>
            <w:tcW w:w="16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Applications</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Applicants</w:t>
            </w:r>
          </w:p>
        </w:tc>
        <w:tc>
          <w:tcPr>
            <w:tcW w:w="1289"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Applications</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Applicants</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1990</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20,627</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11,271</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15,206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8,215</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5,421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3,069</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1991</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29,291</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14,615</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21,351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10,487</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7,941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4,145</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1992</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31,556</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14,480</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22,840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10,259</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8,720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4,236</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1993</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34,041</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15,746</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25,321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11,561</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8,722</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4,200</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1994</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32,480</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15,482</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23,977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11,200</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8,506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4,302</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1995</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34,428</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15,262</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24,860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10,739</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9,573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4,533</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1996</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34,575</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15,524</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24,151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10,661</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10,426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4,883</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1997</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36,119</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16,060</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24,788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10,705</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11,333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5,372</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1998</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34,847</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15,819</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22,826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10,208</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12,023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5,626</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1999</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34,293</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14,929</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22,847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9,858</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11,448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5,080</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2000</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40,889</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16,669</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27,273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11,105</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13,620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5,579</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2001</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40,376</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16,125</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27,735</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10,939</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12,641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5,195</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2002</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38,924</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15,818</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28,273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11,350</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10,652</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4,483</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2003</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38,611</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15,957</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28,126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11,514</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10,486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4,466</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2004</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38,293</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16,322</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28,570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11,946</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9,724</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4,396</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2005</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43,555</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18,462</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32,391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13,365</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11,165</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5,119</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2006</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40,876</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17,908</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28,755</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12,575</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12,129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5,356</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2007</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43,259</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18,291</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29,662</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12,511</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13,600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5,802</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2008</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47,971</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19,501</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32,013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12,895</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15,963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6,628</w:t>
            </w:r>
          </w:p>
        </w:tc>
      </w:tr>
      <w:tr w:rsidR="001E1730" w:rsidRPr="001E1730" w:rsidTr="001E1730">
        <w:trPr>
          <w:trHeight w:val="300"/>
          <w:jc w:val="center"/>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2009</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38,920</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17,121</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26,378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11,235</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12,543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5,903</w:t>
            </w:r>
          </w:p>
        </w:tc>
      </w:tr>
      <w:tr w:rsidR="001E1730" w:rsidRPr="001E1730" w:rsidTr="001E1730">
        <w:trPr>
          <w:trHeight w:val="300"/>
          <w:jc w:val="center"/>
        </w:trPr>
        <w:tc>
          <w:tcPr>
            <w:tcW w:w="164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2010</w:t>
            </w:r>
          </w:p>
        </w:tc>
        <w:tc>
          <w:tcPr>
            <w:tcW w:w="148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44,164</w:t>
            </w:r>
          </w:p>
        </w:tc>
        <w:tc>
          <w:tcPr>
            <w:tcW w:w="15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18,699</w:t>
            </w:r>
          </w:p>
        </w:tc>
        <w:tc>
          <w:tcPr>
            <w:tcW w:w="16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29,507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12,681</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14,657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6,044</w:t>
            </w:r>
          </w:p>
        </w:tc>
      </w:tr>
      <w:tr w:rsidR="001E1730" w:rsidRPr="001E1730" w:rsidTr="001E1730">
        <w:trPr>
          <w:trHeight w:val="315"/>
          <w:jc w:val="center"/>
        </w:trPr>
        <w:tc>
          <w:tcPr>
            <w:tcW w:w="16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Total*</w:t>
            </w:r>
          </w:p>
        </w:tc>
        <w:tc>
          <w:tcPr>
            <w:tcW w:w="148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778,095</w:t>
            </w:r>
          </w:p>
        </w:tc>
        <w:tc>
          <w:tcPr>
            <w:tcW w:w="15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220,064</w:t>
            </w:r>
          </w:p>
        </w:tc>
        <w:tc>
          <w:tcPr>
            <w:tcW w:w="166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546,850</w:t>
            </w:r>
          </w:p>
        </w:tc>
        <w:tc>
          <w:tcPr>
            <w:tcW w:w="120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154,856</w:t>
            </w:r>
          </w:p>
        </w:tc>
        <w:tc>
          <w:tcPr>
            <w:tcW w:w="1289"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231,293</w:t>
            </w:r>
          </w:p>
        </w:tc>
        <w:tc>
          <w:tcPr>
            <w:tcW w:w="120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65,777</w:t>
            </w:r>
          </w:p>
        </w:tc>
      </w:tr>
      <w:tr w:rsidR="001E1730" w:rsidRPr="00FA7282" w:rsidTr="001E1730">
        <w:trPr>
          <w:trHeight w:val="300"/>
          <w:jc w:val="center"/>
        </w:trPr>
        <w:tc>
          <w:tcPr>
            <w:tcW w:w="7480" w:type="dxa"/>
            <w:gridSpan w:val="5"/>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Total of applicants (applicant name) counts each applicant only once</w:t>
            </w:r>
          </w:p>
        </w:tc>
        <w:tc>
          <w:tcPr>
            <w:tcW w:w="1289"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Pr="001E1730" w:rsidRDefault="001E1730" w:rsidP="001E1730">
      <w:pPr>
        <w:contextualSpacing/>
        <w:rPr>
          <w:rFonts w:eastAsia="MS Mincho"/>
          <w:szCs w:val="22"/>
          <w:lang w:val="en-US" w:eastAsia="en-US"/>
        </w:rPr>
      </w:pPr>
    </w:p>
    <w:p w:rsidR="001E1730" w:rsidRPr="001E1730" w:rsidRDefault="001E1730" w:rsidP="001E1730">
      <w:pPr>
        <w:contextualSpacing/>
        <w:rPr>
          <w:rFonts w:eastAsia="MS Mincho"/>
          <w:szCs w:val="22"/>
          <w:lang w:val="en-US" w:eastAsia="en-US"/>
        </w:rPr>
      </w:pPr>
      <w:r w:rsidRPr="001E1730">
        <w:rPr>
          <w:rFonts w:eastAsia="MS Mincho"/>
          <w:szCs w:val="22"/>
          <w:lang w:val="en-US" w:eastAsia="en-US"/>
        </w:rPr>
        <w:br w:type="page"/>
      </w:r>
    </w:p>
    <w:tbl>
      <w:tblPr>
        <w:tblW w:w="9769" w:type="dxa"/>
        <w:tblInd w:w="93" w:type="dxa"/>
        <w:tblLook w:val="04A0" w:firstRow="1" w:lastRow="0" w:firstColumn="1" w:lastColumn="0" w:noHBand="0" w:noVBand="1"/>
      </w:tblPr>
      <w:tblGrid>
        <w:gridCol w:w="1640"/>
        <w:gridCol w:w="1480"/>
        <w:gridCol w:w="1500"/>
        <w:gridCol w:w="1460"/>
        <w:gridCol w:w="1232"/>
        <w:gridCol w:w="1403"/>
        <w:gridCol w:w="1232"/>
      </w:tblGrid>
      <w:tr w:rsidR="001E1730" w:rsidRPr="00FA7282" w:rsidTr="001E1730">
        <w:trPr>
          <w:trHeight w:val="315"/>
        </w:trPr>
        <w:tc>
          <w:tcPr>
            <w:tcW w:w="16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14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4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89"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trPr>
        <w:tc>
          <w:tcPr>
            <w:tcW w:w="9769" w:type="dxa"/>
            <w:gridSpan w:val="7"/>
            <w:tcBorders>
              <w:top w:val="single" w:sz="8" w:space="0" w:color="auto"/>
              <w:left w:val="nil"/>
              <w:bottom w:val="nil"/>
              <w:right w:val="nil"/>
            </w:tcBorders>
            <w:shd w:val="clear" w:color="auto" w:fill="auto"/>
            <w:vAlign w:val="center"/>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A2:  Patent Data- Raw Data Description</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298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All</w:t>
            </w:r>
          </w:p>
        </w:tc>
        <w:tc>
          <w:tcPr>
            <w:tcW w:w="266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Residents</w:t>
            </w:r>
          </w:p>
        </w:tc>
        <w:tc>
          <w:tcPr>
            <w:tcW w:w="2489"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Non-residents</w:t>
            </w:r>
          </w:p>
        </w:tc>
      </w:tr>
      <w:tr w:rsidR="001E1730" w:rsidRPr="001E1730" w:rsidTr="001E1730">
        <w:trPr>
          <w:trHeight w:val="315"/>
        </w:trPr>
        <w:tc>
          <w:tcPr>
            <w:tcW w:w="16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Application Year</w:t>
            </w:r>
          </w:p>
        </w:tc>
        <w:tc>
          <w:tcPr>
            <w:tcW w:w="148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Applications</w:t>
            </w:r>
          </w:p>
        </w:tc>
        <w:tc>
          <w:tcPr>
            <w:tcW w:w="15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Applicants</w:t>
            </w:r>
          </w:p>
        </w:tc>
        <w:tc>
          <w:tcPr>
            <w:tcW w:w="14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Applications</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Applicants</w:t>
            </w:r>
          </w:p>
        </w:tc>
        <w:tc>
          <w:tcPr>
            <w:tcW w:w="1289"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Applications</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Applicants</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1990</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681</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433</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104</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81</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577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353</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1991</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925</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561</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144</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125</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781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437</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1992</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1,258</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713</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150</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1,070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563</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1993</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1,457</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836</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195</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154</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1,262</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682</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1994</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1,727</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1,016</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193</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1,500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823</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1995</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1,884</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1,024</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159</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1,697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867</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1996</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2,181</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1,226</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215</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180</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1,966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1,049</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1997</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2,730</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1,233</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134</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2,581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1,100</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1998</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2,972</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1,374</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172</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2,783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1,202</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1999</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2,951</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1,285</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163</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2,751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1,123</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2000</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3,247</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1,370</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175</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3,048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1,199</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2001</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2,892</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1,256</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198</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2,656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1,059</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2002</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2,552</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1,084</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249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206</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2,303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878</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2003</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2,407</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1,031</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249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188</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2,158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843</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2004</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2,884</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1,148</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263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203</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2,621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945</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2005</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3,075</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1,199</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217</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2,768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982</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2006</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3,419</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1,225</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197</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3,142</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1,029</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2007</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3,609</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1,377</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311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238</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3,298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1,139</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2008</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3,585</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1,377</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345</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238</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3,240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1,139</w:t>
            </w:r>
          </w:p>
        </w:tc>
      </w:tr>
      <w:tr w:rsidR="001E1730" w:rsidRPr="001E1730" w:rsidTr="001E1730">
        <w:trPr>
          <w:trHeight w:val="300"/>
        </w:trPr>
        <w:tc>
          <w:tcPr>
            <w:tcW w:w="16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2009</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1,938</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976</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335</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250</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1,603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726</w:t>
            </w:r>
          </w:p>
        </w:tc>
      </w:tr>
      <w:tr w:rsidR="001E1730" w:rsidRPr="001E1730" w:rsidTr="001E1730">
        <w:trPr>
          <w:trHeight w:val="300"/>
        </w:trPr>
        <w:tc>
          <w:tcPr>
            <w:tcW w:w="164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2010</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1,106</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674</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193</w:t>
            </w:r>
          </w:p>
        </w:tc>
        <w:tc>
          <w:tcPr>
            <w:tcW w:w="128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868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481</w:t>
            </w:r>
          </w:p>
        </w:tc>
      </w:tr>
      <w:tr w:rsidR="001E1730" w:rsidRPr="001E1730" w:rsidTr="001E1730">
        <w:trPr>
          <w:trHeight w:val="315"/>
        </w:trPr>
        <w:tc>
          <w:tcPr>
            <w:tcW w:w="16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Total*</w:t>
            </w:r>
          </w:p>
        </w:tc>
        <w:tc>
          <w:tcPr>
            <w:tcW w:w="148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49,480</w:t>
            </w:r>
          </w:p>
        </w:tc>
        <w:tc>
          <w:tcPr>
            <w:tcW w:w="150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15,151</w:t>
            </w:r>
          </w:p>
        </w:tc>
        <w:tc>
          <w:tcPr>
            <w:tcW w:w="146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4,807</w:t>
            </w:r>
          </w:p>
        </w:tc>
        <w:tc>
          <w:tcPr>
            <w:tcW w:w="120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3,116</w:t>
            </w:r>
          </w:p>
        </w:tc>
        <w:tc>
          <w:tcPr>
            <w:tcW w:w="1289"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44,673</w:t>
            </w:r>
          </w:p>
        </w:tc>
        <w:tc>
          <w:tcPr>
            <w:tcW w:w="120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12,050</w:t>
            </w:r>
          </w:p>
        </w:tc>
      </w:tr>
      <w:tr w:rsidR="001E1730" w:rsidRPr="00FA7282" w:rsidTr="001E1730">
        <w:trPr>
          <w:trHeight w:val="300"/>
        </w:trPr>
        <w:tc>
          <w:tcPr>
            <w:tcW w:w="7280" w:type="dxa"/>
            <w:gridSpan w:val="5"/>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Total of applicants (applicant name) counts each applicant only once</w:t>
            </w:r>
          </w:p>
        </w:tc>
        <w:tc>
          <w:tcPr>
            <w:tcW w:w="1289"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FA7282" w:rsidTr="001E1730">
        <w:trPr>
          <w:trHeight w:val="300"/>
        </w:trPr>
        <w:tc>
          <w:tcPr>
            <w:tcW w:w="7280" w:type="dxa"/>
            <w:gridSpan w:val="5"/>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Data contains patents, utility models, industrial designs and drawings.</w:t>
            </w:r>
          </w:p>
        </w:tc>
        <w:tc>
          <w:tcPr>
            <w:tcW w:w="1289"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Pr="001E1730" w:rsidRDefault="001E1730" w:rsidP="001E1730">
      <w:pPr>
        <w:contextualSpacing/>
        <w:rPr>
          <w:rFonts w:eastAsia="MS Mincho"/>
          <w:szCs w:val="22"/>
          <w:lang w:val="en-US" w:eastAsia="en-US"/>
        </w:rPr>
      </w:pPr>
    </w:p>
    <w:p w:rsidR="001E1730" w:rsidRPr="001E1730" w:rsidRDefault="001E1730" w:rsidP="001E1730">
      <w:pPr>
        <w:contextualSpacing/>
        <w:rPr>
          <w:rFonts w:eastAsia="MS Mincho"/>
          <w:szCs w:val="22"/>
          <w:lang w:val="en-US" w:eastAsia="en-US"/>
        </w:rPr>
      </w:pPr>
      <w:r w:rsidRPr="001E1730">
        <w:rPr>
          <w:rFonts w:eastAsia="MS Mincho"/>
          <w:szCs w:val="22"/>
          <w:lang w:val="en-US" w:eastAsia="en-US"/>
        </w:rPr>
        <w:br w:type="page"/>
      </w:r>
    </w:p>
    <w:tbl>
      <w:tblPr>
        <w:tblW w:w="9080" w:type="dxa"/>
        <w:jc w:val="center"/>
        <w:tblInd w:w="93" w:type="dxa"/>
        <w:tblLook w:val="04A0" w:firstRow="1" w:lastRow="0" w:firstColumn="1" w:lastColumn="0" w:noHBand="0" w:noVBand="1"/>
      </w:tblPr>
      <w:tblGrid>
        <w:gridCol w:w="1200"/>
        <w:gridCol w:w="1200"/>
        <w:gridCol w:w="1200"/>
        <w:gridCol w:w="1460"/>
        <w:gridCol w:w="1620"/>
        <w:gridCol w:w="1200"/>
        <w:gridCol w:w="1200"/>
      </w:tblGrid>
      <w:tr w:rsidR="001E1730" w:rsidRPr="00FA7282" w:rsidTr="001E1730">
        <w:trPr>
          <w:trHeight w:val="315"/>
          <w:jc w:val="center"/>
        </w:trPr>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4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6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jc w:val="center"/>
        </w:trPr>
        <w:tc>
          <w:tcPr>
            <w:tcW w:w="9080" w:type="dxa"/>
            <w:gridSpan w:val="7"/>
            <w:tcBorders>
              <w:top w:val="single" w:sz="8" w:space="0" w:color="auto"/>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 xml:space="preserve">TableA3:  Trademark Data - Raw data in terms of </w:t>
            </w:r>
            <w:proofErr w:type="spellStart"/>
            <w:r w:rsidRPr="001E1730">
              <w:rPr>
                <w:rFonts w:eastAsia="Times New Roman"/>
                <w:b/>
                <w:bCs/>
                <w:color w:val="000000"/>
                <w:szCs w:val="22"/>
                <w:lang w:val="en-US"/>
              </w:rPr>
              <w:t>ruth</w:t>
            </w:r>
            <w:proofErr w:type="spellEnd"/>
            <w:r w:rsidRPr="001E1730">
              <w:rPr>
                <w:rFonts w:eastAsia="Times New Roman"/>
                <w:b/>
                <w:bCs/>
                <w:color w:val="000000"/>
                <w:szCs w:val="22"/>
                <w:lang w:val="en-US"/>
              </w:rPr>
              <w:t xml:space="preserve"> </w:t>
            </w:r>
            <w:proofErr w:type="spellStart"/>
            <w:r w:rsidRPr="001E1730">
              <w:rPr>
                <w:rFonts w:eastAsia="Times New Roman"/>
                <w:b/>
                <w:bCs/>
                <w:color w:val="000000"/>
                <w:szCs w:val="22"/>
                <w:lang w:val="en-US"/>
              </w:rPr>
              <w:t>lenght</w:t>
            </w:r>
            <w:proofErr w:type="spellEnd"/>
          </w:p>
        </w:tc>
      </w:tr>
      <w:tr w:rsidR="001E1730" w:rsidRPr="001E1730" w:rsidTr="001E1730">
        <w:trPr>
          <w:trHeight w:val="300"/>
          <w:jc w:val="center"/>
        </w:trPr>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240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Total trademarks Applications</w:t>
            </w:r>
          </w:p>
        </w:tc>
        <w:tc>
          <w:tcPr>
            <w:tcW w:w="308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Residents</w:t>
            </w:r>
          </w:p>
        </w:tc>
        <w:tc>
          <w:tcPr>
            <w:tcW w:w="2400" w:type="dxa"/>
            <w:gridSpan w:val="2"/>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Non-residents</w:t>
            </w:r>
          </w:p>
        </w:tc>
      </w:tr>
      <w:tr w:rsidR="001E1730" w:rsidRPr="001E1730" w:rsidTr="001E1730">
        <w:trPr>
          <w:trHeight w:val="300"/>
          <w:jc w:val="center"/>
        </w:trPr>
        <w:tc>
          <w:tcPr>
            <w:tcW w:w="1200" w:type="dxa"/>
            <w:tcBorders>
              <w:top w:val="nil"/>
              <w:left w:val="nil"/>
              <w:bottom w:val="single" w:sz="4"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xml:space="preserve">Rut </w:t>
            </w:r>
            <w:proofErr w:type="spellStart"/>
            <w:r w:rsidRPr="001E1730">
              <w:rPr>
                <w:rFonts w:eastAsia="Times New Roman"/>
                <w:color w:val="000000"/>
                <w:szCs w:val="22"/>
                <w:lang w:val="en-US"/>
              </w:rPr>
              <w:t>Lenght</w:t>
            </w:r>
            <w:proofErr w:type="spellEnd"/>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4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62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r>
      <w:tr w:rsidR="001E1730" w:rsidRPr="001E1730" w:rsidTr="001E1730">
        <w:trPr>
          <w:trHeight w:val="300"/>
          <w:jc w:val="center"/>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404</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0.32%</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312</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0.25%</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4.09%</w:t>
            </w:r>
          </w:p>
        </w:tc>
      </w:tr>
      <w:tr w:rsidR="001E1730" w:rsidRPr="001E1730" w:rsidTr="001E1730">
        <w:trPr>
          <w:trHeight w:val="300"/>
          <w:jc w:val="center"/>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51,899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41.41%</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51,498</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41.43%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2,148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58.54%</w:t>
            </w:r>
          </w:p>
        </w:tc>
      </w:tr>
      <w:tr w:rsidR="001E1730" w:rsidRPr="001E1730" w:rsidTr="001E1730">
        <w:trPr>
          <w:trHeight w:val="300"/>
          <w:jc w:val="center"/>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28,290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22.57%</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28,081</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22.59%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791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21.56%</w:t>
            </w:r>
          </w:p>
        </w:tc>
      </w:tr>
      <w:tr w:rsidR="001E1730" w:rsidRPr="001E1730" w:rsidTr="001E1730">
        <w:trPr>
          <w:trHeight w:val="300"/>
          <w:jc w:val="center"/>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22,006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17.56%</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21,917</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17.63%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8.37%</w:t>
            </w:r>
          </w:p>
        </w:tc>
      </w:tr>
      <w:tr w:rsidR="001E1730" w:rsidRPr="001E1730" w:rsidTr="001E1730">
        <w:trPr>
          <w:trHeight w:val="300"/>
          <w:jc w:val="center"/>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21,399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17.07%</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21,365</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17.19%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1.66%</w:t>
            </w:r>
          </w:p>
        </w:tc>
      </w:tr>
      <w:tr w:rsidR="001E1730" w:rsidRPr="001E1730" w:rsidTr="001E1730">
        <w:trPr>
          <w:trHeight w:val="300"/>
          <w:jc w:val="center"/>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212</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0.17%</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202</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0.16%</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0.27%</w:t>
            </w:r>
          </w:p>
        </w:tc>
      </w:tr>
      <w:tr w:rsidR="001E1730" w:rsidRPr="001E1730" w:rsidTr="001E1730">
        <w:trPr>
          <w:trHeight w:val="300"/>
          <w:jc w:val="center"/>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0.02%</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0.08%</w:t>
            </w:r>
          </w:p>
        </w:tc>
      </w:tr>
      <w:tr w:rsidR="001E1730" w:rsidRPr="001E1730" w:rsidTr="001E1730">
        <w:trPr>
          <w:trHeight w:val="300"/>
          <w:jc w:val="center"/>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0.00%</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0.00%</w:t>
            </w:r>
          </w:p>
        </w:tc>
      </w:tr>
      <w:tr w:rsidR="001E1730" w:rsidRPr="001E1730" w:rsidTr="001E1730">
        <w:trPr>
          <w:trHeight w:val="300"/>
          <w:jc w:val="center"/>
        </w:trPr>
        <w:tc>
          <w:tcPr>
            <w:tcW w:w="1200" w:type="dxa"/>
            <w:tcBorders>
              <w:top w:val="nil"/>
              <w:left w:val="nil"/>
              <w:bottom w:val="single" w:sz="4"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1102</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0.88%</w:t>
            </w:r>
          </w:p>
        </w:tc>
        <w:tc>
          <w:tcPr>
            <w:tcW w:w="14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903</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0.73%</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5.42%</w:t>
            </w:r>
          </w:p>
        </w:tc>
      </w:tr>
      <w:tr w:rsidR="001E1730" w:rsidRPr="001E1730" w:rsidTr="001E1730">
        <w:trPr>
          <w:trHeight w:val="315"/>
          <w:jc w:val="center"/>
        </w:trPr>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Total</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125,332</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100.00%</w:t>
            </w:r>
          </w:p>
        </w:tc>
        <w:tc>
          <w:tcPr>
            <w:tcW w:w="14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124,295</w:t>
            </w:r>
          </w:p>
        </w:tc>
        <w:tc>
          <w:tcPr>
            <w:tcW w:w="162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100.00%</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3,669</w:t>
            </w:r>
          </w:p>
        </w:tc>
        <w:tc>
          <w:tcPr>
            <w:tcW w:w="120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100.00%</w:t>
            </w:r>
          </w:p>
        </w:tc>
      </w:tr>
      <w:tr w:rsidR="001E1730" w:rsidRPr="00FA7282" w:rsidTr="001E1730">
        <w:trPr>
          <w:trHeight w:val="300"/>
          <w:jc w:val="center"/>
        </w:trPr>
        <w:tc>
          <w:tcPr>
            <w:tcW w:w="9080" w:type="dxa"/>
            <w:gridSpan w:val="7"/>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Note:  Residents and non-residents do not sum to total because RUTs are not unique to applicant</w:t>
            </w:r>
          </w:p>
        </w:tc>
      </w:tr>
      <w:tr w:rsidR="001E1730" w:rsidRPr="00FA7282" w:rsidTr="001E1730">
        <w:trPr>
          <w:trHeight w:val="285"/>
          <w:jc w:val="center"/>
        </w:trPr>
        <w:tc>
          <w:tcPr>
            <w:tcW w:w="9080" w:type="dxa"/>
            <w:gridSpan w:val="7"/>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 Zero means  RUT field in raw data contained some </w:t>
            </w:r>
            <w:proofErr w:type="spellStart"/>
            <w:r w:rsidRPr="001E1730">
              <w:rPr>
                <w:rFonts w:eastAsia="Times New Roman"/>
                <w:color w:val="000000"/>
                <w:szCs w:val="22"/>
                <w:lang w:val="en-US"/>
              </w:rPr>
              <w:t>invaliud</w:t>
            </w:r>
            <w:proofErr w:type="spellEnd"/>
            <w:r w:rsidRPr="001E1730">
              <w:rPr>
                <w:rFonts w:eastAsia="Times New Roman"/>
                <w:color w:val="000000"/>
                <w:szCs w:val="22"/>
                <w:lang w:val="en-US"/>
              </w:rPr>
              <w:t xml:space="preserve"> character</w:t>
            </w:r>
          </w:p>
        </w:tc>
      </w:tr>
    </w:tbl>
    <w:p w:rsidR="001E1730" w:rsidRPr="001E1730" w:rsidRDefault="001E1730" w:rsidP="001E1730">
      <w:pPr>
        <w:contextualSpacing/>
        <w:rPr>
          <w:rFonts w:eastAsia="MS Mincho"/>
          <w:szCs w:val="22"/>
          <w:lang w:val="en-US" w:eastAsia="en-US"/>
        </w:rPr>
      </w:pPr>
    </w:p>
    <w:tbl>
      <w:tblPr>
        <w:tblW w:w="8400" w:type="dxa"/>
        <w:tblInd w:w="93" w:type="dxa"/>
        <w:tblLook w:val="04A0" w:firstRow="1" w:lastRow="0" w:firstColumn="1" w:lastColumn="0" w:noHBand="0" w:noVBand="1"/>
      </w:tblPr>
      <w:tblGrid>
        <w:gridCol w:w="1200"/>
        <w:gridCol w:w="1200"/>
        <w:gridCol w:w="1200"/>
        <w:gridCol w:w="1200"/>
        <w:gridCol w:w="1200"/>
        <w:gridCol w:w="1200"/>
        <w:gridCol w:w="1200"/>
      </w:tblGrid>
      <w:tr w:rsidR="001E1730" w:rsidRPr="00FA7282" w:rsidTr="001E1730">
        <w:trPr>
          <w:trHeight w:val="315"/>
        </w:trPr>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trPr>
        <w:tc>
          <w:tcPr>
            <w:tcW w:w="8400" w:type="dxa"/>
            <w:gridSpan w:val="7"/>
            <w:tcBorders>
              <w:top w:val="nil"/>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A4:  Trademark data – Raw data in terms of Valid RUT</w:t>
            </w:r>
          </w:p>
        </w:tc>
      </w:tr>
      <w:tr w:rsidR="001E1730" w:rsidRPr="001E1730" w:rsidTr="001E1730">
        <w:trPr>
          <w:trHeight w:val="300"/>
        </w:trPr>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xml:space="preserve">Rut </w:t>
            </w:r>
          </w:p>
        </w:tc>
        <w:tc>
          <w:tcPr>
            <w:tcW w:w="240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Total trademarks Applications</w:t>
            </w:r>
          </w:p>
        </w:tc>
        <w:tc>
          <w:tcPr>
            <w:tcW w:w="240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Residents</w:t>
            </w:r>
          </w:p>
        </w:tc>
        <w:tc>
          <w:tcPr>
            <w:tcW w:w="2400" w:type="dxa"/>
            <w:gridSpan w:val="2"/>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Non-residents</w:t>
            </w:r>
          </w:p>
        </w:tc>
      </w:tr>
      <w:tr w:rsidR="001E1730" w:rsidRPr="001E1730" w:rsidTr="001E1730">
        <w:trPr>
          <w:trHeight w:val="315"/>
        </w:trPr>
        <w:tc>
          <w:tcPr>
            <w:tcW w:w="120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Valid</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51,899</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70.54%</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51,497</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70.44%</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2,144</w:t>
            </w:r>
          </w:p>
        </w:tc>
        <w:tc>
          <w:tcPr>
            <w:tcW w:w="12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88.52%</w:t>
            </w:r>
          </w:p>
        </w:tc>
      </w:tr>
      <w:tr w:rsidR="001E1730" w:rsidRPr="001E1730" w:rsidTr="001E1730">
        <w:trPr>
          <w:trHeight w:val="300"/>
        </w:trPr>
        <w:tc>
          <w:tcPr>
            <w:tcW w:w="1200" w:type="dxa"/>
            <w:tcBorders>
              <w:top w:val="nil"/>
              <w:left w:val="nil"/>
              <w:bottom w:val="single" w:sz="4"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Invalid</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21,680</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29.46%</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21,608</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29.56%</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278</w:t>
            </w:r>
          </w:p>
        </w:tc>
        <w:tc>
          <w:tcPr>
            <w:tcW w:w="12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11.48%</w:t>
            </w:r>
          </w:p>
        </w:tc>
      </w:tr>
      <w:tr w:rsidR="001E1730" w:rsidRPr="001E1730" w:rsidTr="001E1730">
        <w:trPr>
          <w:trHeight w:val="315"/>
        </w:trPr>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Total</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73,579</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100.00%</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73,105</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100.00%</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2,422</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100.00%</w:t>
            </w:r>
          </w:p>
        </w:tc>
      </w:tr>
      <w:tr w:rsidR="001E1730" w:rsidRPr="00FA7282" w:rsidTr="001E1730">
        <w:trPr>
          <w:trHeight w:val="345"/>
        </w:trPr>
        <w:tc>
          <w:tcPr>
            <w:tcW w:w="8400" w:type="dxa"/>
            <w:gridSpan w:val="7"/>
            <w:tcBorders>
              <w:top w:val="single" w:sz="8" w:space="0" w:color="auto"/>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Note:  Figures include only 9-10 digit RUTs</w:t>
            </w:r>
          </w:p>
        </w:tc>
      </w:tr>
    </w:tbl>
    <w:p w:rsidR="001E1730" w:rsidRPr="001E1730" w:rsidRDefault="001E1730" w:rsidP="001E1730">
      <w:pPr>
        <w:contextualSpacing/>
        <w:rPr>
          <w:rFonts w:eastAsia="MS Mincho"/>
          <w:szCs w:val="22"/>
          <w:lang w:val="en-US" w:eastAsia="en-US"/>
        </w:rPr>
      </w:pPr>
    </w:p>
    <w:p w:rsidR="001E1730" w:rsidRPr="001E1730" w:rsidRDefault="001E1730" w:rsidP="001E1730">
      <w:pPr>
        <w:contextualSpacing/>
        <w:rPr>
          <w:rFonts w:eastAsia="MS Mincho"/>
          <w:szCs w:val="22"/>
          <w:lang w:val="en-US" w:eastAsia="en-US"/>
        </w:rPr>
      </w:pPr>
      <w:r w:rsidRPr="001E1730">
        <w:rPr>
          <w:rFonts w:eastAsia="MS Mincho"/>
          <w:szCs w:val="22"/>
          <w:lang w:val="en-US" w:eastAsia="en-US"/>
        </w:rPr>
        <w:br w:type="page"/>
      </w:r>
    </w:p>
    <w:tbl>
      <w:tblPr>
        <w:tblW w:w="9080" w:type="dxa"/>
        <w:tblInd w:w="93" w:type="dxa"/>
        <w:tblLook w:val="04A0" w:firstRow="1" w:lastRow="0" w:firstColumn="1" w:lastColumn="0" w:noHBand="0" w:noVBand="1"/>
      </w:tblPr>
      <w:tblGrid>
        <w:gridCol w:w="1200"/>
        <w:gridCol w:w="3960"/>
        <w:gridCol w:w="1520"/>
        <w:gridCol w:w="1200"/>
        <w:gridCol w:w="1200"/>
      </w:tblGrid>
      <w:tr w:rsidR="001E1730" w:rsidRPr="00FA7282" w:rsidTr="001E1730">
        <w:trPr>
          <w:trHeight w:val="315"/>
        </w:trPr>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3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trPr>
        <w:tc>
          <w:tcPr>
            <w:tcW w:w="9080" w:type="dxa"/>
            <w:gridSpan w:val="5"/>
            <w:tcBorders>
              <w:top w:val="nil"/>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A5:  Extract of the `trademark dictionary’</w:t>
            </w:r>
          </w:p>
        </w:tc>
      </w:tr>
      <w:tr w:rsidR="001E1730" w:rsidRPr="001E1730" w:rsidTr="001E1730">
        <w:trPr>
          <w:trHeight w:val="315"/>
        </w:trPr>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ID</w:t>
            </w:r>
          </w:p>
        </w:tc>
        <w:tc>
          <w:tcPr>
            <w:tcW w:w="3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xml:space="preserve">Applicant Name </w:t>
            </w:r>
          </w:p>
        </w:tc>
        <w:tc>
          <w:tcPr>
            <w:tcW w:w="1520" w:type="dxa"/>
            <w:tcBorders>
              <w:top w:val="nil"/>
              <w:left w:val="nil"/>
              <w:bottom w:val="single" w:sz="8" w:space="0" w:color="auto"/>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RUT</w:t>
            </w:r>
          </w:p>
        </w:tc>
        <w:tc>
          <w:tcPr>
            <w:tcW w:w="1200" w:type="dxa"/>
            <w:tcBorders>
              <w:top w:val="nil"/>
              <w:left w:val="nil"/>
              <w:bottom w:val="single" w:sz="8" w:space="0" w:color="auto"/>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Special RUT</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Country</w:t>
            </w:r>
          </w:p>
        </w:tc>
      </w:tr>
      <w:tr w:rsidR="001E1730" w:rsidRPr="001E1730" w:rsidTr="001E1730">
        <w:trPr>
          <w:trHeight w:val="315"/>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182147</w:t>
            </w:r>
          </w:p>
        </w:tc>
        <w:tc>
          <w:tcPr>
            <w:tcW w:w="396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fr-FR"/>
              </w:rPr>
            </w:pPr>
            <w:proofErr w:type="spellStart"/>
            <w:r w:rsidRPr="001E1730">
              <w:rPr>
                <w:rFonts w:eastAsia="Times New Roman"/>
                <w:color w:val="000000"/>
                <w:szCs w:val="22"/>
                <w:lang w:val="fr-FR"/>
              </w:rPr>
              <w:t>zermat</w:t>
            </w:r>
            <w:proofErr w:type="spellEnd"/>
            <w:r w:rsidRPr="001E1730">
              <w:rPr>
                <w:rFonts w:eastAsia="Times New Roman"/>
                <w:color w:val="000000"/>
                <w:szCs w:val="22"/>
                <w:lang w:val="fr-FR"/>
              </w:rPr>
              <w:t xml:space="preserve"> </w:t>
            </w:r>
            <w:proofErr w:type="spellStart"/>
            <w:r w:rsidRPr="001E1730">
              <w:rPr>
                <w:rFonts w:eastAsia="Times New Roman"/>
                <w:color w:val="000000"/>
                <w:szCs w:val="22"/>
                <w:lang w:val="fr-FR"/>
              </w:rPr>
              <w:t>internacional</w:t>
            </w:r>
            <w:proofErr w:type="spellEnd"/>
            <w:r w:rsidRPr="001E1730">
              <w:rPr>
                <w:rFonts w:eastAsia="Times New Roman"/>
                <w:color w:val="000000"/>
                <w:szCs w:val="22"/>
                <w:lang w:val="fr-FR"/>
              </w:rPr>
              <w:t xml:space="preserve"> sa de cv</w:t>
            </w:r>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60805008*</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MX</w:t>
            </w:r>
          </w:p>
        </w:tc>
      </w:tr>
      <w:tr w:rsidR="001E1730" w:rsidRPr="001E1730" w:rsidTr="001E1730">
        <w:trPr>
          <w:trHeight w:val="345"/>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182147</w:t>
            </w:r>
          </w:p>
        </w:tc>
        <w:tc>
          <w:tcPr>
            <w:tcW w:w="396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fr-FR"/>
              </w:rPr>
            </w:pPr>
            <w:proofErr w:type="spellStart"/>
            <w:r w:rsidRPr="001E1730">
              <w:rPr>
                <w:rFonts w:eastAsia="Times New Roman"/>
                <w:color w:val="000000"/>
                <w:szCs w:val="22"/>
                <w:lang w:val="fr-FR"/>
              </w:rPr>
              <w:t>zermat</w:t>
            </w:r>
            <w:proofErr w:type="spellEnd"/>
            <w:r w:rsidRPr="001E1730">
              <w:rPr>
                <w:rFonts w:eastAsia="Times New Roman"/>
                <w:color w:val="000000"/>
                <w:szCs w:val="22"/>
                <w:lang w:val="fr-FR"/>
              </w:rPr>
              <w:t xml:space="preserve"> </w:t>
            </w:r>
            <w:proofErr w:type="spellStart"/>
            <w:r w:rsidRPr="001E1730">
              <w:rPr>
                <w:rFonts w:eastAsia="Times New Roman"/>
                <w:color w:val="000000"/>
                <w:szCs w:val="22"/>
                <w:lang w:val="fr-FR"/>
              </w:rPr>
              <w:t>internacional</w:t>
            </w:r>
            <w:proofErr w:type="spellEnd"/>
            <w:r w:rsidRPr="001E1730">
              <w:rPr>
                <w:rFonts w:eastAsia="Times New Roman"/>
                <w:color w:val="000000"/>
                <w:szCs w:val="22"/>
                <w:lang w:val="fr-FR"/>
              </w:rPr>
              <w:t xml:space="preserve"> sa de cv</w:t>
            </w:r>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883373006**</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182147</w:t>
            </w:r>
          </w:p>
        </w:tc>
        <w:tc>
          <w:tcPr>
            <w:tcW w:w="396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zermat</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internacional</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sa</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883373006**</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285"/>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112711</w:t>
            </w:r>
          </w:p>
        </w:tc>
        <w:tc>
          <w:tcPr>
            <w:tcW w:w="396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blanca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alfaro</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patricio</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108191988</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285"/>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112711</w:t>
            </w:r>
          </w:p>
        </w:tc>
        <w:tc>
          <w:tcPr>
            <w:tcW w:w="396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patricio</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blanca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alfaro</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100746069</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111766</w:t>
            </w:r>
          </w:p>
        </w:tc>
        <w:tc>
          <w:tcPr>
            <w:tcW w:w="396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xstrata</w:t>
            </w:r>
            <w:proofErr w:type="spellEnd"/>
            <w:r w:rsidRPr="001E1730">
              <w:rPr>
                <w:rFonts w:eastAsia="Times New Roman"/>
                <w:color w:val="000000"/>
                <w:szCs w:val="22"/>
                <w:lang w:val="en-US"/>
              </w:rPr>
              <w:t xml:space="preserve"> copper </w:t>
            </w:r>
            <w:proofErr w:type="spellStart"/>
            <w:r w:rsidRPr="001E1730">
              <w:rPr>
                <w:rFonts w:eastAsia="Times New Roman"/>
                <w:color w:val="000000"/>
                <w:szCs w:val="22"/>
                <w:lang w:val="en-US"/>
              </w:rPr>
              <w:t>chile</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sa</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883258002</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15"/>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111766</w:t>
            </w:r>
          </w:p>
        </w:tc>
        <w:tc>
          <w:tcPr>
            <w:tcW w:w="396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rPr>
            </w:pPr>
            <w:proofErr w:type="spellStart"/>
            <w:r w:rsidRPr="001E1730">
              <w:rPr>
                <w:rFonts w:eastAsia="Times New Roman"/>
                <w:color w:val="000000"/>
                <w:szCs w:val="22"/>
              </w:rPr>
              <w:t>xstrata</w:t>
            </w:r>
            <w:proofErr w:type="spellEnd"/>
            <w:r w:rsidRPr="001E1730">
              <w:rPr>
                <w:rFonts w:eastAsia="Times New Roman"/>
                <w:color w:val="000000"/>
                <w:szCs w:val="22"/>
              </w:rPr>
              <w:t xml:space="preserve"> norte exploraciones servicio </w:t>
            </w:r>
            <w:proofErr w:type="spellStart"/>
            <w:r w:rsidRPr="001E1730">
              <w:rPr>
                <w:rFonts w:eastAsia="Times New Roman"/>
                <w:color w:val="000000"/>
                <w:szCs w:val="22"/>
              </w:rPr>
              <w:t>ltda</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766736807</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15"/>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111766</w:t>
            </w:r>
          </w:p>
        </w:tc>
        <w:tc>
          <w:tcPr>
            <w:tcW w:w="396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xstrata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chile</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sa</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969720701</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285"/>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167056</w:t>
            </w:r>
          </w:p>
        </w:tc>
        <w:tc>
          <w:tcPr>
            <w:tcW w:w="396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rPr>
            </w:pPr>
            <w:proofErr w:type="spellStart"/>
            <w:r w:rsidRPr="001E1730">
              <w:rPr>
                <w:rFonts w:eastAsia="Times New Roman"/>
                <w:color w:val="000000"/>
                <w:szCs w:val="22"/>
              </w:rPr>
              <w:t>jaime</w:t>
            </w:r>
            <w:proofErr w:type="spellEnd"/>
            <w:r w:rsidRPr="001E1730">
              <w:rPr>
                <w:rFonts w:eastAsia="Times New Roman"/>
                <w:color w:val="000000"/>
                <w:szCs w:val="22"/>
              </w:rPr>
              <w:t xml:space="preserve"> </w:t>
            </w:r>
            <w:proofErr w:type="spellStart"/>
            <w:r w:rsidRPr="001E1730">
              <w:rPr>
                <w:rFonts w:eastAsia="Times New Roman"/>
                <w:color w:val="000000"/>
                <w:szCs w:val="22"/>
              </w:rPr>
              <w:t>alcibiades</w:t>
            </w:r>
            <w:proofErr w:type="spellEnd"/>
            <w:r w:rsidRPr="001E1730">
              <w:rPr>
                <w:rFonts w:eastAsia="Times New Roman"/>
                <w:color w:val="000000"/>
                <w:szCs w:val="22"/>
              </w:rPr>
              <w:t xml:space="preserve"> </w:t>
            </w:r>
            <w:proofErr w:type="spellStart"/>
            <w:r w:rsidRPr="001E1730">
              <w:rPr>
                <w:rFonts w:eastAsia="Times New Roman"/>
                <w:color w:val="000000"/>
                <w:szCs w:val="22"/>
              </w:rPr>
              <w:t>eduardo</w:t>
            </w:r>
            <w:proofErr w:type="spellEnd"/>
            <w:r w:rsidRPr="001E1730">
              <w:rPr>
                <w:rFonts w:eastAsia="Times New Roman"/>
                <w:color w:val="000000"/>
                <w:szCs w:val="22"/>
              </w:rPr>
              <w:t xml:space="preserve"> </w:t>
            </w:r>
            <w:proofErr w:type="spellStart"/>
            <w:r w:rsidRPr="001E1730">
              <w:rPr>
                <w:rFonts w:eastAsia="Times New Roman"/>
                <w:color w:val="000000"/>
                <w:szCs w:val="22"/>
              </w:rPr>
              <w:t>lavin</w:t>
            </w:r>
            <w:proofErr w:type="spellEnd"/>
            <w:r w:rsidRPr="001E1730">
              <w:rPr>
                <w:rFonts w:eastAsia="Times New Roman"/>
                <w:color w:val="000000"/>
                <w:szCs w:val="22"/>
              </w:rPr>
              <w:t xml:space="preserve"> </w:t>
            </w:r>
            <w:proofErr w:type="spellStart"/>
            <w:r w:rsidRPr="001E1730">
              <w:rPr>
                <w:rFonts w:eastAsia="Times New Roman"/>
                <w:color w:val="000000"/>
                <w:szCs w:val="22"/>
              </w:rPr>
              <w:t>mosquera</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167056</w:t>
            </w:r>
          </w:p>
        </w:tc>
        <w:tc>
          <w:tcPr>
            <w:tcW w:w="396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rPr>
            </w:pPr>
            <w:proofErr w:type="spellStart"/>
            <w:r w:rsidRPr="001E1730">
              <w:rPr>
                <w:rFonts w:eastAsia="Times New Roman"/>
                <w:color w:val="000000"/>
                <w:szCs w:val="22"/>
              </w:rPr>
              <w:t>lavin</w:t>
            </w:r>
            <w:proofErr w:type="spellEnd"/>
            <w:r w:rsidRPr="001E1730">
              <w:rPr>
                <w:rFonts w:eastAsia="Times New Roman"/>
                <w:color w:val="000000"/>
                <w:szCs w:val="22"/>
              </w:rPr>
              <w:t xml:space="preserve"> </w:t>
            </w:r>
            <w:proofErr w:type="spellStart"/>
            <w:r w:rsidRPr="001E1730">
              <w:rPr>
                <w:rFonts w:eastAsia="Times New Roman"/>
                <w:color w:val="000000"/>
                <w:szCs w:val="22"/>
              </w:rPr>
              <w:t>mosquera</w:t>
            </w:r>
            <w:proofErr w:type="spellEnd"/>
            <w:r w:rsidRPr="001E1730">
              <w:rPr>
                <w:rFonts w:eastAsia="Times New Roman"/>
                <w:color w:val="000000"/>
                <w:szCs w:val="22"/>
              </w:rPr>
              <w:t xml:space="preserve"> </w:t>
            </w:r>
            <w:proofErr w:type="spellStart"/>
            <w:r w:rsidRPr="001E1730">
              <w:rPr>
                <w:rFonts w:eastAsia="Times New Roman"/>
                <w:color w:val="000000"/>
                <w:szCs w:val="22"/>
              </w:rPr>
              <w:t>jaime</w:t>
            </w:r>
            <w:proofErr w:type="spellEnd"/>
            <w:r w:rsidRPr="001E1730">
              <w:rPr>
                <w:rFonts w:eastAsia="Times New Roman"/>
                <w:color w:val="000000"/>
                <w:szCs w:val="22"/>
              </w:rPr>
              <w:t xml:space="preserve"> </w:t>
            </w:r>
            <w:proofErr w:type="spellStart"/>
            <w:r w:rsidRPr="001E1730">
              <w:rPr>
                <w:rFonts w:eastAsia="Times New Roman"/>
                <w:color w:val="000000"/>
                <w:szCs w:val="22"/>
              </w:rPr>
              <w:t>alcibiedes</w:t>
            </w:r>
            <w:proofErr w:type="spellEnd"/>
            <w:r w:rsidRPr="001E1730">
              <w:rPr>
                <w:rFonts w:eastAsia="Times New Roman"/>
                <w:color w:val="000000"/>
                <w:szCs w:val="22"/>
              </w:rPr>
              <w:t xml:space="preserve"> </w:t>
            </w:r>
            <w:proofErr w:type="spellStart"/>
            <w:r w:rsidRPr="001E1730">
              <w:rPr>
                <w:rFonts w:eastAsia="Times New Roman"/>
                <w:color w:val="000000"/>
                <w:szCs w:val="22"/>
              </w:rPr>
              <w:t>eduardo</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2472403</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75"/>
        </w:trPr>
        <w:tc>
          <w:tcPr>
            <w:tcW w:w="120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167056</w:t>
            </w:r>
          </w:p>
        </w:tc>
        <w:tc>
          <w:tcPr>
            <w:tcW w:w="3960" w:type="dxa"/>
            <w:tcBorders>
              <w:top w:val="nil"/>
              <w:left w:val="nil"/>
              <w:bottom w:val="single" w:sz="8" w:space="0" w:color="auto"/>
              <w:right w:val="nil"/>
            </w:tcBorders>
            <w:shd w:val="clear" w:color="auto" w:fill="auto"/>
            <w:vAlign w:val="bottom"/>
          </w:tcPr>
          <w:p w:rsidR="001E1730" w:rsidRPr="001E1730" w:rsidRDefault="001E1730" w:rsidP="001E1730">
            <w:pPr>
              <w:rPr>
                <w:rFonts w:eastAsia="Times New Roman"/>
                <w:color w:val="000000"/>
                <w:szCs w:val="22"/>
              </w:rPr>
            </w:pPr>
            <w:proofErr w:type="spellStart"/>
            <w:r w:rsidRPr="001E1730">
              <w:rPr>
                <w:rFonts w:eastAsia="Times New Roman"/>
                <w:color w:val="000000"/>
                <w:szCs w:val="22"/>
              </w:rPr>
              <w:t>lavin</w:t>
            </w:r>
            <w:proofErr w:type="spellEnd"/>
            <w:r w:rsidRPr="001E1730">
              <w:rPr>
                <w:rFonts w:eastAsia="Times New Roman"/>
                <w:color w:val="000000"/>
                <w:szCs w:val="22"/>
              </w:rPr>
              <w:t xml:space="preserve"> </w:t>
            </w:r>
            <w:proofErr w:type="spellStart"/>
            <w:r w:rsidRPr="001E1730">
              <w:rPr>
                <w:rFonts w:eastAsia="Times New Roman"/>
                <w:color w:val="000000"/>
                <w:szCs w:val="22"/>
              </w:rPr>
              <w:t>mosquera</w:t>
            </w:r>
            <w:proofErr w:type="spellEnd"/>
            <w:r w:rsidRPr="001E1730">
              <w:rPr>
                <w:rFonts w:eastAsia="Times New Roman"/>
                <w:color w:val="000000"/>
                <w:szCs w:val="22"/>
              </w:rPr>
              <w:t xml:space="preserve"> </w:t>
            </w:r>
            <w:proofErr w:type="spellStart"/>
            <w:r w:rsidRPr="001E1730">
              <w:rPr>
                <w:rFonts w:eastAsia="Times New Roman"/>
                <w:color w:val="000000"/>
                <w:szCs w:val="22"/>
              </w:rPr>
              <w:t>jaime</w:t>
            </w:r>
            <w:proofErr w:type="spellEnd"/>
            <w:r w:rsidRPr="001E1730">
              <w:rPr>
                <w:rFonts w:eastAsia="Times New Roman"/>
                <w:color w:val="000000"/>
                <w:szCs w:val="22"/>
              </w:rPr>
              <w:t xml:space="preserve"> </w:t>
            </w:r>
            <w:proofErr w:type="spellStart"/>
            <w:r w:rsidRPr="001E1730">
              <w:rPr>
                <w:rFonts w:eastAsia="Times New Roman"/>
                <w:color w:val="000000"/>
                <w:szCs w:val="22"/>
              </w:rPr>
              <w:t>alcibiades</w:t>
            </w:r>
            <w:proofErr w:type="spellEnd"/>
            <w:r w:rsidRPr="001E1730">
              <w:rPr>
                <w:rFonts w:eastAsia="Times New Roman"/>
                <w:color w:val="000000"/>
                <w:szCs w:val="22"/>
              </w:rPr>
              <w:t xml:space="preserve"> </w:t>
            </w:r>
            <w:proofErr w:type="spellStart"/>
            <w:r w:rsidRPr="001E1730">
              <w:rPr>
                <w:rFonts w:eastAsia="Times New Roman"/>
                <w:color w:val="000000"/>
                <w:szCs w:val="22"/>
              </w:rPr>
              <w:t>eduardo</w:t>
            </w:r>
            <w:proofErr w:type="spellEnd"/>
          </w:p>
        </w:tc>
        <w:tc>
          <w:tcPr>
            <w:tcW w:w="152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24724034</w:t>
            </w:r>
          </w:p>
        </w:tc>
        <w:tc>
          <w:tcPr>
            <w:tcW w:w="120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00"/>
        </w:trPr>
        <w:tc>
          <w:tcPr>
            <w:tcW w:w="5160" w:type="dxa"/>
            <w:gridSpan w:val="2"/>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 </w:t>
            </w:r>
            <w:proofErr w:type="spellStart"/>
            <w:r w:rsidRPr="001E1730">
              <w:rPr>
                <w:rFonts w:eastAsia="Times New Roman"/>
                <w:color w:val="000000"/>
                <w:szCs w:val="22"/>
                <w:lang w:val="en-US"/>
              </w:rPr>
              <w:t>Tesoreria</w:t>
            </w:r>
            <w:proofErr w:type="spellEnd"/>
            <w:r w:rsidRPr="001E1730">
              <w:rPr>
                <w:rFonts w:eastAsia="Times New Roman"/>
                <w:color w:val="000000"/>
                <w:szCs w:val="22"/>
                <w:lang w:val="en-US"/>
              </w:rPr>
              <w:t xml:space="preserve"> General </w:t>
            </w:r>
            <w:proofErr w:type="spellStart"/>
            <w:r w:rsidRPr="001E1730">
              <w:rPr>
                <w:rFonts w:eastAsia="Times New Roman"/>
                <w:color w:val="000000"/>
                <w:szCs w:val="22"/>
                <w:lang w:val="en-US"/>
              </w:rPr>
              <w:t>Metropolitana</w:t>
            </w:r>
            <w:proofErr w:type="spellEnd"/>
          </w:p>
        </w:tc>
        <w:tc>
          <w:tcPr>
            <w:tcW w:w="15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trPr>
        <w:tc>
          <w:tcPr>
            <w:tcW w:w="5160" w:type="dxa"/>
            <w:gridSpan w:val="2"/>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 Serrano Weinstein </w:t>
            </w:r>
            <w:proofErr w:type="spellStart"/>
            <w:r w:rsidRPr="001E1730">
              <w:rPr>
                <w:rFonts w:eastAsia="Times New Roman"/>
                <w:color w:val="000000"/>
                <w:szCs w:val="22"/>
                <w:lang w:val="en-US"/>
              </w:rPr>
              <w:t>Vermehren</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lawfirm</w:t>
            </w:r>
            <w:proofErr w:type="spellEnd"/>
            <w:r w:rsidRPr="001E1730">
              <w:rPr>
                <w:rFonts w:eastAsia="Times New Roman"/>
                <w:color w:val="000000"/>
                <w:szCs w:val="22"/>
                <w:lang w:val="en-US"/>
              </w:rPr>
              <w:t>)</w:t>
            </w:r>
          </w:p>
        </w:tc>
        <w:tc>
          <w:tcPr>
            <w:tcW w:w="15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Pr="001E1730" w:rsidRDefault="001E1730" w:rsidP="001E1730">
      <w:pPr>
        <w:contextualSpacing/>
        <w:rPr>
          <w:rFonts w:eastAsia="MS Mincho"/>
          <w:szCs w:val="22"/>
          <w:lang w:val="en-US" w:eastAsia="en-US"/>
        </w:rPr>
        <w:sectPr w:rsidR="001E1730" w:rsidRPr="001E1730" w:rsidSect="001E1730">
          <w:headerReference w:type="default" r:id="rId48"/>
          <w:footerReference w:type="even" r:id="rId49"/>
          <w:footerReference w:type="default" r:id="rId50"/>
          <w:headerReference w:type="first" r:id="rId51"/>
          <w:footerReference w:type="first" r:id="rId52"/>
          <w:pgSz w:w="11900" w:h="16840" w:code="9"/>
          <w:pgMar w:top="1440" w:right="1440" w:bottom="1440" w:left="1440" w:header="709" w:footer="709" w:gutter="0"/>
          <w:pgNumType w:start="1"/>
          <w:cols w:space="708"/>
          <w:titlePg/>
          <w:docGrid w:linePitch="360"/>
        </w:sectPr>
      </w:pPr>
    </w:p>
    <w:p w:rsidR="001E1730" w:rsidRPr="001E1730" w:rsidRDefault="001E1730" w:rsidP="001E1730">
      <w:pPr>
        <w:contextualSpacing/>
        <w:rPr>
          <w:rFonts w:eastAsia="MS Mincho"/>
          <w:szCs w:val="22"/>
          <w:lang w:val="en-US" w:eastAsia="en-US"/>
        </w:rPr>
      </w:pPr>
    </w:p>
    <w:tbl>
      <w:tblPr>
        <w:tblW w:w="13240" w:type="dxa"/>
        <w:tblInd w:w="93" w:type="dxa"/>
        <w:tblLook w:val="04A0" w:firstRow="1" w:lastRow="0" w:firstColumn="1" w:lastColumn="0" w:noHBand="0" w:noVBand="1"/>
      </w:tblPr>
      <w:tblGrid>
        <w:gridCol w:w="1200"/>
        <w:gridCol w:w="5120"/>
        <w:gridCol w:w="3320"/>
        <w:gridCol w:w="1403"/>
        <w:gridCol w:w="1200"/>
        <w:gridCol w:w="1200"/>
      </w:tblGrid>
      <w:tr w:rsidR="001E1730" w:rsidRPr="001E1730" w:rsidTr="001E1730">
        <w:trPr>
          <w:trHeight w:val="315"/>
        </w:trPr>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51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33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trPr>
        <w:tc>
          <w:tcPr>
            <w:tcW w:w="13240" w:type="dxa"/>
            <w:gridSpan w:val="6"/>
            <w:tcBorders>
              <w:top w:val="single" w:sz="8" w:space="0" w:color="auto"/>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A6:  Extract of the `patent dictionary’</w:t>
            </w:r>
          </w:p>
        </w:tc>
      </w:tr>
      <w:tr w:rsidR="001E1730" w:rsidRPr="001E1730" w:rsidTr="001E1730">
        <w:trPr>
          <w:trHeight w:val="315"/>
        </w:trPr>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ID</w:t>
            </w:r>
          </w:p>
        </w:tc>
        <w:tc>
          <w:tcPr>
            <w:tcW w:w="512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xml:space="preserve">Applicant Name </w:t>
            </w:r>
          </w:p>
        </w:tc>
        <w:tc>
          <w:tcPr>
            <w:tcW w:w="332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Applicant split name</w:t>
            </w:r>
          </w:p>
        </w:tc>
        <w:tc>
          <w:tcPr>
            <w:tcW w:w="1200" w:type="dxa"/>
            <w:tcBorders>
              <w:top w:val="nil"/>
              <w:left w:val="nil"/>
              <w:bottom w:val="single" w:sz="8" w:space="0" w:color="auto"/>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RUT</w:t>
            </w:r>
          </w:p>
        </w:tc>
        <w:tc>
          <w:tcPr>
            <w:tcW w:w="1200" w:type="dxa"/>
            <w:tcBorders>
              <w:top w:val="nil"/>
              <w:left w:val="nil"/>
              <w:bottom w:val="single" w:sz="8" w:space="0" w:color="auto"/>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Special RUT</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Country</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I3049</w:t>
            </w:r>
          </w:p>
        </w:tc>
        <w:tc>
          <w:tcPr>
            <w:tcW w:w="51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fr-FR"/>
              </w:rPr>
            </w:pPr>
            <w:r w:rsidRPr="001E1730">
              <w:rPr>
                <w:rFonts w:eastAsia="Times New Roman"/>
                <w:color w:val="000000"/>
                <w:szCs w:val="22"/>
                <w:lang w:val="fr-FR"/>
              </w:rPr>
              <w:t xml:space="preserve">igloo zone chile sa99 </w:t>
            </w:r>
            <w:proofErr w:type="spellStart"/>
            <w:r w:rsidRPr="001E1730">
              <w:rPr>
                <w:rFonts w:eastAsia="Times New Roman"/>
                <w:color w:val="000000"/>
                <w:szCs w:val="22"/>
                <w:lang w:val="fr-FR"/>
              </w:rPr>
              <w:t>gynopharm</w:t>
            </w:r>
            <w:proofErr w:type="spellEnd"/>
            <w:r w:rsidRPr="001E1730">
              <w:rPr>
                <w:rFonts w:eastAsia="Times New Roman"/>
                <w:color w:val="000000"/>
                <w:szCs w:val="22"/>
                <w:lang w:val="fr-FR"/>
              </w:rPr>
              <w:t xml:space="preserve"> sa 1</w:t>
            </w:r>
          </w:p>
        </w:tc>
        <w:tc>
          <w:tcPr>
            <w:tcW w:w="33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igloo zone </w:t>
            </w:r>
            <w:proofErr w:type="spellStart"/>
            <w:r w:rsidRPr="001E1730">
              <w:rPr>
                <w:rFonts w:eastAsia="Times New Roman"/>
                <w:color w:val="000000"/>
                <w:szCs w:val="22"/>
                <w:lang w:val="en-US"/>
              </w:rPr>
              <w:t>chile</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sa</w:t>
            </w:r>
            <w:proofErr w:type="spellEnd"/>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I3049</w:t>
            </w:r>
          </w:p>
        </w:tc>
        <w:tc>
          <w:tcPr>
            <w:tcW w:w="51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igloo zone </w:t>
            </w:r>
            <w:proofErr w:type="spellStart"/>
            <w:r w:rsidRPr="001E1730">
              <w:rPr>
                <w:rFonts w:eastAsia="Times New Roman"/>
                <w:color w:val="000000"/>
                <w:szCs w:val="22"/>
                <w:lang w:val="en-US"/>
              </w:rPr>
              <w:t>chile</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sa</w:t>
            </w:r>
            <w:proofErr w:type="spellEnd"/>
          </w:p>
        </w:tc>
        <w:tc>
          <w:tcPr>
            <w:tcW w:w="33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igloo zone </w:t>
            </w:r>
            <w:proofErr w:type="spellStart"/>
            <w:r w:rsidRPr="001E1730">
              <w:rPr>
                <w:rFonts w:eastAsia="Times New Roman"/>
                <w:color w:val="000000"/>
                <w:szCs w:val="22"/>
                <w:lang w:val="en-US"/>
              </w:rPr>
              <w:t>chile</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sa</w:t>
            </w:r>
            <w:proofErr w:type="spellEnd"/>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45"/>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I6337</w:t>
            </w:r>
          </w:p>
        </w:tc>
        <w:tc>
          <w:tcPr>
            <w:tcW w:w="51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sapphire energy </w:t>
            </w:r>
            <w:proofErr w:type="spellStart"/>
            <w:r w:rsidRPr="001E1730">
              <w:rPr>
                <w:rFonts w:eastAsia="Times New Roman"/>
                <w:color w:val="000000"/>
                <w:szCs w:val="22"/>
                <w:lang w:val="en-US"/>
              </w:rPr>
              <w:t>inc</w:t>
            </w:r>
            <w:proofErr w:type="spellEnd"/>
            <w:r w:rsidRPr="001E1730">
              <w:rPr>
                <w:rFonts w:eastAsia="Times New Roman"/>
                <w:color w:val="000000"/>
                <w:szCs w:val="22"/>
                <w:lang w:val="en-US"/>
              </w:rPr>
              <w:t xml:space="preserve"> the </w:t>
            </w:r>
            <w:proofErr w:type="spellStart"/>
            <w:r w:rsidRPr="001E1730">
              <w:rPr>
                <w:rFonts w:eastAsia="Times New Roman"/>
                <w:color w:val="000000"/>
                <w:szCs w:val="22"/>
                <w:lang w:val="en-US"/>
              </w:rPr>
              <w:t>scripps</w:t>
            </w:r>
            <w:proofErr w:type="spellEnd"/>
            <w:r w:rsidRPr="001E1730">
              <w:rPr>
                <w:rFonts w:eastAsia="Times New Roman"/>
                <w:color w:val="000000"/>
                <w:szCs w:val="22"/>
                <w:lang w:val="en-US"/>
              </w:rPr>
              <w:t xml:space="preserve"> research institute</w:t>
            </w:r>
          </w:p>
        </w:tc>
        <w:tc>
          <w:tcPr>
            <w:tcW w:w="33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the </w:t>
            </w:r>
            <w:proofErr w:type="spellStart"/>
            <w:r w:rsidRPr="001E1730">
              <w:rPr>
                <w:rFonts w:eastAsia="Times New Roman"/>
                <w:color w:val="000000"/>
                <w:szCs w:val="22"/>
                <w:lang w:val="en-US"/>
              </w:rPr>
              <w:t>scripps</w:t>
            </w:r>
            <w:proofErr w:type="spellEnd"/>
            <w:r w:rsidRPr="001E1730">
              <w:rPr>
                <w:rFonts w:eastAsia="Times New Roman"/>
                <w:color w:val="000000"/>
                <w:szCs w:val="22"/>
                <w:lang w:val="en-US"/>
              </w:rPr>
              <w:t xml:space="preserve"> research institute</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US</w:t>
            </w:r>
          </w:p>
        </w:tc>
      </w:tr>
      <w:tr w:rsidR="001E1730" w:rsidRPr="001E1730" w:rsidTr="001E1730">
        <w:trPr>
          <w:trHeight w:val="33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I6337</w:t>
            </w:r>
          </w:p>
        </w:tc>
        <w:tc>
          <w:tcPr>
            <w:tcW w:w="51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novartis</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ag</w:t>
            </w:r>
            <w:proofErr w:type="spellEnd"/>
            <w:r w:rsidRPr="001E1730">
              <w:rPr>
                <w:rFonts w:eastAsia="Times New Roman"/>
                <w:color w:val="000000"/>
                <w:szCs w:val="22"/>
                <w:lang w:val="en-US"/>
              </w:rPr>
              <w:t xml:space="preserve"> the </w:t>
            </w:r>
            <w:proofErr w:type="spellStart"/>
            <w:r w:rsidRPr="001E1730">
              <w:rPr>
                <w:rFonts w:eastAsia="Times New Roman"/>
                <w:color w:val="000000"/>
                <w:szCs w:val="22"/>
                <w:lang w:val="en-US"/>
              </w:rPr>
              <w:t>scripps</w:t>
            </w:r>
            <w:proofErr w:type="spellEnd"/>
            <w:r w:rsidRPr="001E1730">
              <w:rPr>
                <w:rFonts w:eastAsia="Times New Roman"/>
                <w:color w:val="000000"/>
                <w:szCs w:val="22"/>
                <w:lang w:val="en-US"/>
              </w:rPr>
              <w:t xml:space="preserve"> research institute</w:t>
            </w:r>
          </w:p>
        </w:tc>
        <w:tc>
          <w:tcPr>
            <w:tcW w:w="33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the </w:t>
            </w:r>
            <w:proofErr w:type="spellStart"/>
            <w:r w:rsidRPr="001E1730">
              <w:rPr>
                <w:rFonts w:eastAsia="Times New Roman"/>
                <w:color w:val="000000"/>
                <w:szCs w:val="22"/>
                <w:lang w:val="en-US"/>
              </w:rPr>
              <w:t>scripps</w:t>
            </w:r>
            <w:proofErr w:type="spellEnd"/>
            <w:r w:rsidRPr="001E1730">
              <w:rPr>
                <w:rFonts w:eastAsia="Times New Roman"/>
                <w:color w:val="000000"/>
                <w:szCs w:val="22"/>
                <w:lang w:val="en-US"/>
              </w:rPr>
              <w:t xml:space="preserve"> research institute</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CH</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I6337</w:t>
            </w:r>
          </w:p>
        </w:tc>
        <w:tc>
          <w:tcPr>
            <w:tcW w:w="51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irm</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llc</w:t>
            </w:r>
            <w:proofErr w:type="spellEnd"/>
            <w:r w:rsidRPr="001E1730">
              <w:rPr>
                <w:rFonts w:eastAsia="Times New Roman"/>
                <w:color w:val="000000"/>
                <w:szCs w:val="22"/>
                <w:lang w:val="en-US"/>
              </w:rPr>
              <w:t xml:space="preserve"> the </w:t>
            </w:r>
            <w:proofErr w:type="spellStart"/>
            <w:r w:rsidRPr="001E1730">
              <w:rPr>
                <w:rFonts w:eastAsia="Times New Roman"/>
                <w:color w:val="000000"/>
                <w:szCs w:val="22"/>
                <w:lang w:val="en-US"/>
              </w:rPr>
              <w:t>scripps</w:t>
            </w:r>
            <w:proofErr w:type="spellEnd"/>
            <w:r w:rsidRPr="001E1730">
              <w:rPr>
                <w:rFonts w:eastAsia="Times New Roman"/>
                <w:color w:val="000000"/>
                <w:szCs w:val="22"/>
                <w:lang w:val="en-US"/>
              </w:rPr>
              <w:t xml:space="preserve"> research institute</w:t>
            </w:r>
          </w:p>
        </w:tc>
        <w:tc>
          <w:tcPr>
            <w:tcW w:w="33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the </w:t>
            </w:r>
            <w:proofErr w:type="spellStart"/>
            <w:r w:rsidRPr="001E1730">
              <w:rPr>
                <w:rFonts w:eastAsia="Times New Roman"/>
                <w:color w:val="000000"/>
                <w:szCs w:val="22"/>
                <w:lang w:val="en-US"/>
              </w:rPr>
              <w:t>scripps</w:t>
            </w:r>
            <w:proofErr w:type="spellEnd"/>
            <w:r w:rsidRPr="001E1730">
              <w:rPr>
                <w:rFonts w:eastAsia="Times New Roman"/>
                <w:color w:val="000000"/>
                <w:szCs w:val="22"/>
                <w:lang w:val="en-US"/>
              </w:rPr>
              <w:t xml:space="preserve"> research institute</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US</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111561</w:t>
            </w:r>
          </w:p>
        </w:tc>
        <w:tc>
          <w:tcPr>
            <w:tcW w:w="51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rPr>
            </w:pPr>
            <w:r w:rsidRPr="001E1730">
              <w:rPr>
                <w:rFonts w:eastAsia="Times New Roman"/>
                <w:color w:val="000000"/>
                <w:szCs w:val="22"/>
              </w:rPr>
              <w:t xml:space="preserve">sociedad </w:t>
            </w:r>
            <w:proofErr w:type="spellStart"/>
            <w:r w:rsidRPr="001E1730">
              <w:rPr>
                <w:rFonts w:eastAsia="Times New Roman"/>
                <w:color w:val="000000"/>
                <w:szCs w:val="22"/>
              </w:rPr>
              <w:t>quimica</w:t>
            </w:r>
            <w:proofErr w:type="spellEnd"/>
            <w:r w:rsidRPr="001E1730">
              <w:rPr>
                <w:rFonts w:eastAsia="Times New Roman"/>
                <w:color w:val="000000"/>
                <w:szCs w:val="22"/>
              </w:rPr>
              <w:t xml:space="preserve"> minera chile </w:t>
            </w:r>
            <w:proofErr w:type="spellStart"/>
            <w:r w:rsidRPr="001E1730">
              <w:rPr>
                <w:rFonts w:eastAsia="Times New Roman"/>
                <w:color w:val="000000"/>
                <w:szCs w:val="22"/>
              </w:rPr>
              <w:t>sa</w:t>
            </w:r>
            <w:proofErr w:type="spellEnd"/>
          </w:p>
        </w:tc>
        <w:tc>
          <w:tcPr>
            <w:tcW w:w="33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rPr>
            </w:pPr>
            <w:r w:rsidRPr="001E1730">
              <w:rPr>
                <w:rFonts w:eastAsia="Times New Roman"/>
                <w:color w:val="000000"/>
                <w:szCs w:val="22"/>
              </w:rPr>
              <w:t xml:space="preserve">sociedad </w:t>
            </w:r>
            <w:proofErr w:type="spellStart"/>
            <w:r w:rsidRPr="001E1730">
              <w:rPr>
                <w:rFonts w:eastAsia="Times New Roman"/>
                <w:color w:val="000000"/>
                <w:szCs w:val="22"/>
              </w:rPr>
              <w:t>quimica</w:t>
            </w:r>
            <w:proofErr w:type="spellEnd"/>
            <w:r w:rsidRPr="001E1730">
              <w:rPr>
                <w:rFonts w:eastAsia="Times New Roman"/>
                <w:color w:val="000000"/>
                <w:szCs w:val="22"/>
              </w:rPr>
              <w:t xml:space="preserve"> minera chile </w:t>
            </w:r>
            <w:proofErr w:type="spellStart"/>
            <w:r w:rsidRPr="001E1730">
              <w:rPr>
                <w:rFonts w:eastAsia="Times New Roman"/>
                <w:color w:val="000000"/>
                <w:szCs w:val="22"/>
              </w:rPr>
              <w:t>sa</w:t>
            </w:r>
            <w:proofErr w:type="spellEnd"/>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930070009</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111561</w:t>
            </w:r>
          </w:p>
        </w:tc>
        <w:tc>
          <w:tcPr>
            <w:tcW w:w="51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sqm</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industria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sa</w:t>
            </w:r>
            <w:proofErr w:type="spellEnd"/>
          </w:p>
        </w:tc>
        <w:tc>
          <w:tcPr>
            <w:tcW w:w="33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sqm</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industria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sa</w:t>
            </w:r>
            <w:proofErr w:type="spellEnd"/>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930070009</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45"/>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111561</w:t>
            </w:r>
          </w:p>
        </w:tc>
        <w:tc>
          <w:tcPr>
            <w:tcW w:w="51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rPr>
            </w:pPr>
            <w:r w:rsidRPr="001E1730">
              <w:rPr>
                <w:rFonts w:eastAsia="Times New Roman"/>
                <w:color w:val="000000"/>
                <w:szCs w:val="22"/>
              </w:rPr>
              <w:t xml:space="preserve">sociedad </w:t>
            </w:r>
            <w:proofErr w:type="spellStart"/>
            <w:r w:rsidRPr="001E1730">
              <w:rPr>
                <w:rFonts w:eastAsia="Times New Roman"/>
                <w:color w:val="000000"/>
                <w:szCs w:val="22"/>
              </w:rPr>
              <w:t>quimica</w:t>
            </w:r>
            <w:proofErr w:type="spellEnd"/>
            <w:r w:rsidRPr="001E1730">
              <w:rPr>
                <w:rFonts w:eastAsia="Times New Roman"/>
                <w:color w:val="000000"/>
                <w:szCs w:val="22"/>
              </w:rPr>
              <w:t xml:space="preserve"> minera chile </w:t>
            </w:r>
            <w:proofErr w:type="spellStart"/>
            <w:r w:rsidRPr="001E1730">
              <w:rPr>
                <w:rFonts w:eastAsia="Times New Roman"/>
                <w:color w:val="000000"/>
                <w:szCs w:val="22"/>
              </w:rPr>
              <w:t>sa</w:t>
            </w:r>
            <w:proofErr w:type="spellEnd"/>
            <w:r w:rsidRPr="001E1730">
              <w:rPr>
                <w:rFonts w:eastAsia="Times New Roman"/>
                <w:color w:val="000000"/>
                <w:szCs w:val="22"/>
              </w:rPr>
              <w:t xml:space="preserve"> </w:t>
            </w:r>
            <w:proofErr w:type="spellStart"/>
            <w:r w:rsidRPr="001E1730">
              <w:rPr>
                <w:rFonts w:eastAsia="Times New Roman"/>
                <w:color w:val="000000"/>
                <w:szCs w:val="22"/>
              </w:rPr>
              <w:t>ajay</w:t>
            </w:r>
            <w:proofErr w:type="spellEnd"/>
            <w:r w:rsidRPr="001E1730">
              <w:rPr>
                <w:rFonts w:eastAsia="Times New Roman"/>
                <w:color w:val="000000"/>
                <w:szCs w:val="22"/>
              </w:rPr>
              <w:t xml:space="preserve"> </w:t>
            </w:r>
            <w:proofErr w:type="spellStart"/>
            <w:r w:rsidRPr="001E1730">
              <w:rPr>
                <w:rFonts w:eastAsia="Times New Roman"/>
                <w:color w:val="000000"/>
                <w:szCs w:val="22"/>
              </w:rPr>
              <w:t>north</w:t>
            </w:r>
            <w:proofErr w:type="spellEnd"/>
            <w:r w:rsidRPr="001E1730">
              <w:rPr>
                <w:rFonts w:eastAsia="Times New Roman"/>
                <w:color w:val="000000"/>
                <w:szCs w:val="22"/>
              </w:rPr>
              <w:t xml:space="preserve"> </w:t>
            </w:r>
            <w:proofErr w:type="spellStart"/>
            <w:r w:rsidRPr="001E1730">
              <w:rPr>
                <w:rFonts w:eastAsia="Times New Roman"/>
                <w:color w:val="000000"/>
                <w:szCs w:val="22"/>
              </w:rPr>
              <w:t>america</w:t>
            </w:r>
            <w:proofErr w:type="spellEnd"/>
          </w:p>
        </w:tc>
        <w:tc>
          <w:tcPr>
            <w:tcW w:w="33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rPr>
            </w:pPr>
            <w:r w:rsidRPr="001E1730">
              <w:rPr>
                <w:rFonts w:eastAsia="Times New Roman"/>
                <w:color w:val="000000"/>
                <w:szCs w:val="22"/>
              </w:rPr>
              <w:t xml:space="preserve">sociedad </w:t>
            </w:r>
            <w:proofErr w:type="spellStart"/>
            <w:r w:rsidRPr="001E1730">
              <w:rPr>
                <w:rFonts w:eastAsia="Times New Roman"/>
                <w:color w:val="000000"/>
                <w:szCs w:val="22"/>
              </w:rPr>
              <w:t>quimica</w:t>
            </w:r>
            <w:proofErr w:type="spellEnd"/>
            <w:r w:rsidRPr="001E1730">
              <w:rPr>
                <w:rFonts w:eastAsia="Times New Roman"/>
                <w:color w:val="000000"/>
                <w:szCs w:val="22"/>
              </w:rPr>
              <w:t xml:space="preserve"> minera chile </w:t>
            </w:r>
            <w:proofErr w:type="spellStart"/>
            <w:r w:rsidRPr="001E1730">
              <w:rPr>
                <w:rFonts w:eastAsia="Times New Roman"/>
                <w:color w:val="000000"/>
                <w:szCs w:val="22"/>
              </w:rPr>
              <w:t>sa</w:t>
            </w:r>
            <w:proofErr w:type="spellEnd"/>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930070009</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20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175643</w:t>
            </w:r>
          </w:p>
        </w:tc>
        <w:tc>
          <w:tcPr>
            <w:tcW w:w="51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rp</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scherer</w:t>
            </w:r>
            <w:proofErr w:type="spellEnd"/>
            <w:r w:rsidRPr="001E1730">
              <w:rPr>
                <w:rFonts w:eastAsia="Times New Roman"/>
                <w:color w:val="000000"/>
                <w:szCs w:val="22"/>
                <w:lang w:val="en-US"/>
              </w:rPr>
              <w:t xml:space="preserve"> technology </w:t>
            </w:r>
            <w:proofErr w:type="spellStart"/>
            <w:r w:rsidRPr="001E1730">
              <w:rPr>
                <w:rFonts w:eastAsia="Times New Roman"/>
                <w:color w:val="000000"/>
                <w:szCs w:val="22"/>
                <w:lang w:val="en-US"/>
              </w:rPr>
              <w:t>inc</w:t>
            </w:r>
            <w:proofErr w:type="spellEnd"/>
          </w:p>
        </w:tc>
        <w:tc>
          <w:tcPr>
            <w:tcW w:w="33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rp</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scherer</w:t>
            </w:r>
            <w:proofErr w:type="spellEnd"/>
            <w:r w:rsidRPr="001E1730">
              <w:rPr>
                <w:rFonts w:eastAsia="Times New Roman"/>
                <w:color w:val="000000"/>
                <w:szCs w:val="22"/>
                <w:lang w:val="en-US"/>
              </w:rPr>
              <w:t xml:space="preserve"> technology </w:t>
            </w:r>
            <w:proofErr w:type="spellStart"/>
            <w:r w:rsidRPr="001E1730">
              <w:rPr>
                <w:rFonts w:eastAsia="Times New Roman"/>
                <w:color w:val="000000"/>
                <w:szCs w:val="22"/>
                <w:lang w:val="en-US"/>
              </w:rPr>
              <w:t>inc</w:t>
            </w:r>
            <w:proofErr w:type="spellEnd"/>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787733204*</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20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DE</w:t>
            </w:r>
          </w:p>
        </w:tc>
      </w:tr>
      <w:tr w:rsidR="001E1730" w:rsidRPr="001E1730" w:rsidTr="001E1730">
        <w:trPr>
          <w:trHeight w:val="300"/>
        </w:trPr>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175643</w:t>
            </w:r>
          </w:p>
        </w:tc>
        <w:tc>
          <w:tcPr>
            <w:tcW w:w="51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rp</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scherer</w:t>
            </w:r>
            <w:proofErr w:type="spellEnd"/>
            <w:r w:rsidRPr="001E1730">
              <w:rPr>
                <w:rFonts w:eastAsia="Times New Roman"/>
                <w:color w:val="000000"/>
                <w:szCs w:val="22"/>
                <w:lang w:val="en-US"/>
              </w:rPr>
              <w:t xml:space="preserve"> technology </w:t>
            </w:r>
            <w:proofErr w:type="spellStart"/>
            <w:r w:rsidRPr="001E1730">
              <w:rPr>
                <w:rFonts w:eastAsia="Times New Roman"/>
                <w:color w:val="000000"/>
                <w:szCs w:val="22"/>
                <w:lang w:val="en-US"/>
              </w:rPr>
              <w:t>sa</w:t>
            </w:r>
            <w:proofErr w:type="spellEnd"/>
          </w:p>
        </w:tc>
        <w:tc>
          <w:tcPr>
            <w:tcW w:w="33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rp</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scherer</w:t>
            </w:r>
            <w:proofErr w:type="spellEnd"/>
            <w:r w:rsidRPr="001E1730">
              <w:rPr>
                <w:rFonts w:eastAsia="Times New Roman"/>
                <w:color w:val="000000"/>
                <w:szCs w:val="22"/>
                <w:lang w:val="en-US"/>
              </w:rPr>
              <w:t xml:space="preserve"> technology </w:t>
            </w:r>
            <w:proofErr w:type="spellStart"/>
            <w:r w:rsidRPr="001E1730">
              <w:rPr>
                <w:rFonts w:eastAsia="Times New Roman"/>
                <w:color w:val="000000"/>
                <w:szCs w:val="22"/>
                <w:lang w:val="en-US"/>
              </w:rPr>
              <w:t>inc</w:t>
            </w:r>
            <w:proofErr w:type="spellEnd"/>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787733204*</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20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DE</w:t>
            </w:r>
          </w:p>
        </w:tc>
      </w:tr>
      <w:tr w:rsidR="001E1730" w:rsidRPr="001E1730" w:rsidTr="001E1730">
        <w:trPr>
          <w:trHeight w:val="315"/>
        </w:trPr>
        <w:tc>
          <w:tcPr>
            <w:tcW w:w="120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175643</w:t>
            </w:r>
          </w:p>
        </w:tc>
        <w:tc>
          <w:tcPr>
            <w:tcW w:w="5120" w:type="dxa"/>
            <w:tcBorders>
              <w:top w:val="nil"/>
              <w:left w:val="nil"/>
              <w:bottom w:val="single" w:sz="8" w:space="0" w:color="auto"/>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rp</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scherer</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gmbh</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novartis</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ag</w:t>
            </w:r>
            <w:proofErr w:type="spellEnd"/>
          </w:p>
        </w:tc>
        <w:tc>
          <w:tcPr>
            <w:tcW w:w="3320" w:type="dxa"/>
            <w:tcBorders>
              <w:top w:val="nil"/>
              <w:left w:val="nil"/>
              <w:bottom w:val="single" w:sz="8" w:space="0" w:color="auto"/>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rp</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scherer</w:t>
            </w:r>
            <w:proofErr w:type="spellEnd"/>
          </w:p>
        </w:tc>
        <w:tc>
          <w:tcPr>
            <w:tcW w:w="120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60805008**</w:t>
            </w:r>
          </w:p>
        </w:tc>
        <w:tc>
          <w:tcPr>
            <w:tcW w:w="120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200" w:type="dxa"/>
            <w:tcBorders>
              <w:top w:val="nil"/>
              <w:left w:val="nil"/>
              <w:bottom w:val="single" w:sz="8" w:space="0" w:color="auto"/>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DE</w:t>
            </w:r>
          </w:p>
        </w:tc>
      </w:tr>
      <w:tr w:rsidR="001E1730" w:rsidRPr="001E1730" w:rsidTr="001E1730">
        <w:trPr>
          <w:trHeight w:val="300"/>
        </w:trPr>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Notes: </w:t>
            </w:r>
          </w:p>
        </w:tc>
        <w:tc>
          <w:tcPr>
            <w:tcW w:w="5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33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FA7282" w:rsidTr="001E1730">
        <w:trPr>
          <w:trHeight w:val="630"/>
        </w:trPr>
        <w:tc>
          <w:tcPr>
            <w:tcW w:w="13240" w:type="dxa"/>
            <w:gridSpan w:val="6"/>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Applicants ID=111561 and ID=175643 were found in the trademark dictionary, applicant ID=I3049 and ID=I6337 were not and hence assigned a new ID.  </w:t>
            </w:r>
          </w:p>
        </w:tc>
      </w:tr>
      <w:tr w:rsidR="001E1730" w:rsidRPr="00FA7282" w:rsidTr="001E1730">
        <w:trPr>
          <w:trHeight w:val="945"/>
        </w:trPr>
        <w:tc>
          <w:tcPr>
            <w:tcW w:w="13240" w:type="dxa"/>
            <w:gridSpan w:val="6"/>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As explained in Section 3.2 we split names in the case of joint/co-assigned patents.  This means in the `patent dictionary' there are two distinct name variables for each applicant:  the original name of the applicant (i.e. “Applicant name”) and the split name of the applicant (“Applicant split name”). </w:t>
            </w:r>
          </w:p>
        </w:tc>
      </w:tr>
      <w:tr w:rsidR="001E1730" w:rsidRPr="00FA7282" w:rsidTr="001E1730">
        <w:trPr>
          <w:trHeight w:val="285"/>
        </w:trPr>
        <w:tc>
          <w:tcPr>
            <w:tcW w:w="13240" w:type="dxa"/>
            <w:gridSpan w:val="6"/>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We based the id identification on the split name. In the case that the applicant name is not a joint/co-assigned case the applicant name is equal to the applicant split name. </w:t>
            </w:r>
          </w:p>
        </w:tc>
      </w:tr>
      <w:tr w:rsidR="001E1730" w:rsidRPr="001E1730" w:rsidTr="001E1730">
        <w:trPr>
          <w:trHeight w:val="300"/>
        </w:trPr>
        <w:tc>
          <w:tcPr>
            <w:tcW w:w="6320" w:type="dxa"/>
            <w:gridSpan w:val="2"/>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 Clarke, </w:t>
            </w:r>
            <w:proofErr w:type="spellStart"/>
            <w:r w:rsidRPr="001E1730">
              <w:rPr>
                <w:rFonts w:eastAsia="Times New Roman"/>
                <w:color w:val="000000"/>
                <w:szCs w:val="22"/>
                <w:lang w:val="en-US"/>
              </w:rPr>
              <w:t>Modet</w:t>
            </w:r>
            <w:proofErr w:type="spellEnd"/>
            <w:r w:rsidRPr="001E1730">
              <w:rPr>
                <w:rFonts w:eastAsia="Times New Roman"/>
                <w:color w:val="000000"/>
                <w:szCs w:val="22"/>
                <w:lang w:val="en-US"/>
              </w:rPr>
              <w:t xml:space="preserve"> &amp; Co. (</w:t>
            </w:r>
            <w:proofErr w:type="spellStart"/>
            <w:r w:rsidRPr="001E1730">
              <w:rPr>
                <w:rFonts w:eastAsia="Times New Roman"/>
                <w:color w:val="000000"/>
                <w:szCs w:val="22"/>
                <w:lang w:val="en-US"/>
              </w:rPr>
              <w:t>lawfirm</w:t>
            </w:r>
            <w:proofErr w:type="spellEnd"/>
            <w:r w:rsidRPr="001E1730">
              <w:rPr>
                <w:rFonts w:eastAsia="Times New Roman"/>
                <w:color w:val="000000"/>
                <w:szCs w:val="22"/>
                <w:lang w:val="en-US"/>
              </w:rPr>
              <w:t>)</w:t>
            </w:r>
          </w:p>
        </w:tc>
        <w:tc>
          <w:tcPr>
            <w:tcW w:w="33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trPr>
        <w:tc>
          <w:tcPr>
            <w:tcW w:w="6320" w:type="dxa"/>
            <w:gridSpan w:val="2"/>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 </w:t>
            </w:r>
            <w:proofErr w:type="spellStart"/>
            <w:r w:rsidRPr="001E1730">
              <w:rPr>
                <w:rFonts w:eastAsia="Times New Roman"/>
                <w:color w:val="000000"/>
                <w:szCs w:val="22"/>
                <w:lang w:val="en-US"/>
              </w:rPr>
              <w:t>Tesoreria</w:t>
            </w:r>
            <w:proofErr w:type="spellEnd"/>
            <w:r w:rsidRPr="001E1730">
              <w:rPr>
                <w:rFonts w:eastAsia="Times New Roman"/>
                <w:color w:val="000000"/>
                <w:szCs w:val="22"/>
                <w:lang w:val="en-US"/>
              </w:rPr>
              <w:t xml:space="preserve"> General </w:t>
            </w:r>
            <w:proofErr w:type="spellStart"/>
            <w:r w:rsidRPr="001E1730">
              <w:rPr>
                <w:rFonts w:eastAsia="Times New Roman"/>
                <w:color w:val="000000"/>
                <w:szCs w:val="22"/>
                <w:lang w:val="en-US"/>
              </w:rPr>
              <w:t>Metropolitana</w:t>
            </w:r>
            <w:proofErr w:type="spellEnd"/>
          </w:p>
        </w:tc>
        <w:tc>
          <w:tcPr>
            <w:tcW w:w="33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Pr="001E1730" w:rsidRDefault="001E1730" w:rsidP="001E1730">
      <w:pPr>
        <w:contextualSpacing/>
        <w:rPr>
          <w:rFonts w:eastAsia="MS Mincho"/>
          <w:szCs w:val="22"/>
          <w:lang w:val="en-US" w:eastAsia="en-US"/>
        </w:rPr>
        <w:sectPr w:rsidR="001E1730" w:rsidRPr="001E1730" w:rsidSect="001E1730">
          <w:headerReference w:type="default" r:id="rId53"/>
          <w:footerReference w:type="default" r:id="rId54"/>
          <w:pgSz w:w="16840" w:h="11900" w:orient="landscape"/>
          <w:pgMar w:top="1440" w:right="1440" w:bottom="1440" w:left="1440" w:header="706" w:footer="706" w:gutter="0"/>
          <w:cols w:space="708"/>
          <w:docGrid w:linePitch="360"/>
        </w:sectPr>
      </w:pPr>
    </w:p>
    <w:tbl>
      <w:tblPr>
        <w:tblW w:w="14720" w:type="dxa"/>
        <w:tblInd w:w="93" w:type="dxa"/>
        <w:tblLook w:val="04A0" w:firstRow="1" w:lastRow="0" w:firstColumn="1" w:lastColumn="0" w:noHBand="0" w:noVBand="1"/>
      </w:tblPr>
      <w:tblGrid>
        <w:gridCol w:w="940"/>
        <w:gridCol w:w="6420"/>
        <w:gridCol w:w="2580"/>
        <w:gridCol w:w="1575"/>
        <w:gridCol w:w="1200"/>
        <w:gridCol w:w="987"/>
        <w:gridCol w:w="1146"/>
      </w:tblGrid>
      <w:tr w:rsidR="001E1730" w:rsidRPr="001E1730" w:rsidTr="001E1730">
        <w:trPr>
          <w:trHeight w:val="315"/>
        </w:trPr>
        <w:tc>
          <w:tcPr>
            <w:tcW w:w="9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64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25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1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trPr>
        <w:tc>
          <w:tcPr>
            <w:tcW w:w="14720" w:type="dxa"/>
            <w:gridSpan w:val="7"/>
            <w:tcBorders>
              <w:top w:val="single" w:sz="8" w:space="0" w:color="auto"/>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A7:  Extract of the `final dictionary’</w:t>
            </w:r>
          </w:p>
        </w:tc>
      </w:tr>
      <w:tr w:rsidR="001E1730" w:rsidRPr="001E1730" w:rsidTr="001E1730">
        <w:trPr>
          <w:trHeight w:val="315"/>
        </w:trPr>
        <w:tc>
          <w:tcPr>
            <w:tcW w:w="94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ID</w:t>
            </w:r>
          </w:p>
        </w:tc>
        <w:tc>
          <w:tcPr>
            <w:tcW w:w="642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xml:space="preserve">Applicant Name </w:t>
            </w:r>
          </w:p>
        </w:tc>
        <w:tc>
          <w:tcPr>
            <w:tcW w:w="258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Applicant new name</w:t>
            </w:r>
          </w:p>
        </w:tc>
        <w:tc>
          <w:tcPr>
            <w:tcW w:w="1520" w:type="dxa"/>
            <w:tcBorders>
              <w:top w:val="nil"/>
              <w:left w:val="nil"/>
              <w:bottom w:val="single" w:sz="8" w:space="0" w:color="auto"/>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RUT</w:t>
            </w:r>
          </w:p>
        </w:tc>
        <w:tc>
          <w:tcPr>
            <w:tcW w:w="1200" w:type="dxa"/>
            <w:tcBorders>
              <w:top w:val="nil"/>
              <w:left w:val="nil"/>
              <w:bottom w:val="single" w:sz="8" w:space="0" w:color="auto"/>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Special RUT</w:t>
            </w:r>
          </w:p>
        </w:tc>
        <w:tc>
          <w:tcPr>
            <w:tcW w:w="94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Country</w:t>
            </w:r>
          </w:p>
        </w:tc>
        <w:tc>
          <w:tcPr>
            <w:tcW w:w="112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Type</w:t>
            </w:r>
          </w:p>
        </w:tc>
      </w:tr>
      <w:tr w:rsidR="001E1730" w:rsidRPr="001E1730" w:rsidTr="001E1730">
        <w:trPr>
          <w:trHeight w:val="285"/>
        </w:trPr>
        <w:tc>
          <w:tcPr>
            <w:tcW w:w="94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30120</w:t>
            </w:r>
          </w:p>
        </w:tc>
        <w:tc>
          <w:tcPr>
            <w:tcW w:w="64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pt-BR"/>
              </w:rPr>
            </w:pPr>
            <w:r w:rsidRPr="001E1730">
              <w:rPr>
                <w:rFonts w:eastAsia="Times New Roman"/>
                <w:color w:val="000000"/>
                <w:szCs w:val="22"/>
                <w:lang w:val="pt-BR"/>
              </w:rPr>
              <w:t>astrazeneca ab nps pharmaceuticals inc</w:t>
            </w:r>
          </w:p>
        </w:tc>
        <w:tc>
          <w:tcPr>
            <w:tcW w:w="258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astrazeneca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ab</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797133000*</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94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GB</w:t>
            </w:r>
          </w:p>
        </w:tc>
        <w:tc>
          <w:tcPr>
            <w:tcW w:w="11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company</w:t>
            </w:r>
          </w:p>
        </w:tc>
      </w:tr>
      <w:tr w:rsidR="001E1730" w:rsidRPr="001E1730" w:rsidTr="001E1730">
        <w:trPr>
          <w:trHeight w:val="300"/>
        </w:trPr>
        <w:tc>
          <w:tcPr>
            <w:tcW w:w="94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30120</w:t>
            </w:r>
          </w:p>
        </w:tc>
        <w:tc>
          <w:tcPr>
            <w:tcW w:w="64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astrazeneca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ab</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bayer</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schering</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pharma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ag</w:t>
            </w:r>
            <w:proofErr w:type="spellEnd"/>
          </w:p>
        </w:tc>
        <w:tc>
          <w:tcPr>
            <w:tcW w:w="258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astrazeneca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ab</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608050086**</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94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SE</w:t>
            </w:r>
          </w:p>
        </w:tc>
        <w:tc>
          <w:tcPr>
            <w:tcW w:w="11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company</w:t>
            </w:r>
          </w:p>
        </w:tc>
      </w:tr>
      <w:tr w:rsidR="001E1730" w:rsidRPr="001E1730" w:rsidTr="001E1730">
        <w:trPr>
          <w:trHeight w:val="300"/>
        </w:trPr>
        <w:tc>
          <w:tcPr>
            <w:tcW w:w="94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30788</w:t>
            </w:r>
          </w:p>
        </w:tc>
        <w:tc>
          <w:tcPr>
            <w:tcW w:w="64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astrazeneca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ab</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bayer</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schering</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pharma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ag</w:t>
            </w:r>
            <w:proofErr w:type="spellEnd"/>
          </w:p>
        </w:tc>
        <w:tc>
          <w:tcPr>
            <w:tcW w:w="258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bayer</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schering</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pharma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ag</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797133000</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94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DE</w:t>
            </w:r>
          </w:p>
        </w:tc>
        <w:tc>
          <w:tcPr>
            <w:tcW w:w="11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company</w:t>
            </w:r>
          </w:p>
        </w:tc>
      </w:tr>
      <w:tr w:rsidR="001E1730" w:rsidRPr="001E1730" w:rsidTr="001E1730">
        <w:trPr>
          <w:trHeight w:val="300"/>
        </w:trPr>
        <w:tc>
          <w:tcPr>
            <w:tcW w:w="94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30788</w:t>
            </w:r>
          </w:p>
        </w:tc>
        <w:tc>
          <w:tcPr>
            <w:tcW w:w="64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bayer</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schering</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pharma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ag</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epix</w:t>
            </w:r>
            <w:proofErr w:type="spellEnd"/>
            <w:r w:rsidRPr="001E1730">
              <w:rPr>
                <w:rFonts w:eastAsia="Times New Roman"/>
                <w:color w:val="000000"/>
                <w:szCs w:val="22"/>
                <w:lang w:val="en-US"/>
              </w:rPr>
              <w:t xml:space="preserve"> pharmaceuticals </w:t>
            </w:r>
            <w:proofErr w:type="spellStart"/>
            <w:r w:rsidRPr="001E1730">
              <w:rPr>
                <w:rFonts w:eastAsia="Times New Roman"/>
                <w:color w:val="000000"/>
                <w:szCs w:val="22"/>
                <w:lang w:val="en-US"/>
              </w:rPr>
              <w:t>inc</w:t>
            </w:r>
            <w:proofErr w:type="spellEnd"/>
          </w:p>
        </w:tc>
        <w:tc>
          <w:tcPr>
            <w:tcW w:w="258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bayer</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schering</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pharma</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ag</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607010005***</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94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DE</w:t>
            </w:r>
          </w:p>
        </w:tc>
        <w:tc>
          <w:tcPr>
            <w:tcW w:w="11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company</w:t>
            </w:r>
          </w:p>
        </w:tc>
      </w:tr>
      <w:tr w:rsidR="001E1730" w:rsidRPr="001E1730" w:rsidTr="001E1730">
        <w:trPr>
          <w:trHeight w:val="300"/>
        </w:trPr>
        <w:tc>
          <w:tcPr>
            <w:tcW w:w="94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384</w:t>
            </w:r>
          </w:p>
        </w:tc>
        <w:tc>
          <w:tcPr>
            <w:tcW w:w="64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universidad</w:t>
            </w:r>
            <w:proofErr w:type="spellEnd"/>
            <w:r w:rsidRPr="001E1730">
              <w:rPr>
                <w:rFonts w:eastAsia="Times New Roman"/>
                <w:color w:val="000000"/>
                <w:szCs w:val="22"/>
                <w:lang w:val="en-US"/>
              </w:rPr>
              <w:t xml:space="preserve"> de </w:t>
            </w:r>
            <w:proofErr w:type="spellStart"/>
            <w:r w:rsidRPr="001E1730">
              <w:rPr>
                <w:rFonts w:eastAsia="Times New Roman"/>
                <w:color w:val="000000"/>
                <w:szCs w:val="22"/>
                <w:lang w:val="en-US"/>
              </w:rPr>
              <w:t>magallanes</w:t>
            </w:r>
            <w:proofErr w:type="spellEnd"/>
          </w:p>
        </w:tc>
        <w:tc>
          <w:tcPr>
            <w:tcW w:w="258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universidad</w:t>
            </w:r>
            <w:proofErr w:type="spellEnd"/>
            <w:r w:rsidRPr="001E1730">
              <w:rPr>
                <w:rFonts w:eastAsia="Times New Roman"/>
                <w:color w:val="000000"/>
                <w:szCs w:val="22"/>
                <w:lang w:val="en-US"/>
              </w:rPr>
              <w:t xml:space="preserve"> de </w:t>
            </w:r>
            <w:proofErr w:type="spellStart"/>
            <w:r w:rsidRPr="001E1730">
              <w:rPr>
                <w:rFonts w:eastAsia="Times New Roman"/>
                <w:color w:val="000000"/>
                <w:szCs w:val="22"/>
                <w:lang w:val="en-US"/>
              </w:rPr>
              <w:t>magallanes</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711337008</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94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c>
          <w:tcPr>
            <w:tcW w:w="11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university</w:t>
            </w:r>
          </w:p>
        </w:tc>
      </w:tr>
      <w:tr w:rsidR="001E1730" w:rsidRPr="001E1730" w:rsidTr="001E1730">
        <w:trPr>
          <w:trHeight w:val="615"/>
        </w:trPr>
        <w:tc>
          <w:tcPr>
            <w:tcW w:w="94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384</w:t>
            </w:r>
          </w:p>
        </w:tc>
        <w:tc>
          <w:tcPr>
            <w:tcW w:w="64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fr-FR"/>
              </w:rPr>
            </w:pPr>
            <w:proofErr w:type="spellStart"/>
            <w:r w:rsidRPr="001E1730">
              <w:rPr>
                <w:rFonts w:eastAsia="Times New Roman"/>
                <w:color w:val="000000"/>
                <w:szCs w:val="22"/>
                <w:lang w:val="fr-FR"/>
              </w:rPr>
              <w:t>univ</w:t>
            </w:r>
            <w:proofErr w:type="spellEnd"/>
            <w:r w:rsidRPr="001E1730">
              <w:rPr>
                <w:rFonts w:eastAsia="Times New Roman"/>
                <w:color w:val="000000"/>
                <w:szCs w:val="22"/>
                <w:lang w:val="fr-FR"/>
              </w:rPr>
              <w:t xml:space="preserve"> de </w:t>
            </w:r>
            <w:proofErr w:type="spellStart"/>
            <w:r w:rsidRPr="001E1730">
              <w:rPr>
                <w:rFonts w:eastAsia="Times New Roman"/>
                <w:color w:val="000000"/>
                <w:szCs w:val="22"/>
                <w:lang w:val="fr-FR"/>
              </w:rPr>
              <w:t>santiago</w:t>
            </w:r>
            <w:proofErr w:type="spellEnd"/>
            <w:r w:rsidRPr="001E1730">
              <w:rPr>
                <w:rFonts w:eastAsia="Times New Roman"/>
                <w:color w:val="000000"/>
                <w:szCs w:val="22"/>
                <w:lang w:val="fr-FR"/>
              </w:rPr>
              <w:t xml:space="preserve"> chile 50 </w:t>
            </w:r>
            <w:proofErr w:type="spellStart"/>
            <w:r w:rsidRPr="001E1730">
              <w:rPr>
                <w:rFonts w:eastAsia="Times New Roman"/>
                <w:color w:val="000000"/>
                <w:szCs w:val="22"/>
                <w:lang w:val="fr-FR"/>
              </w:rPr>
              <w:t>univ</w:t>
            </w:r>
            <w:proofErr w:type="spellEnd"/>
            <w:r w:rsidRPr="001E1730">
              <w:rPr>
                <w:rFonts w:eastAsia="Times New Roman"/>
                <w:color w:val="000000"/>
                <w:szCs w:val="22"/>
                <w:lang w:val="fr-FR"/>
              </w:rPr>
              <w:t xml:space="preserve"> </w:t>
            </w:r>
            <w:proofErr w:type="spellStart"/>
            <w:r w:rsidRPr="001E1730">
              <w:rPr>
                <w:rFonts w:eastAsia="Times New Roman"/>
                <w:color w:val="000000"/>
                <w:szCs w:val="22"/>
                <w:lang w:val="fr-FR"/>
              </w:rPr>
              <w:t>arturo</w:t>
            </w:r>
            <w:proofErr w:type="spellEnd"/>
            <w:r w:rsidRPr="001E1730">
              <w:rPr>
                <w:rFonts w:eastAsia="Times New Roman"/>
                <w:color w:val="000000"/>
                <w:szCs w:val="22"/>
                <w:lang w:val="fr-FR"/>
              </w:rPr>
              <w:t xml:space="preserve"> </w:t>
            </w:r>
            <w:proofErr w:type="spellStart"/>
            <w:r w:rsidRPr="001E1730">
              <w:rPr>
                <w:rFonts w:eastAsia="Times New Roman"/>
                <w:color w:val="000000"/>
                <w:szCs w:val="22"/>
                <w:lang w:val="fr-FR"/>
              </w:rPr>
              <w:t>prat</w:t>
            </w:r>
            <w:proofErr w:type="spellEnd"/>
            <w:r w:rsidRPr="001E1730">
              <w:rPr>
                <w:rFonts w:eastAsia="Times New Roman"/>
                <w:color w:val="000000"/>
                <w:szCs w:val="22"/>
                <w:lang w:val="fr-FR"/>
              </w:rPr>
              <w:t xml:space="preserve"> 15 </w:t>
            </w:r>
            <w:proofErr w:type="spellStart"/>
            <w:r w:rsidRPr="001E1730">
              <w:rPr>
                <w:rFonts w:eastAsia="Times New Roman"/>
                <w:color w:val="000000"/>
                <w:szCs w:val="22"/>
                <w:lang w:val="fr-FR"/>
              </w:rPr>
              <w:t>univ</w:t>
            </w:r>
            <w:proofErr w:type="spellEnd"/>
            <w:r w:rsidRPr="001E1730">
              <w:rPr>
                <w:rFonts w:eastAsia="Times New Roman"/>
                <w:color w:val="000000"/>
                <w:szCs w:val="22"/>
                <w:lang w:val="fr-FR"/>
              </w:rPr>
              <w:t xml:space="preserve"> de </w:t>
            </w:r>
            <w:proofErr w:type="spellStart"/>
            <w:r w:rsidRPr="001E1730">
              <w:rPr>
                <w:rFonts w:eastAsia="Times New Roman"/>
                <w:color w:val="000000"/>
                <w:szCs w:val="22"/>
                <w:lang w:val="fr-FR"/>
              </w:rPr>
              <w:t>magallanes</w:t>
            </w:r>
            <w:proofErr w:type="spellEnd"/>
            <w:r w:rsidRPr="001E1730">
              <w:rPr>
                <w:rFonts w:eastAsia="Times New Roman"/>
                <w:color w:val="000000"/>
                <w:szCs w:val="22"/>
                <w:lang w:val="fr-FR"/>
              </w:rPr>
              <w:t xml:space="preserve"> 10 </w:t>
            </w:r>
            <w:proofErr w:type="spellStart"/>
            <w:r w:rsidRPr="001E1730">
              <w:rPr>
                <w:rFonts w:eastAsia="Times New Roman"/>
                <w:color w:val="000000"/>
                <w:szCs w:val="22"/>
                <w:lang w:val="fr-FR"/>
              </w:rPr>
              <w:t>pontif</w:t>
            </w:r>
            <w:proofErr w:type="spellEnd"/>
            <w:r w:rsidRPr="001E1730">
              <w:rPr>
                <w:rFonts w:eastAsia="Times New Roman"/>
                <w:color w:val="000000"/>
                <w:szCs w:val="22"/>
                <w:lang w:val="fr-FR"/>
              </w:rPr>
              <w:t xml:space="preserve"> </w:t>
            </w:r>
            <w:proofErr w:type="spellStart"/>
            <w:r w:rsidRPr="001E1730">
              <w:rPr>
                <w:rFonts w:eastAsia="Times New Roman"/>
                <w:color w:val="000000"/>
                <w:szCs w:val="22"/>
                <w:lang w:val="fr-FR"/>
              </w:rPr>
              <w:t>univ</w:t>
            </w:r>
            <w:proofErr w:type="spellEnd"/>
            <w:r w:rsidRPr="001E1730">
              <w:rPr>
                <w:rFonts w:eastAsia="Times New Roman"/>
                <w:color w:val="000000"/>
                <w:szCs w:val="22"/>
                <w:lang w:val="fr-FR"/>
              </w:rPr>
              <w:t xml:space="preserve"> </w:t>
            </w:r>
            <w:proofErr w:type="spellStart"/>
            <w:r w:rsidRPr="001E1730">
              <w:rPr>
                <w:rFonts w:eastAsia="Times New Roman"/>
                <w:color w:val="000000"/>
                <w:szCs w:val="22"/>
                <w:lang w:val="fr-FR"/>
              </w:rPr>
              <w:t>catolica</w:t>
            </w:r>
            <w:proofErr w:type="spellEnd"/>
            <w:r w:rsidRPr="001E1730">
              <w:rPr>
                <w:rFonts w:eastAsia="Times New Roman"/>
                <w:color w:val="000000"/>
                <w:szCs w:val="22"/>
                <w:lang w:val="fr-FR"/>
              </w:rPr>
              <w:t xml:space="preserve"> </w:t>
            </w:r>
            <w:proofErr w:type="spellStart"/>
            <w:r w:rsidRPr="001E1730">
              <w:rPr>
                <w:rFonts w:eastAsia="Times New Roman"/>
                <w:color w:val="000000"/>
                <w:szCs w:val="22"/>
                <w:lang w:val="fr-FR"/>
              </w:rPr>
              <w:t>valparaiso</w:t>
            </w:r>
            <w:proofErr w:type="spellEnd"/>
            <w:r w:rsidRPr="001E1730">
              <w:rPr>
                <w:rFonts w:eastAsia="Times New Roman"/>
                <w:color w:val="000000"/>
                <w:szCs w:val="22"/>
                <w:lang w:val="fr-FR"/>
              </w:rPr>
              <w:t xml:space="preserve"> 25</w:t>
            </w:r>
          </w:p>
        </w:tc>
        <w:tc>
          <w:tcPr>
            <w:tcW w:w="258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universidad</w:t>
            </w:r>
            <w:proofErr w:type="spellEnd"/>
            <w:r w:rsidRPr="001E1730">
              <w:rPr>
                <w:rFonts w:eastAsia="Times New Roman"/>
                <w:color w:val="000000"/>
                <w:szCs w:val="22"/>
                <w:lang w:val="en-US"/>
              </w:rPr>
              <w:t xml:space="preserve"> de </w:t>
            </w:r>
            <w:proofErr w:type="spellStart"/>
            <w:r w:rsidRPr="001E1730">
              <w:rPr>
                <w:rFonts w:eastAsia="Times New Roman"/>
                <w:color w:val="000000"/>
                <w:szCs w:val="22"/>
                <w:lang w:val="en-US"/>
              </w:rPr>
              <w:t>magallanes</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711337008</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94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c>
          <w:tcPr>
            <w:tcW w:w="11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university</w:t>
            </w:r>
          </w:p>
        </w:tc>
      </w:tr>
      <w:tr w:rsidR="001E1730" w:rsidRPr="001E1730" w:rsidTr="001E1730">
        <w:trPr>
          <w:trHeight w:val="300"/>
        </w:trPr>
        <w:tc>
          <w:tcPr>
            <w:tcW w:w="94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3029</w:t>
            </w:r>
          </w:p>
        </w:tc>
        <w:tc>
          <w:tcPr>
            <w:tcW w:w="64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ginette</w:t>
            </w:r>
            <w:proofErr w:type="spellEnd"/>
            <w:r w:rsidRPr="001E1730">
              <w:rPr>
                <w:rFonts w:eastAsia="Times New Roman"/>
                <w:color w:val="000000"/>
                <w:szCs w:val="22"/>
                <w:lang w:val="en-US"/>
              </w:rPr>
              <w:t xml:space="preserve"> c </w:t>
            </w:r>
            <w:proofErr w:type="spellStart"/>
            <w:r w:rsidRPr="001E1730">
              <w:rPr>
                <w:rFonts w:eastAsia="Times New Roman"/>
                <w:color w:val="000000"/>
                <w:szCs w:val="22"/>
                <w:lang w:val="en-US"/>
              </w:rPr>
              <w:t>vidal</w:t>
            </w:r>
            <w:proofErr w:type="spellEnd"/>
          </w:p>
        </w:tc>
        <w:tc>
          <w:tcPr>
            <w:tcW w:w="258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ginette</w:t>
            </w:r>
            <w:proofErr w:type="spellEnd"/>
            <w:r w:rsidRPr="001E1730">
              <w:rPr>
                <w:rFonts w:eastAsia="Times New Roman"/>
                <w:color w:val="000000"/>
                <w:szCs w:val="22"/>
                <w:lang w:val="en-US"/>
              </w:rPr>
              <w:t xml:space="preserve"> c </w:t>
            </w:r>
            <w:proofErr w:type="spellStart"/>
            <w:r w:rsidRPr="001E1730">
              <w:rPr>
                <w:rFonts w:eastAsia="Times New Roman"/>
                <w:color w:val="000000"/>
                <w:szCs w:val="22"/>
                <w:lang w:val="en-US"/>
              </w:rPr>
              <w:t>vidal</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88608402</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94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c>
          <w:tcPr>
            <w:tcW w:w="11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individual</w:t>
            </w:r>
          </w:p>
        </w:tc>
      </w:tr>
      <w:tr w:rsidR="001E1730" w:rsidRPr="001E1730" w:rsidTr="001E1730">
        <w:trPr>
          <w:trHeight w:val="300"/>
        </w:trPr>
        <w:tc>
          <w:tcPr>
            <w:tcW w:w="94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3029</w:t>
            </w:r>
          </w:p>
        </w:tc>
        <w:tc>
          <w:tcPr>
            <w:tcW w:w="64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vidal</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rojas</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ginette</w:t>
            </w:r>
            <w:proofErr w:type="spellEnd"/>
            <w:r w:rsidRPr="001E1730">
              <w:rPr>
                <w:rFonts w:eastAsia="Times New Roman"/>
                <w:color w:val="000000"/>
                <w:szCs w:val="22"/>
                <w:lang w:val="en-US"/>
              </w:rPr>
              <w:t xml:space="preserve"> c</w:t>
            </w:r>
          </w:p>
        </w:tc>
        <w:tc>
          <w:tcPr>
            <w:tcW w:w="258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ginette</w:t>
            </w:r>
            <w:proofErr w:type="spellEnd"/>
            <w:r w:rsidRPr="001E1730">
              <w:rPr>
                <w:rFonts w:eastAsia="Times New Roman"/>
                <w:color w:val="000000"/>
                <w:szCs w:val="22"/>
                <w:lang w:val="en-US"/>
              </w:rPr>
              <w:t xml:space="preserve"> c </w:t>
            </w:r>
            <w:proofErr w:type="spellStart"/>
            <w:r w:rsidRPr="001E1730">
              <w:rPr>
                <w:rFonts w:eastAsia="Times New Roman"/>
                <w:color w:val="000000"/>
                <w:szCs w:val="22"/>
                <w:lang w:val="en-US"/>
              </w:rPr>
              <w:t>vidal</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88608402</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94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c>
          <w:tcPr>
            <w:tcW w:w="11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individual</w:t>
            </w:r>
          </w:p>
        </w:tc>
      </w:tr>
      <w:tr w:rsidR="001E1730" w:rsidRPr="001E1730" w:rsidTr="001E1730">
        <w:trPr>
          <w:trHeight w:val="300"/>
        </w:trPr>
        <w:tc>
          <w:tcPr>
            <w:tcW w:w="94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3029</w:t>
            </w:r>
          </w:p>
        </w:tc>
        <w:tc>
          <w:tcPr>
            <w:tcW w:w="64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ginette</w:t>
            </w:r>
            <w:proofErr w:type="spellEnd"/>
            <w:r w:rsidRPr="001E1730">
              <w:rPr>
                <w:rFonts w:eastAsia="Times New Roman"/>
                <w:color w:val="000000"/>
                <w:szCs w:val="22"/>
                <w:lang w:val="en-US"/>
              </w:rPr>
              <w:t xml:space="preserve"> c </w:t>
            </w:r>
            <w:proofErr w:type="spellStart"/>
            <w:r w:rsidRPr="001E1730">
              <w:rPr>
                <w:rFonts w:eastAsia="Times New Roman"/>
                <w:color w:val="000000"/>
                <w:szCs w:val="22"/>
                <w:lang w:val="en-US"/>
              </w:rPr>
              <w:t>vidal</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rojas</w:t>
            </w:r>
            <w:proofErr w:type="spellEnd"/>
          </w:p>
        </w:tc>
        <w:tc>
          <w:tcPr>
            <w:tcW w:w="258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ginette</w:t>
            </w:r>
            <w:proofErr w:type="spellEnd"/>
            <w:r w:rsidRPr="001E1730">
              <w:rPr>
                <w:rFonts w:eastAsia="Times New Roman"/>
                <w:color w:val="000000"/>
                <w:szCs w:val="22"/>
                <w:lang w:val="en-US"/>
              </w:rPr>
              <w:t xml:space="preserve"> c </w:t>
            </w:r>
            <w:proofErr w:type="spellStart"/>
            <w:r w:rsidRPr="001E1730">
              <w:rPr>
                <w:rFonts w:eastAsia="Times New Roman"/>
                <w:color w:val="000000"/>
                <w:szCs w:val="22"/>
                <w:lang w:val="en-US"/>
              </w:rPr>
              <w:t>vidal</w:t>
            </w:r>
            <w:proofErr w:type="spellEnd"/>
          </w:p>
        </w:tc>
        <w:tc>
          <w:tcPr>
            <w:tcW w:w="15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88608402</w:t>
            </w:r>
          </w:p>
        </w:tc>
        <w:tc>
          <w:tcPr>
            <w:tcW w:w="12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940" w:type="dxa"/>
            <w:tcBorders>
              <w:top w:val="nil"/>
              <w:left w:val="nil"/>
              <w:bottom w:val="nil"/>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c>
          <w:tcPr>
            <w:tcW w:w="11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individual</w:t>
            </w:r>
          </w:p>
        </w:tc>
      </w:tr>
      <w:tr w:rsidR="001E1730" w:rsidRPr="001E1730" w:rsidTr="001E1730">
        <w:trPr>
          <w:trHeight w:val="315"/>
        </w:trPr>
        <w:tc>
          <w:tcPr>
            <w:tcW w:w="94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3029</w:t>
            </w:r>
          </w:p>
        </w:tc>
        <w:tc>
          <w:tcPr>
            <w:tcW w:w="6420" w:type="dxa"/>
            <w:tcBorders>
              <w:top w:val="nil"/>
              <w:left w:val="nil"/>
              <w:bottom w:val="single" w:sz="8" w:space="0" w:color="auto"/>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vidal</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rojas</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ginette</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cecilia</w:t>
            </w:r>
            <w:proofErr w:type="spellEnd"/>
          </w:p>
        </w:tc>
        <w:tc>
          <w:tcPr>
            <w:tcW w:w="2580" w:type="dxa"/>
            <w:tcBorders>
              <w:top w:val="nil"/>
              <w:left w:val="nil"/>
              <w:bottom w:val="single" w:sz="8" w:space="0" w:color="auto"/>
              <w:right w:val="nil"/>
            </w:tcBorders>
            <w:shd w:val="clear" w:color="auto" w:fill="auto"/>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ginette</w:t>
            </w:r>
            <w:proofErr w:type="spellEnd"/>
            <w:r w:rsidRPr="001E1730">
              <w:rPr>
                <w:rFonts w:eastAsia="Times New Roman"/>
                <w:color w:val="000000"/>
                <w:szCs w:val="22"/>
                <w:lang w:val="en-US"/>
              </w:rPr>
              <w:t xml:space="preserve"> c </w:t>
            </w:r>
            <w:proofErr w:type="spellStart"/>
            <w:r w:rsidRPr="001E1730">
              <w:rPr>
                <w:rFonts w:eastAsia="Times New Roman"/>
                <w:color w:val="000000"/>
                <w:szCs w:val="22"/>
                <w:lang w:val="en-US"/>
              </w:rPr>
              <w:t>vidal</w:t>
            </w:r>
            <w:proofErr w:type="spellEnd"/>
          </w:p>
        </w:tc>
        <w:tc>
          <w:tcPr>
            <w:tcW w:w="152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88608402</w:t>
            </w:r>
          </w:p>
        </w:tc>
        <w:tc>
          <w:tcPr>
            <w:tcW w:w="120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940" w:type="dxa"/>
            <w:tcBorders>
              <w:top w:val="nil"/>
              <w:left w:val="nil"/>
              <w:bottom w:val="single" w:sz="8" w:space="0" w:color="auto"/>
              <w:right w:val="nil"/>
            </w:tcBorders>
            <w:shd w:val="clear" w:color="auto" w:fill="auto"/>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CL</w:t>
            </w:r>
          </w:p>
        </w:tc>
        <w:tc>
          <w:tcPr>
            <w:tcW w:w="112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individual</w:t>
            </w:r>
          </w:p>
        </w:tc>
      </w:tr>
      <w:tr w:rsidR="001E1730" w:rsidRPr="001E1730" w:rsidTr="001E1730">
        <w:trPr>
          <w:trHeight w:val="300"/>
        </w:trPr>
        <w:tc>
          <w:tcPr>
            <w:tcW w:w="7360" w:type="dxa"/>
            <w:gridSpan w:val="2"/>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 Sargent &amp; </w:t>
            </w:r>
            <w:proofErr w:type="spellStart"/>
            <w:r w:rsidRPr="001E1730">
              <w:rPr>
                <w:rFonts w:eastAsia="Times New Roman"/>
                <w:color w:val="000000"/>
                <w:szCs w:val="22"/>
                <w:lang w:val="en-US"/>
              </w:rPr>
              <w:t>Krahn</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lawfirm</w:t>
            </w:r>
            <w:proofErr w:type="spellEnd"/>
            <w:r w:rsidRPr="001E1730">
              <w:rPr>
                <w:rFonts w:eastAsia="Times New Roman"/>
                <w:color w:val="000000"/>
                <w:szCs w:val="22"/>
                <w:lang w:val="en-US"/>
              </w:rPr>
              <w:t>)</w:t>
            </w:r>
          </w:p>
        </w:tc>
        <w:tc>
          <w:tcPr>
            <w:tcW w:w="25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5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trPr>
        <w:tc>
          <w:tcPr>
            <w:tcW w:w="7360" w:type="dxa"/>
            <w:gridSpan w:val="2"/>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 </w:t>
            </w:r>
            <w:proofErr w:type="spellStart"/>
            <w:r w:rsidRPr="001E1730">
              <w:rPr>
                <w:rFonts w:eastAsia="Times New Roman"/>
                <w:color w:val="000000"/>
                <w:szCs w:val="22"/>
                <w:lang w:val="en-US"/>
              </w:rPr>
              <w:t>Tesoreria</w:t>
            </w:r>
            <w:proofErr w:type="spellEnd"/>
            <w:r w:rsidRPr="001E1730">
              <w:rPr>
                <w:rFonts w:eastAsia="Times New Roman"/>
                <w:color w:val="000000"/>
                <w:szCs w:val="22"/>
                <w:lang w:val="en-US"/>
              </w:rPr>
              <w:t xml:space="preserve"> General </w:t>
            </w:r>
            <w:proofErr w:type="spellStart"/>
            <w:r w:rsidRPr="001E1730">
              <w:rPr>
                <w:rFonts w:eastAsia="Times New Roman"/>
                <w:color w:val="000000"/>
                <w:szCs w:val="22"/>
                <w:lang w:val="en-US"/>
              </w:rPr>
              <w:t>Metropolitana</w:t>
            </w:r>
            <w:proofErr w:type="spellEnd"/>
          </w:p>
        </w:tc>
        <w:tc>
          <w:tcPr>
            <w:tcW w:w="25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5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trPr>
        <w:tc>
          <w:tcPr>
            <w:tcW w:w="7360" w:type="dxa"/>
            <w:gridSpan w:val="2"/>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rPr>
            </w:pPr>
            <w:r w:rsidRPr="001E1730">
              <w:rPr>
                <w:rFonts w:eastAsia="Times New Roman"/>
                <w:color w:val="000000"/>
                <w:szCs w:val="22"/>
              </w:rPr>
              <w:t xml:space="preserve">*** Subsecretaria de </w:t>
            </w:r>
            <w:proofErr w:type="spellStart"/>
            <w:r w:rsidRPr="001E1730">
              <w:rPr>
                <w:rFonts w:eastAsia="Times New Roman"/>
                <w:color w:val="000000"/>
                <w:szCs w:val="22"/>
              </w:rPr>
              <w:t>Economia</w:t>
            </w:r>
            <w:proofErr w:type="spellEnd"/>
            <w:r w:rsidRPr="001E1730">
              <w:rPr>
                <w:rFonts w:eastAsia="Times New Roman"/>
                <w:color w:val="000000"/>
                <w:szCs w:val="22"/>
              </w:rPr>
              <w:t xml:space="preserve"> y Empresas de Menor Tamaño</w:t>
            </w:r>
          </w:p>
        </w:tc>
        <w:tc>
          <w:tcPr>
            <w:tcW w:w="25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rPr>
            </w:pPr>
          </w:p>
        </w:tc>
        <w:tc>
          <w:tcPr>
            <w:tcW w:w="15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rPr>
            </w:pPr>
          </w:p>
        </w:tc>
        <w:tc>
          <w:tcPr>
            <w:tcW w:w="12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rPr>
            </w:pPr>
          </w:p>
        </w:tc>
        <w:tc>
          <w:tcPr>
            <w:tcW w:w="9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rPr>
            </w:pPr>
          </w:p>
        </w:tc>
        <w:tc>
          <w:tcPr>
            <w:tcW w:w="1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rPr>
            </w:pPr>
          </w:p>
        </w:tc>
      </w:tr>
    </w:tbl>
    <w:p w:rsidR="001E1730" w:rsidRPr="001E1730" w:rsidRDefault="001E1730" w:rsidP="001E1730">
      <w:pPr>
        <w:contextualSpacing/>
        <w:rPr>
          <w:rFonts w:eastAsia="MS Mincho"/>
          <w:szCs w:val="22"/>
          <w:lang w:eastAsia="en-US"/>
        </w:rPr>
        <w:sectPr w:rsidR="001E1730" w:rsidRPr="001E1730" w:rsidSect="001E1730">
          <w:pgSz w:w="16840" w:h="11900" w:orient="landscape"/>
          <w:pgMar w:top="1440" w:right="1440" w:bottom="1440" w:left="1440" w:header="706" w:footer="706" w:gutter="0"/>
          <w:cols w:space="708"/>
          <w:docGrid w:linePitch="360"/>
        </w:sectPr>
      </w:pPr>
    </w:p>
    <w:tbl>
      <w:tblPr>
        <w:tblW w:w="7740" w:type="dxa"/>
        <w:jc w:val="center"/>
        <w:tblInd w:w="93" w:type="dxa"/>
        <w:tblLook w:val="04A0" w:firstRow="1" w:lastRow="0" w:firstColumn="1" w:lastColumn="0" w:noHBand="0" w:noVBand="1"/>
      </w:tblPr>
      <w:tblGrid>
        <w:gridCol w:w="1293"/>
        <w:gridCol w:w="1390"/>
        <w:gridCol w:w="963"/>
        <w:gridCol w:w="1390"/>
        <w:gridCol w:w="963"/>
        <w:gridCol w:w="1390"/>
        <w:gridCol w:w="963"/>
      </w:tblGrid>
      <w:tr w:rsidR="001E1730" w:rsidRPr="001E1730" w:rsidTr="001E1730">
        <w:trPr>
          <w:trHeight w:val="315"/>
          <w:jc w:val="center"/>
        </w:trPr>
        <w:tc>
          <w:tcPr>
            <w:tcW w:w="11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rPr>
            </w:pPr>
            <w:r w:rsidRPr="001E1730">
              <w:rPr>
                <w:rFonts w:eastAsia="Times New Roman"/>
                <w:color w:val="000000"/>
                <w:szCs w:val="22"/>
              </w:rPr>
              <w:lastRenderedPageBreak/>
              <w:t> </w:t>
            </w:r>
          </w:p>
        </w:tc>
        <w:tc>
          <w:tcPr>
            <w:tcW w:w="12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rPr>
            </w:pPr>
            <w:r w:rsidRPr="001E1730">
              <w:rPr>
                <w:rFonts w:eastAsia="Times New Roman"/>
                <w:color w:val="000000"/>
                <w:szCs w:val="22"/>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rPr>
            </w:pPr>
            <w:r w:rsidRPr="001E1730">
              <w:rPr>
                <w:rFonts w:eastAsia="Times New Roman"/>
                <w:color w:val="000000"/>
                <w:szCs w:val="22"/>
              </w:rPr>
              <w:t> </w:t>
            </w:r>
          </w:p>
        </w:tc>
        <w:tc>
          <w:tcPr>
            <w:tcW w:w="11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rPr>
            </w:pPr>
            <w:r w:rsidRPr="001E1730">
              <w:rPr>
                <w:rFonts w:eastAsia="Times New Roman"/>
                <w:color w:val="000000"/>
                <w:szCs w:val="22"/>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rPr>
            </w:pPr>
            <w:r w:rsidRPr="001E1730">
              <w:rPr>
                <w:rFonts w:eastAsia="Times New Roman"/>
                <w:color w:val="000000"/>
                <w:szCs w:val="22"/>
              </w:rPr>
              <w:t> </w:t>
            </w:r>
          </w:p>
        </w:tc>
        <w:tc>
          <w:tcPr>
            <w:tcW w:w="13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rPr>
            </w:pPr>
            <w:r w:rsidRPr="001E1730">
              <w:rPr>
                <w:rFonts w:eastAsia="Times New Roman"/>
                <w:color w:val="000000"/>
                <w:szCs w:val="22"/>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rPr>
            </w:pPr>
            <w:r w:rsidRPr="001E1730">
              <w:rPr>
                <w:rFonts w:eastAsia="Times New Roman"/>
                <w:color w:val="000000"/>
                <w:szCs w:val="22"/>
              </w:rPr>
              <w:t> </w:t>
            </w:r>
          </w:p>
        </w:tc>
      </w:tr>
      <w:tr w:rsidR="001E1730" w:rsidRPr="00FA7282" w:rsidTr="001E1730">
        <w:trPr>
          <w:trHeight w:val="300"/>
          <w:jc w:val="center"/>
        </w:trPr>
        <w:tc>
          <w:tcPr>
            <w:tcW w:w="7740" w:type="dxa"/>
            <w:gridSpan w:val="7"/>
            <w:tcBorders>
              <w:top w:val="single" w:sz="8" w:space="0" w:color="auto"/>
              <w:left w:val="nil"/>
              <w:bottom w:val="nil"/>
              <w:right w:val="nil"/>
            </w:tcBorders>
            <w:shd w:val="clear" w:color="auto" w:fill="auto"/>
            <w:vAlign w:val="center"/>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A8:  Trademark &amp; Patent Data - Cleaned Data Description (# Applicants)</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218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All</w:t>
            </w:r>
          </w:p>
        </w:tc>
        <w:tc>
          <w:tcPr>
            <w:tcW w:w="214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Residents</w:t>
            </w:r>
          </w:p>
        </w:tc>
        <w:tc>
          <w:tcPr>
            <w:tcW w:w="226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Non-residents</w:t>
            </w:r>
          </w:p>
        </w:tc>
      </w:tr>
      <w:tr w:rsidR="001E1730" w:rsidRPr="001E1730" w:rsidTr="001E1730">
        <w:trPr>
          <w:trHeight w:val="630"/>
          <w:jc w:val="center"/>
        </w:trPr>
        <w:tc>
          <w:tcPr>
            <w:tcW w:w="1160" w:type="dxa"/>
            <w:tcBorders>
              <w:top w:val="nil"/>
              <w:left w:val="nil"/>
              <w:bottom w:val="single" w:sz="8" w:space="0" w:color="auto"/>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Application Year</w:t>
            </w:r>
          </w:p>
        </w:tc>
        <w:tc>
          <w:tcPr>
            <w:tcW w:w="122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Trademarks</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Patents</w:t>
            </w:r>
          </w:p>
        </w:tc>
        <w:tc>
          <w:tcPr>
            <w:tcW w:w="118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Trademarks</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Patents</w:t>
            </w:r>
          </w:p>
        </w:tc>
        <w:tc>
          <w:tcPr>
            <w:tcW w:w="13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Trademarks</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Patents</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1990</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8920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377</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6841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94</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2119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284</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1991</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11805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501</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8763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134</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3097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370</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1992</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11937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629</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8785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156</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3201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475</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1993</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12848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692</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9704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154</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3196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540</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1994</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12430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866</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9245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201</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3240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668</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1995</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12486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862</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9016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174</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3517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693</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1996</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12481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963</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8869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186</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3664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783</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1997</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12816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1025</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8820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155</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4052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872</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1998</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12774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1094</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8573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185</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4254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912</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1999</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12236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1019</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8445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178</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3842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845</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2000</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13362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1115</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9240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188</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4178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932</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2001</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13371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1042</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9403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223</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4020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822</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2002</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13163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906</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9757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232</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3455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674</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2003</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13120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864</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9774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210</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3401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655</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2004</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13464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945</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10104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218</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3407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729</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2005</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14736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1016</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11025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212</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3771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806</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2006</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14611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1025</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10631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210</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4037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817</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2007</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15075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1183</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10590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253</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4540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930</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2008</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16081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1198</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10956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238</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5188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960</w:t>
            </w:r>
          </w:p>
        </w:tc>
      </w:tr>
      <w:tr w:rsidR="001E1730" w:rsidRPr="001E1730" w:rsidTr="001E1730">
        <w:trPr>
          <w:trHeight w:val="300"/>
          <w:jc w:val="center"/>
        </w:trPr>
        <w:tc>
          <w:tcPr>
            <w:tcW w:w="11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2009</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14215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914</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9837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270</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4427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646</w:t>
            </w:r>
          </w:p>
        </w:tc>
      </w:tr>
      <w:tr w:rsidR="001E1730" w:rsidRPr="001E1730" w:rsidTr="001E1730">
        <w:trPr>
          <w:trHeight w:val="300"/>
          <w:jc w:val="center"/>
        </w:trPr>
        <w:tc>
          <w:tcPr>
            <w:tcW w:w="116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2010</w:t>
            </w:r>
          </w:p>
        </w:tc>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15930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639</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11184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211</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4808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432</w:t>
            </w:r>
          </w:p>
        </w:tc>
      </w:tr>
      <w:tr w:rsidR="001E1730" w:rsidRPr="001E1730" w:rsidTr="001E1730">
        <w:trPr>
          <w:trHeight w:val="315"/>
          <w:jc w:val="center"/>
        </w:trPr>
        <w:tc>
          <w:tcPr>
            <w:tcW w:w="11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Total*</w:t>
            </w:r>
          </w:p>
        </w:tc>
        <w:tc>
          <w:tcPr>
            <w:tcW w:w="122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146,092</w:t>
            </w:r>
          </w:p>
        </w:tc>
        <w:tc>
          <w:tcPr>
            <w:tcW w:w="96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10,943</w:t>
            </w:r>
          </w:p>
        </w:tc>
        <w:tc>
          <w:tcPr>
            <w:tcW w:w="118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108,071</w:t>
            </w:r>
          </w:p>
        </w:tc>
        <w:tc>
          <w:tcPr>
            <w:tcW w:w="96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2,997</w:t>
            </w:r>
          </w:p>
        </w:tc>
        <w:tc>
          <w:tcPr>
            <w:tcW w:w="130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38,816</w:t>
            </w:r>
          </w:p>
        </w:tc>
        <w:tc>
          <w:tcPr>
            <w:tcW w:w="960" w:type="dxa"/>
            <w:tcBorders>
              <w:top w:val="single" w:sz="4" w:space="0" w:color="auto"/>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8,010</w:t>
            </w:r>
          </w:p>
        </w:tc>
      </w:tr>
      <w:tr w:rsidR="001E1730" w:rsidRPr="00FA7282" w:rsidTr="001E1730">
        <w:trPr>
          <w:trHeight w:val="300"/>
          <w:jc w:val="center"/>
        </w:trPr>
        <w:tc>
          <w:tcPr>
            <w:tcW w:w="7740" w:type="dxa"/>
            <w:gridSpan w:val="7"/>
            <w:tcBorders>
              <w:top w:val="single" w:sz="8" w:space="0" w:color="auto"/>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Total of applicants (applicant name) counts each applicant only once</w:t>
            </w:r>
          </w:p>
        </w:tc>
      </w:tr>
      <w:tr w:rsidR="001E1730" w:rsidRPr="00FA7282" w:rsidTr="001E1730">
        <w:trPr>
          <w:trHeight w:val="585"/>
          <w:jc w:val="center"/>
        </w:trPr>
        <w:tc>
          <w:tcPr>
            <w:tcW w:w="7740" w:type="dxa"/>
            <w:gridSpan w:val="7"/>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Sum of # resident and # non-resident applicants exceeds total # applicants as applicants may report a Chilean and foreign residency</w:t>
            </w:r>
          </w:p>
        </w:tc>
      </w:tr>
      <w:tr w:rsidR="001E1730" w:rsidRPr="00FA7282" w:rsidTr="001E1730">
        <w:trPr>
          <w:trHeight w:val="300"/>
          <w:jc w:val="center"/>
        </w:trPr>
        <w:tc>
          <w:tcPr>
            <w:tcW w:w="6780" w:type="dxa"/>
            <w:gridSpan w:val="6"/>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Data contains patents, utility models, industrial designs and drawings.</w:t>
            </w: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Pr="001E1730" w:rsidRDefault="001E1730" w:rsidP="001E1730">
      <w:pPr>
        <w:contextualSpacing/>
        <w:rPr>
          <w:rFonts w:eastAsia="MS Mincho"/>
          <w:szCs w:val="22"/>
          <w:lang w:val="en-US" w:eastAsia="en-US"/>
        </w:rPr>
      </w:pPr>
      <w:r w:rsidRPr="001E1730">
        <w:rPr>
          <w:rFonts w:eastAsia="MS Mincho"/>
          <w:szCs w:val="22"/>
          <w:lang w:val="en-US" w:eastAsia="en-US"/>
        </w:rPr>
        <w:br w:type="page"/>
      </w:r>
    </w:p>
    <w:tbl>
      <w:tblPr>
        <w:tblW w:w="6980" w:type="dxa"/>
        <w:jc w:val="center"/>
        <w:tblInd w:w="93" w:type="dxa"/>
        <w:tblLook w:val="04A0" w:firstRow="1" w:lastRow="0" w:firstColumn="1" w:lastColumn="0" w:noHBand="0" w:noVBand="1"/>
      </w:tblPr>
      <w:tblGrid>
        <w:gridCol w:w="1220"/>
        <w:gridCol w:w="1012"/>
        <w:gridCol w:w="1085"/>
        <w:gridCol w:w="1012"/>
        <w:gridCol w:w="1085"/>
        <w:gridCol w:w="960"/>
        <w:gridCol w:w="1085"/>
      </w:tblGrid>
      <w:tr w:rsidR="001E1730" w:rsidRPr="00FA7282" w:rsidTr="001E1730">
        <w:trPr>
          <w:trHeight w:val="315"/>
          <w:jc w:val="center"/>
        </w:trPr>
        <w:tc>
          <w:tcPr>
            <w:tcW w:w="12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jc w:val="center"/>
        </w:trPr>
        <w:tc>
          <w:tcPr>
            <w:tcW w:w="6980" w:type="dxa"/>
            <w:gridSpan w:val="7"/>
            <w:tcBorders>
              <w:top w:val="nil"/>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A9:  Trademark &amp; patent data - RUT availability</w:t>
            </w:r>
          </w:p>
        </w:tc>
      </w:tr>
      <w:tr w:rsidR="001E1730" w:rsidRPr="001E1730" w:rsidTr="001E1730">
        <w:trPr>
          <w:trHeight w:val="300"/>
          <w:jc w:val="center"/>
        </w:trPr>
        <w:tc>
          <w:tcPr>
            <w:tcW w:w="12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xml:space="preserve">Rut </w:t>
            </w:r>
          </w:p>
        </w:tc>
        <w:tc>
          <w:tcPr>
            <w:tcW w:w="1920" w:type="dxa"/>
            <w:gridSpan w:val="2"/>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Applicant</w:t>
            </w:r>
          </w:p>
        </w:tc>
        <w:tc>
          <w:tcPr>
            <w:tcW w:w="192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Trademarks</w:t>
            </w:r>
          </w:p>
        </w:tc>
        <w:tc>
          <w:tcPr>
            <w:tcW w:w="1920" w:type="dxa"/>
            <w:gridSpan w:val="2"/>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Patents</w:t>
            </w:r>
          </w:p>
        </w:tc>
      </w:tr>
      <w:tr w:rsidR="001E1730" w:rsidRPr="001E1730" w:rsidTr="001E1730">
        <w:trPr>
          <w:trHeight w:val="315"/>
          <w:jc w:val="center"/>
        </w:trPr>
        <w:tc>
          <w:tcPr>
            <w:tcW w:w="122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r>
      <w:tr w:rsidR="001E1730" w:rsidRPr="001E1730" w:rsidTr="001E1730">
        <w:trPr>
          <w:trHeight w:val="300"/>
          <w:jc w:val="center"/>
        </w:trPr>
        <w:tc>
          <w:tcPr>
            <w:tcW w:w="12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1 Valid</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89,727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81.77%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88,896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82.30%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2,117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66.41%</w:t>
            </w:r>
          </w:p>
        </w:tc>
      </w:tr>
      <w:tr w:rsidR="001E1730" w:rsidRPr="001E1730" w:rsidTr="001E1730">
        <w:trPr>
          <w:trHeight w:val="300"/>
          <w:jc w:val="center"/>
        </w:trPr>
        <w:tc>
          <w:tcPr>
            <w:tcW w:w="12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`Special'</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0.82%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0.84%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1.94%</w:t>
            </w:r>
          </w:p>
        </w:tc>
      </w:tr>
      <w:tr w:rsidR="001E1730" w:rsidRPr="001E1730" w:rsidTr="001E1730">
        <w:trPr>
          <w:trHeight w:val="300"/>
          <w:jc w:val="center"/>
        </w:trPr>
        <w:tc>
          <w:tcPr>
            <w:tcW w:w="12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Missing</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1,029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0.94%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0.14%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27.57%</w:t>
            </w:r>
          </w:p>
        </w:tc>
      </w:tr>
      <w:tr w:rsidR="001E1730" w:rsidRPr="001E1730" w:rsidTr="001E1730">
        <w:trPr>
          <w:trHeight w:val="300"/>
          <w:jc w:val="center"/>
        </w:trPr>
        <w:tc>
          <w:tcPr>
            <w:tcW w:w="12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Corrected</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17,990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16.40%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17,990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16.65%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4.02%</w:t>
            </w:r>
          </w:p>
        </w:tc>
      </w:tr>
      <w:tr w:rsidR="001E1730" w:rsidRPr="001E1730" w:rsidTr="001E1730">
        <w:trPr>
          <w:trHeight w:val="300"/>
          <w:jc w:val="center"/>
        </w:trPr>
        <w:tc>
          <w:tcPr>
            <w:tcW w:w="1220" w:type="dxa"/>
            <w:tcBorders>
              <w:top w:val="nil"/>
              <w:left w:val="nil"/>
              <w:bottom w:val="single" w:sz="4"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10-digit</w:t>
            </w:r>
          </w:p>
        </w:tc>
        <w:tc>
          <w:tcPr>
            <w:tcW w:w="9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77</w:t>
            </w:r>
          </w:p>
        </w:tc>
        <w:tc>
          <w:tcPr>
            <w:tcW w:w="9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0.07%</w:t>
            </w:r>
          </w:p>
        </w:tc>
        <w:tc>
          <w:tcPr>
            <w:tcW w:w="9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77</w:t>
            </w:r>
          </w:p>
        </w:tc>
        <w:tc>
          <w:tcPr>
            <w:tcW w:w="9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0.07%</w:t>
            </w:r>
          </w:p>
        </w:tc>
        <w:tc>
          <w:tcPr>
            <w:tcW w:w="9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w:t>
            </w:r>
          </w:p>
        </w:tc>
        <w:tc>
          <w:tcPr>
            <w:tcW w:w="9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0.06%</w:t>
            </w:r>
          </w:p>
        </w:tc>
      </w:tr>
      <w:tr w:rsidR="001E1730" w:rsidRPr="001E1730" w:rsidTr="001E1730">
        <w:trPr>
          <w:trHeight w:val="315"/>
          <w:jc w:val="center"/>
        </w:trPr>
        <w:tc>
          <w:tcPr>
            <w:tcW w:w="122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Total</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109,726</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100.00%</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108,017</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100.00%</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3,188</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100.00%</w:t>
            </w:r>
          </w:p>
        </w:tc>
      </w:tr>
      <w:tr w:rsidR="001E1730" w:rsidRPr="001E1730" w:rsidTr="001E1730">
        <w:trPr>
          <w:trHeight w:val="300"/>
          <w:jc w:val="center"/>
        </w:trPr>
        <w:tc>
          <w:tcPr>
            <w:tcW w:w="6980" w:type="dxa"/>
            <w:gridSpan w:val="7"/>
            <w:tcBorders>
              <w:top w:val="single" w:sz="8" w:space="0" w:color="auto"/>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Notes:  Resident applicants only</w:t>
            </w:r>
          </w:p>
        </w:tc>
      </w:tr>
      <w:tr w:rsidR="001E1730" w:rsidRPr="00FA7282" w:rsidTr="001E1730">
        <w:trPr>
          <w:trHeight w:val="300"/>
          <w:jc w:val="center"/>
        </w:trPr>
        <w:tc>
          <w:tcPr>
            <w:tcW w:w="6980" w:type="dxa"/>
            <w:gridSpan w:val="7"/>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Data contains patents, utility models, industrial designs and drawings.</w:t>
            </w:r>
          </w:p>
        </w:tc>
      </w:tr>
    </w:tbl>
    <w:p w:rsidR="001E1730" w:rsidRPr="001E1730" w:rsidRDefault="001E1730" w:rsidP="001E1730">
      <w:pPr>
        <w:contextualSpacing/>
        <w:rPr>
          <w:rFonts w:eastAsia="MS Mincho"/>
          <w:szCs w:val="22"/>
          <w:lang w:val="en-US" w:eastAsia="en-US"/>
        </w:rPr>
      </w:pPr>
      <w:r w:rsidRPr="001E1730">
        <w:rPr>
          <w:rFonts w:eastAsia="MS Mincho"/>
          <w:szCs w:val="22"/>
          <w:lang w:val="en-US" w:eastAsia="en-US"/>
        </w:rPr>
        <w:br w:type="page"/>
      </w:r>
    </w:p>
    <w:p w:rsidR="001E1730" w:rsidRPr="001E1730" w:rsidRDefault="001E1730" w:rsidP="001E1730">
      <w:pPr>
        <w:contextualSpacing/>
        <w:rPr>
          <w:rFonts w:eastAsia="MS Mincho"/>
          <w:szCs w:val="22"/>
          <w:lang w:val="en-US" w:eastAsia="en-US"/>
        </w:rPr>
      </w:pPr>
    </w:p>
    <w:tbl>
      <w:tblPr>
        <w:tblW w:w="6270" w:type="dxa"/>
        <w:jc w:val="center"/>
        <w:tblInd w:w="93" w:type="dxa"/>
        <w:tblLook w:val="04A0" w:firstRow="1" w:lastRow="0" w:firstColumn="1" w:lastColumn="0" w:noHBand="0" w:noVBand="1"/>
      </w:tblPr>
      <w:tblGrid>
        <w:gridCol w:w="972"/>
        <w:gridCol w:w="1193"/>
        <w:gridCol w:w="1557"/>
        <w:gridCol w:w="1254"/>
        <w:gridCol w:w="1294"/>
      </w:tblGrid>
      <w:tr w:rsidR="001E1730" w:rsidRPr="00FA7282" w:rsidTr="001E1730">
        <w:trPr>
          <w:trHeight w:val="315"/>
          <w:jc w:val="center"/>
        </w:trPr>
        <w:tc>
          <w:tcPr>
            <w:tcW w:w="972"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193"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57"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54"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94"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jc w:val="center"/>
        </w:trPr>
        <w:tc>
          <w:tcPr>
            <w:tcW w:w="6270" w:type="dxa"/>
            <w:gridSpan w:val="5"/>
            <w:tcBorders>
              <w:top w:val="nil"/>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A10:  Trademark &amp; patent data with ≥ 1 valid RUT</w:t>
            </w:r>
          </w:p>
        </w:tc>
      </w:tr>
      <w:tr w:rsidR="001E1730" w:rsidRPr="001E1730" w:rsidTr="001E1730">
        <w:trPr>
          <w:trHeight w:val="300"/>
          <w:jc w:val="center"/>
        </w:trPr>
        <w:tc>
          <w:tcPr>
            <w:tcW w:w="972"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xml:space="preserve">Rut </w:t>
            </w:r>
          </w:p>
        </w:tc>
        <w:tc>
          <w:tcPr>
            <w:tcW w:w="275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Trademark applications</w:t>
            </w:r>
          </w:p>
        </w:tc>
        <w:tc>
          <w:tcPr>
            <w:tcW w:w="2548" w:type="dxa"/>
            <w:gridSpan w:val="2"/>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Patent applications</w:t>
            </w:r>
          </w:p>
        </w:tc>
      </w:tr>
      <w:tr w:rsidR="001E1730" w:rsidRPr="001E1730" w:rsidTr="001E1730">
        <w:trPr>
          <w:trHeight w:val="300"/>
          <w:jc w:val="center"/>
        </w:trPr>
        <w:tc>
          <w:tcPr>
            <w:tcW w:w="972" w:type="dxa"/>
            <w:tcBorders>
              <w:top w:val="nil"/>
              <w:left w:val="nil"/>
              <w:bottom w:val="single" w:sz="4"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193"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557"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of total</w:t>
            </w:r>
          </w:p>
        </w:tc>
        <w:tc>
          <w:tcPr>
            <w:tcW w:w="1254"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294"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of total</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1990</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13,494</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79.01%</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211</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75.09%</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1991</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19,958</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84.65%</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332</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88.30%</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1992</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21,272</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84.58%</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437</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84.36%</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1993</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23,724</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85.25%</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519</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89.18%</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1994</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22,474</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85.28%</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552</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87.07%</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1995</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23,654</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85.81%</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587</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85.20%</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1996</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23,087</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85.50%</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759</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89.40%</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1997</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23,622</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84.95%</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1,146</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92.49%</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1998</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21,356</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83.06%</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1,235</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91.96%</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1999</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21,750</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84.24%</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1211</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90.78%</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2000</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25,825</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84.49%</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1,324</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93.31%</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2001</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26,600</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86.33%</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1,126</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91.62%</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2002</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27,438</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87.77%</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992</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91.01%</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2003</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27,920</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90.18%</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932</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88.01%</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2004</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27,866</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90.01%</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1,075</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88.19%</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2005</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31,408</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89.55%</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1,188</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89.26%</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2006</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28,471</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89.63%</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1,168</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87.95%</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2007</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29,555</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90.37%</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1,142</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83.66%</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2008</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31,719</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89.64%</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1,084</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83.58%</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2009</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26,386</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90.67%</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558</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83.41%</w:t>
            </w:r>
          </w:p>
        </w:tc>
      </w:tr>
      <w:tr w:rsidR="001E1730" w:rsidRPr="001E1730" w:rsidTr="001E1730">
        <w:trPr>
          <w:trHeight w:val="300"/>
          <w:jc w:val="center"/>
        </w:trPr>
        <w:tc>
          <w:tcPr>
            <w:tcW w:w="972"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2010</w:t>
            </w:r>
          </w:p>
        </w:tc>
        <w:tc>
          <w:tcPr>
            <w:tcW w:w="1193"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29,483</w:t>
            </w:r>
          </w:p>
        </w:tc>
        <w:tc>
          <w:tcPr>
            <w:tcW w:w="1557"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90.13%</w:t>
            </w:r>
          </w:p>
        </w:tc>
        <w:tc>
          <w:tcPr>
            <w:tcW w:w="125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244</w:t>
            </w:r>
          </w:p>
        </w:tc>
        <w:tc>
          <w:tcPr>
            <w:tcW w:w="1294"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73.05%</w:t>
            </w:r>
          </w:p>
        </w:tc>
      </w:tr>
      <w:tr w:rsidR="001E1730" w:rsidRPr="001E1730" w:rsidTr="001E1730">
        <w:trPr>
          <w:trHeight w:val="300"/>
          <w:jc w:val="center"/>
        </w:trPr>
        <w:tc>
          <w:tcPr>
            <w:tcW w:w="972" w:type="dxa"/>
            <w:tcBorders>
              <w:top w:val="nil"/>
              <w:left w:val="nil"/>
              <w:bottom w:val="single" w:sz="4"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193"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57"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254"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294"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15"/>
          <w:jc w:val="center"/>
        </w:trPr>
        <w:tc>
          <w:tcPr>
            <w:tcW w:w="972"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Total</w:t>
            </w:r>
          </w:p>
        </w:tc>
        <w:tc>
          <w:tcPr>
            <w:tcW w:w="1193"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527,062</w:t>
            </w:r>
          </w:p>
        </w:tc>
        <w:tc>
          <w:tcPr>
            <w:tcW w:w="1557"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87.09%</w:t>
            </w:r>
          </w:p>
        </w:tc>
        <w:tc>
          <w:tcPr>
            <w:tcW w:w="1254"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17,822</w:t>
            </w:r>
          </w:p>
        </w:tc>
        <w:tc>
          <w:tcPr>
            <w:tcW w:w="1294"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88.29%</w:t>
            </w:r>
          </w:p>
        </w:tc>
      </w:tr>
      <w:tr w:rsidR="001E1730" w:rsidRPr="001E1730" w:rsidTr="001E1730">
        <w:trPr>
          <w:trHeight w:val="300"/>
          <w:jc w:val="center"/>
        </w:trPr>
        <w:tc>
          <w:tcPr>
            <w:tcW w:w="6270" w:type="dxa"/>
            <w:gridSpan w:val="5"/>
            <w:tcBorders>
              <w:top w:val="single" w:sz="8" w:space="0" w:color="auto"/>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Notes:  Resident applicants only</w:t>
            </w:r>
          </w:p>
        </w:tc>
      </w:tr>
      <w:tr w:rsidR="001E1730" w:rsidRPr="00FA7282" w:rsidTr="001E1730">
        <w:trPr>
          <w:trHeight w:val="300"/>
          <w:jc w:val="center"/>
        </w:trPr>
        <w:tc>
          <w:tcPr>
            <w:tcW w:w="6270" w:type="dxa"/>
            <w:gridSpan w:val="5"/>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Data contains patents, utility models, industrial designs and drawings.</w:t>
            </w:r>
          </w:p>
        </w:tc>
      </w:tr>
    </w:tbl>
    <w:p w:rsidR="001E1730" w:rsidRPr="001E1730" w:rsidRDefault="001E1730" w:rsidP="001E1730">
      <w:pPr>
        <w:rPr>
          <w:rFonts w:eastAsia="Times New Roman"/>
          <w:color w:val="000000"/>
          <w:szCs w:val="22"/>
          <w:lang w:val="en-US"/>
        </w:rPr>
        <w:sectPr w:rsidR="001E1730" w:rsidRPr="001E1730" w:rsidSect="001E1730">
          <w:pgSz w:w="11900" w:h="16840"/>
          <w:pgMar w:top="1440" w:right="1440" w:bottom="1440" w:left="1440" w:header="708" w:footer="708" w:gutter="0"/>
          <w:cols w:space="708"/>
          <w:docGrid w:linePitch="360"/>
        </w:sectPr>
      </w:pPr>
    </w:p>
    <w:tbl>
      <w:tblPr>
        <w:tblW w:w="12720" w:type="dxa"/>
        <w:jc w:val="center"/>
        <w:tblInd w:w="93" w:type="dxa"/>
        <w:tblLook w:val="04A0" w:firstRow="1" w:lastRow="0" w:firstColumn="1" w:lastColumn="0" w:noHBand="0" w:noVBand="1"/>
      </w:tblPr>
      <w:tblGrid>
        <w:gridCol w:w="1920"/>
        <w:gridCol w:w="1080"/>
        <w:gridCol w:w="1500"/>
        <w:gridCol w:w="1260"/>
        <w:gridCol w:w="1300"/>
        <w:gridCol w:w="1420"/>
        <w:gridCol w:w="1500"/>
        <w:gridCol w:w="1260"/>
        <w:gridCol w:w="1480"/>
      </w:tblGrid>
      <w:tr w:rsidR="001E1730" w:rsidRPr="00FA7282" w:rsidTr="001E1730">
        <w:trPr>
          <w:trHeight w:val="315"/>
          <w:jc w:val="center"/>
        </w:trPr>
        <w:tc>
          <w:tcPr>
            <w:tcW w:w="19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10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3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4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2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4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jc w:val="center"/>
        </w:trPr>
        <w:tc>
          <w:tcPr>
            <w:tcW w:w="12720" w:type="dxa"/>
            <w:gridSpan w:val="9"/>
            <w:tcBorders>
              <w:top w:val="nil"/>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A11:  Summary trademark &amp; patent data</w:t>
            </w:r>
          </w:p>
        </w:tc>
      </w:tr>
      <w:tr w:rsidR="001E1730" w:rsidRPr="001E1730" w:rsidTr="001E1730">
        <w:trPr>
          <w:trHeight w:val="300"/>
          <w:jc w:val="center"/>
        </w:trPr>
        <w:tc>
          <w:tcPr>
            <w:tcW w:w="19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b/>
                <w:bCs/>
                <w:color w:val="000000"/>
                <w:szCs w:val="22"/>
                <w:lang w:val="en-US"/>
              </w:rPr>
            </w:pPr>
          </w:p>
        </w:tc>
        <w:tc>
          <w:tcPr>
            <w:tcW w:w="5140" w:type="dxa"/>
            <w:gridSpan w:val="4"/>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Raw data</w:t>
            </w:r>
          </w:p>
        </w:tc>
        <w:tc>
          <w:tcPr>
            <w:tcW w:w="5660" w:type="dxa"/>
            <w:gridSpan w:val="4"/>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Cleaned data</w:t>
            </w:r>
          </w:p>
        </w:tc>
      </w:tr>
      <w:tr w:rsidR="001E1730" w:rsidRPr="001E1730" w:rsidTr="001E1730">
        <w:trPr>
          <w:trHeight w:val="300"/>
          <w:jc w:val="center"/>
        </w:trPr>
        <w:tc>
          <w:tcPr>
            <w:tcW w:w="19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258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Trademark applications</w:t>
            </w:r>
          </w:p>
        </w:tc>
        <w:tc>
          <w:tcPr>
            <w:tcW w:w="2560" w:type="dxa"/>
            <w:gridSpan w:val="2"/>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Patent applications</w:t>
            </w:r>
          </w:p>
        </w:tc>
        <w:tc>
          <w:tcPr>
            <w:tcW w:w="2920" w:type="dxa"/>
            <w:gridSpan w:val="2"/>
            <w:tcBorders>
              <w:top w:val="nil"/>
              <w:left w:val="nil"/>
              <w:bottom w:val="nil"/>
              <w:right w:val="nil"/>
            </w:tcBorders>
            <w:shd w:val="clear" w:color="auto" w:fill="auto"/>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Trademark applications</w:t>
            </w:r>
          </w:p>
        </w:tc>
        <w:tc>
          <w:tcPr>
            <w:tcW w:w="2740" w:type="dxa"/>
            <w:gridSpan w:val="2"/>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Patent applications</w:t>
            </w:r>
          </w:p>
        </w:tc>
      </w:tr>
      <w:tr w:rsidR="001E1730" w:rsidRPr="001E1730" w:rsidTr="001E1730">
        <w:trPr>
          <w:trHeight w:val="300"/>
          <w:jc w:val="center"/>
        </w:trPr>
        <w:tc>
          <w:tcPr>
            <w:tcW w:w="1920" w:type="dxa"/>
            <w:tcBorders>
              <w:top w:val="nil"/>
              <w:left w:val="nil"/>
              <w:bottom w:val="single" w:sz="4"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08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r w:rsidRPr="001E1730">
              <w:rPr>
                <w:rFonts w:ascii="Lucida Sans Unicode" w:eastAsia="Times New Roman" w:hAnsi="Lucida Sans Unicode" w:cs="Lucida Sans Unicode"/>
                <w:color w:val="000000"/>
                <w:szCs w:val="22"/>
                <w:lang w:val="en-US"/>
              </w:rPr>
              <w:t>ˣ</w:t>
            </w:r>
          </w:p>
        </w:tc>
        <w:tc>
          <w:tcPr>
            <w:tcW w:w="15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of total</w:t>
            </w:r>
          </w:p>
        </w:tc>
        <w:tc>
          <w:tcPr>
            <w:tcW w:w="12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3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of total</w:t>
            </w:r>
          </w:p>
        </w:tc>
        <w:tc>
          <w:tcPr>
            <w:tcW w:w="142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5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of total</w:t>
            </w:r>
          </w:p>
        </w:tc>
        <w:tc>
          <w:tcPr>
            <w:tcW w:w="12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
        </w:tc>
        <w:tc>
          <w:tcPr>
            <w:tcW w:w="148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of total</w:t>
            </w:r>
          </w:p>
        </w:tc>
      </w:tr>
      <w:tr w:rsidR="001E1730" w:rsidRPr="001E1730" w:rsidTr="001E1730">
        <w:trPr>
          <w:trHeight w:val="300"/>
          <w:jc w:val="center"/>
        </w:trPr>
        <w:tc>
          <w:tcPr>
            <w:tcW w:w="19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4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5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2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4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jc w:val="center"/>
        </w:trPr>
        <w:tc>
          <w:tcPr>
            <w:tcW w:w="19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Total</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778,095</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w:t>
            </w: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49,480</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w:t>
            </w:r>
          </w:p>
        </w:tc>
        <w:tc>
          <w:tcPr>
            <w:tcW w:w="14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778,095</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w:t>
            </w: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49,480</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w:t>
            </w:r>
          </w:p>
        </w:tc>
      </w:tr>
      <w:tr w:rsidR="001E1730" w:rsidRPr="001E1730" w:rsidTr="001E1730">
        <w:trPr>
          <w:trHeight w:val="300"/>
          <w:jc w:val="center"/>
        </w:trPr>
        <w:tc>
          <w:tcPr>
            <w:tcW w:w="19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4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4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jc w:val="center"/>
        </w:trPr>
        <w:tc>
          <w:tcPr>
            <w:tcW w:w="19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Non-resident</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231,293</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29.73%</w:t>
            </w: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44,673</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90.28%</w:t>
            </w:r>
          </w:p>
        </w:tc>
        <w:tc>
          <w:tcPr>
            <w:tcW w:w="14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176,745</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22.72%</w:t>
            </w: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38,340</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77.49%</w:t>
            </w:r>
          </w:p>
        </w:tc>
      </w:tr>
      <w:tr w:rsidR="001E1730" w:rsidRPr="001E1730" w:rsidTr="001E1730">
        <w:trPr>
          <w:trHeight w:val="300"/>
          <w:jc w:val="center"/>
        </w:trPr>
        <w:tc>
          <w:tcPr>
            <w:tcW w:w="19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4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4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jc w:val="center"/>
        </w:trPr>
        <w:tc>
          <w:tcPr>
            <w:tcW w:w="19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Resident</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546,850</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70.28%</w:t>
            </w: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4,807</w:t>
            </w: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9.72%</w:t>
            </w:r>
          </w:p>
        </w:tc>
        <w:tc>
          <w:tcPr>
            <w:tcW w:w="14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600,925</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77.23%</w:t>
            </w: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11,222</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22.68%</w:t>
            </w:r>
          </w:p>
        </w:tc>
      </w:tr>
      <w:tr w:rsidR="001E1730" w:rsidRPr="001E1730" w:rsidTr="001E1730">
        <w:trPr>
          <w:trHeight w:val="300"/>
          <w:jc w:val="center"/>
        </w:trPr>
        <w:tc>
          <w:tcPr>
            <w:tcW w:w="1920" w:type="dxa"/>
            <w:tcBorders>
              <w:top w:val="nil"/>
              <w:left w:val="nil"/>
              <w:bottom w:val="single" w:sz="4"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08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5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2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3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42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2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48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jc w:val="center"/>
        </w:trPr>
        <w:tc>
          <w:tcPr>
            <w:tcW w:w="192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Valid RUT</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4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527,062</w:t>
            </w: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67.74%</w:t>
            </w: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17,822</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36.02%</w:t>
            </w:r>
          </w:p>
        </w:tc>
      </w:tr>
      <w:tr w:rsidR="001E1730" w:rsidRPr="001E1730" w:rsidTr="001E1730">
        <w:trPr>
          <w:trHeight w:val="315"/>
          <w:jc w:val="center"/>
        </w:trPr>
        <w:tc>
          <w:tcPr>
            <w:tcW w:w="192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08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5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2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3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4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0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12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4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jc w:val="center"/>
        </w:trPr>
        <w:tc>
          <w:tcPr>
            <w:tcW w:w="192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Notes:</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3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4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4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FA7282" w:rsidTr="001E1730">
        <w:trPr>
          <w:trHeight w:val="300"/>
          <w:jc w:val="center"/>
        </w:trPr>
        <w:tc>
          <w:tcPr>
            <w:tcW w:w="12720" w:type="dxa"/>
            <w:gridSpan w:val="9"/>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ascii="Lucida Sans Unicode" w:eastAsia="Times New Roman" w:hAnsi="Lucida Sans Unicode" w:cs="Lucida Sans Unicode"/>
                <w:color w:val="000000"/>
                <w:szCs w:val="22"/>
                <w:lang w:val="en-US"/>
              </w:rPr>
              <w:t>ˣ</w:t>
            </w:r>
            <w:r w:rsidRPr="001E1730">
              <w:rPr>
                <w:rFonts w:eastAsia="Times New Roman"/>
                <w:color w:val="000000"/>
                <w:szCs w:val="22"/>
                <w:lang w:val="en-US"/>
              </w:rPr>
              <w:t xml:space="preserve"> Non-resident and resident applications do not sum to Total because applications may contain resident and non-resident applicants</w:t>
            </w:r>
          </w:p>
        </w:tc>
      </w:tr>
      <w:tr w:rsidR="001E1730" w:rsidRPr="00FA7282" w:rsidTr="001E1730">
        <w:trPr>
          <w:trHeight w:val="300"/>
          <w:jc w:val="center"/>
        </w:trPr>
        <w:tc>
          <w:tcPr>
            <w:tcW w:w="7060" w:type="dxa"/>
            <w:gridSpan w:val="5"/>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Data contains patents, utility models, industrial designs and drawings.</w:t>
            </w:r>
          </w:p>
        </w:tc>
        <w:tc>
          <w:tcPr>
            <w:tcW w:w="14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50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2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4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Pr="001E1730" w:rsidRDefault="001E1730" w:rsidP="001E1730">
      <w:pPr>
        <w:contextualSpacing/>
        <w:rPr>
          <w:rFonts w:eastAsia="MS Mincho"/>
          <w:szCs w:val="22"/>
          <w:lang w:val="en-US" w:eastAsia="en-US"/>
        </w:rPr>
        <w:sectPr w:rsidR="001E1730" w:rsidRPr="001E1730" w:rsidSect="001E1730">
          <w:pgSz w:w="16840" w:h="11900" w:orient="landscape"/>
          <w:pgMar w:top="1440" w:right="1440" w:bottom="1440" w:left="1440" w:header="706" w:footer="706" w:gutter="0"/>
          <w:cols w:space="708"/>
          <w:docGrid w:linePitch="360"/>
        </w:sectPr>
      </w:pPr>
    </w:p>
    <w:tbl>
      <w:tblPr>
        <w:tblW w:w="13580" w:type="dxa"/>
        <w:tblInd w:w="93" w:type="dxa"/>
        <w:tblLook w:val="04A0" w:firstRow="1" w:lastRow="0" w:firstColumn="1" w:lastColumn="0" w:noHBand="0" w:noVBand="1"/>
      </w:tblPr>
      <w:tblGrid>
        <w:gridCol w:w="3840"/>
        <w:gridCol w:w="1100"/>
        <w:gridCol w:w="960"/>
        <w:gridCol w:w="960"/>
        <w:gridCol w:w="960"/>
        <w:gridCol w:w="960"/>
        <w:gridCol w:w="960"/>
        <w:gridCol w:w="960"/>
        <w:gridCol w:w="960"/>
        <w:gridCol w:w="960"/>
        <w:gridCol w:w="960"/>
      </w:tblGrid>
      <w:tr w:rsidR="001E1730" w:rsidRPr="00FA7282" w:rsidTr="001E1730">
        <w:trPr>
          <w:trHeight w:val="315"/>
        </w:trPr>
        <w:tc>
          <w:tcPr>
            <w:tcW w:w="38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11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trPr>
        <w:tc>
          <w:tcPr>
            <w:tcW w:w="13580" w:type="dxa"/>
            <w:gridSpan w:val="11"/>
            <w:tcBorders>
              <w:top w:val="single" w:sz="8" w:space="0" w:color="auto"/>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A12:  Trademark Nice Class and Economic Activity</w:t>
            </w:r>
          </w:p>
        </w:tc>
      </w:tr>
      <w:tr w:rsidR="001E1730" w:rsidRPr="001E1730" w:rsidTr="001E1730">
        <w:trPr>
          <w:trHeight w:val="300"/>
        </w:trPr>
        <w:tc>
          <w:tcPr>
            <w:tcW w:w="384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i/>
                <w:iCs/>
                <w:color w:val="000000"/>
                <w:szCs w:val="22"/>
                <w:lang w:val="en-US"/>
              </w:rPr>
            </w:pPr>
            <w:r w:rsidRPr="001E1730">
              <w:rPr>
                <w:rFonts w:eastAsia="Times New Roman"/>
                <w:i/>
                <w:iCs/>
                <w:color w:val="000000"/>
                <w:szCs w:val="22"/>
                <w:lang w:val="en-US"/>
              </w:rPr>
              <w:t>Economic activity</w:t>
            </w:r>
          </w:p>
        </w:tc>
        <w:tc>
          <w:tcPr>
            <w:tcW w:w="11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Total</w:t>
            </w:r>
          </w:p>
        </w:tc>
        <w:tc>
          <w:tcPr>
            <w:tcW w:w="8640" w:type="dxa"/>
            <w:gridSpan w:val="9"/>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Nice classes</w:t>
            </w:r>
          </w:p>
        </w:tc>
      </w:tr>
      <w:tr w:rsidR="001E1730" w:rsidRPr="001E1730" w:rsidTr="001E1730">
        <w:trPr>
          <w:trHeight w:val="300"/>
        </w:trPr>
        <w:tc>
          <w:tcPr>
            <w:tcW w:w="3840" w:type="dxa"/>
            <w:tcBorders>
              <w:top w:val="nil"/>
              <w:left w:val="nil"/>
              <w:bottom w:val="nil"/>
              <w:right w:val="nil"/>
            </w:tcBorders>
            <w:shd w:val="clear" w:color="auto" w:fill="auto"/>
            <w:noWrap/>
            <w:vAlign w:val="bottom"/>
          </w:tcPr>
          <w:p w:rsidR="001E1730" w:rsidRPr="001E1730" w:rsidRDefault="001E1730" w:rsidP="001E1730">
            <w:pPr>
              <w:rPr>
                <w:rFonts w:eastAsia="Times New Roman"/>
                <w:i/>
                <w:iCs/>
                <w:color w:val="000000"/>
                <w:szCs w:val="22"/>
                <w:lang w:val="en-US"/>
              </w:rPr>
            </w:pPr>
          </w:p>
        </w:tc>
        <w:tc>
          <w:tcPr>
            <w:tcW w:w="1100" w:type="dxa"/>
            <w:tcBorders>
              <w:top w:val="nil"/>
              <w:left w:val="nil"/>
              <w:bottom w:val="nil"/>
              <w:right w:val="nil"/>
            </w:tcBorders>
            <w:shd w:val="clear" w:color="auto" w:fill="auto"/>
            <w:noWrap/>
            <w:vAlign w:val="bottom"/>
          </w:tcPr>
          <w:p w:rsidR="001E1730" w:rsidRPr="001E1730" w:rsidRDefault="001E1730" w:rsidP="001E1730">
            <w:pPr>
              <w:rPr>
                <w:rFonts w:eastAsia="Times New Roman"/>
                <w:i/>
                <w:i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Agricultural products and services</w:t>
            </w:r>
          </w:p>
        </w:tc>
        <w:tc>
          <w:tcPr>
            <w:tcW w:w="110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43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of Total</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r w:rsidRPr="001E1730">
              <w:rPr>
                <w:rFonts w:eastAsia="Times New Roman"/>
                <w:b/>
                <w:bCs/>
                <w:color w:val="000000"/>
                <w:szCs w:val="22"/>
                <w:lang w:val="en-US"/>
              </w:rPr>
              <w:t>14.8%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Chemicals</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of Total</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r w:rsidRPr="001E1730">
              <w:rPr>
                <w:rFonts w:eastAsia="Times New Roman"/>
                <w:b/>
                <w:bCs/>
                <w:color w:val="000000"/>
                <w:szCs w:val="22"/>
                <w:lang w:val="en-US"/>
              </w:rPr>
              <w:t>6.0%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Construction, Infrastructure</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40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of Total</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r w:rsidRPr="001E1730">
              <w:rPr>
                <w:rFonts w:eastAsia="Times New Roman"/>
                <w:b/>
                <w:bCs/>
                <w:color w:val="000000"/>
                <w:szCs w:val="22"/>
                <w:lang w:val="en-US"/>
              </w:rPr>
              <w:t>7.8%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Household equipment</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of Total</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r w:rsidRPr="001E1730">
              <w:rPr>
                <w:rFonts w:eastAsia="Times New Roman"/>
                <w:b/>
                <w:bCs/>
                <w:color w:val="000000"/>
                <w:szCs w:val="22"/>
                <w:lang w:val="en-US"/>
              </w:rPr>
              <w:t>7.8%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Leisure, Education, Training</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41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of Total</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r w:rsidRPr="001E1730">
              <w:rPr>
                <w:rFonts w:eastAsia="Times New Roman"/>
                <w:b/>
                <w:bCs/>
                <w:color w:val="000000"/>
                <w:szCs w:val="22"/>
                <w:lang w:val="en-US"/>
              </w:rPr>
              <w:t>12.5%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6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Management, Communications, Real estate and Financial services</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of Total</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r w:rsidRPr="001E1730">
              <w:rPr>
                <w:rFonts w:eastAsia="Times New Roman"/>
                <w:b/>
                <w:bCs/>
                <w:color w:val="000000"/>
                <w:szCs w:val="22"/>
                <w:lang w:val="en-US"/>
              </w:rPr>
              <w:t>5.3%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Pharmaceuticals, Health, Cosmetics</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44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of Total</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r w:rsidRPr="001E1730">
              <w:rPr>
                <w:rFonts w:eastAsia="Times New Roman"/>
                <w:b/>
                <w:bCs/>
                <w:color w:val="000000"/>
                <w:szCs w:val="22"/>
                <w:lang w:val="en-US"/>
              </w:rPr>
              <w:t>12.1%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6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Scientific research, Information and Communication technology</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42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45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of Total</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r w:rsidRPr="001E1730">
              <w:rPr>
                <w:rFonts w:eastAsia="Times New Roman"/>
                <w:b/>
                <w:bCs/>
                <w:color w:val="000000"/>
                <w:szCs w:val="22"/>
                <w:lang w:val="en-US"/>
              </w:rPr>
              <w:t>9.7%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Textiles - Clothing and Accessories</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27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34</w:t>
            </w: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of Total</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r w:rsidRPr="001E1730">
              <w:rPr>
                <w:rFonts w:eastAsia="Times New Roman"/>
                <w:b/>
                <w:bCs/>
                <w:color w:val="000000"/>
                <w:szCs w:val="22"/>
                <w:lang w:val="en-US"/>
              </w:rPr>
              <w:t>17.6%</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w:t>
            </w: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Transportation and Logistics</w:t>
            </w:r>
          </w:p>
        </w:tc>
        <w:tc>
          <w:tcPr>
            <w:tcW w:w="1100" w:type="dxa"/>
            <w:tcBorders>
              <w:top w:val="nil"/>
              <w:left w:val="nil"/>
              <w:bottom w:val="nil"/>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7</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12</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39</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15"/>
        </w:trPr>
        <w:tc>
          <w:tcPr>
            <w:tcW w:w="3840" w:type="dxa"/>
            <w:tcBorders>
              <w:top w:val="nil"/>
              <w:left w:val="nil"/>
              <w:bottom w:val="single" w:sz="8" w:space="0" w:color="auto"/>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of Total</w:t>
            </w:r>
          </w:p>
        </w:tc>
        <w:tc>
          <w:tcPr>
            <w:tcW w:w="1100" w:type="dxa"/>
            <w:tcBorders>
              <w:top w:val="nil"/>
              <w:left w:val="nil"/>
              <w:bottom w:val="single" w:sz="8" w:space="0" w:color="auto"/>
              <w:right w:val="nil"/>
            </w:tcBorders>
            <w:shd w:val="clear" w:color="auto" w:fill="auto"/>
            <w:vAlign w:val="bottom"/>
          </w:tcPr>
          <w:p w:rsidR="001E1730" w:rsidRPr="001E1730" w:rsidRDefault="001E1730" w:rsidP="001E1730">
            <w:pPr>
              <w:jc w:val="center"/>
              <w:rPr>
                <w:rFonts w:eastAsia="Times New Roman"/>
                <w:b/>
                <w:bCs/>
                <w:color w:val="000000"/>
                <w:szCs w:val="22"/>
                <w:lang w:val="en-US"/>
              </w:rPr>
            </w:pPr>
            <w:r w:rsidRPr="001E1730">
              <w:rPr>
                <w:rFonts w:eastAsia="Times New Roman"/>
                <w:b/>
                <w:bCs/>
                <w:color w:val="000000"/>
                <w:szCs w:val="22"/>
                <w:lang w:val="en-US"/>
              </w:rPr>
              <w:t>6.6%</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2.0%</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trPr>
        <w:tc>
          <w:tcPr>
            <w:tcW w:w="384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Source of classification: </w:t>
            </w:r>
            <w:proofErr w:type="spellStart"/>
            <w:r w:rsidRPr="001E1730">
              <w:rPr>
                <w:rFonts w:eastAsia="Times New Roman"/>
                <w:color w:val="000000"/>
                <w:szCs w:val="22"/>
                <w:lang w:val="en-US"/>
              </w:rPr>
              <w:t>Edital</w:t>
            </w:r>
            <w:proofErr w:type="spellEnd"/>
          </w:p>
        </w:tc>
        <w:tc>
          <w:tcPr>
            <w:tcW w:w="1100" w:type="dxa"/>
            <w:tcBorders>
              <w:top w:val="nil"/>
              <w:left w:val="nil"/>
              <w:bottom w:val="nil"/>
              <w:right w:val="nil"/>
            </w:tcBorders>
            <w:shd w:val="clear" w:color="auto" w:fill="auto"/>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Pr="001E1730" w:rsidRDefault="001E1730" w:rsidP="001E1730">
      <w:pPr>
        <w:contextualSpacing/>
        <w:rPr>
          <w:rFonts w:eastAsia="MS Mincho"/>
          <w:szCs w:val="22"/>
          <w:lang w:val="en-US" w:eastAsia="en-US"/>
        </w:rPr>
        <w:sectPr w:rsidR="001E1730" w:rsidRPr="001E1730" w:rsidSect="001E1730">
          <w:pgSz w:w="16840" w:h="11900" w:orient="landscape"/>
          <w:pgMar w:top="1440" w:right="1440" w:bottom="1440" w:left="1440" w:header="706" w:footer="706" w:gutter="0"/>
          <w:cols w:space="708"/>
          <w:docGrid w:linePitch="360"/>
        </w:sectPr>
      </w:pPr>
    </w:p>
    <w:tbl>
      <w:tblPr>
        <w:tblW w:w="5760" w:type="dxa"/>
        <w:jc w:val="center"/>
        <w:tblInd w:w="93" w:type="dxa"/>
        <w:tblLook w:val="04A0" w:firstRow="1" w:lastRow="0" w:firstColumn="1" w:lastColumn="0" w:noHBand="0" w:noVBand="1"/>
      </w:tblPr>
      <w:tblGrid>
        <w:gridCol w:w="3102"/>
        <w:gridCol w:w="1560"/>
        <w:gridCol w:w="1100"/>
      </w:tblGrid>
      <w:tr w:rsidR="001E1730" w:rsidRPr="001E1730" w:rsidTr="001E1730">
        <w:trPr>
          <w:trHeight w:val="315"/>
          <w:jc w:val="center"/>
        </w:trPr>
        <w:tc>
          <w:tcPr>
            <w:tcW w:w="31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15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1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jc w:val="center"/>
        </w:trPr>
        <w:tc>
          <w:tcPr>
            <w:tcW w:w="5760" w:type="dxa"/>
            <w:gridSpan w:val="3"/>
            <w:tcBorders>
              <w:top w:val="nil"/>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A13:  Trademark types</w:t>
            </w:r>
          </w:p>
        </w:tc>
      </w:tr>
      <w:tr w:rsidR="001E1730" w:rsidRPr="001E1730" w:rsidTr="001E1730">
        <w:trPr>
          <w:trHeight w:val="300"/>
          <w:jc w:val="center"/>
        </w:trPr>
        <w:tc>
          <w:tcPr>
            <w:tcW w:w="310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Applications</w:t>
            </w:r>
          </w:p>
        </w:tc>
        <w:tc>
          <w:tcPr>
            <w:tcW w:w="110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Total</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5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Type</w:t>
            </w:r>
          </w:p>
        </w:tc>
        <w:tc>
          <w:tcPr>
            <w:tcW w:w="15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Denominativas</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524,907</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67.5%</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Figurativa</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21,941</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2.8%</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Mixta</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213,742</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27.5%</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Propaganda</w:t>
            </w:r>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16,983</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2.2%</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smartTag w:uri="urn:schemas-microsoft-com:office:smarttags" w:element="State">
              <w:smartTag w:uri="urn:schemas-microsoft-com:office:smarttags" w:element="place">
                <w:r w:rsidRPr="001E1730">
                  <w:rPr>
                    <w:rFonts w:eastAsia="Times New Roman"/>
                    <w:color w:val="000000"/>
                    <w:szCs w:val="22"/>
                    <w:lang w:val="en-US"/>
                  </w:rPr>
                  <w:t>Sonora</w:t>
                </w:r>
              </w:smartTag>
            </w:smartTag>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16</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0.0%</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Origen</w:t>
            </w:r>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1</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0.0%</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Geografia</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5</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0.0%</w:t>
            </w:r>
          </w:p>
        </w:tc>
      </w:tr>
      <w:tr w:rsidR="001E1730" w:rsidRPr="001E1730" w:rsidTr="001E1730">
        <w:trPr>
          <w:trHeight w:val="300"/>
          <w:jc w:val="center"/>
        </w:trPr>
        <w:tc>
          <w:tcPr>
            <w:tcW w:w="310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6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10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5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Use</w:t>
            </w:r>
          </w:p>
        </w:tc>
        <w:tc>
          <w:tcPr>
            <w:tcW w:w="15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Productos</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453,687</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58.3%</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Servicios</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247,316</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31.8%</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Productos</w:t>
            </w:r>
            <w:proofErr w:type="spellEnd"/>
            <w:r w:rsidRPr="001E1730">
              <w:rPr>
                <w:rFonts w:eastAsia="Times New Roman"/>
                <w:color w:val="000000"/>
                <w:szCs w:val="22"/>
                <w:lang w:val="en-US"/>
              </w:rPr>
              <w:t>/</w:t>
            </w:r>
            <w:proofErr w:type="spellStart"/>
            <w:r w:rsidRPr="001E1730">
              <w:rPr>
                <w:rFonts w:eastAsia="Times New Roman"/>
                <w:color w:val="000000"/>
                <w:szCs w:val="22"/>
                <w:lang w:val="en-US"/>
              </w:rPr>
              <w:t>Servicios</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47</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0.0%</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Frase</w:t>
            </w:r>
            <w:proofErr w:type="spellEnd"/>
            <w:r w:rsidRPr="001E1730">
              <w:rPr>
                <w:rFonts w:eastAsia="Times New Roman"/>
                <w:color w:val="000000"/>
                <w:szCs w:val="22"/>
                <w:lang w:val="en-US"/>
              </w:rPr>
              <w:t xml:space="preserve"> Propaganda</w:t>
            </w:r>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16,983</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2.2%</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Establecimiento</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Comercial</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40,636</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5.2%</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Establecimiento</w:t>
            </w:r>
            <w:proofErr w:type="spellEnd"/>
            <w:r w:rsidRPr="001E1730">
              <w:rPr>
                <w:rFonts w:eastAsia="Times New Roman"/>
                <w:color w:val="000000"/>
                <w:szCs w:val="22"/>
                <w:lang w:val="en-US"/>
              </w:rPr>
              <w:t xml:space="preserve"> Industrial</w:t>
            </w:r>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17,007</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2.2%</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Productos</w:t>
            </w:r>
            <w:proofErr w:type="spellEnd"/>
            <w:r w:rsidRPr="001E1730">
              <w:rPr>
                <w:rFonts w:eastAsia="Times New Roman"/>
                <w:color w:val="000000"/>
                <w:szCs w:val="22"/>
                <w:lang w:val="en-US"/>
              </w:rPr>
              <w:t>/</w:t>
            </w:r>
            <w:proofErr w:type="spellStart"/>
            <w:r w:rsidRPr="001E1730">
              <w:rPr>
                <w:rFonts w:eastAsia="Times New Roman"/>
                <w:color w:val="000000"/>
                <w:szCs w:val="22"/>
                <w:lang w:val="en-US"/>
              </w:rPr>
              <w:t>Establec.Industrial</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1,901</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0.2%</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Producto</w:t>
            </w:r>
            <w:proofErr w:type="spellEnd"/>
            <w:r w:rsidRPr="001E1730">
              <w:rPr>
                <w:rFonts w:eastAsia="Times New Roman"/>
                <w:color w:val="000000"/>
                <w:szCs w:val="22"/>
                <w:lang w:val="en-US"/>
              </w:rPr>
              <w:t>./</w:t>
            </w:r>
            <w:proofErr w:type="spellStart"/>
            <w:r w:rsidRPr="001E1730">
              <w:rPr>
                <w:rFonts w:eastAsia="Times New Roman"/>
                <w:color w:val="000000"/>
                <w:szCs w:val="22"/>
                <w:lang w:val="en-US"/>
              </w:rPr>
              <w:t>Servicio</w:t>
            </w:r>
            <w:proofErr w:type="spellEnd"/>
            <w:r w:rsidRPr="001E1730">
              <w:rPr>
                <w:rFonts w:eastAsia="Times New Roman"/>
                <w:color w:val="000000"/>
                <w:szCs w:val="22"/>
                <w:lang w:val="en-US"/>
              </w:rPr>
              <w:t>./Industrial</w:t>
            </w:r>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2</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0.0%</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Estab</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Comercial</w:t>
            </w:r>
            <w:proofErr w:type="spellEnd"/>
            <w:r w:rsidRPr="001E1730">
              <w:rPr>
                <w:rFonts w:eastAsia="Times New Roman"/>
                <w:color w:val="000000"/>
                <w:szCs w:val="22"/>
                <w:lang w:val="en-US"/>
              </w:rPr>
              <w:t>/</w:t>
            </w:r>
            <w:proofErr w:type="spellStart"/>
            <w:r w:rsidRPr="001E1730">
              <w:rPr>
                <w:rFonts w:eastAsia="Times New Roman"/>
                <w:color w:val="000000"/>
                <w:szCs w:val="22"/>
                <w:lang w:val="en-US"/>
              </w:rPr>
              <w:t>Estab</w:t>
            </w:r>
            <w:proofErr w:type="spellEnd"/>
            <w:r w:rsidRPr="001E1730">
              <w:rPr>
                <w:rFonts w:eastAsia="Times New Roman"/>
                <w:color w:val="000000"/>
                <w:szCs w:val="22"/>
                <w:lang w:val="en-US"/>
              </w:rPr>
              <w:t xml:space="preserve">. </w:t>
            </w:r>
            <w:smartTag w:uri="urn:schemas-microsoft-com:office:smarttags" w:element="place">
              <w:r w:rsidRPr="001E1730">
                <w:rPr>
                  <w:rFonts w:eastAsia="Times New Roman"/>
                  <w:color w:val="000000"/>
                  <w:szCs w:val="22"/>
                  <w:lang w:val="en-US"/>
                </w:rPr>
                <w:t>Indus.</w:t>
              </w:r>
            </w:smartTag>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3</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0.0%</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Producto</w:t>
            </w:r>
            <w:proofErr w:type="spellEnd"/>
            <w:r w:rsidRPr="001E1730">
              <w:rPr>
                <w:rFonts w:eastAsia="Times New Roman"/>
                <w:color w:val="000000"/>
                <w:szCs w:val="22"/>
                <w:lang w:val="en-US"/>
              </w:rPr>
              <w:t>/</w:t>
            </w:r>
            <w:proofErr w:type="spellStart"/>
            <w:r w:rsidRPr="001E1730">
              <w:rPr>
                <w:rFonts w:eastAsia="Times New Roman"/>
                <w:color w:val="000000"/>
                <w:szCs w:val="22"/>
                <w:lang w:val="en-US"/>
              </w:rPr>
              <w:t>Comercial</w:t>
            </w:r>
            <w:proofErr w:type="spellEnd"/>
            <w:r w:rsidRPr="001E1730">
              <w:rPr>
                <w:rFonts w:eastAsia="Times New Roman"/>
                <w:color w:val="000000"/>
                <w:szCs w:val="22"/>
                <w:lang w:val="en-US"/>
              </w:rPr>
              <w:t>/Industrial</w:t>
            </w:r>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2</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0.0%</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Productos</w:t>
            </w:r>
            <w:proofErr w:type="spellEnd"/>
            <w:r w:rsidRPr="001E1730">
              <w:rPr>
                <w:rFonts w:eastAsia="Times New Roman"/>
                <w:color w:val="000000"/>
                <w:szCs w:val="22"/>
                <w:lang w:val="en-US"/>
              </w:rPr>
              <w:t>/</w:t>
            </w:r>
            <w:proofErr w:type="spellStart"/>
            <w:r w:rsidRPr="001E1730">
              <w:rPr>
                <w:rFonts w:eastAsia="Times New Roman"/>
                <w:color w:val="000000"/>
                <w:szCs w:val="22"/>
                <w:lang w:val="en-US"/>
              </w:rPr>
              <w:t>Estab</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Comercial</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1</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0.0%</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Servicios</w:t>
            </w:r>
            <w:proofErr w:type="spellEnd"/>
            <w:r w:rsidRPr="001E1730">
              <w:rPr>
                <w:rFonts w:eastAsia="Times New Roman"/>
                <w:color w:val="000000"/>
                <w:szCs w:val="22"/>
                <w:lang w:val="en-US"/>
              </w:rPr>
              <w:t>/</w:t>
            </w:r>
            <w:proofErr w:type="spellStart"/>
            <w:r w:rsidRPr="001E1730">
              <w:rPr>
                <w:rFonts w:eastAsia="Times New Roman"/>
                <w:color w:val="000000"/>
                <w:szCs w:val="22"/>
                <w:lang w:val="en-US"/>
              </w:rPr>
              <w:t>Estab</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Comercial</w:t>
            </w:r>
            <w:proofErr w:type="spellEnd"/>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1</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0.0%</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Servicio</w:t>
            </w:r>
            <w:proofErr w:type="spellEnd"/>
            <w:r w:rsidRPr="001E1730">
              <w:rPr>
                <w:rFonts w:eastAsia="Times New Roman"/>
                <w:color w:val="000000"/>
                <w:szCs w:val="22"/>
                <w:lang w:val="en-US"/>
              </w:rPr>
              <w:t xml:space="preserve"> /</w:t>
            </w:r>
            <w:proofErr w:type="spellStart"/>
            <w:r w:rsidRPr="001E1730">
              <w:rPr>
                <w:rFonts w:eastAsia="Times New Roman"/>
                <w:color w:val="000000"/>
                <w:szCs w:val="22"/>
                <w:lang w:val="en-US"/>
              </w:rPr>
              <w:t>Estab</w:t>
            </w:r>
            <w:proofErr w:type="spellEnd"/>
            <w:r w:rsidRPr="001E1730">
              <w:rPr>
                <w:rFonts w:eastAsia="Times New Roman"/>
                <w:color w:val="000000"/>
                <w:szCs w:val="22"/>
                <w:lang w:val="en-US"/>
              </w:rPr>
              <w:t>. Industrial</w:t>
            </w:r>
          </w:p>
        </w:tc>
        <w:tc>
          <w:tcPr>
            <w:tcW w:w="156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1</w:t>
            </w:r>
          </w:p>
        </w:tc>
        <w:tc>
          <w:tcPr>
            <w:tcW w:w="1100" w:type="dxa"/>
            <w:tcBorders>
              <w:top w:val="nil"/>
              <w:left w:val="nil"/>
              <w:bottom w:val="nil"/>
              <w:right w:val="nil"/>
            </w:tcBorders>
            <w:shd w:val="clear" w:color="auto" w:fill="auto"/>
            <w:noWrap/>
            <w:vAlign w:val="bottom"/>
          </w:tcPr>
          <w:p w:rsidR="001E1730" w:rsidRPr="001E1730" w:rsidRDefault="001E1730" w:rsidP="001E1730">
            <w:pPr>
              <w:jc w:val="right"/>
              <w:rPr>
                <w:rFonts w:eastAsia="Times New Roman"/>
                <w:color w:val="000000"/>
                <w:szCs w:val="22"/>
                <w:lang w:val="en-US"/>
              </w:rPr>
            </w:pPr>
            <w:r w:rsidRPr="001E1730">
              <w:rPr>
                <w:rFonts w:eastAsia="Times New Roman"/>
                <w:color w:val="000000"/>
                <w:szCs w:val="22"/>
                <w:lang w:val="en-US"/>
              </w:rPr>
              <w:t>0.0%</w:t>
            </w:r>
          </w:p>
        </w:tc>
      </w:tr>
      <w:tr w:rsidR="001E1730" w:rsidRPr="001E1730" w:rsidTr="001E1730">
        <w:trPr>
          <w:trHeight w:val="315"/>
          <w:jc w:val="center"/>
        </w:trPr>
        <w:tc>
          <w:tcPr>
            <w:tcW w:w="31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5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10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jc w:val="center"/>
        </w:trPr>
        <w:tc>
          <w:tcPr>
            <w:tcW w:w="3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5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10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Pr="001E1730" w:rsidRDefault="001E1730" w:rsidP="001E1730">
      <w:pPr>
        <w:contextualSpacing/>
        <w:rPr>
          <w:rFonts w:eastAsia="MS Mincho"/>
          <w:szCs w:val="22"/>
          <w:lang w:val="en-US" w:eastAsia="en-US"/>
        </w:rPr>
      </w:pPr>
    </w:p>
    <w:p w:rsidR="001E1730" w:rsidRPr="001E1730" w:rsidRDefault="001E1730" w:rsidP="001E1730">
      <w:pPr>
        <w:contextualSpacing/>
        <w:rPr>
          <w:rFonts w:eastAsia="MS Mincho"/>
          <w:szCs w:val="22"/>
          <w:lang w:val="en-US" w:eastAsia="en-US"/>
        </w:rPr>
      </w:pPr>
      <w:r w:rsidRPr="001E1730">
        <w:rPr>
          <w:rFonts w:eastAsia="MS Mincho"/>
          <w:szCs w:val="22"/>
          <w:lang w:val="en-US" w:eastAsia="en-US"/>
        </w:rPr>
        <w:br w:type="page"/>
      </w:r>
    </w:p>
    <w:tbl>
      <w:tblPr>
        <w:tblW w:w="4640" w:type="dxa"/>
        <w:jc w:val="center"/>
        <w:tblInd w:w="93" w:type="dxa"/>
        <w:tblLook w:val="04A0" w:firstRow="1" w:lastRow="0" w:firstColumn="1" w:lastColumn="0" w:noHBand="0" w:noVBand="1"/>
      </w:tblPr>
      <w:tblGrid>
        <w:gridCol w:w="1840"/>
        <w:gridCol w:w="1620"/>
        <w:gridCol w:w="1180"/>
      </w:tblGrid>
      <w:tr w:rsidR="001E1730" w:rsidRPr="001E1730" w:rsidTr="001E1730">
        <w:trPr>
          <w:trHeight w:val="315"/>
          <w:jc w:val="center"/>
        </w:trPr>
        <w:tc>
          <w:tcPr>
            <w:tcW w:w="18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16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1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jc w:val="center"/>
        </w:trPr>
        <w:tc>
          <w:tcPr>
            <w:tcW w:w="4640" w:type="dxa"/>
            <w:gridSpan w:val="3"/>
            <w:tcBorders>
              <w:top w:val="single" w:sz="8" w:space="0" w:color="auto"/>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A14:  Trademark legal status</w:t>
            </w:r>
          </w:p>
        </w:tc>
      </w:tr>
      <w:tr w:rsidR="001E1730" w:rsidRPr="001E1730" w:rsidTr="001E1730">
        <w:trPr>
          <w:trHeight w:val="300"/>
          <w:jc w:val="center"/>
        </w:trPr>
        <w:tc>
          <w:tcPr>
            <w:tcW w:w="1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Legal status</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Applications</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Total</w:t>
            </w:r>
          </w:p>
        </w:tc>
      </w:tr>
      <w:tr w:rsidR="001E1730" w:rsidRPr="001E1730" w:rsidTr="001E1730">
        <w:trPr>
          <w:trHeight w:val="300"/>
          <w:jc w:val="center"/>
        </w:trPr>
        <w:tc>
          <w:tcPr>
            <w:tcW w:w="184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62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18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jc w:val="center"/>
        </w:trPr>
        <w:tc>
          <w:tcPr>
            <w:tcW w:w="1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Abandoned</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26,179</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w:t>
            </w:r>
          </w:p>
        </w:tc>
      </w:tr>
      <w:tr w:rsidR="001E1730" w:rsidRPr="001E1730" w:rsidTr="001E1730">
        <w:trPr>
          <w:trHeight w:val="300"/>
          <w:jc w:val="center"/>
        </w:trPr>
        <w:tc>
          <w:tcPr>
            <w:tcW w:w="1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w:t>
            </w:r>
            <w:proofErr w:type="spellStart"/>
            <w:r w:rsidRPr="001E1730">
              <w:rPr>
                <w:rFonts w:eastAsia="Times New Roman"/>
                <w:color w:val="000000"/>
                <w:szCs w:val="22"/>
                <w:lang w:val="en-US"/>
              </w:rPr>
              <w:t>Desistida</w:t>
            </w:r>
            <w:proofErr w:type="spellEnd"/>
            <w:r w:rsidRPr="001E1730">
              <w:rPr>
                <w:rFonts w:eastAsia="Times New Roman"/>
                <w:color w:val="000000"/>
                <w:szCs w:val="22"/>
                <w:lang w:val="en-US"/>
              </w:rPr>
              <w:t>"</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1,742</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0.2%</w:t>
            </w:r>
          </w:p>
        </w:tc>
      </w:tr>
      <w:tr w:rsidR="001E1730" w:rsidRPr="001E1730" w:rsidTr="001E1730">
        <w:trPr>
          <w:trHeight w:val="300"/>
          <w:jc w:val="center"/>
        </w:trPr>
        <w:tc>
          <w:tcPr>
            <w:tcW w:w="1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Lapsed</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3,038</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0.4%</w:t>
            </w:r>
          </w:p>
        </w:tc>
      </w:tr>
      <w:tr w:rsidR="001E1730" w:rsidRPr="001E1730" w:rsidTr="001E1730">
        <w:trPr>
          <w:trHeight w:val="300"/>
          <w:jc w:val="center"/>
        </w:trPr>
        <w:tc>
          <w:tcPr>
            <w:tcW w:w="1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Rejected</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147,422</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18.9%</w:t>
            </w:r>
          </w:p>
        </w:tc>
      </w:tr>
      <w:tr w:rsidR="001E1730" w:rsidRPr="001E1730" w:rsidTr="001E1730">
        <w:trPr>
          <w:trHeight w:val="300"/>
          <w:jc w:val="center"/>
        </w:trPr>
        <w:tc>
          <w:tcPr>
            <w:tcW w:w="1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Expired</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115,935</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14.9%</w:t>
            </w:r>
          </w:p>
        </w:tc>
      </w:tr>
      <w:tr w:rsidR="001E1730" w:rsidRPr="001E1730" w:rsidTr="001E1730">
        <w:trPr>
          <w:trHeight w:val="300"/>
          <w:jc w:val="center"/>
        </w:trPr>
        <w:tc>
          <w:tcPr>
            <w:tcW w:w="1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Registered</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71,627</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9.2%</w:t>
            </w:r>
          </w:p>
        </w:tc>
      </w:tr>
      <w:tr w:rsidR="001E1730" w:rsidRPr="001E1730" w:rsidTr="001E1730">
        <w:trPr>
          <w:trHeight w:val="300"/>
          <w:jc w:val="center"/>
        </w:trPr>
        <w:tc>
          <w:tcPr>
            <w:tcW w:w="1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In process</w:t>
            </w:r>
          </w:p>
        </w:tc>
        <w:tc>
          <w:tcPr>
            <w:tcW w:w="16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413,396</w:t>
            </w:r>
          </w:p>
        </w:tc>
        <w:tc>
          <w:tcPr>
            <w:tcW w:w="11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53.0%</w:t>
            </w:r>
          </w:p>
        </w:tc>
      </w:tr>
      <w:tr w:rsidR="001E1730" w:rsidRPr="001E1730" w:rsidTr="001E1730">
        <w:trPr>
          <w:trHeight w:val="315"/>
          <w:jc w:val="center"/>
        </w:trPr>
        <w:tc>
          <w:tcPr>
            <w:tcW w:w="18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6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1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jc w:val="center"/>
        </w:trPr>
        <w:tc>
          <w:tcPr>
            <w:tcW w:w="1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6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1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Pr="001E1730" w:rsidRDefault="001E1730" w:rsidP="001E1730">
      <w:pPr>
        <w:contextualSpacing/>
        <w:rPr>
          <w:rFonts w:eastAsia="MS Mincho"/>
          <w:szCs w:val="22"/>
          <w:lang w:val="en-US" w:eastAsia="en-US"/>
        </w:rPr>
      </w:pPr>
    </w:p>
    <w:tbl>
      <w:tblPr>
        <w:tblW w:w="4660" w:type="dxa"/>
        <w:jc w:val="center"/>
        <w:tblInd w:w="93" w:type="dxa"/>
        <w:tblLook w:val="04A0" w:firstRow="1" w:lastRow="0" w:firstColumn="1" w:lastColumn="0" w:noHBand="0" w:noVBand="1"/>
      </w:tblPr>
      <w:tblGrid>
        <w:gridCol w:w="2120"/>
        <w:gridCol w:w="1480"/>
        <w:gridCol w:w="1060"/>
      </w:tblGrid>
      <w:tr w:rsidR="001E1730" w:rsidRPr="001E1730" w:rsidTr="001E1730">
        <w:trPr>
          <w:trHeight w:val="315"/>
          <w:jc w:val="center"/>
        </w:trPr>
        <w:tc>
          <w:tcPr>
            <w:tcW w:w="21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4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0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jc w:val="center"/>
        </w:trPr>
        <w:tc>
          <w:tcPr>
            <w:tcW w:w="4660" w:type="dxa"/>
            <w:gridSpan w:val="3"/>
            <w:tcBorders>
              <w:top w:val="single" w:sz="8" w:space="0" w:color="auto"/>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A15:  IP types</w:t>
            </w:r>
          </w:p>
        </w:tc>
      </w:tr>
      <w:tr w:rsidR="001E1730" w:rsidRPr="001E1730" w:rsidTr="001E1730">
        <w:trPr>
          <w:trHeight w:val="300"/>
          <w:jc w:val="center"/>
        </w:trPr>
        <w:tc>
          <w:tcPr>
            <w:tcW w:w="212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Type</w:t>
            </w:r>
          </w:p>
        </w:tc>
        <w:tc>
          <w:tcPr>
            <w:tcW w:w="148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Applications</w:t>
            </w:r>
          </w:p>
        </w:tc>
        <w:tc>
          <w:tcPr>
            <w:tcW w:w="106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Total</w:t>
            </w:r>
          </w:p>
        </w:tc>
      </w:tr>
      <w:tr w:rsidR="001E1730" w:rsidRPr="001E1730" w:rsidTr="001E1730">
        <w:trPr>
          <w:trHeight w:val="300"/>
          <w:jc w:val="center"/>
        </w:trPr>
        <w:tc>
          <w:tcPr>
            <w:tcW w:w="2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4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0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r w:rsidR="001E1730" w:rsidRPr="001E1730" w:rsidTr="001E1730">
        <w:trPr>
          <w:trHeight w:val="300"/>
          <w:jc w:val="center"/>
        </w:trPr>
        <w:tc>
          <w:tcPr>
            <w:tcW w:w="2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Patent</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42,455</w:t>
            </w:r>
          </w:p>
        </w:tc>
        <w:tc>
          <w:tcPr>
            <w:tcW w:w="10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85.8%</w:t>
            </w:r>
          </w:p>
        </w:tc>
      </w:tr>
      <w:tr w:rsidR="001E1730" w:rsidRPr="001E1730" w:rsidTr="001E1730">
        <w:trPr>
          <w:trHeight w:val="300"/>
          <w:jc w:val="center"/>
        </w:trPr>
        <w:tc>
          <w:tcPr>
            <w:tcW w:w="2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Utility model</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1,052</w:t>
            </w:r>
          </w:p>
        </w:tc>
        <w:tc>
          <w:tcPr>
            <w:tcW w:w="10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w:t>
            </w:r>
          </w:p>
        </w:tc>
      </w:tr>
      <w:tr w:rsidR="001E1730" w:rsidRPr="001E1730" w:rsidTr="001E1730">
        <w:trPr>
          <w:trHeight w:val="300"/>
          <w:jc w:val="center"/>
        </w:trPr>
        <w:tc>
          <w:tcPr>
            <w:tcW w:w="2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Industrial design</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5,862</w:t>
            </w:r>
          </w:p>
        </w:tc>
        <w:tc>
          <w:tcPr>
            <w:tcW w:w="10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11.9%</w:t>
            </w:r>
          </w:p>
        </w:tc>
      </w:tr>
      <w:tr w:rsidR="001E1730" w:rsidRPr="001E1730" w:rsidTr="001E1730">
        <w:trPr>
          <w:trHeight w:val="300"/>
          <w:jc w:val="center"/>
        </w:trPr>
        <w:tc>
          <w:tcPr>
            <w:tcW w:w="2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w:t>
            </w:r>
            <w:proofErr w:type="spellStart"/>
            <w:r w:rsidRPr="001E1730">
              <w:rPr>
                <w:rFonts w:eastAsia="Times New Roman"/>
                <w:color w:val="000000"/>
                <w:szCs w:val="22"/>
                <w:lang w:val="en-US"/>
              </w:rPr>
              <w:t>Precausional</w:t>
            </w:r>
            <w:proofErr w:type="spellEnd"/>
            <w:r w:rsidRPr="001E1730">
              <w:rPr>
                <w:rFonts w:eastAsia="Times New Roman"/>
                <w:color w:val="000000"/>
                <w:szCs w:val="22"/>
                <w:lang w:val="en-US"/>
              </w:rPr>
              <w:t>” patent</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63</w:t>
            </w:r>
          </w:p>
        </w:tc>
        <w:tc>
          <w:tcPr>
            <w:tcW w:w="10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0.1%</w:t>
            </w:r>
          </w:p>
        </w:tc>
      </w:tr>
      <w:tr w:rsidR="001E1730" w:rsidRPr="001E1730" w:rsidTr="001E1730">
        <w:trPr>
          <w:trHeight w:val="300"/>
          <w:jc w:val="center"/>
        </w:trPr>
        <w:tc>
          <w:tcPr>
            <w:tcW w:w="2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Industrial drawing</w:t>
            </w:r>
          </w:p>
        </w:tc>
        <w:tc>
          <w:tcPr>
            <w:tcW w:w="14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w:t>
            </w:r>
          </w:p>
        </w:tc>
        <w:tc>
          <w:tcPr>
            <w:tcW w:w="10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0.1%</w:t>
            </w:r>
          </w:p>
        </w:tc>
      </w:tr>
      <w:tr w:rsidR="001E1730" w:rsidRPr="001E1730" w:rsidTr="001E1730">
        <w:trPr>
          <w:trHeight w:val="315"/>
          <w:jc w:val="center"/>
        </w:trPr>
        <w:tc>
          <w:tcPr>
            <w:tcW w:w="21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4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0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jc w:val="center"/>
        </w:trPr>
        <w:tc>
          <w:tcPr>
            <w:tcW w:w="21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4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0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Pr="001E1730" w:rsidRDefault="001E1730" w:rsidP="001E1730">
      <w:pPr>
        <w:contextualSpacing/>
        <w:rPr>
          <w:rFonts w:eastAsia="MS Mincho"/>
          <w:szCs w:val="22"/>
          <w:lang w:val="en-US" w:eastAsia="en-US"/>
        </w:rPr>
      </w:pPr>
    </w:p>
    <w:p w:rsidR="001E1730" w:rsidRPr="001E1730" w:rsidRDefault="001E1730" w:rsidP="001E1730">
      <w:pPr>
        <w:contextualSpacing/>
        <w:rPr>
          <w:rFonts w:eastAsia="MS Mincho"/>
          <w:szCs w:val="22"/>
          <w:lang w:val="en-US" w:eastAsia="en-US"/>
        </w:rPr>
      </w:pPr>
    </w:p>
    <w:p w:rsidR="001E1730" w:rsidRPr="001E1730" w:rsidRDefault="001E1730" w:rsidP="001E1730">
      <w:pPr>
        <w:rPr>
          <w:lang w:val="en-US"/>
        </w:rPr>
      </w:pPr>
      <w:r w:rsidRPr="001E1730">
        <w:rPr>
          <w:lang w:val="en-US"/>
        </w:rPr>
        <w:br w:type="page"/>
      </w:r>
    </w:p>
    <w:tbl>
      <w:tblPr>
        <w:tblW w:w="8630" w:type="dxa"/>
        <w:jc w:val="center"/>
        <w:tblInd w:w="93" w:type="dxa"/>
        <w:tblLook w:val="04A0" w:firstRow="1" w:lastRow="0" w:firstColumn="1" w:lastColumn="0" w:noHBand="0" w:noVBand="1"/>
      </w:tblPr>
      <w:tblGrid>
        <w:gridCol w:w="2840"/>
        <w:gridCol w:w="1050"/>
        <w:gridCol w:w="3780"/>
        <w:gridCol w:w="960"/>
      </w:tblGrid>
      <w:tr w:rsidR="001E1730" w:rsidRPr="001E1730" w:rsidTr="001E1730">
        <w:trPr>
          <w:trHeight w:val="315"/>
          <w:jc w:val="center"/>
        </w:trPr>
        <w:tc>
          <w:tcPr>
            <w:tcW w:w="28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105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37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jc w:val="center"/>
        </w:trPr>
        <w:tc>
          <w:tcPr>
            <w:tcW w:w="8630" w:type="dxa"/>
            <w:gridSpan w:val="4"/>
            <w:tcBorders>
              <w:top w:val="nil"/>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A16:  Patent &amp; utility model IPC -- technology mapping</w:t>
            </w:r>
          </w:p>
        </w:tc>
      </w:tr>
      <w:tr w:rsidR="001E1730" w:rsidRPr="001E1730" w:rsidTr="001E1730">
        <w:trPr>
          <w:trHeight w:val="300"/>
          <w:jc w:val="center"/>
        </w:trPr>
        <w:tc>
          <w:tcPr>
            <w:tcW w:w="284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Technology</w:t>
            </w:r>
          </w:p>
        </w:tc>
        <w:tc>
          <w:tcPr>
            <w:tcW w:w="105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Total</w:t>
            </w:r>
          </w:p>
        </w:tc>
        <w:tc>
          <w:tcPr>
            <w:tcW w:w="378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Disaggregated technology</w:t>
            </w:r>
          </w:p>
        </w:tc>
        <w:tc>
          <w:tcPr>
            <w:tcW w:w="9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Total</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Electrical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6.2%</w:t>
            </w: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Electrical machinery, energy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Electrical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Audio-visual technology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0.9%</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Electrical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Telecommunications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1.8%</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Electrical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Digital communication</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0.8%</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Electrical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Basic communication processes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0.2%</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Electrical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Computer technology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Electrical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IT methods for management</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0.1%</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Electrical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Semiconductors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0.1%</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Instruments</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6.4%</w:t>
            </w: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Optics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0.3%</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Instruments</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Measurement</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Instruments</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Analysis of bio materials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0.6%</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Instruments</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Control apparatus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0.8%</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Instruments</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Medical technology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3.5%</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66.0%</w:t>
            </w: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Organic fine chemistry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17.6%</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Biotechnology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4.1%</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Pharmaceuticals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21.3%</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Macromolecular </w:t>
            </w:r>
            <w:proofErr w:type="spellStart"/>
            <w:r w:rsidRPr="001E1730">
              <w:rPr>
                <w:rFonts w:eastAsia="Times New Roman"/>
                <w:color w:val="000000"/>
                <w:szCs w:val="22"/>
                <w:lang w:val="en-US"/>
              </w:rPr>
              <w:t>ch</w:t>
            </w:r>
            <w:proofErr w:type="spellEnd"/>
            <w:r w:rsidRPr="001E1730">
              <w:rPr>
                <w:rFonts w:eastAsia="Times New Roman"/>
                <w:color w:val="000000"/>
                <w:szCs w:val="22"/>
                <w:lang w:val="en-US"/>
              </w:rPr>
              <w:t xml:space="preserve"> poly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Food chemistry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3.8%</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Basic materials chemistry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7.6%</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Materials metallurgy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3.0%</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Surface tech coating</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1.9%</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Micro-structure and </w:t>
            </w:r>
            <w:proofErr w:type="spellStart"/>
            <w:r w:rsidRPr="001E1730">
              <w:rPr>
                <w:rFonts w:eastAsia="Times New Roman"/>
                <w:color w:val="000000"/>
                <w:szCs w:val="22"/>
                <w:lang w:val="en-US"/>
              </w:rPr>
              <w:t>nano</w:t>
            </w:r>
            <w:proofErr w:type="spellEnd"/>
            <w:r w:rsidRPr="001E1730">
              <w:rPr>
                <w:rFonts w:eastAsia="Times New Roman"/>
                <w:color w:val="000000"/>
                <w:szCs w:val="22"/>
                <w:lang w:val="en-US"/>
              </w:rPr>
              <w:t>-technology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0.2%</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Chemical engineering</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3.6%</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Chemistry</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Environmental technology</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Mechanical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15.0%</w:t>
            </w: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Handling</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4.2%</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Mechanical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Machine tools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Mechanical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Engines, pumps, turbines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0.8%</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Mechanical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Textile and paper</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Mechanical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Other spec machines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3.5%</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Mechanical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Therm</w:t>
            </w:r>
            <w:proofErr w:type="spellEnd"/>
            <w:r w:rsidRPr="001E1730">
              <w:rPr>
                <w:rFonts w:eastAsia="Times New Roman"/>
                <w:color w:val="000000"/>
                <w:szCs w:val="22"/>
                <w:lang w:val="en-US"/>
              </w:rPr>
              <w:t xml:space="preserve"> process and apparatus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0.9%</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Mechanical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Mechanical elements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Mechanical engineering</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Transport</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0.9%</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Other</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6.4%</w:t>
            </w: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roofErr w:type="spellStart"/>
            <w:r w:rsidRPr="001E1730">
              <w:rPr>
                <w:rFonts w:eastAsia="Times New Roman"/>
                <w:color w:val="000000"/>
                <w:szCs w:val="22"/>
                <w:lang w:val="en-US"/>
              </w:rPr>
              <w:t>Furniture,games</w:t>
            </w:r>
            <w:proofErr w:type="spellEnd"/>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1.4%</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Other</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Other cons goods</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w:t>
            </w:r>
          </w:p>
        </w:tc>
      </w:tr>
      <w:tr w:rsidR="001E1730" w:rsidRPr="001E1730" w:rsidTr="001E1730">
        <w:trPr>
          <w:trHeight w:val="300"/>
          <w:jc w:val="center"/>
        </w:trPr>
        <w:tc>
          <w:tcPr>
            <w:tcW w:w="284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Other</w:t>
            </w:r>
          </w:p>
        </w:tc>
        <w:tc>
          <w:tcPr>
            <w:tcW w:w="105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37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Civil engineering</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2.6%</w:t>
            </w:r>
          </w:p>
        </w:tc>
      </w:tr>
      <w:tr w:rsidR="001E1730" w:rsidRPr="001E1730" w:rsidTr="001E1730">
        <w:trPr>
          <w:trHeight w:val="315"/>
          <w:jc w:val="center"/>
        </w:trPr>
        <w:tc>
          <w:tcPr>
            <w:tcW w:w="284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Other</w:t>
            </w:r>
          </w:p>
        </w:tc>
        <w:tc>
          <w:tcPr>
            <w:tcW w:w="105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 </w:t>
            </w:r>
          </w:p>
        </w:tc>
        <w:tc>
          <w:tcPr>
            <w:tcW w:w="37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Other</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0.7%</w:t>
            </w:r>
          </w:p>
        </w:tc>
      </w:tr>
      <w:tr w:rsidR="001E1730" w:rsidRPr="001E1730" w:rsidTr="001E1730">
        <w:trPr>
          <w:trHeight w:val="300"/>
          <w:jc w:val="center"/>
        </w:trPr>
        <w:tc>
          <w:tcPr>
            <w:tcW w:w="8630" w:type="dxa"/>
            <w:gridSpan w:val="4"/>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xml:space="preserve">Classification source: </w:t>
            </w:r>
            <w:proofErr w:type="spellStart"/>
            <w:r w:rsidRPr="001E1730">
              <w:rPr>
                <w:rFonts w:eastAsia="Times New Roman"/>
                <w:color w:val="000000"/>
                <w:szCs w:val="22"/>
                <w:lang w:val="en-US"/>
              </w:rPr>
              <w:t>Schmoch</w:t>
            </w:r>
            <w:proofErr w:type="spellEnd"/>
            <w:r w:rsidRPr="001E1730">
              <w:rPr>
                <w:rFonts w:eastAsia="Times New Roman"/>
                <w:color w:val="000000"/>
                <w:szCs w:val="22"/>
                <w:lang w:val="en-US"/>
              </w:rPr>
              <w:t xml:space="preserve"> (2008)</w:t>
            </w:r>
          </w:p>
        </w:tc>
      </w:tr>
    </w:tbl>
    <w:p w:rsidR="001E1730" w:rsidRPr="001E1730" w:rsidRDefault="001E1730" w:rsidP="001E1730">
      <w:pPr>
        <w:rPr>
          <w:rFonts w:eastAsia="Times New Roman"/>
          <w:color w:val="000000"/>
          <w:szCs w:val="22"/>
          <w:lang w:val="en-US"/>
        </w:rPr>
        <w:sectPr w:rsidR="001E1730" w:rsidRPr="001E1730" w:rsidSect="001E1730">
          <w:headerReference w:type="default" r:id="rId55"/>
          <w:footerReference w:type="default" r:id="rId56"/>
          <w:pgSz w:w="11900" w:h="16840"/>
          <w:pgMar w:top="1440" w:right="1440" w:bottom="1440" w:left="1440" w:header="708" w:footer="708" w:gutter="0"/>
          <w:cols w:space="708"/>
          <w:docGrid w:linePitch="360"/>
        </w:sectPr>
      </w:pPr>
    </w:p>
    <w:tbl>
      <w:tblPr>
        <w:tblW w:w="13276" w:type="dxa"/>
        <w:tblInd w:w="93" w:type="dxa"/>
        <w:tblLook w:val="04A0" w:firstRow="1" w:lastRow="0" w:firstColumn="1" w:lastColumn="0" w:noHBand="0" w:noVBand="1"/>
      </w:tblPr>
      <w:tblGrid>
        <w:gridCol w:w="2080"/>
        <w:gridCol w:w="2080"/>
        <w:gridCol w:w="1080"/>
        <w:gridCol w:w="1342"/>
        <w:gridCol w:w="1029"/>
        <w:gridCol w:w="1537"/>
        <w:gridCol w:w="1085"/>
        <w:gridCol w:w="1460"/>
        <w:gridCol w:w="1011"/>
        <w:gridCol w:w="963"/>
      </w:tblGrid>
      <w:tr w:rsidR="001E1730" w:rsidRPr="001E1730" w:rsidTr="001E1730">
        <w:trPr>
          <w:trHeight w:val="315"/>
        </w:trPr>
        <w:tc>
          <w:tcPr>
            <w:tcW w:w="20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lastRenderedPageBreak/>
              <w:t> </w:t>
            </w:r>
          </w:p>
        </w:tc>
        <w:tc>
          <w:tcPr>
            <w:tcW w:w="20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0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3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029"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308"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99"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4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FA7282" w:rsidTr="001E1730">
        <w:trPr>
          <w:trHeight w:val="300"/>
        </w:trPr>
        <w:tc>
          <w:tcPr>
            <w:tcW w:w="13276" w:type="dxa"/>
            <w:gridSpan w:val="10"/>
            <w:tcBorders>
              <w:top w:val="nil"/>
              <w:left w:val="nil"/>
              <w:bottom w:val="nil"/>
              <w:right w:val="nil"/>
            </w:tcBorders>
            <w:shd w:val="clear" w:color="auto" w:fill="auto"/>
            <w:noWrap/>
            <w:vAlign w:val="bottom"/>
          </w:tcPr>
          <w:p w:rsidR="001E1730" w:rsidRPr="001E1730" w:rsidRDefault="001E1730" w:rsidP="001E1730">
            <w:pPr>
              <w:rPr>
                <w:rFonts w:eastAsia="Times New Roman"/>
                <w:b/>
                <w:bCs/>
                <w:color w:val="000000"/>
                <w:szCs w:val="22"/>
                <w:lang w:val="en-US"/>
              </w:rPr>
            </w:pPr>
            <w:r w:rsidRPr="001E1730">
              <w:rPr>
                <w:rFonts w:eastAsia="Times New Roman"/>
                <w:b/>
                <w:bCs/>
                <w:color w:val="000000"/>
                <w:szCs w:val="22"/>
                <w:lang w:val="en-US"/>
              </w:rPr>
              <w:t>Table A17:  Patents legal status</w:t>
            </w:r>
          </w:p>
        </w:tc>
      </w:tr>
      <w:tr w:rsidR="001E1730" w:rsidRPr="001E1730" w:rsidTr="001E1730">
        <w:trPr>
          <w:trHeight w:val="300"/>
        </w:trPr>
        <w:tc>
          <w:tcPr>
            <w:tcW w:w="208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Legal status</w:t>
            </w:r>
          </w:p>
        </w:tc>
        <w:tc>
          <w:tcPr>
            <w:tcW w:w="2080" w:type="dxa"/>
            <w:tcBorders>
              <w:top w:val="nil"/>
              <w:left w:val="nil"/>
              <w:bottom w:val="single" w:sz="4"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08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In process</w:t>
            </w:r>
          </w:p>
        </w:tc>
        <w:tc>
          <w:tcPr>
            <w:tcW w:w="132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Abandoned</w:t>
            </w:r>
          </w:p>
        </w:tc>
        <w:tc>
          <w:tcPr>
            <w:tcW w:w="1029"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Lapsed</w:t>
            </w:r>
          </w:p>
        </w:tc>
        <w:tc>
          <w:tcPr>
            <w:tcW w:w="1308"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roofErr w:type="spellStart"/>
            <w:r w:rsidRPr="001E1730">
              <w:rPr>
                <w:rFonts w:eastAsia="Times New Roman"/>
                <w:color w:val="000000"/>
                <w:szCs w:val="22"/>
                <w:lang w:val="en-US"/>
              </w:rPr>
              <w:t>Incorporada</w:t>
            </w:r>
            <w:proofErr w:type="spellEnd"/>
            <w:r w:rsidRPr="001E1730">
              <w:rPr>
                <w:rFonts w:eastAsia="Times New Roman"/>
                <w:color w:val="000000"/>
                <w:szCs w:val="22"/>
                <w:lang w:val="en-US"/>
              </w:rPr>
              <w:t>”</w:t>
            </w:r>
          </w:p>
        </w:tc>
        <w:tc>
          <w:tcPr>
            <w:tcW w:w="999"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Rejected</w:t>
            </w:r>
          </w:p>
        </w:tc>
        <w:tc>
          <w:tcPr>
            <w:tcW w:w="14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Not presented</w:t>
            </w:r>
          </w:p>
        </w:tc>
        <w:tc>
          <w:tcPr>
            <w:tcW w:w="9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Granted</w:t>
            </w:r>
          </w:p>
        </w:tc>
        <w:tc>
          <w:tcPr>
            <w:tcW w:w="960" w:type="dxa"/>
            <w:tcBorders>
              <w:top w:val="nil"/>
              <w:left w:val="nil"/>
              <w:bottom w:val="single" w:sz="4" w:space="0" w:color="auto"/>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Total</w:t>
            </w:r>
          </w:p>
        </w:tc>
      </w:tr>
      <w:tr w:rsidR="001E1730" w:rsidRPr="001E1730" w:rsidTr="001E1730">
        <w:trPr>
          <w:trHeight w:val="300"/>
        </w:trPr>
        <w:tc>
          <w:tcPr>
            <w:tcW w:w="20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20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p>
        </w:tc>
      </w:tr>
      <w:tr w:rsidR="001E1730" w:rsidRPr="001E1730" w:rsidTr="001E1730">
        <w:trPr>
          <w:trHeight w:val="300"/>
        </w:trPr>
        <w:tc>
          <w:tcPr>
            <w:tcW w:w="2080" w:type="dxa"/>
            <w:vMerge w:val="restart"/>
            <w:tcBorders>
              <w:top w:val="nil"/>
              <w:left w:val="nil"/>
              <w:bottom w:val="nil"/>
              <w:right w:val="nil"/>
            </w:tcBorders>
            <w:shd w:val="clear" w:color="auto" w:fill="auto"/>
            <w:noWrap/>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Patent</w:t>
            </w:r>
          </w:p>
        </w:tc>
        <w:tc>
          <w:tcPr>
            <w:tcW w:w="2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Applications</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13230</w:t>
            </w: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12448</w:t>
            </w: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4750</w:t>
            </w: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80</w:t>
            </w: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2573</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9374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42455</w:t>
            </w:r>
          </w:p>
        </w:tc>
      </w:tr>
      <w:tr w:rsidR="001E1730" w:rsidRPr="001E1730" w:rsidTr="001E1730">
        <w:trPr>
          <w:trHeight w:val="300"/>
        </w:trPr>
        <w:tc>
          <w:tcPr>
            <w:tcW w:w="2080" w:type="dxa"/>
            <w:vMerge/>
            <w:tcBorders>
              <w:top w:val="nil"/>
              <w:left w:val="nil"/>
              <w:bottom w:val="nil"/>
              <w:right w:val="nil"/>
            </w:tcBorders>
            <w:vAlign w:val="center"/>
          </w:tcPr>
          <w:p w:rsidR="001E1730" w:rsidRPr="001E1730" w:rsidRDefault="001E1730" w:rsidP="001E1730">
            <w:pPr>
              <w:rPr>
                <w:rFonts w:eastAsia="Times New Roman"/>
                <w:color w:val="000000"/>
                <w:szCs w:val="22"/>
                <w:lang w:val="en-US"/>
              </w:rPr>
            </w:pPr>
          </w:p>
        </w:tc>
        <w:tc>
          <w:tcPr>
            <w:tcW w:w="2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Total</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31.2%</w:t>
            </w: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29.3%</w:t>
            </w: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11.2%</w:t>
            </w: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0.2%</w:t>
            </w: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6.1%</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w:t>
            </w:r>
          </w:p>
        </w:tc>
      </w:tr>
      <w:tr w:rsidR="001E1730" w:rsidRPr="001E1730" w:rsidTr="001E1730">
        <w:trPr>
          <w:trHeight w:val="300"/>
        </w:trPr>
        <w:tc>
          <w:tcPr>
            <w:tcW w:w="2080" w:type="dxa"/>
            <w:vMerge w:val="restart"/>
            <w:tcBorders>
              <w:top w:val="nil"/>
              <w:left w:val="nil"/>
              <w:bottom w:val="nil"/>
              <w:right w:val="nil"/>
            </w:tcBorders>
            <w:shd w:val="clear" w:color="auto" w:fill="auto"/>
            <w:noWrap/>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Utility model</w:t>
            </w:r>
          </w:p>
        </w:tc>
        <w:tc>
          <w:tcPr>
            <w:tcW w:w="2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Applications</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237</w:t>
            </w: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500</w:t>
            </w: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43</w:t>
            </w: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w:t>
            </w: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45</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225</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1052</w:t>
            </w:r>
          </w:p>
        </w:tc>
      </w:tr>
      <w:tr w:rsidR="001E1730" w:rsidRPr="001E1730" w:rsidTr="001E1730">
        <w:trPr>
          <w:trHeight w:val="300"/>
        </w:trPr>
        <w:tc>
          <w:tcPr>
            <w:tcW w:w="2080" w:type="dxa"/>
            <w:vMerge/>
            <w:tcBorders>
              <w:top w:val="nil"/>
              <w:left w:val="nil"/>
              <w:bottom w:val="nil"/>
              <w:right w:val="nil"/>
            </w:tcBorders>
            <w:vAlign w:val="center"/>
          </w:tcPr>
          <w:p w:rsidR="001E1730" w:rsidRPr="001E1730" w:rsidRDefault="001E1730" w:rsidP="001E1730">
            <w:pPr>
              <w:rPr>
                <w:rFonts w:eastAsia="Times New Roman"/>
                <w:color w:val="000000"/>
                <w:szCs w:val="22"/>
                <w:lang w:val="en-US"/>
              </w:rPr>
            </w:pPr>
          </w:p>
        </w:tc>
        <w:tc>
          <w:tcPr>
            <w:tcW w:w="2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Total</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22.5%</w:t>
            </w: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47.5%</w:t>
            </w: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4.1%</w:t>
            </w: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0.2%</w:t>
            </w: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4.3%</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21.4%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w:t>
            </w:r>
          </w:p>
        </w:tc>
      </w:tr>
      <w:tr w:rsidR="001E1730" w:rsidRPr="001E1730" w:rsidTr="001E1730">
        <w:trPr>
          <w:trHeight w:val="300"/>
        </w:trPr>
        <w:tc>
          <w:tcPr>
            <w:tcW w:w="2080" w:type="dxa"/>
            <w:vMerge w:val="restart"/>
            <w:tcBorders>
              <w:top w:val="nil"/>
              <w:left w:val="nil"/>
              <w:bottom w:val="nil"/>
              <w:right w:val="nil"/>
            </w:tcBorders>
            <w:shd w:val="clear" w:color="auto" w:fill="auto"/>
            <w:noWrap/>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Industrial design</w:t>
            </w:r>
          </w:p>
        </w:tc>
        <w:tc>
          <w:tcPr>
            <w:tcW w:w="2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Applications</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904</w:t>
            </w: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w:t>
            </w: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172</w:t>
            </w: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w:t>
            </w: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95</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3684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5862</w:t>
            </w:r>
          </w:p>
        </w:tc>
      </w:tr>
      <w:tr w:rsidR="001E1730" w:rsidRPr="001E1730" w:rsidTr="001E1730">
        <w:trPr>
          <w:trHeight w:val="300"/>
        </w:trPr>
        <w:tc>
          <w:tcPr>
            <w:tcW w:w="2080" w:type="dxa"/>
            <w:vMerge/>
            <w:tcBorders>
              <w:top w:val="nil"/>
              <w:left w:val="nil"/>
              <w:bottom w:val="nil"/>
              <w:right w:val="nil"/>
            </w:tcBorders>
            <w:vAlign w:val="center"/>
          </w:tcPr>
          <w:p w:rsidR="001E1730" w:rsidRPr="001E1730" w:rsidRDefault="001E1730" w:rsidP="001E1730">
            <w:pPr>
              <w:rPr>
                <w:rFonts w:eastAsia="Times New Roman"/>
                <w:color w:val="000000"/>
                <w:szCs w:val="22"/>
                <w:lang w:val="en-US"/>
              </w:rPr>
            </w:pPr>
          </w:p>
        </w:tc>
        <w:tc>
          <w:tcPr>
            <w:tcW w:w="2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Total</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15.4%</w:t>
            </w: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17.1%</w:t>
            </w: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w:t>
            </w: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0.1%</w:t>
            </w: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1.6%</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62.8%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w:t>
            </w:r>
          </w:p>
        </w:tc>
      </w:tr>
      <w:tr w:rsidR="001E1730" w:rsidRPr="001E1730" w:rsidTr="001E1730">
        <w:trPr>
          <w:trHeight w:val="300"/>
        </w:trPr>
        <w:tc>
          <w:tcPr>
            <w:tcW w:w="2080" w:type="dxa"/>
            <w:vMerge w:val="restart"/>
            <w:tcBorders>
              <w:top w:val="nil"/>
              <w:left w:val="nil"/>
              <w:bottom w:val="nil"/>
              <w:right w:val="nil"/>
            </w:tcBorders>
            <w:shd w:val="clear" w:color="auto" w:fill="auto"/>
            <w:noWrap/>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w:t>
            </w:r>
            <w:proofErr w:type="spellStart"/>
            <w:r w:rsidRPr="001E1730">
              <w:rPr>
                <w:rFonts w:eastAsia="Times New Roman"/>
                <w:color w:val="000000"/>
                <w:szCs w:val="22"/>
                <w:lang w:val="en-US"/>
              </w:rPr>
              <w:t>Precausional</w:t>
            </w:r>
            <w:proofErr w:type="spellEnd"/>
            <w:r w:rsidRPr="001E1730">
              <w:rPr>
                <w:rFonts w:eastAsia="Times New Roman"/>
                <w:color w:val="000000"/>
                <w:szCs w:val="22"/>
                <w:lang w:val="en-US"/>
              </w:rPr>
              <w:t>” patent</w:t>
            </w:r>
          </w:p>
        </w:tc>
        <w:tc>
          <w:tcPr>
            <w:tcW w:w="2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Applications</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63</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63</w:t>
            </w:r>
          </w:p>
        </w:tc>
      </w:tr>
      <w:tr w:rsidR="001E1730" w:rsidRPr="001E1730" w:rsidTr="001E1730">
        <w:trPr>
          <w:trHeight w:val="300"/>
        </w:trPr>
        <w:tc>
          <w:tcPr>
            <w:tcW w:w="2080" w:type="dxa"/>
            <w:vMerge/>
            <w:tcBorders>
              <w:top w:val="nil"/>
              <w:left w:val="nil"/>
              <w:bottom w:val="nil"/>
              <w:right w:val="nil"/>
            </w:tcBorders>
            <w:vAlign w:val="center"/>
          </w:tcPr>
          <w:p w:rsidR="001E1730" w:rsidRPr="001E1730" w:rsidRDefault="001E1730" w:rsidP="001E1730">
            <w:pPr>
              <w:rPr>
                <w:rFonts w:eastAsia="Times New Roman"/>
                <w:color w:val="000000"/>
                <w:szCs w:val="22"/>
                <w:lang w:val="en-US"/>
              </w:rPr>
            </w:pPr>
          </w:p>
        </w:tc>
        <w:tc>
          <w:tcPr>
            <w:tcW w:w="2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Total</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w:t>
            </w:r>
          </w:p>
        </w:tc>
      </w:tr>
      <w:tr w:rsidR="001E1730" w:rsidRPr="001E1730" w:rsidTr="001E1730">
        <w:trPr>
          <w:trHeight w:val="300"/>
        </w:trPr>
        <w:tc>
          <w:tcPr>
            <w:tcW w:w="2080" w:type="dxa"/>
            <w:vMerge w:val="restart"/>
            <w:tcBorders>
              <w:top w:val="nil"/>
              <w:left w:val="nil"/>
              <w:bottom w:val="nil"/>
              <w:right w:val="nil"/>
            </w:tcBorders>
            <w:shd w:val="clear" w:color="auto" w:fill="auto"/>
            <w:noWrap/>
            <w:vAlign w:val="center"/>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Industrial drawing</w:t>
            </w:r>
          </w:p>
        </w:tc>
        <w:tc>
          <w:tcPr>
            <w:tcW w:w="2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Applications</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27</w:t>
            </w: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4</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34</w:t>
            </w:r>
          </w:p>
        </w:tc>
      </w:tr>
      <w:tr w:rsidR="001E1730" w:rsidRPr="001E1730" w:rsidTr="001E1730">
        <w:trPr>
          <w:trHeight w:val="300"/>
        </w:trPr>
        <w:tc>
          <w:tcPr>
            <w:tcW w:w="2080" w:type="dxa"/>
            <w:vMerge/>
            <w:tcBorders>
              <w:top w:val="nil"/>
              <w:left w:val="nil"/>
              <w:bottom w:val="nil"/>
              <w:right w:val="nil"/>
            </w:tcBorders>
            <w:vAlign w:val="center"/>
          </w:tcPr>
          <w:p w:rsidR="001E1730" w:rsidRPr="001E1730" w:rsidRDefault="001E1730" w:rsidP="001E1730">
            <w:pPr>
              <w:rPr>
                <w:rFonts w:eastAsia="Times New Roman"/>
                <w:color w:val="000000"/>
                <w:szCs w:val="22"/>
                <w:lang w:val="en-US"/>
              </w:rPr>
            </w:pPr>
          </w:p>
        </w:tc>
        <w:tc>
          <w:tcPr>
            <w:tcW w:w="2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i/>
                <w:iCs/>
                <w:color w:val="000000"/>
                <w:szCs w:val="22"/>
                <w:lang w:val="en-US"/>
              </w:rPr>
            </w:pPr>
            <w:r w:rsidRPr="001E1730">
              <w:rPr>
                <w:rFonts w:eastAsia="Times New Roman"/>
                <w:i/>
                <w:iCs/>
                <w:color w:val="000000"/>
                <w:szCs w:val="22"/>
                <w:lang w:val="en-US"/>
              </w:rPr>
              <w:t>% Total</w:t>
            </w:r>
          </w:p>
        </w:tc>
        <w:tc>
          <w:tcPr>
            <w:tcW w:w="108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79.4%</w:t>
            </w:r>
          </w:p>
        </w:tc>
        <w:tc>
          <w:tcPr>
            <w:tcW w:w="132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w:t>
            </w:r>
          </w:p>
        </w:tc>
        <w:tc>
          <w:tcPr>
            <w:tcW w:w="102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w:t>
            </w:r>
          </w:p>
        </w:tc>
        <w:tc>
          <w:tcPr>
            <w:tcW w:w="1308"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999"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2.9%</w:t>
            </w:r>
          </w:p>
        </w:tc>
        <w:tc>
          <w:tcPr>
            <w:tcW w:w="14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0.0%</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11.8%</w:t>
            </w:r>
          </w:p>
        </w:tc>
        <w:tc>
          <w:tcPr>
            <w:tcW w:w="960" w:type="dxa"/>
            <w:tcBorders>
              <w:top w:val="nil"/>
              <w:left w:val="nil"/>
              <w:bottom w:val="nil"/>
              <w:right w:val="nil"/>
            </w:tcBorders>
            <w:shd w:val="clear" w:color="auto" w:fill="auto"/>
            <w:noWrap/>
            <w:vAlign w:val="bottom"/>
          </w:tcPr>
          <w:p w:rsidR="001E1730" w:rsidRPr="001E1730" w:rsidRDefault="001E1730" w:rsidP="001E1730">
            <w:pPr>
              <w:jc w:val="center"/>
              <w:rPr>
                <w:rFonts w:eastAsia="Times New Roman"/>
                <w:color w:val="000000"/>
                <w:szCs w:val="22"/>
                <w:lang w:val="en-US"/>
              </w:rPr>
            </w:pPr>
            <w:r w:rsidRPr="001E1730">
              <w:rPr>
                <w:rFonts w:eastAsia="Times New Roman"/>
                <w:color w:val="000000"/>
                <w:szCs w:val="22"/>
                <w:lang w:val="en-US"/>
              </w:rPr>
              <w:t>100.0%</w:t>
            </w:r>
          </w:p>
        </w:tc>
      </w:tr>
      <w:tr w:rsidR="001E1730" w:rsidRPr="001E1730" w:rsidTr="001E1730">
        <w:trPr>
          <w:trHeight w:val="315"/>
        </w:trPr>
        <w:tc>
          <w:tcPr>
            <w:tcW w:w="20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20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08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32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029"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308"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99"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14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c>
          <w:tcPr>
            <w:tcW w:w="960" w:type="dxa"/>
            <w:tcBorders>
              <w:top w:val="nil"/>
              <w:left w:val="nil"/>
              <w:bottom w:val="single" w:sz="8" w:space="0" w:color="auto"/>
              <w:right w:val="nil"/>
            </w:tcBorders>
            <w:shd w:val="clear" w:color="auto" w:fill="auto"/>
            <w:noWrap/>
            <w:vAlign w:val="bottom"/>
          </w:tcPr>
          <w:p w:rsidR="001E1730" w:rsidRPr="001E1730" w:rsidRDefault="001E1730" w:rsidP="001E1730">
            <w:pPr>
              <w:rPr>
                <w:rFonts w:eastAsia="Times New Roman"/>
                <w:color w:val="000000"/>
                <w:szCs w:val="22"/>
                <w:lang w:val="en-US"/>
              </w:rPr>
            </w:pPr>
            <w:r w:rsidRPr="001E1730">
              <w:rPr>
                <w:rFonts w:eastAsia="Times New Roman"/>
                <w:color w:val="000000"/>
                <w:szCs w:val="22"/>
                <w:lang w:val="en-US"/>
              </w:rPr>
              <w:t> </w:t>
            </w:r>
          </w:p>
        </w:tc>
      </w:tr>
      <w:tr w:rsidR="001E1730" w:rsidRPr="001E1730" w:rsidTr="001E1730">
        <w:trPr>
          <w:trHeight w:val="300"/>
        </w:trPr>
        <w:tc>
          <w:tcPr>
            <w:tcW w:w="20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20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08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32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029"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308"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99"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14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c>
          <w:tcPr>
            <w:tcW w:w="960" w:type="dxa"/>
            <w:tcBorders>
              <w:top w:val="nil"/>
              <w:left w:val="nil"/>
              <w:bottom w:val="nil"/>
              <w:right w:val="nil"/>
            </w:tcBorders>
            <w:shd w:val="clear" w:color="auto" w:fill="auto"/>
            <w:noWrap/>
            <w:vAlign w:val="bottom"/>
          </w:tcPr>
          <w:p w:rsidR="001E1730" w:rsidRPr="001E1730" w:rsidRDefault="001E1730" w:rsidP="001E1730">
            <w:pPr>
              <w:rPr>
                <w:rFonts w:eastAsia="Times New Roman"/>
                <w:color w:val="000000"/>
                <w:szCs w:val="22"/>
                <w:lang w:val="en-US"/>
              </w:rPr>
            </w:pPr>
          </w:p>
        </w:tc>
      </w:tr>
    </w:tbl>
    <w:p w:rsidR="001E1730" w:rsidRDefault="001E1730" w:rsidP="001E1730">
      <w:pPr>
        <w:contextualSpacing/>
        <w:rPr>
          <w:rFonts w:eastAsia="MS Mincho"/>
          <w:szCs w:val="22"/>
          <w:lang w:val="en-US" w:eastAsia="en-US"/>
        </w:rPr>
      </w:pPr>
      <w:r w:rsidRPr="001E1730">
        <w:rPr>
          <w:rFonts w:eastAsia="MS Mincho"/>
          <w:szCs w:val="22"/>
          <w:lang w:val="en-US" w:eastAsia="en-US"/>
        </w:rPr>
        <w:t xml:space="preserve"> </w:t>
      </w:r>
    </w:p>
    <w:p w:rsidR="001C7D37" w:rsidRDefault="001C7D37" w:rsidP="001E1730">
      <w:pPr>
        <w:contextualSpacing/>
        <w:rPr>
          <w:rFonts w:eastAsia="MS Mincho"/>
          <w:szCs w:val="22"/>
          <w:lang w:val="en-US" w:eastAsia="en-US"/>
        </w:rPr>
      </w:pPr>
    </w:p>
    <w:p w:rsidR="001C7D37" w:rsidRDefault="001C7D37" w:rsidP="001E1730">
      <w:pPr>
        <w:contextualSpacing/>
        <w:rPr>
          <w:rFonts w:eastAsia="MS Mincho"/>
          <w:szCs w:val="22"/>
          <w:lang w:val="en-US" w:eastAsia="en-US"/>
        </w:rPr>
      </w:pPr>
    </w:p>
    <w:p w:rsidR="001C7D37" w:rsidRPr="00924086" w:rsidRDefault="001C7D37" w:rsidP="001C7D37">
      <w:pPr>
        <w:pStyle w:val="Endofdocument-Annex"/>
        <w:jc w:val="center"/>
      </w:pPr>
      <w:r w:rsidRPr="00924086">
        <w:t>[End of Annex and of document]</w:t>
      </w:r>
    </w:p>
    <w:p w:rsidR="001C7D37" w:rsidRPr="00924086" w:rsidRDefault="001C7D37" w:rsidP="001C7D37">
      <w:pPr>
        <w:pStyle w:val="Endofdocument-Annex"/>
        <w:jc w:val="right"/>
      </w:pPr>
      <w:r w:rsidRPr="00924086">
        <w:rPr>
          <w:szCs w:val="22"/>
        </w:rPr>
        <w:t xml:space="preserve"> </w:t>
      </w:r>
    </w:p>
    <w:p w:rsidR="001C7D37" w:rsidRPr="001E1730" w:rsidRDefault="001C7D37" w:rsidP="001E1730">
      <w:pPr>
        <w:contextualSpacing/>
        <w:rPr>
          <w:rFonts w:eastAsia="MS Mincho"/>
          <w:szCs w:val="22"/>
          <w:lang w:val="en-US" w:eastAsia="en-US"/>
        </w:rPr>
      </w:pPr>
    </w:p>
    <w:p w:rsidR="001E1730" w:rsidRPr="001E1730" w:rsidRDefault="001E1730" w:rsidP="001E1730">
      <w:pPr>
        <w:jc w:val="right"/>
        <w:rPr>
          <w:i/>
          <w:lang w:val="en-US"/>
        </w:rPr>
      </w:pPr>
    </w:p>
    <w:p w:rsidR="001E1730" w:rsidRPr="001E1730" w:rsidRDefault="001E1730" w:rsidP="001E1730">
      <w:pPr>
        <w:jc w:val="right"/>
        <w:rPr>
          <w:i/>
          <w:lang w:val="en-US"/>
        </w:rPr>
      </w:pPr>
    </w:p>
    <w:p w:rsidR="001E1730" w:rsidRPr="001E1730" w:rsidRDefault="001E1730" w:rsidP="001E1730">
      <w:pPr>
        <w:jc w:val="right"/>
        <w:rPr>
          <w:i/>
          <w:lang w:val="en-US"/>
        </w:rPr>
      </w:pPr>
    </w:p>
    <w:p w:rsidR="00771997" w:rsidRPr="00085FB9" w:rsidRDefault="00771997" w:rsidP="00085FB9">
      <w:pPr>
        <w:rPr>
          <w:lang w:val="en-US"/>
        </w:rPr>
      </w:pPr>
    </w:p>
    <w:sectPr w:rsidR="00771997" w:rsidRPr="00085FB9" w:rsidSect="001C7D37">
      <w:headerReference w:type="default" r:id="rId57"/>
      <w:headerReference w:type="first" r:id="rId58"/>
      <w:footerReference w:type="first" r:id="rId59"/>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0F" w:rsidRDefault="0057360F">
      <w:r>
        <w:separator/>
      </w:r>
    </w:p>
  </w:endnote>
  <w:endnote w:type="continuationSeparator" w:id="0">
    <w:p w:rsidR="0057360F" w:rsidRPr="009D30E6" w:rsidRDefault="0057360F" w:rsidP="007E663E">
      <w:pPr>
        <w:rPr>
          <w:sz w:val="17"/>
          <w:szCs w:val="17"/>
        </w:rPr>
      </w:pPr>
      <w:r w:rsidRPr="009D30E6">
        <w:rPr>
          <w:sz w:val="17"/>
          <w:szCs w:val="17"/>
        </w:rPr>
        <w:separator/>
      </w:r>
    </w:p>
    <w:p w:rsidR="0057360F" w:rsidRPr="007E663E" w:rsidRDefault="0057360F" w:rsidP="007E663E">
      <w:pPr>
        <w:spacing w:after="60"/>
        <w:rPr>
          <w:sz w:val="17"/>
          <w:szCs w:val="17"/>
        </w:rPr>
      </w:pPr>
      <w:r>
        <w:rPr>
          <w:sz w:val="17"/>
        </w:rPr>
        <w:t>[Continuación de la nota de la página anterior]</w:t>
      </w:r>
    </w:p>
  </w:endnote>
  <w:endnote w:type="continuationNotice" w:id="1">
    <w:p w:rsidR="0057360F" w:rsidRPr="007E663E" w:rsidRDefault="0057360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rsidP="001E17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732">
      <w:rPr>
        <w:rStyle w:val="PageNumber"/>
        <w:noProof/>
      </w:rPr>
      <w:t>85</w:t>
    </w:r>
    <w:r>
      <w:rPr>
        <w:rStyle w:val="PageNumber"/>
      </w:rPr>
      <w:fldChar w:fldCharType="end"/>
    </w:r>
  </w:p>
  <w:p w:rsidR="0057360F" w:rsidRDefault="0057360F" w:rsidP="001E173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rsidP="001E1730">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rsidP="001E1730">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rsidP="001E1730">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0F" w:rsidRDefault="0057360F">
      <w:r>
        <w:separator/>
      </w:r>
    </w:p>
  </w:footnote>
  <w:footnote w:type="continuationSeparator" w:id="0">
    <w:p w:rsidR="0057360F" w:rsidRPr="009D30E6" w:rsidRDefault="0057360F" w:rsidP="007E663E">
      <w:pPr>
        <w:rPr>
          <w:sz w:val="17"/>
          <w:szCs w:val="17"/>
        </w:rPr>
      </w:pPr>
      <w:r w:rsidRPr="009D30E6">
        <w:rPr>
          <w:sz w:val="17"/>
          <w:szCs w:val="17"/>
        </w:rPr>
        <w:separator/>
      </w:r>
    </w:p>
    <w:p w:rsidR="0057360F" w:rsidRPr="007E663E" w:rsidRDefault="0057360F" w:rsidP="007E663E">
      <w:pPr>
        <w:spacing w:after="60"/>
        <w:rPr>
          <w:sz w:val="17"/>
          <w:szCs w:val="17"/>
        </w:rPr>
      </w:pPr>
      <w:r>
        <w:rPr>
          <w:sz w:val="17"/>
        </w:rPr>
        <w:t>[Continuación de la nota de la página anterior]</w:t>
      </w:r>
    </w:p>
  </w:footnote>
  <w:footnote w:type="continuationNotice" w:id="1">
    <w:p w:rsidR="0057360F" w:rsidRPr="007E663E" w:rsidRDefault="0057360F" w:rsidP="007E663E">
      <w:pPr>
        <w:spacing w:before="60"/>
        <w:jc w:val="right"/>
        <w:rPr>
          <w:sz w:val="17"/>
          <w:szCs w:val="17"/>
        </w:rPr>
      </w:pPr>
      <w:r w:rsidRPr="007E663E">
        <w:rPr>
          <w:sz w:val="17"/>
          <w:szCs w:val="17"/>
        </w:rPr>
        <w:t>[Sigue la nota en la página siguiente]</w:t>
      </w:r>
    </w:p>
  </w:footnote>
  <w:footnote w:id="2">
    <w:p w:rsidR="0057360F" w:rsidRPr="00490ED5" w:rsidRDefault="0057360F">
      <w:pPr>
        <w:pStyle w:val="FootnoteText"/>
      </w:pPr>
      <w:r>
        <w:rPr>
          <w:rStyle w:val="FootnoteReference"/>
        </w:rPr>
        <w:footnoteRef/>
      </w:r>
      <w:r>
        <w:t xml:space="preserve"> </w:t>
      </w:r>
      <w:r>
        <w:tab/>
      </w:r>
      <w:r w:rsidRPr="00490ED5">
        <w:t xml:space="preserve">El estudio se ha beneficiado de los comentarios recibidos de Carmen Paz Álvarez, Gustavo </w:t>
      </w:r>
      <w:proofErr w:type="spellStart"/>
      <w:r w:rsidRPr="00490ED5">
        <w:t>Crespi</w:t>
      </w:r>
      <w:proofErr w:type="spellEnd"/>
      <w:r w:rsidRPr="00490ED5">
        <w:t xml:space="preserve">, Aisén Etcheverry, Adán González, María Catalina Olivos, Maximiliano Santa Cruz, Nicolas Schubert, Luz Sosa y Pilar </w:t>
      </w:r>
      <w:proofErr w:type="spellStart"/>
      <w:r w:rsidRPr="00490ED5">
        <w:t>Trivelli</w:t>
      </w:r>
      <w:proofErr w:type="spellEnd"/>
      <w:r w:rsidRPr="00490ED5">
        <w:t>.</w:t>
      </w:r>
    </w:p>
  </w:footnote>
  <w:footnote w:id="3">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Para una revisión de la evidencia disponible ver </w:t>
      </w:r>
      <w:r>
        <w:rPr>
          <w:sz w:val="20"/>
        </w:rPr>
        <w:t>OMPI</w:t>
      </w:r>
      <w:r w:rsidRPr="00A347F9">
        <w:rPr>
          <w:sz w:val="20"/>
        </w:rPr>
        <w:t xml:space="preserve"> (2011a).</w:t>
      </w:r>
    </w:p>
  </w:footnote>
  <w:footnote w:id="4">
    <w:p w:rsidR="0057360F" w:rsidRPr="00A347F9" w:rsidRDefault="0057360F" w:rsidP="001A2943">
      <w:pPr>
        <w:pStyle w:val="FootnoteText"/>
        <w:spacing w:after="80"/>
        <w:rPr>
          <w:sz w:val="20"/>
        </w:rPr>
      </w:pPr>
      <w:r w:rsidRPr="00A347F9">
        <w:rPr>
          <w:rStyle w:val="FootnoteReference"/>
          <w:sz w:val="20"/>
        </w:rPr>
        <w:footnoteRef/>
      </w:r>
      <w:r>
        <w:rPr>
          <w:sz w:val="20"/>
        </w:rPr>
        <w:t xml:space="preserve"> </w:t>
      </w:r>
      <w:r>
        <w:rPr>
          <w:sz w:val="20"/>
        </w:rPr>
        <w:tab/>
        <w:t>En OMPI</w:t>
      </w:r>
      <w:r w:rsidRPr="00A347F9">
        <w:rPr>
          <w:sz w:val="20"/>
        </w:rPr>
        <w:t xml:space="preserve"> (2011b), por ejemplo, </w:t>
      </w:r>
      <w:r>
        <w:rPr>
          <w:sz w:val="20"/>
        </w:rPr>
        <w:t xml:space="preserve">se </w:t>
      </w:r>
      <w:r w:rsidRPr="00A347F9">
        <w:rPr>
          <w:sz w:val="20"/>
        </w:rPr>
        <w:t>muestra que l</w:t>
      </w:r>
      <w:r>
        <w:rPr>
          <w:sz w:val="20"/>
        </w:rPr>
        <w:t>as presentaciones</w:t>
      </w:r>
      <w:r w:rsidRPr="00A347F9">
        <w:rPr>
          <w:sz w:val="20"/>
        </w:rPr>
        <w:t xml:space="preserve"> internacionales han contribuido de forma sustancial al crecimiento de las solicitudes de patentes a escala mundial. </w:t>
      </w:r>
    </w:p>
  </w:footnote>
  <w:footnote w:id="5">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El capítulo 2 de </w:t>
      </w:r>
      <w:r>
        <w:rPr>
          <w:sz w:val="20"/>
        </w:rPr>
        <w:t>OMPI</w:t>
      </w:r>
      <w:r w:rsidRPr="00A347F9">
        <w:rPr>
          <w:sz w:val="20"/>
        </w:rPr>
        <w:t xml:space="preserve"> (2011a) revisa algunos de los estudios más importantes en el campo de las patentes.</w:t>
      </w:r>
    </w:p>
  </w:footnote>
  <w:footnote w:id="6">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Ver https://sites.google.com/site/patentdataproject/Home y http://www.epo.org/searching/subscription/raw/product-14-24.html.</w:t>
      </w:r>
    </w:p>
  </w:footnote>
  <w:footnote w:id="7">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El sistema de patentes de </w:t>
      </w:r>
      <w:r>
        <w:rPr>
          <w:sz w:val="20"/>
        </w:rPr>
        <w:t xml:space="preserve">la República de </w:t>
      </w:r>
      <w:r w:rsidRPr="00A347F9">
        <w:rPr>
          <w:sz w:val="20"/>
        </w:rPr>
        <w:t xml:space="preserve">Corea también ha sido muy estudiado, pero este país ya ha alcanzado el status de altos ingresos en 1995. </w:t>
      </w:r>
    </w:p>
  </w:footnote>
  <w:footnote w:id="8">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Ver </w:t>
      </w:r>
      <w:r>
        <w:rPr>
          <w:sz w:val="20"/>
        </w:rPr>
        <w:t>OMPI</w:t>
      </w:r>
      <w:r w:rsidRPr="00A347F9">
        <w:rPr>
          <w:sz w:val="20"/>
        </w:rPr>
        <w:t xml:space="preserve"> (2012) para una revisión.</w:t>
      </w:r>
      <w:r>
        <w:rPr>
          <w:sz w:val="20"/>
        </w:rPr>
        <w:t xml:space="preserve"> </w:t>
      </w:r>
      <w:r w:rsidRPr="00A347F9">
        <w:rPr>
          <w:sz w:val="20"/>
        </w:rPr>
        <w:t xml:space="preserve">China constituye nuevamente una excepción, ya que se erige como el mayor destino de presentaciones de </w:t>
      </w:r>
      <w:r>
        <w:rPr>
          <w:sz w:val="20"/>
        </w:rPr>
        <w:t>P.I.</w:t>
      </w:r>
      <w:r w:rsidRPr="00A347F9">
        <w:rPr>
          <w:sz w:val="20"/>
        </w:rPr>
        <w:t xml:space="preserve"> para las principales formas de </w:t>
      </w:r>
      <w:r>
        <w:rPr>
          <w:sz w:val="20"/>
        </w:rPr>
        <w:t>P.I.</w:t>
      </w:r>
      <w:r w:rsidRPr="00A347F9">
        <w:rPr>
          <w:sz w:val="20"/>
        </w:rPr>
        <w:t xml:space="preserve"> en 2012.</w:t>
      </w:r>
    </w:p>
  </w:footnote>
  <w:footnote w:id="9">
    <w:p w:rsidR="0057360F" w:rsidRPr="00A347F9" w:rsidRDefault="0057360F" w:rsidP="001A2943">
      <w:pPr>
        <w:pStyle w:val="FootnoteText"/>
        <w:rPr>
          <w:sz w:val="20"/>
        </w:rPr>
      </w:pPr>
      <w:r w:rsidRPr="00A347F9">
        <w:rPr>
          <w:rStyle w:val="FootnoteReference"/>
          <w:sz w:val="20"/>
        </w:rPr>
        <w:footnoteRef/>
      </w:r>
      <w:r w:rsidRPr="00A347F9">
        <w:rPr>
          <w:sz w:val="20"/>
        </w:rPr>
        <w:t xml:space="preserve"> </w:t>
      </w:r>
      <w:r>
        <w:rPr>
          <w:sz w:val="20"/>
        </w:rPr>
        <w:tab/>
      </w:r>
      <w:r w:rsidRPr="00A347F9">
        <w:rPr>
          <w:sz w:val="20"/>
        </w:rPr>
        <w:t xml:space="preserve">Es importante tener en cuenta que no existe una relación lineal entre </w:t>
      </w:r>
      <w:r>
        <w:rPr>
          <w:sz w:val="20"/>
        </w:rPr>
        <w:t>P.I.</w:t>
      </w:r>
      <w:r w:rsidRPr="00A347F9">
        <w:rPr>
          <w:sz w:val="20"/>
        </w:rPr>
        <w:t xml:space="preserve"> e innovación.</w:t>
      </w:r>
      <w:r>
        <w:rPr>
          <w:sz w:val="20"/>
        </w:rPr>
        <w:t xml:space="preserve"> </w:t>
      </w:r>
      <w:r w:rsidRPr="00A347F9">
        <w:rPr>
          <w:sz w:val="20"/>
        </w:rPr>
        <w:t xml:space="preserve">Por lo tanto, las estadísticas sobre </w:t>
      </w:r>
      <w:r>
        <w:rPr>
          <w:sz w:val="20"/>
        </w:rPr>
        <w:t>P.I.</w:t>
      </w:r>
      <w:r w:rsidRPr="00A347F9">
        <w:rPr>
          <w:sz w:val="20"/>
        </w:rPr>
        <w:t xml:space="preserve"> proveen información limitada sobre la innovación y el desempeño económico.</w:t>
      </w:r>
      <w:r>
        <w:rPr>
          <w:sz w:val="20"/>
        </w:rPr>
        <w:t xml:space="preserve"> </w:t>
      </w:r>
      <w:r w:rsidRPr="00A347F9">
        <w:rPr>
          <w:sz w:val="20"/>
        </w:rPr>
        <w:t xml:space="preserve">Cada título de </w:t>
      </w:r>
      <w:r>
        <w:rPr>
          <w:sz w:val="20"/>
        </w:rPr>
        <w:t>P.I.</w:t>
      </w:r>
      <w:r w:rsidRPr="00A347F9">
        <w:rPr>
          <w:sz w:val="20"/>
        </w:rPr>
        <w:t xml:space="preserve"> describe un activo intangible diferente.</w:t>
      </w:r>
      <w:r>
        <w:rPr>
          <w:sz w:val="20"/>
        </w:rPr>
        <w:t xml:space="preserve"> </w:t>
      </w:r>
      <w:r w:rsidRPr="00A347F9">
        <w:rPr>
          <w:sz w:val="20"/>
        </w:rPr>
        <w:t xml:space="preserve">Existe una extensa literatura que señala que estos activos se distribuyen muy desigualmente. Pocas patentes producen retornos económicos altos. Por otra parte, esto no implica que las estadísticas sobre </w:t>
      </w:r>
      <w:r>
        <w:rPr>
          <w:sz w:val="20"/>
        </w:rPr>
        <w:t>P.I.</w:t>
      </w:r>
      <w:r w:rsidRPr="00A347F9">
        <w:rPr>
          <w:sz w:val="20"/>
        </w:rPr>
        <w:t xml:space="preserve"> no sean útiles.</w:t>
      </w:r>
      <w:r>
        <w:rPr>
          <w:sz w:val="20"/>
        </w:rPr>
        <w:t xml:space="preserve"> </w:t>
      </w:r>
      <w:r w:rsidRPr="00A347F9">
        <w:rPr>
          <w:sz w:val="20"/>
        </w:rPr>
        <w:t xml:space="preserve">La actividad de </w:t>
      </w:r>
      <w:r>
        <w:rPr>
          <w:sz w:val="20"/>
        </w:rPr>
        <w:t>P.I.</w:t>
      </w:r>
      <w:r w:rsidRPr="00A347F9">
        <w:rPr>
          <w:sz w:val="20"/>
        </w:rPr>
        <w:t xml:space="preserve"> está relacionada en forma significativa con otros indicadores de la actividad innovadora –a nivel firmas, sectores y economías.</w:t>
      </w:r>
      <w:r>
        <w:rPr>
          <w:sz w:val="20"/>
        </w:rPr>
        <w:t xml:space="preserve"> </w:t>
      </w:r>
      <w:r w:rsidRPr="00A347F9">
        <w:rPr>
          <w:sz w:val="20"/>
        </w:rPr>
        <w:t xml:space="preserve">De hecho, las estadísticas de </w:t>
      </w:r>
      <w:r>
        <w:rPr>
          <w:sz w:val="20"/>
        </w:rPr>
        <w:t>P.I.</w:t>
      </w:r>
      <w:r w:rsidRPr="00A347F9">
        <w:rPr>
          <w:sz w:val="20"/>
        </w:rPr>
        <w:t xml:space="preserve"> siguen siendo uno de los pocos indicadores de amplia difusión de la innovación a disposición de los analistas.</w:t>
      </w:r>
    </w:p>
  </w:footnote>
  <w:footnote w:id="10">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Ver el documento CDIP/5/7 de la OMPI.</w:t>
      </w:r>
    </w:p>
  </w:footnote>
  <w:footnote w:id="11">
    <w:p w:rsidR="0057360F" w:rsidRPr="00A347F9" w:rsidRDefault="0057360F" w:rsidP="001A2943">
      <w:pPr>
        <w:pStyle w:val="FootnoteText"/>
        <w:rPr>
          <w:sz w:val="20"/>
        </w:rPr>
      </w:pPr>
      <w:r w:rsidRPr="00A347F9">
        <w:rPr>
          <w:rStyle w:val="FootnoteReference"/>
          <w:sz w:val="20"/>
        </w:rPr>
        <w:footnoteRef/>
      </w:r>
      <w:r w:rsidRPr="00A347F9">
        <w:rPr>
          <w:sz w:val="20"/>
        </w:rPr>
        <w:t xml:space="preserve"> </w:t>
      </w:r>
      <w:r>
        <w:rPr>
          <w:sz w:val="20"/>
        </w:rPr>
        <w:tab/>
      </w:r>
      <w:r w:rsidRPr="00A347F9">
        <w:rPr>
          <w:sz w:val="20"/>
        </w:rPr>
        <w:t xml:space="preserve">Este informe no incluye un análisis de los datos combinados, sino que se centra en el análisis de las solicitudes de </w:t>
      </w:r>
      <w:r>
        <w:rPr>
          <w:sz w:val="20"/>
        </w:rPr>
        <w:t>P.I.</w:t>
      </w:r>
      <w:r w:rsidRPr="00A347F9">
        <w:rPr>
          <w:sz w:val="20"/>
        </w:rPr>
        <w:t xml:space="preserve"> en general.</w:t>
      </w:r>
    </w:p>
  </w:footnote>
  <w:footnote w:id="12">
    <w:p w:rsidR="0057360F" w:rsidRPr="00A347F9" w:rsidRDefault="0057360F" w:rsidP="001A2943">
      <w:pPr>
        <w:pStyle w:val="FootnoteText"/>
        <w:rPr>
          <w:sz w:val="20"/>
          <w:highlight w:val="yellow"/>
        </w:rPr>
      </w:pPr>
      <w:r w:rsidRPr="00A347F9">
        <w:rPr>
          <w:rStyle w:val="FootnoteReference"/>
          <w:sz w:val="20"/>
        </w:rPr>
        <w:footnoteRef/>
      </w:r>
      <w:r w:rsidRPr="00A347F9">
        <w:rPr>
          <w:sz w:val="20"/>
        </w:rPr>
        <w:t xml:space="preserve"> </w:t>
      </w:r>
      <w:r>
        <w:rPr>
          <w:sz w:val="20"/>
        </w:rPr>
        <w:tab/>
      </w:r>
      <w:r w:rsidRPr="00A347F9">
        <w:rPr>
          <w:sz w:val="20"/>
        </w:rPr>
        <w:t>El Ministerio de Educación tiene un Departamento de Propiedad Intelectual que forma parte de la Dirección de Bibliotecas, Archivos y Museos del Ministerio.</w:t>
      </w:r>
    </w:p>
  </w:footnote>
  <w:footnote w:id="13">
    <w:p w:rsidR="0057360F" w:rsidRPr="00A347F9" w:rsidRDefault="0057360F" w:rsidP="001A2943">
      <w:pPr>
        <w:pStyle w:val="FootnoteText"/>
        <w:rPr>
          <w:sz w:val="20"/>
        </w:rPr>
      </w:pPr>
      <w:r w:rsidRPr="00A347F9">
        <w:rPr>
          <w:rStyle w:val="FootnoteReference"/>
          <w:sz w:val="20"/>
        </w:rPr>
        <w:footnoteRef/>
      </w:r>
      <w:r w:rsidRPr="00A347F9">
        <w:rPr>
          <w:sz w:val="20"/>
        </w:rPr>
        <w:t xml:space="preserve"> </w:t>
      </w:r>
      <w:r>
        <w:rPr>
          <w:sz w:val="20"/>
        </w:rPr>
        <w:tab/>
      </w:r>
      <w:r w:rsidRPr="00A347F9">
        <w:rPr>
          <w:sz w:val="20"/>
        </w:rPr>
        <w:t>A través del Servicio de Ganadería y Agricultura del Ministerio.</w:t>
      </w:r>
    </w:p>
  </w:footnote>
  <w:footnote w:id="14">
    <w:p w:rsidR="0057360F" w:rsidRPr="00A347F9" w:rsidRDefault="0057360F" w:rsidP="001A2943">
      <w:pPr>
        <w:pStyle w:val="FootnoteText"/>
        <w:rPr>
          <w:sz w:val="20"/>
        </w:rPr>
      </w:pPr>
      <w:r w:rsidRPr="00A347F9">
        <w:rPr>
          <w:rStyle w:val="FootnoteReference"/>
          <w:sz w:val="20"/>
        </w:rPr>
        <w:footnoteRef/>
      </w:r>
      <w:r w:rsidRPr="00A347F9">
        <w:rPr>
          <w:sz w:val="20"/>
        </w:rPr>
        <w:t xml:space="preserve"> </w:t>
      </w:r>
      <w:r>
        <w:rPr>
          <w:sz w:val="20"/>
        </w:rPr>
        <w:tab/>
      </w:r>
      <w:r w:rsidRPr="00A347F9">
        <w:rPr>
          <w:sz w:val="20"/>
        </w:rPr>
        <w:t>La principal entidad es el Instituto de Salud Pública del Ministerio.</w:t>
      </w:r>
    </w:p>
  </w:footnote>
  <w:footnote w:id="15">
    <w:p w:rsidR="0057360F" w:rsidRPr="00A347F9" w:rsidRDefault="0057360F" w:rsidP="001A2943">
      <w:pPr>
        <w:pStyle w:val="FootnoteText"/>
        <w:rPr>
          <w:sz w:val="20"/>
        </w:rPr>
      </w:pPr>
      <w:r w:rsidRPr="00A347F9">
        <w:rPr>
          <w:rStyle w:val="FootnoteReference"/>
          <w:sz w:val="20"/>
        </w:rPr>
        <w:footnoteRef/>
      </w:r>
      <w:r w:rsidRPr="00A347F9">
        <w:rPr>
          <w:sz w:val="20"/>
        </w:rPr>
        <w:t xml:space="preserve"> </w:t>
      </w:r>
      <w:r>
        <w:rPr>
          <w:sz w:val="20"/>
        </w:rPr>
        <w:tab/>
      </w:r>
      <w:r w:rsidRPr="00A347F9">
        <w:rPr>
          <w:sz w:val="20"/>
        </w:rPr>
        <w:t>A través del Departamento de Propiedad Intelectual, que forma parte de la Dirección General de Relaciones Económicas Internacionales del Ministerio.</w:t>
      </w:r>
    </w:p>
  </w:footnote>
  <w:footnote w:id="16">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La discusión no cubre indicaciones geográficas, denominaciones de origen ni topografías de circuitos integrados (esto es, protección de máscaras de semiconductores). </w:t>
      </w:r>
    </w:p>
  </w:footnote>
  <w:footnote w:id="17">
    <w:p w:rsidR="0057360F" w:rsidRPr="00827094" w:rsidRDefault="0057360F" w:rsidP="001A2943">
      <w:pPr>
        <w:pStyle w:val="FootnoteText"/>
        <w:spacing w:after="80"/>
        <w:rPr>
          <w:sz w:val="20"/>
          <w:lang w:val="es-ES_tradnl"/>
        </w:rPr>
      </w:pPr>
      <w:r w:rsidRPr="00A347F9">
        <w:rPr>
          <w:rStyle w:val="FootnoteReference"/>
          <w:sz w:val="20"/>
        </w:rPr>
        <w:footnoteRef/>
      </w:r>
      <w:r w:rsidRPr="00827094">
        <w:rPr>
          <w:sz w:val="20"/>
          <w:lang w:val="es-ES_tradnl"/>
        </w:rPr>
        <w:t xml:space="preserve"> </w:t>
      </w:r>
      <w:r>
        <w:rPr>
          <w:sz w:val="20"/>
          <w:lang w:val="es-ES_tradnl"/>
        </w:rPr>
        <w:tab/>
      </w:r>
      <w:r w:rsidRPr="00827094">
        <w:rPr>
          <w:sz w:val="20"/>
          <w:lang w:val="es-ES_tradnl"/>
        </w:rPr>
        <w:t>Ley 17</w:t>
      </w:r>
      <w:r>
        <w:rPr>
          <w:sz w:val="20"/>
          <w:lang w:val="es-ES_tradnl"/>
        </w:rPr>
        <w:t>.</w:t>
      </w:r>
      <w:r w:rsidRPr="00827094">
        <w:rPr>
          <w:sz w:val="20"/>
          <w:lang w:val="es-ES_tradnl"/>
        </w:rPr>
        <w:t>336 de Propiedad Intelectual.</w:t>
      </w:r>
    </w:p>
  </w:footnote>
  <w:footnote w:id="18">
    <w:p w:rsidR="0057360F" w:rsidRPr="00A347F9" w:rsidRDefault="0057360F" w:rsidP="001A2943">
      <w:pPr>
        <w:pStyle w:val="FootnoteText"/>
        <w:spacing w:after="80"/>
        <w:rPr>
          <w:sz w:val="20"/>
        </w:rPr>
      </w:pPr>
      <w:r w:rsidRPr="00A347F9">
        <w:rPr>
          <w:rStyle w:val="FootnoteReference"/>
          <w:sz w:val="20"/>
        </w:rPr>
        <w:footnoteRef/>
      </w:r>
      <w:r w:rsidRPr="00A347F9">
        <w:rPr>
          <w:rStyle w:val="FootnoteReference"/>
          <w:sz w:val="20"/>
        </w:rPr>
        <w:t xml:space="preserve"> </w:t>
      </w:r>
      <w:r>
        <w:rPr>
          <w:rStyle w:val="FootnoteReference"/>
          <w:sz w:val="20"/>
        </w:rPr>
        <w:tab/>
      </w:r>
      <w:r w:rsidRPr="00A347F9">
        <w:rPr>
          <w:sz w:val="20"/>
        </w:rPr>
        <w:t xml:space="preserve">Para las patentes la tasa es de $427.000 pesos chilenos (aproximadamente US$ 900 dólares). Para modelos de utilidad, la tasa es $343.000 </w:t>
      </w:r>
      <w:r>
        <w:rPr>
          <w:sz w:val="20"/>
        </w:rPr>
        <w:t xml:space="preserve">pesos chilenos </w:t>
      </w:r>
      <w:r w:rsidRPr="00A347F9">
        <w:rPr>
          <w:sz w:val="20"/>
        </w:rPr>
        <w:t xml:space="preserve">(aproximadamente US$ 730 dólares). </w:t>
      </w:r>
    </w:p>
  </w:footnote>
  <w:footnote w:id="19">
    <w:p w:rsidR="0057360F" w:rsidRPr="00827094" w:rsidRDefault="0057360F" w:rsidP="001A2943">
      <w:pPr>
        <w:pStyle w:val="FootnoteText"/>
        <w:spacing w:after="80"/>
        <w:rPr>
          <w:sz w:val="20"/>
          <w:lang w:val="es-ES_tradnl"/>
        </w:rPr>
      </w:pPr>
      <w:r w:rsidRPr="00A347F9">
        <w:rPr>
          <w:rStyle w:val="FootnoteReference"/>
          <w:sz w:val="20"/>
        </w:rPr>
        <w:footnoteRef/>
      </w:r>
      <w:r w:rsidRPr="00A347F9">
        <w:rPr>
          <w:rStyle w:val="FootnoteReference"/>
          <w:sz w:val="20"/>
        </w:rPr>
        <w:t xml:space="preserve"> </w:t>
      </w:r>
      <w:r>
        <w:rPr>
          <w:rStyle w:val="FootnoteReference"/>
          <w:sz w:val="20"/>
        </w:rPr>
        <w:tab/>
      </w:r>
      <w:r w:rsidRPr="00A347F9">
        <w:rPr>
          <w:sz w:val="20"/>
        </w:rPr>
        <w:t xml:space="preserve">Para diseños y dibujos industriales la tasa es de $287.000 </w:t>
      </w:r>
      <w:r>
        <w:rPr>
          <w:sz w:val="20"/>
        </w:rPr>
        <w:t>pesos chilenos (aproximadamente </w:t>
      </w:r>
      <w:r w:rsidRPr="00A347F9">
        <w:rPr>
          <w:sz w:val="20"/>
        </w:rPr>
        <w:t>600 dólares</w:t>
      </w:r>
      <w:r>
        <w:rPr>
          <w:sz w:val="20"/>
        </w:rPr>
        <w:t xml:space="preserve"> de los EE.UU.).</w:t>
      </w:r>
    </w:p>
  </w:footnote>
  <w:footnote w:id="20">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Por ejemplo, Pfizer Chile y Pfizer inc. se clasifican como solicitantes no residentes </w:t>
      </w:r>
      <w:proofErr w:type="spellStart"/>
      <w:r w:rsidRPr="00A347F9">
        <w:rPr>
          <w:sz w:val="20"/>
        </w:rPr>
        <w:t>multi</w:t>
      </w:r>
      <w:proofErr w:type="spellEnd"/>
      <w:r w:rsidRPr="00A347F9">
        <w:rPr>
          <w:sz w:val="20"/>
        </w:rPr>
        <w:t>-residentes si las dos entidades solicitan la patente al INAPI.</w:t>
      </w:r>
    </w:p>
  </w:footnote>
  <w:footnote w:id="21">
    <w:p w:rsidR="0057360F" w:rsidRPr="00A347F9" w:rsidRDefault="0057360F" w:rsidP="001A2943">
      <w:pPr>
        <w:pStyle w:val="FootnoteText"/>
        <w:rPr>
          <w:sz w:val="20"/>
        </w:rPr>
      </w:pPr>
      <w:r w:rsidRPr="00A347F9">
        <w:rPr>
          <w:rStyle w:val="FootnoteReference"/>
          <w:sz w:val="20"/>
        </w:rPr>
        <w:footnoteRef/>
      </w:r>
      <w:r w:rsidRPr="00A347F9">
        <w:rPr>
          <w:sz w:val="20"/>
        </w:rPr>
        <w:t xml:space="preserve"> </w:t>
      </w:r>
      <w:r>
        <w:rPr>
          <w:sz w:val="20"/>
        </w:rPr>
        <w:tab/>
      </w:r>
      <w:r w:rsidRPr="00A347F9">
        <w:rPr>
          <w:sz w:val="20"/>
        </w:rPr>
        <w:t xml:space="preserve">Las posiciones no implican que las compañías con más solicitudes de </w:t>
      </w:r>
      <w:r>
        <w:rPr>
          <w:sz w:val="20"/>
        </w:rPr>
        <w:t>P.I.</w:t>
      </w:r>
      <w:r w:rsidRPr="00A347F9">
        <w:rPr>
          <w:sz w:val="20"/>
        </w:rPr>
        <w:t xml:space="preserve"> son las más innovadoras. Este puede no ser necesariamente el caso ya que las empresas pueden elegir entre una gama de diferentes mecanismos para proteger y apropiar los retornos de sus innovaciones.</w:t>
      </w:r>
      <w:r>
        <w:rPr>
          <w:sz w:val="20"/>
        </w:rPr>
        <w:t xml:space="preserve"> </w:t>
      </w:r>
      <w:r w:rsidRPr="00827094">
        <w:rPr>
          <w:sz w:val="20"/>
          <w:lang w:val="es-ES_tradnl"/>
        </w:rPr>
        <w:t xml:space="preserve">El registro de </w:t>
      </w:r>
      <w:r>
        <w:rPr>
          <w:sz w:val="20"/>
          <w:lang w:val="es-ES_tradnl"/>
        </w:rPr>
        <w:t>P.I.</w:t>
      </w:r>
      <w:r w:rsidRPr="00827094">
        <w:rPr>
          <w:sz w:val="20"/>
          <w:lang w:val="es-ES_tradnl"/>
        </w:rPr>
        <w:t xml:space="preserve"> es s</w:t>
      </w:r>
      <w:r>
        <w:rPr>
          <w:sz w:val="20"/>
          <w:lang w:val="es-ES_tradnl"/>
        </w:rPr>
        <w:t>ó</w:t>
      </w:r>
      <w:r w:rsidRPr="00827094">
        <w:rPr>
          <w:sz w:val="20"/>
          <w:lang w:val="es-ES_tradnl"/>
        </w:rPr>
        <w:t>lo uno de ellos.</w:t>
      </w:r>
      <w:r>
        <w:rPr>
          <w:sz w:val="20"/>
          <w:lang w:val="es-ES_tradnl"/>
        </w:rPr>
        <w:t xml:space="preserve"> </w:t>
      </w:r>
      <w:r w:rsidRPr="00A347F9">
        <w:rPr>
          <w:sz w:val="20"/>
        </w:rPr>
        <w:t xml:space="preserve">Es más, no existe una correspondencia lineal entre el número de derechos de </w:t>
      </w:r>
      <w:r>
        <w:rPr>
          <w:sz w:val="20"/>
        </w:rPr>
        <w:t>P.I.</w:t>
      </w:r>
      <w:r w:rsidRPr="00A347F9">
        <w:rPr>
          <w:sz w:val="20"/>
        </w:rPr>
        <w:t xml:space="preserve"> solicitados y el valor comercial de los inventos protegidos o su contribución al progreso tecnológico.</w:t>
      </w:r>
    </w:p>
  </w:footnote>
  <w:footnote w:id="22">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Se excluyen las entidades chilenas de solicitantes no-residentes </w:t>
      </w:r>
      <w:proofErr w:type="spellStart"/>
      <w:r w:rsidRPr="00A347F9">
        <w:rPr>
          <w:sz w:val="20"/>
        </w:rPr>
        <w:t>multi</w:t>
      </w:r>
      <w:proofErr w:type="spellEnd"/>
      <w:r w:rsidRPr="00A347F9">
        <w:rPr>
          <w:sz w:val="20"/>
        </w:rPr>
        <w:t>-residentes.</w:t>
      </w:r>
    </w:p>
  </w:footnote>
  <w:footnote w:id="23">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Las universidades indicadas en </w:t>
      </w:r>
      <w:r w:rsidRPr="00662718">
        <w:rPr>
          <w:sz w:val="20"/>
        </w:rPr>
        <w:t>el Cuadro 2</w:t>
      </w:r>
      <w:r w:rsidRPr="00A347F9">
        <w:rPr>
          <w:sz w:val="20"/>
        </w:rPr>
        <w:t xml:space="preserve"> son todas instituciones orientadas a la investigación. </w:t>
      </w:r>
      <w:proofErr w:type="spellStart"/>
      <w:r w:rsidRPr="00A347F9">
        <w:rPr>
          <w:sz w:val="20"/>
        </w:rPr>
        <w:t>Krauskopf</w:t>
      </w:r>
      <w:proofErr w:type="spellEnd"/>
      <w:r w:rsidRPr="00A347F9">
        <w:rPr>
          <w:sz w:val="20"/>
        </w:rPr>
        <w:t xml:space="preserve"> et al. (2007) muestran que los artículos científicos cuyos autores son investigadores de dichas instituciones son citados en las patentes de EE</w:t>
      </w:r>
      <w:r>
        <w:rPr>
          <w:sz w:val="20"/>
        </w:rPr>
        <w:t>.</w:t>
      </w:r>
      <w:r w:rsidRPr="00A347F9">
        <w:rPr>
          <w:sz w:val="20"/>
        </w:rPr>
        <w:t>UU</w:t>
      </w:r>
      <w:r>
        <w:rPr>
          <w:sz w:val="20"/>
        </w:rPr>
        <w:t>.</w:t>
      </w:r>
      <w:r w:rsidRPr="00A347F9">
        <w:rPr>
          <w:sz w:val="20"/>
        </w:rPr>
        <w:t>, especialmente en el área biomédica.</w:t>
      </w:r>
    </w:p>
  </w:footnote>
  <w:footnote w:id="24">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Ver WIPO (2001), Capítulo 4. La OCDE indica que, en 2008, las instituciones de educación superior representaron el 19</w:t>
      </w:r>
      <w:r>
        <w:rPr>
          <w:sz w:val="20"/>
        </w:rPr>
        <w:t>,</w:t>
      </w:r>
      <w:r w:rsidRPr="00A347F9">
        <w:rPr>
          <w:sz w:val="20"/>
        </w:rPr>
        <w:t>2% del gasto en I+D en Chile y el Estado el 33</w:t>
      </w:r>
      <w:r>
        <w:rPr>
          <w:sz w:val="20"/>
        </w:rPr>
        <w:t>,</w:t>
      </w:r>
      <w:r w:rsidRPr="00A347F9">
        <w:rPr>
          <w:sz w:val="20"/>
        </w:rPr>
        <w:t xml:space="preserve">8%. </w:t>
      </w:r>
    </w:p>
  </w:footnote>
  <w:footnote w:id="25">
    <w:p w:rsidR="0057360F" w:rsidRPr="00A347F9" w:rsidRDefault="0057360F" w:rsidP="001A2943">
      <w:pPr>
        <w:pStyle w:val="FootnoteText"/>
        <w:spacing w:after="80"/>
        <w:rPr>
          <w:sz w:val="20"/>
          <w:lang w:val="es-AR"/>
        </w:rPr>
      </w:pPr>
      <w:r w:rsidRPr="00A347F9">
        <w:rPr>
          <w:rStyle w:val="FootnoteReference"/>
          <w:sz w:val="20"/>
        </w:rPr>
        <w:footnoteRef/>
      </w:r>
      <w:r w:rsidRPr="00A347F9">
        <w:rPr>
          <w:sz w:val="20"/>
          <w:lang w:val="es-AR"/>
        </w:rPr>
        <w:t xml:space="preserve"> </w:t>
      </w:r>
      <w:r>
        <w:rPr>
          <w:sz w:val="20"/>
          <w:lang w:val="es-AR"/>
        </w:rPr>
        <w:tab/>
      </w:r>
      <w:r w:rsidRPr="00A347F9">
        <w:rPr>
          <w:sz w:val="20"/>
          <w:lang w:val="es-AR"/>
        </w:rPr>
        <w:t>La categoría Universidad incluye instituciones de investigación sin fines de lucro y organismos gubernamentales.</w:t>
      </w:r>
    </w:p>
  </w:footnote>
  <w:footnote w:id="26">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Se transformaron las clases de la Clasificación Internacional de Patentes (CIP) en clases tecnológicas utilizando la tabla de correspondencias de </w:t>
      </w:r>
      <w:proofErr w:type="spellStart"/>
      <w:r w:rsidRPr="00A347F9">
        <w:rPr>
          <w:sz w:val="20"/>
        </w:rPr>
        <w:t>Schmoch</w:t>
      </w:r>
      <w:proofErr w:type="spellEnd"/>
      <w:r w:rsidRPr="00A347F9">
        <w:rPr>
          <w:sz w:val="20"/>
        </w:rPr>
        <w:t xml:space="preserve"> (2008).</w:t>
      </w:r>
    </w:p>
  </w:footnote>
  <w:footnote w:id="27">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Esta participación se refiere a todas las solicitudes de patentes publicadas entre 1990 y</w:t>
      </w:r>
      <w:r>
        <w:rPr>
          <w:sz w:val="20"/>
        </w:rPr>
        <w:t> </w:t>
      </w:r>
      <w:r w:rsidRPr="00A347F9">
        <w:rPr>
          <w:sz w:val="20"/>
        </w:rPr>
        <w:t>2010, que están disponibles en la Base de datos Estadísticos de la OMPI.</w:t>
      </w:r>
    </w:p>
  </w:footnote>
  <w:footnote w:id="28">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Los grupos de clases han sido definidos por </w:t>
      </w:r>
      <w:proofErr w:type="spellStart"/>
      <w:r w:rsidRPr="00A347F9">
        <w:rPr>
          <w:sz w:val="20"/>
        </w:rPr>
        <w:t>Edital</w:t>
      </w:r>
      <w:proofErr w:type="spellEnd"/>
      <w:r w:rsidRPr="00A347F9">
        <w:rPr>
          <w:sz w:val="20"/>
        </w:rPr>
        <w:t xml:space="preserve"> a través de las clases de productos y servicios</w:t>
      </w:r>
      <w:r>
        <w:rPr>
          <w:sz w:val="20"/>
        </w:rPr>
        <w:t xml:space="preserve">: </w:t>
      </w:r>
      <w:r w:rsidRPr="00A347F9">
        <w:rPr>
          <w:sz w:val="20"/>
        </w:rPr>
        <w:t>Productos y servicios agrícolas</w:t>
      </w:r>
      <w:r>
        <w:rPr>
          <w:sz w:val="20"/>
        </w:rPr>
        <w:t xml:space="preserve">: </w:t>
      </w:r>
      <w:r w:rsidRPr="00A347F9">
        <w:rPr>
          <w:sz w:val="20"/>
        </w:rPr>
        <w:t>29, 30, 31, 32, 33, 43; Químicos</w:t>
      </w:r>
      <w:r>
        <w:rPr>
          <w:sz w:val="20"/>
        </w:rPr>
        <w:t xml:space="preserve">: </w:t>
      </w:r>
      <w:r w:rsidRPr="00A347F9">
        <w:rPr>
          <w:sz w:val="20"/>
        </w:rPr>
        <w:t>1, 2, 4; Construcción, Infraestructura</w:t>
      </w:r>
      <w:r>
        <w:rPr>
          <w:sz w:val="20"/>
        </w:rPr>
        <w:t xml:space="preserve">: </w:t>
      </w:r>
      <w:r w:rsidRPr="00A347F9">
        <w:rPr>
          <w:sz w:val="20"/>
        </w:rPr>
        <w:t>6, 17, 19, 37, 40; Artículos para el hogar</w:t>
      </w:r>
      <w:r>
        <w:rPr>
          <w:sz w:val="20"/>
        </w:rPr>
        <w:t xml:space="preserve">: </w:t>
      </w:r>
      <w:r w:rsidRPr="00A347F9">
        <w:rPr>
          <w:sz w:val="20"/>
        </w:rPr>
        <w:t>8, 11, 20, 21; Esparcimiento, Educación, Formación</w:t>
      </w:r>
      <w:r>
        <w:rPr>
          <w:sz w:val="20"/>
        </w:rPr>
        <w:t xml:space="preserve">: </w:t>
      </w:r>
      <w:r w:rsidRPr="00A347F9">
        <w:rPr>
          <w:sz w:val="20"/>
        </w:rPr>
        <w:t>13, 15, 16, 28, 41; Management, Comunicación, Bienes raíces y Servicios financieros</w:t>
      </w:r>
      <w:r>
        <w:rPr>
          <w:sz w:val="20"/>
        </w:rPr>
        <w:t xml:space="preserve">: </w:t>
      </w:r>
      <w:r w:rsidRPr="00A347F9">
        <w:rPr>
          <w:sz w:val="20"/>
        </w:rPr>
        <w:t>35, 36; Farmacéuticos, Salud, Productos cosméticos</w:t>
      </w:r>
      <w:r>
        <w:rPr>
          <w:sz w:val="20"/>
        </w:rPr>
        <w:t xml:space="preserve">: </w:t>
      </w:r>
      <w:r w:rsidRPr="00A347F9">
        <w:rPr>
          <w:sz w:val="20"/>
        </w:rPr>
        <w:t>3, 5, 10, 44; Investigación científica, Tecnologías de la información y la comunicación</w:t>
      </w:r>
      <w:r>
        <w:rPr>
          <w:sz w:val="20"/>
        </w:rPr>
        <w:t xml:space="preserve">: </w:t>
      </w:r>
      <w:r w:rsidRPr="00A347F9">
        <w:rPr>
          <w:sz w:val="20"/>
        </w:rPr>
        <w:t>9, 38, 42, 45; Textiles – Indumentaria y Accesorios</w:t>
      </w:r>
      <w:r>
        <w:rPr>
          <w:sz w:val="20"/>
        </w:rPr>
        <w:t xml:space="preserve">: </w:t>
      </w:r>
      <w:r w:rsidRPr="00A347F9">
        <w:rPr>
          <w:sz w:val="20"/>
        </w:rPr>
        <w:t>14, 18, 22, 23, 24, 25, 26, 27, 34; Transporte y Logística</w:t>
      </w:r>
      <w:r>
        <w:rPr>
          <w:sz w:val="20"/>
        </w:rPr>
        <w:t xml:space="preserve">: </w:t>
      </w:r>
      <w:r w:rsidRPr="00A347F9">
        <w:rPr>
          <w:sz w:val="20"/>
        </w:rPr>
        <w:t>7, 12, 39.</w:t>
      </w:r>
    </w:p>
  </w:footnote>
  <w:footnote w:id="29">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Incluso en combinación con Química, la participación promedio s</w:t>
      </w:r>
      <w:r>
        <w:rPr>
          <w:sz w:val="20"/>
        </w:rPr>
        <w:t>ó</w:t>
      </w:r>
      <w:r w:rsidRPr="00A347F9">
        <w:rPr>
          <w:sz w:val="20"/>
        </w:rPr>
        <w:t>lo alcanza el 16%.</w:t>
      </w:r>
    </w:p>
  </w:footnote>
  <w:footnote w:id="30">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En un documento complementario que se centra en los productos farmacéuticos, hemos creado una base de datos que contiene patentes y marcas registradas a nivel de producto (</w:t>
      </w:r>
      <w:proofErr w:type="spellStart"/>
      <w:r w:rsidRPr="00A347F9">
        <w:rPr>
          <w:sz w:val="20"/>
        </w:rPr>
        <w:t>Abud</w:t>
      </w:r>
      <w:proofErr w:type="spellEnd"/>
      <w:r w:rsidRPr="00A347F9">
        <w:rPr>
          <w:sz w:val="20"/>
        </w:rPr>
        <w:t xml:space="preserve"> et al., 2013).</w:t>
      </w:r>
    </w:p>
  </w:footnote>
  <w:footnote w:id="31">
    <w:p w:rsidR="0057360F" w:rsidRPr="00A347F9" w:rsidRDefault="0057360F" w:rsidP="001A2943">
      <w:pPr>
        <w:pStyle w:val="FootnoteText"/>
        <w:spacing w:after="80"/>
        <w:rPr>
          <w:sz w:val="20"/>
        </w:rPr>
      </w:pPr>
      <w:r w:rsidRPr="00A347F9">
        <w:rPr>
          <w:rStyle w:val="FootnoteReference"/>
          <w:sz w:val="20"/>
        </w:rPr>
        <w:footnoteRef/>
      </w:r>
      <w:r>
        <w:rPr>
          <w:sz w:val="20"/>
        </w:rPr>
        <w:t xml:space="preserve"> </w:t>
      </w:r>
      <w:r>
        <w:rPr>
          <w:sz w:val="20"/>
        </w:rPr>
        <w:tab/>
        <w:t xml:space="preserve">Esto difiere de la </w:t>
      </w:r>
      <w:proofErr w:type="spellStart"/>
      <w:r>
        <w:rPr>
          <w:sz w:val="20"/>
        </w:rPr>
        <w:t>co</w:t>
      </w:r>
      <w:r w:rsidRPr="00A347F9">
        <w:rPr>
          <w:sz w:val="20"/>
        </w:rPr>
        <w:t>invención</w:t>
      </w:r>
      <w:proofErr w:type="spellEnd"/>
      <w:r w:rsidRPr="00A347F9">
        <w:rPr>
          <w:sz w:val="20"/>
        </w:rPr>
        <w:t>, es decir, una situación en la que en una patente se enumera a múltiples inventores.</w:t>
      </w:r>
    </w:p>
  </w:footnote>
  <w:footnote w:id="32">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Benavente y </w:t>
      </w:r>
      <w:proofErr w:type="spellStart"/>
      <w:r w:rsidRPr="00A347F9">
        <w:rPr>
          <w:sz w:val="20"/>
        </w:rPr>
        <w:t>Lauterbach</w:t>
      </w:r>
      <w:proofErr w:type="spellEnd"/>
      <w:r w:rsidRPr="00A347F9">
        <w:rPr>
          <w:sz w:val="20"/>
        </w:rPr>
        <w:t xml:space="preserve"> (2007)</w:t>
      </w:r>
      <w:r w:rsidRPr="00A347F9">
        <w:rPr>
          <w:color w:val="222222"/>
          <w:sz w:val="20"/>
        </w:rPr>
        <w:t xml:space="preserve"> </w:t>
      </w:r>
      <w:r w:rsidRPr="00A347F9">
        <w:rPr>
          <w:sz w:val="20"/>
        </w:rPr>
        <w:t>encuentran, a partir de los datos de la cuarta encuesta de innovación chilena, que alrededor del 6% de las empresas innovadoras coopera con firmas que compiten en su mercado de productos.</w:t>
      </w:r>
      <w:r>
        <w:rPr>
          <w:sz w:val="20"/>
        </w:rPr>
        <w:t xml:space="preserve"> </w:t>
      </w:r>
      <w:r w:rsidRPr="00A347F9">
        <w:rPr>
          <w:sz w:val="20"/>
        </w:rPr>
        <w:t>La proporción de empresas innovadoras que coopera con las universidades es un poco más alta, el 7%.</w:t>
      </w:r>
    </w:p>
  </w:footnote>
  <w:footnote w:id="33">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Se debe tener en cuenta que la cobertura de los datos varía entre jurisdicciones. Mientras</w:t>
      </w:r>
      <w:r>
        <w:rPr>
          <w:sz w:val="20"/>
        </w:rPr>
        <w:t xml:space="preserve"> </w:t>
      </w:r>
      <w:r w:rsidRPr="00A347F9">
        <w:rPr>
          <w:sz w:val="20"/>
        </w:rPr>
        <w:t xml:space="preserve">que la base </w:t>
      </w:r>
      <w:proofErr w:type="spellStart"/>
      <w:r w:rsidRPr="00A347F9">
        <w:rPr>
          <w:sz w:val="20"/>
        </w:rPr>
        <w:t>Patstat</w:t>
      </w:r>
      <w:proofErr w:type="spellEnd"/>
      <w:r w:rsidRPr="00A347F9">
        <w:rPr>
          <w:sz w:val="20"/>
        </w:rPr>
        <w:t xml:space="preserve"> proporciona una cobertura completa por ejemplo, para los EE.UU</w:t>
      </w:r>
      <w:r>
        <w:rPr>
          <w:sz w:val="20"/>
        </w:rPr>
        <w:t>.</w:t>
      </w:r>
      <w:r w:rsidRPr="00A347F9">
        <w:rPr>
          <w:sz w:val="20"/>
        </w:rPr>
        <w:t>, China, y todos los miembros de la Convención Europea de Patentes, las solicitudes se encuentran incompletas especialmente para los países de ingresos medios como Sudáfrica o Brasil.</w:t>
      </w:r>
    </w:p>
  </w:footnote>
  <w:footnote w:id="34">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Las jurisdicciones más importantes en la categoría “Otros” son </w:t>
      </w:r>
      <w:r>
        <w:rPr>
          <w:sz w:val="20"/>
        </w:rPr>
        <w:t xml:space="preserve">la República de </w:t>
      </w:r>
      <w:r w:rsidRPr="00A347F9">
        <w:rPr>
          <w:sz w:val="20"/>
        </w:rPr>
        <w:t>Corea y Japón.</w:t>
      </w:r>
    </w:p>
  </w:footnote>
  <w:footnote w:id="35">
    <w:p w:rsidR="0057360F" w:rsidRPr="00A347F9" w:rsidRDefault="0057360F" w:rsidP="001A2943">
      <w:pPr>
        <w:pStyle w:val="FootnoteText"/>
        <w:spacing w:after="80"/>
        <w:rPr>
          <w:sz w:val="20"/>
        </w:rPr>
      </w:pPr>
      <w:r w:rsidRPr="00A347F9">
        <w:rPr>
          <w:rStyle w:val="FootnoteReference"/>
          <w:sz w:val="20"/>
        </w:rPr>
        <w:footnoteRef/>
      </w:r>
      <w:r w:rsidRPr="00A347F9">
        <w:rPr>
          <w:sz w:val="20"/>
        </w:rPr>
        <w:t xml:space="preserve"> </w:t>
      </w:r>
      <w:r>
        <w:rPr>
          <w:sz w:val="20"/>
        </w:rPr>
        <w:tab/>
      </w:r>
      <w:r w:rsidRPr="00A347F9">
        <w:rPr>
          <w:sz w:val="20"/>
        </w:rPr>
        <w:t xml:space="preserve">Por supuesto, no se conoce el hecho </w:t>
      </w:r>
      <w:proofErr w:type="spellStart"/>
      <w:r w:rsidRPr="00A347F9">
        <w:rPr>
          <w:sz w:val="20"/>
        </w:rPr>
        <w:t>contrafáctico</w:t>
      </w:r>
      <w:proofErr w:type="spellEnd"/>
      <w:r w:rsidRPr="00A347F9">
        <w:rPr>
          <w:sz w:val="20"/>
        </w:rPr>
        <w:t>, es decir, las solicitudes agregadas podrían haber caído a menos que los solicitantes presentaran más marcas en menos clases.</w:t>
      </w:r>
    </w:p>
  </w:footnote>
  <w:footnote w:id="36">
    <w:p w:rsidR="0057360F" w:rsidRPr="00A347F9" w:rsidRDefault="0057360F" w:rsidP="001A2943">
      <w:pPr>
        <w:pStyle w:val="FootnoteText"/>
        <w:spacing w:after="80"/>
        <w:rPr>
          <w:sz w:val="20"/>
          <w:lang w:val="es-MX"/>
        </w:rPr>
      </w:pPr>
      <w:r w:rsidRPr="00A347F9">
        <w:rPr>
          <w:rStyle w:val="FootnoteReference"/>
          <w:sz w:val="20"/>
        </w:rPr>
        <w:footnoteRef/>
      </w:r>
      <w:r w:rsidRPr="00CD46BF">
        <w:rPr>
          <w:sz w:val="20"/>
          <w:lang w:val="es-ES_tradnl"/>
        </w:rPr>
        <w:t xml:space="preserve"> </w:t>
      </w:r>
      <w:r>
        <w:rPr>
          <w:sz w:val="20"/>
          <w:lang w:val="es-ES_tradnl"/>
        </w:rPr>
        <w:tab/>
      </w:r>
      <w:r w:rsidRPr="00A347F9">
        <w:rPr>
          <w:sz w:val="20"/>
          <w:lang w:val="es-MX"/>
        </w:rPr>
        <w:t xml:space="preserve">Ley 19.039 </w:t>
      </w:r>
    </w:p>
  </w:footnote>
  <w:footnote w:id="37">
    <w:p w:rsidR="0057360F" w:rsidRPr="00A347F9" w:rsidRDefault="0057360F" w:rsidP="001A2943">
      <w:pPr>
        <w:pStyle w:val="FootnoteText"/>
        <w:spacing w:after="80"/>
        <w:rPr>
          <w:sz w:val="20"/>
          <w:lang w:val="es-MX"/>
        </w:rPr>
      </w:pPr>
      <w:r w:rsidRPr="00A347F9">
        <w:rPr>
          <w:rStyle w:val="FootnoteReference"/>
          <w:sz w:val="20"/>
        </w:rPr>
        <w:footnoteRef/>
      </w:r>
      <w:r w:rsidRPr="00CD46BF">
        <w:rPr>
          <w:sz w:val="20"/>
          <w:lang w:val="es-ES_tradnl"/>
        </w:rPr>
        <w:t xml:space="preserve"> </w:t>
      </w:r>
      <w:r>
        <w:rPr>
          <w:sz w:val="20"/>
          <w:lang w:val="es-ES_tradnl"/>
        </w:rPr>
        <w:tab/>
      </w:r>
      <w:r w:rsidRPr="00A347F9">
        <w:rPr>
          <w:sz w:val="20"/>
          <w:lang w:val="es-MX"/>
        </w:rPr>
        <w:t>Artículo 23 de la Ley 19.039</w:t>
      </w:r>
    </w:p>
  </w:footnote>
  <w:footnote w:id="38">
    <w:p w:rsidR="0057360F" w:rsidRPr="00085FB9" w:rsidRDefault="0057360F" w:rsidP="00085FB9">
      <w:pPr>
        <w:pStyle w:val="FootnoteText"/>
        <w:rPr>
          <w:szCs w:val="18"/>
          <w:lang w:val="en-US"/>
        </w:rPr>
      </w:pPr>
      <w:r w:rsidRPr="00525D01">
        <w:rPr>
          <w:rStyle w:val="FootnoteReference"/>
          <w:szCs w:val="18"/>
        </w:rPr>
        <w:footnoteRef/>
      </w:r>
      <w:r w:rsidRPr="00085FB9">
        <w:rPr>
          <w:szCs w:val="18"/>
          <w:lang w:val="en-US"/>
        </w:rPr>
        <w:t xml:space="preserve"> Article 61 and 67 Law 19309</w:t>
      </w:r>
    </w:p>
  </w:footnote>
  <w:footnote w:id="39">
    <w:p w:rsidR="0057360F" w:rsidRPr="00085FB9" w:rsidRDefault="0057360F" w:rsidP="00085FB9">
      <w:pPr>
        <w:pStyle w:val="FootnoteText"/>
        <w:rPr>
          <w:szCs w:val="18"/>
          <w:lang w:val="en-US"/>
        </w:rPr>
      </w:pPr>
      <w:r w:rsidRPr="00525D01">
        <w:rPr>
          <w:rStyle w:val="FootnoteReference"/>
          <w:szCs w:val="18"/>
        </w:rPr>
        <w:footnoteRef/>
      </w:r>
      <w:r w:rsidRPr="00085FB9">
        <w:rPr>
          <w:rStyle w:val="FootnoteReference"/>
          <w:szCs w:val="18"/>
          <w:lang w:val="en-US"/>
        </w:rPr>
        <w:t xml:space="preserve"> </w:t>
      </w:r>
      <w:r w:rsidRPr="00085FB9">
        <w:rPr>
          <w:szCs w:val="18"/>
          <w:lang w:val="en-US"/>
        </w:rPr>
        <w:t>Article 107, Law 19,039</w:t>
      </w:r>
    </w:p>
  </w:footnote>
  <w:footnote w:id="40">
    <w:p w:rsidR="0057360F" w:rsidRPr="00085FB9" w:rsidRDefault="0057360F" w:rsidP="00085FB9">
      <w:pPr>
        <w:pStyle w:val="FootnoteText"/>
        <w:rPr>
          <w:szCs w:val="18"/>
          <w:lang w:val="en-US"/>
        </w:rPr>
      </w:pPr>
      <w:r w:rsidRPr="00525D01">
        <w:rPr>
          <w:rStyle w:val="FootnoteReference"/>
          <w:szCs w:val="18"/>
        </w:rPr>
        <w:footnoteRef/>
      </w:r>
      <w:r w:rsidRPr="00085FB9">
        <w:rPr>
          <w:szCs w:val="18"/>
          <w:lang w:val="en-US"/>
        </w:rPr>
        <w:t xml:space="preserve"> Article 108, Law 19,039</w:t>
      </w:r>
    </w:p>
  </w:footnote>
  <w:footnote w:id="41">
    <w:p w:rsidR="0057360F" w:rsidRPr="00085FB9" w:rsidRDefault="0057360F" w:rsidP="00085FB9">
      <w:pPr>
        <w:pStyle w:val="FootnoteText"/>
        <w:rPr>
          <w:szCs w:val="18"/>
          <w:lang w:val="en-US"/>
        </w:rPr>
      </w:pPr>
      <w:r w:rsidRPr="00525D01">
        <w:rPr>
          <w:rStyle w:val="FootnoteReference"/>
          <w:szCs w:val="18"/>
        </w:rPr>
        <w:footnoteRef/>
      </w:r>
      <w:r w:rsidRPr="00085FB9">
        <w:rPr>
          <w:szCs w:val="18"/>
          <w:lang w:val="en-US"/>
        </w:rPr>
        <w:t xml:space="preserve"> More details in Articles 37 and </w:t>
      </w:r>
      <w:proofErr w:type="gramStart"/>
      <w:r w:rsidRPr="00085FB9">
        <w:rPr>
          <w:szCs w:val="18"/>
          <w:lang w:val="en-US"/>
        </w:rPr>
        <w:t>38  of</w:t>
      </w:r>
      <w:proofErr w:type="gramEnd"/>
      <w:r w:rsidRPr="00085FB9">
        <w:rPr>
          <w:szCs w:val="18"/>
          <w:lang w:val="en-US"/>
        </w:rPr>
        <w:t xml:space="preserve"> Law  19039. </w:t>
      </w:r>
    </w:p>
  </w:footnote>
  <w:footnote w:id="42">
    <w:p w:rsidR="0057360F" w:rsidRPr="00085FB9" w:rsidRDefault="0057360F" w:rsidP="00085FB9">
      <w:pPr>
        <w:pStyle w:val="FootnoteText"/>
        <w:rPr>
          <w:szCs w:val="18"/>
          <w:lang w:val="en-US"/>
        </w:rPr>
      </w:pPr>
      <w:r w:rsidRPr="00937249">
        <w:rPr>
          <w:rStyle w:val="FootnoteReference"/>
          <w:szCs w:val="18"/>
        </w:rPr>
        <w:footnoteRef/>
      </w:r>
      <w:r w:rsidRPr="00085FB9">
        <w:rPr>
          <w:szCs w:val="18"/>
          <w:lang w:val="en-US"/>
        </w:rPr>
        <w:t xml:space="preserve"> See article 38 Law 19309</w:t>
      </w:r>
    </w:p>
  </w:footnote>
  <w:footnote w:id="43">
    <w:p w:rsidR="0057360F" w:rsidRPr="00085FB9" w:rsidRDefault="0057360F" w:rsidP="00085FB9">
      <w:pPr>
        <w:pStyle w:val="FootnoteText"/>
        <w:rPr>
          <w:szCs w:val="18"/>
          <w:lang w:val="en-US"/>
        </w:rPr>
      </w:pPr>
      <w:r w:rsidRPr="00937249">
        <w:rPr>
          <w:rStyle w:val="FootnoteReference"/>
          <w:szCs w:val="18"/>
        </w:rPr>
        <w:footnoteRef/>
      </w:r>
      <w:r w:rsidRPr="00085FB9">
        <w:rPr>
          <w:szCs w:val="18"/>
          <w:lang w:val="en-US"/>
        </w:rPr>
        <w:t xml:space="preserve"> See article 39 Law 19309</w:t>
      </w:r>
    </w:p>
  </w:footnote>
  <w:footnote w:id="44">
    <w:p w:rsidR="0057360F" w:rsidRPr="00085FB9" w:rsidRDefault="0057360F" w:rsidP="00085FB9">
      <w:pPr>
        <w:pStyle w:val="FootnoteText"/>
        <w:rPr>
          <w:szCs w:val="18"/>
          <w:lang w:val="en-US"/>
        </w:rPr>
      </w:pPr>
      <w:r w:rsidRPr="00937249">
        <w:rPr>
          <w:rStyle w:val="FootnoteReference"/>
          <w:szCs w:val="18"/>
        </w:rPr>
        <w:footnoteRef/>
      </w:r>
      <w:r w:rsidRPr="00085FB9">
        <w:rPr>
          <w:szCs w:val="18"/>
          <w:lang w:val="en-US"/>
        </w:rPr>
        <w:t xml:space="preserve"> See article 41-44 Law 19309</w:t>
      </w:r>
    </w:p>
  </w:footnote>
  <w:footnote w:id="45">
    <w:p w:rsidR="0057360F" w:rsidRPr="00085FB9" w:rsidRDefault="0057360F" w:rsidP="00085FB9">
      <w:pPr>
        <w:pStyle w:val="FootnoteText"/>
        <w:rPr>
          <w:szCs w:val="18"/>
          <w:lang w:val="en-US"/>
        </w:rPr>
      </w:pPr>
      <w:r w:rsidRPr="00937249">
        <w:rPr>
          <w:rStyle w:val="FootnoteReference"/>
          <w:szCs w:val="18"/>
        </w:rPr>
        <w:footnoteRef/>
      </w:r>
      <w:r w:rsidRPr="00085FB9">
        <w:rPr>
          <w:szCs w:val="18"/>
          <w:lang w:val="en-US"/>
        </w:rPr>
        <w:t xml:space="preserve"> Article 46-48 Law 19309</w:t>
      </w:r>
    </w:p>
  </w:footnote>
  <w:footnote w:id="46">
    <w:p w:rsidR="0057360F" w:rsidRPr="00085FB9" w:rsidRDefault="0057360F" w:rsidP="00085FB9">
      <w:pPr>
        <w:pStyle w:val="FootnoteText"/>
        <w:rPr>
          <w:szCs w:val="18"/>
          <w:lang w:val="en-US"/>
        </w:rPr>
      </w:pPr>
      <w:r w:rsidRPr="00937249">
        <w:rPr>
          <w:rStyle w:val="FootnoteReference"/>
          <w:szCs w:val="18"/>
        </w:rPr>
        <w:footnoteRef/>
      </w:r>
      <w:r w:rsidRPr="00085FB9">
        <w:rPr>
          <w:szCs w:val="18"/>
          <w:lang w:val="en-US"/>
        </w:rPr>
        <w:t xml:space="preserve"> See article 54 Law 19309</w:t>
      </w:r>
    </w:p>
  </w:footnote>
  <w:footnote w:id="47">
    <w:p w:rsidR="0057360F" w:rsidRPr="00085FB9" w:rsidRDefault="0057360F" w:rsidP="00085FB9">
      <w:pPr>
        <w:pStyle w:val="FootnoteText"/>
        <w:rPr>
          <w:rFonts w:eastAsia="Times New Roman"/>
          <w:color w:val="888888"/>
          <w:szCs w:val="18"/>
          <w:lang w:val="en-US" w:eastAsia="es-ES"/>
        </w:rPr>
      </w:pPr>
      <w:r w:rsidRPr="00937249">
        <w:rPr>
          <w:rStyle w:val="FootnoteReference"/>
          <w:szCs w:val="18"/>
        </w:rPr>
        <w:footnoteRef/>
      </w:r>
      <w:r w:rsidRPr="00085FB9">
        <w:rPr>
          <w:szCs w:val="18"/>
          <w:lang w:val="en-US"/>
        </w:rPr>
        <w:t xml:space="preserve"> </w:t>
      </w:r>
      <w:proofErr w:type="spellStart"/>
      <w:r w:rsidRPr="00085FB9">
        <w:rPr>
          <w:szCs w:val="18"/>
          <w:lang w:val="en-US"/>
        </w:rPr>
        <w:t>Unidad</w:t>
      </w:r>
      <w:proofErr w:type="spellEnd"/>
      <w:r w:rsidRPr="00085FB9">
        <w:rPr>
          <w:szCs w:val="18"/>
          <w:lang w:val="en-US"/>
        </w:rPr>
        <w:t xml:space="preserve"> </w:t>
      </w:r>
      <w:proofErr w:type="spellStart"/>
      <w:r w:rsidRPr="00085FB9">
        <w:rPr>
          <w:szCs w:val="18"/>
          <w:lang w:val="en-US"/>
        </w:rPr>
        <w:t>Tributaria</w:t>
      </w:r>
      <w:proofErr w:type="spellEnd"/>
      <w:r w:rsidRPr="00085FB9">
        <w:rPr>
          <w:szCs w:val="18"/>
          <w:lang w:val="en-US"/>
        </w:rPr>
        <w:t xml:space="preserve"> </w:t>
      </w:r>
      <w:proofErr w:type="spellStart"/>
      <w:r w:rsidRPr="00085FB9">
        <w:rPr>
          <w:szCs w:val="18"/>
          <w:lang w:val="en-US"/>
        </w:rPr>
        <w:t>Mensual</w:t>
      </w:r>
      <w:proofErr w:type="spellEnd"/>
      <w:r w:rsidRPr="00085FB9">
        <w:rPr>
          <w:szCs w:val="18"/>
          <w:lang w:val="en-US"/>
        </w:rPr>
        <w:t>: an amount of money determined by law and expressed in Chilean pesos which is permanently updated by the Consumer Price Index (IPC) and used as a tax measure.</w:t>
      </w:r>
    </w:p>
  </w:footnote>
  <w:footnote w:id="48">
    <w:p w:rsidR="0057360F" w:rsidRPr="00085FB9" w:rsidRDefault="0057360F" w:rsidP="00085FB9">
      <w:pPr>
        <w:pStyle w:val="FootnoteText"/>
        <w:rPr>
          <w:szCs w:val="18"/>
          <w:lang w:val="en-US"/>
        </w:rPr>
      </w:pPr>
      <w:r w:rsidRPr="00937249">
        <w:rPr>
          <w:rStyle w:val="FootnoteReference"/>
          <w:szCs w:val="18"/>
        </w:rPr>
        <w:footnoteRef/>
      </w:r>
      <w:r w:rsidRPr="00085FB9">
        <w:rPr>
          <w:szCs w:val="18"/>
          <w:lang w:val="en-US"/>
        </w:rPr>
        <w:t xml:space="preserve"> Article 45 Law 19039</w:t>
      </w:r>
    </w:p>
  </w:footnote>
  <w:footnote w:id="49">
    <w:p w:rsidR="0057360F" w:rsidRPr="00085FB9" w:rsidRDefault="0057360F" w:rsidP="00085FB9">
      <w:pPr>
        <w:pStyle w:val="FootnoteText"/>
        <w:rPr>
          <w:szCs w:val="18"/>
          <w:lang w:val="en-US"/>
        </w:rPr>
      </w:pPr>
      <w:r w:rsidRPr="00637BAE">
        <w:rPr>
          <w:rStyle w:val="FootnoteReference"/>
          <w:szCs w:val="18"/>
        </w:rPr>
        <w:footnoteRef/>
      </w:r>
      <w:r w:rsidRPr="00085FB9">
        <w:rPr>
          <w:szCs w:val="18"/>
          <w:lang w:val="en-US"/>
        </w:rPr>
        <w:t xml:space="preserve"> Some countries have a term of 18 month from the application date to the publication of the application. </w:t>
      </w:r>
    </w:p>
  </w:footnote>
  <w:footnote w:id="50">
    <w:p w:rsidR="0057360F" w:rsidRPr="00085FB9" w:rsidRDefault="0057360F" w:rsidP="00085FB9">
      <w:pPr>
        <w:pStyle w:val="FootnoteText"/>
        <w:rPr>
          <w:szCs w:val="18"/>
          <w:lang w:val="en-US"/>
        </w:rPr>
      </w:pPr>
      <w:r w:rsidRPr="00637BAE">
        <w:rPr>
          <w:rStyle w:val="FootnoteReference"/>
          <w:szCs w:val="18"/>
        </w:rPr>
        <w:footnoteRef/>
      </w:r>
      <w:r w:rsidRPr="00085FB9">
        <w:rPr>
          <w:szCs w:val="18"/>
          <w:lang w:val="en-US"/>
        </w:rPr>
        <w:t xml:space="preserve"> </w:t>
      </w:r>
      <w:proofErr w:type="gramStart"/>
      <w:r w:rsidRPr="00085FB9">
        <w:rPr>
          <w:szCs w:val="18"/>
          <w:lang w:val="en-US"/>
        </w:rPr>
        <w:t>Article 8 Law 19039.</w:t>
      </w:r>
      <w:proofErr w:type="gramEnd"/>
    </w:p>
  </w:footnote>
  <w:footnote w:id="51">
    <w:p w:rsidR="0057360F" w:rsidRPr="00085FB9" w:rsidRDefault="0057360F" w:rsidP="00085FB9">
      <w:pPr>
        <w:pStyle w:val="FootnoteText"/>
        <w:rPr>
          <w:szCs w:val="18"/>
          <w:lang w:val="en-US"/>
        </w:rPr>
      </w:pPr>
      <w:r w:rsidRPr="00637BAE">
        <w:rPr>
          <w:rStyle w:val="FootnoteReference"/>
          <w:szCs w:val="18"/>
        </w:rPr>
        <w:footnoteRef/>
      </w:r>
      <w:r w:rsidRPr="00085FB9">
        <w:rPr>
          <w:szCs w:val="18"/>
          <w:lang w:val="en-US"/>
        </w:rPr>
        <w:t xml:space="preserve"> As in the publication stage if </w:t>
      </w:r>
      <w:r w:rsidRPr="00085FB9">
        <w:rPr>
          <w:bCs/>
          <w:szCs w:val="18"/>
          <w:lang w:val="en-US"/>
        </w:rPr>
        <w:t>the applicant wants to resume the application after the 60 days period, the applicant must request the application´s reopening and pay the examination fee within 120 working days, counting from the date the application was considered abandoned.  Otherwise, the request is definitely considered abandoned. (Art 8 Law 19039)</w:t>
      </w:r>
      <w:proofErr w:type="gramStart"/>
      <w:r w:rsidRPr="00085FB9">
        <w:rPr>
          <w:bCs/>
          <w:szCs w:val="18"/>
          <w:lang w:val="en-US"/>
        </w:rPr>
        <w:t>.</w:t>
      </w:r>
      <w:proofErr w:type="gramEnd"/>
    </w:p>
  </w:footnote>
  <w:footnote w:id="52">
    <w:p w:rsidR="0057360F" w:rsidRPr="00085FB9" w:rsidRDefault="0057360F" w:rsidP="00085FB9">
      <w:pPr>
        <w:pStyle w:val="FootnoteText"/>
        <w:rPr>
          <w:szCs w:val="18"/>
          <w:lang w:val="en-US"/>
        </w:rPr>
      </w:pPr>
      <w:r w:rsidRPr="00637BAE">
        <w:rPr>
          <w:rStyle w:val="FootnoteReference"/>
          <w:szCs w:val="18"/>
        </w:rPr>
        <w:footnoteRef/>
      </w:r>
      <w:r w:rsidRPr="00085FB9">
        <w:rPr>
          <w:szCs w:val="18"/>
          <w:lang w:val="en-US"/>
        </w:rPr>
        <w:t xml:space="preserve"> These values have been adjusted on January 2012. </w:t>
      </w:r>
    </w:p>
  </w:footnote>
  <w:footnote w:id="53">
    <w:p w:rsidR="0057360F" w:rsidRPr="00085FB9" w:rsidRDefault="0057360F" w:rsidP="00085FB9">
      <w:pPr>
        <w:pStyle w:val="FootnoteText"/>
        <w:rPr>
          <w:rFonts w:ascii="Calibri" w:hAnsi="Calibri"/>
          <w:szCs w:val="18"/>
          <w:lang w:val="en-US"/>
        </w:rPr>
      </w:pPr>
      <w:r w:rsidRPr="00637BAE">
        <w:rPr>
          <w:rStyle w:val="FootnoteReference"/>
          <w:szCs w:val="18"/>
        </w:rPr>
        <w:footnoteRef/>
      </w:r>
      <w:r w:rsidRPr="00085FB9">
        <w:rPr>
          <w:szCs w:val="18"/>
          <w:lang w:val="en-US"/>
        </w:rPr>
        <w:t xml:space="preserve"> Art 7 of Law 19039.</w:t>
      </w:r>
    </w:p>
  </w:footnote>
  <w:footnote w:id="54">
    <w:p w:rsidR="0057360F" w:rsidRPr="00085FB9" w:rsidRDefault="0057360F" w:rsidP="00085FB9">
      <w:pPr>
        <w:pStyle w:val="FootnoteText"/>
        <w:rPr>
          <w:szCs w:val="18"/>
          <w:lang w:val="en-US"/>
        </w:rPr>
      </w:pPr>
      <w:r w:rsidRPr="004C2167">
        <w:rPr>
          <w:rStyle w:val="FootnoteReference"/>
          <w:szCs w:val="18"/>
        </w:rPr>
        <w:footnoteRef/>
      </w:r>
      <w:r w:rsidRPr="00085FB9">
        <w:rPr>
          <w:szCs w:val="18"/>
          <w:lang w:val="en-US"/>
        </w:rPr>
        <w:t xml:space="preserve"> The data also contain industrial drawings and precautionary patents. </w:t>
      </w:r>
    </w:p>
  </w:footnote>
  <w:footnote w:id="55">
    <w:p w:rsidR="0057360F" w:rsidRPr="00085FB9" w:rsidRDefault="0057360F" w:rsidP="00085FB9">
      <w:pPr>
        <w:pStyle w:val="FootnoteText"/>
        <w:rPr>
          <w:lang w:val="en-US"/>
        </w:rPr>
      </w:pPr>
      <w:r>
        <w:rPr>
          <w:rStyle w:val="FootnoteReference"/>
        </w:rPr>
        <w:footnoteRef/>
      </w:r>
      <w:r w:rsidRPr="00085FB9">
        <w:rPr>
          <w:lang w:val="en-US"/>
        </w:rPr>
        <w:t xml:space="preserve"> Foreign companies can still obtain a RUT.</w:t>
      </w:r>
    </w:p>
  </w:footnote>
  <w:footnote w:id="56">
    <w:p w:rsidR="0057360F" w:rsidRPr="001E1730" w:rsidRDefault="0057360F" w:rsidP="001E1730">
      <w:pPr>
        <w:pStyle w:val="FootnoteText"/>
        <w:rPr>
          <w:szCs w:val="18"/>
          <w:lang w:val="en-US"/>
        </w:rPr>
      </w:pPr>
      <w:r w:rsidRPr="00067E13">
        <w:rPr>
          <w:rStyle w:val="FootnoteReference"/>
          <w:szCs w:val="18"/>
        </w:rPr>
        <w:footnoteRef/>
      </w:r>
      <w:r w:rsidRPr="001E1730">
        <w:rPr>
          <w:szCs w:val="18"/>
          <w:lang w:val="en-US"/>
        </w:rPr>
        <w:t xml:space="preserve"> </w:t>
      </w:r>
      <w:r w:rsidR="00FA7282">
        <w:fldChar w:fldCharType="begin"/>
      </w:r>
      <w:r w:rsidR="00FA7282" w:rsidRPr="00FA7282">
        <w:rPr>
          <w:lang w:val="en-US"/>
        </w:rPr>
        <w:instrText xml:space="preserve"> HYPERLINK "https://zeus.sii.cl/cvc/stc/stc.html" </w:instrText>
      </w:r>
      <w:r w:rsidR="00FA7282">
        <w:fldChar w:fldCharType="separate"/>
      </w:r>
      <w:r w:rsidRPr="001E1730">
        <w:rPr>
          <w:rStyle w:val="Hyperlink"/>
          <w:szCs w:val="18"/>
          <w:lang w:val="en-US"/>
        </w:rPr>
        <w:t>https://zeus.sii.cl/cvc/stc/stc.html</w:t>
      </w:r>
      <w:r w:rsidR="00FA7282">
        <w:rPr>
          <w:rStyle w:val="Hyperlink"/>
          <w:szCs w:val="18"/>
          <w:lang w:val="en-US"/>
        </w:rPr>
        <w:fldChar w:fldCharType="end"/>
      </w:r>
    </w:p>
  </w:footnote>
  <w:footnote w:id="57">
    <w:p w:rsidR="0057360F" w:rsidRPr="001E1730" w:rsidRDefault="0057360F" w:rsidP="001E1730">
      <w:pPr>
        <w:pStyle w:val="FootnoteText"/>
        <w:rPr>
          <w:szCs w:val="18"/>
          <w:lang w:val="en-US"/>
        </w:rPr>
      </w:pPr>
      <w:r w:rsidRPr="00067E13">
        <w:rPr>
          <w:rStyle w:val="FootnoteReference"/>
          <w:szCs w:val="18"/>
        </w:rPr>
        <w:footnoteRef/>
      </w:r>
      <w:r w:rsidRPr="001E1730">
        <w:rPr>
          <w:szCs w:val="18"/>
          <w:lang w:val="en-US"/>
        </w:rPr>
        <w:t xml:space="preserve"> http://www.transunionchile.cl</w:t>
      </w:r>
    </w:p>
  </w:footnote>
  <w:footnote w:id="58">
    <w:p w:rsidR="0057360F" w:rsidRPr="001E1730" w:rsidRDefault="0057360F" w:rsidP="001E1730">
      <w:pPr>
        <w:pStyle w:val="FootnoteText"/>
        <w:rPr>
          <w:lang w:val="en-US"/>
        </w:rPr>
      </w:pPr>
      <w:r>
        <w:rPr>
          <w:rStyle w:val="FootnoteReference"/>
        </w:rPr>
        <w:footnoteRef/>
      </w:r>
      <w:r w:rsidRPr="001E1730">
        <w:rPr>
          <w:lang w:val="en-US"/>
        </w:rPr>
        <w:t xml:space="preserve"> Obviously we still have the information at the trademark and patent level, that is we are still able to disentangle within a given ID which patents report a Chilean and which a foreign residency.  Whether the data is considered at the ID- or IP-level depends on the purpose of the analysis.</w:t>
      </w:r>
    </w:p>
  </w:footnote>
  <w:footnote w:id="59">
    <w:p w:rsidR="0057360F" w:rsidRPr="001E1730" w:rsidRDefault="0057360F" w:rsidP="001E1730">
      <w:pPr>
        <w:rPr>
          <w:sz w:val="18"/>
          <w:szCs w:val="18"/>
          <w:lang w:val="en-US"/>
        </w:rPr>
      </w:pPr>
      <w:r w:rsidRPr="00EE14D0">
        <w:rPr>
          <w:rStyle w:val="FootnoteReference"/>
          <w:sz w:val="18"/>
          <w:szCs w:val="18"/>
        </w:rPr>
        <w:footnoteRef/>
      </w:r>
      <w:r w:rsidRPr="001E1730">
        <w:rPr>
          <w:sz w:val="18"/>
          <w:szCs w:val="18"/>
          <w:lang w:val="en-US"/>
        </w:rPr>
        <w:t xml:space="preserve"> </w:t>
      </w:r>
      <w:proofErr w:type="spellStart"/>
      <w:r w:rsidRPr="001E1730">
        <w:rPr>
          <w:sz w:val="18"/>
          <w:szCs w:val="18"/>
          <w:lang w:val="en-US"/>
        </w:rPr>
        <w:t>Schmoch</w:t>
      </w:r>
      <w:proofErr w:type="spellEnd"/>
      <w:r w:rsidRPr="001E1730">
        <w:rPr>
          <w:sz w:val="18"/>
          <w:szCs w:val="18"/>
          <w:lang w:val="en-US"/>
        </w:rPr>
        <w:t xml:space="preserve"> U. (2008):  “Concept of a Technology Classification for Country Comparisons” WIPO, available at </w:t>
      </w:r>
      <w:r w:rsidR="00FA7282">
        <w:fldChar w:fldCharType="begin"/>
      </w:r>
      <w:r w:rsidR="00FA7282" w:rsidRPr="00FA7282">
        <w:rPr>
          <w:lang w:val="en-US"/>
        </w:rPr>
        <w:instrText xml:space="preserve"> HYPERLINK "http://www.wipo.int/edocs/mdocs/classifications/en/ipc_ce_41/ipc_ce_41_5-annex1.pdf" </w:instrText>
      </w:r>
      <w:r w:rsidR="00FA7282">
        <w:fldChar w:fldCharType="separate"/>
      </w:r>
      <w:r w:rsidRPr="001E1730">
        <w:rPr>
          <w:rStyle w:val="Hyperlink"/>
          <w:sz w:val="18"/>
          <w:szCs w:val="18"/>
          <w:lang w:val="en-US"/>
        </w:rPr>
        <w:t>http://www.wipo.int/edocs/mdocs/classifications/en/ipc_ce_41/ipc_ce_41_5-annex1.pdf</w:t>
      </w:r>
      <w:r w:rsidR="00FA7282">
        <w:rPr>
          <w:rStyle w:val="Hyperlink"/>
          <w:sz w:val="18"/>
          <w:szCs w:val="18"/>
          <w:lang w:val="en-US"/>
        </w:rPr>
        <w:fldChar w:fldCharType="end"/>
      </w:r>
      <w:r w:rsidRPr="001E1730">
        <w:rPr>
          <w:sz w:val="18"/>
          <w:szCs w:val="18"/>
          <w:lang w:val="en-US"/>
        </w:rPr>
        <w:t xml:space="preserve"> (accessed </w:t>
      </w:r>
      <w:r w:rsidRPr="001E1730">
        <w:rPr>
          <w:sz w:val="18"/>
          <w:szCs w:val="18"/>
          <w:lang w:val="en-US"/>
        </w:rPr>
        <w:br/>
        <w:t>February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rsidP="00477D6B">
    <w:pPr>
      <w:jc w:val="right"/>
    </w:pPr>
    <w:r>
      <w:t>CDIP/11x</w:t>
    </w:r>
  </w:p>
  <w:p w:rsidR="0057360F" w:rsidRDefault="0057360F" w:rsidP="00477D6B">
    <w:pPr>
      <w:jc w:val="right"/>
    </w:pPr>
    <w:r>
      <w:t xml:space="preserve">page </w:t>
    </w:r>
    <w:r>
      <w:fldChar w:fldCharType="begin"/>
    </w:r>
    <w:r>
      <w:instrText xml:space="preserve"> PAGE  \* MERGEFORMAT </w:instrText>
    </w:r>
    <w:r>
      <w:fldChar w:fldCharType="separate"/>
    </w:r>
    <w:r w:rsidR="003F4732">
      <w:rPr>
        <w:noProof/>
      </w:rPr>
      <w:t>85</w:t>
    </w:r>
    <w:r>
      <w:fldChar w:fldCharType="end"/>
    </w:r>
  </w:p>
  <w:p w:rsidR="0057360F" w:rsidRDefault="0057360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rsidP="00477D6B">
    <w:pPr>
      <w:jc w:val="right"/>
    </w:pPr>
    <w:r>
      <w:t>CDIP/11/INF/4</w:t>
    </w:r>
  </w:p>
  <w:p w:rsidR="0057360F" w:rsidRDefault="0057360F" w:rsidP="00477D6B">
    <w:pPr>
      <w:jc w:val="right"/>
    </w:pPr>
    <w:r>
      <w:t xml:space="preserve">Anexo, page </w:t>
    </w:r>
    <w:r>
      <w:rPr>
        <w:rStyle w:val="PageNumber"/>
      </w:rPr>
      <w:fldChar w:fldCharType="begin"/>
    </w:r>
    <w:r>
      <w:rPr>
        <w:rStyle w:val="PageNumber"/>
      </w:rPr>
      <w:instrText xml:space="preserve"> PAGE </w:instrText>
    </w:r>
    <w:r>
      <w:rPr>
        <w:rStyle w:val="PageNumber"/>
      </w:rPr>
      <w:fldChar w:fldCharType="separate"/>
    </w:r>
    <w:r w:rsidR="00FA7282">
      <w:rPr>
        <w:rStyle w:val="PageNumber"/>
        <w:noProof/>
      </w:rPr>
      <w:t>6</w:t>
    </w:r>
    <w:r>
      <w:rPr>
        <w:rStyle w:val="PageNumber"/>
      </w:rPr>
      <w:fldChar w:fldCharType="end"/>
    </w:r>
  </w:p>
  <w:p w:rsidR="0057360F" w:rsidRDefault="0057360F"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rsidP="004C3144">
    <w:pPr>
      <w:pStyle w:val="Header"/>
      <w:jc w:val="right"/>
    </w:pPr>
    <w:r>
      <w:t>CDIP/11/INF/4</w:t>
    </w:r>
  </w:p>
  <w:p w:rsidR="0057360F" w:rsidRDefault="0057360F" w:rsidP="004C3144">
    <w:pPr>
      <w:pStyle w:val="Header"/>
      <w:jc w:val="right"/>
    </w:pPr>
    <w:r>
      <w:t>ANEXO</w:t>
    </w:r>
  </w:p>
  <w:p w:rsidR="0057360F" w:rsidRDefault="005736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rsidP="00477D6B">
    <w:pPr>
      <w:jc w:val="right"/>
    </w:pPr>
    <w:r>
      <w:t>CDIP/11/INF/4</w:t>
    </w:r>
  </w:p>
  <w:p w:rsidR="0057360F" w:rsidRDefault="0057360F" w:rsidP="00477D6B">
    <w:pPr>
      <w:jc w:val="right"/>
    </w:pPr>
    <w:r>
      <w:t xml:space="preserve">Anexo, page </w:t>
    </w:r>
    <w:r>
      <w:rPr>
        <w:rStyle w:val="PageNumber"/>
      </w:rPr>
      <w:fldChar w:fldCharType="begin"/>
    </w:r>
    <w:r>
      <w:rPr>
        <w:rStyle w:val="PageNumber"/>
      </w:rPr>
      <w:instrText xml:space="preserve"> PAGE </w:instrText>
    </w:r>
    <w:r>
      <w:rPr>
        <w:rStyle w:val="PageNumber"/>
      </w:rPr>
      <w:fldChar w:fldCharType="separate"/>
    </w:r>
    <w:r w:rsidR="00FA7282">
      <w:rPr>
        <w:rStyle w:val="PageNumber"/>
        <w:noProof/>
      </w:rPr>
      <w:t>82</w:t>
    </w:r>
    <w:r>
      <w:rPr>
        <w:rStyle w:val="PageNumber"/>
      </w:rPr>
      <w:fldChar w:fldCharType="end"/>
    </w:r>
  </w:p>
  <w:p w:rsidR="0057360F" w:rsidRDefault="0057360F"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rsidP="00477D6B">
    <w:pPr>
      <w:jc w:val="right"/>
    </w:pPr>
    <w:r>
      <w:t>CDIP/11/INF/4</w:t>
    </w:r>
  </w:p>
  <w:p w:rsidR="0057360F" w:rsidRDefault="0057360F" w:rsidP="00477D6B">
    <w:pPr>
      <w:jc w:val="right"/>
    </w:pPr>
    <w:proofErr w:type="spellStart"/>
    <w:r>
      <w:t>Annex</w:t>
    </w:r>
    <w:proofErr w:type="spellEnd"/>
    <w:r>
      <w:t xml:space="preserve">, page </w:t>
    </w:r>
    <w:r>
      <w:rPr>
        <w:rStyle w:val="PageNumber"/>
      </w:rPr>
      <w:fldChar w:fldCharType="begin"/>
    </w:r>
    <w:r>
      <w:rPr>
        <w:rStyle w:val="PageNumber"/>
      </w:rPr>
      <w:instrText xml:space="preserve"> PAGE </w:instrText>
    </w:r>
    <w:r>
      <w:rPr>
        <w:rStyle w:val="PageNumber"/>
      </w:rPr>
      <w:fldChar w:fldCharType="separate"/>
    </w:r>
    <w:r w:rsidR="00FA7282">
      <w:rPr>
        <w:rStyle w:val="PageNumber"/>
        <w:noProof/>
      </w:rPr>
      <w:t>85</w:t>
    </w:r>
    <w:r>
      <w:rPr>
        <w:rStyle w:val="PageNumber"/>
      </w:rPr>
      <w:fldChar w:fldCharType="end"/>
    </w:r>
  </w:p>
  <w:p w:rsidR="0057360F" w:rsidRDefault="0057360F"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Default="0057360F" w:rsidP="000641C8">
    <w:pPr>
      <w:pStyle w:val="Header"/>
      <w:jc w:val="right"/>
    </w:pPr>
    <w:bookmarkStart w:id="65" w:name="Code2"/>
    <w:bookmarkEnd w:id="65"/>
    <w:r>
      <w:t>CDIP/11/INF/4</w:t>
    </w:r>
  </w:p>
  <w:p w:rsidR="0057360F" w:rsidRPr="00231B57" w:rsidRDefault="0057360F" w:rsidP="000641C8">
    <w:pPr>
      <w:pStyle w:val="Header"/>
      <w:jc w:val="right"/>
    </w:pPr>
    <w:r>
      <w:t xml:space="preserve">Anexo, página </w:t>
    </w:r>
    <w:r>
      <w:fldChar w:fldCharType="begin"/>
    </w:r>
    <w:r>
      <w:instrText xml:space="preserve"> PAGE   \* MERGEFORMAT </w:instrText>
    </w:r>
    <w:r>
      <w:fldChar w:fldCharType="separate"/>
    </w:r>
    <w:r w:rsidR="003F4732">
      <w:rPr>
        <w:noProof/>
      </w:rPr>
      <w:t>85</w:t>
    </w:r>
    <w:r>
      <w:rPr>
        <w:noProof/>
      </w:rPr>
      <w:fldChar w:fldCharType="end"/>
    </w:r>
  </w:p>
  <w:p w:rsidR="0057360F" w:rsidRDefault="0057360F" w:rsidP="000641C8">
    <w:pPr>
      <w:pStyle w:val="Header"/>
      <w:jc w:val="right"/>
    </w:pPr>
  </w:p>
  <w:p w:rsidR="0057360F" w:rsidRDefault="0057360F"/>
  <w:p w:rsidR="0057360F" w:rsidRDefault="0057360F"/>
  <w:p w:rsidR="0057360F" w:rsidRDefault="0057360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0F" w:rsidRPr="001C7D37" w:rsidRDefault="0057360F" w:rsidP="00D22A49">
    <w:pPr>
      <w:pStyle w:val="Header"/>
      <w:jc w:val="right"/>
      <w:rPr>
        <w:lang w:val="fr-CH"/>
      </w:rPr>
    </w:pPr>
    <w:r w:rsidRPr="001C7D37">
      <w:rPr>
        <w:lang w:val="fr-CH"/>
      </w:rPr>
      <w:t>CDIP/11/INF/4</w:t>
    </w:r>
  </w:p>
  <w:p w:rsidR="0057360F" w:rsidRPr="001C7D37" w:rsidRDefault="0057360F" w:rsidP="001C7D37">
    <w:pPr>
      <w:pStyle w:val="Header"/>
      <w:tabs>
        <w:tab w:val="left" w:pos="3686"/>
      </w:tabs>
      <w:jc w:val="right"/>
      <w:rPr>
        <w:lang w:val="fr-CH"/>
      </w:rPr>
    </w:pPr>
    <w:proofErr w:type="spellStart"/>
    <w:r w:rsidRPr="001C7D37">
      <w:rPr>
        <w:lang w:val="fr-CH"/>
      </w:rPr>
      <w:t>Annex</w:t>
    </w:r>
    <w:proofErr w:type="spellEnd"/>
    <w:r w:rsidRPr="001C7D37">
      <w:rPr>
        <w:lang w:val="fr-CH"/>
      </w:rPr>
      <w:t xml:space="preserve">, page </w:t>
    </w:r>
    <w:r w:rsidRPr="001C7D37">
      <w:fldChar w:fldCharType="begin"/>
    </w:r>
    <w:r w:rsidRPr="001C7D37">
      <w:rPr>
        <w:lang w:val="fr-CH"/>
      </w:rPr>
      <w:instrText xml:space="preserve"> PAGE   \* MERGEFORMAT </w:instrText>
    </w:r>
    <w:r w:rsidRPr="001C7D37">
      <w:fldChar w:fldCharType="separate"/>
    </w:r>
    <w:r w:rsidR="00FA7282" w:rsidRPr="00FA7282">
      <w:rPr>
        <w:bCs/>
        <w:noProof/>
        <w:lang w:val="fr-CH"/>
      </w:rPr>
      <w:t>86</w:t>
    </w:r>
    <w:r w:rsidRPr="001C7D37">
      <w:rPr>
        <w:bCs/>
        <w:noProof/>
      </w:rPr>
      <w:fldChar w:fldCharType="end"/>
    </w:r>
  </w:p>
  <w:p w:rsidR="0057360F" w:rsidRPr="001C7D37" w:rsidRDefault="0057360F" w:rsidP="00D22A49">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FA0C59"/>
    <w:multiLevelType w:val="hybridMultilevel"/>
    <w:tmpl w:val="D7FEE9BE"/>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535CF1"/>
    <w:multiLevelType w:val="hybridMultilevel"/>
    <w:tmpl w:val="850A6A28"/>
    <w:lvl w:ilvl="0" w:tplc="04090001">
      <w:start w:val="1"/>
      <w:numFmt w:val="bullet"/>
      <w:lvlText w:val=""/>
      <w:lvlJc w:val="left"/>
      <w:pPr>
        <w:tabs>
          <w:tab w:val="num" w:pos="720"/>
        </w:tabs>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C57080F"/>
    <w:multiLevelType w:val="hybridMultilevel"/>
    <w:tmpl w:val="705027EA"/>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DE42033"/>
    <w:multiLevelType w:val="hybridMultilevel"/>
    <w:tmpl w:val="0F3A860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5">
    <w:nsid w:val="1F2343CB"/>
    <w:multiLevelType w:val="hybridMultilevel"/>
    <w:tmpl w:val="E2742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4661724"/>
    <w:multiLevelType w:val="hybridMultilevel"/>
    <w:tmpl w:val="95A45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FC13AFD"/>
    <w:multiLevelType w:val="multilevel"/>
    <w:tmpl w:val="42F8B874"/>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3DC3CAD"/>
    <w:multiLevelType w:val="hybridMultilevel"/>
    <w:tmpl w:val="FB3E056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3C3AA6"/>
    <w:multiLevelType w:val="hybridMultilevel"/>
    <w:tmpl w:val="43801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246943"/>
    <w:multiLevelType w:val="hybridMultilevel"/>
    <w:tmpl w:val="F4B44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DE6E47"/>
    <w:multiLevelType w:val="hybridMultilevel"/>
    <w:tmpl w:val="6492C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F910DF"/>
    <w:multiLevelType w:val="hybridMultilevel"/>
    <w:tmpl w:val="24D0C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5617C6"/>
    <w:multiLevelType w:val="hybridMultilevel"/>
    <w:tmpl w:val="0CAC6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7"/>
  </w:num>
  <w:num w:numId="5">
    <w:abstractNumId w:val="8"/>
  </w:num>
  <w:num w:numId="6">
    <w:abstractNumId w:val="14"/>
  </w:num>
  <w:num w:numId="7">
    <w:abstractNumId w:val="15"/>
  </w:num>
  <w:num w:numId="8">
    <w:abstractNumId w:val="13"/>
  </w:num>
  <w:num w:numId="9">
    <w:abstractNumId w:val="11"/>
  </w:num>
  <w:num w:numId="10">
    <w:abstractNumId w:val="5"/>
  </w:num>
  <w:num w:numId="11">
    <w:abstractNumId w:val="4"/>
  </w:num>
  <w:num w:numId="12">
    <w:abstractNumId w:val="3"/>
  </w:num>
  <w:num w:numId="13">
    <w:abstractNumId w:val="2"/>
  </w:num>
  <w:num w:numId="14">
    <w:abstractNumId w:val="1"/>
  </w:num>
  <w:num w:numId="15">
    <w:abstractNumId w:val="12"/>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752F"/>
    <w:rsid w:val="00021714"/>
    <w:rsid w:val="000257BB"/>
    <w:rsid w:val="000453BA"/>
    <w:rsid w:val="00050CAD"/>
    <w:rsid w:val="000641C8"/>
    <w:rsid w:val="00066FB7"/>
    <w:rsid w:val="00084774"/>
    <w:rsid w:val="00085FB9"/>
    <w:rsid w:val="000A585C"/>
    <w:rsid w:val="000B1A9F"/>
    <w:rsid w:val="000C6BBC"/>
    <w:rsid w:val="000E3BB3"/>
    <w:rsid w:val="000F5CFB"/>
    <w:rsid w:val="000F5E56"/>
    <w:rsid w:val="0011555F"/>
    <w:rsid w:val="0012266C"/>
    <w:rsid w:val="001362EE"/>
    <w:rsid w:val="00152CEA"/>
    <w:rsid w:val="001568B7"/>
    <w:rsid w:val="00157A26"/>
    <w:rsid w:val="001832A6"/>
    <w:rsid w:val="001A2943"/>
    <w:rsid w:val="001A7DB9"/>
    <w:rsid w:val="001C7D37"/>
    <w:rsid w:val="001D3D54"/>
    <w:rsid w:val="001E1730"/>
    <w:rsid w:val="001F3564"/>
    <w:rsid w:val="00210EE5"/>
    <w:rsid w:val="0021724E"/>
    <w:rsid w:val="00231B57"/>
    <w:rsid w:val="0025517C"/>
    <w:rsid w:val="002634C4"/>
    <w:rsid w:val="00270124"/>
    <w:rsid w:val="002A0466"/>
    <w:rsid w:val="002B555C"/>
    <w:rsid w:val="002B63C5"/>
    <w:rsid w:val="002B7DFB"/>
    <w:rsid w:val="002C0870"/>
    <w:rsid w:val="002E3CF2"/>
    <w:rsid w:val="002F4E68"/>
    <w:rsid w:val="00301DE6"/>
    <w:rsid w:val="00333C7A"/>
    <w:rsid w:val="00354647"/>
    <w:rsid w:val="00377273"/>
    <w:rsid w:val="003845C1"/>
    <w:rsid w:val="0038487D"/>
    <w:rsid w:val="00387287"/>
    <w:rsid w:val="003B1DFE"/>
    <w:rsid w:val="003E48F1"/>
    <w:rsid w:val="003F4732"/>
    <w:rsid w:val="00423E3E"/>
    <w:rsid w:val="00427AF4"/>
    <w:rsid w:val="00446CAC"/>
    <w:rsid w:val="0045231F"/>
    <w:rsid w:val="00455EDB"/>
    <w:rsid w:val="004647DA"/>
    <w:rsid w:val="00466094"/>
    <w:rsid w:val="00477D6B"/>
    <w:rsid w:val="0049089D"/>
    <w:rsid w:val="00490ED5"/>
    <w:rsid w:val="004A6BD9"/>
    <w:rsid w:val="004A6C37"/>
    <w:rsid w:val="004B75BA"/>
    <w:rsid w:val="004C3144"/>
    <w:rsid w:val="004F1BD1"/>
    <w:rsid w:val="004F3622"/>
    <w:rsid w:val="00500C05"/>
    <w:rsid w:val="00513477"/>
    <w:rsid w:val="005239DC"/>
    <w:rsid w:val="00546FD0"/>
    <w:rsid w:val="0055013B"/>
    <w:rsid w:val="00571B99"/>
    <w:rsid w:val="0057360F"/>
    <w:rsid w:val="00581E84"/>
    <w:rsid w:val="0059410E"/>
    <w:rsid w:val="005A24DB"/>
    <w:rsid w:val="005A7E46"/>
    <w:rsid w:val="005D237F"/>
    <w:rsid w:val="00605827"/>
    <w:rsid w:val="00663670"/>
    <w:rsid w:val="00665B72"/>
    <w:rsid w:val="00675021"/>
    <w:rsid w:val="00675F4F"/>
    <w:rsid w:val="006A06C6"/>
    <w:rsid w:val="006D06FE"/>
    <w:rsid w:val="006E43FF"/>
    <w:rsid w:val="00721C5A"/>
    <w:rsid w:val="00722323"/>
    <w:rsid w:val="00725748"/>
    <w:rsid w:val="00726055"/>
    <w:rsid w:val="0073141B"/>
    <w:rsid w:val="0075211D"/>
    <w:rsid w:val="007636C4"/>
    <w:rsid w:val="00765EDC"/>
    <w:rsid w:val="00771997"/>
    <w:rsid w:val="00794BE2"/>
    <w:rsid w:val="00794DE8"/>
    <w:rsid w:val="00796EF6"/>
    <w:rsid w:val="007D7739"/>
    <w:rsid w:val="007E18CD"/>
    <w:rsid w:val="007E663E"/>
    <w:rsid w:val="00807E77"/>
    <w:rsid w:val="00815082"/>
    <w:rsid w:val="00817261"/>
    <w:rsid w:val="00822ADD"/>
    <w:rsid w:val="0084126D"/>
    <w:rsid w:val="0088395E"/>
    <w:rsid w:val="0089102E"/>
    <w:rsid w:val="008B2CC1"/>
    <w:rsid w:val="008B6D0B"/>
    <w:rsid w:val="008E366E"/>
    <w:rsid w:val="0090731E"/>
    <w:rsid w:val="00924086"/>
    <w:rsid w:val="00936C43"/>
    <w:rsid w:val="009532B4"/>
    <w:rsid w:val="00963262"/>
    <w:rsid w:val="0096695C"/>
    <w:rsid w:val="00966A22"/>
    <w:rsid w:val="00972F03"/>
    <w:rsid w:val="009740FC"/>
    <w:rsid w:val="00990112"/>
    <w:rsid w:val="009A0C8B"/>
    <w:rsid w:val="009A698E"/>
    <w:rsid w:val="009B6241"/>
    <w:rsid w:val="009C2669"/>
    <w:rsid w:val="009C3B5A"/>
    <w:rsid w:val="009C6953"/>
    <w:rsid w:val="009E3701"/>
    <w:rsid w:val="00A16FC0"/>
    <w:rsid w:val="00A2479B"/>
    <w:rsid w:val="00A26496"/>
    <w:rsid w:val="00A32C9E"/>
    <w:rsid w:val="00A762F8"/>
    <w:rsid w:val="00A830C6"/>
    <w:rsid w:val="00A87825"/>
    <w:rsid w:val="00AB613D"/>
    <w:rsid w:val="00AD2690"/>
    <w:rsid w:val="00B23509"/>
    <w:rsid w:val="00B32D09"/>
    <w:rsid w:val="00B641C6"/>
    <w:rsid w:val="00B65A0A"/>
    <w:rsid w:val="00B72D36"/>
    <w:rsid w:val="00B74AA8"/>
    <w:rsid w:val="00B80E52"/>
    <w:rsid w:val="00B81FC3"/>
    <w:rsid w:val="00B94145"/>
    <w:rsid w:val="00BC4164"/>
    <w:rsid w:val="00BD2DCC"/>
    <w:rsid w:val="00BF0264"/>
    <w:rsid w:val="00BF2C12"/>
    <w:rsid w:val="00C2704D"/>
    <w:rsid w:val="00C63392"/>
    <w:rsid w:val="00C654DD"/>
    <w:rsid w:val="00C90559"/>
    <w:rsid w:val="00CA462E"/>
    <w:rsid w:val="00CF2E54"/>
    <w:rsid w:val="00CF6B28"/>
    <w:rsid w:val="00D217BF"/>
    <w:rsid w:val="00D22A49"/>
    <w:rsid w:val="00D23097"/>
    <w:rsid w:val="00D56C7C"/>
    <w:rsid w:val="00D71B4D"/>
    <w:rsid w:val="00D90289"/>
    <w:rsid w:val="00D93D55"/>
    <w:rsid w:val="00DA00A6"/>
    <w:rsid w:val="00DB28D5"/>
    <w:rsid w:val="00DF058A"/>
    <w:rsid w:val="00E00CE4"/>
    <w:rsid w:val="00E056C6"/>
    <w:rsid w:val="00E45C84"/>
    <w:rsid w:val="00E504E5"/>
    <w:rsid w:val="00E50A41"/>
    <w:rsid w:val="00E56522"/>
    <w:rsid w:val="00E578E2"/>
    <w:rsid w:val="00E8786C"/>
    <w:rsid w:val="00EB448A"/>
    <w:rsid w:val="00EB7A3E"/>
    <w:rsid w:val="00EC401A"/>
    <w:rsid w:val="00EE0B51"/>
    <w:rsid w:val="00EF530A"/>
    <w:rsid w:val="00EF6622"/>
    <w:rsid w:val="00F13638"/>
    <w:rsid w:val="00F55408"/>
    <w:rsid w:val="00F66152"/>
    <w:rsid w:val="00F66F51"/>
    <w:rsid w:val="00F753D4"/>
    <w:rsid w:val="00F80845"/>
    <w:rsid w:val="00F84474"/>
    <w:rsid w:val="00F92AB8"/>
    <w:rsid w:val="00FA5939"/>
    <w:rsid w:val="00FA7282"/>
    <w:rsid w:val="00FB2E10"/>
    <w:rsid w:val="00FB3231"/>
    <w:rsid w:val="00FC3187"/>
    <w:rsid w:val="00FC3E47"/>
    <w:rsid w:val="00FD59D1"/>
    <w:rsid w:val="00FE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765EDC"/>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link w:val="Header"/>
    <w:rsid w:val="002C0870"/>
    <w:rPr>
      <w:rFonts w:ascii="Arial" w:eastAsia="SimSun" w:hAnsi="Arial" w:cs="Arial"/>
      <w:sz w:val="22"/>
      <w:lang w:eastAsia="zh-CN"/>
    </w:rPr>
  </w:style>
  <w:style w:type="paragraph" w:styleId="BalloonText">
    <w:name w:val="Balloon Text"/>
    <w:basedOn w:val="Normal"/>
    <w:link w:val="BalloonTextChar"/>
    <w:rsid w:val="002C0870"/>
    <w:rPr>
      <w:rFonts w:ascii="Tahoma" w:hAnsi="Tahoma" w:cs="Tahoma"/>
      <w:sz w:val="16"/>
      <w:szCs w:val="16"/>
    </w:rPr>
  </w:style>
  <w:style w:type="character" w:customStyle="1" w:styleId="BalloonTextChar">
    <w:name w:val="Balloon Text Char"/>
    <w:link w:val="BalloonText"/>
    <w:rsid w:val="002C0870"/>
    <w:rPr>
      <w:rFonts w:ascii="Tahoma" w:eastAsia="SimSun" w:hAnsi="Tahoma" w:cs="Tahoma"/>
      <w:sz w:val="16"/>
      <w:szCs w:val="16"/>
      <w:lang w:eastAsia="zh-CN"/>
    </w:rPr>
  </w:style>
  <w:style w:type="character" w:customStyle="1" w:styleId="FooterChar">
    <w:name w:val="Footer Char"/>
    <w:link w:val="Footer"/>
    <w:uiPriority w:val="99"/>
    <w:rsid w:val="007E18CD"/>
    <w:rPr>
      <w:rFonts w:ascii="Arial" w:eastAsia="SimSun" w:hAnsi="Arial" w:cs="Arial"/>
      <w:sz w:val="22"/>
      <w:lang w:eastAsia="zh-CN"/>
    </w:rPr>
  </w:style>
  <w:style w:type="paragraph" w:styleId="ListParagraph">
    <w:name w:val="List Paragraph"/>
    <w:basedOn w:val="Normal"/>
    <w:qFormat/>
    <w:rsid w:val="001A2943"/>
    <w:pPr>
      <w:ind w:left="720"/>
      <w:contextualSpacing/>
    </w:pPr>
    <w:rPr>
      <w:rFonts w:ascii="Cambria" w:eastAsia="MS Mincho" w:hAnsi="Cambria" w:cs="Times New Roman"/>
      <w:sz w:val="24"/>
      <w:szCs w:val="24"/>
      <w:lang w:val="en-US" w:eastAsia="en-US"/>
    </w:rPr>
  </w:style>
  <w:style w:type="character" w:customStyle="1" w:styleId="FootnoteTextChar">
    <w:name w:val="Footnote Text Char"/>
    <w:link w:val="FootnoteText"/>
    <w:rsid w:val="001A2943"/>
    <w:rPr>
      <w:rFonts w:ascii="Arial" w:eastAsia="SimSun" w:hAnsi="Arial" w:cs="Arial"/>
      <w:sz w:val="18"/>
      <w:lang w:val="es-ES" w:eastAsia="zh-CN"/>
    </w:rPr>
  </w:style>
  <w:style w:type="character" w:styleId="FootnoteReference">
    <w:name w:val="footnote reference"/>
    <w:unhideWhenUsed/>
    <w:rsid w:val="001A2943"/>
    <w:rPr>
      <w:vertAlign w:val="superscript"/>
    </w:rPr>
  </w:style>
  <w:style w:type="character" w:styleId="PageNumber">
    <w:name w:val="page number"/>
    <w:unhideWhenUsed/>
    <w:rsid w:val="001A2943"/>
  </w:style>
  <w:style w:type="paragraph" w:styleId="Date">
    <w:name w:val="Date"/>
    <w:basedOn w:val="Normal"/>
    <w:next w:val="Normal"/>
    <w:link w:val="DateChar"/>
    <w:unhideWhenUsed/>
    <w:rsid w:val="001A2943"/>
    <w:rPr>
      <w:rFonts w:ascii="Cambria" w:eastAsia="MS Mincho" w:hAnsi="Cambria" w:cs="Times New Roman"/>
      <w:sz w:val="24"/>
      <w:szCs w:val="24"/>
      <w:lang w:val="en-US" w:eastAsia="en-US"/>
    </w:rPr>
  </w:style>
  <w:style w:type="character" w:customStyle="1" w:styleId="DateChar">
    <w:name w:val="Date Char"/>
    <w:basedOn w:val="DefaultParagraphFont"/>
    <w:link w:val="Date"/>
    <w:rsid w:val="001A2943"/>
    <w:rPr>
      <w:rFonts w:ascii="Cambria" w:eastAsia="MS Mincho" w:hAnsi="Cambria"/>
      <w:sz w:val="24"/>
      <w:szCs w:val="24"/>
    </w:rPr>
  </w:style>
  <w:style w:type="character" w:styleId="CommentReference">
    <w:name w:val="annotation reference"/>
    <w:unhideWhenUsed/>
    <w:rsid w:val="001A2943"/>
    <w:rPr>
      <w:sz w:val="16"/>
      <w:szCs w:val="16"/>
    </w:rPr>
  </w:style>
  <w:style w:type="character" w:customStyle="1" w:styleId="CommentTextChar">
    <w:name w:val="Comment Text Char"/>
    <w:basedOn w:val="DefaultParagraphFont"/>
    <w:semiHidden/>
    <w:rsid w:val="001A2943"/>
  </w:style>
  <w:style w:type="paragraph" w:styleId="CommentSubject">
    <w:name w:val="annotation subject"/>
    <w:basedOn w:val="CommentText"/>
    <w:next w:val="CommentText"/>
    <w:link w:val="CommentSubjectChar"/>
    <w:unhideWhenUsed/>
    <w:rsid w:val="001A2943"/>
    <w:rPr>
      <w:rFonts w:ascii="Cambria" w:eastAsia="MS Mincho" w:hAnsi="Cambria" w:cs="Times New Roman"/>
      <w:b/>
      <w:bCs/>
      <w:sz w:val="20"/>
      <w:lang w:val="en-US" w:eastAsia="en-US"/>
    </w:rPr>
  </w:style>
  <w:style w:type="character" w:customStyle="1" w:styleId="CommentTextChar1">
    <w:name w:val="Comment Text Char1"/>
    <w:basedOn w:val="DefaultParagraphFont"/>
    <w:link w:val="CommentText"/>
    <w:uiPriority w:val="99"/>
    <w:semiHidden/>
    <w:rsid w:val="001A2943"/>
    <w:rPr>
      <w:rFonts w:ascii="Arial" w:eastAsia="SimSun" w:hAnsi="Arial" w:cs="Arial"/>
      <w:sz w:val="18"/>
      <w:lang w:val="es-ES" w:eastAsia="zh-CN"/>
    </w:rPr>
  </w:style>
  <w:style w:type="character" w:customStyle="1" w:styleId="CommentSubjectChar">
    <w:name w:val="Comment Subject Char"/>
    <w:basedOn w:val="CommentTextChar1"/>
    <w:link w:val="CommentSubject"/>
    <w:rsid w:val="001A2943"/>
    <w:rPr>
      <w:rFonts w:ascii="Cambria" w:eastAsia="MS Mincho" w:hAnsi="Cambria" w:cs="Arial"/>
      <w:b/>
      <w:bCs/>
      <w:sz w:val="18"/>
      <w:lang w:val="es-ES" w:eastAsia="zh-CN"/>
    </w:rPr>
  </w:style>
  <w:style w:type="character" w:styleId="Hyperlink">
    <w:name w:val="Hyperlink"/>
    <w:unhideWhenUsed/>
    <w:rsid w:val="001A2943"/>
    <w:rPr>
      <w:color w:val="0000FF"/>
      <w:u w:val="single"/>
    </w:rPr>
  </w:style>
  <w:style w:type="character" w:customStyle="1" w:styleId="hps">
    <w:name w:val="hps"/>
    <w:basedOn w:val="DefaultParagraphFont"/>
    <w:rsid w:val="001A2943"/>
  </w:style>
  <w:style w:type="paragraph" w:customStyle="1" w:styleId="Default">
    <w:name w:val="Default"/>
    <w:rsid w:val="001A2943"/>
    <w:pPr>
      <w:autoSpaceDE w:val="0"/>
      <w:autoSpaceDN w:val="0"/>
      <w:adjustRightInd w:val="0"/>
    </w:pPr>
    <w:rPr>
      <w:rFonts w:ascii="Cambria" w:eastAsia="Calibri" w:hAnsi="Cambria" w:cs="Cambria"/>
      <w:color w:val="000000"/>
      <w:sz w:val="24"/>
      <w:szCs w:val="24"/>
      <w:lang w:val="es-ES"/>
    </w:rPr>
  </w:style>
  <w:style w:type="character" w:customStyle="1" w:styleId="Heading1Char">
    <w:name w:val="Heading 1 Char"/>
    <w:link w:val="Heading1"/>
    <w:rsid w:val="001A2943"/>
    <w:rPr>
      <w:rFonts w:ascii="Arial" w:eastAsia="SimSun" w:hAnsi="Arial" w:cs="Arial"/>
      <w:b/>
      <w:bCs/>
      <w:caps/>
      <w:kern w:val="32"/>
      <w:sz w:val="22"/>
      <w:szCs w:val="32"/>
      <w:lang w:val="es-ES" w:eastAsia="zh-CN"/>
    </w:rPr>
  </w:style>
  <w:style w:type="character" w:customStyle="1" w:styleId="Heading2Char">
    <w:name w:val="Heading 2 Char"/>
    <w:link w:val="Heading2"/>
    <w:rsid w:val="001A2943"/>
    <w:rPr>
      <w:rFonts w:ascii="Arial" w:eastAsia="SimSun" w:hAnsi="Arial" w:cs="Arial"/>
      <w:bCs/>
      <w:iCs/>
      <w:caps/>
      <w:sz w:val="22"/>
      <w:szCs w:val="28"/>
      <w:lang w:val="es-ES" w:eastAsia="zh-CN"/>
    </w:rPr>
  </w:style>
  <w:style w:type="character" w:customStyle="1" w:styleId="Heading3Char">
    <w:name w:val="Heading 3 Char"/>
    <w:link w:val="Heading3"/>
    <w:rsid w:val="001A2943"/>
    <w:rPr>
      <w:rFonts w:ascii="Arial" w:eastAsia="SimSun" w:hAnsi="Arial" w:cs="Arial"/>
      <w:bCs/>
      <w:sz w:val="22"/>
      <w:szCs w:val="26"/>
      <w:u w:val="single"/>
      <w:lang w:val="es-ES" w:eastAsia="zh-CN"/>
    </w:rPr>
  </w:style>
  <w:style w:type="character" w:customStyle="1" w:styleId="shorttext">
    <w:name w:val="short_text"/>
    <w:rsid w:val="001A2943"/>
  </w:style>
  <w:style w:type="paragraph" w:styleId="NormalWeb">
    <w:name w:val="Normal (Web)"/>
    <w:basedOn w:val="Normal"/>
    <w:unhideWhenUsed/>
    <w:rsid w:val="001A2943"/>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st1">
    <w:name w:val="st1"/>
    <w:rsid w:val="001A2943"/>
  </w:style>
  <w:style w:type="table" w:styleId="TableGrid">
    <w:name w:val="Table Grid"/>
    <w:basedOn w:val="TableNormal"/>
    <w:rsid w:val="001A2943"/>
    <w:rPr>
      <w:rFonts w:ascii="Calibri" w:eastAsia="SimSu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qFormat/>
    <w:rsid w:val="001A2943"/>
    <w:pPr>
      <w:keepLines/>
      <w:spacing w:before="480" w:after="0" w:line="276" w:lineRule="auto"/>
      <w:outlineLvl w:val="9"/>
    </w:pPr>
    <w:rPr>
      <w:rFonts w:ascii="Cambria" w:hAnsi="Cambria" w:cs="Times New Roman"/>
      <w:caps w:val="0"/>
      <w:color w:val="365F91"/>
      <w:kern w:val="0"/>
      <w:sz w:val="28"/>
      <w:szCs w:val="28"/>
      <w:lang w:val="en-US" w:eastAsia="ja-JP"/>
    </w:rPr>
  </w:style>
  <w:style w:type="paragraph" w:styleId="TOC1">
    <w:name w:val="toc 1"/>
    <w:basedOn w:val="Normal"/>
    <w:next w:val="Normal"/>
    <w:autoRedefine/>
    <w:unhideWhenUsed/>
    <w:rsid w:val="001A2943"/>
    <w:pPr>
      <w:spacing w:after="100" w:line="276" w:lineRule="auto"/>
    </w:pPr>
    <w:rPr>
      <w:rFonts w:ascii="Calibri" w:hAnsi="Calibri" w:cs="Times New Roman"/>
      <w:szCs w:val="22"/>
      <w:lang w:val="en-US" w:eastAsia="en-US"/>
    </w:rPr>
  </w:style>
  <w:style w:type="paragraph" w:styleId="TOC2">
    <w:name w:val="toc 2"/>
    <w:basedOn w:val="Normal"/>
    <w:next w:val="Normal"/>
    <w:autoRedefine/>
    <w:unhideWhenUsed/>
    <w:rsid w:val="001A2943"/>
    <w:pPr>
      <w:spacing w:after="100" w:line="276" w:lineRule="auto"/>
      <w:ind w:left="220"/>
    </w:pPr>
    <w:rPr>
      <w:rFonts w:ascii="Calibri" w:hAnsi="Calibri" w:cs="Times New Roman"/>
      <w:szCs w:val="22"/>
      <w:lang w:val="en-US" w:eastAsia="en-US"/>
    </w:rPr>
  </w:style>
  <w:style w:type="paragraph" w:styleId="TOC3">
    <w:name w:val="toc 3"/>
    <w:basedOn w:val="Normal"/>
    <w:next w:val="Normal"/>
    <w:autoRedefine/>
    <w:unhideWhenUsed/>
    <w:rsid w:val="001A2943"/>
    <w:pPr>
      <w:spacing w:after="100" w:line="276" w:lineRule="auto"/>
      <w:ind w:left="440"/>
    </w:pPr>
    <w:rPr>
      <w:rFonts w:ascii="Calibri" w:hAnsi="Calibri" w:cs="Times New Roman"/>
      <w:szCs w:val="22"/>
      <w:lang w:val="en-US" w:eastAsia="en-US"/>
    </w:rPr>
  </w:style>
  <w:style w:type="paragraph" w:customStyle="1" w:styleId="ListParagraph1">
    <w:name w:val="List Paragraph1"/>
    <w:basedOn w:val="Normal"/>
    <w:qFormat/>
    <w:rsid w:val="001A2943"/>
    <w:pPr>
      <w:ind w:left="720"/>
      <w:contextualSpacing/>
    </w:pPr>
    <w:rPr>
      <w:rFonts w:ascii="Cambria" w:eastAsia="MS Mincho" w:hAnsi="Cambria" w:cs="Times New Roman"/>
      <w:sz w:val="24"/>
      <w:szCs w:val="24"/>
      <w:lang w:val="en-US" w:eastAsia="en-US"/>
    </w:rPr>
  </w:style>
  <w:style w:type="character" w:customStyle="1" w:styleId="atn">
    <w:name w:val="atn"/>
    <w:rsid w:val="001A2943"/>
  </w:style>
  <w:style w:type="character" w:customStyle="1" w:styleId="hpsatn">
    <w:name w:val="hps atn"/>
    <w:basedOn w:val="DefaultParagraphFont"/>
    <w:rsid w:val="001A2943"/>
  </w:style>
  <w:style w:type="character" w:styleId="FollowedHyperlink">
    <w:name w:val="FollowedHyperlink"/>
    <w:basedOn w:val="DefaultParagraphFont"/>
    <w:rsid w:val="001E1730"/>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765EDC"/>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link w:val="Header"/>
    <w:rsid w:val="002C0870"/>
    <w:rPr>
      <w:rFonts w:ascii="Arial" w:eastAsia="SimSun" w:hAnsi="Arial" w:cs="Arial"/>
      <w:sz w:val="22"/>
      <w:lang w:eastAsia="zh-CN"/>
    </w:rPr>
  </w:style>
  <w:style w:type="paragraph" w:styleId="BalloonText">
    <w:name w:val="Balloon Text"/>
    <w:basedOn w:val="Normal"/>
    <w:link w:val="BalloonTextChar"/>
    <w:rsid w:val="002C0870"/>
    <w:rPr>
      <w:rFonts w:ascii="Tahoma" w:hAnsi="Tahoma" w:cs="Tahoma"/>
      <w:sz w:val="16"/>
      <w:szCs w:val="16"/>
    </w:rPr>
  </w:style>
  <w:style w:type="character" w:customStyle="1" w:styleId="BalloonTextChar">
    <w:name w:val="Balloon Text Char"/>
    <w:link w:val="BalloonText"/>
    <w:rsid w:val="002C0870"/>
    <w:rPr>
      <w:rFonts w:ascii="Tahoma" w:eastAsia="SimSun" w:hAnsi="Tahoma" w:cs="Tahoma"/>
      <w:sz w:val="16"/>
      <w:szCs w:val="16"/>
      <w:lang w:eastAsia="zh-CN"/>
    </w:rPr>
  </w:style>
  <w:style w:type="character" w:customStyle="1" w:styleId="FooterChar">
    <w:name w:val="Footer Char"/>
    <w:link w:val="Footer"/>
    <w:uiPriority w:val="99"/>
    <w:rsid w:val="007E18CD"/>
    <w:rPr>
      <w:rFonts w:ascii="Arial" w:eastAsia="SimSun" w:hAnsi="Arial" w:cs="Arial"/>
      <w:sz w:val="22"/>
      <w:lang w:eastAsia="zh-CN"/>
    </w:rPr>
  </w:style>
  <w:style w:type="paragraph" w:styleId="ListParagraph">
    <w:name w:val="List Paragraph"/>
    <w:basedOn w:val="Normal"/>
    <w:qFormat/>
    <w:rsid w:val="001A2943"/>
    <w:pPr>
      <w:ind w:left="720"/>
      <w:contextualSpacing/>
    </w:pPr>
    <w:rPr>
      <w:rFonts w:ascii="Cambria" w:eastAsia="MS Mincho" w:hAnsi="Cambria" w:cs="Times New Roman"/>
      <w:sz w:val="24"/>
      <w:szCs w:val="24"/>
      <w:lang w:val="en-US" w:eastAsia="en-US"/>
    </w:rPr>
  </w:style>
  <w:style w:type="character" w:customStyle="1" w:styleId="FootnoteTextChar">
    <w:name w:val="Footnote Text Char"/>
    <w:link w:val="FootnoteText"/>
    <w:rsid w:val="001A2943"/>
    <w:rPr>
      <w:rFonts w:ascii="Arial" w:eastAsia="SimSun" w:hAnsi="Arial" w:cs="Arial"/>
      <w:sz w:val="18"/>
      <w:lang w:val="es-ES" w:eastAsia="zh-CN"/>
    </w:rPr>
  </w:style>
  <w:style w:type="character" w:styleId="FootnoteReference">
    <w:name w:val="footnote reference"/>
    <w:unhideWhenUsed/>
    <w:rsid w:val="001A2943"/>
    <w:rPr>
      <w:vertAlign w:val="superscript"/>
    </w:rPr>
  </w:style>
  <w:style w:type="character" w:styleId="PageNumber">
    <w:name w:val="page number"/>
    <w:unhideWhenUsed/>
    <w:rsid w:val="001A2943"/>
  </w:style>
  <w:style w:type="paragraph" w:styleId="Date">
    <w:name w:val="Date"/>
    <w:basedOn w:val="Normal"/>
    <w:next w:val="Normal"/>
    <w:link w:val="DateChar"/>
    <w:unhideWhenUsed/>
    <w:rsid w:val="001A2943"/>
    <w:rPr>
      <w:rFonts w:ascii="Cambria" w:eastAsia="MS Mincho" w:hAnsi="Cambria" w:cs="Times New Roman"/>
      <w:sz w:val="24"/>
      <w:szCs w:val="24"/>
      <w:lang w:val="en-US" w:eastAsia="en-US"/>
    </w:rPr>
  </w:style>
  <w:style w:type="character" w:customStyle="1" w:styleId="DateChar">
    <w:name w:val="Date Char"/>
    <w:basedOn w:val="DefaultParagraphFont"/>
    <w:link w:val="Date"/>
    <w:rsid w:val="001A2943"/>
    <w:rPr>
      <w:rFonts w:ascii="Cambria" w:eastAsia="MS Mincho" w:hAnsi="Cambria"/>
      <w:sz w:val="24"/>
      <w:szCs w:val="24"/>
    </w:rPr>
  </w:style>
  <w:style w:type="character" w:styleId="CommentReference">
    <w:name w:val="annotation reference"/>
    <w:unhideWhenUsed/>
    <w:rsid w:val="001A2943"/>
    <w:rPr>
      <w:sz w:val="16"/>
      <w:szCs w:val="16"/>
    </w:rPr>
  </w:style>
  <w:style w:type="character" w:customStyle="1" w:styleId="CommentTextChar">
    <w:name w:val="Comment Text Char"/>
    <w:basedOn w:val="DefaultParagraphFont"/>
    <w:semiHidden/>
    <w:rsid w:val="001A2943"/>
  </w:style>
  <w:style w:type="paragraph" w:styleId="CommentSubject">
    <w:name w:val="annotation subject"/>
    <w:basedOn w:val="CommentText"/>
    <w:next w:val="CommentText"/>
    <w:link w:val="CommentSubjectChar"/>
    <w:unhideWhenUsed/>
    <w:rsid w:val="001A2943"/>
    <w:rPr>
      <w:rFonts w:ascii="Cambria" w:eastAsia="MS Mincho" w:hAnsi="Cambria" w:cs="Times New Roman"/>
      <w:b/>
      <w:bCs/>
      <w:sz w:val="20"/>
      <w:lang w:val="en-US" w:eastAsia="en-US"/>
    </w:rPr>
  </w:style>
  <w:style w:type="character" w:customStyle="1" w:styleId="CommentTextChar1">
    <w:name w:val="Comment Text Char1"/>
    <w:basedOn w:val="DefaultParagraphFont"/>
    <w:link w:val="CommentText"/>
    <w:uiPriority w:val="99"/>
    <w:semiHidden/>
    <w:rsid w:val="001A2943"/>
    <w:rPr>
      <w:rFonts w:ascii="Arial" w:eastAsia="SimSun" w:hAnsi="Arial" w:cs="Arial"/>
      <w:sz w:val="18"/>
      <w:lang w:val="es-ES" w:eastAsia="zh-CN"/>
    </w:rPr>
  </w:style>
  <w:style w:type="character" w:customStyle="1" w:styleId="CommentSubjectChar">
    <w:name w:val="Comment Subject Char"/>
    <w:basedOn w:val="CommentTextChar1"/>
    <w:link w:val="CommentSubject"/>
    <w:rsid w:val="001A2943"/>
    <w:rPr>
      <w:rFonts w:ascii="Cambria" w:eastAsia="MS Mincho" w:hAnsi="Cambria" w:cs="Arial"/>
      <w:b/>
      <w:bCs/>
      <w:sz w:val="18"/>
      <w:lang w:val="es-ES" w:eastAsia="zh-CN"/>
    </w:rPr>
  </w:style>
  <w:style w:type="character" w:styleId="Hyperlink">
    <w:name w:val="Hyperlink"/>
    <w:unhideWhenUsed/>
    <w:rsid w:val="001A2943"/>
    <w:rPr>
      <w:color w:val="0000FF"/>
      <w:u w:val="single"/>
    </w:rPr>
  </w:style>
  <w:style w:type="character" w:customStyle="1" w:styleId="hps">
    <w:name w:val="hps"/>
    <w:basedOn w:val="DefaultParagraphFont"/>
    <w:rsid w:val="001A2943"/>
  </w:style>
  <w:style w:type="paragraph" w:customStyle="1" w:styleId="Default">
    <w:name w:val="Default"/>
    <w:rsid w:val="001A2943"/>
    <w:pPr>
      <w:autoSpaceDE w:val="0"/>
      <w:autoSpaceDN w:val="0"/>
      <w:adjustRightInd w:val="0"/>
    </w:pPr>
    <w:rPr>
      <w:rFonts w:ascii="Cambria" w:eastAsia="Calibri" w:hAnsi="Cambria" w:cs="Cambria"/>
      <w:color w:val="000000"/>
      <w:sz w:val="24"/>
      <w:szCs w:val="24"/>
      <w:lang w:val="es-ES"/>
    </w:rPr>
  </w:style>
  <w:style w:type="character" w:customStyle="1" w:styleId="Heading1Char">
    <w:name w:val="Heading 1 Char"/>
    <w:link w:val="Heading1"/>
    <w:rsid w:val="001A2943"/>
    <w:rPr>
      <w:rFonts w:ascii="Arial" w:eastAsia="SimSun" w:hAnsi="Arial" w:cs="Arial"/>
      <w:b/>
      <w:bCs/>
      <w:caps/>
      <w:kern w:val="32"/>
      <w:sz w:val="22"/>
      <w:szCs w:val="32"/>
      <w:lang w:val="es-ES" w:eastAsia="zh-CN"/>
    </w:rPr>
  </w:style>
  <w:style w:type="character" w:customStyle="1" w:styleId="Heading2Char">
    <w:name w:val="Heading 2 Char"/>
    <w:link w:val="Heading2"/>
    <w:rsid w:val="001A2943"/>
    <w:rPr>
      <w:rFonts w:ascii="Arial" w:eastAsia="SimSun" w:hAnsi="Arial" w:cs="Arial"/>
      <w:bCs/>
      <w:iCs/>
      <w:caps/>
      <w:sz w:val="22"/>
      <w:szCs w:val="28"/>
      <w:lang w:val="es-ES" w:eastAsia="zh-CN"/>
    </w:rPr>
  </w:style>
  <w:style w:type="character" w:customStyle="1" w:styleId="Heading3Char">
    <w:name w:val="Heading 3 Char"/>
    <w:link w:val="Heading3"/>
    <w:rsid w:val="001A2943"/>
    <w:rPr>
      <w:rFonts w:ascii="Arial" w:eastAsia="SimSun" w:hAnsi="Arial" w:cs="Arial"/>
      <w:bCs/>
      <w:sz w:val="22"/>
      <w:szCs w:val="26"/>
      <w:u w:val="single"/>
      <w:lang w:val="es-ES" w:eastAsia="zh-CN"/>
    </w:rPr>
  </w:style>
  <w:style w:type="character" w:customStyle="1" w:styleId="shorttext">
    <w:name w:val="short_text"/>
    <w:rsid w:val="001A2943"/>
  </w:style>
  <w:style w:type="paragraph" w:styleId="NormalWeb">
    <w:name w:val="Normal (Web)"/>
    <w:basedOn w:val="Normal"/>
    <w:unhideWhenUsed/>
    <w:rsid w:val="001A2943"/>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st1">
    <w:name w:val="st1"/>
    <w:rsid w:val="001A2943"/>
  </w:style>
  <w:style w:type="table" w:styleId="TableGrid">
    <w:name w:val="Table Grid"/>
    <w:basedOn w:val="TableNormal"/>
    <w:rsid w:val="001A2943"/>
    <w:rPr>
      <w:rFonts w:ascii="Calibri" w:eastAsia="SimSu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qFormat/>
    <w:rsid w:val="001A2943"/>
    <w:pPr>
      <w:keepLines/>
      <w:spacing w:before="480" w:after="0" w:line="276" w:lineRule="auto"/>
      <w:outlineLvl w:val="9"/>
    </w:pPr>
    <w:rPr>
      <w:rFonts w:ascii="Cambria" w:hAnsi="Cambria" w:cs="Times New Roman"/>
      <w:caps w:val="0"/>
      <w:color w:val="365F91"/>
      <w:kern w:val="0"/>
      <w:sz w:val="28"/>
      <w:szCs w:val="28"/>
      <w:lang w:val="en-US" w:eastAsia="ja-JP"/>
    </w:rPr>
  </w:style>
  <w:style w:type="paragraph" w:styleId="TOC1">
    <w:name w:val="toc 1"/>
    <w:basedOn w:val="Normal"/>
    <w:next w:val="Normal"/>
    <w:autoRedefine/>
    <w:unhideWhenUsed/>
    <w:rsid w:val="001A2943"/>
    <w:pPr>
      <w:spacing w:after="100" w:line="276" w:lineRule="auto"/>
    </w:pPr>
    <w:rPr>
      <w:rFonts w:ascii="Calibri" w:hAnsi="Calibri" w:cs="Times New Roman"/>
      <w:szCs w:val="22"/>
      <w:lang w:val="en-US" w:eastAsia="en-US"/>
    </w:rPr>
  </w:style>
  <w:style w:type="paragraph" w:styleId="TOC2">
    <w:name w:val="toc 2"/>
    <w:basedOn w:val="Normal"/>
    <w:next w:val="Normal"/>
    <w:autoRedefine/>
    <w:unhideWhenUsed/>
    <w:rsid w:val="001A2943"/>
    <w:pPr>
      <w:spacing w:after="100" w:line="276" w:lineRule="auto"/>
      <w:ind w:left="220"/>
    </w:pPr>
    <w:rPr>
      <w:rFonts w:ascii="Calibri" w:hAnsi="Calibri" w:cs="Times New Roman"/>
      <w:szCs w:val="22"/>
      <w:lang w:val="en-US" w:eastAsia="en-US"/>
    </w:rPr>
  </w:style>
  <w:style w:type="paragraph" w:styleId="TOC3">
    <w:name w:val="toc 3"/>
    <w:basedOn w:val="Normal"/>
    <w:next w:val="Normal"/>
    <w:autoRedefine/>
    <w:unhideWhenUsed/>
    <w:rsid w:val="001A2943"/>
    <w:pPr>
      <w:spacing w:after="100" w:line="276" w:lineRule="auto"/>
      <w:ind w:left="440"/>
    </w:pPr>
    <w:rPr>
      <w:rFonts w:ascii="Calibri" w:hAnsi="Calibri" w:cs="Times New Roman"/>
      <w:szCs w:val="22"/>
      <w:lang w:val="en-US" w:eastAsia="en-US"/>
    </w:rPr>
  </w:style>
  <w:style w:type="paragraph" w:customStyle="1" w:styleId="ListParagraph1">
    <w:name w:val="List Paragraph1"/>
    <w:basedOn w:val="Normal"/>
    <w:qFormat/>
    <w:rsid w:val="001A2943"/>
    <w:pPr>
      <w:ind w:left="720"/>
      <w:contextualSpacing/>
    </w:pPr>
    <w:rPr>
      <w:rFonts w:ascii="Cambria" w:eastAsia="MS Mincho" w:hAnsi="Cambria" w:cs="Times New Roman"/>
      <w:sz w:val="24"/>
      <w:szCs w:val="24"/>
      <w:lang w:val="en-US" w:eastAsia="en-US"/>
    </w:rPr>
  </w:style>
  <w:style w:type="character" w:customStyle="1" w:styleId="atn">
    <w:name w:val="atn"/>
    <w:rsid w:val="001A2943"/>
  </w:style>
  <w:style w:type="character" w:customStyle="1" w:styleId="hpsatn">
    <w:name w:val="hps atn"/>
    <w:basedOn w:val="DefaultParagraphFont"/>
    <w:rsid w:val="001A2943"/>
  </w:style>
  <w:style w:type="character" w:styleId="FollowedHyperlink">
    <w:name w:val="FollowedHyperlink"/>
    <w:basedOn w:val="DefaultParagraphFont"/>
    <w:rsid w:val="001E1730"/>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image" Target="media/image25.emf"/><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image" Target="media/image33.emf"/><Relationship Id="rId50" Type="http://schemas.openxmlformats.org/officeDocument/2006/relationships/footer" Target="footer5.xml"/><Relationship Id="rId55" Type="http://schemas.openxmlformats.org/officeDocument/2006/relationships/header" Target="header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41" Type="http://schemas.openxmlformats.org/officeDocument/2006/relationships/image" Target="media/image27.emf"/><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header" Target="header6.xml"/><Relationship Id="rId58"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footer" Target="footer4.xml"/><Relationship Id="rId57" Type="http://schemas.openxmlformats.org/officeDocument/2006/relationships/header" Target="header8.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image" Target="media/image17.emf"/><Relationship Id="rId44" Type="http://schemas.openxmlformats.org/officeDocument/2006/relationships/image" Target="media/image30.emf"/><Relationship Id="rId52" Type="http://schemas.openxmlformats.org/officeDocument/2006/relationships/footer" Target="footer6.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header" Target="header4.xml"/><Relationship Id="rId56" Type="http://schemas.openxmlformats.org/officeDocument/2006/relationships/footer" Target="footer8.xml"/><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47DD-9508-42B9-A202-AA2E3810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87</Pages>
  <Words>26560</Words>
  <Characters>143910</Characters>
  <Application>Microsoft Office Word</Application>
  <DocSecurity>0</DocSecurity>
  <Lines>1199</Lines>
  <Paragraphs>340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La propiedad intelectual y el desarrollo socioeconómico.  Estudio de país:  Chile - Resumen</vt:lpstr>
      <vt:lpstr>La propiedad intelectual y el desarrollo socioeconómico.  Estudio de país:  Chile - Resumen</vt:lpstr>
    </vt:vector>
  </TitlesOfParts>
  <Company>WIPO</Company>
  <LinksUpToDate>false</LinksUpToDate>
  <CharactersWithSpaces>170130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propiedad intelectual y el desarrollo socioeconómico.  Estudio de país:  Chile - Resumen</dc:title>
  <dc:subject>CDIP/11/INF/4</dc:subject>
  <dc:creator>Lopez</dc:creator>
  <dc:description>KP/dl/nc_x000d_
08.04.2013</dc:description>
  <cp:lastModifiedBy>BRACI Biljana</cp:lastModifiedBy>
  <cp:revision>5</cp:revision>
  <cp:lastPrinted>2013-09-30T10:47:00Z</cp:lastPrinted>
  <dcterms:created xsi:type="dcterms:W3CDTF">2013-09-30T10:05:00Z</dcterms:created>
  <dcterms:modified xsi:type="dcterms:W3CDTF">2013-09-30T14:29:00Z</dcterms:modified>
</cp:coreProperties>
</file>