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A343" w14:textId="10BFF784" w:rsidR="008E1FEA" w:rsidRDefault="008E1FEA" w:rsidP="008E1FEA">
      <w:pPr>
        <w:spacing w:after="0"/>
        <w:ind w:left="-1247" w:right="-1135"/>
        <w:jc w:val="both"/>
        <w:rPr>
          <w:rFonts w:ascii="Bell MT" w:eastAsia="Calibri" w:hAnsi="Bell MT" w:cs="Times New Roman"/>
          <w:b/>
          <w:bCs/>
          <w:kern w:val="2"/>
          <w:sz w:val="24"/>
          <w:szCs w:val="24"/>
          <w14:ligatures w14:val="standardContextual"/>
        </w:rPr>
      </w:pPr>
      <w:r w:rsidRPr="00F322EB">
        <w:rPr>
          <w:rFonts w:ascii="Calibri" w:eastAsia="Calibri" w:hAnsi="Calibri" w:cs="Times New Roman"/>
          <w:noProof/>
          <w:kern w:val="2"/>
          <w:sz w:val="24"/>
          <w:szCs w:val="24"/>
          <w:lang w:eastAsia="es-E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F8742F1" wp14:editId="0F665760">
            <wp:simplePos x="0" y="0"/>
            <wp:positionH relativeFrom="margin">
              <wp:posOffset>102898</wp:posOffset>
            </wp:positionH>
            <wp:positionV relativeFrom="paragraph">
              <wp:posOffset>182549</wp:posOffset>
            </wp:positionV>
            <wp:extent cx="784860" cy="830580"/>
            <wp:effectExtent l="0" t="0" r="0" b="7620"/>
            <wp:wrapTopAndBottom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ECD4B" w14:textId="165999C4" w:rsidR="008E1FEA" w:rsidRPr="00563A69" w:rsidRDefault="008E1FEA" w:rsidP="008E1FEA">
      <w:pPr>
        <w:spacing w:after="0"/>
        <w:ind w:left="-1247" w:right="-1135"/>
        <w:jc w:val="both"/>
        <w:rPr>
          <w:rFonts w:ascii="Comic Sans MS" w:eastAsia="Calibri" w:hAnsi="Comic Sans M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563A69">
        <w:rPr>
          <w:rFonts w:ascii="Bell MT" w:eastAsia="Calibri" w:hAnsi="Bell MT" w:cs="Times New Roman"/>
          <w:b/>
          <w:bCs/>
          <w:kern w:val="2"/>
          <w:sz w:val="24"/>
          <w:szCs w:val="24"/>
          <w14:ligatures w14:val="standardContextual"/>
        </w:rPr>
        <w:t>REPÚBLICA DE GUINEA ECUATORIAL</w:t>
      </w:r>
      <w:r w:rsidRPr="00563A69">
        <w:rPr>
          <w:rFonts w:ascii="Bell MT" w:eastAsia="Calibri" w:hAnsi="Bell MT" w:cs="Times New Roman"/>
          <w:b/>
          <w:bCs/>
          <w:kern w:val="2"/>
          <w14:ligatures w14:val="standardContextual"/>
        </w:rPr>
        <w:t xml:space="preserve"> </w:t>
      </w:r>
      <w:r w:rsidRPr="00563A69">
        <w:rPr>
          <w:rFonts w:ascii="Calibri" w:eastAsia="Calibri" w:hAnsi="Calibri" w:cs="Times New Roman"/>
          <w:noProof/>
          <w:kern w:val="2"/>
          <w:lang w:eastAsia="fr-FR"/>
          <w14:ligatures w14:val="standardContextual"/>
        </w:rPr>
        <w:tab/>
      </w:r>
      <w:r w:rsidRPr="00563A69">
        <w:rPr>
          <w:rFonts w:ascii="Bodoni MT Poster Compressed" w:eastAsia="Calibri" w:hAnsi="Bodoni MT Poster Compressed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</w:t>
      </w:r>
      <w:r w:rsidRPr="00563A69">
        <w:rPr>
          <w:rFonts w:ascii="Bodoni MT Poster Compressed" w:eastAsia="Calibri" w:hAnsi="Bodoni MT Poster Compressed" w:cs="Times New Roman"/>
          <w:bCs/>
          <w:color w:val="00B050"/>
          <w:kern w:val="2"/>
          <w:sz w:val="24"/>
          <w:szCs w:val="24"/>
          <w14:ligatures w14:val="standardContextual"/>
        </w:rPr>
        <w:t xml:space="preserve"> </w:t>
      </w:r>
    </w:p>
    <w:p w14:paraId="70D6A609" w14:textId="77777777" w:rsidR="008E1FEA" w:rsidRPr="00563A69" w:rsidRDefault="008E1FEA" w:rsidP="008E1FEA">
      <w:pPr>
        <w:spacing w:after="0"/>
        <w:ind w:hanging="993"/>
        <w:rPr>
          <w:rFonts w:ascii="Bodoni MT Poster Compressed" w:eastAsia="Calibri" w:hAnsi="Bodoni MT Poster Compressed" w:cs="Times New Roman"/>
          <w:bCs/>
          <w:kern w:val="2"/>
          <w:sz w:val="28"/>
          <w:szCs w:val="28"/>
          <w14:ligatures w14:val="standardContextual"/>
        </w:rPr>
      </w:pPr>
      <w:r w:rsidRPr="00563A69">
        <w:rPr>
          <w:rFonts w:ascii="Bodoni MT" w:eastAsia="Calibri" w:hAnsi="Bodoni MT" w:cs="Times New Roman"/>
          <w:b/>
          <w:iCs/>
          <w:color w:val="002060"/>
          <w:kern w:val="2"/>
          <w14:ligatures w14:val="standardContextual"/>
        </w:rPr>
        <w:t xml:space="preserve">     PRESIDENCIA DEL GOBIERNO</w:t>
      </w:r>
    </w:p>
    <w:p w14:paraId="75ACA7C5" w14:textId="77777777" w:rsidR="008E1FEA" w:rsidRPr="00563A69" w:rsidRDefault="008E1FEA" w:rsidP="008E1FEA">
      <w:pPr>
        <w:spacing w:after="0"/>
        <w:ind w:right="-567"/>
        <w:rPr>
          <w:rFonts w:ascii="Bodoni MT Poster Compressed" w:eastAsia="Calibri" w:hAnsi="Bodoni MT Poster Compressed" w:cs="Times New Roman"/>
          <w:bCs/>
          <w:kern w:val="2"/>
          <w:sz w:val="24"/>
          <w:szCs w:val="24"/>
          <w:u w:val="double"/>
          <w14:ligatures w14:val="standardContextual"/>
        </w:rPr>
      </w:pPr>
      <w:r w:rsidRPr="00563A69">
        <w:rPr>
          <w:rFonts w:ascii="Bodoni MT Poster Compressed" w:eastAsia="Calibri" w:hAnsi="Bodoni MT Poster Compressed" w:cs="Times New Roman"/>
          <w:bCs/>
          <w:kern w:val="2"/>
          <w:sz w:val="24"/>
          <w:szCs w:val="24"/>
          <w:u w:val="double"/>
          <w14:ligatures w14:val="standardContextual"/>
        </w:rPr>
        <w:t>………………………………..</w:t>
      </w:r>
    </w:p>
    <w:p w14:paraId="7BAD1E2F" w14:textId="77777777" w:rsidR="008E1FEA" w:rsidRPr="00563A69" w:rsidRDefault="008E1FEA" w:rsidP="008E1FEA">
      <w:pPr>
        <w:spacing w:after="0"/>
        <w:ind w:left="-993"/>
        <w:jc w:val="both"/>
        <w:rPr>
          <w:rFonts w:ascii="Bodoni MT Poster Compressed" w:eastAsia="Calibri" w:hAnsi="Bodoni MT Poster Compressed" w:cs="Times New Roman"/>
          <w:bCs/>
          <w:kern w:val="2"/>
          <w:sz w:val="24"/>
          <w:szCs w:val="24"/>
          <w:u w:val="double"/>
          <w14:ligatures w14:val="standardContextual"/>
        </w:rPr>
      </w:pPr>
      <w:r w:rsidRPr="00563A69">
        <w:rPr>
          <w:rFonts w:ascii="Bodoni MT Poster Compressed" w:eastAsia="Calibri" w:hAnsi="Bodoni MT Poster Compressed" w:cs="Times New Roman"/>
          <w:bCs/>
          <w:kern w:val="2"/>
          <w:sz w:val="28"/>
          <w:szCs w:val="28"/>
          <w14:ligatures w14:val="standardContextual"/>
        </w:rPr>
        <w:t>Consejo de Investigaciones Científicas y Tecnológicas</w:t>
      </w:r>
    </w:p>
    <w:p w14:paraId="3B6BE763" w14:textId="77777777" w:rsidR="008E1FEA" w:rsidRPr="00563A69" w:rsidRDefault="008E1FEA" w:rsidP="008E1FEA">
      <w:pPr>
        <w:spacing w:after="0"/>
        <w:ind w:left="-993"/>
        <w:rPr>
          <w:rFonts w:ascii="Bell MT" w:eastAsia="Calibri" w:hAnsi="Bell MT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  <w:r w:rsidRPr="00563A69">
        <w:rPr>
          <w:rFonts w:ascii="Bell MT" w:eastAsia="Calibri" w:hAnsi="Bell MT" w:cs="Times New Roman"/>
          <w:b/>
          <w:bCs/>
          <w:color w:val="FF0000"/>
          <w:kern w:val="2"/>
          <w:sz w:val="24"/>
          <w:szCs w:val="24"/>
          <w14:ligatures w14:val="standardContextual"/>
        </w:rPr>
        <w:t xml:space="preserve">                    (CICTE)</w:t>
      </w:r>
    </w:p>
    <w:p w14:paraId="3598939D" w14:textId="77777777" w:rsidR="008E1FEA" w:rsidRPr="00563A69" w:rsidRDefault="008E1FEA" w:rsidP="008E1FEA">
      <w:pPr>
        <w:spacing w:after="0"/>
        <w:ind w:left="284" w:hanging="993"/>
        <w:rPr>
          <w:rFonts w:ascii="Calibri" w:eastAsia="Calibri" w:hAnsi="Calibri" w:cs="Times New Roman"/>
          <w:b/>
          <w:kern w:val="2"/>
          <w:sz w:val="24"/>
          <w:szCs w:val="24"/>
          <w:u w:val="thick"/>
          <w14:ligatures w14:val="standardContextual"/>
        </w:rPr>
      </w:pPr>
      <w:r w:rsidRPr="00563A69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 xml:space="preserve">               </w:t>
      </w:r>
      <w:r w:rsidRPr="00563A69">
        <w:rPr>
          <w:rFonts w:ascii="Calibri" w:eastAsia="Calibri" w:hAnsi="Calibri" w:cs="Times New Roman"/>
          <w:b/>
          <w:kern w:val="2"/>
          <w:sz w:val="24"/>
          <w:szCs w:val="24"/>
          <w:u w:val="thick"/>
          <w14:ligatures w14:val="standardContextual"/>
        </w:rPr>
        <w:t>----------------</w:t>
      </w:r>
    </w:p>
    <w:p w14:paraId="3963AEEC" w14:textId="77777777" w:rsidR="008E1FEA" w:rsidRPr="00563A69" w:rsidRDefault="008E1FEA" w:rsidP="009171CD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</w:p>
    <w:p w14:paraId="403A791D" w14:textId="26BC07E5" w:rsidR="008E1FEA" w:rsidRPr="003A69BF" w:rsidRDefault="008E1FEA" w:rsidP="008E1FEA">
      <w:pPr>
        <w:spacing w:after="0"/>
        <w:ind w:left="-1191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3A69BF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…….………</w:t>
      </w:r>
    </w:p>
    <w:p w14:paraId="1000BD6A" w14:textId="378C148C" w:rsidR="00D45383" w:rsidRPr="009171CD" w:rsidRDefault="000D2FA1" w:rsidP="009171CD">
      <w:pPr>
        <w:spacing w:after="0"/>
        <w:ind w:left="-567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14"/>
          <w:szCs w:val="14"/>
          <w14:ligatures w14:val="standardContextual"/>
        </w:rPr>
        <w:t>FNAM</w:t>
      </w:r>
      <w:r w:rsidR="008E1FEA" w:rsidRPr="003A69B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</w:t>
      </w:r>
    </w:p>
    <w:p w14:paraId="076F5072" w14:textId="42E798BD" w:rsidR="00D45383" w:rsidRPr="00D73C4B" w:rsidRDefault="000D2FA1" w:rsidP="00D45383">
      <w:pPr>
        <w:pStyle w:val="NormalWeb"/>
        <w:shd w:val="clear" w:color="auto" w:fill="FFFFFF"/>
        <w:spacing w:before="0" w:beforeAutospacing="0" w:after="390" w:afterAutospacing="0"/>
        <w:ind w:left="708"/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INTERNVENCION DE LA REPUBLICA DE GUINEA ECUATORIAL, EN LA NOVENA SESION DEL DIALOGO DE LA OMPI, SOBRE PROPIEDAD INTELECTUAL Y TECNOLOGIAS DE VANGUARDIAS</w:t>
      </w:r>
      <w:r w:rsidR="008E1FEA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.</w:t>
      </w:r>
    </w:p>
    <w:p w14:paraId="1CE19447" w14:textId="36E8B365" w:rsidR="000D2FA1" w:rsidRP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>Estimados colegas y asistentes a esta importante conferencia, me complace estar aquí hoy para hablarles sobre un tema que cada vez cobra más relevancia en nuestra sociedad digital: el entrenamiento de las máquinas en el contexto de los derechos de autor y el</w:t>
      </w:r>
      <w:r>
        <w:rPr>
          <w:rFonts w:ascii="Century" w:hAnsi="Century"/>
          <w:bCs/>
          <w:color w:val="000000" w:themeColor="text1"/>
          <w:sz w:val="28"/>
          <w:szCs w:val="28"/>
        </w:rPr>
        <w:t xml:space="preserve"> dilema ético que esto plantea.</w:t>
      </w:r>
    </w:p>
    <w:p w14:paraId="0D1F14C4" w14:textId="131078C0" w:rsidR="000D2FA1" w:rsidRP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 xml:space="preserve">En primer lugar, es crucial reconocer la importancia de los avances tecnológicos en la era digital, que nos han permitido desarrollar algoritmos cada vez más sofisticados capaces de aprender y mejorar a partir de grandes cantidades de datos. Esto ha llevado al surgimiento de las denominadas inteligencias artificiales, que son capaces de realizar tareas que anteriormente solo podían ser </w:t>
      </w:r>
      <w:r>
        <w:rPr>
          <w:rFonts w:ascii="Century" w:hAnsi="Century"/>
          <w:bCs/>
          <w:color w:val="000000" w:themeColor="text1"/>
          <w:sz w:val="28"/>
          <w:szCs w:val="28"/>
        </w:rPr>
        <w:t>desempeñadas por seres humanos.</w:t>
      </w:r>
    </w:p>
    <w:p w14:paraId="02DEDF1F" w14:textId="1FD0744E" w:rsid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 xml:space="preserve">Sin embargo, este avance tecnológico plantea también importantes retos y dilemas éticos en lo que respecta a los derechos de autor. ¿Hasta qué punto una inteligencia artificial puede ser considerada como creadora de una obra protegida por derechos de autor? </w:t>
      </w:r>
    </w:p>
    <w:p w14:paraId="663FE09C" w14:textId="74DAA452" w:rsidR="000D2FA1" w:rsidRP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>¿Cómo podemos garantizar que se respeten los derechos de los artistas y creadores originales cuando una máquina es la responsable</w:t>
      </w:r>
      <w:r>
        <w:rPr>
          <w:rFonts w:ascii="Century" w:hAnsi="Century"/>
          <w:bCs/>
          <w:color w:val="000000" w:themeColor="text1"/>
          <w:sz w:val="28"/>
          <w:szCs w:val="28"/>
        </w:rPr>
        <w:t xml:space="preserve"> de la generación de contenido?</w:t>
      </w:r>
    </w:p>
    <w:p w14:paraId="6B6EC29A" w14:textId="0075EC4E" w:rsidR="000D2FA1" w:rsidRP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>Es crucial reflexionar sobre estas cuestiones y encontrar un equilibrio entre promover la innovación y proteger los derechos de autor. En este sentido, es fundamental que trabajemos en conjunto para establecer marcos legales y éticos que regulen el uso de las inteligencias artificiales en la generación de contenido p</w:t>
      </w:r>
      <w:r>
        <w:rPr>
          <w:rFonts w:ascii="Century" w:hAnsi="Century"/>
          <w:bCs/>
          <w:color w:val="000000" w:themeColor="text1"/>
          <w:sz w:val="28"/>
          <w:szCs w:val="28"/>
        </w:rPr>
        <w:t>rotegido por derechos de autor.</w:t>
      </w:r>
    </w:p>
    <w:p w14:paraId="2ABB8E94" w14:textId="10500E77" w:rsidR="000D2FA1" w:rsidRPr="000D2FA1" w:rsidRDefault="000D2FA1" w:rsidP="000D2FA1">
      <w:pPr>
        <w:pStyle w:val="NormalWeb"/>
        <w:shd w:val="clear" w:color="auto" w:fill="FFFFFF"/>
        <w:spacing w:after="48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 xml:space="preserve">Además, es importante tener presente que, en última instancia, somos nosotros, los seres humanos, quienes debemos tomar decisiones éticas y responsables en el desarrollo y utilización de la tecnología. Debemos asegurarnos de que las máquinas sean entrenadas de manera ética y respetuosa, garantizando la protección de los derechos de autor y fomentando </w:t>
      </w:r>
      <w:r>
        <w:rPr>
          <w:rFonts w:ascii="Century" w:hAnsi="Century"/>
          <w:bCs/>
          <w:color w:val="000000" w:themeColor="text1"/>
          <w:sz w:val="28"/>
          <w:szCs w:val="28"/>
        </w:rPr>
        <w:t>la creatividad y la innovación.</w:t>
      </w:r>
    </w:p>
    <w:p w14:paraId="5938B092" w14:textId="77777777" w:rsidR="000D2FA1" w:rsidRDefault="000D2FA1" w:rsidP="000D2FA1">
      <w:pPr>
        <w:pStyle w:val="NormalWeb"/>
        <w:shd w:val="clear" w:color="auto" w:fill="FFFFFF"/>
        <w:spacing w:before="0" w:beforeAutospacing="0" w:after="480" w:afterAutospacing="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>En resumen, el entrenamiento de las máquinas bytes plantea un desafío ético en cuanto al respeto de los derechos de autor, y es responsabilidad de todos nosotros encontrar soluciones equitativas y sostenibles que promuevan el desarrollo tecnológico sin perjudicar los derechos de los creadores originales. Juntos, podemos trabajar para construir un futuro digital más inclusivo, justo y ético.</w:t>
      </w:r>
    </w:p>
    <w:p w14:paraId="546DDD16" w14:textId="6A47A2AD" w:rsidR="000D2FA1" w:rsidRPr="000D2FA1" w:rsidRDefault="000D2FA1" w:rsidP="000D2FA1">
      <w:pPr>
        <w:pStyle w:val="NormalWeb"/>
        <w:shd w:val="clear" w:color="auto" w:fill="FFFFFF"/>
        <w:spacing w:before="0" w:beforeAutospacing="0" w:after="480" w:afterAutospacing="0"/>
        <w:ind w:left="708"/>
        <w:jc w:val="both"/>
        <w:rPr>
          <w:rFonts w:ascii="Century" w:hAnsi="Century"/>
          <w:bCs/>
          <w:color w:val="000000" w:themeColor="text1"/>
          <w:sz w:val="28"/>
          <w:szCs w:val="28"/>
        </w:rPr>
      </w:pPr>
      <w:r w:rsidRPr="000D2FA1">
        <w:rPr>
          <w:rFonts w:ascii="Century" w:hAnsi="Century"/>
          <w:bCs/>
          <w:color w:val="000000" w:themeColor="text1"/>
          <w:sz w:val="28"/>
          <w:szCs w:val="28"/>
        </w:rPr>
        <w:t xml:space="preserve"> ¡Muchas gracias!</w:t>
      </w:r>
    </w:p>
    <w:p w14:paraId="002FAB1D" w14:textId="1C79A91A" w:rsidR="008E1FEA" w:rsidRPr="00D45383" w:rsidRDefault="008E1FEA" w:rsidP="009171CD">
      <w:pPr>
        <w:pStyle w:val="NormalWeb"/>
        <w:shd w:val="clear" w:color="auto" w:fill="FFFFFF"/>
        <w:spacing w:before="0" w:beforeAutospacing="0" w:after="390" w:afterAutospacing="0"/>
        <w:ind w:firstLine="708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</w:p>
    <w:sectPr w:rsidR="008E1FEA" w:rsidRPr="00D45383" w:rsidSect="009171CD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3" w:usb1="00000000" w:usb2="00000000" w:usb3="00000000" w:csb0="0000001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83"/>
    <w:rsid w:val="000D2FA1"/>
    <w:rsid w:val="000E039D"/>
    <w:rsid w:val="003E627D"/>
    <w:rsid w:val="008E1FEA"/>
    <w:rsid w:val="009171CD"/>
    <w:rsid w:val="00A40DC5"/>
    <w:rsid w:val="00BD6570"/>
    <w:rsid w:val="00D4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ABFF"/>
  <w15:chartTrackingRefBased/>
  <w15:docId w15:val="{8B95CCBF-F661-4817-93AE-2A21CB24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OAPI</dc:creator>
  <cp:keywords/>
  <dc:description/>
  <cp:lastModifiedBy>Juana Maria Mbengono NDONG ANGUE</cp:lastModifiedBy>
  <cp:revision>2</cp:revision>
  <cp:lastPrinted>2024-03-01T16:09:00Z</cp:lastPrinted>
  <dcterms:created xsi:type="dcterms:W3CDTF">2024-03-13T10:31:00Z</dcterms:created>
  <dcterms:modified xsi:type="dcterms:W3CDTF">2024-03-13T10:31:00Z</dcterms:modified>
</cp:coreProperties>
</file>