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Layout w:type="fixed"/>
        <w:tblLook w:val="01E0" w:firstRow="1" w:lastRow="1" w:firstColumn="1" w:lastColumn="1" w:noHBand="0" w:noVBand="0"/>
      </w:tblPr>
      <w:tblGrid>
        <w:gridCol w:w="4517"/>
        <w:gridCol w:w="4839"/>
      </w:tblGrid>
      <w:tr w:rsidR="008B2CC1" w:rsidRPr="008B2CC1" w:rsidTr="00A179E6">
        <w:trPr>
          <w:trHeight w:hRule="exact" w:val="680"/>
        </w:trPr>
        <w:tc>
          <w:tcPr>
            <w:tcW w:w="4513" w:type="dxa"/>
            <w:gridSpan w:val="2"/>
            <w:tcMar>
              <w:left w:w="0" w:type="dxa"/>
              <w:right w:w="0" w:type="dxa"/>
            </w:tcMar>
          </w:tcPr>
          <w:p w:rsidR="008B2CC1" w:rsidRPr="00605827" w:rsidRDefault="008B2CC1" w:rsidP="00A179E6">
            <w:pPr>
              <w:jc w:val="right"/>
              <w:rPr>
                <w:b/>
                <w:sz w:val="40"/>
                <w:szCs w:val="40"/>
              </w:rPr>
            </w:pPr>
            <w:r w:rsidRPr="00605827">
              <w:rPr>
                <w:b/>
                <w:sz w:val="40"/>
                <w:szCs w:val="40"/>
              </w:rPr>
              <w:t>E</w:t>
            </w:r>
          </w:p>
        </w:tc>
      </w:tr>
      <w:tr w:rsidR="002634C4" w:rsidRPr="008B2CC1" w:rsidTr="00026990">
        <w:tc>
          <w:tcPr>
            <w:tcW w:w="4513" w:type="dxa"/>
            <w:tcBorders>
              <w:bottom w:val="single" w:sz="4" w:space="0" w:color="auto"/>
            </w:tcBorders>
            <w:tcMar>
              <w:bottom w:w="170" w:type="dxa"/>
            </w:tcMar>
          </w:tcPr>
          <w:p w:rsidR="002634C4" w:rsidRPr="008B2CC1" w:rsidRDefault="002634C4" w:rsidP="00A179E6"/>
        </w:tc>
        <w:tc>
          <w:tcPr>
            <w:tcW w:w="4834" w:type="dxa"/>
            <w:tcBorders>
              <w:bottom w:val="single" w:sz="4" w:space="0" w:color="auto"/>
            </w:tcBorders>
            <w:tcMar>
              <w:left w:w="0" w:type="dxa"/>
              <w:right w:w="0" w:type="dxa"/>
            </w:tcMar>
          </w:tcPr>
          <w:p w:rsidR="002634C4" w:rsidRPr="008B2CC1" w:rsidRDefault="002F73AD" w:rsidP="00A179E6">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r>
      <w:tr w:rsidR="000A46A9" w:rsidRPr="001832A6" w:rsidTr="00026990">
        <w:trPr>
          <w:trHeight w:hRule="exact" w:val="397"/>
        </w:trPr>
        <w:tc>
          <w:tcPr>
            <w:tcW w:w="4513" w:type="dxa"/>
            <w:gridSpan w:val="2"/>
            <w:tcBorders>
              <w:top w:val="single" w:sz="4" w:space="0" w:color="auto"/>
            </w:tcBorders>
            <w:tcMar>
              <w:top w:w="28" w:type="dxa"/>
              <w:left w:w="0" w:type="dxa"/>
              <w:bottom w:w="28" w:type="dxa"/>
              <w:right w:w="0" w:type="dxa"/>
            </w:tcMar>
            <w:vAlign w:val="center"/>
          </w:tcPr>
          <w:p w:rsidR="000A46A9" w:rsidRPr="000A46A9" w:rsidRDefault="00216C3D" w:rsidP="00A179E6">
            <w:pPr>
              <w:rPr>
                <w:b/>
                <w:caps/>
                <w:sz w:val="24"/>
              </w:rPr>
            </w:pPr>
            <w:r w:rsidRPr="007F3D8B">
              <w:rPr>
                <w:b/>
                <w:caps/>
                <w:sz w:val="24"/>
              </w:rPr>
              <w:t>INTERNATIONAL CONFERENCE</w:t>
            </w:r>
          </w:p>
        </w:tc>
      </w:tr>
      <w:tr w:rsidR="008B2CC1" w:rsidRPr="001832A6" w:rsidTr="00026990">
        <w:trPr>
          <w:trHeight w:hRule="exact" w:val="340"/>
        </w:trPr>
        <w:tc>
          <w:tcPr>
            <w:tcW w:w="4513" w:type="dxa"/>
            <w:gridSpan w:val="2"/>
            <w:tcBorders>
              <w:top w:val="single" w:sz="4" w:space="0" w:color="auto"/>
            </w:tcBorders>
            <w:tcMar>
              <w:top w:w="170" w:type="dxa"/>
              <w:left w:w="0" w:type="dxa"/>
              <w:right w:w="0" w:type="dxa"/>
            </w:tcMar>
            <w:vAlign w:val="bottom"/>
          </w:tcPr>
          <w:p w:rsidR="008B2CC1" w:rsidRPr="0090731E" w:rsidRDefault="00F72018" w:rsidP="00803B4C">
            <w:pPr>
              <w:jc w:val="right"/>
              <w:rPr>
                <w:rFonts w:ascii="Arial Black" w:hAnsi="Arial Black"/>
                <w:caps/>
                <w:sz w:val="15"/>
              </w:rPr>
            </w:pPr>
            <w:r>
              <w:rPr>
                <w:rFonts w:ascii="Arial Black" w:hAnsi="Arial Black"/>
                <w:caps/>
                <w:sz w:val="15"/>
              </w:rPr>
              <w:t>WIPO/GDCM/GE/16</w:t>
            </w:r>
            <w:bookmarkStart w:id="0" w:name="Code"/>
            <w:bookmarkEnd w:id="0"/>
            <w:r w:rsidR="004F0075">
              <w:rPr>
                <w:rFonts w:ascii="Arial Black" w:hAnsi="Arial Black"/>
                <w:caps/>
                <w:sz w:val="15"/>
              </w:rPr>
              <w:t>/</w:t>
            </w:r>
            <w:r w:rsidR="002F73AD">
              <w:rPr>
                <w:rFonts w:ascii="Arial Black" w:hAnsi="Arial Black"/>
                <w:caps/>
                <w:sz w:val="15"/>
              </w:rPr>
              <w:t>INF/</w:t>
            </w:r>
            <w:r w:rsidR="00803B4C">
              <w:rPr>
                <w:rFonts w:ascii="Arial Black" w:hAnsi="Arial Black"/>
                <w:caps/>
                <w:sz w:val="15"/>
              </w:rPr>
              <w:t>2</w:t>
            </w:r>
          </w:p>
        </w:tc>
      </w:tr>
      <w:tr w:rsidR="008B2CC1" w:rsidRPr="001832A6" w:rsidTr="00026990">
        <w:trPr>
          <w:trHeight w:hRule="exact" w:val="170"/>
        </w:trPr>
        <w:tc>
          <w:tcPr>
            <w:tcW w:w="4513" w:type="dxa"/>
            <w:gridSpan w:val="2"/>
            <w:noWrap/>
            <w:tcMar>
              <w:left w:w="0" w:type="dxa"/>
              <w:right w:w="0" w:type="dxa"/>
            </w:tcMar>
            <w:vAlign w:val="bottom"/>
          </w:tcPr>
          <w:p w:rsidR="008B2CC1" w:rsidRPr="0090731E" w:rsidRDefault="008B2CC1" w:rsidP="0051479E">
            <w:pPr>
              <w:jc w:val="right"/>
              <w:rPr>
                <w:rFonts w:ascii="Arial Black" w:hAnsi="Arial Black"/>
                <w:caps/>
                <w:sz w:val="15"/>
              </w:rPr>
            </w:pPr>
            <w:r w:rsidRPr="0090731E">
              <w:rPr>
                <w:rFonts w:ascii="Arial Black" w:hAnsi="Arial Black"/>
                <w:caps/>
                <w:sz w:val="15"/>
              </w:rPr>
              <w:t>ORIGINAL:</w:t>
            </w:r>
            <w:bookmarkStart w:id="1" w:name="Original"/>
            <w:bookmarkEnd w:id="1"/>
            <w:r w:rsidR="002F73AD">
              <w:rPr>
                <w:rFonts w:ascii="Arial Black" w:hAnsi="Arial Black"/>
                <w:caps/>
                <w:sz w:val="15"/>
              </w:rPr>
              <w:t>ENGLISH</w:t>
            </w:r>
          </w:p>
        </w:tc>
      </w:tr>
      <w:tr w:rsidR="008B2CC1" w:rsidRPr="001832A6" w:rsidTr="00026990">
        <w:trPr>
          <w:trHeight w:hRule="exact" w:val="198"/>
        </w:trPr>
        <w:tc>
          <w:tcPr>
            <w:tcW w:w="4513" w:type="dxa"/>
            <w:gridSpan w:val="2"/>
            <w:tcMar>
              <w:left w:w="0" w:type="dxa"/>
              <w:right w:w="0" w:type="dxa"/>
            </w:tcMar>
            <w:vAlign w:val="bottom"/>
          </w:tcPr>
          <w:p w:rsidR="008B2CC1" w:rsidRPr="0090731E" w:rsidRDefault="008B2CC1" w:rsidP="007523F0">
            <w:pPr>
              <w:jc w:val="right"/>
              <w:rPr>
                <w:rFonts w:ascii="Arial Black" w:hAnsi="Arial Black"/>
                <w:caps/>
                <w:sz w:val="15"/>
              </w:rPr>
            </w:pPr>
            <w:r w:rsidRPr="0090731E">
              <w:rPr>
                <w:rFonts w:ascii="Arial Black" w:hAnsi="Arial Black"/>
                <w:caps/>
                <w:sz w:val="15"/>
              </w:rPr>
              <w:t>DATE:</w:t>
            </w:r>
            <w:bookmarkStart w:id="2" w:name="Date"/>
            <w:bookmarkEnd w:id="2"/>
            <w:r w:rsidR="00C47F8E">
              <w:rPr>
                <w:rFonts w:ascii="Arial Black" w:hAnsi="Arial Black"/>
                <w:caps/>
                <w:sz w:val="15"/>
              </w:rPr>
              <w:t xml:space="preserve">  </w:t>
            </w:r>
            <w:r w:rsidR="007523F0">
              <w:rPr>
                <w:rFonts w:ascii="Arial Black" w:hAnsi="Arial Black"/>
                <w:caps/>
                <w:sz w:val="15"/>
              </w:rPr>
              <w:t>April 1</w:t>
            </w:r>
            <w:r w:rsidR="000A2C9B">
              <w:rPr>
                <w:rFonts w:ascii="Arial Black" w:hAnsi="Arial Black"/>
                <w:caps/>
                <w:sz w:val="15"/>
              </w:rPr>
              <w:t xml:space="preserve">, </w:t>
            </w:r>
            <w:r w:rsidR="002F73AD">
              <w:rPr>
                <w:rFonts w:ascii="Arial Black" w:hAnsi="Arial Black"/>
                <w:caps/>
                <w:sz w:val="15"/>
              </w:rPr>
              <w:t>2016</w:t>
            </w:r>
          </w:p>
        </w:tc>
      </w:tr>
    </w:tbl>
    <w:p w:rsidR="008B2CC1" w:rsidRPr="008B2CC1" w:rsidRDefault="008B2CC1" w:rsidP="001D7119"/>
    <w:p w:rsidR="008B2CC1" w:rsidRPr="008B2CC1" w:rsidRDefault="008B2CC1" w:rsidP="001D7119"/>
    <w:p w:rsidR="008B2CC1" w:rsidRPr="008B2CC1" w:rsidRDefault="008B2CC1" w:rsidP="001D7119"/>
    <w:p w:rsidR="008B2CC1" w:rsidRPr="008B2CC1" w:rsidRDefault="008B2CC1" w:rsidP="001D7119"/>
    <w:p w:rsidR="008B2CC1" w:rsidRPr="003845C1" w:rsidRDefault="00216C3D" w:rsidP="008B2CC1">
      <w:pPr>
        <w:rPr>
          <w:b/>
          <w:sz w:val="28"/>
          <w:szCs w:val="28"/>
        </w:rPr>
      </w:pPr>
      <w:r>
        <w:rPr>
          <w:b/>
          <w:sz w:val="28"/>
          <w:szCs w:val="28"/>
        </w:rPr>
        <w:t>The Global Digital Content Market</w:t>
      </w:r>
    </w:p>
    <w:p w:rsidR="003845C1" w:rsidRDefault="003845C1" w:rsidP="003845C1"/>
    <w:p w:rsidR="003845C1" w:rsidRDefault="003845C1" w:rsidP="003845C1"/>
    <w:p w:rsidR="008B2CC1" w:rsidRPr="003845C1" w:rsidRDefault="00216C3D" w:rsidP="004F4D9B">
      <w:proofErr w:type="gramStart"/>
      <w:r w:rsidRPr="00457B4D">
        <w:rPr>
          <w:sz w:val="24"/>
          <w:szCs w:val="24"/>
        </w:rPr>
        <w:t>organized</w:t>
      </w:r>
      <w:proofErr w:type="gramEnd"/>
      <w:r w:rsidRPr="00457B4D">
        <w:rPr>
          <w:sz w:val="24"/>
          <w:szCs w:val="24"/>
        </w:rPr>
        <w:t xml:space="preserve"> by </w:t>
      </w:r>
      <w:r w:rsidR="00C8724A">
        <w:rPr>
          <w:sz w:val="24"/>
          <w:szCs w:val="24"/>
        </w:rPr>
        <w:t xml:space="preserve">the </w:t>
      </w:r>
      <w:r w:rsidRPr="00457B4D">
        <w:t>World Intellectual Property Organization (WIPO)</w:t>
      </w:r>
    </w:p>
    <w:p w:rsidR="008B2CC1" w:rsidRPr="003845C1" w:rsidRDefault="008B2CC1" w:rsidP="004F4D9B">
      <w:bookmarkStart w:id="3" w:name="_GoBack"/>
      <w:bookmarkEnd w:id="3"/>
    </w:p>
    <w:p w:rsidR="008B2CC1" w:rsidRPr="004F4D9B" w:rsidRDefault="00216C3D" w:rsidP="008B2CC1">
      <w:pPr>
        <w:rPr>
          <w:b/>
          <w:sz w:val="24"/>
          <w:szCs w:val="24"/>
        </w:rPr>
      </w:pPr>
      <w:r>
        <w:rPr>
          <w:b/>
          <w:sz w:val="24"/>
          <w:szCs w:val="24"/>
        </w:rPr>
        <w:t>Geneva, April 20 to 22, 2016</w:t>
      </w:r>
    </w:p>
    <w:p w:rsidR="008B2CC1" w:rsidRDefault="008B2CC1" w:rsidP="001D7119"/>
    <w:p w:rsidR="001D7119" w:rsidRPr="008B2CC1" w:rsidRDefault="001D7119" w:rsidP="001D7119"/>
    <w:p w:rsidR="008B2CC1" w:rsidRPr="008B2CC1" w:rsidRDefault="008B2CC1" w:rsidP="001D7119"/>
    <w:p w:rsidR="008B2CC1" w:rsidRPr="003845C1" w:rsidRDefault="002F73AD" w:rsidP="008B2CC1">
      <w:pPr>
        <w:rPr>
          <w:caps/>
          <w:sz w:val="24"/>
        </w:rPr>
      </w:pPr>
      <w:bookmarkStart w:id="4" w:name="TitleOfDoc"/>
      <w:bookmarkEnd w:id="4"/>
      <w:r>
        <w:rPr>
          <w:caps/>
          <w:sz w:val="24"/>
        </w:rPr>
        <w:t>BACKGROUND PAPER FOR DELEGATES</w:t>
      </w:r>
    </w:p>
    <w:p w:rsidR="008B2CC1" w:rsidRPr="008B2CC1" w:rsidRDefault="008B2CC1" w:rsidP="008B2CC1"/>
    <w:p w:rsidR="007B63B3" w:rsidRPr="002A6C6B" w:rsidRDefault="007523F0">
      <w:pPr>
        <w:rPr>
          <w:i/>
        </w:rPr>
      </w:pPr>
      <w:bookmarkStart w:id="5" w:name="Prepared"/>
      <w:bookmarkEnd w:id="5"/>
      <w:proofErr w:type="gramStart"/>
      <w:r w:rsidRPr="002A6C6B">
        <w:rPr>
          <w:i/>
        </w:rPr>
        <w:t>prepared</w:t>
      </w:r>
      <w:proofErr w:type="gramEnd"/>
      <w:r w:rsidRPr="002A6C6B">
        <w:rPr>
          <w:i/>
        </w:rPr>
        <w:t xml:space="preserve"> by the International Bureau of WIPO</w:t>
      </w:r>
    </w:p>
    <w:p w:rsidR="007B63B3" w:rsidRDefault="007B63B3"/>
    <w:p w:rsidR="007B63B3" w:rsidRDefault="007B63B3"/>
    <w:p w:rsidR="002F73AD" w:rsidRPr="00241717" w:rsidRDefault="002F73AD" w:rsidP="002F73AD">
      <w:pPr>
        <w:pStyle w:val="Heading1"/>
        <w:spacing w:after="0"/>
      </w:pPr>
      <w:r>
        <w:br w:type="page"/>
      </w:r>
      <w:r w:rsidRPr="00241717">
        <w:lastRenderedPageBreak/>
        <w:t>Introduction</w:t>
      </w:r>
    </w:p>
    <w:p w:rsidR="002F73AD" w:rsidRDefault="002F73AD" w:rsidP="002F73AD">
      <w:pPr>
        <w:outlineLvl w:val="0"/>
        <w:rPr>
          <w:szCs w:val="22"/>
        </w:rPr>
      </w:pPr>
    </w:p>
    <w:p w:rsidR="002F73AD" w:rsidRPr="00241717" w:rsidRDefault="002F73AD" w:rsidP="002F73AD">
      <w:pPr>
        <w:outlineLvl w:val="0"/>
        <w:rPr>
          <w:szCs w:val="22"/>
        </w:rPr>
      </w:pPr>
      <w:r w:rsidRPr="00241717">
        <w:rPr>
          <w:szCs w:val="22"/>
        </w:rPr>
        <w:t xml:space="preserve">The global digital world is changing long-established business models at a rapid pace.  The last few years have seen the emergence of a </w:t>
      </w:r>
      <w:r w:rsidR="00053E4E">
        <w:rPr>
          <w:szCs w:val="22"/>
        </w:rPr>
        <w:t>“</w:t>
      </w:r>
      <w:r w:rsidRPr="00241717">
        <w:rPr>
          <w:szCs w:val="22"/>
        </w:rPr>
        <w:t>shared economy</w:t>
      </w:r>
      <w:r w:rsidR="00053E4E">
        <w:rPr>
          <w:szCs w:val="22"/>
        </w:rPr>
        <w:t>”</w:t>
      </w:r>
      <w:r w:rsidRPr="00241717">
        <w:rPr>
          <w:szCs w:val="22"/>
        </w:rPr>
        <w:t xml:space="preserve"> with Uber offering lower priced and more flexible taxi services, Airbnb offering the same for accommodation and </w:t>
      </w:r>
      <w:proofErr w:type="spellStart"/>
      <w:r w:rsidRPr="00241717">
        <w:rPr>
          <w:szCs w:val="22"/>
        </w:rPr>
        <w:t>Vizeat</w:t>
      </w:r>
      <w:proofErr w:type="spellEnd"/>
      <w:r w:rsidRPr="00241717">
        <w:rPr>
          <w:szCs w:val="22"/>
        </w:rPr>
        <w:t xml:space="preserve"> just emerging for what </w:t>
      </w:r>
      <w:r w:rsidR="007B54D9">
        <w:rPr>
          <w:szCs w:val="22"/>
        </w:rPr>
        <w:t>the company refers to as</w:t>
      </w:r>
      <w:r>
        <w:rPr>
          <w:szCs w:val="22"/>
        </w:rPr>
        <w:t xml:space="preserve"> </w:t>
      </w:r>
      <w:r w:rsidR="00053E4E">
        <w:rPr>
          <w:szCs w:val="22"/>
        </w:rPr>
        <w:t>“</w:t>
      </w:r>
      <w:r>
        <w:rPr>
          <w:szCs w:val="22"/>
        </w:rPr>
        <w:t>meal-sharing</w:t>
      </w:r>
      <w:r w:rsidR="00053E4E">
        <w:rPr>
          <w:szCs w:val="22"/>
        </w:rPr>
        <w:t>”</w:t>
      </w:r>
      <w:r>
        <w:rPr>
          <w:szCs w:val="22"/>
        </w:rPr>
        <w:t>.</w:t>
      </w:r>
    </w:p>
    <w:p w:rsidR="002F73AD" w:rsidRPr="00241717" w:rsidRDefault="002F73AD" w:rsidP="002F73AD">
      <w:pPr>
        <w:outlineLvl w:val="0"/>
        <w:rPr>
          <w:szCs w:val="22"/>
        </w:rPr>
      </w:pPr>
    </w:p>
    <w:p w:rsidR="002F73AD" w:rsidRPr="00241717" w:rsidRDefault="002F73AD" w:rsidP="002F73AD">
      <w:pPr>
        <w:outlineLvl w:val="0"/>
        <w:rPr>
          <w:szCs w:val="22"/>
        </w:rPr>
      </w:pPr>
      <w:r w:rsidRPr="00241717">
        <w:rPr>
          <w:szCs w:val="22"/>
        </w:rPr>
        <w:t>The creative content economy has seen radical change to access and business models for more than a decade.  The tensions between increased access and a sustainable economic value chain are the essence of WIPO</w:t>
      </w:r>
      <w:r w:rsidR="00053E4E">
        <w:rPr>
          <w:szCs w:val="22"/>
        </w:rPr>
        <w:t>’</w:t>
      </w:r>
      <w:r>
        <w:rPr>
          <w:szCs w:val="22"/>
        </w:rPr>
        <w:t>s</w:t>
      </w:r>
      <w:r w:rsidRPr="00241717">
        <w:rPr>
          <w:szCs w:val="22"/>
        </w:rPr>
        <w:t xml:space="preserve"> Conference:</w:t>
      </w:r>
      <w:r>
        <w:rPr>
          <w:szCs w:val="22"/>
        </w:rPr>
        <w:t xml:space="preserve"> </w:t>
      </w:r>
      <w:r w:rsidRPr="00241717">
        <w:rPr>
          <w:szCs w:val="22"/>
        </w:rPr>
        <w:t xml:space="preserve"> </w:t>
      </w:r>
      <w:r w:rsidR="00053E4E">
        <w:rPr>
          <w:szCs w:val="22"/>
        </w:rPr>
        <w:t>“</w:t>
      </w:r>
      <w:r w:rsidRPr="00241717">
        <w:rPr>
          <w:szCs w:val="22"/>
        </w:rPr>
        <w:t xml:space="preserve">The Global </w:t>
      </w:r>
      <w:r>
        <w:rPr>
          <w:szCs w:val="22"/>
        </w:rPr>
        <w:t>Digital Content Market</w:t>
      </w:r>
      <w:r w:rsidR="00053E4E">
        <w:rPr>
          <w:szCs w:val="22"/>
        </w:rPr>
        <w:t>”</w:t>
      </w:r>
      <w:r>
        <w:rPr>
          <w:szCs w:val="22"/>
        </w:rPr>
        <w:t>.</w:t>
      </w:r>
    </w:p>
    <w:p w:rsidR="002F73AD" w:rsidRPr="00241717" w:rsidRDefault="002F73AD" w:rsidP="002F73AD">
      <w:pPr>
        <w:outlineLvl w:val="0"/>
        <w:rPr>
          <w:szCs w:val="22"/>
        </w:rPr>
      </w:pPr>
    </w:p>
    <w:p w:rsidR="002F73AD" w:rsidRPr="00241717" w:rsidRDefault="002F73AD" w:rsidP="002F73AD">
      <w:pPr>
        <w:outlineLvl w:val="0"/>
        <w:rPr>
          <w:szCs w:val="22"/>
        </w:rPr>
      </w:pPr>
      <w:r w:rsidRPr="00241717">
        <w:rPr>
          <w:szCs w:val="22"/>
        </w:rPr>
        <w:t>The conference first showcases best practice</w:t>
      </w:r>
      <w:r w:rsidR="002A04A8">
        <w:rPr>
          <w:szCs w:val="22"/>
        </w:rPr>
        <w:t>s</w:t>
      </w:r>
      <w:r w:rsidRPr="00241717">
        <w:rPr>
          <w:szCs w:val="22"/>
        </w:rPr>
        <w:t xml:space="preserve"> and reviews issues by sector:  music, film, broadcasting and publishing.  The final two sessions consider digital infrastructure, collective management and the implications for </w:t>
      </w:r>
      <w:r w:rsidR="009317B5">
        <w:rPr>
          <w:szCs w:val="22"/>
        </w:rPr>
        <w:t xml:space="preserve">the </w:t>
      </w:r>
      <w:r w:rsidRPr="00241717">
        <w:rPr>
          <w:szCs w:val="22"/>
        </w:rPr>
        <w:t xml:space="preserve">market and policy makers.  </w:t>
      </w:r>
    </w:p>
    <w:p w:rsidR="002F73AD" w:rsidRPr="00241717" w:rsidRDefault="002F73AD" w:rsidP="002F73AD">
      <w:pPr>
        <w:outlineLvl w:val="0"/>
        <w:rPr>
          <w:szCs w:val="22"/>
          <w:u w:val="single"/>
        </w:rPr>
      </w:pPr>
    </w:p>
    <w:p w:rsidR="002F73AD" w:rsidRPr="00053E4E" w:rsidRDefault="002F73AD" w:rsidP="00EF2C66">
      <w:pPr>
        <w:pStyle w:val="Heading2"/>
        <w:numPr>
          <w:ilvl w:val="0"/>
          <w:numId w:val="7"/>
        </w:numPr>
        <w:spacing w:after="0"/>
        <w:ind w:left="0" w:firstLine="0"/>
        <w:rPr>
          <w:b/>
        </w:rPr>
      </w:pPr>
      <w:r w:rsidRPr="00053E4E">
        <w:rPr>
          <w:b/>
        </w:rPr>
        <w:t>Music</w:t>
      </w:r>
    </w:p>
    <w:p w:rsidR="002F73AD" w:rsidRPr="00241717" w:rsidRDefault="002F73AD" w:rsidP="002F73AD">
      <w:pPr>
        <w:pStyle w:val="Heading3"/>
      </w:pPr>
      <w:r w:rsidRPr="00241717">
        <w:t>Overview</w:t>
      </w:r>
    </w:p>
    <w:p w:rsidR="002F73AD" w:rsidRDefault="002F73AD" w:rsidP="002F73AD">
      <w:pPr>
        <w:outlineLvl w:val="0"/>
        <w:rPr>
          <w:szCs w:val="22"/>
        </w:rPr>
      </w:pPr>
    </w:p>
    <w:p w:rsidR="002F73AD" w:rsidRPr="00241717" w:rsidRDefault="002F73AD" w:rsidP="002F73AD">
      <w:pPr>
        <w:outlineLvl w:val="0"/>
        <w:rPr>
          <w:szCs w:val="22"/>
        </w:rPr>
      </w:pPr>
      <w:r w:rsidRPr="00241717">
        <w:rPr>
          <w:szCs w:val="22"/>
        </w:rPr>
        <w:t xml:space="preserve">The music industry is in a state of flux as it continues to adapt to the digital era.  While the digital market is becoming increasingly sophisticated, increases in digital sales have yet to compensate for the decline in sales of physical formats. </w:t>
      </w:r>
      <w:r>
        <w:rPr>
          <w:szCs w:val="22"/>
        </w:rPr>
        <w:t xml:space="preserve"> </w:t>
      </w:r>
      <w:r w:rsidRPr="00241717">
        <w:rPr>
          <w:szCs w:val="22"/>
        </w:rPr>
        <w:t xml:space="preserve">This is shifting the value chain, changing the career paths of artists and introducing new players into the music industry. </w:t>
      </w:r>
    </w:p>
    <w:p w:rsidR="002F73AD" w:rsidRPr="00241717" w:rsidRDefault="002F73AD" w:rsidP="002F73AD">
      <w:pPr>
        <w:outlineLvl w:val="0"/>
        <w:rPr>
          <w:szCs w:val="22"/>
        </w:rPr>
      </w:pPr>
    </w:p>
    <w:p w:rsidR="002F73AD" w:rsidRPr="00241717" w:rsidRDefault="00053E4E" w:rsidP="002F73AD">
      <w:pPr>
        <w:pStyle w:val="Heading3"/>
      </w:pPr>
      <w:r>
        <w:t>Market S</w:t>
      </w:r>
      <w:r w:rsidR="002F73AD" w:rsidRPr="00241717">
        <w:t xml:space="preserve">ize and </w:t>
      </w:r>
      <w:r>
        <w:t>G</w:t>
      </w:r>
      <w:r w:rsidR="002F73AD" w:rsidRPr="00241717">
        <w:t xml:space="preserve">rowth </w:t>
      </w:r>
    </w:p>
    <w:p w:rsidR="002F73AD" w:rsidRDefault="002F73AD" w:rsidP="002F73AD">
      <w:pPr>
        <w:outlineLvl w:val="0"/>
        <w:rPr>
          <w:szCs w:val="22"/>
        </w:rPr>
      </w:pPr>
    </w:p>
    <w:p w:rsidR="002F73AD" w:rsidRPr="00241717" w:rsidRDefault="002F73AD" w:rsidP="002F73AD">
      <w:pPr>
        <w:outlineLvl w:val="0"/>
        <w:rPr>
          <w:szCs w:val="22"/>
        </w:rPr>
      </w:pPr>
      <w:r w:rsidRPr="00241717">
        <w:rPr>
          <w:szCs w:val="22"/>
        </w:rPr>
        <w:t>The global recording industry is worth USD15 Billion</w:t>
      </w:r>
      <w:r w:rsidR="002C5261">
        <w:rPr>
          <w:rStyle w:val="FootnoteReference"/>
          <w:szCs w:val="22"/>
        </w:rPr>
        <w:footnoteReference w:id="2"/>
      </w:r>
      <w:r w:rsidRPr="00241717">
        <w:rPr>
          <w:szCs w:val="22"/>
        </w:rPr>
        <w:t xml:space="preserve">. </w:t>
      </w:r>
      <w:r>
        <w:rPr>
          <w:szCs w:val="22"/>
        </w:rPr>
        <w:t xml:space="preserve"> </w:t>
      </w:r>
      <w:r w:rsidRPr="00241717">
        <w:rPr>
          <w:szCs w:val="22"/>
        </w:rPr>
        <w:t>2014 saw a decline of 3.9% in revenue from 2013.  Revenues f</w:t>
      </w:r>
      <w:r>
        <w:rPr>
          <w:szCs w:val="22"/>
        </w:rPr>
        <w:t>rom digital sources grew to USD</w:t>
      </w:r>
      <w:r w:rsidRPr="00241717">
        <w:rPr>
          <w:szCs w:val="22"/>
        </w:rPr>
        <w:t>6.8 Billio</w:t>
      </w:r>
      <w:r w:rsidR="00B11AC3">
        <w:rPr>
          <w:szCs w:val="22"/>
        </w:rPr>
        <w:t xml:space="preserve">n and are now equal to those from </w:t>
      </w:r>
      <w:r w:rsidRPr="00241717">
        <w:rPr>
          <w:szCs w:val="22"/>
        </w:rPr>
        <w:t>physical</w:t>
      </w:r>
      <w:r w:rsidR="00B11AC3">
        <w:rPr>
          <w:szCs w:val="22"/>
        </w:rPr>
        <w:t xml:space="preserve"> sources</w:t>
      </w:r>
      <w:r w:rsidRPr="00241717">
        <w:rPr>
          <w:szCs w:val="22"/>
        </w:rPr>
        <w:t xml:space="preserve">. </w:t>
      </w:r>
      <w:r>
        <w:rPr>
          <w:szCs w:val="22"/>
        </w:rPr>
        <w:t xml:space="preserve"> </w:t>
      </w:r>
      <w:r w:rsidRPr="00241717">
        <w:rPr>
          <w:szCs w:val="22"/>
        </w:rPr>
        <w:t xml:space="preserve">Subscription and streaming services continue to grow quickly with a 51% growth rate in 2013 to USD1 Billion. </w:t>
      </w:r>
      <w:r w:rsidR="007B54D9">
        <w:rPr>
          <w:rStyle w:val="FootnoteReference"/>
          <w:szCs w:val="22"/>
        </w:rPr>
        <w:footnoteReference w:id="3"/>
      </w:r>
    </w:p>
    <w:p w:rsidR="002F73AD" w:rsidRDefault="002F73AD" w:rsidP="002F73AD">
      <w:pPr>
        <w:outlineLvl w:val="0"/>
        <w:rPr>
          <w:szCs w:val="22"/>
        </w:rPr>
      </w:pPr>
    </w:p>
    <w:p w:rsidR="002F73AD" w:rsidRPr="00241717" w:rsidRDefault="002F73AD" w:rsidP="002F73AD">
      <w:pPr>
        <w:pStyle w:val="Heading3"/>
      </w:pPr>
      <w:r w:rsidRPr="00241717">
        <w:t>Digital</w:t>
      </w:r>
    </w:p>
    <w:p w:rsidR="002F73AD" w:rsidRDefault="002F73AD" w:rsidP="002F73AD">
      <w:pPr>
        <w:outlineLvl w:val="0"/>
        <w:rPr>
          <w:szCs w:val="22"/>
        </w:rPr>
      </w:pPr>
    </w:p>
    <w:p w:rsidR="002F73AD" w:rsidRPr="00241717" w:rsidRDefault="002F73AD" w:rsidP="002F73AD">
      <w:pPr>
        <w:outlineLvl w:val="0"/>
        <w:rPr>
          <w:szCs w:val="22"/>
        </w:rPr>
      </w:pPr>
      <w:r w:rsidRPr="00241717">
        <w:rPr>
          <w:szCs w:val="22"/>
        </w:rPr>
        <w:t>The music industry was the first to be impacted by the advent of the Internet.  Online commerce (e-commerce) introduced retail opportunities as consum</w:t>
      </w:r>
      <w:r>
        <w:rPr>
          <w:szCs w:val="22"/>
        </w:rPr>
        <w:t>ers purchased CDs online.  This </w:t>
      </w:r>
      <w:r w:rsidRPr="00241717">
        <w:rPr>
          <w:szCs w:val="22"/>
        </w:rPr>
        <w:t>changed when digital music files were introduced to the market in the 1990s.  Much of the early distribution</w:t>
      </w:r>
      <w:r w:rsidR="006B64BE">
        <w:rPr>
          <w:szCs w:val="22"/>
        </w:rPr>
        <w:t xml:space="preserve"> of digital music files</w:t>
      </w:r>
      <w:r w:rsidRPr="00241717">
        <w:rPr>
          <w:szCs w:val="22"/>
        </w:rPr>
        <w:t xml:space="preserve"> occurred outside the l</w:t>
      </w:r>
      <w:r w:rsidR="007B54D9">
        <w:rPr>
          <w:szCs w:val="22"/>
        </w:rPr>
        <w:t xml:space="preserve">icensed channels.  </w:t>
      </w:r>
      <w:r w:rsidRPr="00241717">
        <w:rPr>
          <w:szCs w:val="22"/>
        </w:rPr>
        <w:t>Value creation is shifting to new entrants including manufacturers of music players and online retail platforms.</w:t>
      </w:r>
    </w:p>
    <w:p w:rsidR="002F73AD" w:rsidRPr="00241717" w:rsidRDefault="002F73AD" w:rsidP="002F73AD">
      <w:pPr>
        <w:outlineLvl w:val="0"/>
        <w:rPr>
          <w:szCs w:val="22"/>
        </w:rPr>
      </w:pPr>
    </w:p>
    <w:p w:rsidR="002F73AD" w:rsidRPr="00241717" w:rsidRDefault="002F73AD" w:rsidP="002F73AD">
      <w:pPr>
        <w:outlineLvl w:val="0"/>
        <w:rPr>
          <w:szCs w:val="22"/>
        </w:rPr>
      </w:pPr>
      <w:r w:rsidRPr="00241717">
        <w:rPr>
          <w:szCs w:val="22"/>
        </w:rPr>
        <w:t xml:space="preserve">Digital music decreases the costs of creating, distributing and storing copies of music. </w:t>
      </w:r>
      <w:r>
        <w:rPr>
          <w:szCs w:val="22"/>
        </w:rPr>
        <w:t xml:space="preserve"> The </w:t>
      </w:r>
      <w:r w:rsidRPr="00241717">
        <w:rPr>
          <w:szCs w:val="22"/>
        </w:rPr>
        <w:t xml:space="preserve">result is a decrease in retail outlets and CD sales as a whole.  </w:t>
      </w:r>
    </w:p>
    <w:p w:rsidR="002F73AD" w:rsidRPr="00241717" w:rsidRDefault="002F73AD" w:rsidP="002F73AD">
      <w:pPr>
        <w:outlineLvl w:val="0"/>
        <w:rPr>
          <w:szCs w:val="22"/>
        </w:rPr>
      </w:pPr>
    </w:p>
    <w:p w:rsidR="002F73AD" w:rsidRPr="00241717" w:rsidRDefault="002F73AD" w:rsidP="002F73AD">
      <w:pPr>
        <w:outlineLvl w:val="0"/>
        <w:rPr>
          <w:szCs w:val="22"/>
        </w:rPr>
      </w:pPr>
      <w:r w:rsidRPr="00241717">
        <w:rPr>
          <w:szCs w:val="22"/>
        </w:rPr>
        <w:t xml:space="preserve">The digital market has yet to reach equilibrium.  A common retail model is the sale of digital files which the consumer then owns.  In subscription services, consumers typically pay a fee for access but do not own the content. </w:t>
      </w:r>
      <w:r>
        <w:rPr>
          <w:szCs w:val="22"/>
        </w:rPr>
        <w:t xml:space="preserve"> </w:t>
      </w:r>
      <w:r w:rsidRPr="00241717">
        <w:rPr>
          <w:szCs w:val="22"/>
        </w:rPr>
        <w:t xml:space="preserve">A popular online streaming subscription service is Spotify, primarily available in Western Europe and the Americas.  There are disputes between artists </w:t>
      </w:r>
      <w:r w:rsidRPr="00241717">
        <w:rPr>
          <w:szCs w:val="22"/>
        </w:rPr>
        <w:lastRenderedPageBreak/>
        <w:t xml:space="preserve">and digital sellers as artists argue remuneration is not commensurate with the value </w:t>
      </w:r>
      <w:r>
        <w:rPr>
          <w:szCs w:val="22"/>
        </w:rPr>
        <w:t xml:space="preserve">of </w:t>
      </w:r>
      <w:r w:rsidRPr="00241717">
        <w:rPr>
          <w:szCs w:val="22"/>
        </w:rPr>
        <w:t>their music.</w:t>
      </w:r>
    </w:p>
    <w:p w:rsidR="002F73AD" w:rsidRPr="00241717" w:rsidRDefault="002F73AD" w:rsidP="002F73AD">
      <w:pPr>
        <w:outlineLvl w:val="0"/>
        <w:rPr>
          <w:szCs w:val="22"/>
        </w:rPr>
      </w:pPr>
    </w:p>
    <w:p w:rsidR="002F73AD" w:rsidRPr="00241717" w:rsidRDefault="002F73AD" w:rsidP="002F73AD">
      <w:pPr>
        <w:keepNext/>
        <w:outlineLvl w:val="0"/>
        <w:rPr>
          <w:szCs w:val="22"/>
        </w:rPr>
      </w:pPr>
      <w:r w:rsidRPr="00241717">
        <w:rPr>
          <w:szCs w:val="22"/>
        </w:rPr>
        <w:t>As profits shift, live performances are becoming an impo</w:t>
      </w:r>
      <w:r w:rsidR="009711F1">
        <w:rPr>
          <w:szCs w:val="22"/>
        </w:rPr>
        <w:t>rtant source of revenue.  Record companies</w:t>
      </w:r>
      <w:r w:rsidRPr="00241717">
        <w:rPr>
          <w:szCs w:val="22"/>
        </w:rPr>
        <w:t xml:space="preserve"> issue special editions of albums and merchandising to compensate for declining revenues. </w:t>
      </w:r>
    </w:p>
    <w:p w:rsidR="002F73AD" w:rsidRPr="00241717" w:rsidRDefault="002F73AD" w:rsidP="002F73AD">
      <w:pPr>
        <w:outlineLvl w:val="0"/>
        <w:rPr>
          <w:szCs w:val="22"/>
        </w:rPr>
      </w:pPr>
    </w:p>
    <w:p w:rsidR="002F73AD" w:rsidRPr="00241717" w:rsidRDefault="002F73AD" w:rsidP="002F73AD">
      <w:pPr>
        <w:outlineLvl w:val="0"/>
        <w:rPr>
          <w:szCs w:val="22"/>
        </w:rPr>
      </w:pPr>
      <w:r w:rsidRPr="00241717">
        <w:rPr>
          <w:szCs w:val="22"/>
        </w:rPr>
        <w:t>The digital era is changing the career path of artists.  Many artists build fan bases independently by distributing their music online.  However, the end goal of this career path often</w:t>
      </w:r>
      <w:r w:rsidR="009711F1">
        <w:rPr>
          <w:szCs w:val="22"/>
        </w:rPr>
        <w:t xml:space="preserve"> remains being signed to a record company</w:t>
      </w:r>
      <w:r w:rsidRPr="00241717">
        <w:rPr>
          <w:szCs w:val="22"/>
        </w:rPr>
        <w:t xml:space="preserve">. </w:t>
      </w:r>
    </w:p>
    <w:p w:rsidR="002F73AD" w:rsidRPr="00241717" w:rsidRDefault="002F73AD" w:rsidP="002F73AD">
      <w:pPr>
        <w:outlineLvl w:val="0"/>
        <w:rPr>
          <w:szCs w:val="22"/>
        </w:rPr>
      </w:pPr>
    </w:p>
    <w:p w:rsidR="002F73AD" w:rsidRPr="00241717" w:rsidRDefault="002F73AD" w:rsidP="002F73AD">
      <w:pPr>
        <w:pStyle w:val="Heading3"/>
      </w:pPr>
      <w:r w:rsidRPr="00241717">
        <w:t xml:space="preserve">Emerging </w:t>
      </w:r>
      <w:r w:rsidR="00053E4E">
        <w:t>M</w:t>
      </w:r>
      <w:r w:rsidRPr="00241717">
        <w:t>odels</w:t>
      </w:r>
    </w:p>
    <w:p w:rsidR="002F73AD" w:rsidRDefault="002F73AD" w:rsidP="002F73AD">
      <w:pPr>
        <w:outlineLvl w:val="0"/>
        <w:rPr>
          <w:szCs w:val="22"/>
        </w:rPr>
      </w:pPr>
    </w:p>
    <w:p w:rsidR="002F73AD" w:rsidRPr="00241717" w:rsidRDefault="002F73AD" w:rsidP="002F73AD">
      <w:pPr>
        <w:outlineLvl w:val="0"/>
        <w:rPr>
          <w:szCs w:val="22"/>
        </w:rPr>
      </w:pPr>
      <w:r w:rsidRPr="00241717">
        <w:rPr>
          <w:szCs w:val="22"/>
        </w:rPr>
        <w:t xml:space="preserve">In 2015, </w:t>
      </w:r>
      <w:r>
        <w:rPr>
          <w:szCs w:val="22"/>
        </w:rPr>
        <w:t>www.</w:t>
      </w:r>
      <w:r w:rsidRPr="00241717">
        <w:rPr>
          <w:szCs w:val="22"/>
        </w:rPr>
        <w:t xml:space="preserve">InyaRwanda.com, a cultural Rwandan website, launched </w:t>
      </w:r>
      <w:proofErr w:type="spellStart"/>
      <w:r w:rsidRPr="00241717">
        <w:rPr>
          <w:szCs w:val="22"/>
        </w:rPr>
        <w:t>Afriframe</w:t>
      </w:r>
      <w:proofErr w:type="spellEnd"/>
      <w:r w:rsidRPr="00241717">
        <w:rPr>
          <w:szCs w:val="22"/>
        </w:rPr>
        <w:t xml:space="preserve">, a service for independent artists. </w:t>
      </w:r>
      <w:r>
        <w:rPr>
          <w:szCs w:val="22"/>
        </w:rPr>
        <w:t xml:space="preserve"> </w:t>
      </w:r>
      <w:r w:rsidRPr="00241717">
        <w:rPr>
          <w:szCs w:val="22"/>
        </w:rPr>
        <w:t>The service allows unsigned artists to distribute and moneti</w:t>
      </w:r>
      <w:r>
        <w:rPr>
          <w:szCs w:val="22"/>
        </w:rPr>
        <w:t>z</w:t>
      </w:r>
      <w:r w:rsidRPr="00241717">
        <w:rPr>
          <w:szCs w:val="22"/>
        </w:rPr>
        <w:t xml:space="preserve">e their content online.  </w:t>
      </w:r>
      <w:proofErr w:type="spellStart"/>
      <w:r w:rsidRPr="00241717">
        <w:rPr>
          <w:szCs w:val="22"/>
        </w:rPr>
        <w:t>Afriframe</w:t>
      </w:r>
      <w:proofErr w:type="spellEnd"/>
      <w:r w:rsidRPr="00241717">
        <w:rPr>
          <w:szCs w:val="22"/>
        </w:rPr>
        <w:t xml:space="preserve"> contracts with the artist and distributes to other online platforms such as iTunes, Spotify and </w:t>
      </w:r>
      <w:proofErr w:type="spellStart"/>
      <w:r w:rsidRPr="00241717">
        <w:rPr>
          <w:szCs w:val="22"/>
        </w:rPr>
        <w:t>Shazam</w:t>
      </w:r>
      <w:proofErr w:type="spellEnd"/>
      <w:r w:rsidRPr="00241717">
        <w:rPr>
          <w:szCs w:val="22"/>
        </w:rPr>
        <w:t xml:space="preserve">. </w:t>
      </w:r>
      <w:r>
        <w:rPr>
          <w:szCs w:val="22"/>
        </w:rPr>
        <w:t xml:space="preserve"> </w:t>
      </w:r>
      <w:r w:rsidRPr="00241717">
        <w:rPr>
          <w:szCs w:val="22"/>
        </w:rPr>
        <w:t xml:space="preserve">Initiatives like these make it possible for independent artists to sell globally.  </w:t>
      </w:r>
    </w:p>
    <w:p w:rsidR="002F73AD" w:rsidRPr="00241717" w:rsidRDefault="002F73AD" w:rsidP="002F73AD">
      <w:pPr>
        <w:outlineLvl w:val="0"/>
        <w:rPr>
          <w:szCs w:val="22"/>
        </w:rPr>
      </w:pPr>
    </w:p>
    <w:p w:rsidR="002F73AD" w:rsidRPr="00053E4E" w:rsidRDefault="002F73AD" w:rsidP="00EF2C66">
      <w:pPr>
        <w:pStyle w:val="Heading2"/>
        <w:numPr>
          <w:ilvl w:val="0"/>
          <w:numId w:val="7"/>
        </w:numPr>
        <w:ind w:left="0" w:firstLine="0"/>
        <w:rPr>
          <w:b/>
        </w:rPr>
      </w:pPr>
      <w:r w:rsidRPr="00053E4E">
        <w:rPr>
          <w:b/>
        </w:rPr>
        <w:t>Film</w:t>
      </w:r>
    </w:p>
    <w:p w:rsidR="002F73AD" w:rsidRPr="00241717" w:rsidRDefault="002F73AD" w:rsidP="002F73AD">
      <w:pPr>
        <w:pStyle w:val="Heading3"/>
      </w:pPr>
      <w:r w:rsidRPr="00241717">
        <w:t>Overview</w:t>
      </w:r>
    </w:p>
    <w:p w:rsidR="002F73AD" w:rsidRDefault="002F73AD" w:rsidP="002F73AD">
      <w:pPr>
        <w:outlineLvl w:val="0"/>
        <w:rPr>
          <w:szCs w:val="22"/>
        </w:rPr>
      </w:pPr>
    </w:p>
    <w:p w:rsidR="002F73AD" w:rsidRPr="00241717" w:rsidRDefault="002F73AD" w:rsidP="002F73AD">
      <w:pPr>
        <w:outlineLvl w:val="0"/>
        <w:rPr>
          <w:szCs w:val="22"/>
        </w:rPr>
      </w:pPr>
      <w:r w:rsidRPr="00241717">
        <w:rPr>
          <w:szCs w:val="22"/>
        </w:rPr>
        <w:t xml:space="preserve">The global film industry is in a state of flux as some markets continue to expand into cinema sales, while others are seeing fast </w:t>
      </w:r>
      <w:r>
        <w:rPr>
          <w:szCs w:val="22"/>
        </w:rPr>
        <w:t xml:space="preserve">increases in digital content.  </w:t>
      </w:r>
      <w:r w:rsidRPr="00241717">
        <w:rPr>
          <w:szCs w:val="22"/>
        </w:rPr>
        <w:t xml:space="preserve">This is accompanied by a shift in the value chain as digital lowers costs, disrupts traditional business strategies and introduces new opportunities for smaller players. </w:t>
      </w:r>
    </w:p>
    <w:p w:rsidR="002F73AD" w:rsidRDefault="002F73AD" w:rsidP="002F73AD">
      <w:pPr>
        <w:outlineLvl w:val="0"/>
        <w:rPr>
          <w:szCs w:val="22"/>
        </w:rPr>
      </w:pPr>
    </w:p>
    <w:p w:rsidR="002F73AD" w:rsidRPr="00241717" w:rsidRDefault="002F73AD" w:rsidP="002F73AD">
      <w:pPr>
        <w:pStyle w:val="Heading3"/>
      </w:pPr>
      <w:r w:rsidRPr="00241717">
        <w:t xml:space="preserve">Market </w:t>
      </w:r>
      <w:r w:rsidR="00053E4E">
        <w:t>S</w:t>
      </w:r>
      <w:r w:rsidRPr="00241717">
        <w:t xml:space="preserve">ize and </w:t>
      </w:r>
      <w:r w:rsidR="00053E4E">
        <w:t>G</w:t>
      </w:r>
      <w:r w:rsidRPr="00241717">
        <w:t>rowth</w:t>
      </w:r>
    </w:p>
    <w:p w:rsidR="002F73AD" w:rsidRDefault="002F73AD" w:rsidP="002F73AD">
      <w:pPr>
        <w:outlineLvl w:val="0"/>
        <w:rPr>
          <w:szCs w:val="22"/>
        </w:rPr>
      </w:pPr>
    </w:p>
    <w:p w:rsidR="002F73AD" w:rsidRPr="00241717" w:rsidRDefault="002F73AD" w:rsidP="002F73AD">
      <w:pPr>
        <w:outlineLvl w:val="0"/>
        <w:rPr>
          <w:szCs w:val="22"/>
        </w:rPr>
      </w:pPr>
      <w:r w:rsidRPr="00241717">
        <w:rPr>
          <w:szCs w:val="22"/>
        </w:rPr>
        <w:t>The global box office revenues for film were USD36.4 billion</w:t>
      </w:r>
      <w:r w:rsidR="007B54D9">
        <w:rPr>
          <w:rStyle w:val="FootnoteReference"/>
          <w:szCs w:val="22"/>
        </w:rPr>
        <w:footnoteReference w:id="4"/>
      </w:r>
      <w:r w:rsidRPr="00241717">
        <w:rPr>
          <w:szCs w:val="22"/>
        </w:rPr>
        <w:t xml:space="preserve"> in 2014.  The top five largest producers of films are India, </w:t>
      </w:r>
      <w:r>
        <w:rPr>
          <w:szCs w:val="22"/>
        </w:rPr>
        <w:t xml:space="preserve">the </w:t>
      </w:r>
      <w:r w:rsidRPr="00241717">
        <w:rPr>
          <w:szCs w:val="22"/>
        </w:rPr>
        <w:t>United States</w:t>
      </w:r>
      <w:r>
        <w:rPr>
          <w:szCs w:val="22"/>
        </w:rPr>
        <w:t xml:space="preserve"> of America</w:t>
      </w:r>
      <w:r w:rsidRPr="00241717">
        <w:rPr>
          <w:szCs w:val="22"/>
        </w:rPr>
        <w:t>, China, Japan and the UK</w:t>
      </w:r>
      <w:r w:rsidR="007B54D9">
        <w:rPr>
          <w:rStyle w:val="FootnoteReference"/>
          <w:szCs w:val="22"/>
        </w:rPr>
        <w:footnoteReference w:id="5"/>
      </w:r>
      <w:r w:rsidRPr="00241717">
        <w:rPr>
          <w:szCs w:val="22"/>
        </w:rPr>
        <w:t xml:space="preserve">, with Nigeria ranking high on informal productions.  </w:t>
      </w:r>
    </w:p>
    <w:p w:rsidR="002F73AD" w:rsidRPr="00241717" w:rsidRDefault="002F73AD" w:rsidP="002F73AD">
      <w:pPr>
        <w:outlineLvl w:val="0"/>
        <w:rPr>
          <w:szCs w:val="22"/>
        </w:rPr>
      </w:pPr>
    </w:p>
    <w:p w:rsidR="002F73AD" w:rsidRPr="00241717" w:rsidRDefault="002F73AD" w:rsidP="002F73AD">
      <w:pPr>
        <w:outlineLvl w:val="0"/>
        <w:rPr>
          <w:szCs w:val="22"/>
        </w:rPr>
      </w:pPr>
      <w:r w:rsidRPr="00241717">
        <w:rPr>
          <w:szCs w:val="22"/>
        </w:rPr>
        <w:t xml:space="preserve">Growth in box office revenues has been slow in the last decade. </w:t>
      </w:r>
      <w:r>
        <w:rPr>
          <w:szCs w:val="22"/>
        </w:rPr>
        <w:t xml:space="preserve"> </w:t>
      </w:r>
      <w:r w:rsidRPr="00241717">
        <w:rPr>
          <w:szCs w:val="22"/>
        </w:rPr>
        <w:t>2014 showed a growth of only 1%</w:t>
      </w:r>
      <w:r w:rsidR="007B54D9">
        <w:rPr>
          <w:rStyle w:val="FootnoteReference"/>
          <w:szCs w:val="22"/>
        </w:rPr>
        <w:footnoteReference w:id="6"/>
      </w:r>
      <w:r w:rsidRPr="00241717">
        <w:rPr>
          <w:szCs w:val="22"/>
        </w:rPr>
        <w:t xml:space="preserve">, which follows a number of years of mixed </w:t>
      </w:r>
      <w:r>
        <w:rPr>
          <w:szCs w:val="22"/>
        </w:rPr>
        <w:t>growth</w:t>
      </w:r>
      <w:r w:rsidR="00611F39">
        <w:rPr>
          <w:rStyle w:val="FootnoteReference"/>
          <w:szCs w:val="22"/>
        </w:rPr>
        <w:footnoteReference w:id="7"/>
      </w:r>
      <w:r>
        <w:rPr>
          <w:szCs w:val="22"/>
        </w:rPr>
        <w:t xml:space="preserve">.  </w:t>
      </w:r>
      <w:r w:rsidRPr="00241717">
        <w:rPr>
          <w:szCs w:val="22"/>
        </w:rPr>
        <w:t>While ticket sales are falling or flat in North America and Europe, growth in the Asia-Pacific region, particularly China, has been strong</w:t>
      </w:r>
      <w:proofErr w:type="gramStart"/>
      <w:r w:rsidRPr="00241717">
        <w:rPr>
          <w:szCs w:val="22"/>
        </w:rPr>
        <w:t xml:space="preserve">; </w:t>
      </w:r>
      <w:r>
        <w:rPr>
          <w:szCs w:val="22"/>
        </w:rPr>
        <w:t xml:space="preserve"> </w:t>
      </w:r>
      <w:r w:rsidRPr="00241717">
        <w:rPr>
          <w:szCs w:val="22"/>
        </w:rPr>
        <w:t>the</w:t>
      </w:r>
      <w:proofErr w:type="gramEnd"/>
      <w:r w:rsidRPr="00241717">
        <w:rPr>
          <w:szCs w:val="22"/>
        </w:rPr>
        <w:t xml:space="preserve"> Chinese market grew 34% in 2014 to USD4.8 billion</w:t>
      </w:r>
      <w:r w:rsidR="00611F39">
        <w:rPr>
          <w:rStyle w:val="FootnoteReference"/>
          <w:szCs w:val="22"/>
        </w:rPr>
        <w:footnoteReference w:id="8"/>
      </w:r>
      <w:r w:rsidRPr="00241717">
        <w:rPr>
          <w:szCs w:val="22"/>
        </w:rPr>
        <w:t xml:space="preserve">. </w:t>
      </w:r>
    </w:p>
    <w:p w:rsidR="002F73AD" w:rsidRPr="00241717" w:rsidRDefault="002F73AD" w:rsidP="002F73AD">
      <w:pPr>
        <w:outlineLvl w:val="0"/>
        <w:rPr>
          <w:szCs w:val="22"/>
        </w:rPr>
      </w:pPr>
    </w:p>
    <w:p w:rsidR="002F73AD" w:rsidRPr="00241717" w:rsidRDefault="002F73AD" w:rsidP="002F73AD">
      <w:pPr>
        <w:outlineLvl w:val="0"/>
        <w:rPr>
          <w:szCs w:val="22"/>
        </w:rPr>
      </w:pPr>
      <w:r w:rsidRPr="00241717">
        <w:rPr>
          <w:szCs w:val="22"/>
        </w:rPr>
        <w:t xml:space="preserve">Digital film sales </w:t>
      </w:r>
      <w:r w:rsidR="00A125F9">
        <w:rPr>
          <w:szCs w:val="22"/>
        </w:rPr>
        <w:t xml:space="preserve">from online sources </w:t>
      </w:r>
      <w:r w:rsidRPr="00241717">
        <w:rPr>
          <w:szCs w:val="22"/>
        </w:rPr>
        <w:t>are increasing.  In the United States</w:t>
      </w:r>
      <w:r>
        <w:rPr>
          <w:szCs w:val="22"/>
        </w:rPr>
        <w:t xml:space="preserve"> of America</w:t>
      </w:r>
      <w:r w:rsidRPr="00241717">
        <w:rPr>
          <w:szCs w:val="22"/>
        </w:rPr>
        <w:t xml:space="preserve">, the home entertainment sector is rapidly growing and electronic sales of new releases grew 60% </w:t>
      </w:r>
      <w:r w:rsidR="00611F39">
        <w:rPr>
          <w:rStyle w:val="FootnoteReference"/>
          <w:szCs w:val="22"/>
        </w:rPr>
        <w:footnoteReference w:id="9"/>
      </w:r>
      <w:r w:rsidRPr="00241717">
        <w:rPr>
          <w:szCs w:val="22"/>
        </w:rPr>
        <w:t>in 2014</w:t>
      </w:r>
      <w:proofErr w:type="gramStart"/>
      <w:r w:rsidRPr="00241717">
        <w:rPr>
          <w:szCs w:val="22"/>
        </w:rPr>
        <w:t xml:space="preserve">; </w:t>
      </w:r>
      <w:r>
        <w:rPr>
          <w:szCs w:val="22"/>
        </w:rPr>
        <w:t xml:space="preserve"> </w:t>
      </w:r>
      <w:r w:rsidRPr="00241717">
        <w:rPr>
          <w:szCs w:val="22"/>
        </w:rPr>
        <w:t>this</w:t>
      </w:r>
      <w:proofErr w:type="gramEnd"/>
      <w:r w:rsidRPr="00241717">
        <w:rPr>
          <w:szCs w:val="22"/>
        </w:rPr>
        <w:t xml:space="preserve"> increase accompanies a decline in the sales of DVDs and other discs. </w:t>
      </w:r>
      <w:r>
        <w:rPr>
          <w:szCs w:val="22"/>
        </w:rPr>
        <w:t xml:space="preserve"> </w:t>
      </w:r>
      <w:r w:rsidRPr="00241717">
        <w:rPr>
          <w:szCs w:val="22"/>
        </w:rPr>
        <w:t>In the U</w:t>
      </w:r>
      <w:r>
        <w:rPr>
          <w:szCs w:val="22"/>
        </w:rPr>
        <w:t xml:space="preserve">nited </w:t>
      </w:r>
      <w:r w:rsidRPr="00241717">
        <w:rPr>
          <w:szCs w:val="22"/>
        </w:rPr>
        <w:t>K</w:t>
      </w:r>
      <w:r>
        <w:rPr>
          <w:szCs w:val="22"/>
        </w:rPr>
        <w:t>ingdom</w:t>
      </w:r>
      <w:r w:rsidRPr="00241717">
        <w:rPr>
          <w:szCs w:val="22"/>
        </w:rPr>
        <w:t>, digital purchases of film were estimated to be USD490 (£323) million in 2013, an increase of 400% since 2002</w:t>
      </w:r>
      <w:r w:rsidR="00611F39">
        <w:rPr>
          <w:rStyle w:val="FootnoteReference"/>
          <w:szCs w:val="22"/>
        </w:rPr>
        <w:footnoteReference w:id="10"/>
      </w:r>
      <w:r w:rsidRPr="00241717">
        <w:rPr>
          <w:szCs w:val="22"/>
        </w:rPr>
        <w:t xml:space="preserve">.  </w:t>
      </w:r>
    </w:p>
    <w:p w:rsidR="002F73AD" w:rsidRPr="00241717" w:rsidRDefault="002F73AD" w:rsidP="002F73AD">
      <w:pPr>
        <w:outlineLvl w:val="0"/>
        <w:rPr>
          <w:szCs w:val="22"/>
        </w:rPr>
      </w:pPr>
    </w:p>
    <w:p w:rsidR="002F73AD" w:rsidRPr="00241717" w:rsidRDefault="002F73AD" w:rsidP="002F73AD">
      <w:pPr>
        <w:pStyle w:val="Heading3"/>
      </w:pPr>
      <w:r w:rsidRPr="00241717">
        <w:t>Digital</w:t>
      </w:r>
    </w:p>
    <w:p w:rsidR="002F73AD" w:rsidRDefault="002F73AD" w:rsidP="002F73AD">
      <w:pPr>
        <w:outlineLvl w:val="0"/>
        <w:rPr>
          <w:szCs w:val="22"/>
        </w:rPr>
      </w:pPr>
    </w:p>
    <w:p w:rsidR="002F73AD" w:rsidRPr="00241717" w:rsidRDefault="002F73AD" w:rsidP="002F73AD">
      <w:pPr>
        <w:outlineLvl w:val="0"/>
        <w:rPr>
          <w:szCs w:val="22"/>
        </w:rPr>
      </w:pPr>
      <w:r w:rsidRPr="00241717">
        <w:rPr>
          <w:szCs w:val="22"/>
        </w:rPr>
        <w:t xml:space="preserve">Digital affects the value chain in a number of ways. </w:t>
      </w:r>
      <w:r>
        <w:rPr>
          <w:szCs w:val="22"/>
        </w:rPr>
        <w:t xml:space="preserve"> </w:t>
      </w:r>
      <w:r w:rsidRPr="00241717">
        <w:rPr>
          <w:szCs w:val="22"/>
        </w:rPr>
        <w:t>In the production phase, digital technology has lowered the costs of production and expanded the possibilities of visual effects.  Similarly, digital has lowered costs in distribution.  However, the largest impact of digital is on the traditional reliance on windowing</w:t>
      </w:r>
      <w:r w:rsidR="00ED663D">
        <w:rPr>
          <w:rStyle w:val="FootnoteReference"/>
          <w:szCs w:val="22"/>
        </w:rPr>
        <w:footnoteReference w:id="11"/>
      </w:r>
      <w:r w:rsidRPr="00241717">
        <w:rPr>
          <w:szCs w:val="22"/>
        </w:rPr>
        <w:t>.  The physical constraints of film reels and DVDs are no longer relevant.  Instead, the possibilities of online streaming have changed audiences</w:t>
      </w:r>
      <w:r w:rsidR="00053E4E">
        <w:rPr>
          <w:szCs w:val="22"/>
        </w:rPr>
        <w:t>’</w:t>
      </w:r>
      <w:r w:rsidRPr="00241717">
        <w:rPr>
          <w:szCs w:val="22"/>
        </w:rPr>
        <w:t xml:space="preserve"> expectations and the time between windows is shortening. </w:t>
      </w:r>
      <w:r>
        <w:rPr>
          <w:szCs w:val="22"/>
        </w:rPr>
        <w:t xml:space="preserve"> </w:t>
      </w:r>
      <w:r w:rsidRPr="00241717">
        <w:rPr>
          <w:szCs w:val="22"/>
        </w:rPr>
        <w:t xml:space="preserve">This makes it more difficult for the industry to benefit from premium release cinema tickets and revenues are shifting to online sales.  </w:t>
      </w:r>
    </w:p>
    <w:p w:rsidR="002F73AD" w:rsidRPr="00241717" w:rsidRDefault="002F73AD" w:rsidP="002F73AD">
      <w:pPr>
        <w:outlineLvl w:val="0"/>
        <w:rPr>
          <w:szCs w:val="22"/>
        </w:rPr>
      </w:pPr>
      <w:r w:rsidRPr="00241717">
        <w:rPr>
          <w:szCs w:val="22"/>
        </w:rPr>
        <w:t>The shift to digital has opened up new possibilities for sma</w:t>
      </w:r>
      <w:r>
        <w:rPr>
          <w:szCs w:val="22"/>
        </w:rPr>
        <w:t xml:space="preserve">ller players in the industry.  </w:t>
      </w:r>
      <w:r w:rsidRPr="00241717">
        <w:rPr>
          <w:szCs w:val="22"/>
        </w:rPr>
        <w:t>Video</w:t>
      </w:r>
      <w:r>
        <w:rPr>
          <w:szCs w:val="22"/>
        </w:rPr>
        <w:noBreakHyphen/>
        <w:t>on</w:t>
      </w:r>
      <w:r>
        <w:rPr>
          <w:szCs w:val="22"/>
        </w:rPr>
        <w:noBreakHyphen/>
      </w:r>
      <w:r w:rsidRPr="00241717">
        <w:rPr>
          <w:szCs w:val="22"/>
        </w:rPr>
        <w:t>demand (VOD), in which online or interactive services allow the consumers to choose the film</w:t>
      </w:r>
      <w:r w:rsidR="00A125F9">
        <w:rPr>
          <w:szCs w:val="22"/>
        </w:rPr>
        <w:t xml:space="preserve"> and to view it at a time of their choosing</w:t>
      </w:r>
      <w:r w:rsidRPr="00241717">
        <w:rPr>
          <w:szCs w:val="22"/>
        </w:rPr>
        <w:t>, is an excellent example of the change digital can make.  Independent film</w:t>
      </w:r>
      <w:r>
        <w:rPr>
          <w:szCs w:val="22"/>
        </w:rPr>
        <w:t xml:space="preserve"> </w:t>
      </w:r>
      <w:r w:rsidRPr="00241717">
        <w:rPr>
          <w:szCs w:val="22"/>
        </w:rPr>
        <w:t xml:space="preserve">makers can forgo the interim steps of licensing and distribution and sell directly to the audience.  Subscription streaming services, in which audiences pay monthly fees for access to content, are becoming more popular. </w:t>
      </w:r>
    </w:p>
    <w:p w:rsidR="002F73AD" w:rsidRPr="00241717" w:rsidRDefault="002F73AD" w:rsidP="002F73AD">
      <w:pPr>
        <w:outlineLvl w:val="0"/>
        <w:rPr>
          <w:szCs w:val="22"/>
        </w:rPr>
      </w:pPr>
    </w:p>
    <w:p w:rsidR="002F73AD" w:rsidRPr="00241717" w:rsidRDefault="002F73AD" w:rsidP="002F73AD">
      <w:pPr>
        <w:pStyle w:val="Heading3"/>
      </w:pPr>
      <w:r w:rsidRPr="00241717">
        <w:t xml:space="preserve">Emerging </w:t>
      </w:r>
      <w:r w:rsidR="00053E4E">
        <w:t>M</w:t>
      </w:r>
      <w:r w:rsidRPr="00241717">
        <w:t>odels</w:t>
      </w:r>
    </w:p>
    <w:p w:rsidR="002F73AD" w:rsidRDefault="002F73AD" w:rsidP="002F73AD">
      <w:pPr>
        <w:outlineLvl w:val="0"/>
        <w:rPr>
          <w:szCs w:val="22"/>
        </w:rPr>
      </w:pPr>
    </w:p>
    <w:p w:rsidR="002F73AD" w:rsidRPr="00241717" w:rsidRDefault="002F73AD" w:rsidP="002F73AD">
      <w:pPr>
        <w:outlineLvl w:val="0"/>
        <w:rPr>
          <w:szCs w:val="22"/>
        </w:rPr>
      </w:pPr>
      <w:r w:rsidRPr="00241717">
        <w:rPr>
          <w:szCs w:val="22"/>
        </w:rPr>
        <w:t xml:space="preserve">In May 2015, the Brazilian start-up </w:t>
      </w:r>
      <w:proofErr w:type="spellStart"/>
      <w:r w:rsidRPr="00241717">
        <w:rPr>
          <w:szCs w:val="22"/>
        </w:rPr>
        <w:t>Setima</w:t>
      </w:r>
      <w:proofErr w:type="spellEnd"/>
      <w:r w:rsidRPr="00241717">
        <w:rPr>
          <w:szCs w:val="22"/>
        </w:rPr>
        <w:t xml:space="preserve"> launched as a dedicated VOD platform for independent Brazilian films. </w:t>
      </w:r>
      <w:r>
        <w:rPr>
          <w:szCs w:val="22"/>
        </w:rPr>
        <w:t xml:space="preserve"> </w:t>
      </w:r>
      <w:r w:rsidRPr="00241717">
        <w:rPr>
          <w:szCs w:val="22"/>
        </w:rPr>
        <w:t xml:space="preserve">It seeks to enable independent filmmakers to store, manage, promote and display their films, bringing them together with their audiences. </w:t>
      </w:r>
      <w:r>
        <w:rPr>
          <w:szCs w:val="22"/>
        </w:rPr>
        <w:t xml:space="preserve"> </w:t>
      </w:r>
      <w:r w:rsidRPr="00241717">
        <w:rPr>
          <w:szCs w:val="22"/>
        </w:rPr>
        <w:t xml:space="preserve">Profits from the platform will be used to create new films. </w:t>
      </w:r>
      <w:r>
        <w:rPr>
          <w:szCs w:val="22"/>
        </w:rPr>
        <w:t xml:space="preserve"> </w:t>
      </w:r>
      <w:r w:rsidRPr="00241717">
        <w:rPr>
          <w:szCs w:val="22"/>
        </w:rPr>
        <w:t xml:space="preserve">Projects such as </w:t>
      </w:r>
      <w:proofErr w:type="spellStart"/>
      <w:r w:rsidRPr="00241717">
        <w:rPr>
          <w:szCs w:val="22"/>
        </w:rPr>
        <w:t>Setima</w:t>
      </w:r>
      <w:proofErr w:type="spellEnd"/>
      <w:r w:rsidRPr="00241717">
        <w:rPr>
          <w:szCs w:val="22"/>
        </w:rPr>
        <w:t xml:space="preserve"> demonstrate how digital can promote cultural heritage and support smaller filmmakers.</w:t>
      </w:r>
    </w:p>
    <w:p w:rsidR="002F73AD" w:rsidRDefault="002F73AD" w:rsidP="002F73AD">
      <w:pPr>
        <w:outlineLvl w:val="0"/>
        <w:rPr>
          <w:szCs w:val="22"/>
        </w:rPr>
      </w:pPr>
    </w:p>
    <w:p w:rsidR="002F73AD" w:rsidRPr="00053E4E" w:rsidRDefault="002F73AD" w:rsidP="00EF2C66">
      <w:pPr>
        <w:pStyle w:val="Heading2"/>
        <w:numPr>
          <w:ilvl w:val="0"/>
          <w:numId w:val="7"/>
        </w:numPr>
        <w:ind w:left="0" w:firstLine="0"/>
        <w:rPr>
          <w:b/>
        </w:rPr>
      </w:pPr>
      <w:r w:rsidRPr="00053E4E">
        <w:rPr>
          <w:b/>
        </w:rPr>
        <w:t>Broadcasting</w:t>
      </w:r>
    </w:p>
    <w:p w:rsidR="002F73AD" w:rsidRPr="00241717" w:rsidRDefault="002F73AD" w:rsidP="002F73AD">
      <w:pPr>
        <w:pStyle w:val="Heading3"/>
      </w:pPr>
      <w:r w:rsidRPr="00241717">
        <w:t>Overview</w:t>
      </w:r>
    </w:p>
    <w:p w:rsidR="002F73AD" w:rsidRDefault="002F73AD" w:rsidP="002F73AD">
      <w:pPr>
        <w:outlineLvl w:val="0"/>
        <w:rPr>
          <w:szCs w:val="22"/>
        </w:rPr>
      </w:pPr>
    </w:p>
    <w:p w:rsidR="002F73AD" w:rsidRPr="00241717" w:rsidRDefault="002F73AD" w:rsidP="002F73AD">
      <w:pPr>
        <w:outlineLvl w:val="0"/>
        <w:rPr>
          <w:szCs w:val="22"/>
        </w:rPr>
      </w:pPr>
      <w:r w:rsidRPr="00241717">
        <w:rPr>
          <w:szCs w:val="22"/>
        </w:rPr>
        <w:t xml:space="preserve">The outlook for TV broadcasting is mixed as analogue services decline and digital and Internet services grow. </w:t>
      </w:r>
      <w:r>
        <w:rPr>
          <w:szCs w:val="22"/>
        </w:rPr>
        <w:t xml:space="preserve"> </w:t>
      </w:r>
      <w:r w:rsidRPr="00241717">
        <w:rPr>
          <w:szCs w:val="22"/>
        </w:rPr>
        <w:t xml:space="preserve">This increases competition for advertising revenues and audiences for commercial broadcasting.  Growth is weak in developed countries but stronger in developing countries. </w:t>
      </w:r>
      <w:r>
        <w:rPr>
          <w:szCs w:val="22"/>
        </w:rPr>
        <w:t xml:space="preserve"> </w:t>
      </w:r>
      <w:r w:rsidRPr="00241717">
        <w:rPr>
          <w:szCs w:val="22"/>
        </w:rPr>
        <w:t>Radio is experiencing similar trends.</w:t>
      </w:r>
    </w:p>
    <w:p w:rsidR="002F73AD" w:rsidRPr="00241717" w:rsidRDefault="002F73AD" w:rsidP="002F73AD">
      <w:pPr>
        <w:rPr>
          <w:szCs w:val="22"/>
        </w:rPr>
      </w:pPr>
    </w:p>
    <w:p w:rsidR="002F73AD" w:rsidRPr="00241717" w:rsidRDefault="002F73AD" w:rsidP="002F73AD">
      <w:pPr>
        <w:pStyle w:val="Heading3"/>
      </w:pPr>
      <w:r w:rsidRPr="00241717">
        <w:t xml:space="preserve">Market </w:t>
      </w:r>
      <w:r>
        <w:t>S</w:t>
      </w:r>
      <w:r w:rsidRPr="00241717">
        <w:t xml:space="preserve">ize and </w:t>
      </w:r>
      <w:r>
        <w:t>G</w:t>
      </w:r>
      <w:r w:rsidRPr="00241717">
        <w:t>rowth</w:t>
      </w:r>
    </w:p>
    <w:p w:rsidR="002F73AD" w:rsidRDefault="002F73AD" w:rsidP="002F73AD">
      <w:pPr>
        <w:outlineLvl w:val="0"/>
        <w:rPr>
          <w:szCs w:val="22"/>
        </w:rPr>
      </w:pPr>
    </w:p>
    <w:p w:rsidR="002F73AD" w:rsidRPr="00241717" w:rsidRDefault="00B11AC3" w:rsidP="002F73AD">
      <w:pPr>
        <w:outlineLvl w:val="0"/>
        <w:rPr>
          <w:szCs w:val="22"/>
        </w:rPr>
      </w:pPr>
      <w:r>
        <w:rPr>
          <w:szCs w:val="22"/>
        </w:rPr>
        <w:t xml:space="preserve">Global </w:t>
      </w:r>
      <w:proofErr w:type="spellStart"/>
      <w:r>
        <w:rPr>
          <w:szCs w:val="22"/>
        </w:rPr>
        <w:t>pay-TV</w:t>
      </w:r>
      <w:proofErr w:type="spellEnd"/>
      <w:r>
        <w:rPr>
          <w:szCs w:val="22"/>
        </w:rPr>
        <w:t xml:space="preserve"> (</w:t>
      </w:r>
      <w:r w:rsidR="002F73AD" w:rsidRPr="00241717">
        <w:rPr>
          <w:szCs w:val="22"/>
        </w:rPr>
        <w:t>whi</w:t>
      </w:r>
      <w:r>
        <w:rPr>
          <w:szCs w:val="22"/>
        </w:rPr>
        <w:t>ch includes satellite and cable)</w:t>
      </w:r>
      <w:r w:rsidR="002F73AD" w:rsidRPr="00241717">
        <w:rPr>
          <w:szCs w:val="22"/>
        </w:rPr>
        <w:t xml:space="preserve"> revenues were USD183 billion in 2012 and the number of subscribers increased 32% from 2008.  Growth stems from developing countries where 34% of households have </w:t>
      </w:r>
      <w:proofErr w:type="spellStart"/>
      <w:r w:rsidR="002F73AD" w:rsidRPr="00241717">
        <w:rPr>
          <w:szCs w:val="22"/>
        </w:rPr>
        <w:t>pay-TV</w:t>
      </w:r>
      <w:proofErr w:type="spellEnd"/>
      <w:r w:rsidR="00447374">
        <w:rPr>
          <w:rStyle w:val="FootnoteReference"/>
          <w:szCs w:val="22"/>
        </w:rPr>
        <w:footnoteReference w:id="12"/>
      </w:r>
      <w:r w:rsidR="002F73AD" w:rsidRPr="00241717">
        <w:rPr>
          <w:szCs w:val="22"/>
        </w:rPr>
        <w:t xml:space="preserve">. </w:t>
      </w:r>
      <w:r w:rsidR="002F73AD">
        <w:rPr>
          <w:szCs w:val="22"/>
        </w:rPr>
        <w:t xml:space="preserve"> </w:t>
      </w:r>
      <w:r w:rsidR="002F73AD" w:rsidRPr="00241717">
        <w:rPr>
          <w:szCs w:val="22"/>
        </w:rPr>
        <w:t>While TV subsc</w:t>
      </w:r>
      <w:r w:rsidR="002F73AD">
        <w:rPr>
          <w:szCs w:val="22"/>
        </w:rPr>
        <w:t xml:space="preserve">ription revenue is growing 3.5% </w:t>
      </w:r>
      <w:r w:rsidR="002F73AD" w:rsidRPr="00241717">
        <w:rPr>
          <w:szCs w:val="22"/>
        </w:rPr>
        <w:t>annually, government cutbacks mean public broadcast funding is growing at less than 1% annually</w:t>
      </w:r>
      <w:r w:rsidR="00447374">
        <w:rPr>
          <w:rStyle w:val="FootnoteReference"/>
          <w:szCs w:val="22"/>
        </w:rPr>
        <w:footnoteReference w:id="13"/>
      </w:r>
      <w:r w:rsidR="002F73AD" w:rsidRPr="00241717">
        <w:rPr>
          <w:szCs w:val="22"/>
        </w:rPr>
        <w:t>.</w:t>
      </w:r>
    </w:p>
    <w:p w:rsidR="002F73AD" w:rsidRPr="00241717" w:rsidRDefault="002F73AD" w:rsidP="002F73AD">
      <w:pPr>
        <w:outlineLvl w:val="0"/>
        <w:rPr>
          <w:szCs w:val="22"/>
        </w:rPr>
      </w:pPr>
    </w:p>
    <w:p w:rsidR="002F73AD" w:rsidRPr="00241717" w:rsidRDefault="002F73AD" w:rsidP="002F73AD">
      <w:pPr>
        <w:outlineLvl w:val="0"/>
        <w:rPr>
          <w:szCs w:val="22"/>
        </w:rPr>
      </w:pPr>
      <w:r w:rsidRPr="00241717">
        <w:rPr>
          <w:szCs w:val="22"/>
        </w:rPr>
        <w:t xml:space="preserve">The majority of households own a TV: </w:t>
      </w:r>
      <w:r>
        <w:rPr>
          <w:szCs w:val="22"/>
        </w:rPr>
        <w:t xml:space="preserve"> </w:t>
      </w:r>
      <w:r w:rsidRPr="00241717">
        <w:rPr>
          <w:szCs w:val="22"/>
        </w:rPr>
        <w:t>79% in developed countries, and 72% in developing countries.  Africa has the highest growth rate in TV ownership, growing 18% between 2008 and 2012</w:t>
      </w:r>
      <w:r w:rsidR="00447374">
        <w:rPr>
          <w:rStyle w:val="FootnoteReference"/>
          <w:szCs w:val="22"/>
        </w:rPr>
        <w:footnoteReference w:id="14"/>
      </w:r>
      <w:r w:rsidRPr="00241717">
        <w:rPr>
          <w:szCs w:val="22"/>
        </w:rPr>
        <w:t xml:space="preserve">. </w:t>
      </w:r>
      <w:r>
        <w:rPr>
          <w:szCs w:val="22"/>
        </w:rPr>
        <w:t xml:space="preserve"> </w:t>
      </w:r>
      <w:r w:rsidRPr="00241717">
        <w:rPr>
          <w:szCs w:val="22"/>
        </w:rPr>
        <w:t>Global TV advertising revenues are predicted to reach USD7 Billion in 2016</w:t>
      </w:r>
      <w:r w:rsidR="00447374">
        <w:rPr>
          <w:rStyle w:val="FootnoteReference"/>
          <w:szCs w:val="22"/>
        </w:rPr>
        <w:footnoteReference w:id="15"/>
      </w:r>
      <w:r w:rsidRPr="00241717">
        <w:rPr>
          <w:szCs w:val="22"/>
        </w:rPr>
        <w:t xml:space="preserve">. </w:t>
      </w:r>
      <w:r>
        <w:rPr>
          <w:szCs w:val="22"/>
        </w:rPr>
        <w:t xml:space="preserve"> </w:t>
      </w:r>
      <w:r w:rsidRPr="00241717">
        <w:rPr>
          <w:szCs w:val="22"/>
        </w:rPr>
        <w:t>Online TV advertising</w:t>
      </w:r>
      <w:r w:rsidR="00447374">
        <w:rPr>
          <w:rStyle w:val="FootnoteReference"/>
          <w:szCs w:val="22"/>
        </w:rPr>
        <w:footnoteReference w:id="16"/>
      </w:r>
      <w:r w:rsidRPr="00241717">
        <w:rPr>
          <w:szCs w:val="22"/>
        </w:rPr>
        <w:t xml:space="preserve"> is growing at 20% per year</w:t>
      </w:r>
      <w:r w:rsidR="00447374">
        <w:rPr>
          <w:rStyle w:val="FootnoteReference"/>
          <w:szCs w:val="22"/>
        </w:rPr>
        <w:footnoteReference w:id="17"/>
      </w:r>
      <w:r w:rsidRPr="00241717">
        <w:rPr>
          <w:szCs w:val="22"/>
        </w:rPr>
        <w:t xml:space="preserve">. </w:t>
      </w:r>
      <w:r>
        <w:rPr>
          <w:szCs w:val="22"/>
        </w:rPr>
        <w:t xml:space="preserve"> </w:t>
      </w:r>
      <w:r w:rsidRPr="00241717">
        <w:rPr>
          <w:szCs w:val="22"/>
        </w:rPr>
        <w:t>Brazil, India and China are predicted to contribute 23% of growth in TV advertising revenues in the next five years</w:t>
      </w:r>
      <w:r w:rsidR="00447374">
        <w:rPr>
          <w:rStyle w:val="FootnoteReference"/>
          <w:szCs w:val="22"/>
        </w:rPr>
        <w:footnoteReference w:id="18"/>
      </w:r>
      <w:r w:rsidRPr="00241717">
        <w:rPr>
          <w:szCs w:val="22"/>
        </w:rPr>
        <w:t>.</w:t>
      </w:r>
    </w:p>
    <w:p w:rsidR="002F73AD" w:rsidRPr="00241717" w:rsidRDefault="002F73AD" w:rsidP="002F73AD">
      <w:pPr>
        <w:outlineLvl w:val="0"/>
        <w:rPr>
          <w:szCs w:val="22"/>
          <w:u w:val="single"/>
        </w:rPr>
      </w:pPr>
    </w:p>
    <w:p w:rsidR="002F73AD" w:rsidRPr="00241717" w:rsidRDefault="002F73AD" w:rsidP="002F73AD">
      <w:pPr>
        <w:pStyle w:val="Heading3"/>
      </w:pPr>
      <w:r w:rsidRPr="00241717">
        <w:t>Digital</w:t>
      </w:r>
    </w:p>
    <w:p w:rsidR="002F73AD" w:rsidRDefault="002F73AD" w:rsidP="002F73AD">
      <w:pPr>
        <w:outlineLvl w:val="0"/>
        <w:rPr>
          <w:szCs w:val="22"/>
        </w:rPr>
      </w:pPr>
    </w:p>
    <w:p w:rsidR="002F73AD" w:rsidRPr="00241717" w:rsidRDefault="002F73AD" w:rsidP="002F73AD">
      <w:pPr>
        <w:outlineLvl w:val="0"/>
        <w:rPr>
          <w:szCs w:val="22"/>
        </w:rPr>
      </w:pPr>
      <w:r w:rsidRPr="00241717">
        <w:rPr>
          <w:szCs w:val="22"/>
        </w:rPr>
        <w:t>New technologies, including digital video recording, online streaming, and digital media players, are transforming broadcasting.  Internet transmissions decrease the industry</w:t>
      </w:r>
      <w:r w:rsidR="00053E4E">
        <w:rPr>
          <w:szCs w:val="22"/>
        </w:rPr>
        <w:t>’</w:t>
      </w:r>
      <w:r w:rsidRPr="00241717">
        <w:rPr>
          <w:szCs w:val="22"/>
        </w:rPr>
        <w:t xml:space="preserve">s reliance on cable or satellite. </w:t>
      </w:r>
      <w:r>
        <w:rPr>
          <w:szCs w:val="22"/>
        </w:rPr>
        <w:t xml:space="preserve"> </w:t>
      </w:r>
      <w:r w:rsidRPr="00241717">
        <w:rPr>
          <w:szCs w:val="22"/>
        </w:rPr>
        <w:t xml:space="preserve">With the increase in transmission outlets comes increased competition for audiences as new entrants join the marketplace and viewers are less constrained by fixed broadcast schedules.   </w:t>
      </w:r>
    </w:p>
    <w:p w:rsidR="002F73AD" w:rsidRPr="00241717" w:rsidRDefault="002F73AD" w:rsidP="002F73AD">
      <w:pPr>
        <w:outlineLvl w:val="0"/>
        <w:rPr>
          <w:szCs w:val="22"/>
        </w:rPr>
      </w:pPr>
    </w:p>
    <w:p w:rsidR="002F73AD" w:rsidRPr="00241717" w:rsidRDefault="002F73AD" w:rsidP="002F73AD">
      <w:pPr>
        <w:outlineLvl w:val="0"/>
        <w:rPr>
          <w:szCs w:val="22"/>
        </w:rPr>
      </w:pPr>
      <w:r w:rsidRPr="00241717">
        <w:rPr>
          <w:szCs w:val="22"/>
        </w:rPr>
        <w:t>The core value chain of the broadcasting sector continues, as production, programming and distribution are still key activities</w:t>
      </w:r>
      <w:proofErr w:type="gramStart"/>
      <w:r w:rsidRPr="00241717">
        <w:rPr>
          <w:szCs w:val="22"/>
        </w:rPr>
        <w:t xml:space="preserve">; </w:t>
      </w:r>
      <w:r>
        <w:rPr>
          <w:szCs w:val="22"/>
        </w:rPr>
        <w:t xml:space="preserve"> </w:t>
      </w:r>
      <w:r w:rsidRPr="00241717">
        <w:rPr>
          <w:szCs w:val="22"/>
        </w:rPr>
        <w:t>advertising</w:t>
      </w:r>
      <w:proofErr w:type="gramEnd"/>
      <w:r w:rsidRPr="00241717">
        <w:rPr>
          <w:szCs w:val="22"/>
        </w:rPr>
        <w:t xml:space="preserve"> and subscriptions are important sources of revenue for commercial broadcasters.  </w:t>
      </w:r>
    </w:p>
    <w:p w:rsidR="002F73AD" w:rsidRPr="00241717" w:rsidRDefault="002F73AD" w:rsidP="002F73AD">
      <w:pPr>
        <w:outlineLvl w:val="0"/>
        <w:rPr>
          <w:szCs w:val="22"/>
        </w:rPr>
      </w:pPr>
    </w:p>
    <w:p w:rsidR="002F73AD" w:rsidRPr="00241717" w:rsidRDefault="002F73AD" w:rsidP="002F73AD">
      <w:pPr>
        <w:pStyle w:val="Heading3"/>
      </w:pPr>
      <w:r w:rsidRPr="00241717">
        <w:t>Radio</w:t>
      </w:r>
    </w:p>
    <w:p w:rsidR="002F73AD" w:rsidRDefault="002F73AD" w:rsidP="002F73AD">
      <w:pPr>
        <w:outlineLvl w:val="0"/>
        <w:rPr>
          <w:szCs w:val="22"/>
        </w:rPr>
      </w:pPr>
    </w:p>
    <w:p w:rsidR="002F73AD" w:rsidRPr="00241717" w:rsidRDefault="00384452" w:rsidP="002F73AD">
      <w:pPr>
        <w:outlineLvl w:val="0"/>
        <w:rPr>
          <w:szCs w:val="22"/>
        </w:rPr>
      </w:pPr>
      <w:r>
        <w:rPr>
          <w:szCs w:val="22"/>
        </w:rPr>
        <w:t>As with</w:t>
      </w:r>
      <w:r w:rsidR="002F73AD" w:rsidRPr="00241717">
        <w:rPr>
          <w:szCs w:val="22"/>
        </w:rPr>
        <w:t xml:space="preserve"> TV, the radio broadcasting market is experiencing changes in advertising and new formats such as premium radio channels, online</w:t>
      </w:r>
      <w:r w:rsidR="002F73AD">
        <w:rPr>
          <w:szCs w:val="22"/>
        </w:rPr>
        <w:t xml:space="preserve"> radio stations and podcasts.  </w:t>
      </w:r>
      <w:r w:rsidR="002F73AD" w:rsidRPr="00241717">
        <w:rPr>
          <w:szCs w:val="22"/>
        </w:rPr>
        <w:t>Radio</w:t>
      </w:r>
      <w:r w:rsidR="00053E4E">
        <w:rPr>
          <w:szCs w:val="22"/>
        </w:rPr>
        <w:t>’</w:t>
      </w:r>
      <w:r w:rsidR="002F73AD" w:rsidRPr="00241717">
        <w:rPr>
          <w:szCs w:val="22"/>
        </w:rPr>
        <w:t xml:space="preserve">s market penetration is declining. </w:t>
      </w:r>
    </w:p>
    <w:p w:rsidR="002F73AD" w:rsidRDefault="002F73AD" w:rsidP="002F73AD">
      <w:pPr>
        <w:outlineLvl w:val="0"/>
        <w:rPr>
          <w:szCs w:val="22"/>
        </w:rPr>
      </w:pPr>
    </w:p>
    <w:p w:rsidR="002F73AD" w:rsidRPr="00241717" w:rsidRDefault="002F73AD" w:rsidP="002F73AD">
      <w:pPr>
        <w:pStyle w:val="Heading3"/>
      </w:pPr>
      <w:r w:rsidRPr="00241717">
        <w:t xml:space="preserve">Emerging </w:t>
      </w:r>
      <w:r w:rsidR="00053E4E">
        <w:t>M</w:t>
      </w:r>
      <w:r w:rsidRPr="00241717">
        <w:t>odels</w:t>
      </w:r>
    </w:p>
    <w:p w:rsidR="002F73AD" w:rsidRDefault="002F73AD" w:rsidP="002F73AD">
      <w:pPr>
        <w:rPr>
          <w:szCs w:val="22"/>
        </w:rPr>
      </w:pPr>
    </w:p>
    <w:p w:rsidR="002F73AD" w:rsidRPr="00241717" w:rsidRDefault="002F73AD" w:rsidP="002F73AD">
      <w:pPr>
        <w:rPr>
          <w:i/>
          <w:szCs w:val="22"/>
        </w:rPr>
      </w:pPr>
      <w:r w:rsidRPr="00241717">
        <w:rPr>
          <w:szCs w:val="22"/>
        </w:rPr>
        <w:t xml:space="preserve">The American company Netflix demonstrates the digital transformation of transmission methods.  Originally a mail order DVD media rental company with an online interface, Netflix migrated to online streaming.  In 2013, the company launched streaming services for original content in which Netflix is the primary, instead of secondary, distributor of shows like </w:t>
      </w:r>
      <w:r w:rsidRPr="00241717">
        <w:rPr>
          <w:i/>
          <w:szCs w:val="22"/>
        </w:rPr>
        <w:t xml:space="preserve">House of Cards. </w:t>
      </w:r>
    </w:p>
    <w:p w:rsidR="002F73AD" w:rsidRDefault="002F73AD" w:rsidP="002F73AD">
      <w:pPr>
        <w:rPr>
          <w:szCs w:val="22"/>
        </w:rPr>
      </w:pPr>
    </w:p>
    <w:p w:rsidR="002F73AD" w:rsidRPr="00053E4E" w:rsidRDefault="002F73AD" w:rsidP="00EF2C66">
      <w:pPr>
        <w:pStyle w:val="Heading2"/>
        <w:numPr>
          <w:ilvl w:val="0"/>
          <w:numId w:val="7"/>
        </w:numPr>
        <w:ind w:left="0" w:firstLine="0"/>
        <w:rPr>
          <w:b/>
        </w:rPr>
      </w:pPr>
      <w:r w:rsidRPr="00053E4E">
        <w:rPr>
          <w:b/>
        </w:rPr>
        <w:t>Publishing</w:t>
      </w:r>
    </w:p>
    <w:p w:rsidR="002F73AD" w:rsidRPr="00241717" w:rsidRDefault="002F73AD" w:rsidP="002F73AD">
      <w:pPr>
        <w:pStyle w:val="Heading3"/>
      </w:pPr>
      <w:r w:rsidRPr="00241717">
        <w:t>Overview</w:t>
      </w:r>
    </w:p>
    <w:p w:rsidR="002F73AD" w:rsidRDefault="002F73AD" w:rsidP="002F73AD">
      <w:pPr>
        <w:rPr>
          <w:szCs w:val="22"/>
        </w:rPr>
      </w:pPr>
    </w:p>
    <w:p w:rsidR="002F73AD" w:rsidRPr="00241717" w:rsidRDefault="002F73AD" w:rsidP="002F73AD">
      <w:pPr>
        <w:rPr>
          <w:szCs w:val="22"/>
        </w:rPr>
      </w:pPr>
      <w:r w:rsidRPr="00241717">
        <w:rPr>
          <w:szCs w:val="22"/>
        </w:rPr>
        <w:t xml:space="preserve">The book publishing industry is undergoing change as the rise of e-commerce and electronic publishing shifts the value chain.  Emerging technologies and changing retail environments suggest the market continues to evolve. </w:t>
      </w:r>
      <w:r>
        <w:rPr>
          <w:szCs w:val="22"/>
        </w:rPr>
        <w:t xml:space="preserve"> </w:t>
      </w:r>
      <w:r w:rsidRPr="00241717">
        <w:rPr>
          <w:szCs w:val="22"/>
        </w:rPr>
        <w:t>Magazines are experiencing similar changes.</w:t>
      </w:r>
    </w:p>
    <w:p w:rsidR="002F73AD" w:rsidRDefault="002F73AD" w:rsidP="002F73AD">
      <w:pPr>
        <w:rPr>
          <w:szCs w:val="22"/>
        </w:rPr>
      </w:pPr>
    </w:p>
    <w:p w:rsidR="00EF1D84" w:rsidRDefault="00EF1D84" w:rsidP="002F73AD">
      <w:pPr>
        <w:rPr>
          <w:szCs w:val="22"/>
        </w:rPr>
      </w:pPr>
    </w:p>
    <w:p w:rsidR="00EF1D84" w:rsidRDefault="00EF1D84" w:rsidP="002F73AD">
      <w:pPr>
        <w:rPr>
          <w:szCs w:val="22"/>
        </w:rPr>
      </w:pPr>
    </w:p>
    <w:p w:rsidR="00EF1D84" w:rsidRPr="00241717" w:rsidRDefault="00EF1D84" w:rsidP="002F73AD">
      <w:pPr>
        <w:rPr>
          <w:szCs w:val="22"/>
        </w:rPr>
      </w:pPr>
    </w:p>
    <w:p w:rsidR="002F73AD" w:rsidRPr="00241717" w:rsidRDefault="002F73AD" w:rsidP="002F73AD">
      <w:pPr>
        <w:pStyle w:val="Heading3"/>
      </w:pPr>
      <w:r w:rsidRPr="00241717">
        <w:t xml:space="preserve">Market </w:t>
      </w:r>
      <w:r w:rsidR="00053E4E">
        <w:t>S</w:t>
      </w:r>
      <w:r w:rsidRPr="00241717">
        <w:t xml:space="preserve">ize and </w:t>
      </w:r>
      <w:r w:rsidR="00053E4E">
        <w:t>G</w:t>
      </w:r>
      <w:r w:rsidRPr="00241717">
        <w:t>rowth</w:t>
      </w:r>
    </w:p>
    <w:p w:rsidR="002F73AD" w:rsidRDefault="002F73AD" w:rsidP="002F73AD">
      <w:pPr>
        <w:rPr>
          <w:szCs w:val="22"/>
        </w:rPr>
      </w:pPr>
    </w:p>
    <w:p w:rsidR="002F73AD" w:rsidRPr="00241717" w:rsidRDefault="002F73AD" w:rsidP="002F73AD">
      <w:pPr>
        <w:rPr>
          <w:szCs w:val="22"/>
        </w:rPr>
      </w:pPr>
      <w:r w:rsidRPr="00241717">
        <w:rPr>
          <w:szCs w:val="22"/>
        </w:rPr>
        <w:t>The market is worth €114 billion</w:t>
      </w:r>
      <w:r w:rsidR="00447374">
        <w:rPr>
          <w:rStyle w:val="FootnoteReference"/>
          <w:szCs w:val="22"/>
        </w:rPr>
        <w:footnoteReference w:id="19"/>
      </w:r>
      <w:r w:rsidRPr="00241717">
        <w:rPr>
          <w:szCs w:val="22"/>
        </w:rPr>
        <w:t>.  Books account for 15%</w:t>
      </w:r>
      <w:r w:rsidR="00447374">
        <w:rPr>
          <w:rStyle w:val="FootnoteReference"/>
          <w:szCs w:val="22"/>
        </w:rPr>
        <w:footnoteReference w:id="20"/>
      </w:r>
      <w:r w:rsidRPr="00241717">
        <w:rPr>
          <w:szCs w:val="22"/>
        </w:rPr>
        <w:t xml:space="preserve"> of all </w:t>
      </w:r>
      <w:proofErr w:type="gramStart"/>
      <w:r w:rsidRPr="00241717">
        <w:rPr>
          <w:szCs w:val="22"/>
        </w:rPr>
        <w:t>consumer</w:t>
      </w:r>
      <w:proofErr w:type="gramEnd"/>
      <w:r w:rsidRPr="00241717">
        <w:rPr>
          <w:szCs w:val="22"/>
        </w:rPr>
        <w:t xml:space="preserve"> spending on media and entertainment. </w:t>
      </w:r>
      <w:r>
        <w:rPr>
          <w:szCs w:val="22"/>
        </w:rPr>
        <w:t xml:space="preserve"> </w:t>
      </w:r>
      <w:r w:rsidRPr="00241717">
        <w:rPr>
          <w:szCs w:val="22"/>
        </w:rPr>
        <w:t>Sales of e-books are increasing and the global market for e-readers has increased nearly twenty-fold</w:t>
      </w:r>
      <w:r w:rsidR="007C73AF">
        <w:rPr>
          <w:rStyle w:val="FootnoteReference"/>
          <w:szCs w:val="22"/>
        </w:rPr>
        <w:footnoteReference w:id="21"/>
      </w:r>
      <w:r w:rsidR="007C73AF">
        <w:rPr>
          <w:szCs w:val="22"/>
        </w:rPr>
        <w:t xml:space="preserve"> since 2008.</w:t>
      </w:r>
    </w:p>
    <w:p w:rsidR="002F73AD" w:rsidRPr="00241717" w:rsidRDefault="002F73AD" w:rsidP="002F73AD">
      <w:pPr>
        <w:rPr>
          <w:szCs w:val="22"/>
        </w:rPr>
      </w:pPr>
    </w:p>
    <w:p w:rsidR="002F73AD" w:rsidRPr="00241717" w:rsidRDefault="002F73AD" w:rsidP="002F73AD">
      <w:pPr>
        <w:rPr>
          <w:szCs w:val="22"/>
        </w:rPr>
      </w:pPr>
      <w:r w:rsidRPr="00241717">
        <w:rPr>
          <w:szCs w:val="22"/>
        </w:rPr>
        <w:t xml:space="preserve">Growth in the market is mixed.  While the share of e-books is increasing, overall sales of books are decreasing or flat in developed countries while </w:t>
      </w:r>
      <w:r w:rsidR="00A55ABA">
        <w:rPr>
          <w:szCs w:val="22"/>
        </w:rPr>
        <w:t xml:space="preserve">sales in </w:t>
      </w:r>
      <w:r w:rsidRPr="00241717">
        <w:rPr>
          <w:szCs w:val="22"/>
        </w:rPr>
        <w:t xml:space="preserve">some developing countries are moderately growing.  Overall, revenue growth in the market has been 0% over the last five years. </w:t>
      </w:r>
    </w:p>
    <w:p w:rsidR="002F73AD" w:rsidRPr="00241717" w:rsidRDefault="002F73AD" w:rsidP="002F73AD">
      <w:pPr>
        <w:rPr>
          <w:szCs w:val="22"/>
        </w:rPr>
      </w:pPr>
    </w:p>
    <w:p w:rsidR="002F73AD" w:rsidRPr="00241717" w:rsidRDefault="002F73AD" w:rsidP="002F73AD">
      <w:pPr>
        <w:pStyle w:val="Heading3"/>
      </w:pPr>
      <w:r w:rsidRPr="00241717">
        <w:t>Digital</w:t>
      </w:r>
    </w:p>
    <w:p w:rsidR="002F73AD" w:rsidRDefault="002F73AD" w:rsidP="002F73AD">
      <w:pPr>
        <w:rPr>
          <w:szCs w:val="22"/>
        </w:rPr>
      </w:pPr>
    </w:p>
    <w:p w:rsidR="002F73AD" w:rsidRPr="00241717" w:rsidRDefault="002F73AD" w:rsidP="002F73AD">
      <w:pPr>
        <w:rPr>
          <w:szCs w:val="22"/>
        </w:rPr>
      </w:pPr>
      <w:r w:rsidRPr="00241717">
        <w:rPr>
          <w:szCs w:val="22"/>
        </w:rPr>
        <w:t xml:space="preserve">The largest impact of digital on book publishing is that of the introduction of e-commerce in online book retailers such as </w:t>
      </w:r>
      <w:r>
        <w:rPr>
          <w:szCs w:val="22"/>
        </w:rPr>
        <w:t>www.</w:t>
      </w:r>
      <w:r w:rsidRPr="00241717">
        <w:rPr>
          <w:szCs w:val="22"/>
        </w:rPr>
        <w:t xml:space="preserve">Amazon.com.  Competition from e-commerce has reduced the viability of bookstores and pushed prices for books down by </w:t>
      </w:r>
      <w:r>
        <w:rPr>
          <w:szCs w:val="22"/>
        </w:rPr>
        <w:t xml:space="preserve">about 40% in the U.S. market.  </w:t>
      </w:r>
    </w:p>
    <w:p w:rsidR="002F73AD" w:rsidRPr="00241717" w:rsidRDefault="002F73AD" w:rsidP="002F73AD">
      <w:pPr>
        <w:rPr>
          <w:szCs w:val="22"/>
        </w:rPr>
      </w:pPr>
    </w:p>
    <w:p w:rsidR="002F73AD" w:rsidRPr="00241717" w:rsidRDefault="002F73AD" w:rsidP="002F73AD">
      <w:pPr>
        <w:rPr>
          <w:szCs w:val="22"/>
        </w:rPr>
      </w:pPr>
      <w:r w:rsidRPr="00241717">
        <w:rPr>
          <w:szCs w:val="22"/>
        </w:rPr>
        <w:t xml:space="preserve">E-books create a new window as publishers may sell electronic versions. </w:t>
      </w:r>
      <w:r>
        <w:rPr>
          <w:szCs w:val="22"/>
        </w:rPr>
        <w:t xml:space="preserve"> </w:t>
      </w:r>
      <w:r w:rsidRPr="00241717">
        <w:rPr>
          <w:szCs w:val="22"/>
        </w:rPr>
        <w:t xml:space="preserve">E-books reduce the cost per book and make it financially feasible to sell books by chapters. </w:t>
      </w:r>
      <w:r>
        <w:rPr>
          <w:szCs w:val="22"/>
        </w:rPr>
        <w:t xml:space="preserve"> </w:t>
      </w:r>
      <w:r w:rsidRPr="00241717">
        <w:rPr>
          <w:szCs w:val="22"/>
        </w:rPr>
        <w:t>New pricing strategies, such as subscription services, like France</w:t>
      </w:r>
      <w:r w:rsidR="00053E4E">
        <w:rPr>
          <w:szCs w:val="22"/>
        </w:rPr>
        <w:t>’</w:t>
      </w:r>
      <w:r w:rsidRPr="00241717">
        <w:rPr>
          <w:szCs w:val="22"/>
        </w:rPr>
        <w:t xml:space="preserve">s </w:t>
      </w:r>
      <w:proofErr w:type="spellStart"/>
      <w:r w:rsidRPr="00241717">
        <w:rPr>
          <w:szCs w:val="22"/>
        </w:rPr>
        <w:t>Izneo</w:t>
      </w:r>
      <w:proofErr w:type="spellEnd"/>
      <w:r w:rsidRPr="00241717">
        <w:rPr>
          <w:szCs w:val="22"/>
        </w:rPr>
        <w:t xml:space="preserve"> and Germany</w:t>
      </w:r>
      <w:r w:rsidR="00053E4E">
        <w:rPr>
          <w:szCs w:val="22"/>
        </w:rPr>
        <w:t>’</w:t>
      </w:r>
      <w:r w:rsidRPr="00241717">
        <w:rPr>
          <w:szCs w:val="22"/>
        </w:rPr>
        <w:t xml:space="preserve">s </w:t>
      </w:r>
      <w:proofErr w:type="spellStart"/>
      <w:r w:rsidRPr="00241717">
        <w:rPr>
          <w:szCs w:val="22"/>
        </w:rPr>
        <w:t>Tolino</w:t>
      </w:r>
      <w:proofErr w:type="spellEnd"/>
      <w:r w:rsidRPr="00241717">
        <w:rPr>
          <w:szCs w:val="22"/>
        </w:rPr>
        <w:t>, change the concept of ownership.</w:t>
      </w:r>
    </w:p>
    <w:p w:rsidR="002F73AD" w:rsidRPr="00241717" w:rsidRDefault="002F73AD" w:rsidP="002F73AD">
      <w:pPr>
        <w:rPr>
          <w:szCs w:val="22"/>
        </w:rPr>
      </w:pPr>
    </w:p>
    <w:p w:rsidR="002F73AD" w:rsidRPr="00241717" w:rsidRDefault="002F73AD" w:rsidP="002F73AD">
      <w:pPr>
        <w:rPr>
          <w:szCs w:val="22"/>
        </w:rPr>
      </w:pPr>
      <w:r w:rsidRPr="00241717">
        <w:rPr>
          <w:szCs w:val="22"/>
        </w:rPr>
        <w:t xml:space="preserve">Print-on-demand, where copies of a book are printed only when ordered may decrease wastage from unsold, traditionally printed books.  </w:t>
      </w:r>
    </w:p>
    <w:p w:rsidR="002F73AD" w:rsidRPr="00241717" w:rsidRDefault="002F73AD" w:rsidP="002F73AD">
      <w:pPr>
        <w:rPr>
          <w:szCs w:val="22"/>
        </w:rPr>
      </w:pPr>
    </w:p>
    <w:p w:rsidR="002F73AD" w:rsidRPr="00241717" w:rsidRDefault="002F73AD" w:rsidP="002F73AD">
      <w:pPr>
        <w:rPr>
          <w:szCs w:val="22"/>
        </w:rPr>
      </w:pPr>
      <w:r w:rsidRPr="00241717">
        <w:rPr>
          <w:szCs w:val="22"/>
        </w:rPr>
        <w:t>E-books and print-on-demand have also contributed to the rise in self-publishing and authors can now self-market directly to their readers.</w:t>
      </w:r>
    </w:p>
    <w:p w:rsidR="002F73AD" w:rsidRPr="00241717" w:rsidRDefault="002F73AD" w:rsidP="002F73AD">
      <w:pPr>
        <w:rPr>
          <w:szCs w:val="22"/>
        </w:rPr>
      </w:pPr>
    </w:p>
    <w:p w:rsidR="002F73AD" w:rsidRPr="00241717" w:rsidRDefault="002F73AD" w:rsidP="002F73AD">
      <w:pPr>
        <w:rPr>
          <w:szCs w:val="22"/>
        </w:rPr>
      </w:pPr>
      <w:r w:rsidRPr="00241717">
        <w:rPr>
          <w:szCs w:val="22"/>
        </w:rPr>
        <w:t xml:space="preserve">Unlike other areas of the creative industries, the traditional hard copy has proven resilient.  Growth in the market for e-readers is slowing and consumer preferences suggest that printed books will remain a viable business model.  </w:t>
      </w:r>
    </w:p>
    <w:p w:rsidR="002F73AD" w:rsidRPr="00241717" w:rsidRDefault="002F73AD" w:rsidP="002F73AD">
      <w:pPr>
        <w:rPr>
          <w:szCs w:val="22"/>
        </w:rPr>
      </w:pPr>
    </w:p>
    <w:p w:rsidR="002F73AD" w:rsidRPr="00241717" w:rsidRDefault="002F73AD" w:rsidP="002F73AD">
      <w:pPr>
        <w:pStyle w:val="Heading3"/>
      </w:pPr>
      <w:r w:rsidRPr="00241717">
        <w:t xml:space="preserve">Emerging </w:t>
      </w:r>
      <w:r w:rsidR="00053E4E">
        <w:t>M</w:t>
      </w:r>
      <w:r w:rsidRPr="00241717">
        <w:t>odels</w:t>
      </w:r>
    </w:p>
    <w:p w:rsidR="002F73AD" w:rsidRDefault="002F73AD" w:rsidP="002F73AD">
      <w:pPr>
        <w:rPr>
          <w:szCs w:val="22"/>
        </w:rPr>
      </w:pPr>
    </w:p>
    <w:p w:rsidR="002F73AD" w:rsidRDefault="002F73AD" w:rsidP="002F73AD">
      <w:pPr>
        <w:rPr>
          <w:szCs w:val="22"/>
        </w:rPr>
      </w:pPr>
      <w:r w:rsidRPr="00241717">
        <w:rPr>
          <w:szCs w:val="22"/>
        </w:rPr>
        <w:t xml:space="preserve">The Chinese website, </w:t>
      </w:r>
      <w:r>
        <w:rPr>
          <w:szCs w:val="22"/>
        </w:rPr>
        <w:t>www.</w:t>
      </w:r>
      <w:r w:rsidRPr="00241717">
        <w:rPr>
          <w:szCs w:val="22"/>
        </w:rPr>
        <w:t xml:space="preserve">Qidian.com, publishes both amateur and professional authors and has over one million works.  Stories are initially offered for free, while successful stories and authors become paid content.  Readers pay in instalments as they read the stories. </w:t>
      </w:r>
      <w:r>
        <w:rPr>
          <w:szCs w:val="22"/>
        </w:rPr>
        <w:t xml:space="preserve"> </w:t>
      </w:r>
      <w:r w:rsidRPr="00241717">
        <w:rPr>
          <w:szCs w:val="22"/>
        </w:rPr>
        <w:t>Founded in 2002, the website has made millionaires out of some authors.</w:t>
      </w:r>
    </w:p>
    <w:p w:rsidR="00EF1D84" w:rsidRDefault="00EF1D84" w:rsidP="002F73AD">
      <w:pPr>
        <w:rPr>
          <w:szCs w:val="22"/>
        </w:rPr>
      </w:pPr>
    </w:p>
    <w:p w:rsidR="00EF1D84" w:rsidRDefault="00EF1D84" w:rsidP="002F73AD">
      <w:pPr>
        <w:rPr>
          <w:szCs w:val="22"/>
        </w:rPr>
      </w:pPr>
    </w:p>
    <w:p w:rsidR="00E242B0" w:rsidRPr="00241717" w:rsidRDefault="00E242B0" w:rsidP="002F73AD">
      <w:pPr>
        <w:rPr>
          <w:szCs w:val="22"/>
        </w:rPr>
      </w:pPr>
    </w:p>
    <w:p w:rsidR="007B63B3" w:rsidRDefault="002F73AD" w:rsidP="00EF1D84">
      <w:pPr>
        <w:ind w:left="5529"/>
      </w:pPr>
      <w:r>
        <w:rPr>
          <w:szCs w:val="22"/>
        </w:rPr>
        <w:t>[End of document]</w:t>
      </w:r>
    </w:p>
    <w:sectPr w:rsidR="007B63B3" w:rsidSect="002F73AD">
      <w:headerReference w:type="defaul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4FC" w:rsidRDefault="00BE54FC">
      <w:r>
        <w:separator/>
      </w:r>
    </w:p>
  </w:endnote>
  <w:endnote w:type="continuationSeparator" w:id="0">
    <w:p w:rsidR="00BE54FC" w:rsidRDefault="00BE54FC" w:rsidP="000C7343">
      <w:r>
        <w:separator/>
      </w:r>
    </w:p>
    <w:p w:rsidR="00BE54FC" w:rsidRPr="000C7343" w:rsidRDefault="00BE54FC" w:rsidP="000C7343">
      <w:r>
        <w:rPr>
          <w:sz w:val="17"/>
        </w:rPr>
        <w:t>[Endnote continued from previous page]</w:t>
      </w:r>
    </w:p>
  </w:endnote>
  <w:endnote w:type="continuationNotice" w:id="1">
    <w:p w:rsidR="00BE54FC" w:rsidRPr="000C7343" w:rsidRDefault="00BE54FC" w:rsidP="000C7343">
      <w:pPr>
        <w:spacing w:before="60"/>
        <w:jc w:val="right"/>
        <w:rPr>
          <w:sz w:val="17"/>
          <w:szCs w:val="17"/>
        </w:rPr>
      </w:pPr>
      <w:r w:rsidRPr="000C7343">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4FC" w:rsidRDefault="00BE54FC">
      <w:r>
        <w:separator/>
      </w:r>
    </w:p>
  </w:footnote>
  <w:footnote w:type="continuationSeparator" w:id="0">
    <w:p w:rsidR="00BE54FC" w:rsidRDefault="00BE54FC" w:rsidP="000C7343">
      <w:r>
        <w:separator/>
      </w:r>
    </w:p>
    <w:p w:rsidR="00BE54FC" w:rsidRPr="000C7343" w:rsidRDefault="00BE54FC" w:rsidP="000C7343">
      <w:pPr>
        <w:spacing w:after="60"/>
        <w:rPr>
          <w:sz w:val="17"/>
          <w:szCs w:val="17"/>
        </w:rPr>
      </w:pPr>
      <w:r w:rsidRPr="00ED77FB">
        <w:rPr>
          <w:sz w:val="17"/>
          <w:szCs w:val="17"/>
        </w:rPr>
        <w:t>[Footnot</w:t>
      </w:r>
      <w:r>
        <w:rPr>
          <w:sz w:val="17"/>
          <w:szCs w:val="17"/>
        </w:rPr>
        <w:t>e continued from previous page]</w:t>
      </w:r>
    </w:p>
  </w:footnote>
  <w:footnote w:type="continuationNotice" w:id="1">
    <w:p w:rsidR="00BE54FC" w:rsidRPr="000C7343" w:rsidRDefault="00BE54FC" w:rsidP="000C7343">
      <w:pPr>
        <w:spacing w:before="60"/>
        <w:jc w:val="right"/>
        <w:rPr>
          <w:sz w:val="17"/>
          <w:szCs w:val="17"/>
        </w:rPr>
      </w:pPr>
      <w:r w:rsidRPr="000C7343">
        <w:rPr>
          <w:sz w:val="17"/>
          <w:szCs w:val="17"/>
        </w:rPr>
        <w:t>[Footnote continued on next page]</w:t>
      </w:r>
    </w:p>
  </w:footnote>
  <w:footnote w:id="2">
    <w:p w:rsidR="002C5261" w:rsidRPr="002C5261" w:rsidRDefault="002C5261">
      <w:pPr>
        <w:pStyle w:val="FootnoteText"/>
      </w:pPr>
      <w:r w:rsidRPr="002C5261">
        <w:rPr>
          <w:rStyle w:val="FootnoteReference"/>
        </w:rPr>
        <w:footnoteRef/>
      </w:r>
      <w:r w:rsidRPr="002C5261">
        <w:t xml:space="preserve"> </w:t>
      </w:r>
      <w:r w:rsidRPr="002C5261">
        <w:rPr>
          <w:sz w:val="16"/>
          <w:szCs w:val="16"/>
        </w:rPr>
        <w:t>The recording industry is the industry that focuses on recording and selling of music.  A wider definition of the music industry includes live performances, merchandising, and a variety of music-related activities.</w:t>
      </w:r>
    </w:p>
  </w:footnote>
  <w:footnote w:id="3">
    <w:p w:rsidR="007B54D9" w:rsidRPr="00172573" w:rsidRDefault="007B54D9">
      <w:pPr>
        <w:pStyle w:val="FootnoteText"/>
      </w:pPr>
      <w:r w:rsidRPr="002C5261">
        <w:rPr>
          <w:rStyle w:val="FootnoteReference"/>
        </w:rPr>
        <w:footnoteRef/>
      </w:r>
      <w:r w:rsidRPr="002C5261">
        <w:t xml:space="preserve"> </w:t>
      </w:r>
      <w:r w:rsidRPr="002C5261">
        <w:rPr>
          <w:sz w:val="16"/>
          <w:szCs w:val="16"/>
        </w:rPr>
        <w:t>All figures based on 2013 data from the International Federation of the Phonographic Industry (IFPI) (2014) 2014 Digital Music Report http://www.ifpi.org/global-statistics.php</w:t>
      </w:r>
    </w:p>
  </w:footnote>
  <w:footnote w:id="4">
    <w:p w:rsidR="007B54D9" w:rsidRPr="00172573" w:rsidRDefault="007B54D9">
      <w:pPr>
        <w:pStyle w:val="FootnoteText"/>
        <w:rPr>
          <w:sz w:val="16"/>
          <w:szCs w:val="16"/>
        </w:rPr>
      </w:pPr>
      <w:r w:rsidRPr="00172573">
        <w:rPr>
          <w:rStyle w:val="FootnoteReference"/>
        </w:rPr>
        <w:footnoteRef/>
      </w:r>
      <w:r w:rsidRPr="00172573">
        <w:t xml:space="preserve"> </w:t>
      </w:r>
      <w:proofErr w:type="gramStart"/>
      <w:r w:rsidRPr="00172573">
        <w:rPr>
          <w:sz w:val="16"/>
          <w:szCs w:val="16"/>
        </w:rPr>
        <w:t>Motion Picture Association of America (MPAA) 2014 Theatrical Market Statistics.</w:t>
      </w:r>
      <w:proofErr w:type="gramEnd"/>
    </w:p>
  </w:footnote>
  <w:footnote w:id="5">
    <w:p w:rsidR="007B54D9" w:rsidRPr="00172573" w:rsidRDefault="007B54D9">
      <w:pPr>
        <w:pStyle w:val="FootnoteText"/>
        <w:rPr>
          <w:sz w:val="16"/>
          <w:szCs w:val="16"/>
        </w:rPr>
      </w:pPr>
      <w:r w:rsidRPr="00172573">
        <w:rPr>
          <w:rStyle w:val="FootnoteReference"/>
          <w:sz w:val="16"/>
          <w:szCs w:val="16"/>
        </w:rPr>
        <w:footnoteRef/>
      </w:r>
      <w:r w:rsidRPr="00172573">
        <w:rPr>
          <w:sz w:val="16"/>
          <w:szCs w:val="16"/>
        </w:rPr>
        <w:t xml:space="preserve"> </w:t>
      </w:r>
      <w:proofErr w:type="gramStart"/>
      <w:r w:rsidRPr="00172573">
        <w:rPr>
          <w:sz w:val="16"/>
          <w:szCs w:val="16"/>
        </w:rPr>
        <w:t xml:space="preserve">UNESCO Institute for Statistics (2013) Emerging Markets and the </w:t>
      </w:r>
      <w:proofErr w:type="spellStart"/>
      <w:r w:rsidRPr="00172573">
        <w:rPr>
          <w:sz w:val="16"/>
          <w:szCs w:val="16"/>
        </w:rPr>
        <w:t>Digitisation</w:t>
      </w:r>
      <w:proofErr w:type="spellEnd"/>
      <w:r w:rsidRPr="00172573">
        <w:rPr>
          <w:sz w:val="16"/>
          <w:szCs w:val="16"/>
        </w:rPr>
        <w:t xml:space="preserve"> of the Film Industry.</w:t>
      </w:r>
      <w:proofErr w:type="gramEnd"/>
    </w:p>
  </w:footnote>
  <w:footnote w:id="6">
    <w:p w:rsidR="007B54D9" w:rsidRPr="00172573" w:rsidRDefault="007B54D9">
      <w:pPr>
        <w:pStyle w:val="FootnoteText"/>
        <w:rPr>
          <w:sz w:val="16"/>
          <w:szCs w:val="16"/>
        </w:rPr>
      </w:pPr>
      <w:r w:rsidRPr="00172573">
        <w:rPr>
          <w:rStyle w:val="FootnoteReference"/>
          <w:sz w:val="16"/>
          <w:szCs w:val="16"/>
        </w:rPr>
        <w:footnoteRef/>
      </w:r>
      <w:r w:rsidRPr="00172573">
        <w:rPr>
          <w:sz w:val="16"/>
          <w:szCs w:val="16"/>
        </w:rPr>
        <w:t xml:space="preserve"> </w:t>
      </w:r>
      <w:proofErr w:type="gramStart"/>
      <w:r w:rsidRPr="00172573">
        <w:rPr>
          <w:sz w:val="16"/>
          <w:szCs w:val="16"/>
        </w:rPr>
        <w:t>MPAA 2014 Theatrical Market Statistics.</w:t>
      </w:r>
      <w:proofErr w:type="gramEnd"/>
    </w:p>
  </w:footnote>
  <w:footnote w:id="7">
    <w:p w:rsidR="00611F39" w:rsidRPr="00172573" w:rsidRDefault="00611F39">
      <w:pPr>
        <w:pStyle w:val="FootnoteText"/>
        <w:rPr>
          <w:sz w:val="16"/>
          <w:szCs w:val="16"/>
        </w:rPr>
      </w:pPr>
      <w:r w:rsidRPr="00172573">
        <w:rPr>
          <w:rStyle w:val="FootnoteReference"/>
          <w:sz w:val="16"/>
          <w:szCs w:val="16"/>
        </w:rPr>
        <w:footnoteRef/>
      </w:r>
      <w:r w:rsidRPr="00172573">
        <w:rPr>
          <w:sz w:val="16"/>
          <w:szCs w:val="16"/>
        </w:rPr>
        <w:t xml:space="preserve"> This compares to increases of 4% in 2013, 6% in 2012, a decline of 4% in 2011, and a growth of 6% from 2006 to 2011.  MPAA</w:t>
      </w:r>
    </w:p>
  </w:footnote>
  <w:footnote w:id="8">
    <w:p w:rsidR="00611F39" w:rsidRPr="00172573" w:rsidRDefault="00611F39">
      <w:pPr>
        <w:pStyle w:val="FootnoteText"/>
        <w:rPr>
          <w:sz w:val="16"/>
          <w:szCs w:val="16"/>
        </w:rPr>
      </w:pPr>
      <w:r w:rsidRPr="00172573">
        <w:rPr>
          <w:rStyle w:val="FootnoteReference"/>
          <w:sz w:val="16"/>
          <w:szCs w:val="16"/>
        </w:rPr>
        <w:footnoteRef/>
      </w:r>
      <w:r w:rsidRPr="00172573">
        <w:rPr>
          <w:sz w:val="16"/>
          <w:szCs w:val="16"/>
        </w:rPr>
        <w:t xml:space="preserve"> </w:t>
      </w:r>
      <w:proofErr w:type="gramStart"/>
      <w:r w:rsidRPr="00172573">
        <w:rPr>
          <w:sz w:val="16"/>
          <w:szCs w:val="16"/>
        </w:rPr>
        <w:t>MPAA 2014 Theatrical Market Statistics.</w:t>
      </w:r>
      <w:proofErr w:type="gramEnd"/>
    </w:p>
  </w:footnote>
  <w:footnote w:id="9">
    <w:p w:rsidR="00611F39" w:rsidRPr="00172573" w:rsidRDefault="00611F39">
      <w:pPr>
        <w:pStyle w:val="FootnoteText"/>
        <w:rPr>
          <w:sz w:val="16"/>
          <w:szCs w:val="16"/>
        </w:rPr>
      </w:pPr>
      <w:r w:rsidRPr="00172573">
        <w:rPr>
          <w:rStyle w:val="FootnoteReference"/>
          <w:sz w:val="16"/>
          <w:szCs w:val="16"/>
        </w:rPr>
        <w:footnoteRef/>
      </w:r>
      <w:r w:rsidRPr="00172573">
        <w:rPr>
          <w:sz w:val="16"/>
          <w:szCs w:val="16"/>
        </w:rPr>
        <w:t xml:space="preserve"> The Digital Entertainment Groups, Year-end 2014 Home Entertainment Report. “theatrical new releases delivered exceptional</w:t>
      </w:r>
    </w:p>
  </w:footnote>
  <w:footnote w:id="10">
    <w:p w:rsidR="00611F39" w:rsidRPr="00172573" w:rsidRDefault="00611F39">
      <w:pPr>
        <w:pStyle w:val="FootnoteText"/>
      </w:pPr>
      <w:r w:rsidRPr="00172573">
        <w:rPr>
          <w:rStyle w:val="FootnoteReference"/>
          <w:sz w:val="16"/>
          <w:szCs w:val="16"/>
        </w:rPr>
        <w:footnoteRef/>
      </w:r>
      <w:r w:rsidRPr="00172573">
        <w:rPr>
          <w:sz w:val="16"/>
          <w:szCs w:val="16"/>
        </w:rPr>
        <w:t xml:space="preserve"> </w:t>
      </w:r>
      <w:proofErr w:type="gramStart"/>
      <w:r w:rsidRPr="00172573">
        <w:rPr>
          <w:sz w:val="16"/>
          <w:szCs w:val="16"/>
        </w:rPr>
        <w:t>British Film Institute 2014 Statistical Yearbook.</w:t>
      </w:r>
      <w:proofErr w:type="gramEnd"/>
    </w:p>
  </w:footnote>
  <w:footnote w:id="11">
    <w:p w:rsidR="00ED663D" w:rsidRPr="00172573" w:rsidRDefault="00ED663D">
      <w:pPr>
        <w:pStyle w:val="FootnoteText"/>
        <w:rPr>
          <w:sz w:val="16"/>
          <w:szCs w:val="16"/>
        </w:rPr>
      </w:pPr>
      <w:r w:rsidRPr="00172573">
        <w:rPr>
          <w:rStyle w:val="FootnoteReference"/>
          <w:sz w:val="16"/>
          <w:szCs w:val="16"/>
        </w:rPr>
        <w:footnoteRef/>
      </w:r>
      <w:r w:rsidRPr="00172573">
        <w:rPr>
          <w:sz w:val="16"/>
          <w:szCs w:val="16"/>
        </w:rPr>
        <w:t xml:space="preserve"> The process by which films are released in staggered ‘windows’, to maximize revenue, </w:t>
      </w:r>
      <w:proofErr w:type="spellStart"/>
      <w:r w:rsidRPr="00172573">
        <w:rPr>
          <w:sz w:val="16"/>
          <w:szCs w:val="16"/>
        </w:rPr>
        <w:t>eg</w:t>
      </w:r>
      <w:proofErr w:type="spellEnd"/>
      <w:r w:rsidRPr="00172573">
        <w:rPr>
          <w:sz w:val="16"/>
          <w:szCs w:val="16"/>
        </w:rPr>
        <w:t xml:space="preserve"> cinema/theatre, then video then television</w:t>
      </w:r>
    </w:p>
  </w:footnote>
  <w:footnote w:id="12">
    <w:p w:rsidR="00447374" w:rsidRPr="00172573" w:rsidRDefault="00447374">
      <w:pPr>
        <w:pStyle w:val="FootnoteText"/>
        <w:rPr>
          <w:sz w:val="16"/>
          <w:szCs w:val="16"/>
        </w:rPr>
      </w:pPr>
      <w:r w:rsidRPr="00172573">
        <w:rPr>
          <w:rStyle w:val="FootnoteReference"/>
          <w:sz w:val="16"/>
          <w:szCs w:val="16"/>
        </w:rPr>
        <w:footnoteRef/>
      </w:r>
      <w:r w:rsidRPr="00172573">
        <w:rPr>
          <w:sz w:val="16"/>
          <w:szCs w:val="16"/>
        </w:rPr>
        <w:t xml:space="preserve"> Figures from the International Telecommunications Union (ITU) (2013) “Measuring the Information Society” available at http://www.itu.int/en/ITU-D/Statistics/Pages/publications/mis2013.aspx</w:t>
      </w:r>
    </w:p>
  </w:footnote>
  <w:footnote w:id="13">
    <w:p w:rsidR="00447374" w:rsidRPr="00172573" w:rsidRDefault="00447374">
      <w:pPr>
        <w:pStyle w:val="FootnoteText"/>
      </w:pPr>
      <w:r w:rsidRPr="00172573">
        <w:rPr>
          <w:rStyle w:val="FootnoteReference"/>
          <w:sz w:val="16"/>
          <w:szCs w:val="16"/>
        </w:rPr>
        <w:footnoteRef/>
      </w:r>
      <w:r w:rsidRPr="00172573">
        <w:rPr>
          <w:sz w:val="16"/>
          <w:szCs w:val="16"/>
        </w:rPr>
        <w:t xml:space="preserve"> Estimates published in 2015 in PWC (2015), “TV Subscriptions and license fees Insights at a Glance” 6, available at http://www.pwc.com/gx/en/global-entertainment-media-outlook/assets/2015/tv-subscriptions-and-licence-fees-key-insights-6-tv-public-licence-fee.pdf</w:t>
      </w:r>
    </w:p>
  </w:footnote>
  <w:footnote w:id="14">
    <w:p w:rsidR="00447374" w:rsidRPr="00172573" w:rsidRDefault="00447374">
      <w:pPr>
        <w:pStyle w:val="FootnoteText"/>
        <w:rPr>
          <w:sz w:val="16"/>
          <w:szCs w:val="16"/>
        </w:rPr>
      </w:pPr>
      <w:r w:rsidRPr="00172573">
        <w:rPr>
          <w:rStyle w:val="FootnoteReference"/>
          <w:sz w:val="16"/>
          <w:szCs w:val="16"/>
        </w:rPr>
        <w:footnoteRef/>
      </w:r>
      <w:r w:rsidRPr="00172573">
        <w:rPr>
          <w:sz w:val="16"/>
          <w:szCs w:val="16"/>
        </w:rPr>
        <w:t xml:space="preserve"> </w:t>
      </w:r>
      <w:proofErr w:type="gramStart"/>
      <w:r w:rsidRPr="00172573">
        <w:rPr>
          <w:sz w:val="16"/>
          <w:szCs w:val="16"/>
        </w:rPr>
        <w:t>ITU, ibid.</w:t>
      </w:r>
      <w:proofErr w:type="gramEnd"/>
    </w:p>
  </w:footnote>
  <w:footnote w:id="15">
    <w:p w:rsidR="00447374" w:rsidRPr="00172573" w:rsidRDefault="00447374">
      <w:pPr>
        <w:pStyle w:val="FootnoteText"/>
        <w:rPr>
          <w:sz w:val="16"/>
          <w:szCs w:val="16"/>
        </w:rPr>
      </w:pPr>
      <w:r w:rsidRPr="00172573">
        <w:rPr>
          <w:rStyle w:val="FootnoteReference"/>
          <w:sz w:val="16"/>
          <w:szCs w:val="16"/>
        </w:rPr>
        <w:footnoteRef/>
      </w:r>
      <w:r w:rsidRPr="00172573">
        <w:rPr>
          <w:sz w:val="16"/>
          <w:szCs w:val="16"/>
        </w:rPr>
        <w:t xml:space="preserve"> PWC statistic as reported by Statistica.com, Global TV advertising revenue from 2012 to 2017, by source (in billion U.S. dollars) accessed October 12, 2015 from http://www.statista.com/statistics/260123/global-tv-advertising-revenue-by-source/</w:t>
      </w:r>
    </w:p>
  </w:footnote>
  <w:footnote w:id="16">
    <w:p w:rsidR="00447374" w:rsidRPr="00172573" w:rsidRDefault="00447374">
      <w:pPr>
        <w:pStyle w:val="FootnoteText"/>
        <w:rPr>
          <w:sz w:val="16"/>
          <w:szCs w:val="16"/>
        </w:rPr>
      </w:pPr>
      <w:r w:rsidRPr="00172573">
        <w:rPr>
          <w:rStyle w:val="FootnoteReference"/>
          <w:sz w:val="16"/>
          <w:szCs w:val="16"/>
        </w:rPr>
        <w:footnoteRef/>
      </w:r>
      <w:r w:rsidRPr="00172573">
        <w:rPr>
          <w:sz w:val="16"/>
          <w:szCs w:val="16"/>
        </w:rPr>
        <w:t xml:space="preserve"> While TV’s share of global advertising revenues is decreasing, it continues to enjoy modest growth of less than 5% in developed countries and higher growth rates in developing countries.  </w:t>
      </w:r>
    </w:p>
  </w:footnote>
  <w:footnote w:id="17">
    <w:p w:rsidR="00447374" w:rsidRPr="00172573" w:rsidRDefault="00447374">
      <w:pPr>
        <w:pStyle w:val="FootnoteText"/>
        <w:rPr>
          <w:sz w:val="16"/>
          <w:szCs w:val="16"/>
        </w:rPr>
      </w:pPr>
      <w:r w:rsidRPr="00172573">
        <w:rPr>
          <w:rStyle w:val="FootnoteReference"/>
          <w:sz w:val="16"/>
          <w:szCs w:val="16"/>
        </w:rPr>
        <w:footnoteRef/>
      </w:r>
      <w:r w:rsidRPr="00172573">
        <w:rPr>
          <w:sz w:val="16"/>
          <w:szCs w:val="16"/>
        </w:rPr>
        <w:t xml:space="preserve"> Estimates published in 2015 in PWC (2015), “TV Advertising Key Insights at a Glance” 1, available at https://www.pwc.com/gx/en/global-entertainment-media-outlook/assets/2015/tv-advertising-key-insights-1-global-tv-advertising.pdf</w:t>
      </w:r>
    </w:p>
  </w:footnote>
  <w:footnote w:id="18">
    <w:p w:rsidR="00447374" w:rsidRPr="00172573" w:rsidRDefault="00447374">
      <w:pPr>
        <w:pStyle w:val="FootnoteText"/>
      </w:pPr>
      <w:r w:rsidRPr="00172573">
        <w:rPr>
          <w:rStyle w:val="FootnoteReference"/>
          <w:sz w:val="16"/>
          <w:szCs w:val="16"/>
        </w:rPr>
        <w:footnoteRef/>
      </w:r>
      <w:r w:rsidRPr="00172573">
        <w:rPr>
          <w:sz w:val="16"/>
          <w:szCs w:val="16"/>
        </w:rPr>
        <w:t xml:space="preserve"> 2015 to 2019, Estimates published in 2015 in PWC (2015), “TV Advertising Key Insights at a Glance” 6, available at http://www.pwc.com/gx/en/global-entertainment-media-outlook/assets/2015/tv-advertising-key-insights-6-brazil-china-and-india.pdf</w:t>
      </w:r>
    </w:p>
  </w:footnote>
  <w:footnote w:id="19">
    <w:p w:rsidR="00447374" w:rsidRPr="00172573" w:rsidRDefault="00447374">
      <w:pPr>
        <w:pStyle w:val="FootnoteText"/>
        <w:rPr>
          <w:sz w:val="16"/>
          <w:szCs w:val="16"/>
        </w:rPr>
      </w:pPr>
      <w:r w:rsidRPr="00172573">
        <w:rPr>
          <w:rStyle w:val="FootnoteReference"/>
        </w:rPr>
        <w:footnoteRef/>
      </w:r>
      <w:r w:rsidRPr="00172573">
        <w:t xml:space="preserve"> </w:t>
      </w:r>
      <w:proofErr w:type="spellStart"/>
      <w:r w:rsidRPr="00172573">
        <w:rPr>
          <w:sz w:val="16"/>
          <w:szCs w:val="16"/>
        </w:rPr>
        <w:t>Wischenbart</w:t>
      </w:r>
      <w:proofErr w:type="spellEnd"/>
      <w:r w:rsidRPr="00172573">
        <w:rPr>
          <w:sz w:val="16"/>
          <w:szCs w:val="16"/>
        </w:rPr>
        <w:t xml:space="preserve">, R. (2013). </w:t>
      </w:r>
      <w:proofErr w:type="gramStart"/>
      <w:r w:rsidRPr="00172573">
        <w:rPr>
          <w:sz w:val="16"/>
          <w:szCs w:val="16"/>
        </w:rPr>
        <w:t>IPA Global Publishing Statistics.</w:t>
      </w:r>
      <w:proofErr w:type="gramEnd"/>
      <w:r w:rsidRPr="00172573">
        <w:rPr>
          <w:sz w:val="16"/>
          <w:szCs w:val="16"/>
        </w:rPr>
        <w:t xml:space="preserve"> World, 114(12,189), 7-046.</w:t>
      </w:r>
    </w:p>
  </w:footnote>
  <w:footnote w:id="20">
    <w:p w:rsidR="00447374" w:rsidRPr="00172573" w:rsidRDefault="00447374">
      <w:pPr>
        <w:pStyle w:val="FootnoteText"/>
        <w:rPr>
          <w:sz w:val="16"/>
          <w:szCs w:val="16"/>
        </w:rPr>
      </w:pPr>
      <w:r w:rsidRPr="00172573">
        <w:rPr>
          <w:rStyle w:val="FootnoteReference"/>
          <w:sz w:val="16"/>
          <w:szCs w:val="16"/>
        </w:rPr>
        <w:footnoteRef/>
      </w:r>
      <w:r w:rsidRPr="00172573">
        <w:rPr>
          <w:sz w:val="16"/>
          <w:szCs w:val="16"/>
        </w:rPr>
        <w:t xml:space="preserve"> </w:t>
      </w:r>
      <w:proofErr w:type="spellStart"/>
      <w:proofErr w:type="gramStart"/>
      <w:r w:rsidRPr="00172573">
        <w:rPr>
          <w:sz w:val="16"/>
          <w:szCs w:val="16"/>
        </w:rPr>
        <w:t>Wischenbart</w:t>
      </w:r>
      <w:proofErr w:type="spellEnd"/>
      <w:r w:rsidRPr="00172573">
        <w:rPr>
          <w:sz w:val="16"/>
          <w:szCs w:val="16"/>
        </w:rPr>
        <w:t>, ibid.</w:t>
      </w:r>
      <w:proofErr w:type="gramEnd"/>
    </w:p>
  </w:footnote>
  <w:footnote w:id="21">
    <w:p w:rsidR="007C73AF" w:rsidRDefault="007C73AF">
      <w:pPr>
        <w:pStyle w:val="FootnoteText"/>
      </w:pPr>
      <w:r w:rsidRPr="00172573">
        <w:rPr>
          <w:rStyle w:val="FootnoteReference"/>
          <w:sz w:val="16"/>
          <w:szCs w:val="16"/>
        </w:rPr>
        <w:footnoteRef/>
      </w:r>
      <w:r w:rsidRPr="00172573">
        <w:rPr>
          <w:sz w:val="16"/>
          <w:szCs w:val="16"/>
        </w:rPr>
        <w:t xml:space="preserve"> </w:t>
      </w:r>
      <w:proofErr w:type="gramStart"/>
      <w:r w:rsidRPr="00172573">
        <w:rPr>
          <w:sz w:val="16"/>
          <w:szCs w:val="16"/>
        </w:rPr>
        <w:t>Simon, J. P., and G. De Prato.</w:t>
      </w:r>
      <w:proofErr w:type="gramEnd"/>
      <w:r w:rsidRPr="00172573">
        <w:rPr>
          <w:sz w:val="16"/>
          <w:szCs w:val="16"/>
        </w:rPr>
        <w:t xml:space="preserve"> </w:t>
      </w:r>
      <w:proofErr w:type="gramStart"/>
      <w:r w:rsidRPr="00172573">
        <w:rPr>
          <w:sz w:val="16"/>
          <w:szCs w:val="16"/>
        </w:rPr>
        <w:t>"Statistical, ecosystems and competitiveness analysis of the media and content industries."</w:t>
      </w:r>
      <w:proofErr w:type="gramEnd"/>
      <w:r w:rsidRPr="00172573">
        <w:rPr>
          <w:sz w:val="16"/>
          <w:szCs w:val="16"/>
        </w:rPr>
        <w:t xml:space="preserve">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D9B" w:rsidRDefault="002F73AD" w:rsidP="00477D6B">
    <w:pPr>
      <w:jc w:val="right"/>
    </w:pPr>
    <w:bookmarkStart w:id="6" w:name="Code2"/>
    <w:bookmarkEnd w:id="6"/>
    <w:r>
      <w:t>WIPO/GDCM/GE/16/INF/</w:t>
    </w:r>
    <w:r w:rsidR="00803B4C">
      <w:t>2</w:t>
    </w:r>
  </w:p>
  <w:p w:rsidR="004F4D9B" w:rsidRDefault="004F4D9B" w:rsidP="00477D6B">
    <w:pPr>
      <w:jc w:val="right"/>
    </w:pPr>
    <w:proofErr w:type="gramStart"/>
    <w:r>
      <w:t>page</w:t>
    </w:r>
    <w:proofErr w:type="gramEnd"/>
    <w:r>
      <w:t xml:space="preserve"> </w:t>
    </w:r>
    <w:r>
      <w:fldChar w:fldCharType="begin"/>
    </w:r>
    <w:r>
      <w:instrText xml:space="preserve"> PAGE  \* MERGEFORMAT </w:instrText>
    </w:r>
    <w:r>
      <w:fldChar w:fldCharType="separate"/>
    </w:r>
    <w:r w:rsidR="002A6C6B">
      <w:rPr>
        <w:noProof/>
      </w:rPr>
      <w:t>2</w:t>
    </w:r>
    <w:r>
      <w:fldChar w:fldCharType="end"/>
    </w:r>
  </w:p>
  <w:p w:rsidR="004F4D9B" w:rsidRDefault="004F4D9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1B0683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BC264C"/>
    <w:multiLevelType w:val="hybridMultilevel"/>
    <w:tmpl w:val="988CC216"/>
    <w:lvl w:ilvl="0" w:tplc="F670C2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3AD"/>
    <w:rsid w:val="00026990"/>
    <w:rsid w:val="00053E4E"/>
    <w:rsid w:val="00061778"/>
    <w:rsid w:val="000A2C9B"/>
    <w:rsid w:val="000A46A9"/>
    <w:rsid w:val="000C7343"/>
    <w:rsid w:val="000E0A95"/>
    <w:rsid w:val="000E7585"/>
    <w:rsid w:val="000F5E56"/>
    <w:rsid w:val="001362EE"/>
    <w:rsid w:val="00172573"/>
    <w:rsid w:val="001832A6"/>
    <w:rsid w:val="0019469C"/>
    <w:rsid w:val="001B3C6A"/>
    <w:rsid w:val="001D7119"/>
    <w:rsid w:val="001F6AAF"/>
    <w:rsid w:val="00205EA6"/>
    <w:rsid w:val="00216C3D"/>
    <w:rsid w:val="002456E6"/>
    <w:rsid w:val="002634C4"/>
    <w:rsid w:val="0028381B"/>
    <w:rsid w:val="00286C21"/>
    <w:rsid w:val="002A04A8"/>
    <w:rsid w:val="002A6C6B"/>
    <w:rsid w:val="002C5261"/>
    <w:rsid w:val="002F4E68"/>
    <w:rsid w:val="002F73AD"/>
    <w:rsid w:val="002F7C75"/>
    <w:rsid w:val="003707CB"/>
    <w:rsid w:val="00384452"/>
    <w:rsid w:val="003845C1"/>
    <w:rsid w:val="00385E79"/>
    <w:rsid w:val="003A4769"/>
    <w:rsid w:val="003F1476"/>
    <w:rsid w:val="00405950"/>
    <w:rsid w:val="00423E3E"/>
    <w:rsid w:val="00427AF4"/>
    <w:rsid w:val="00447374"/>
    <w:rsid w:val="004647DA"/>
    <w:rsid w:val="00477D6B"/>
    <w:rsid w:val="004F0075"/>
    <w:rsid w:val="004F4D9B"/>
    <w:rsid w:val="0051479E"/>
    <w:rsid w:val="005620FA"/>
    <w:rsid w:val="00573BD3"/>
    <w:rsid w:val="005842B8"/>
    <w:rsid w:val="005914B5"/>
    <w:rsid w:val="00596122"/>
    <w:rsid w:val="005A53F4"/>
    <w:rsid w:val="005F652F"/>
    <w:rsid w:val="005F7D22"/>
    <w:rsid w:val="00605827"/>
    <w:rsid w:val="00611F39"/>
    <w:rsid w:val="006364DA"/>
    <w:rsid w:val="006B64BE"/>
    <w:rsid w:val="00711489"/>
    <w:rsid w:val="00715A6B"/>
    <w:rsid w:val="00743653"/>
    <w:rsid w:val="007523F0"/>
    <w:rsid w:val="007A7BEF"/>
    <w:rsid w:val="007B54D9"/>
    <w:rsid w:val="007B63B3"/>
    <w:rsid w:val="007C73AF"/>
    <w:rsid w:val="007F2316"/>
    <w:rsid w:val="00803B4C"/>
    <w:rsid w:val="0081368F"/>
    <w:rsid w:val="00834383"/>
    <w:rsid w:val="0089487E"/>
    <w:rsid w:val="008A3809"/>
    <w:rsid w:val="008B2CC1"/>
    <w:rsid w:val="0090731E"/>
    <w:rsid w:val="009104B1"/>
    <w:rsid w:val="009317B5"/>
    <w:rsid w:val="00966A22"/>
    <w:rsid w:val="009711F1"/>
    <w:rsid w:val="00987349"/>
    <w:rsid w:val="009C40F8"/>
    <w:rsid w:val="00A05097"/>
    <w:rsid w:val="00A125F9"/>
    <w:rsid w:val="00A179E6"/>
    <w:rsid w:val="00A4403B"/>
    <w:rsid w:val="00A55ABA"/>
    <w:rsid w:val="00A94F2C"/>
    <w:rsid w:val="00B11AC3"/>
    <w:rsid w:val="00B5045D"/>
    <w:rsid w:val="00BE54FC"/>
    <w:rsid w:val="00C071DF"/>
    <w:rsid w:val="00C17225"/>
    <w:rsid w:val="00C47F8E"/>
    <w:rsid w:val="00C50490"/>
    <w:rsid w:val="00C715CC"/>
    <w:rsid w:val="00C8724A"/>
    <w:rsid w:val="00CE00C0"/>
    <w:rsid w:val="00D70D78"/>
    <w:rsid w:val="00D71B4D"/>
    <w:rsid w:val="00D93D55"/>
    <w:rsid w:val="00DE6DF2"/>
    <w:rsid w:val="00E17984"/>
    <w:rsid w:val="00E242B0"/>
    <w:rsid w:val="00E30BAE"/>
    <w:rsid w:val="00E43A8C"/>
    <w:rsid w:val="00E91F42"/>
    <w:rsid w:val="00ED663D"/>
    <w:rsid w:val="00EF1D84"/>
    <w:rsid w:val="00EF2C66"/>
    <w:rsid w:val="00F06445"/>
    <w:rsid w:val="00F17EFC"/>
    <w:rsid w:val="00F20661"/>
    <w:rsid w:val="00F379E5"/>
    <w:rsid w:val="00F66152"/>
    <w:rsid w:val="00F72018"/>
    <w:rsid w:val="00FD19F0"/>
    <w:rsid w:val="00FE5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7225"/>
    <w:rPr>
      <w:rFonts w:ascii="Arial" w:eastAsia="SimSun" w:hAnsi="Arial" w:cs="Arial"/>
      <w:sz w:val="22"/>
      <w:lang w:eastAsia="zh-CN"/>
    </w:rPr>
  </w:style>
  <w:style w:type="paragraph" w:styleId="Heading1">
    <w:name w:val="heading 1"/>
    <w:basedOn w:val="Normal"/>
    <w:next w:val="Normal"/>
    <w:qFormat/>
    <w:rsid w:val="00C17225"/>
    <w:pPr>
      <w:keepNext/>
      <w:spacing w:before="240" w:after="60"/>
      <w:outlineLvl w:val="0"/>
    </w:pPr>
    <w:rPr>
      <w:b/>
      <w:bCs/>
      <w:caps/>
      <w:kern w:val="32"/>
      <w:szCs w:val="32"/>
    </w:rPr>
  </w:style>
  <w:style w:type="paragraph" w:styleId="Heading2">
    <w:name w:val="heading 2"/>
    <w:basedOn w:val="Normal"/>
    <w:next w:val="Normal"/>
    <w:qFormat/>
    <w:rsid w:val="00C17225"/>
    <w:pPr>
      <w:keepNext/>
      <w:spacing w:before="240" w:after="60"/>
      <w:outlineLvl w:val="1"/>
    </w:pPr>
    <w:rPr>
      <w:bCs/>
      <w:iCs/>
      <w:caps/>
      <w:szCs w:val="28"/>
    </w:rPr>
  </w:style>
  <w:style w:type="paragraph" w:styleId="Heading3">
    <w:name w:val="heading 3"/>
    <w:basedOn w:val="Normal"/>
    <w:next w:val="Normal"/>
    <w:qFormat/>
    <w:rsid w:val="00C17225"/>
    <w:pPr>
      <w:keepNext/>
      <w:spacing w:before="240" w:after="60"/>
      <w:outlineLvl w:val="2"/>
    </w:pPr>
    <w:rPr>
      <w:bCs/>
      <w:szCs w:val="26"/>
      <w:u w:val="single"/>
    </w:rPr>
  </w:style>
  <w:style w:type="paragraph" w:styleId="Heading4">
    <w:name w:val="heading 4"/>
    <w:basedOn w:val="Normal"/>
    <w:next w:val="Normal"/>
    <w:qFormat/>
    <w:rsid w:val="00C17225"/>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7225"/>
    <w:pPr>
      <w:spacing w:after="220"/>
    </w:pPr>
  </w:style>
  <w:style w:type="paragraph" w:styleId="Caption">
    <w:name w:val="caption"/>
    <w:basedOn w:val="Normal"/>
    <w:next w:val="Normal"/>
    <w:qFormat/>
    <w:rsid w:val="00C17225"/>
    <w:rPr>
      <w:b/>
      <w:bCs/>
      <w:sz w:val="18"/>
    </w:rPr>
  </w:style>
  <w:style w:type="paragraph" w:styleId="CommentText">
    <w:name w:val="annotation text"/>
    <w:basedOn w:val="Normal"/>
    <w:link w:val="CommentTextChar"/>
    <w:semiHidden/>
    <w:rsid w:val="00C17225"/>
    <w:rPr>
      <w:sz w:val="18"/>
    </w:rPr>
  </w:style>
  <w:style w:type="paragraph" w:styleId="EndnoteText">
    <w:name w:val="endnote text"/>
    <w:basedOn w:val="Normal"/>
    <w:semiHidden/>
    <w:rsid w:val="00C17225"/>
    <w:rPr>
      <w:sz w:val="18"/>
    </w:rPr>
  </w:style>
  <w:style w:type="paragraph" w:styleId="Footer">
    <w:name w:val="footer"/>
    <w:basedOn w:val="Normal"/>
    <w:semiHidden/>
    <w:rsid w:val="00C17225"/>
    <w:pPr>
      <w:tabs>
        <w:tab w:val="center" w:pos="4320"/>
        <w:tab w:val="right" w:pos="8640"/>
      </w:tabs>
    </w:pPr>
  </w:style>
  <w:style w:type="paragraph" w:styleId="FootnoteText">
    <w:name w:val="footnote text"/>
    <w:basedOn w:val="Normal"/>
    <w:semiHidden/>
    <w:rsid w:val="00C17225"/>
    <w:rPr>
      <w:sz w:val="18"/>
    </w:rPr>
  </w:style>
  <w:style w:type="paragraph" w:customStyle="1" w:styleId="Endofdocument-Annex">
    <w:name w:val="[End of document - Annex]"/>
    <w:basedOn w:val="Normal"/>
    <w:rsid w:val="00715A6B"/>
    <w:pPr>
      <w:ind w:left="5534"/>
    </w:pPr>
  </w:style>
  <w:style w:type="paragraph" w:styleId="Header">
    <w:name w:val="header"/>
    <w:basedOn w:val="Normal"/>
    <w:semiHidden/>
    <w:rsid w:val="00C17225"/>
    <w:pPr>
      <w:tabs>
        <w:tab w:val="center" w:pos="4536"/>
        <w:tab w:val="right" w:pos="9072"/>
      </w:tabs>
    </w:pPr>
  </w:style>
  <w:style w:type="paragraph" w:styleId="ListNumber">
    <w:name w:val="List Number"/>
    <w:basedOn w:val="Normal"/>
    <w:semiHidden/>
    <w:rsid w:val="00C17225"/>
    <w:pPr>
      <w:numPr>
        <w:numId w:val="4"/>
      </w:numPr>
    </w:pPr>
  </w:style>
  <w:style w:type="paragraph" w:customStyle="1" w:styleId="ONUME">
    <w:name w:val="ONUM E"/>
    <w:basedOn w:val="BodyText"/>
    <w:rsid w:val="00C17225"/>
    <w:pPr>
      <w:numPr>
        <w:numId w:val="5"/>
      </w:numPr>
    </w:pPr>
  </w:style>
  <w:style w:type="paragraph" w:customStyle="1" w:styleId="ONUMFS">
    <w:name w:val="ONUM FS"/>
    <w:basedOn w:val="BodyText"/>
    <w:rsid w:val="00C17225"/>
    <w:pPr>
      <w:numPr>
        <w:numId w:val="6"/>
      </w:numPr>
    </w:pPr>
  </w:style>
  <w:style w:type="paragraph" w:styleId="Salutation">
    <w:name w:val="Salutation"/>
    <w:basedOn w:val="Normal"/>
    <w:next w:val="Normal"/>
    <w:semiHidden/>
    <w:rsid w:val="00C17225"/>
  </w:style>
  <w:style w:type="paragraph" w:styleId="Signature">
    <w:name w:val="Signature"/>
    <w:basedOn w:val="Normal"/>
    <w:semiHidden/>
    <w:rsid w:val="00C17225"/>
    <w:pPr>
      <w:ind w:left="5250"/>
    </w:pPr>
  </w:style>
  <w:style w:type="paragraph" w:styleId="BalloonText">
    <w:name w:val="Balloon Text"/>
    <w:basedOn w:val="Normal"/>
    <w:link w:val="BalloonTextChar"/>
    <w:rsid w:val="005A53F4"/>
    <w:rPr>
      <w:rFonts w:ascii="Tahoma" w:hAnsi="Tahoma" w:cs="Tahoma"/>
      <w:sz w:val="16"/>
      <w:szCs w:val="16"/>
    </w:rPr>
  </w:style>
  <w:style w:type="character" w:customStyle="1" w:styleId="BalloonTextChar">
    <w:name w:val="Balloon Text Char"/>
    <w:link w:val="BalloonText"/>
    <w:rsid w:val="005A53F4"/>
    <w:rPr>
      <w:rFonts w:ascii="Tahoma" w:eastAsia="SimSun" w:hAnsi="Tahoma" w:cs="Tahoma"/>
      <w:sz w:val="16"/>
      <w:szCs w:val="16"/>
      <w:lang w:eastAsia="zh-CN"/>
    </w:rPr>
  </w:style>
  <w:style w:type="character" w:styleId="Hyperlink">
    <w:name w:val="Hyperlink"/>
    <w:uiPriority w:val="99"/>
    <w:unhideWhenUsed/>
    <w:rsid w:val="002F73AD"/>
    <w:rPr>
      <w:color w:val="0000FF"/>
      <w:u w:val="single"/>
    </w:rPr>
  </w:style>
  <w:style w:type="character" w:styleId="FootnoteReference">
    <w:name w:val="footnote reference"/>
    <w:basedOn w:val="DefaultParagraphFont"/>
    <w:rsid w:val="00385E79"/>
    <w:rPr>
      <w:vertAlign w:val="superscript"/>
    </w:rPr>
  </w:style>
  <w:style w:type="character" w:styleId="CommentReference">
    <w:name w:val="annotation reference"/>
    <w:basedOn w:val="DefaultParagraphFont"/>
    <w:rsid w:val="009317B5"/>
    <w:rPr>
      <w:sz w:val="16"/>
      <w:szCs w:val="16"/>
    </w:rPr>
  </w:style>
  <w:style w:type="paragraph" w:styleId="CommentSubject">
    <w:name w:val="annotation subject"/>
    <w:basedOn w:val="CommentText"/>
    <w:next w:val="CommentText"/>
    <w:link w:val="CommentSubjectChar"/>
    <w:rsid w:val="009317B5"/>
    <w:rPr>
      <w:b/>
      <w:bCs/>
      <w:sz w:val="20"/>
    </w:rPr>
  </w:style>
  <w:style w:type="character" w:customStyle="1" w:styleId="CommentTextChar">
    <w:name w:val="Comment Text Char"/>
    <w:basedOn w:val="DefaultParagraphFont"/>
    <w:link w:val="CommentText"/>
    <w:semiHidden/>
    <w:rsid w:val="009317B5"/>
    <w:rPr>
      <w:rFonts w:ascii="Arial" w:eastAsia="SimSun" w:hAnsi="Arial" w:cs="Arial"/>
      <w:sz w:val="18"/>
      <w:lang w:eastAsia="zh-CN"/>
    </w:rPr>
  </w:style>
  <w:style w:type="character" w:customStyle="1" w:styleId="CommentSubjectChar">
    <w:name w:val="Comment Subject Char"/>
    <w:basedOn w:val="CommentTextChar"/>
    <w:link w:val="CommentSubject"/>
    <w:rsid w:val="009317B5"/>
    <w:rPr>
      <w:rFonts w:ascii="Arial" w:eastAsia="SimSun" w:hAnsi="Arial" w:cs="Arial"/>
      <w:b/>
      <w:bCs/>
      <w:sz w:val="18"/>
      <w:lang w:eastAsia="zh-CN"/>
    </w:rPr>
  </w:style>
  <w:style w:type="paragraph" w:styleId="Revision">
    <w:name w:val="Revision"/>
    <w:hidden/>
    <w:uiPriority w:val="99"/>
    <w:semiHidden/>
    <w:rsid w:val="002A6C6B"/>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7225"/>
    <w:rPr>
      <w:rFonts w:ascii="Arial" w:eastAsia="SimSun" w:hAnsi="Arial" w:cs="Arial"/>
      <w:sz w:val="22"/>
      <w:lang w:eastAsia="zh-CN"/>
    </w:rPr>
  </w:style>
  <w:style w:type="paragraph" w:styleId="Heading1">
    <w:name w:val="heading 1"/>
    <w:basedOn w:val="Normal"/>
    <w:next w:val="Normal"/>
    <w:qFormat/>
    <w:rsid w:val="00C17225"/>
    <w:pPr>
      <w:keepNext/>
      <w:spacing w:before="240" w:after="60"/>
      <w:outlineLvl w:val="0"/>
    </w:pPr>
    <w:rPr>
      <w:b/>
      <w:bCs/>
      <w:caps/>
      <w:kern w:val="32"/>
      <w:szCs w:val="32"/>
    </w:rPr>
  </w:style>
  <w:style w:type="paragraph" w:styleId="Heading2">
    <w:name w:val="heading 2"/>
    <w:basedOn w:val="Normal"/>
    <w:next w:val="Normal"/>
    <w:qFormat/>
    <w:rsid w:val="00C17225"/>
    <w:pPr>
      <w:keepNext/>
      <w:spacing w:before="240" w:after="60"/>
      <w:outlineLvl w:val="1"/>
    </w:pPr>
    <w:rPr>
      <w:bCs/>
      <w:iCs/>
      <w:caps/>
      <w:szCs w:val="28"/>
    </w:rPr>
  </w:style>
  <w:style w:type="paragraph" w:styleId="Heading3">
    <w:name w:val="heading 3"/>
    <w:basedOn w:val="Normal"/>
    <w:next w:val="Normal"/>
    <w:qFormat/>
    <w:rsid w:val="00C17225"/>
    <w:pPr>
      <w:keepNext/>
      <w:spacing w:before="240" w:after="60"/>
      <w:outlineLvl w:val="2"/>
    </w:pPr>
    <w:rPr>
      <w:bCs/>
      <w:szCs w:val="26"/>
      <w:u w:val="single"/>
    </w:rPr>
  </w:style>
  <w:style w:type="paragraph" w:styleId="Heading4">
    <w:name w:val="heading 4"/>
    <w:basedOn w:val="Normal"/>
    <w:next w:val="Normal"/>
    <w:qFormat/>
    <w:rsid w:val="00C17225"/>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7225"/>
    <w:pPr>
      <w:spacing w:after="220"/>
    </w:pPr>
  </w:style>
  <w:style w:type="paragraph" w:styleId="Caption">
    <w:name w:val="caption"/>
    <w:basedOn w:val="Normal"/>
    <w:next w:val="Normal"/>
    <w:qFormat/>
    <w:rsid w:val="00C17225"/>
    <w:rPr>
      <w:b/>
      <w:bCs/>
      <w:sz w:val="18"/>
    </w:rPr>
  </w:style>
  <w:style w:type="paragraph" w:styleId="CommentText">
    <w:name w:val="annotation text"/>
    <w:basedOn w:val="Normal"/>
    <w:link w:val="CommentTextChar"/>
    <w:semiHidden/>
    <w:rsid w:val="00C17225"/>
    <w:rPr>
      <w:sz w:val="18"/>
    </w:rPr>
  </w:style>
  <w:style w:type="paragraph" w:styleId="EndnoteText">
    <w:name w:val="endnote text"/>
    <w:basedOn w:val="Normal"/>
    <w:semiHidden/>
    <w:rsid w:val="00C17225"/>
    <w:rPr>
      <w:sz w:val="18"/>
    </w:rPr>
  </w:style>
  <w:style w:type="paragraph" w:styleId="Footer">
    <w:name w:val="footer"/>
    <w:basedOn w:val="Normal"/>
    <w:semiHidden/>
    <w:rsid w:val="00C17225"/>
    <w:pPr>
      <w:tabs>
        <w:tab w:val="center" w:pos="4320"/>
        <w:tab w:val="right" w:pos="8640"/>
      </w:tabs>
    </w:pPr>
  </w:style>
  <w:style w:type="paragraph" w:styleId="FootnoteText">
    <w:name w:val="footnote text"/>
    <w:basedOn w:val="Normal"/>
    <w:semiHidden/>
    <w:rsid w:val="00C17225"/>
    <w:rPr>
      <w:sz w:val="18"/>
    </w:rPr>
  </w:style>
  <w:style w:type="paragraph" w:customStyle="1" w:styleId="Endofdocument-Annex">
    <w:name w:val="[End of document - Annex]"/>
    <w:basedOn w:val="Normal"/>
    <w:rsid w:val="00715A6B"/>
    <w:pPr>
      <w:ind w:left="5534"/>
    </w:pPr>
  </w:style>
  <w:style w:type="paragraph" w:styleId="Header">
    <w:name w:val="header"/>
    <w:basedOn w:val="Normal"/>
    <w:semiHidden/>
    <w:rsid w:val="00C17225"/>
    <w:pPr>
      <w:tabs>
        <w:tab w:val="center" w:pos="4536"/>
        <w:tab w:val="right" w:pos="9072"/>
      </w:tabs>
    </w:pPr>
  </w:style>
  <w:style w:type="paragraph" w:styleId="ListNumber">
    <w:name w:val="List Number"/>
    <w:basedOn w:val="Normal"/>
    <w:semiHidden/>
    <w:rsid w:val="00C17225"/>
    <w:pPr>
      <w:numPr>
        <w:numId w:val="4"/>
      </w:numPr>
    </w:pPr>
  </w:style>
  <w:style w:type="paragraph" w:customStyle="1" w:styleId="ONUME">
    <w:name w:val="ONUM E"/>
    <w:basedOn w:val="BodyText"/>
    <w:rsid w:val="00C17225"/>
    <w:pPr>
      <w:numPr>
        <w:numId w:val="5"/>
      </w:numPr>
    </w:pPr>
  </w:style>
  <w:style w:type="paragraph" w:customStyle="1" w:styleId="ONUMFS">
    <w:name w:val="ONUM FS"/>
    <w:basedOn w:val="BodyText"/>
    <w:rsid w:val="00C17225"/>
    <w:pPr>
      <w:numPr>
        <w:numId w:val="6"/>
      </w:numPr>
    </w:pPr>
  </w:style>
  <w:style w:type="paragraph" w:styleId="Salutation">
    <w:name w:val="Salutation"/>
    <w:basedOn w:val="Normal"/>
    <w:next w:val="Normal"/>
    <w:semiHidden/>
    <w:rsid w:val="00C17225"/>
  </w:style>
  <w:style w:type="paragraph" w:styleId="Signature">
    <w:name w:val="Signature"/>
    <w:basedOn w:val="Normal"/>
    <w:semiHidden/>
    <w:rsid w:val="00C17225"/>
    <w:pPr>
      <w:ind w:left="5250"/>
    </w:pPr>
  </w:style>
  <w:style w:type="paragraph" w:styleId="BalloonText">
    <w:name w:val="Balloon Text"/>
    <w:basedOn w:val="Normal"/>
    <w:link w:val="BalloonTextChar"/>
    <w:rsid w:val="005A53F4"/>
    <w:rPr>
      <w:rFonts w:ascii="Tahoma" w:hAnsi="Tahoma" w:cs="Tahoma"/>
      <w:sz w:val="16"/>
      <w:szCs w:val="16"/>
    </w:rPr>
  </w:style>
  <w:style w:type="character" w:customStyle="1" w:styleId="BalloonTextChar">
    <w:name w:val="Balloon Text Char"/>
    <w:link w:val="BalloonText"/>
    <w:rsid w:val="005A53F4"/>
    <w:rPr>
      <w:rFonts w:ascii="Tahoma" w:eastAsia="SimSun" w:hAnsi="Tahoma" w:cs="Tahoma"/>
      <w:sz w:val="16"/>
      <w:szCs w:val="16"/>
      <w:lang w:eastAsia="zh-CN"/>
    </w:rPr>
  </w:style>
  <w:style w:type="character" w:styleId="Hyperlink">
    <w:name w:val="Hyperlink"/>
    <w:uiPriority w:val="99"/>
    <w:unhideWhenUsed/>
    <w:rsid w:val="002F73AD"/>
    <w:rPr>
      <w:color w:val="0000FF"/>
      <w:u w:val="single"/>
    </w:rPr>
  </w:style>
  <w:style w:type="character" w:styleId="FootnoteReference">
    <w:name w:val="footnote reference"/>
    <w:basedOn w:val="DefaultParagraphFont"/>
    <w:rsid w:val="00385E79"/>
    <w:rPr>
      <w:vertAlign w:val="superscript"/>
    </w:rPr>
  </w:style>
  <w:style w:type="character" w:styleId="CommentReference">
    <w:name w:val="annotation reference"/>
    <w:basedOn w:val="DefaultParagraphFont"/>
    <w:rsid w:val="009317B5"/>
    <w:rPr>
      <w:sz w:val="16"/>
      <w:szCs w:val="16"/>
    </w:rPr>
  </w:style>
  <w:style w:type="paragraph" w:styleId="CommentSubject">
    <w:name w:val="annotation subject"/>
    <w:basedOn w:val="CommentText"/>
    <w:next w:val="CommentText"/>
    <w:link w:val="CommentSubjectChar"/>
    <w:rsid w:val="009317B5"/>
    <w:rPr>
      <w:b/>
      <w:bCs/>
      <w:sz w:val="20"/>
    </w:rPr>
  </w:style>
  <w:style w:type="character" w:customStyle="1" w:styleId="CommentTextChar">
    <w:name w:val="Comment Text Char"/>
    <w:basedOn w:val="DefaultParagraphFont"/>
    <w:link w:val="CommentText"/>
    <w:semiHidden/>
    <w:rsid w:val="009317B5"/>
    <w:rPr>
      <w:rFonts w:ascii="Arial" w:eastAsia="SimSun" w:hAnsi="Arial" w:cs="Arial"/>
      <w:sz w:val="18"/>
      <w:lang w:eastAsia="zh-CN"/>
    </w:rPr>
  </w:style>
  <w:style w:type="character" w:customStyle="1" w:styleId="CommentSubjectChar">
    <w:name w:val="Comment Subject Char"/>
    <w:basedOn w:val="CommentTextChar"/>
    <w:link w:val="CommentSubject"/>
    <w:rsid w:val="009317B5"/>
    <w:rPr>
      <w:rFonts w:ascii="Arial" w:eastAsia="SimSun" w:hAnsi="Arial" w:cs="Arial"/>
      <w:b/>
      <w:bCs/>
      <w:sz w:val="18"/>
      <w:lang w:eastAsia="zh-CN"/>
    </w:rPr>
  </w:style>
  <w:style w:type="paragraph" w:styleId="Revision">
    <w:name w:val="Revision"/>
    <w:hidden/>
    <w:uiPriority w:val="99"/>
    <w:semiHidden/>
    <w:rsid w:val="002A6C6B"/>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WIPO%20GDCM%20GE%2016%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E1F92-D673-413A-91D2-E05D1C623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 GDCM GE 16 (E)</Template>
  <TotalTime>118</TotalTime>
  <Pages>6</Pages>
  <Words>1763</Words>
  <Characters>9852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WIPO/GDCM/GE/16/</vt:lpstr>
    </vt:vector>
  </TitlesOfParts>
  <Company>WIPO</Company>
  <LinksUpToDate>false</LinksUpToDate>
  <CharactersWithSpaces>11592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WIPO/GDCM/GE/16/</dc:title>
  <dc:creator>MARIN-CUDRAZ DAVI Nicoletta</dc:creator>
  <cp:lastModifiedBy>WICKREMASINGHE Nayana</cp:lastModifiedBy>
  <cp:revision>4</cp:revision>
  <cp:lastPrinted>2016-03-03T10:41:00Z</cp:lastPrinted>
  <dcterms:created xsi:type="dcterms:W3CDTF">2016-04-01T10:17:00Z</dcterms:created>
  <dcterms:modified xsi:type="dcterms:W3CDTF">2016-04-01T13:48:00Z</dcterms:modified>
</cp:coreProperties>
</file>