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12E9B" w:rsidP="00916EE2">
            <w:r>
              <w:rPr>
                <w:noProof/>
                <w:lang w:eastAsia="en-US"/>
              </w:rPr>
              <w:drawing>
                <wp:inline distT="0" distB="0" distL="0" distR="0" wp14:anchorId="0692E1B0" wp14:editId="4BE8BEBB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01E1B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WIPO/ACE/9/</w:t>
            </w:r>
            <w:bookmarkStart w:id="0" w:name="Code"/>
            <w:bookmarkEnd w:id="0"/>
            <w:r w:rsidR="000F1490">
              <w:rPr>
                <w:rFonts w:ascii="Arial Black" w:hAnsi="Arial Black"/>
                <w:caps/>
                <w:sz w:val="15"/>
              </w:rPr>
              <w:t>7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0F1490">
              <w:rPr>
                <w:rFonts w:ascii="Arial Black" w:hAnsi="Arial Black"/>
                <w:caps/>
                <w:sz w:val="15"/>
              </w:rPr>
              <w:t xml:space="preserve">  eNGLISH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0F1490">
              <w:rPr>
                <w:rFonts w:ascii="Arial Black" w:hAnsi="Arial Black"/>
                <w:caps/>
                <w:sz w:val="15"/>
              </w:rPr>
              <w:t xml:space="preserve">  JANUARY 28, 2014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61D47" w:rsidRDefault="00061D47" w:rsidP="00061D47">
      <w:pPr>
        <w:pStyle w:val="Meetingtitle"/>
        <w:ind w:left="0"/>
      </w:pPr>
      <w:r>
        <w:t xml:space="preserve">Advisory </w:t>
      </w:r>
      <w:r>
        <w:rPr>
          <w:snapToGrid w:val="0"/>
        </w:rPr>
        <w:t>Committee on Enforcement</w:t>
      </w:r>
    </w:p>
    <w:p w:rsidR="00061D47" w:rsidRDefault="00061D47" w:rsidP="00061D47">
      <w:pPr>
        <w:pStyle w:val="Sessiontitle"/>
        <w:ind w:left="0"/>
      </w:pPr>
      <w:r>
        <w:rPr>
          <w:lang w:eastAsia="ko-KR"/>
        </w:rPr>
        <w:t>Ninth</w:t>
      </w:r>
      <w:r>
        <w:t xml:space="preserve"> Session</w:t>
      </w:r>
    </w:p>
    <w:p w:rsidR="00061D47" w:rsidRPr="000F2F90" w:rsidRDefault="00061D47" w:rsidP="00061D47">
      <w:pPr>
        <w:pStyle w:val="Meetingplacedate"/>
        <w:ind w:left="0"/>
      </w:pPr>
      <w:r>
        <w:t xml:space="preserve">Geneva, March 3 </w:t>
      </w:r>
      <w:r w:rsidR="00AB7D28">
        <w:t>to</w:t>
      </w:r>
      <w:r>
        <w:t xml:space="preserve"> 5, 201</w:t>
      </w:r>
      <w:r>
        <w:rPr>
          <w:lang w:eastAsia="ko-KR"/>
        </w:rPr>
        <w:t>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0F1490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INTELLECTUAL PROPERTY A</w:t>
      </w:r>
      <w:r w:rsidR="00831329">
        <w:rPr>
          <w:caps/>
          <w:sz w:val="24"/>
        </w:rPr>
        <w:t xml:space="preserve">lternative </w:t>
      </w:r>
      <w:r>
        <w:rPr>
          <w:caps/>
          <w:sz w:val="24"/>
        </w:rPr>
        <w:t>D</w:t>
      </w:r>
      <w:r w:rsidR="00831329">
        <w:rPr>
          <w:caps/>
          <w:sz w:val="24"/>
        </w:rPr>
        <w:t xml:space="preserve">ispute </w:t>
      </w:r>
      <w:r>
        <w:rPr>
          <w:caps/>
          <w:sz w:val="24"/>
        </w:rPr>
        <w:t>R</w:t>
      </w:r>
      <w:r w:rsidR="00831329">
        <w:rPr>
          <w:caps/>
          <w:sz w:val="24"/>
        </w:rPr>
        <w:t>esolution</w:t>
      </w:r>
      <w:r w:rsidR="00C410EF">
        <w:rPr>
          <w:caps/>
          <w:sz w:val="24"/>
        </w:rPr>
        <w:t xml:space="preserve"> </w:t>
      </w:r>
      <w:r>
        <w:rPr>
          <w:caps/>
          <w:sz w:val="24"/>
        </w:rPr>
        <w:t xml:space="preserve">IN </w:t>
      </w:r>
      <w:r w:rsidR="00922427">
        <w:rPr>
          <w:caps/>
          <w:sz w:val="24"/>
        </w:rPr>
        <w:t xml:space="preserve">THE REPUBLIC OF </w:t>
      </w:r>
      <w:r>
        <w:rPr>
          <w:caps/>
          <w:sz w:val="24"/>
        </w:rPr>
        <w:t>KOREA</w:t>
      </w:r>
    </w:p>
    <w:p w:rsidR="008B2CC1" w:rsidRPr="008B2CC1" w:rsidRDefault="008B2CC1" w:rsidP="008B2CC1"/>
    <w:p w:rsidR="008B2CC1" w:rsidRPr="008B2CC1" w:rsidRDefault="00AB7D28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</w:t>
      </w:r>
      <w:r w:rsidR="00831329">
        <w:rPr>
          <w:i/>
        </w:rPr>
        <w:t xml:space="preserve"> </w:t>
      </w:r>
      <w:r w:rsidR="009F0863">
        <w:rPr>
          <w:i/>
        </w:rPr>
        <w:t xml:space="preserve">Ms. Yang </w:t>
      </w:r>
      <w:proofErr w:type="spellStart"/>
      <w:r w:rsidR="009F0863">
        <w:rPr>
          <w:i/>
        </w:rPr>
        <w:t>Jeonghwa</w:t>
      </w:r>
      <w:proofErr w:type="spellEnd"/>
      <w:r w:rsidR="0044153C" w:rsidRPr="0044153C">
        <w:rPr>
          <w:i/>
        </w:rPr>
        <w:t>, Deputy Director, Multilateral Affairs Division</w:t>
      </w:r>
      <w:r w:rsidR="00F97CBC">
        <w:rPr>
          <w:i/>
        </w:rPr>
        <w:t>,</w:t>
      </w:r>
      <w:r w:rsidR="0044153C" w:rsidRPr="0044153C">
        <w:rPr>
          <w:i/>
        </w:rPr>
        <w:t xml:space="preserve"> Korea Intellectual Property Office (KIPO), Republic of Korea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0F1490" w:rsidRPr="000F1490" w:rsidRDefault="000F1490" w:rsidP="00831329">
      <w:pPr>
        <w:pStyle w:val="Heading1"/>
        <w:numPr>
          <w:ilvl w:val="0"/>
          <w:numId w:val="7"/>
        </w:numPr>
        <w:tabs>
          <w:tab w:val="left" w:pos="567"/>
        </w:tabs>
        <w:ind w:left="0" w:firstLine="0"/>
      </w:pPr>
      <w:r w:rsidRPr="000F1490">
        <w:t>Overview of Alternative Dispute Resolution</w:t>
      </w:r>
      <w:r w:rsidR="000F74A8">
        <w:t xml:space="preserve"> in the republic of korea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F1490" w:rsidRPr="000F1490">
        <w:t>Alternative Dispute Resolution</w:t>
      </w:r>
      <w:r>
        <w:t xml:space="preserve"> </w:t>
      </w:r>
      <w:r w:rsidR="000F1490" w:rsidRPr="000F1490">
        <w:t xml:space="preserve">(ADR) is an umbrella term for </w:t>
      </w:r>
      <w:r w:rsidR="00922427">
        <w:t>procedures</w:t>
      </w:r>
      <w:r w:rsidR="000F1490" w:rsidRPr="000F1490">
        <w:t xml:space="preserve">, other than judicial determination, in which an impartial person (an ADR practitioner) assists those in a dispute to resolve the issues between them. </w:t>
      </w:r>
      <w:r w:rsidR="002E38FF">
        <w:t xml:space="preserve"> </w:t>
      </w:r>
      <w:r w:rsidR="000F1490" w:rsidRPr="000F1490">
        <w:t>The main types of ADR are mediation, arbitration and conciliation. </w:t>
      </w:r>
    </w:p>
    <w:p w:rsidR="000F1490" w:rsidRPr="000F1490" w:rsidRDefault="000F1490" w:rsidP="000F1490"/>
    <w:p w:rsidR="000F1490" w:rsidRPr="000F1490" w:rsidRDefault="000F1490" w:rsidP="00831329">
      <w:pPr>
        <w:pStyle w:val="Heading2"/>
      </w:pPr>
      <w:r w:rsidRPr="000F1490">
        <w:rPr>
          <w:rFonts w:hint="eastAsia"/>
        </w:rPr>
        <w:t>Mediation</w:t>
      </w:r>
    </w:p>
    <w:p w:rsidR="00831329" w:rsidRDefault="00831329" w:rsidP="000F1490"/>
    <w:p w:rsidR="000F1490" w:rsidRP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</w:r>
      <w:r w:rsidR="000F1490" w:rsidRPr="000F1490">
        <w:rPr>
          <w:rFonts w:hint="eastAsia"/>
        </w:rPr>
        <w:t xml:space="preserve">Mediation occurs when one or both participants ask a mediator to be fair and independent when assisting the participants in order to resolve the dispute. </w:t>
      </w:r>
      <w:r w:rsidR="002E38FF">
        <w:t xml:space="preserve"> </w:t>
      </w:r>
      <w:r w:rsidR="000F1490" w:rsidRPr="000F1490">
        <w:rPr>
          <w:rFonts w:hint="eastAsia"/>
        </w:rPr>
        <w:t xml:space="preserve">The dispute is resolved when the </w:t>
      </w:r>
      <w:r w:rsidR="00922427">
        <w:t xml:space="preserve">mediation results in </w:t>
      </w:r>
      <w:r w:rsidR="000F1490" w:rsidRPr="000F1490">
        <w:rPr>
          <w:rFonts w:hint="eastAsia"/>
        </w:rPr>
        <w:t xml:space="preserve">a workable agreement </w:t>
      </w:r>
      <w:r w:rsidR="00922427">
        <w:t xml:space="preserve">to which </w:t>
      </w:r>
      <w:r w:rsidR="000F1490" w:rsidRPr="000F1490">
        <w:rPr>
          <w:rFonts w:hint="eastAsia"/>
        </w:rPr>
        <w:t xml:space="preserve">the participants agree. </w:t>
      </w:r>
      <w:r w:rsidR="002E38FF">
        <w:t xml:space="preserve"> </w:t>
      </w:r>
      <w:r w:rsidR="000F1490" w:rsidRPr="000F1490">
        <w:rPr>
          <w:rFonts w:hint="eastAsia"/>
        </w:rPr>
        <w:t xml:space="preserve">Since mediation is not binding, if the participants do not agree to the result, the </w:t>
      </w:r>
      <w:r w:rsidR="00FD07D5">
        <w:t xml:space="preserve">procedure </w:t>
      </w:r>
      <w:r w:rsidR="000F1490" w:rsidRPr="000F1490">
        <w:rPr>
          <w:rFonts w:hint="eastAsia"/>
        </w:rPr>
        <w:t xml:space="preserve">comes to an end. </w:t>
      </w:r>
      <w:r w:rsidR="00922427">
        <w:t xml:space="preserve"> </w:t>
      </w:r>
      <w:r w:rsidR="000F1490" w:rsidRPr="000F1490">
        <w:rPr>
          <w:rFonts w:hint="eastAsia"/>
        </w:rPr>
        <w:t xml:space="preserve">Interestingly, Korean laws provide </w:t>
      </w:r>
      <w:r w:rsidR="00922427">
        <w:t xml:space="preserve">for a </w:t>
      </w:r>
      <w:r w:rsidR="000F1490" w:rsidRPr="000F1490">
        <w:rPr>
          <w:rFonts w:hint="eastAsia"/>
        </w:rPr>
        <w:t>Dispute Resolution Committee in almost every government</w:t>
      </w:r>
      <w:r w:rsidR="00922427">
        <w:t xml:space="preserve"> organization</w:t>
      </w:r>
      <w:r w:rsidR="000F1490" w:rsidRPr="000F1490">
        <w:rPr>
          <w:rFonts w:hint="eastAsia"/>
        </w:rPr>
        <w:t xml:space="preserve">. </w:t>
      </w:r>
      <w:r w:rsidR="002E38FF">
        <w:t xml:space="preserve"> </w:t>
      </w:r>
      <w:r w:rsidR="000F1490" w:rsidRPr="000F1490">
        <w:rPr>
          <w:rFonts w:hint="eastAsia"/>
        </w:rPr>
        <w:t xml:space="preserve">For example, </w:t>
      </w:r>
      <w:r w:rsidR="00922427">
        <w:t xml:space="preserve">the </w:t>
      </w:r>
      <w:r w:rsidR="000F1490" w:rsidRPr="000F1490">
        <w:rPr>
          <w:rFonts w:hint="eastAsia"/>
        </w:rPr>
        <w:t xml:space="preserve">Industrial Property Right Dispute </w:t>
      </w:r>
      <w:r w:rsidR="000F74A8">
        <w:t>Mediation</w:t>
      </w:r>
      <w:r w:rsidR="000F1490" w:rsidRPr="000F1490">
        <w:rPr>
          <w:rFonts w:hint="eastAsia"/>
        </w:rPr>
        <w:t xml:space="preserve"> Committee is </w:t>
      </w:r>
      <w:r w:rsidR="00922427">
        <w:t xml:space="preserve">provided </w:t>
      </w:r>
      <w:r w:rsidR="000F1490" w:rsidRPr="000F1490">
        <w:rPr>
          <w:rFonts w:hint="eastAsia"/>
        </w:rPr>
        <w:t xml:space="preserve">under the Invention Promotion Act </w:t>
      </w:r>
      <w:r w:rsidR="000F74A8">
        <w:t>to</w:t>
      </w:r>
      <w:r w:rsidR="00922427">
        <w:t xml:space="preserve"> the</w:t>
      </w:r>
      <w:r w:rsidR="000F1490" w:rsidRPr="000F1490">
        <w:rPr>
          <w:rFonts w:hint="eastAsia"/>
        </w:rPr>
        <w:t xml:space="preserve"> </w:t>
      </w:r>
      <w:r w:rsidR="000F1490" w:rsidRPr="000F1490">
        <w:t>Korea Intellectual Property Office</w:t>
      </w:r>
      <w:r w:rsidR="00B91CCC">
        <w:t xml:space="preserve"> </w:t>
      </w:r>
      <w:r w:rsidR="000F1490" w:rsidRPr="000F1490">
        <w:t>(KIPO)</w:t>
      </w:r>
      <w:r w:rsidR="000F1490" w:rsidRPr="000F1490">
        <w:rPr>
          <w:rFonts w:hint="eastAsia"/>
        </w:rPr>
        <w:t xml:space="preserve">. </w:t>
      </w:r>
      <w:r w:rsidR="002E38FF">
        <w:t xml:space="preserve"> </w:t>
      </w:r>
      <w:r w:rsidR="000F1490" w:rsidRPr="000F1490">
        <w:rPr>
          <w:rFonts w:hint="eastAsia"/>
        </w:rPr>
        <w:t xml:space="preserve">Also, </w:t>
      </w:r>
      <w:r w:rsidR="00922427">
        <w:t xml:space="preserve">the </w:t>
      </w:r>
      <w:r w:rsidR="000F1490" w:rsidRPr="000F1490">
        <w:rPr>
          <w:rFonts w:hint="eastAsia"/>
        </w:rPr>
        <w:t>Construction Dispute Resolution Committee is</w:t>
      </w:r>
      <w:r w:rsidR="000F74A8">
        <w:t xml:space="preserve"> provided</w:t>
      </w:r>
      <w:r w:rsidR="000F1490" w:rsidRPr="000F1490">
        <w:rPr>
          <w:rFonts w:hint="eastAsia"/>
        </w:rPr>
        <w:t xml:space="preserve"> under the Construction Industry Act </w:t>
      </w:r>
      <w:r w:rsidR="00922427">
        <w:t>to the</w:t>
      </w:r>
      <w:r w:rsidR="000F1490" w:rsidRPr="000F1490">
        <w:rPr>
          <w:rFonts w:hint="eastAsia"/>
        </w:rPr>
        <w:t xml:space="preserve"> Ministry of Land, Transport and Maritime Affairs. </w:t>
      </w:r>
      <w:r w:rsidR="002E38FF">
        <w:t xml:space="preserve"> </w:t>
      </w:r>
      <w:r w:rsidR="000F1490" w:rsidRPr="000F1490">
        <w:t>T</w:t>
      </w:r>
      <w:r w:rsidR="000F1490" w:rsidRPr="000F1490">
        <w:rPr>
          <w:rFonts w:hint="eastAsia"/>
        </w:rPr>
        <w:t xml:space="preserve">here are many </w:t>
      </w:r>
      <w:r w:rsidR="00922427">
        <w:t>such</w:t>
      </w:r>
      <w:r w:rsidR="00FD07D5">
        <w:t xml:space="preserve"> </w:t>
      </w:r>
      <w:r w:rsidR="000F1490" w:rsidRPr="000F1490">
        <w:rPr>
          <w:rFonts w:hint="eastAsia"/>
        </w:rPr>
        <w:t xml:space="preserve">Dispute Resolution Committees </w:t>
      </w:r>
      <w:r w:rsidR="00922427">
        <w:t>in</w:t>
      </w:r>
      <w:r w:rsidR="000F1490" w:rsidRPr="000F1490">
        <w:rPr>
          <w:rFonts w:hint="eastAsia"/>
        </w:rPr>
        <w:t xml:space="preserve"> the Korean government.</w:t>
      </w:r>
    </w:p>
    <w:p w:rsidR="000F1490" w:rsidRPr="000F1490" w:rsidRDefault="000F1490" w:rsidP="000F1490"/>
    <w:p w:rsidR="000F1490" w:rsidRPr="000F1490" w:rsidRDefault="000F1490" w:rsidP="00831329">
      <w:pPr>
        <w:pStyle w:val="Heading2"/>
      </w:pPr>
      <w:r w:rsidRPr="000F1490">
        <w:rPr>
          <w:rFonts w:hint="eastAsia"/>
        </w:rPr>
        <w:lastRenderedPageBreak/>
        <w:t>Arbitration</w:t>
      </w:r>
    </w:p>
    <w:p w:rsidR="00831329" w:rsidRDefault="00831329" w:rsidP="000F1490"/>
    <w:p w:rsidR="00922427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</w:r>
      <w:r w:rsidR="000F1490" w:rsidRPr="000F1490">
        <w:rPr>
          <w:rFonts w:hint="eastAsia"/>
        </w:rPr>
        <w:t xml:space="preserve">Arbitration is a </w:t>
      </w:r>
      <w:r w:rsidR="00922427">
        <w:t xml:space="preserve">procedure </w:t>
      </w:r>
      <w:r w:rsidR="000F1490" w:rsidRPr="000F1490">
        <w:rPr>
          <w:rFonts w:hint="eastAsia"/>
        </w:rPr>
        <w:t>where an arbitrator decides the concern</w:t>
      </w:r>
      <w:r w:rsidR="00922427">
        <w:t>ed</w:t>
      </w:r>
      <w:r w:rsidR="000F1490" w:rsidRPr="000F1490">
        <w:rPr>
          <w:rFonts w:hint="eastAsia"/>
        </w:rPr>
        <w:t xml:space="preserve"> dispute, not the court.  In </w:t>
      </w:r>
      <w:r w:rsidR="00922427">
        <w:t xml:space="preserve">the Republic of </w:t>
      </w:r>
      <w:r w:rsidR="000F1490" w:rsidRPr="000F1490">
        <w:rPr>
          <w:rFonts w:hint="eastAsia"/>
        </w:rPr>
        <w:t xml:space="preserve">Korea, we have the </w:t>
      </w:r>
      <w:r w:rsidR="000F1490" w:rsidRPr="000F1490">
        <w:t>“</w:t>
      </w:r>
      <w:r w:rsidR="000F1490" w:rsidRPr="000F1490">
        <w:rPr>
          <w:rFonts w:hint="eastAsia"/>
        </w:rPr>
        <w:t>Arbitration Law</w:t>
      </w:r>
      <w:r w:rsidR="000F1490" w:rsidRPr="000F1490">
        <w:t>”</w:t>
      </w:r>
      <w:r w:rsidR="000F1490" w:rsidRPr="000F1490">
        <w:rPr>
          <w:rFonts w:hint="eastAsia"/>
        </w:rPr>
        <w:t xml:space="preserve">. </w:t>
      </w:r>
      <w:r w:rsidR="002E38FF">
        <w:t xml:space="preserve"> </w:t>
      </w:r>
      <w:r w:rsidR="000F1490" w:rsidRPr="000F1490">
        <w:t>T</w:t>
      </w:r>
      <w:r w:rsidR="000F1490" w:rsidRPr="000F1490">
        <w:rPr>
          <w:rFonts w:hint="eastAsia"/>
        </w:rPr>
        <w:t>he Ministry of Justice is the competent authorit</w:t>
      </w:r>
      <w:r w:rsidR="00922427">
        <w:t>y</w:t>
      </w:r>
      <w:r w:rsidR="000F1490" w:rsidRPr="000F1490">
        <w:rPr>
          <w:rFonts w:hint="eastAsia"/>
        </w:rPr>
        <w:t xml:space="preserve"> </w:t>
      </w:r>
      <w:r w:rsidR="00922427">
        <w:t>for</w:t>
      </w:r>
      <w:r w:rsidR="000F1490" w:rsidRPr="000F1490">
        <w:rPr>
          <w:rFonts w:hint="eastAsia"/>
        </w:rPr>
        <w:t xml:space="preserve"> this </w:t>
      </w:r>
      <w:r w:rsidR="000F74A8">
        <w:t>L</w:t>
      </w:r>
      <w:r w:rsidR="000F1490" w:rsidRPr="000F1490">
        <w:rPr>
          <w:rFonts w:hint="eastAsia"/>
        </w:rPr>
        <w:t xml:space="preserve">aw. </w:t>
      </w:r>
      <w:r w:rsidR="00922427">
        <w:t xml:space="preserve"> </w:t>
      </w:r>
      <w:r w:rsidR="000F1490" w:rsidRPr="000F1490">
        <w:rPr>
          <w:rFonts w:hint="eastAsia"/>
        </w:rPr>
        <w:t xml:space="preserve">Most of the arbitration cases, especially the disputes between private parties, go to </w:t>
      </w:r>
      <w:r w:rsidR="00922427">
        <w:t xml:space="preserve">the </w:t>
      </w:r>
      <w:r w:rsidR="000F1490" w:rsidRPr="000F1490">
        <w:t>Korean Commercial Arbitration Board</w:t>
      </w:r>
      <w:r w:rsidR="002E38FF">
        <w:t xml:space="preserve"> </w:t>
      </w:r>
      <w:r w:rsidR="000F1490" w:rsidRPr="000F1490">
        <w:t xml:space="preserve">(KCAB). </w:t>
      </w:r>
      <w:r w:rsidR="002E38FF">
        <w:t xml:space="preserve"> </w:t>
      </w:r>
      <w:r w:rsidR="000F1490" w:rsidRPr="000F1490">
        <w:t xml:space="preserve">The KCAB follows the Arbitration Law. </w:t>
      </w:r>
      <w:r w:rsidR="002E38FF">
        <w:t xml:space="preserve"> </w:t>
      </w:r>
      <w:r w:rsidR="00922427">
        <w:t>It</w:t>
      </w:r>
      <w:r w:rsidR="000F1490" w:rsidRPr="000F1490">
        <w:t xml:space="preserve"> also provide</w:t>
      </w:r>
      <w:r w:rsidR="00922427">
        <w:t>s</w:t>
      </w:r>
      <w:r w:rsidR="000F1490" w:rsidRPr="000F1490">
        <w:t xml:space="preserve"> mediation between private parties. </w:t>
      </w:r>
      <w:r w:rsidR="00922427">
        <w:t xml:space="preserve"> </w:t>
      </w:r>
      <w:r w:rsidR="000F1490" w:rsidRPr="000F1490">
        <w:t xml:space="preserve">Arbitrations may occur under </w:t>
      </w:r>
      <w:r w:rsidR="00922427">
        <w:t xml:space="preserve">the </w:t>
      </w:r>
      <w:r w:rsidR="000F1490" w:rsidRPr="000F1490">
        <w:t xml:space="preserve">Arbitration Commissions concerning </w:t>
      </w:r>
      <w:r w:rsidR="000F74A8">
        <w:t>certain</w:t>
      </w:r>
      <w:r w:rsidR="000F1490" w:rsidRPr="000F1490">
        <w:t xml:space="preserve"> matters under specific law</w:t>
      </w:r>
      <w:r w:rsidR="000F74A8">
        <w:t>s</w:t>
      </w:r>
      <w:r w:rsidR="002E38FF">
        <w:t xml:space="preserve"> (</w:t>
      </w:r>
      <w:r w:rsidR="00922427" w:rsidRPr="00922427">
        <w:rPr>
          <w:i/>
        </w:rPr>
        <w:t>e.g</w:t>
      </w:r>
      <w:r w:rsidR="00922427">
        <w:t>.</w:t>
      </w:r>
      <w:r w:rsidR="000F74A8">
        <w:t>,</w:t>
      </w:r>
      <w:r w:rsidR="00922427">
        <w:t xml:space="preserve"> </w:t>
      </w:r>
      <w:r w:rsidR="000F1490" w:rsidRPr="000F1490">
        <w:t xml:space="preserve">Press Arbitration Commission, Korea Medical Dispute Mediation and Arbitration Agency). </w:t>
      </w:r>
      <w:r w:rsidR="002E38FF">
        <w:t xml:space="preserve"> </w:t>
      </w:r>
    </w:p>
    <w:p w:rsidR="000F1490" w:rsidRPr="000F1490" w:rsidRDefault="000F1490" w:rsidP="000F1490">
      <w:r w:rsidRPr="000F1490">
        <w:t xml:space="preserve">You may find more information about KCAB at </w:t>
      </w:r>
      <w:hyperlink r:id="rId10" w:history="1">
        <w:r w:rsidRPr="000F1490">
          <w:rPr>
            <w:rStyle w:val="Hyperlink"/>
          </w:rPr>
          <w:t>http://www.kcab.or.kr/jsp/kcab_eng/index.jsp</w:t>
        </w:r>
      </w:hyperlink>
      <w:r w:rsidR="00922427">
        <w:rPr>
          <w:rStyle w:val="Hyperlink"/>
        </w:rPr>
        <w:t>.</w:t>
      </w:r>
    </w:p>
    <w:p w:rsidR="000F1490" w:rsidRPr="000F1490" w:rsidRDefault="000F1490" w:rsidP="000F1490"/>
    <w:p w:rsidR="000F1490" w:rsidRPr="000F1490" w:rsidRDefault="000F1490" w:rsidP="00831329">
      <w:pPr>
        <w:pStyle w:val="Heading2"/>
      </w:pPr>
      <w:r w:rsidRPr="000F1490">
        <w:t>Conciliation</w:t>
      </w:r>
    </w:p>
    <w:p w:rsidR="00831329" w:rsidRDefault="00831329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F1490" w:rsidRPr="000F1490">
        <w:t xml:space="preserve">Conciliation occurs when the parties work out the disputed issues and enter into an agreement to conclude the dispute. </w:t>
      </w:r>
      <w:r w:rsidR="002E38FF">
        <w:t xml:space="preserve"> </w:t>
      </w:r>
      <w:r w:rsidR="000F1490" w:rsidRPr="000F1490">
        <w:t>There are three ways to conciliate:</w:t>
      </w:r>
      <w:r w:rsidR="002E38FF">
        <w:t xml:space="preserve"> </w:t>
      </w:r>
      <w:r w:rsidR="000F1490" w:rsidRPr="000F1490">
        <w:t xml:space="preserve"> </w:t>
      </w:r>
      <w:proofErr w:type="spellStart"/>
      <w:r w:rsidR="000F1490" w:rsidRPr="000F1490">
        <w:t>i</w:t>
      </w:r>
      <w:proofErr w:type="spellEnd"/>
      <w:r w:rsidR="000F1490" w:rsidRPr="000F1490">
        <w:t>) disputed parties may conciliate under Rule</w:t>
      </w:r>
      <w:r w:rsidR="00922427">
        <w:t xml:space="preserve"> </w:t>
      </w:r>
      <w:r w:rsidR="000F1490" w:rsidRPr="000F1490">
        <w:t xml:space="preserve">731 of the Civil Procedures Code, ii) one of the parties may request for conciliation in the </w:t>
      </w:r>
      <w:r w:rsidR="00922427">
        <w:t>c</w:t>
      </w:r>
      <w:r w:rsidR="000F1490" w:rsidRPr="000F1490">
        <w:t>ivil court before the lawsuit under Rule</w:t>
      </w:r>
      <w:r w:rsidR="00922427">
        <w:t xml:space="preserve"> </w:t>
      </w:r>
      <w:r w:rsidR="000F1490" w:rsidRPr="000F1490">
        <w:t>385 of the Civil Procedures Code, iii) even if the lawsuit proceed</w:t>
      </w:r>
      <w:r w:rsidR="00922427">
        <w:t>s</w:t>
      </w:r>
      <w:r w:rsidR="000F1490" w:rsidRPr="000F1490">
        <w:t>, the court may order for conciliation under Rule 225 of the Civil Procedures Code.</w:t>
      </w:r>
    </w:p>
    <w:p w:rsidR="000F1490" w:rsidRPr="000F1490" w:rsidRDefault="000F1490" w:rsidP="000F1490"/>
    <w:p w:rsidR="000F1490" w:rsidRPr="000F1490" w:rsidRDefault="000F1490" w:rsidP="00831329">
      <w:pPr>
        <w:pStyle w:val="Heading1"/>
        <w:numPr>
          <w:ilvl w:val="0"/>
          <w:numId w:val="7"/>
        </w:numPr>
        <w:tabs>
          <w:tab w:val="left" w:pos="567"/>
        </w:tabs>
        <w:ind w:left="0" w:firstLine="0"/>
      </w:pPr>
      <w:r w:rsidRPr="000F1490">
        <w:rPr>
          <w:rFonts w:hint="eastAsia"/>
        </w:rPr>
        <w:t xml:space="preserve">Overview of </w:t>
      </w:r>
      <w:r w:rsidRPr="000F1490">
        <w:t>Industrial Property Right Dispute Mediation Committee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</w:r>
      <w:r w:rsidR="000F1490" w:rsidRPr="000F1490">
        <w:rPr>
          <w:rFonts w:hint="eastAsia"/>
        </w:rPr>
        <w:t>Current development</w:t>
      </w:r>
      <w:r w:rsidR="00DC595A">
        <w:t>s</w:t>
      </w:r>
      <w:r w:rsidR="000F1490" w:rsidRPr="000F1490">
        <w:rPr>
          <w:rFonts w:hint="eastAsia"/>
        </w:rPr>
        <w:t xml:space="preserve"> </w:t>
      </w:r>
      <w:r w:rsidR="00DC595A">
        <w:t>in</w:t>
      </w:r>
      <w:r w:rsidR="000F1490" w:rsidRPr="000F1490">
        <w:rPr>
          <w:rFonts w:hint="eastAsia"/>
        </w:rPr>
        <w:t xml:space="preserve"> the industry </w:t>
      </w:r>
      <w:r w:rsidR="00DC595A">
        <w:t>are calling for</w:t>
      </w:r>
      <w:r w:rsidR="00DC595A" w:rsidRPr="000F1490">
        <w:t xml:space="preserve"> different</w:t>
      </w:r>
      <w:r w:rsidR="000F1490" w:rsidRPr="000F1490">
        <w:rPr>
          <w:rFonts w:hint="eastAsia"/>
        </w:rPr>
        <w:t xml:space="preserve"> forms of dispute resolution systems.  The traditional courts </w:t>
      </w:r>
      <w:r w:rsidR="000F1490" w:rsidRPr="000F1490">
        <w:t>may</w:t>
      </w:r>
      <w:r w:rsidR="000F1490" w:rsidRPr="000F1490">
        <w:rPr>
          <w:rFonts w:hint="eastAsia"/>
        </w:rPr>
        <w:t xml:space="preserve"> not </w:t>
      </w:r>
      <w:r w:rsidR="00DC595A">
        <w:t xml:space="preserve">be suitable </w:t>
      </w:r>
      <w:r w:rsidR="000F1490" w:rsidRPr="000F1490">
        <w:rPr>
          <w:rFonts w:hint="eastAsia"/>
        </w:rPr>
        <w:t xml:space="preserve">for </w:t>
      </w:r>
      <w:r w:rsidR="000F74A8">
        <w:t xml:space="preserve">increasingly </w:t>
      </w:r>
      <w:r w:rsidR="000F1490" w:rsidRPr="000F1490">
        <w:rPr>
          <w:rFonts w:hint="eastAsia"/>
        </w:rPr>
        <w:t xml:space="preserve">complicated matters. </w:t>
      </w:r>
      <w:r w:rsidR="002E38FF">
        <w:t xml:space="preserve"> </w:t>
      </w:r>
      <w:r w:rsidR="000F1490" w:rsidRPr="000F1490">
        <w:rPr>
          <w:rFonts w:hint="eastAsia"/>
        </w:rPr>
        <w:t>This is the reason why the</w:t>
      </w:r>
      <w:r w:rsidR="000F1490" w:rsidRPr="000F1490">
        <w:t xml:space="preserve"> Industrial Property Right Dispute Mediation Committee</w:t>
      </w:r>
      <w:r w:rsidR="000F1490" w:rsidRPr="000F1490">
        <w:rPr>
          <w:rFonts w:hint="eastAsia"/>
        </w:rPr>
        <w:t xml:space="preserve"> (IPRDMC) was established under KIPO in 1995. </w:t>
      </w:r>
      <w:r w:rsidR="002E38FF">
        <w:t xml:space="preserve"> </w:t>
      </w:r>
      <w:r w:rsidR="000F1490" w:rsidRPr="000F1490">
        <w:rPr>
          <w:rFonts w:hint="eastAsia"/>
        </w:rPr>
        <w:t xml:space="preserve">The Vice Commissioner of KIPO is the Chairman of the IPRDMC. </w:t>
      </w:r>
      <w:r w:rsidR="002E38FF">
        <w:t xml:space="preserve"> </w:t>
      </w:r>
      <w:r w:rsidR="000F1490" w:rsidRPr="000F1490">
        <w:rPr>
          <w:rFonts w:hint="eastAsia"/>
        </w:rPr>
        <w:t xml:space="preserve">The </w:t>
      </w:r>
      <w:r w:rsidR="00DC595A">
        <w:t>C</w:t>
      </w:r>
      <w:r w:rsidR="000F1490" w:rsidRPr="000F1490">
        <w:rPr>
          <w:rFonts w:hint="eastAsia"/>
        </w:rPr>
        <w:t xml:space="preserve">ommittee consists of twenty members, including the </w:t>
      </w:r>
      <w:r w:rsidR="00DC595A">
        <w:t>C</w:t>
      </w:r>
      <w:r w:rsidR="000F1490" w:rsidRPr="000F1490">
        <w:rPr>
          <w:rFonts w:hint="eastAsia"/>
        </w:rPr>
        <w:t xml:space="preserve">hairman. </w:t>
      </w:r>
      <w:r w:rsidR="002E38FF">
        <w:t xml:space="preserve"> </w:t>
      </w:r>
      <w:r w:rsidR="000F1490" w:rsidRPr="000F1490">
        <w:rPr>
          <w:rFonts w:hint="eastAsia"/>
        </w:rPr>
        <w:t xml:space="preserve">The </w:t>
      </w:r>
      <w:r w:rsidR="00DC595A">
        <w:t>C</w:t>
      </w:r>
      <w:r w:rsidR="000F1490" w:rsidRPr="000F1490">
        <w:rPr>
          <w:rFonts w:hint="eastAsia"/>
        </w:rPr>
        <w:t xml:space="preserve">ommittee members are </w:t>
      </w:r>
      <w:r w:rsidR="000F1490" w:rsidRPr="000F1490">
        <w:t>patent</w:t>
      </w:r>
      <w:r w:rsidR="000F1490" w:rsidRPr="000F1490">
        <w:rPr>
          <w:rFonts w:hint="eastAsia"/>
        </w:rPr>
        <w:t xml:space="preserve"> attorneys in specific fields</w:t>
      </w:r>
      <w:r w:rsidR="002E38FF">
        <w:t xml:space="preserve"> </w:t>
      </w:r>
      <w:r w:rsidR="000F1490" w:rsidRPr="000F1490">
        <w:rPr>
          <w:rFonts w:hint="eastAsia"/>
        </w:rPr>
        <w:t>(</w:t>
      </w:r>
      <w:r w:rsidR="00DC595A" w:rsidRPr="00DC595A">
        <w:rPr>
          <w:i/>
        </w:rPr>
        <w:t>e.g</w:t>
      </w:r>
      <w:r w:rsidR="00DC595A">
        <w:t>.</w:t>
      </w:r>
      <w:r w:rsidR="000F1490" w:rsidRPr="000F1490">
        <w:rPr>
          <w:rFonts w:hint="eastAsia"/>
        </w:rPr>
        <w:t xml:space="preserve"> trademark, design, mechanic, chemical, bio, electronic, </w:t>
      </w:r>
      <w:r w:rsidR="000F1490" w:rsidRPr="002E38FF">
        <w:rPr>
          <w:rFonts w:hint="eastAsia"/>
          <w:i/>
        </w:rPr>
        <w:t>etc</w:t>
      </w:r>
      <w:r w:rsidR="002E38FF">
        <w:t>.</w:t>
      </w:r>
      <w:r w:rsidR="000F1490" w:rsidRPr="000F1490">
        <w:rPr>
          <w:rFonts w:hint="eastAsia"/>
        </w:rPr>
        <w:t xml:space="preserve">), IP lawyers, professors and KIPO examiners. </w:t>
      </w:r>
      <w:r w:rsidR="002E38FF">
        <w:t xml:space="preserve"> </w:t>
      </w:r>
      <w:r w:rsidR="000F1490" w:rsidRPr="000F1490">
        <w:rPr>
          <w:rFonts w:hint="eastAsia"/>
        </w:rPr>
        <w:t>The term lasts three years.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</w:r>
      <w:r w:rsidR="000F1490" w:rsidRPr="000F1490">
        <w:rPr>
          <w:rFonts w:hint="eastAsia"/>
        </w:rPr>
        <w:t>IPRDMC covers disputes concerning industrial property rights</w:t>
      </w:r>
      <w:r w:rsidR="002E38FF">
        <w:t xml:space="preserve"> </w:t>
      </w:r>
      <w:r w:rsidR="000F1490" w:rsidRPr="000F1490">
        <w:rPr>
          <w:rFonts w:hint="eastAsia"/>
        </w:rPr>
        <w:t>(including patent, utility</w:t>
      </w:r>
      <w:r w:rsidR="001968AB">
        <w:t xml:space="preserve"> model</w:t>
      </w:r>
      <w:r w:rsidR="000F1490" w:rsidRPr="000F1490">
        <w:rPr>
          <w:rFonts w:hint="eastAsia"/>
        </w:rPr>
        <w:t xml:space="preserve">, </w:t>
      </w:r>
      <w:r w:rsidR="001968AB">
        <w:t xml:space="preserve">industrial </w:t>
      </w:r>
      <w:r w:rsidR="000F1490" w:rsidRPr="000F1490">
        <w:rPr>
          <w:rFonts w:hint="eastAsia"/>
        </w:rPr>
        <w:t xml:space="preserve">design, and trademarks) as well as </w:t>
      </w:r>
      <w:r w:rsidR="003566ED">
        <w:t xml:space="preserve">employee </w:t>
      </w:r>
      <w:r w:rsidR="000F1490" w:rsidRPr="000F1490">
        <w:rPr>
          <w:rFonts w:hint="eastAsia"/>
        </w:rPr>
        <w:t>invention</w:t>
      </w:r>
      <w:r w:rsidR="003566ED">
        <w:t>s</w:t>
      </w:r>
      <w:r w:rsidR="000F1490" w:rsidRPr="000F1490">
        <w:rPr>
          <w:rFonts w:hint="eastAsia"/>
        </w:rPr>
        <w:t xml:space="preserve">. </w:t>
      </w:r>
      <w:r w:rsidR="002E38FF">
        <w:t xml:space="preserve"> </w:t>
      </w:r>
      <w:r w:rsidR="000F1490" w:rsidRPr="000F1490">
        <w:rPr>
          <w:rFonts w:hint="eastAsia"/>
        </w:rPr>
        <w:t xml:space="preserve">Since the declaratory </w:t>
      </w:r>
      <w:r w:rsidR="000F1490" w:rsidRPr="000F1490">
        <w:t>judgment</w:t>
      </w:r>
      <w:r w:rsidR="000F1490" w:rsidRPr="000F1490">
        <w:rPr>
          <w:rFonts w:hint="eastAsia"/>
        </w:rPr>
        <w:t xml:space="preserve"> of invalidity, non-infringement, </w:t>
      </w:r>
      <w:r w:rsidR="000F1490" w:rsidRPr="000F1490">
        <w:t>and unenforceability</w:t>
      </w:r>
      <w:r w:rsidR="000F1490" w:rsidRPr="000F1490">
        <w:rPr>
          <w:rFonts w:hint="eastAsia"/>
        </w:rPr>
        <w:t xml:space="preserve"> are matters </w:t>
      </w:r>
      <w:r w:rsidR="001968AB">
        <w:t xml:space="preserve">referred to the </w:t>
      </w:r>
      <w:r w:rsidR="000F1490" w:rsidRPr="000F1490">
        <w:rPr>
          <w:rFonts w:hint="eastAsia"/>
        </w:rPr>
        <w:t xml:space="preserve">Patent </w:t>
      </w:r>
      <w:r w:rsidR="001968AB">
        <w:t>C</w:t>
      </w:r>
      <w:r w:rsidR="000F1490" w:rsidRPr="000F1490">
        <w:rPr>
          <w:rFonts w:hint="eastAsia"/>
        </w:rPr>
        <w:t xml:space="preserve">ourt, these claims are not subject to mediation. </w:t>
      </w:r>
      <w:r w:rsidR="002E38FF">
        <w:t xml:space="preserve"> </w:t>
      </w:r>
      <w:r w:rsidR="003566ED">
        <w:t>Disputes in relation to c</w:t>
      </w:r>
      <w:r w:rsidR="000F1490" w:rsidRPr="000F1490">
        <w:rPr>
          <w:rFonts w:hint="eastAsia"/>
        </w:rPr>
        <w:t xml:space="preserve">opyright, another </w:t>
      </w:r>
      <w:r w:rsidR="001968AB">
        <w:t xml:space="preserve">area </w:t>
      </w:r>
      <w:r w:rsidR="000F1490" w:rsidRPr="000F1490">
        <w:rPr>
          <w:rFonts w:hint="eastAsia"/>
        </w:rPr>
        <w:t xml:space="preserve">of intellectual property, </w:t>
      </w:r>
      <w:r w:rsidR="003566ED">
        <w:t>are</w:t>
      </w:r>
      <w:r w:rsidR="000F1490" w:rsidRPr="000F1490">
        <w:rPr>
          <w:rFonts w:hint="eastAsia"/>
        </w:rPr>
        <w:t xml:space="preserve"> covered by </w:t>
      </w:r>
      <w:r w:rsidR="003566ED">
        <w:t xml:space="preserve">the </w:t>
      </w:r>
      <w:r w:rsidR="000F1490" w:rsidRPr="000F1490">
        <w:rPr>
          <w:rFonts w:hint="eastAsia"/>
        </w:rPr>
        <w:t xml:space="preserve">Korea Copyright Commission </w:t>
      </w:r>
      <w:r w:rsidR="000F1490" w:rsidRPr="000F1490">
        <w:t xml:space="preserve">in </w:t>
      </w:r>
      <w:r w:rsidR="003566ED">
        <w:t xml:space="preserve">the </w:t>
      </w:r>
      <w:r w:rsidR="000F1490" w:rsidRPr="000F1490">
        <w:t>Ministry of Culture, Sports and Tourism</w:t>
      </w:r>
      <w:r w:rsidR="000F1490" w:rsidRPr="000F1490">
        <w:rPr>
          <w:rFonts w:hint="eastAsia"/>
        </w:rPr>
        <w:t>.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</w:r>
      <w:r w:rsidR="001968AB">
        <w:t xml:space="preserve">The IPRMDC </w:t>
      </w:r>
      <w:r w:rsidR="000F1490" w:rsidRPr="000F1490">
        <w:rPr>
          <w:rFonts w:hint="eastAsia"/>
        </w:rPr>
        <w:t xml:space="preserve">mediation </w:t>
      </w:r>
      <w:r w:rsidR="001968AB">
        <w:t xml:space="preserve">procedure </w:t>
      </w:r>
      <w:r w:rsidR="000F1490" w:rsidRPr="000F1490">
        <w:rPr>
          <w:rFonts w:hint="eastAsia"/>
        </w:rPr>
        <w:t>is as follows:</w:t>
      </w:r>
    </w:p>
    <w:p w:rsidR="000F1490" w:rsidRPr="000F1490" w:rsidRDefault="000F1490" w:rsidP="000F1490"/>
    <w:p w:rsidR="000F1490" w:rsidRPr="00FD07D5" w:rsidRDefault="000F1490" w:rsidP="00281E1E">
      <w:pPr>
        <w:pStyle w:val="ListParagraph"/>
      </w:pPr>
      <w:r w:rsidRPr="00FD07D5">
        <w:rPr>
          <w:rFonts w:hint="eastAsia"/>
        </w:rPr>
        <w:t>Step 1) a party to a dispute applies for mediation,</w:t>
      </w:r>
    </w:p>
    <w:p w:rsidR="000F1490" w:rsidRPr="00FD07D5" w:rsidRDefault="000F1490" w:rsidP="00281E1E">
      <w:pPr>
        <w:pStyle w:val="ListParagraph"/>
      </w:pPr>
      <w:r w:rsidRPr="00FD07D5">
        <w:rPr>
          <w:rFonts w:hint="eastAsia"/>
        </w:rPr>
        <w:t>Step 2) IPRDMC appoints three mediators,</w:t>
      </w:r>
    </w:p>
    <w:p w:rsidR="00FD07D5" w:rsidRDefault="000F1490" w:rsidP="00281E1E">
      <w:pPr>
        <w:pStyle w:val="ListParagraph"/>
      </w:pPr>
      <w:r w:rsidRPr="00FD07D5">
        <w:rPr>
          <w:rFonts w:hint="eastAsia"/>
        </w:rPr>
        <w:t xml:space="preserve">Step 3) IPRDMC </w:t>
      </w:r>
      <w:r w:rsidR="001968AB" w:rsidRPr="00FD07D5">
        <w:t xml:space="preserve">notifies </w:t>
      </w:r>
      <w:r w:rsidRPr="00FD07D5">
        <w:rPr>
          <w:rFonts w:hint="eastAsia"/>
        </w:rPr>
        <w:t>the request f</w:t>
      </w:r>
      <w:r w:rsidR="00FD07D5" w:rsidRPr="00FD07D5">
        <w:rPr>
          <w:rFonts w:hint="eastAsia"/>
        </w:rPr>
        <w:t>or mediation to the other part</w:t>
      </w:r>
      <w:r w:rsidR="00074F84">
        <w:t>y,</w:t>
      </w:r>
      <w:r w:rsidR="00FD07D5" w:rsidRPr="00FD07D5">
        <w:rPr>
          <w:rFonts w:hint="eastAsia"/>
        </w:rPr>
        <w:t xml:space="preserve"> </w:t>
      </w:r>
    </w:p>
    <w:p w:rsidR="000F1490" w:rsidRPr="00FD07D5" w:rsidRDefault="00FD07D5" w:rsidP="00FD07D5">
      <w:r>
        <w:t xml:space="preserve">                        </w:t>
      </w:r>
      <w:r w:rsidR="000F1490" w:rsidRPr="00FD07D5">
        <w:rPr>
          <w:rFonts w:hint="eastAsia"/>
        </w:rPr>
        <w:t>(</w:t>
      </w:r>
      <w:proofErr w:type="gramStart"/>
      <w:r w:rsidR="000F1490" w:rsidRPr="00FD07D5">
        <w:rPr>
          <w:rFonts w:hint="eastAsia"/>
        </w:rPr>
        <w:t>responde</w:t>
      </w:r>
      <w:bookmarkStart w:id="5" w:name="_GoBack"/>
      <w:bookmarkEnd w:id="5"/>
      <w:r w:rsidR="000F1490" w:rsidRPr="00FD07D5">
        <w:rPr>
          <w:rFonts w:hint="eastAsia"/>
        </w:rPr>
        <w:t>nt</w:t>
      </w:r>
      <w:proofErr w:type="gramEnd"/>
      <w:r w:rsidR="000F1490" w:rsidRPr="00FD07D5">
        <w:rPr>
          <w:rFonts w:hint="eastAsia"/>
        </w:rPr>
        <w:t xml:space="preserve"> may or may not participate)</w:t>
      </w:r>
      <w:r w:rsidR="001968AB" w:rsidRPr="00FD07D5">
        <w:t>,</w:t>
      </w:r>
    </w:p>
    <w:p w:rsidR="00FD07D5" w:rsidRDefault="000F1490" w:rsidP="00281E1E">
      <w:pPr>
        <w:pStyle w:val="ListParagraph"/>
      </w:pPr>
      <w:r w:rsidRPr="00FD07D5">
        <w:rPr>
          <w:rFonts w:hint="eastAsia"/>
        </w:rPr>
        <w:t>Step 4) if the respondent agrees to participate, IPRDMC investigate</w:t>
      </w:r>
      <w:r w:rsidR="001968AB" w:rsidRPr="00FD07D5">
        <w:t>s</w:t>
      </w:r>
      <w:r w:rsidRPr="00FD07D5">
        <w:rPr>
          <w:rFonts w:hint="eastAsia"/>
        </w:rPr>
        <w:t xml:space="preserve"> the dispute </w:t>
      </w:r>
    </w:p>
    <w:p w:rsidR="000F1490" w:rsidRPr="00FD07D5" w:rsidRDefault="00FD07D5" w:rsidP="00FD07D5">
      <w:r>
        <w:t xml:space="preserve">                        </w:t>
      </w:r>
      <w:proofErr w:type="gramStart"/>
      <w:r w:rsidR="000F1490" w:rsidRPr="00FD07D5">
        <w:rPr>
          <w:rFonts w:hint="eastAsia"/>
        </w:rPr>
        <w:t>and</w:t>
      </w:r>
      <w:proofErr w:type="gramEnd"/>
      <w:r w:rsidR="000F1490" w:rsidRPr="00FD07D5">
        <w:rPr>
          <w:rFonts w:hint="eastAsia"/>
        </w:rPr>
        <w:t xml:space="preserve"> prepare</w:t>
      </w:r>
      <w:r w:rsidR="001968AB" w:rsidRPr="00FD07D5">
        <w:t>s</w:t>
      </w:r>
      <w:r w:rsidR="000F1490" w:rsidRPr="00FD07D5">
        <w:rPr>
          <w:rFonts w:hint="eastAsia"/>
        </w:rPr>
        <w:t xml:space="preserve"> a proposal,</w:t>
      </w:r>
    </w:p>
    <w:p w:rsidR="000F1490" w:rsidRPr="00FD07D5" w:rsidRDefault="000F1490" w:rsidP="00281E1E">
      <w:pPr>
        <w:pStyle w:val="ListParagraph"/>
      </w:pPr>
      <w:r w:rsidRPr="00FD07D5">
        <w:rPr>
          <w:rFonts w:hint="eastAsia"/>
        </w:rPr>
        <w:t xml:space="preserve">Step 5) IPRDMC </w:t>
      </w:r>
      <w:r w:rsidR="001968AB" w:rsidRPr="00FD07D5">
        <w:t>communicates</w:t>
      </w:r>
      <w:r w:rsidRPr="00FD07D5">
        <w:rPr>
          <w:rFonts w:hint="eastAsia"/>
        </w:rPr>
        <w:t xml:space="preserve"> the proposal to both parties,</w:t>
      </w:r>
    </w:p>
    <w:p w:rsidR="000F1490" w:rsidRPr="00FD07D5" w:rsidRDefault="000F1490" w:rsidP="00281E1E">
      <w:pPr>
        <w:pStyle w:val="ListParagraph"/>
      </w:pPr>
      <w:r w:rsidRPr="00FD07D5">
        <w:t>Step 6) if the parties agree to the proposal, IPRDMC writes</w:t>
      </w:r>
      <w:r w:rsidRPr="00FD07D5">
        <w:rPr>
          <w:rFonts w:hint="eastAsia"/>
        </w:rPr>
        <w:t xml:space="preserve"> a conciliation protocol,</w:t>
      </w:r>
      <w:r w:rsidR="002E38FF" w:rsidRPr="00FD07D5">
        <w:t xml:space="preserve"> and</w:t>
      </w:r>
    </w:p>
    <w:p w:rsidR="00FD07D5" w:rsidRDefault="000F1490" w:rsidP="00281E1E">
      <w:pPr>
        <w:pStyle w:val="ListParagraph"/>
      </w:pPr>
      <w:r w:rsidRPr="00FD07D5">
        <w:rPr>
          <w:rFonts w:hint="eastAsia"/>
        </w:rPr>
        <w:t xml:space="preserve">Step 7) if one of the parties does not agree to the proposal or decides not to </w:t>
      </w:r>
    </w:p>
    <w:p w:rsidR="000F1490" w:rsidRPr="00FD07D5" w:rsidRDefault="00FD07D5" w:rsidP="00FD07D5">
      <w:r>
        <w:t xml:space="preserve">                        </w:t>
      </w:r>
      <w:proofErr w:type="gramStart"/>
      <w:r w:rsidR="000F1490" w:rsidRPr="00FD07D5">
        <w:rPr>
          <w:rFonts w:hint="eastAsia"/>
        </w:rPr>
        <w:t>participate</w:t>
      </w:r>
      <w:proofErr w:type="gramEnd"/>
      <w:r w:rsidR="000F1490" w:rsidRPr="00FD07D5">
        <w:rPr>
          <w:rFonts w:hint="eastAsia"/>
        </w:rPr>
        <w:t xml:space="preserve"> in </w:t>
      </w:r>
      <w:r w:rsidR="000F1490" w:rsidRPr="00FD07D5">
        <w:t>mediation (</w:t>
      </w:r>
      <w:r w:rsidR="000F1490" w:rsidRPr="00FD07D5">
        <w:rPr>
          <w:rFonts w:hint="eastAsia"/>
        </w:rPr>
        <w:t xml:space="preserve">Step3), the </w:t>
      </w:r>
      <w:r w:rsidR="001968AB" w:rsidRPr="00FD07D5">
        <w:t>procedure is terminated</w:t>
      </w:r>
      <w:r w:rsidR="000F1490" w:rsidRPr="00FD07D5">
        <w:rPr>
          <w:rFonts w:hint="eastAsia"/>
        </w:rPr>
        <w:t>.</w:t>
      </w:r>
    </w:p>
    <w:p w:rsidR="000F1490" w:rsidRPr="000F1490" w:rsidRDefault="000F1490" w:rsidP="000F1490">
      <w:r w:rsidRPr="000F1490">
        <w:rPr>
          <w:rFonts w:hint="eastAsia"/>
        </w:rPr>
        <w:t xml:space="preserve"> </w:t>
      </w:r>
    </w:p>
    <w:p w:rsidR="000F1490" w:rsidRPr="000F1490" w:rsidRDefault="000F1490" w:rsidP="000F1490">
      <w:r w:rsidRPr="000F1490">
        <w:rPr>
          <w:noProof/>
          <w:lang w:eastAsia="en-US"/>
        </w:rPr>
        <w:lastRenderedPageBreak/>
        <w:drawing>
          <wp:inline distT="0" distB="0" distL="0" distR="0" wp14:anchorId="6C6179D2" wp14:editId="728B70DC">
            <wp:extent cx="5724525" cy="6105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490" w:rsidRPr="000F1490" w:rsidRDefault="000F1490" w:rsidP="000F1490"/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</w:r>
      <w:r w:rsidR="000F1490" w:rsidRPr="000F1490">
        <w:rPr>
          <w:rFonts w:hint="eastAsia"/>
        </w:rPr>
        <w:t xml:space="preserve">When the mediation is successful, it is binding under Rule 46 of the Invention Promotion Act. </w:t>
      </w:r>
      <w:r w:rsidR="002E38FF">
        <w:t xml:space="preserve"> </w:t>
      </w:r>
      <w:r w:rsidR="000F1490" w:rsidRPr="000F1490">
        <w:rPr>
          <w:rFonts w:hint="eastAsia"/>
        </w:rPr>
        <w:t>It provides the same effect as the court</w:t>
      </w:r>
      <w:r w:rsidR="000F1490" w:rsidRPr="000F1490">
        <w:t>’</w:t>
      </w:r>
      <w:r w:rsidR="000F1490" w:rsidRPr="000F1490">
        <w:rPr>
          <w:rFonts w:hint="eastAsia"/>
        </w:rPr>
        <w:t xml:space="preserve">s conciliation order. 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F1490" w:rsidRPr="000F1490">
        <w:t xml:space="preserve">The application process for the mediation of industrial property rights is easy and free of charge. </w:t>
      </w:r>
      <w:r w:rsidR="00045C97">
        <w:t xml:space="preserve"> </w:t>
      </w:r>
      <w:r w:rsidR="000F1490" w:rsidRPr="000F1490">
        <w:t xml:space="preserve">Also, if mediation is successful, </w:t>
      </w:r>
      <w:r w:rsidR="00D91CB7">
        <w:t xml:space="preserve">the </w:t>
      </w:r>
      <w:r w:rsidR="000F1490" w:rsidRPr="000F1490">
        <w:t xml:space="preserve">dispute may be resolved in three months. </w:t>
      </w:r>
      <w:r w:rsidR="002E38FF">
        <w:t xml:space="preserve"> </w:t>
      </w:r>
      <w:r w:rsidR="000F1490" w:rsidRPr="000F1490">
        <w:t xml:space="preserve">Because it is confidential, there is less likelihood of disclosure of business secrets, including technology. </w:t>
      </w:r>
      <w:r w:rsidR="002E38FF">
        <w:t xml:space="preserve"> </w:t>
      </w:r>
      <w:r w:rsidR="000F1490" w:rsidRPr="000F1490">
        <w:t>It is also favorable in the sense that the parties can enter into strategic cooperation with each other, such as cross licens</w:t>
      </w:r>
      <w:r w:rsidR="00D91CB7">
        <w:t>ing</w:t>
      </w:r>
      <w:r w:rsidR="000F1490" w:rsidRPr="000F1490">
        <w:t xml:space="preserve"> and technology cooperation during </w:t>
      </w:r>
      <w:r w:rsidR="00D91CB7">
        <w:t xml:space="preserve">the </w:t>
      </w:r>
      <w:r w:rsidR="000F1490" w:rsidRPr="000F1490">
        <w:t>mediation process.</w:t>
      </w:r>
    </w:p>
    <w:p w:rsidR="000F1490" w:rsidRPr="000F1490" w:rsidRDefault="000F1490" w:rsidP="000F1490"/>
    <w:p w:rsid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</w:r>
      <w:r w:rsidR="000F1490" w:rsidRPr="000F1490">
        <w:rPr>
          <w:rFonts w:hint="eastAsia"/>
        </w:rPr>
        <w:t xml:space="preserve">The </w:t>
      </w:r>
      <w:r w:rsidR="003737D7">
        <w:t xml:space="preserve">following </w:t>
      </w:r>
      <w:r w:rsidR="000F1490" w:rsidRPr="000F1490">
        <w:rPr>
          <w:rFonts w:hint="eastAsia"/>
        </w:rPr>
        <w:t xml:space="preserve">chart shows the </w:t>
      </w:r>
      <w:r w:rsidR="005434A4">
        <w:t>caseload</w:t>
      </w:r>
      <w:r w:rsidR="000F1490" w:rsidRPr="000F1490">
        <w:rPr>
          <w:rFonts w:hint="eastAsia"/>
        </w:rPr>
        <w:t xml:space="preserve"> of the IPRDMC</w:t>
      </w:r>
      <w:r w:rsidR="000F1490" w:rsidRPr="000F1490">
        <w:t>.</w:t>
      </w:r>
      <w:r w:rsidR="000F1490" w:rsidRPr="000F1490">
        <w:rPr>
          <w:rFonts w:hint="eastAsia"/>
        </w:rPr>
        <w:t xml:space="preserve"> </w:t>
      </w:r>
    </w:p>
    <w:p w:rsidR="00831329" w:rsidRDefault="00831329" w:rsidP="000F1490"/>
    <w:p w:rsidR="00831329" w:rsidRDefault="00831329" w:rsidP="000F1490"/>
    <w:p w:rsidR="00831329" w:rsidRDefault="00831329" w:rsidP="000F1490"/>
    <w:p w:rsidR="00831329" w:rsidRDefault="00831329" w:rsidP="000F1490"/>
    <w:p w:rsidR="00831329" w:rsidRPr="000F1490" w:rsidRDefault="00831329" w:rsidP="000F1490"/>
    <w:p w:rsidR="000F1490" w:rsidRDefault="000F1490" w:rsidP="000F1490">
      <w:r w:rsidRPr="000F1490">
        <w:rPr>
          <w:rFonts w:hint="eastAsia"/>
        </w:rPr>
        <w:lastRenderedPageBreak/>
        <w:t xml:space="preserve">                                                        (Number</w:t>
      </w:r>
      <w:r w:rsidR="00D4558F">
        <w:t xml:space="preserve"> of</w:t>
      </w:r>
      <w:r w:rsidR="00FD07D5">
        <w:t xml:space="preserve"> </w:t>
      </w:r>
      <w:r w:rsidRPr="000F1490">
        <w:rPr>
          <w:rFonts w:hint="eastAsia"/>
        </w:rPr>
        <w:t>cases</w:t>
      </w:r>
      <w:r w:rsidR="00D4558F">
        <w:t xml:space="preserve"> and</w:t>
      </w:r>
      <w:r w:rsidR="00FD07D5">
        <w:t xml:space="preserve"> outcome</w:t>
      </w:r>
      <w:r w:rsidRPr="000F1490">
        <w:rPr>
          <w:rFonts w:hint="eastAsia"/>
        </w:rPr>
        <w:t>)</w:t>
      </w:r>
    </w:p>
    <w:p w:rsidR="00831329" w:rsidRPr="000F1490" w:rsidRDefault="00831329" w:rsidP="000F1490"/>
    <w:tbl>
      <w:tblPr>
        <w:tblW w:w="0" w:type="auto"/>
        <w:jc w:val="center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871"/>
        <w:gridCol w:w="1984"/>
        <w:gridCol w:w="1984"/>
        <w:gridCol w:w="1984"/>
      </w:tblGrid>
      <w:tr w:rsidR="000F1490" w:rsidRPr="000F1490" w:rsidTr="00662030">
        <w:trPr>
          <w:trHeight w:val="283"/>
          <w:jc w:val="center"/>
        </w:trPr>
        <w:tc>
          <w:tcPr>
            <w:tcW w:w="187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rPr>
                <w:rFonts w:hint="eastAsia"/>
              </w:rPr>
              <w:t>Year</w:t>
            </w:r>
          </w:p>
        </w:tc>
        <w:tc>
          <w:tcPr>
            <w:tcW w:w="198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0F1490" w:rsidRPr="000F1490" w:rsidRDefault="000F1490" w:rsidP="005B055F">
            <w:pPr>
              <w:tabs>
                <w:tab w:val="right" w:pos="1768"/>
              </w:tabs>
              <w:jc w:val="center"/>
            </w:pPr>
            <w:r w:rsidRPr="000F1490">
              <w:rPr>
                <w:rFonts w:hint="eastAsia"/>
              </w:rPr>
              <w:t>Applications</w:t>
            </w:r>
          </w:p>
        </w:tc>
        <w:tc>
          <w:tcPr>
            <w:tcW w:w="198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rPr>
                <w:rFonts w:hint="eastAsia"/>
              </w:rPr>
              <w:t>Succe</w:t>
            </w:r>
            <w:r w:rsidR="00D4558F">
              <w:t>ssful</w:t>
            </w:r>
          </w:p>
        </w:tc>
        <w:tc>
          <w:tcPr>
            <w:tcW w:w="198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rPr>
                <w:rFonts w:hint="eastAsia"/>
              </w:rPr>
              <w:t>Fail</w:t>
            </w:r>
            <w:r w:rsidR="00D4558F">
              <w:t>ed</w:t>
            </w:r>
          </w:p>
        </w:tc>
      </w:tr>
      <w:tr w:rsidR="000F1490" w:rsidRPr="000F1490" w:rsidTr="00662030">
        <w:trPr>
          <w:trHeight w:val="20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’95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4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2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2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’96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2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0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2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’97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13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7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6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’98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15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4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11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’99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7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3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4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’00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5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0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5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’01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3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0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3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’02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15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2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13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’03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4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’04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5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1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4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’05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0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5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’06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5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1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4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’07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4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’08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4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0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4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’09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4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3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’10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3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0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3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’11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2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0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2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’12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2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2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0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</w:tcPr>
          <w:p w:rsidR="000F1490" w:rsidRPr="000F1490" w:rsidRDefault="000F1490" w:rsidP="005B055F">
            <w:pPr>
              <w:jc w:val="center"/>
            </w:pPr>
            <w:r w:rsidRPr="000F1490">
              <w:t>’1</w:t>
            </w:r>
            <w:r w:rsidRPr="000F1490">
              <w:rPr>
                <w:rFonts w:hint="eastAsia"/>
              </w:rPr>
              <w:t>3</w:t>
            </w:r>
          </w:p>
        </w:tc>
        <w:tc>
          <w:tcPr>
            <w:tcW w:w="1984" w:type="dxa"/>
          </w:tcPr>
          <w:p w:rsidR="000F1490" w:rsidRPr="000F1490" w:rsidRDefault="000F1490" w:rsidP="005B055F">
            <w:pPr>
              <w:jc w:val="center"/>
            </w:pPr>
            <w:r w:rsidRPr="000F1490">
              <w:rPr>
                <w:rFonts w:hint="eastAsia"/>
              </w:rPr>
              <w:t>3</w:t>
            </w:r>
          </w:p>
        </w:tc>
        <w:tc>
          <w:tcPr>
            <w:tcW w:w="1984" w:type="dxa"/>
          </w:tcPr>
          <w:p w:rsidR="000F1490" w:rsidRPr="000F1490" w:rsidRDefault="000F1490" w:rsidP="005B055F">
            <w:pPr>
              <w:jc w:val="center"/>
            </w:pPr>
            <w:r w:rsidRPr="000F1490">
              <w:rPr>
                <w:rFonts w:hint="eastAsia"/>
              </w:rPr>
              <w:t>2</w:t>
            </w:r>
          </w:p>
        </w:tc>
        <w:tc>
          <w:tcPr>
            <w:tcW w:w="1984" w:type="dxa"/>
          </w:tcPr>
          <w:p w:rsidR="000F1490" w:rsidRPr="000F1490" w:rsidRDefault="000F1490" w:rsidP="005B055F">
            <w:pPr>
              <w:jc w:val="center"/>
            </w:pPr>
            <w:r w:rsidRPr="000F1490">
              <w:rPr>
                <w:rFonts w:hint="eastAsia"/>
              </w:rPr>
              <w:t>1</w:t>
            </w:r>
          </w:p>
        </w:tc>
      </w:tr>
      <w:tr w:rsidR="000F1490" w:rsidRPr="000F1490" w:rsidTr="00662030">
        <w:trPr>
          <w:trHeight w:val="204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rPr>
                <w:rFonts w:hint="eastAsia"/>
              </w:rPr>
              <w:t>Total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10</w:t>
            </w:r>
            <w:r w:rsidRPr="000F1490">
              <w:rPr>
                <w:rFonts w:hint="eastAsia"/>
              </w:rPr>
              <w:t>7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t>2</w:t>
            </w:r>
            <w:r w:rsidRPr="000F1490">
              <w:rPr>
                <w:rFonts w:hint="eastAsia"/>
              </w:rPr>
              <w:t>7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 w:rsidRPr="000F1490">
              <w:rPr>
                <w:rFonts w:hint="eastAsia"/>
              </w:rPr>
              <w:t>80</w:t>
            </w:r>
          </w:p>
        </w:tc>
      </w:tr>
    </w:tbl>
    <w:p w:rsidR="000F1490" w:rsidRPr="000F1490" w:rsidRDefault="000F1490" w:rsidP="000F1490"/>
    <w:p w:rsidR="00831329" w:rsidRDefault="00831329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F1490" w:rsidRPr="000F1490">
        <w:t xml:space="preserve">Mediation by </w:t>
      </w:r>
      <w:r w:rsidR="000F1490" w:rsidRPr="000F1490">
        <w:rPr>
          <w:rFonts w:hint="eastAsia"/>
        </w:rPr>
        <w:t>IPRDMC</w:t>
      </w:r>
      <w:r w:rsidR="000F1490" w:rsidRPr="000F1490">
        <w:t xml:space="preserve"> is not so vibrant.  Upon mediation applications hitting </w:t>
      </w:r>
      <w:r w:rsidR="00D4558F">
        <w:t xml:space="preserve">the </w:t>
      </w:r>
      <w:r w:rsidR="000F1490" w:rsidRPr="000F1490">
        <w:t xml:space="preserve">15-case mark in 1998, it gradually declined </w:t>
      </w:r>
      <w:r w:rsidR="00D4558F">
        <w:t xml:space="preserve">to a </w:t>
      </w:r>
      <w:r w:rsidR="000F1490" w:rsidRPr="000F1490">
        <w:t xml:space="preserve">mere two to three cases per year. </w:t>
      </w:r>
      <w:r w:rsidR="002E38FF">
        <w:t xml:space="preserve"> </w:t>
      </w:r>
      <w:r w:rsidR="000F1490" w:rsidRPr="000F1490">
        <w:t xml:space="preserve">There have been only 27 cases of finalized mediations in the past 19 years. </w:t>
      </w:r>
      <w:r w:rsidR="002E38FF">
        <w:t xml:space="preserve"> </w:t>
      </w:r>
      <w:r w:rsidR="000F1490" w:rsidRPr="000F1490">
        <w:t xml:space="preserve">Therefore, </w:t>
      </w:r>
      <w:r w:rsidR="005434A4">
        <w:t>KIPO</w:t>
      </w:r>
      <w:r w:rsidR="000F1490" w:rsidRPr="000F1490">
        <w:t xml:space="preserve"> is keen</w:t>
      </w:r>
      <w:r w:rsidR="005434A4">
        <w:t xml:space="preserve"> to </w:t>
      </w:r>
      <w:r w:rsidR="000F1490" w:rsidRPr="000F1490">
        <w:t>invigorat</w:t>
      </w:r>
      <w:r w:rsidR="005434A4">
        <w:t>e</w:t>
      </w:r>
      <w:r w:rsidR="000F1490" w:rsidRPr="000F1490">
        <w:t xml:space="preserve"> </w:t>
      </w:r>
      <w:r w:rsidR="00D4558F">
        <w:t xml:space="preserve">the </w:t>
      </w:r>
      <w:r w:rsidR="000F1490" w:rsidRPr="000F1490">
        <w:t>mediation</w:t>
      </w:r>
      <w:r w:rsidR="00D4558F">
        <w:t xml:space="preserve"> procedure</w:t>
      </w:r>
      <w:r w:rsidR="000F1490" w:rsidRPr="000F1490">
        <w:t>.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</w:r>
      <w:r w:rsidR="000F1490" w:rsidRPr="000F1490">
        <w:rPr>
          <w:rFonts w:hint="eastAsia"/>
        </w:rPr>
        <w:t>First, m</w:t>
      </w:r>
      <w:r w:rsidR="000F1490" w:rsidRPr="000F1490">
        <w:t xml:space="preserve">ediation is voluntary so it may not proceed if any of the parties refuse to partake in it. </w:t>
      </w:r>
      <w:r w:rsidR="002E38FF">
        <w:t xml:space="preserve"> </w:t>
      </w:r>
      <w:r w:rsidR="000F1490" w:rsidRPr="000F1490">
        <w:t xml:space="preserve">Also, the mediation proposal may not be adopted if </w:t>
      </w:r>
      <w:r w:rsidR="005434A4">
        <w:t>one</w:t>
      </w:r>
      <w:r w:rsidR="000F1490" w:rsidRPr="000F1490">
        <w:t xml:space="preserve"> party does not agree to it.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</w:r>
      <w:r w:rsidR="000F1490" w:rsidRPr="000F1490">
        <w:rPr>
          <w:rFonts w:hint="eastAsia"/>
        </w:rPr>
        <w:t xml:space="preserve">Second, it is difficult to prove infringement of the industrial property rights </w:t>
      </w:r>
      <w:r w:rsidR="00D4558F">
        <w:t xml:space="preserve">in comparison </w:t>
      </w:r>
      <w:r w:rsidR="000F1490" w:rsidRPr="000F1490">
        <w:rPr>
          <w:rFonts w:hint="eastAsia"/>
        </w:rPr>
        <w:t xml:space="preserve">to other infringements. </w:t>
      </w:r>
      <w:r w:rsidR="002E38FF">
        <w:t xml:space="preserve"> </w:t>
      </w:r>
      <w:r w:rsidR="000F1490" w:rsidRPr="000F1490">
        <w:rPr>
          <w:rFonts w:hint="eastAsia"/>
        </w:rPr>
        <w:t xml:space="preserve">For example, infringement of copyright is not so difficult to prove since </w:t>
      </w:r>
      <w:r w:rsidR="000F1490" w:rsidRPr="000F1490">
        <w:t>downloading</w:t>
      </w:r>
      <w:r w:rsidR="000F1490" w:rsidRPr="000F1490">
        <w:rPr>
          <w:rFonts w:hint="eastAsia"/>
        </w:rPr>
        <w:t xml:space="preserve"> itself is an infringement. </w:t>
      </w:r>
      <w:r w:rsidR="002E38FF">
        <w:t xml:space="preserve"> </w:t>
      </w:r>
      <w:r w:rsidR="000F1490" w:rsidRPr="000F1490">
        <w:rPr>
          <w:rFonts w:hint="eastAsia"/>
        </w:rPr>
        <w:t xml:space="preserve">Mediation may proceed if the parties agree on the damages. </w:t>
      </w:r>
      <w:r w:rsidR="002E38FF">
        <w:t xml:space="preserve"> </w:t>
      </w:r>
      <w:r w:rsidR="000F1490" w:rsidRPr="000F1490">
        <w:rPr>
          <w:rFonts w:hint="eastAsia"/>
        </w:rPr>
        <w:t xml:space="preserve">However, if a party has to </w:t>
      </w:r>
      <w:r w:rsidR="00FD07D5" w:rsidRPr="000F1490">
        <w:t>prove</w:t>
      </w:r>
      <w:r w:rsidR="00FD07D5">
        <w:t xml:space="preserve"> infringement</w:t>
      </w:r>
      <w:r w:rsidR="000F1490" w:rsidRPr="000F1490">
        <w:rPr>
          <w:rFonts w:hint="eastAsia"/>
        </w:rPr>
        <w:t xml:space="preserve">, it is not easy to make the other party admit </w:t>
      </w:r>
      <w:r w:rsidR="00D4558F">
        <w:t xml:space="preserve">to the </w:t>
      </w:r>
      <w:r w:rsidR="000F1490" w:rsidRPr="000F1490">
        <w:rPr>
          <w:rFonts w:hint="eastAsia"/>
        </w:rPr>
        <w:t xml:space="preserve">infringement as well as to continue the mediation process. 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</w:r>
      <w:r w:rsidR="000F1490" w:rsidRPr="000F1490">
        <w:rPr>
          <w:rFonts w:hint="eastAsia"/>
        </w:rPr>
        <w:t xml:space="preserve">Third, IPRDMC does not cover disputes concerning invalidity, non-infringement, </w:t>
      </w:r>
      <w:r w:rsidR="000F1490" w:rsidRPr="000F1490">
        <w:t>and unenforceability</w:t>
      </w:r>
      <w:r w:rsidR="000F1490" w:rsidRPr="000F1490">
        <w:rPr>
          <w:rFonts w:hint="eastAsia"/>
        </w:rPr>
        <w:t xml:space="preserve"> claims. </w:t>
      </w:r>
      <w:r w:rsidR="002E38FF">
        <w:t xml:space="preserve"> </w:t>
      </w:r>
      <w:r w:rsidR="000F1490" w:rsidRPr="000F1490">
        <w:rPr>
          <w:rFonts w:hint="eastAsia"/>
        </w:rPr>
        <w:t xml:space="preserve">However, these claims are often contested when there is an infringement lawsuit. </w:t>
      </w:r>
      <w:r w:rsidR="002E38FF">
        <w:t xml:space="preserve"> </w:t>
      </w:r>
      <w:r w:rsidR="000F1490" w:rsidRPr="000F1490">
        <w:rPr>
          <w:rFonts w:hint="eastAsia"/>
        </w:rPr>
        <w:t xml:space="preserve">Under the Invention Promotion Act, </w:t>
      </w:r>
      <w:r w:rsidR="00D4558F">
        <w:t xml:space="preserve">the </w:t>
      </w:r>
      <w:r w:rsidR="000F1490" w:rsidRPr="000F1490">
        <w:rPr>
          <w:rFonts w:hint="eastAsia"/>
        </w:rPr>
        <w:t xml:space="preserve">Patent Court has jurisdiction over </w:t>
      </w:r>
      <w:r w:rsidR="00D4558F">
        <w:t>these disputes</w:t>
      </w:r>
      <w:r w:rsidR="000F1490" w:rsidRPr="000F1490">
        <w:rPr>
          <w:rFonts w:hint="eastAsia"/>
        </w:rPr>
        <w:t>, because the</w:t>
      </w:r>
      <w:r w:rsidR="00D4558F">
        <w:t>y</w:t>
      </w:r>
      <w:r w:rsidR="000F1490" w:rsidRPr="000F1490">
        <w:rPr>
          <w:rFonts w:hint="eastAsia"/>
        </w:rPr>
        <w:t xml:space="preserve"> not only concern the disput</w:t>
      </w:r>
      <w:r w:rsidR="00D4558F">
        <w:t>ing</w:t>
      </w:r>
      <w:r w:rsidR="000F1490" w:rsidRPr="000F1490">
        <w:rPr>
          <w:rFonts w:hint="eastAsia"/>
        </w:rPr>
        <w:t xml:space="preserve"> parties, but also concern the </w:t>
      </w:r>
      <w:r w:rsidR="004000EA">
        <w:t>third</w:t>
      </w:r>
      <w:r w:rsidR="000F1490" w:rsidRPr="000F1490">
        <w:rPr>
          <w:rFonts w:hint="eastAsia"/>
        </w:rPr>
        <w:t xml:space="preserve"> party who wishes to sign a license agreement regarding </w:t>
      </w:r>
      <w:r w:rsidR="00D4558F">
        <w:t xml:space="preserve">the </w:t>
      </w:r>
      <w:r w:rsidR="000F1490" w:rsidRPr="000F1490">
        <w:rPr>
          <w:rFonts w:hint="eastAsia"/>
        </w:rPr>
        <w:t xml:space="preserve">industrial rights. </w:t>
      </w:r>
      <w:r w:rsidR="002E38FF">
        <w:t xml:space="preserve"> </w:t>
      </w:r>
      <w:r w:rsidR="000F1490" w:rsidRPr="000F1490">
        <w:rPr>
          <w:rFonts w:hint="eastAsia"/>
        </w:rPr>
        <w:t xml:space="preserve">This is why invalidity, non-infringement, and unenforceability claims </w:t>
      </w:r>
      <w:r w:rsidR="000F1490" w:rsidRPr="000F1490">
        <w:t>cannot</w:t>
      </w:r>
      <w:r w:rsidR="000F1490" w:rsidRPr="000F1490">
        <w:rPr>
          <w:rFonts w:hint="eastAsia"/>
        </w:rPr>
        <w:t xml:space="preserve"> be subject to mediation.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</w:r>
      <w:r w:rsidR="000F1490" w:rsidRPr="000F1490">
        <w:rPr>
          <w:rFonts w:hint="eastAsia"/>
        </w:rPr>
        <w:t xml:space="preserve">Fourth, </w:t>
      </w:r>
      <w:r w:rsidR="00D4558F">
        <w:t xml:space="preserve">a </w:t>
      </w:r>
      <w:r w:rsidR="000F1490" w:rsidRPr="000F1490">
        <w:rPr>
          <w:rFonts w:hint="eastAsia"/>
        </w:rPr>
        <w:t xml:space="preserve">court may order a huge sum of damages. </w:t>
      </w:r>
      <w:r w:rsidR="002E38FF">
        <w:t xml:space="preserve"> </w:t>
      </w:r>
      <w:r w:rsidR="000F1490" w:rsidRPr="000F1490">
        <w:rPr>
          <w:rFonts w:hint="eastAsia"/>
        </w:rPr>
        <w:t xml:space="preserve">If the </w:t>
      </w:r>
      <w:r w:rsidR="000F1490" w:rsidRPr="000F1490">
        <w:t>infringement</w:t>
      </w:r>
      <w:r w:rsidR="000F1490" w:rsidRPr="000F1490">
        <w:rPr>
          <w:rFonts w:hint="eastAsia"/>
        </w:rPr>
        <w:t xml:space="preserve"> of industrial property right is proven, the damages may be quite large.</w:t>
      </w:r>
      <w:r w:rsidR="004000EA">
        <w:t xml:space="preserve"> </w:t>
      </w:r>
      <w:r w:rsidR="000F1490" w:rsidRPr="000F1490">
        <w:rPr>
          <w:rFonts w:hint="eastAsia"/>
        </w:rPr>
        <w:t xml:space="preserve"> In this case, the winning party would not easily agree to the mediation proposal. </w:t>
      </w:r>
      <w:r w:rsidR="002E38FF">
        <w:t xml:space="preserve"> </w:t>
      </w:r>
      <w:r w:rsidR="000F1490" w:rsidRPr="000F1490">
        <w:rPr>
          <w:rFonts w:hint="eastAsia"/>
        </w:rPr>
        <w:t>Damages for copyright infringement, however, are quite low compare</w:t>
      </w:r>
      <w:r w:rsidR="00D4558F">
        <w:t>d</w:t>
      </w:r>
      <w:r w:rsidR="000F1490" w:rsidRPr="000F1490">
        <w:rPr>
          <w:rFonts w:hint="eastAsia"/>
        </w:rPr>
        <w:t xml:space="preserve"> to industrial </w:t>
      </w:r>
      <w:r w:rsidR="00D4558F">
        <w:t xml:space="preserve">property </w:t>
      </w:r>
      <w:r w:rsidR="000F1490" w:rsidRPr="000F1490">
        <w:rPr>
          <w:rFonts w:hint="eastAsia"/>
        </w:rPr>
        <w:t xml:space="preserve">damages. </w:t>
      </w:r>
      <w:r w:rsidR="002E38FF">
        <w:t xml:space="preserve"> </w:t>
      </w:r>
      <w:r w:rsidR="000F1490" w:rsidRPr="000F1490">
        <w:rPr>
          <w:rFonts w:hint="eastAsia"/>
        </w:rPr>
        <w:t xml:space="preserve">This is also why the number of mediation is high in copyright.   </w:t>
      </w:r>
    </w:p>
    <w:p w:rsidR="000F1490" w:rsidRDefault="000F1490" w:rsidP="000F1490"/>
    <w:p w:rsidR="00831329" w:rsidRPr="000F1490" w:rsidRDefault="00831329" w:rsidP="000F1490"/>
    <w:p w:rsidR="000F1490" w:rsidRPr="000F1490" w:rsidRDefault="000F1490" w:rsidP="00831329">
      <w:pPr>
        <w:pStyle w:val="Heading1"/>
        <w:numPr>
          <w:ilvl w:val="0"/>
          <w:numId w:val="7"/>
        </w:numPr>
        <w:ind w:left="0" w:firstLine="0"/>
      </w:pPr>
      <w:r w:rsidRPr="000F1490">
        <w:lastRenderedPageBreak/>
        <w:t>Plan to invigorate mediation of industrial property right dispute mediation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F1490" w:rsidRPr="000F1490">
        <w:t>KIPO wants to invigorate the mediation of industrial property right dispute</w:t>
      </w:r>
      <w:r w:rsidR="00D4558F">
        <w:t>s</w:t>
      </w:r>
      <w:r w:rsidR="000F1490" w:rsidRPr="000F1490">
        <w:t xml:space="preserve"> in order to reduce social costs, including excessive expenditures associated with litigation and to promote independent and smooth dispute resolution among the parties.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F1490" w:rsidRPr="000F1490">
        <w:t xml:space="preserve">To this end, KIPO plans to pursue mediation with </w:t>
      </w:r>
      <w:r w:rsidR="000F1490" w:rsidRPr="000F1490">
        <w:rPr>
          <w:rFonts w:hint="eastAsia"/>
        </w:rPr>
        <w:t>IPRDMC</w:t>
      </w:r>
      <w:r w:rsidR="000F1490" w:rsidRPr="000F1490">
        <w:t xml:space="preserve"> and </w:t>
      </w:r>
      <w:r w:rsidR="000649EF">
        <w:t xml:space="preserve">with </w:t>
      </w:r>
      <w:r w:rsidR="000F1490" w:rsidRPr="000F1490">
        <w:t>the courts.</w:t>
      </w:r>
      <w:r w:rsidR="000F1490" w:rsidRPr="000F1490">
        <w:rPr>
          <w:rFonts w:hint="eastAsia"/>
        </w:rPr>
        <w:t xml:space="preserve"> </w:t>
      </w:r>
      <w:r w:rsidR="002E38FF">
        <w:t xml:space="preserve"> </w:t>
      </w:r>
      <w:r w:rsidR="000F1490" w:rsidRPr="000F1490">
        <w:rPr>
          <w:rFonts w:hint="eastAsia"/>
        </w:rPr>
        <w:t>M</w:t>
      </w:r>
      <w:r w:rsidR="000F1490" w:rsidRPr="000F1490">
        <w:t xml:space="preserve">ediation with the courts is a system where, when there are cases appropriate for mediation among cases filed with the court, the court forwards the case to </w:t>
      </w:r>
      <w:r w:rsidR="00B46C35">
        <w:t xml:space="preserve">an </w:t>
      </w:r>
      <w:r w:rsidR="000F1490" w:rsidRPr="000F1490">
        <w:t xml:space="preserve">external dispute mediation body so that mediation can precede a full-fledged litigation. </w:t>
      </w:r>
      <w:r w:rsidR="002E38FF">
        <w:t xml:space="preserve"> </w:t>
      </w:r>
      <w:r w:rsidR="000F1490" w:rsidRPr="000F1490">
        <w:t xml:space="preserve">When mediation is </w:t>
      </w:r>
      <w:r w:rsidR="00FD07D5">
        <w:t>successful</w:t>
      </w:r>
      <w:r w:rsidR="000F1490" w:rsidRPr="000F1490">
        <w:t xml:space="preserve">, </w:t>
      </w:r>
      <w:r w:rsidR="000649EF">
        <w:t>the dispute</w:t>
      </w:r>
      <w:r w:rsidR="000F1490" w:rsidRPr="000F1490">
        <w:t xml:space="preserve"> is resolved through mediation, and if </w:t>
      </w:r>
      <w:r w:rsidR="000649EF">
        <w:t xml:space="preserve">mediation </w:t>
      </w:r>
      <w:r w:rsidR="000F1490" w:rsidRPr="000F1490">
        <w:t xml:space="preserve">is not </w:t>
      </w:r>
      <w:r w:rsidR="000649EF">
        <w:t>successful</w:t>
      </w:r>
      <w:r w:rsidR="000F1490" w:rsidRPr="000F1490">
        <w:t>, then the case proceeds to litigation.</w:t>
      </w:r>
      <w:r w:rsidR="000F1490" w:rsidRPr="000F1490">
        <w:rPr>
          <w:rFonts w:hint="eastAsia"/>
        </w:rPr>
        <w:t xml:space="preserve"> </w:t>
      </w:r>
      <w:r w:rsidR="002E38FF">
        <w:t xml:space="preserve"> </w:t>
      </w:r>
      <w:r w:rsidR="000F1490" w:rsidRPr="000F1490">
        <w:t xml:space="preserve">To invigorate mediation, Korea’s Seoul Central District Court currently conducts mediation in conjunction with more than 10 external dispute mediation bodies, including </w:t>
      </w:r>
      <w:r w:rsidR="005434A4">
        <w:t xml:space="preserve">the </w:t>
      </w:r>
      <w:r w:rsidR="000F1490" w:rsidRPr="000F1490">
        <w:t>Copyright Commi</w:t>
      </w:r>
      <w:r w:rsidR="005434A4">
        <w:t>ssion</w:t>
      </w:r>
      <w:r w:rsidR="000F1490" w:rsidRPr="000F1490">
        <w:t xml:space="preserve"> and KCAB.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F1490" w:rsidRPr="000F1490">
        <w:t xml:space="preserve">However, as explained in the foregoing, unlike other </w:t>
      </w:r>
      <w:r w:rsidR="005C6601">
        <w:t xml:space="preserve">areas of </w:t>
      </w:r>
      <w:r w:rsidR="000F1490" w:rsidRPr="000F1490">
        <w:t xml:space="preserve">mediation, mediation of </w:t>
      </w:r>
      <w:r w:rsidR="00AB51C1">
        <w:t xml:space="preserve">disputes in </w:t>
      </w:r>
      <w:r w:rsidR="000F1490" w:rsidRPr="000F1490">
        <w:t xml:space="preserve">industrial property right </w:t>
      </w:r>
      <w:r w:rsidR="005C6601">
        <w:t>is</w:t>
      </w:r>
      <w:r w:rsidR="000F1490" w:rsidRPr="000F1490">
        <w:t xml:space="preserve"> not conducive to easy determination of infringement and involve</w:t>
      </w:r>
      <w:r w:rsidR="00AB51C1">
        <w:t>s</w:t>
      </w:r>
      <w:r w:rsidR="000F1490" w:rsidRPr="000F1490">
        <w:t xml:space="preserve"> large amounts</w:t>
      </w:r>
      <w:r w:rsidR="00AB51C1">
        <w:t>.  In addition, certain cases are simply not suitable for mediation.  As a result,</w:t>
      </w:r>
      <w:r w:rsidR="000F1490" w:rsidRPr="000F1490">
        <w:t xml:space="preserve"> the parties prefer </w:t>
      </w:r>
      <w:r w:rsidR="00AB51C1">
        <w:t xml:space="preserve">dispute </w:t>
      </w:r>
      <w:r w:rsidR="000F1490" w:rsidRPr="000F1490">
        <w:t>resolution through trial</w:t>
      </w:r>
      <w:r w:rsidR="00AB51C1">
        <w:t xml:space="preserve">.  </w:t>
      </w:r>
      <w:r w:rsidR="000F1490" w:rsidRPr="000F1490">
        <w:t xml:space="preserve">It is therefore necessary to proceed with caution when </w:t>
      </w:r>
      <w:r w:rsidR="00AB51C1">
        <w:t xml:space="preserve">the </w:t>
      </w:r>
      <w:r w:rsidR="000F1490" w:rsidRPr="000F1490">
        <w:t>m</w:t>
      </w:r>
      <w:r w:rsidR="000F1490" w:rsidRPr="000F1490">
        <w:rPr>
          <w:rFonts w:hint="eastAsia"/>
        </w:rPr>
        <w:t>e</w:t>
      </w:r>
      <w:r w:rsidR="000F1490" w:rsidRPr="000F1490">
        <w:t>d</w:t>
      </w:r>
      <w:r w:rsidR="000F1490" w:rsidRPr="000F1490">
        <w:rPr>
          <w:rFonts w:hint="eastAsia"/>
        </w:rPr>
        <w:t>i</w:t>
      </w:r>
      <w:r w:rsidR="000F1490" w:rsidRPr="000F1490">
        <w:t xml:space="preserve">ation </w:t>
      </w:r>
      <w:r w:rsidR="00AB51C1">
        <w:t xml:space="preserve">option </w:t>
      </w:r>
      <w:r w:rsidR="000F1490" w:rsidRPr="000F1490">
        <w:t xml:space="preserve">with courts is pursued. 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B51C1">
        <w:t>Nevertheless</w:t>
      </w:r>
      <w:r w:rsidR="000F1490" w:rsidRPr="000F1490">
        <w:t>, the p</w:t>
      </w:r>
      <w:r w:rsidR="00AB51C1">
        <w:t>arties</w:t>
      </w:r>
      <w:r w:rsidR="000F1490" w:rsidRPr="000F1490">
        <w:t xml:space="preserve">’ </w:t>
      </w:r>
      <w:r w:rsidR="00AB51C1">
        <w:t>choice</w:t>
      </w:r>
      <w:r w:rsidR="000F1490" w:rsidRPr="000F1490">
        <w:t xml:space="preserve"> has been </w:t>
      </w:r>
      <w:r w:rsidR="00AB51C1">
        <w:t>broadened</w:t>
      </w:r>
      <w:r w:rsidR="000F1490" w:rsidRPr="000F1490">
        <w:t xml:space="preserve"> by expanding the subjects of mediation from disputes related to industrial property rights that are currently registered to pending industrial property and trade secrets.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F1490" w:rsidRPr="000F1490">
        <w:t xml:space="preserve">Additionally, </w:t>
      </w:r>
      <w:r w:rsidR="000649EF">
        <w:t xml:space="preserve">KIPO </w:t>
      </w:r>
      <w:r w:rsidR="000F1490" w:rsidRPr="000F1490">
        <w:t xml:space="preserve">plans to strengthen the level of expertise </w:t>
      </w:r>
      <w:r w:rsidR="000649EF">
        <w:t xml:space="preserve">in </w:t>
      </w:r>
      <w:r w:rsidR="000F1490" w:rsidRPr="000F1490">
        <w:t>mediation by establishing and operating a secretariat that provides support to dispute mediation, such as dispute-related consultation, dispute investigation, and drafting of mediation proposal.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7D3132" w:rsidRPr="000F1490">
        <w:t>In addition</w:t>
      </w:r>
      <w:r w:rsidR="000F1490" w:rsidRPr="000F1490">
        <w:t>, by executing business cooperation agreement</w:t>
      </w:r>
      <w:r w:rsidR="00B46C35">
        <w:t>s</w:t>
      </w:r>
      <w:r w:rsidR="000F1490" w:rsidRPr="000F1490">
        <w:t xml:space="preserve"> with corporations and organizations that need mediation, </w:t>
      </w:r>
      <w:r w:rsidR="007D3132">
        <w:t>KIPO</w:t>
      </w:r>
      <w:r w:rsidR="000F1490" w:rsidRPr="000F1490">
        <w:t xml:space="preserve"> plans to encourage resolution through industrial property rights dispute mediation prior to litigation, thereby enhancing </w:t>
      </w:r>
      <w:r w:rsidR="00AB51C1">
        <w:t xml:space="preserve">public </w:t>
      </w:r>
      <w:r w:rsidR="000F1490" w:rsidRPr="000F1490">
        <w:t>accessibility and understand</w:t>
      </w:r>
      <w:r w:rsidR="000649EF">
        <w:t>ing</w:t>
      </w:r>
      <w:r w:rsidR="000F1490" w:rsidRPr="000F1490">
        <w:t>.</w:t>
      </w:r>
    </w:p>
    <w:p w:rsidR="002928D3" w:rsidRDefault="002928D3"/>
    <w:p w:rsidR="00831329" w:rsidRDefault="00831329"/>
    <w:p w:rsidR="00831329" w:rsidRDefault="00831329"/>
    <w:p w:rsidR="00831329" w:rsidRDefault="00831329" w:rsidP="00831329">
      <w:pPr>
        <w:pStyle w:val="Endofdocument-Annex"/>
      </w:pPr>
      <w:r>
        <w:t>[End of document]</w:t>
      </w:r>
    </w:p>
    <w:sectPr w:rsidR="00831329" w:rsidSect="00712E9B"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9B" w:rsidRDefault="00712E9B">
      <w:r>
        <w:separator/>
      </w:r>
    </w:p>
  </w:endnote>
  <w:endnote w:type="continuationSeparator" w:id="0">
    <w:p w:rsidR="00712E9B" w:rsidRDefault="00712E9B" w:rsidP="003B38C1">
      <w:r>
        <w:separator/>
      </w:r>
    </w:p>
    <w:p w:rsidR="00712E9B" w:rsidRPr="003B38C1" w:rsidRDefault="00712E9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12E9B" w:rsidRPr="003B38C1" w:rsidRDefault="00712E9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9B" w:rsidRDefault="00712E9B">
      <w:r>
        <w:separator/>
      </w:r>
    </w:p>
  </w:footnote>
  <w:footnote w:type="continuationSeparator" w:id="0">
    <w:p w:rsidR="00712E9B" w:rsidRDefault="00712E9B" w:rsidP="008B60B2">
      <w:r>
        <w:separator/>
      </w:r>
    </w:p>
    <w:p w:rsidR="00712E9B" w:rsidRPr="00ED77FB" w:rsidRDefault="00712E9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12E9B" w:rsidRPr="00ED77FB" w:rsidRDefault="00712E9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12E9B" w:rsidP="00477D6B">
    <w:pPr>
      <w:jc w:val="right"/>
    </w:pPr>
    <w:bookmarkStart w:id="6" w:name="Code2"/>
    <w:bookmarkEnd w:id="6"/>
    <w:r>
      <w:t>WIPO/ACE/9/</w:t>
    </w:r>
    <w:r w:rsidR="00831329">
      <w:t>7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71482">
      <w:rPr>
        <w:noProof/>
      </w:rPr>
      <w:t>5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DE707D6"/>
    <w:multiLevelType w:val="hybridMultilevel"/>
    <w:tmpl w:val="4474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A6D32"/>
    <w:multiLevelType w:val="hybridMultilevel"/>
    <w:tmpl w:val="4C06DB64"/>
    <w:lvl w:ilvl="0" w:tplc="8B2229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502D5A"/>
    <w:multiLevelType w:val="hybridMultilevel"/>
    <w:tmpl w:val="16F03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11078"/>
    <w:multiLevelType w:val="hybridMultilevel"/>
    <w:tmpl w:val="254A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75300"/>
    <w:multiLevelType w:val="hybridMultilevel"/>
    <w:tmpl w:val="FA86A0E0"/>
    <w:lvl w:ilvl="0" w:tplc="6A362A4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9B"/>
    <w:rsid w:val="00043CAA"/>
    <w:rsid w:val="00045C97"/>
    <w:rsid w:val="00061D47"/>
    <w:rsid w:val="000649EF"/>
    <w:rsid w:val="00074F84"/>
    <w:rsid w:val="00075432"/>
    <w:rsid w:val="000968ED"/>
    <w:rsid w:val="000F1490"/>
    <w:rsid w:val="000F5E56"/>
    <w:rsid w:val="000F74A8"/>
    <w:rsid w:val="001362EE"/>
    <w:rsid w:val="001832A6"/>
    <w:rsid w:val="001968AB"/>
    <w:rsid w:val="002634C4"/>
    <w:rsid w:val="00281E1E"/>
    <w:rsid w:val="002928D3"/>
    <w:rsid w:val="002E38FF"/>
    <w:rsid w:val="002E4CCE"/>
    <w:rsid w:val="002F1FE6"/>
    <w:rsid w:val="002F4E68"/>
    <w:rsid w:val="00312F7F"/>
    <w:rsid w:val="003170F0"/>
    <w:rsid w:val="003566ED"/>
    <w:rsid w:val="00361450"/>
    <w:rsid w:val="003673CF"/>
    <w:rsid w:val="003737D7"/>
    <w:rsid w:val="003845C1"/>
    <w:rsid w:val="003A6F89"/>
    <w:rsid w:val="003B38C1"/>
    <w:rsid w:val="004000EA"/>
    <w:rsid w:val="00423E3E"/>
    <w:rsid w:val="00427AF4"/>
    <w:rsid w:val="0044153C"/>
    <w:rsid w:val="004647DA"/>
    <w:rsid w:val="00474062"/>
    <w:rsid w:val="00477D6B"/>
    <w:rsid w:val="004C328B"/>
    <w:rsid w:val="005019FF"/>
    <w:rsid w:val="0053057A"/>
    <w:rsid w:val="005434A4"/>
    <w:rsid w:val="00560A29"/>
    <w:rsid w:val="005B055F"/>
    <w:rsid w:val="005C6601"/>
    <w:rsid w:val="005C6649"/>
    <w:rsid w:val="00605827"/>
    <w:rsid w:val="00646050"/>
    <w:rsid w:val="006713CA"/>
    <w:rsid w:val="00676C5C"/>
    <w:rsid w:val="00694F79"/>
    <w:rsid w:val="00712E9B"/>
    <w:rsid w:val="00720F55"/>
    <w:rsid w:val="007D1613"/>
    <w:rsid w:val="007D3132"/>
    <w:rsid w:val="007F6FED"/>
    <w:rsid w:val="00801E1B"/>
    <w:rsid w:val="00831329"/>
    <w:rsid w:val="00861729"/>
    <w:rsid w:val="008A39B9"/>
    <w:rsid w:val="008B2CC1"/>
    <w:rsid w:val="008B60B2"/>
    <w:rsid w:val="008E6B00"/>
    <w:rsid w:val="008F2C50"/>
    <w:rsid w:val="0090731E"/>
    <w:rsid w:val="00916EE2"/>
    <w:rsid w:val="00922427"/>
    <w:rsid w:val="00960227"/>
    <w:rsid w:val="00966A22"/>
    <w:rsid w:val="0096722F"/>
    <w:rsid w:val="00980843"/>
    <w:rsid w:val="00980E04"/>
    <w:rsid w:val="009E2791"/>
    <w:rsid w:val="009E3F6F"/>
    <w:rsid w:val="009F0863"/>
    <w:rsid w:val="009F499F"/>
    <w:rsid w:val="00A42DAF"/>
    <w:rsid w:val="00A45BD8"/>
    <w:rsid w:val="00A869B7"/>
    <w:rsid w:val="00AB51C1"/>
    <w:rsid w:val="00AB7D28"/>
    <w:rsid w:val="00AC205C"/>
    <w:rsid w:val="00AD11FC"/>
    <w:rsid w:val="00AF0A6B"/>
    <w:rsid w:val="00B05A69"/>
    <w:rsid w:val="00B44D76"/>
    <w:rsid w:val="00B46C35"/>
    <w:rsid w:val="00B71482"/>
    <w:rsid w:val="00B91CCC"/>
    <w:rsid w:val="00B9734B"/>
    <w:rsid w:val="00BE610A"/>
    <w:rsid w:val="00C11BFE"/>
    <w:rsid w:val="00C410EF"/>
    <w:rsid w:val="00D45252"/>
    <w:rsid w:val="00D4558F"/>
    <w:rsid w:val="00D70A19"/>
    <w:rsid w:val="00D71B4D"/>
    <w:rsid w:val="00D91CB7"/>
    <w:rsid w:val="00D93D55"/>
    <w:rsid w:val="00DB16D1"/>
    <w:rsid w:val="00DC595A"/>
    <w:rsid w:val="00DD5BB5"/>
    <w:rsid w:val="00DF3D9E"/>
    <w:rsid w:val="00E335FE"/>
    <w:rsid w:val="00E72CB1"/>
    <w:rsid w:val="00EC4E49"/>
    <w:rsid w:val="00EC6B5C"/>
    <w:rsid w:val="00ED77FB"/>
    <w:rsid w:val="00EE45FA"/>
    <w:rsid w:val="00F2576A"/>
    <w:rsid w:val="00F66152"/>
    <w:rsid w:val="00F97CBC"/>
    <w:rsid w:val="00FA120C"/>
    <w:rsid w:val="00FD07D5"/>
    <w:rsid w:val="00FD7D2C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D28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F14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329"/>
    <w:pPr>
      <w:ind w:left="720"/>
      <w:contextualSpacing/>
    </w:pPr>
  </w:style>
  <w:style w:type="character" w:styleId="FootnoteReference">
    <w:name w:val="footnote reference"/>
    <w:basedOn w:val="DefaultParagraphFont"/>
    <w:rsid w:val="00FD7D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D28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F14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329"/>
    <w:pPr>
      <w:ind w:left="720"/>
      <w:contextualSpacing/>
    </w:pPr>
  </w:style>
  <w:style w:type="character" w:styleId="FootnoteReference">
    <w:name w:val="footnote reference"/>
    <w:basedOn w:val="DefaultParagraphFont"/>
    <w:rsid w:val="00FD7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kcab.or.kr/jsp/kcab_eng/index.j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GIS\WIPO%20ACE%209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4D12-7F9B-412A-B4F7-1F02A4ED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ACE 9 (E).dot</Template>
  <TotalTime>3</TotalTime>
  <Pages>5</Pages>
  <Words>1526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WIPO/ACE/9/</vt:lpstr>
    </vt:vector>
  </TitlesOfParts>
  <Company>WIPO</Company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WIPO/ACE/9/</dc:title>
  <dc:creator>COLIN Isabelle</dc:creator>
  <cp:lastModifiedBy>COLIN Isabelle</cp:lastModifiedBy>
  <cp:revision>4</cp:revision>
  <cp:lastPrinted>2014-02-04T16:21:00Z</cp:lastPrinted>
  <dcterms:created xsi:type="dcterms:W3CDTF">2014-02-13T15:55:00Z</dcterms:created>
  <dcterms:modified xsi:type="dcterms:W3CDTF">2014-02-13T15:57:00Z</dcterms:modified>
</cp:coreProperties>
</file>