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17CF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01E1B" w:rsidP="00BF7C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 w:rsidR="00AD709E">
              <w:rPr>
                <w:rFonts w:ascii="Arial Black" w:hAnsi="Arial Black"/>
                <w:caps/>
                <w:sz w:val="15"/>
              </w:rPr>
              <w:t>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17CF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D709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AD709E">
              <w:rPr>
                <w:rFonts w:ascii="Arial Black" w:hAnsi="Arial Black"/>
                <w:caps/>
                <w:sz w:val="15"/>
              </w:rPr>
              <w:t>December 20,</w:t>
            </w:r>
            <w:r w:rsidR="00217CF7">
              <w:rPr>
                <w:rFonts w:ascii="Arial Black" w:hAnsi="Arial Black"/>
                <w:caps/>
                <w:sz w:val="15"/>
              </w:rPr>
              <w:t xml:space="preserve"> 2013</w:t>
            </w:r>
          </w:p>
        </w:tc>
      </w:tr>
    </w:tbl>
    <w:p w:rsidR="008B2CC1" w:rsidRPr="008B2CC1" w:rsidRDefault="008B2CC1" w:rsidP="008B2CC1"/>
    <w:p w:rsidR="005509EF" w:rsidRDefault="005509EF" w:rsidP="0081452A">
      <w:pPr>
        <w:pStyle w:val="Meetingtitle"/>
        <w:ind w:left="0"/>
      </w:pPr>
    </w:p>
    <w:p w:rsidR="005509EF" w:rsidRDefault="005509EF" w:rsidP="0081452A">
      <w:pPr>
        <w:pStyle w:val="Meetingtitle"/>
        <w:ind w:left="0"/>
      </w:pPr>
    </w:p>
    <w:p w:rsidR="005509EF" w:rsidRDefault="005509EF" w:rsidP="0081452A">
      <w:pPr>
        <w:pStyle w:val="Meetingtitle"/>
        <w:ind w:left="0"/>
      </w:pPr>
    </w:p>
    <w:p w:rsidR="0081452A" w:rsidRDefault="00061D47" w:rsidP="0081452A">
      <w:pPr>
        <w:pStyle w:val="Meetingtitle"/>
        <w:ind w:left="0"/>
        <w:rPr>
          <w:snapToGrid w:val="0"/>
        </w:rPr>
      </w:pPr>
      <w:r>
        <w:t xml:space="preserve">Advisory </w:t>
      </w:r>
      <w:r>
        <w:rPr>
          <w:snapToGrid w:val="0"/>
        </w:rPr>
        <w:t>Committee on Enforcement</w:t>
      </w:r>
    </w:p>
    <w:p w:rsidR="0081452A" w:rsidRDefault="0081452A" w:rsidP="0081452A">
      <w:pPr>
        <w:pStyle w:val="Meetingtitle"/>
        <w:ind w:left="0"/>
        <w:rPr>
          <w:snapToGrid w:val="0"/>
        </w:rPr>
      </w:pPr>
    </w:p>
    <w:p w:rsidR="00061D47" w:rsidRDefault="00061D47" w:rsidP="0081452A">
      <w:pPr>
        <w:pStyle w:val="Meetingtitle"/>
        <w:ind w:left="0"/>
      </w:pPr>
      <w:r>
        <w:rPr>
          <w:lang w:eastAsia="ko-KR"/>
        </w:rPr>
        <w:t>Ninth</w:t>
      </w:r>
      <w:r>
        <w:t xml:space="preserve"> Session</w:t>
      </w:r>
    </w:p>
    <w:p w:rsidR="00061D47" w:rsidRPr="000F2F90" w:rsidRDefault="00061D47" w:rsidP="00061D47">
      <w:pPr>
        <w:pStyle w:val="Meetingplacedate"/>
        <w:ind w:left="0"/>
      </w:pPr>
      <w:r>
        <w:t xml:space="preserve">Geneva, March 3 </w:t>
      </w:r>
      <w:r w:rsidR="007404FF">
        <w:t>to</w:t>
      </w:r>
      <w:r>
        <w:t xml:space="preserve"> 5, 201</w:t>
      </w:r>
      <w:r>
        <w:rPr>
          <w:lang w:eastAsia="ko-KR"/>
        </w:rPr>
        <w:t>4</w:t>
      </w:r>
    </w:p>
    <w:p w:rsidR="008B2CC1" w:rsidRDefault="008B2CC1" w:rsidP="008B2CC1"/>
    <w:p w:rsidR="005509EF" w:rsidRDefault="005509EF" w:rsidP="008B2CC1"/>
    <w:p w:rsidR="005509EF" w:rsidRPr="008B2CC1" w:rsidRDefault="005509EF" w:rsidP="008B2CC1"/>
    <w:p w:rsidR="0054017E" w:rsidRDefault="00AD709E" w:rsidP="008B2CC1">
      <w:pPr>
        <w:rPr>
          <w:i/>
        </w:rPr>
      </w:pPr>
      <w:bookmarkStart w:id="3" w:name="TitleOfDoc"/>
      <w:bookmarkStart w:id="4" w:name="Prepared"/>
      <w:bookmarkEnd w:id="3"/>
      <w:bookmarkEnd w:id="4"/>
      <w:r w:rsidRPr="00AD709E">
        <w:rPr>
          <w:caps/>
          <w:sz w:val="24"/>
        </w:rPr>
        <w:t>Cambodia</w:t>
      </w:r>
      <w:r w:rsidR="003A74B2">
        <w:rPr>
          <w:caps/>
          <w:sz w:val="24"/>
        </w:rPr>
        <w:t>’s</w:t>
      </w:r>
      <w:r w:rsidRPr="00AD709E">
        <w:rPr>
          <w:caps/>
          <w:sz w:val="24"/>
        </w:rPr>
        <w:t xml:space="preserve"> Preliminary Alternative Dispute Resolution</w:t>
      </w:r>
    </w:p>
    <w:p w:rsidR="00AD709E" w:rsidRDefault="00AD709E" w:rsidP="008B2CC1">
      <w:pPr>
        <w:rPr>
          <w:i/>
        </w:rPr>
      </w:pPr>
    </w:p>
    <w:p w:rsidR="00BF7CE2" w:rsidRDefault="006A20F5" w:rsidP="00BF7CE2">
      <w:pPr>
        <w:rPr>
          <w:i/>
        </w:rPr>
      </w:pPr>
      <w:proofErr w:type="gramStart"/>
      <w:r>
        <w:rPr>
          <w:i/>
        </w:rPr>
        <w:t>p</w:t>
      </w:r>
      <w:r w:rsidR="00217CF7">
        <w:rPr>
          <w:i/>
        </w:rPr>
        <w:t>repared</w:t>
      </w:r>
      <w:proofErr w:type="gramEnd"/>
      <w:r w:rsidR="00217CF7">
        <w:rPr>
          <w:i/>
        </w:rPr>
        <w:t xml:space="preserve"> by </w:t>
      </w:r>
      <w:r w:rsidR="00AD709E">
        <w:rPr>
          <w:i/>
        </w:rPr>
        <w:t>Op Rady</w:t>
      </w:r>
      <w:r w:rsidR="00C45D71">
        <w:rPr>
          <w:i/>
        </w:rPr>
        <w:t>, Deputy Director, Department of Intellectual Property Rights, Ministry of Commerce, Cambodia</w:t>
      </w:r>
      <w:r>
        <w:rPr>
          <w:rStyle w:val="FootnoteReference"/>
          <w:i/>
        </w:rPr>
        <w:footnoteReference w:id="2"/>
      </w:r>
    </w:p>
    <w:p w:rsidR="005509EF" w:rsidRDefault="005509EF" w:rsidP="00BF7CE2">
      <w:pPr>
        <w:rPr>
          <w:i/>
        </w:rPr>
      </w:pPr>
    </w:p>
    <w:p w:rsidR="005509EF" w:rsidRDefault="005509EF" w:rsidP="00BF7CE2">
      <w:pPr>
        <w:rPr>
          <w:i/>
        </w:rPr>
      </w:pPr>
    </w:p>
    <w:p w:rsidR="005509EF" w:rsidRDefault="005509EF" w:rsidP="00BF7CE2">
      <w:pPr>
        <w:rPr>
          <w:i/>
        </w:rPr>
      </w:pPr>
    </w:p>
    <w:p w:rsidR="005509EF" w:rsidRDefault="005509EF" w:rsidP="00BF7CE2">
      <w:pPr>
        <w:rPr>
          <w:i/>
        </w:rPr>
      </w:pPr>
    </w:p>
    <w:p w:rsidR="005509EF" w:rsidRDefault="005509EF" w:rsidP="00BF7CE2">
      <w:pPr>
        <w:rPr>
          <w:i/>
        </w:rPr>
      </w:pPr>
    </w:p>
    <w:p w:rsidR="005509EF" w:rsidRDefault="005509EF" w:rsidP="00BF7CE2">
      <w:pPr>
        <w:rPr>
          <w:i/>
        </w:rPr>
      </w:pPr>
    </w:p>
    <w:p w:rsidR="005509EF" w:rsidRPr="00BF7CE2" w:rsidRDefault="005509EF" w:rsidP="00BF7CE2">
      <w:pPr>
        <w:rPr>
          <w:b/>
        </w:rPr>
      </w:pPr>
    </w:p>
    <w:p w:rsidR="00BF7CE2" w:rsidRPr="00BF7CE2" w:rsidRDefault="00BF7CE2" w:rsidP="00AD709E">
      <w:pPr>
        <w:pStyle w:val="Heading1"/>
      </w:pPr>
      <w:r w:rsidRPr="00BF7CE2">
        <w:t xml:space="preserve">I. </w:t>
      </w:r>
      <w:r w:rsidRPr="00BF7CE2">
        <w:tab/>
        <w:t>Background o</w:t>
      </w:r>
      <w:r w:rsidR="00F26759">
        <w:t>N</w:t>
      </w:r>
      <w:r w:rsidRPr="00BF7CE2">
        <w:t xml:space="preserve"> IP Enforcement </w:t>
      </w:r>
    </w:p>
    <w:p w:rsidR="00BF7CE2" w:rsidRPr="00BF7CE2" w:rsidRDefault="00BF7CE2" w:rsidP="00BF7CE2">
      <w:pPr>
        <w:rPr>
          <w:b/>
        </w:rPr>
      </w:pPr>
    </w:p>
    <w:p w:rsidR="00BF7CE2" w:rsidRPr="00BF7CE2" w:rsidRDefault="00674B95" w:rsidP="0052739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F7CE2" w:rsidRPr="00BF7CE2">
        <w:t xml:space="preserve">In compliance with </w:t>
      </w:r>
      <w:r w:rsidR="005963E1">
        <w:t>the</w:t>
      </w:r>
      <w:r w:rsidR="00BF7CE2" w:rsidRPr="00BF7CE2">
        <w:t xml:space="preserve"> requirements</w:t>
      </w:r>
      <w:r w:rsidR="005963E1">
        <w:t xml:space="preserve"> under the World Trade Organization Agreement on Trade-Related Aspects of Intellectual Property Rights (TRIPS Agreement)</w:t>
      </w:r>
      <w:r w:rsidR="00BF7CE2" w:rsidRPr="00BF7CE2">
        <w:t xml:space="preserve">, </w:t>
      </w:r>
      <w:r w:rsidR="00BF7CE2" w:rsidRPr="00441A3C">
        <w:t xml:space="preserve">Cambodian </w:t>
      </w:r>
      <w:r w:rsidR="00541ED5" w:rsidRPr="00441A3C">
        <w:t>intellectual p</w:t>
      </w:r>
      <w:r w:rsidR="005963E1" w:rsidRPr="00441A3C">
        <w:t>roperty (</w:t>
      </w:r>
      <w:r w:rsidR="00BF7CE2" w:rsidRPr="00441A3C">
        <w:t>IP</w:t>
      </w:r>
      <w:r w:rsidR="005963E1" w:rsidRPr="00441A3C">
        <w:t>)</w:t>
      </w:r>
      <w:r w:rsidR="00BF7CE2" w:rsidRPr="00441A3C">
        <w:t xml:space="preserve"> laws </w:t>
      </w:r>
      <w:r w:rsidR="005963E1" w:rsidRPr="00441A3C">
        <w:t>contain</w:t>
      </w:r>
      <w:r w:rsidR="00BF7CE2" w:rsidRPr="00441A3C">
        <w:t xml:space="preserve"> provisions for effective enforcement of</w:t>
      </w:r>
      <w:r w:rsidR="005963E1">
        <w:t xml:space="preserve"> intellectual property rights (</w:t>
      </w:r>
      <w:r w:rsidR="00BF7CE2" w:rsidRPr="00BF7CE2">
        <w:t>IPRs</w:t>
      </w:r>
      <w:r w:rsidR="005963E1">
        <w:t>)</w:t>
      </w:r>
      <w:r w:rsidR="00F96404">
        <w:t>.</w:t>
      </w:r>
      <w:r w:rsidR="00BF7CE2" w:rsidRPr="00BF7CE2">
        <w:t xml:space="preserve"> </w:t>
      </w:r>
      <w:r w:rsidR="00F96404">
        <w:t xml:space="preserve"> </w:t>
      </w:r>
      <w:r w:rsidR="00BF7CE2" w:rsidRPr="00BF7CE2">
        <w:t xml:space="preserve">In addition, the Civil Code and </w:t>
      </w:r>
      <w:r w:rsidR="00541ED5">
        <w:t xml:space="preserve">the </w:t>
      </w:r>
      <w:r w:rsidR="00BF7CE2" w:rsidRPr="00BF7CE2">
        <w:t xml:space="preserve">Civil Procedure Code also provide procedures for </w:t>
      </w:r>
      <w:r w:rsidR="00F96404" w:rsidRPr="00BF7CE2">
        <w:t>civil</w:t>
      </w:r>
      <w:r w:rsidR="00F96404">
        <w:t xml:space="preserve"> remedies</w:t>
      </w:r>
      <w:r w:rsidR="00141D83" w:rsidRPr="00D16B3C">
        <w:t xml:space="preserve"> and</w:t>
      </w:r>
      <w:r w:rsidR="00141D83">
        <w:t xml:space="preserve"> provisional measures.</w:t>
      </w:r>
      <w:r w:rsidR="00477A19">
        <w:t xml:space="preserve"> </w:t>
      </w:r>
      <w:r w:rsidR="006A20F5">
        <w:t xml:space="preserve"> </w:t>
      </w:r>
      <w:r w:rsidR="00BF7CE2" w:rsidRPr="00BF7CE2">
        <w:t xml:space="preserve">On border measures, </w:t>
      </w:r>
      <w:r w:rsidR="00F56433">
        <w:t>in addition to</w:t>
      </w:r>
      <w:r w:rsidR="00BF7CE2" w:rsidRPr="00BF7CE2">
        <w:t xml:space="preserve"> the IP laws that allow competent authorities including </w:t>
      </w:r>
      <w:proofErr w:type="spellStart"/>
      <w:r w:rsidR="00BF7CE2" w:rsidRPr="00BF7CE2">
        <w:t>Camcontrol</w:t>
      </w:r>
      <w:proofErr w:type="spellEnd"/>
      <w:r w:rsidR="00BF7CE2" w:rsidRPr="00BF7CE2">
        <w:t>, Economic Police, Customs</w:t>
      </w:r>
      <w:r w:rsidR="00477A19">
        <w:t xml:space="preserve"> and</w:t>
      </w:r>
      <w:r w:rsidR="00BF7CE2" w:rsidRPr="00541ED5">
        <w:t xml:space="preserve"> </w:t>
      </w:r>
      <w:r w:rsidR="001B28F4">
        <w:t xml:space="preserve">the </w:t>
      </w:r>
      <w:r w:rsidR="00477A19">
        <w:t>Prosecutor</w:t>
      </w:r>
      <w:r w:rsidR="00707313">
        <w:t>’s</w:t>
      </w:r>
      <w:r w:rsidR="00477A19">
        <w:t xml:space="preserve"> Office to the Court of First Instance</w:t>
      </w:r>
      <w:r w:rsidR="00C33738">
        <w:t xml:space="preserve"> </w:t>
      </w:r>
      <w:r w:rsidR="00707313">
        <w:t xml:space="preserve">to </w:t>
      </w:r>
      <w:r w:rsidR="00BF7CE2" w:rsidRPr="00BF7CE2">
        <w:t xml:space="preserve">suspend </w:t>
      </w:r>
      <w:r w:rsidR="00F96404">
        <w:t xml:space="preserve">the </w:t>
      </w:r>
      <w:r w:rsidR="00F56433">
        <w:t>release</w:t>
      </w:r>
      <w:r w:rsidR="00BF7CE2" w:rsidRPr="00BF7CE2">
        <w:t xml:space="preserve"> of goods suspected of being </w:t>
      </w:r>
      <w:r w:rsidR="00441A3C" w:rsidRPr="00BF7CE2">
        <w:t>counterfeit</w:t>
      </w:r>
      <w:proofErr w:type="gramStart"/>
      <w:r w:rsidR="00441A3C" w:rsidRPr="00BF7CE2">
        <w:t>;</w:t>
      </w:r>
      <w:r w:rsidR="00BF7CE2" w:rsidRPr="00BF7CE2">
        <w:t xml:space="preserve"> </w:t>
      </w:r>
      <w:r w:rsidR="0052739F">
        <w:t xml:space="preserve"> </w:t>
      </w:r>
      <w:r w:rsidR="00BF7CE2" w:rsidRPr="00BF7CE2">
        <w:t>some</w:t>
      </w:r>
      <w:proofErr w:type="gramEnd"/>
      <w:r w:rsidR="00BF7CE2" w:rsidRPr="00BF7CE2">
        <w:t xml:space="preserve"> provisions </w:t>
      </w:r>
      <w:r w:rsidR="00F56433">
        <w:t>in the</w:t>
      </w:r>
      <w:r w:rsidR="00BF7CE2" w:rsidRPr="00BF7CE2">
        <w:t xml:space="preserve"> Law on Custom</w:t>
      </w:r>
      <w:r w:rsidR="00707313">
        <w:t>s</w:t>
      </w:r>
      <w:r w:rsidR="00BF7CE2" w:rsidRPr="00BF7CE2">
        <w:t xml:space="preserve"> and Excises explicitly require</w:t>
      </w:r>
      <w:r w:rsidR="00F56433">
        <w:t xml:space="preserve"> and </w:t>
      </w:r>
      <w:r w:rsidR="00BF7CE2" w:rsidRPr="00BF7CE2">
        <w:t xml:space="preserve">empower the customs authorities to </w:t>
      </w:r>
      <w:r w:rsidR="00F96404" w:rsidRPr="00D16B3C">
        <w:t>address</w:t>
      </w:r>
      <w:r w:rsidR="00AD709E" w:rsidRPr="00D16B3C">
        <w:t xml:space="preserve"> all types</w:t>
      </w:r>
      <w:r w:rsidR="00AD709E">
        <w:t xml:space="preserve"> of IPR infringement. </w:t>
      </w:r>
      <w:r w:rsidR="006A20F5">
        <w:t xml:space="preserve"> </w:t>
      </w:r>
      <w:r w:rsidR="00BF7CE2" w:rsidRPr="00BF7CE2">
        <w:t>The draft Sub-Decree implementing th</w:t>
      </w:r>
      <w:r w:rsidR="00F56433">
        <w:t>is</w:t>
      </w:r>
      <w:r w:rsidR="00BF7CE2" w:rsidRPr="00BF7CE2">
        <w:t xml:space="preserve"> Law will be prepared by the General Department of Customs and Excises of Cambodia and will reflect this crucial responsibility of Customs to combat IP infringement at the borders.</w:t>
      </w:r>
      <w:r w:rsidR="00AD709E">
        <w:t xml:space="preserve"> </w:t>
      </w:r>
      <w:r w:rsidR="006A20F5">
        <w:t xml:space="preserve"> </w:t>
      </w:r>
      <w:r w:rsidR="00BF7CE2" w:rsidRPr="00BF7CE2">
        <w:t xml:space="preserve">For </w:t>
      </w:r>
      <w:r w:rsidR="00707313">
        <w:t xml:space="preserve">violations in relation to </w:t>
      </w:r>
      <w:r w:rsidR="00BF7CE2" w:rsidRPr="00BF7CE2">
        <w:t xml:space="preserve">pharmaceutical products, Cambodia also applies the Law on the Management of Pharmaceutical Products, which, in some cases, can be used in conjunction with the </w:t>
      </w:r>
      <w:r w:rsidR="006E1B4C" w:rsidRPr="00EA75BA">
        <w:t>Law concerning Marks, Trade Names and Acts of Unfair Competition</w:t>
      </w:r>
      <w:r w:rsidR="00BF7CE2" w:rsidRPr="00BF7CE2">
        <w:t xml:space="preserve">, particularly for imported counterfeits. </w:t>
      </w:r>
    </w:p>
    <w:p w:rsidR="00BF7CE2" w:rsidRPr="00BF7CE2" w:rsidRDefault="00BF7CE2" w:rsidP="0052739F"/>
    <w:p w:rsidR="00BF7CE2" w:rsidRPr="00BF7CE2" w:rsidRDefault="00674B95" w:rsidP="0052739F"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96404">
        <w:t xml:space="preserve">The </w:t>
      </w:r>
      <w:r w:rsidR="00BF7CE2" w:rsidRPr="00BF7CE2">
        <w:t xml:space="preserve">IP enforcement system in Cambodia </w:t>
      </w:r>
      <w:r w:rsidR="00787B01">
        <w:t>is</w:t>
      </w:r>
      <w:r w:rsidR="00226CE9">
        <w:t xml:space="preserve"> </w:t>
      </w:r>
      <w:r w:rsidR="001B28F4">
        <w:t>guided by</w:t>
      </w:r>
      <w:r w:rsidR="00787B01">
        <w:t xml:space="preserve"> </w:t>
      </w:r>
      <w:r w:rsidR="00BF7CE2" w:rsidRPr="00BF7CE2">
        <w:t xml:space="preserve">a </w:t>
      </w:r>
      <w:r w:rsidR="00F96404">
        <w:t>coordination mechanism</w:t>
      </w:r>
      <w:r w:rsidR="00BF7CE2" w:rsidRPr="00BF7CE2">
        <w:t xml:space="preserve"> of separate authorities responsible for IPRs enforcement. </w:t>
      </w:r>
      <w:r w:rsidR="00AD709E">
        <w:t xml:space="preserve"> </w:t>
      </w:r>
      <w:r w:rsidR="00BF7CE2" w:rsidRPr="00BF7CE2">
        <w:t xml:space="preserve">Each authority has its own structure and policy to deal with IP infringement. </w:t>
      </w:r>
      <w:r w:rsidR="00F56433">
        <w:t xml:space="preserve"> </w:t>
      </w:r>
      <w:r w:rsidR="00BF7CE2" w:rsidRPr="00BF7CE2">
        <w:t xml:space="preserve">However, in order to </w:t>
      </w:r>
      <w:r w:rsidR="007D124C">
        <w:t xml:space="preserve">further </w:t>
      </w:r>
      <w:r w:rsidR="00BF7CE2" w:rsidRPr="00BF7CE2">
        <w:t xml:space="preserve">strengthen IP enforcement, those authorities have been encouraged to join hands under the supervision of the National Committee for Intellectual Property Rights established in 2008 to assure a unique national policy on </w:t>
      </w:r>
      <w:r w:rsidR="00707313">
        <w:t>IP</w:t>
      </w:r>
      <w:r w:rsidR="00BF7CE2" w:rsidRPr="00BF7CE2">
        <w:t xml:space="preserve">, </w:t>
      </w:r>
      <w:r w:rsidR="007D124C">
        <w:t xml:space="preserve">to </w:t>
      </w:r>
      <w:r w:rsidR="00BF7CE2" w:rsidRPr="00BF7CE2">
        <w:t>en</w:t>
      </w:r>
      <w:r w:rsidR="007D124C">
        <w:t>able</w:t>
      </w:r>
      <w:r w:rsidR="00BF7CE2" w:rsidRPr="00BF7CE2">
        <w:t xml:space="preserve"> smooth cooperation between ministries and institutions concerned, and crucially</w:t>
      </w:r>
      <w:r w:rsidR="007D124C">
        <w:t>, to</w:t>
      </w:r>
      <w:r w:rsidR="00BF7CE2" w:rsidRPr="00BF7CE2">
        <w:t xml:space="preserve"> prepare, disseminate, and enforce IP laws and regulations. </w:t>
      </w:r>
      <w:r w:rsidR="006A20F5">
        <w:t xml:space="preserve"> </w:t>
      </w:r>
      <w:r w:rsidR="00BF7CE2" w:rsidRPr="00BF7CE2">
        <w:t xml:space="preserve">To </w:t>
      </w:r>
      <w:r w:rsidR="00AD709E" w:rsidRPr="00BF7CE2">
        <w:t>fulfill</w:t>
      </w:r>
      <w:r w:rsidR="00BF7CE2" w:rsidRPr="00BF7CE2">
        <w:t xml:space="preserve"> </w:t>
      </w:r>
      <w:r w:rsidR="007D124C">
        <w:t>these</w:t>
      </w:r>
      <w:r w:rsidR="00BF7CE2" w:rsidRPr="00BF7CE2">
        <w:t xml:space="preserve"> duties, two </w:t>
      </w:r>
      <w:r w:rsidR="00E67628">
        <w:t>S</w:t>
      </w:r>
      <w:r w:rsidR="00BF7CE2" w:rsidRPr="00BF7CE2">
        <w:t>ub-</w:t>
      </w:r>
      <w:r w:rsidR="00E67628">
        <w:t>C</w:t>
      </w:r>
      <w:r w:rsidR="00BF7CE2" w:rsidRPr="00BF7CE2">
        <w:t xml:space="preserve">ommittees, namely, </w:t>
      </w:r>
      <w:r w:rsidR="007D124C">
        <w:t xml:space="preserve">a </w:t>
      </w:r>
      <w:r w:rsidR="00E67628">
        <w:t>S</w:t>
      </w:r>
      <w:r w:rsidR="00BF7CE2" w:rsidRPr="00BF7CE2">
        <w:t>ub-</w:t>
      </w:r>
      <w:r w:rsidR="00E67628">
        <w:t>C</w:t>
      </w:r>
      <w:r w:rsidR="00BF7CE2" w:rsidRPr="00BF7CE2">
        <w:t xml:space="preserve">ommittee for </w:t>
      </w:r>
      <w:r w:rsidR="00707313">
        <w:t xml:space="preserve">IP </w:t>
      </w:r>
      <w:r w:rsidR="00E67628">
        <w:t>E</w:t>
      </w:r>
      <w:r w:rsidR="00BF7CE2" w:rsidRPr="00BF7CE2">
        <w:t xml:space="preserve">nforcement and </w:t>
      </w:r>
      <w:r w:rsidR="007D124C">
        <w:t xml:space="preserve">a </w:t>
      </w:r>
      <w:r w:rsidR="00E67628">
        <w:t>S</w:t>
      </w:r>
      <w:r w:rsidR="00BF7CE2" w:rsidRPr="00BF7CE2">
        <w:t>ub-</w:t>
      </w:r>
      <w:r w:rsidR="00E67628">
        <w:t>C</w:t>
      </w:r>
      <w:r w:rsidR="00BF7CE2" w:rsidRPr="00BF7CE2">
        <w:t xml:space="preserve">ommittee for </w:t>
      </w:r>
      <w:r w:rsidR="00E67628">
        <w:t>E</w:t>
      </w:r>
      <w:r w:rsidR="00BF7CE2" w:rsidRPr="00BF7CE2">
        <w:t xml:space="preserve">ducation and </w:t>
      </w:r>
      <w:r w:rsidR="00E67628">
        <w:t>P</w:t>
      </w:r>
      <w:r w:rsidR="00BF7CE2" w:rsidRPr="00BF7CE2">
        <w:t xml:space="preserve">ublic </w:t>
      </w:r>
      <w:r w:rsidR="00E67628">
        <w:t>A</w:t>
      </w:r>
      <w:r w:rsidR="00BF7CE2" w:rsidRPr="00BF7CE2">
        <w:t xml:space="preserve">wareness will be established in 2014. </w:t>
      </w:r>
      <w:r w:rsidR="00AD709E">
        <w:t xml:space="preserve"> </w:t>
      </w:r>
      <w:r w:rsidR="00BF7CE2" w:rsidRPr="00BF7CE2">
        <w:t xml:space="preserve">The purpose of setting up the two </w:t>
      </w:r>
      <w:r w:rsidR="00707313">
        <w:t>S</w:t>
      </w:r>
      <w:r w:rsidR="00BF7CE2" w:rsidRPr="00BF7CE2">
        <w:t>ub-</w:t>
      </w:r>
      <w:r w:rsidR="00707313">
        <w:t>C</w:t>
      </w:r>
      <w:r w:rsidR="00BF7CE2" w:rsidRPr="00BF7CE2">
        <w:t xml:space="preserve">ommittees is to </w:t>
      </w:r>
      <w:r w:rsidR="00C15E6C">
        <w:t>clarify</w:t>
      </w:r>
      <w:r w:rsidR="00BF7CE2" w:rsidRPr="00BF7CE2">
        <w:t xml:space="preserve"> </w:t>
      </w:r>
      <w:r w:rsidR="00C15E6C">
        <w:t xml:space="preserve">the </w:t>
      </w:r>
      <w:r w:rsidR="00BF7CE2" w:rsidRPr="00BF7CE2">
        <w:t>responsibilities of each competent authorit</w:t>
      </w:r>
      <w:r w:rsidR="00C15E6C">
        <w:t>y,</w:t>
      </w:r>
      <w:r w:rsidR="00BF7CE2" w:rsidRPr="00BF7CE2">
        <w:t xml:space="preserve"> including Economic Police, </w:t>
      </w:r>
      <w:proofErr w:type="spellStart"/>
      <w:r w:rsidR="00BF7CE2" w:rsidRPr="00BF7CE2">
        <w:t>Camcontrol</w:t>
      </w:r>
      <w:proofErr w:type="spellEnd"/>
      <w:r w:rsidR="00BF7CE2" w:rsidRPr="00BF7CE2">
        <w:t>,</w:t>
      </w:r>
      <w:r w:rsidR="00477A19">
        <w:t xml:space="preserve"> </w:t>
      </w:r>
      <w:r w:rsidR="00BF7CE2" w:rsidRPr="00BF7CE2">
        <w:t xml:space="preserve">Customs, </w:t>
      </w:r>
      <w:r w:rsidR="00477A19">
        <w:t xml:space="preserve">the </w:t>
      </w:r>
      <w:r w:rsidR="00BF7CE2" w:rsidRPr="00BF7CE2">
        <w:t>Inter</w:t>
      </w:r>
      <w:r w:rsidR="00E67628">
        <w:t>-</w:t>
      </w:r>
      <w:r w:rsidR="00BF7CE2" w:rsidRPr="00BF7CE2">
        <w:t>Minist</w:t>
      </w:r>
      <w:r w:rsidR="00E67628">
        <w:t>erial</w:t>
      </w:r>
      <w:r w:rsidR="00BF7CE2" w:rsidRPr="00BF7CE2">
        <w:t xml:space="preserve"> Committee for Suppression of Movie and Video Infringement</w:t>
      </w:r>
      <w:r w:rsidR="00477A19">
        <w:t>, and</w:t>
      </w:r>
      <w:r w:rsidR="00BF7CE2" w:rsidRPr="00BF7CE2">
        <w:t xml:space="preserve"> </w:t>
      </w:r>
      <w:r w:rsidR="00477A19">
        <w:t>the Prosecutor</w:t>
      </w:r>
      <w:r w:rsidR="00707313">
        <w:t>’s</w:t>
      </w:r>
      <w:r w:rsidR="00477A19">
        <w:t xml:space="preserve"> Office to </w:t>
      </w:r>
      <w:r w:rsidR="00525A8A">
        <w:t>the Court of First Instance</w:t>
      </w:r>
      <w:r w:rsidR="00477A19" w:rsidRPr="00BF7CE2">
        <w:t xml:space="preserve"> </w:t>
      </w:r>
      <w:r w:rsidR="00BF7CE2" w:rsidRPr="00BF7CE2">
        <w:t xml:space="preserve">in Cambodia. </w:t>
      </w:r>
      <w:r w:rsidR="00AD709E">
        <w:t xml:space="preserve"> </w:t>
      </w:r>
      <w:r w:rsidR="00BF7CE2" w:rsidRPr="00BF7CE2">
        <w:t xml:space="preserve">Moreover, </w:t>
      </w:r>
      <w:r w:rsidR="00C15E6C">
        <w:t xml:space="preserve">a </w:t>
      </w:r>
      <w:r w:rsidR="00BF7CE2" w:rsidRPr="00BF7CE2">
        <w:t>Sub</w:t>
      </w:r>
      <w:r w:rsidR="00C15E6C">
        <w:t>-D</w:t>
      </w:r>
      <w:r w:rsidR="00BF7CE2" w:rsidRPr="00BF7CE2">
        <w:t>e</w:t>
      </w:r>
      <w:r w:rsidR="00C15E6C">
        <w:t>c</w:t>
      </w:r>
      <w:r w:rsidR="00BF7CE2" w:rsidRPr="00BF7CE2">
        <w:t xml:space="preserve">ree on IP enforcement procedures will be drafted in the </w:t>
      </w:r>
      <w:r w:rsidR="00173806">
        <w:t>near future</w:t>
      </w:r>
      <w:r w:rsidR="00AD709E" w:rsidRPr="00D16B3C">
        <w:t xml:space="preserve">.  </w:t>
      </w:r>
      <w:r w:rsidR="00BF7CE2" w:rsidRPr="00D16B3C">
        <w:t>Coordination among enforcement bodies will be strengthened</w:t>
      </w:r>
      <w:r w:rsidR="00BF7CE2" w:rsidRPr="00BF7CE2">
        <w:t xml:space="preserve"> with a clear demarcation of the area of responsibility </w:t>
      </w:r>
      <w:r w:rsidR="00173806">
        <w:t>of</w:t>
      </w:r>
      <w:r w:rsidR="00BF7CE2" w:rsidRPr="00BF7CE2">
        <w:t xml:space="preserve"> each enforcement authorit</w:t>
      </w:r>
      <w:r w:rsidR="00C15E6C">
        <w:t>y</w:t>
      </w:r>
      <w:r w:rsidR="00BF7CE2" w:rsidRPr="00BF7CE2">
        <w:t>.</w:t>
      </w:r>
      <w:r w:rsidR="006A20F5">
        <w:t xml:space="preserve">  </w:t>
      </w:r>
      <w:r w:rsidR="00173806">
        <w:t>In addition</w:t>
      </w:r>
      <w:r w:rsidR="00BF7CE2" w:rsidRPr="00BF7CE2">
        <w:t xml:space="preserve">, communication between right-holders and the </w:t>
      </w:r>
      <w:r w:rsidR="00C15E6C">
        <w:t xml:space="preserve">authorities </w:t>
      </w:r>
      <w:r w:rsidR="00BF7CE2" w:rsidRPr="00BF7CE2">
        <w:t xml:space="preserve">will be </w:t>
      </w:r>
      <w:r w:rsidR="00AD709E" w:rsidRPr="00BF7CE2">
        <w:t>formalized</w:t>
      </w:r>
      <w:r w:rsidR="00BF7CE2" w:rsidRPr="00BF7CE2">
        <w:t xml:space="preserve"> with clear deadlines for official replies and </w:t>
      </w:r>
      <w:r w:rsidR="00C15E6C">
        <w:t xml:space="preserve">with </w:t>
      </w:r>
      <w:r w:rsidR="00173806">
        <w:t>the</w:t>
      </w:r>
      <w:r w:rsidR="00BF7CE2" w:rsidRPr="00BF7CE2">
        <w:t xml:space="preserve"> obligation to justify administrative decisions.  </w:t>
      </w:r>
    </w:p>
    <w:p w:rsidR="00BF7CE2" w:rsidRPr="00BF7CE2" w:rsidRDefault="00BF7CE2" w:rsidP="0052739F">
      <w:r w:rsidRPr="00BF7CE2">
        <w:t xml:space="preserve"> </w:t>
      </w:r>
    </w:p>
    <w:p w:rsidR="00BF7CE2" w:rsidRDefault="00674B95" w:rsidP="0052739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F7CE2" w:rsidRPr="00BF7CE2">
        <w:t>In Cambodia there are three levels of court</w:t>
      </w:r>
      <w:r w:rsidR="00C15E6C">
        <w:t xml:space="preserve">: </w:t>
      </w:r>
      <w:r w:rsidR="00BF7CE2" w:rsidRPr="00BF7CE2">
        <w:t xml:space="preserve"> Provincial/Municipal Court, Appeal</w:t>
      </w:r>
      <w:r w:rsidR="00707313">
        <w:t>s</w:t>
      </w:r>
      <w:r w:rsidR="00BF7CE2" w:rsidRPr="00BF7CE2">
        <w:t xml:space="preserve"> Court, and the Supreme Court. </w:t>
      </w:r>
      <w:r w:rsidR="0052739F">
        <w:t xml:space="preserve"> </w:t>
      </w:r>
      <w:r w:rsidR="00BF7CE2" w:rsidRPr="00BF7CE2">
        <w:t xml:space="preserve">The decision of </w:t>
      </w:r>
      <w:r w:rsidR="00FA7BFD">
        <w:t xml:space="preserve">the </w:t>
      </w:r>
      <w:r w:rsidR="00BF7CE2" w:rsidRPr="00BF7CE2">
        <w:t xml:space="preserve">Supreme Court is final. </w:t>
      </w:r>
      <w:r w:rsidR="00FA7BFD">
        <w:t xml:space="preserve"> </w:t>
      </w:r>
      <w:r w:rsidR="00441A3C">
        <w:t xml:space="preserve">Future plans focus on better </w:t>
      </w:r>
      <w:r w:rsidR="00AD709E" w:rsidRPr="00BF7CE2">
        <w:t>specialization</w:t>
      </w:r>
      <w:r w:rsidR="00BF7CE2" w:rsidRPr="00BF7CE2">
        <w:t xml:space="preserve"> within the courts, namely, criminal, administrative, civil and commercial court</w:t>
      </w:r>
      <w:r w:rsidR="00FA7BFD">
        <w:t>s</w:t>
      </w:r>
      <w:r w:rsidR="00BF7CE2" w:rsidRPr="00BF7CE2">
        <w:t xml:space="preserve">. </w:t>
      </w:r>
      <w:r w:rsidR="00AD709E">
        <w:t xml:space="preserve"> </w:t>
      </w:r>
      <w:r w:rsidR="00BF7CE2" w:rsidRPr="00BF7CE2">
        <w:t xml:space="preserve">The Royal Government of Cambodia is expected to establish a commercial court, which can be a specialized organ, and an efficient tool to deal with commercial and IP disputes. </w:t>
      </w:r>
      <w:r w:rsidR="00FA7BFD">
        <w:t xml:space="preserve"> </w:t>
      </w:r>
      <w:r w:rsidR="00173806">
        <w:t>The p</w:t>
      </w:r>
      <w:r w:rsidR="00BF7CE2" w:rsidRPr="00BF7CE2">
        <w:t xml:space="preserve">laintiff may bring action directly to the court or enforcement agencies, or </w:t>
      </w:r>
      <w:r w:rsidR="00173806">
        <w:t xml:space="preserve">alternatively, </w:t>
      </w:r>
      <w:r w:rsidR="00BF7CE2" w:rsidRPr="00BF7CE2">
        <w:t xml:space="preserve">both parties are able to go to </w:t>
      </w:r>
      <w:r w:rsidR="00FA7BFD">
        <w:t xml:space="preserve">the </w:t>
      </w:r>
      <w:r w:rsidR="00BF7CE2" w:rsidRPr="00BF7CE2">
        <w:t xml:space="preserve">Arbitration Center. </w:t>
      </w:r>
    </w:p>
    <w:p w:rsidR="00AD709E" w:rsidRPr="00BF7CE2" w:rsidRDefault="00AD709E" w:rsidP="0052739F"/>
    <w:p w:rsidR="00BF7CE2" w:rsidRPr="00BF7CE2" w:rsidRDefault="00674B95" w:rsidP="0052739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A7BFD">
        <w:t>Currently, t</w:t>
      </w:r>
      <w:r w:rsidR="00BF7CE2" w:rsidRPr="00BF7CE2">
        <w:t xml:space="preserve">here </w:t>
      </w:r>
      <w:r w:rsidR="00FA7BFD">
        <w:t>are</w:t>
      </w:r>
      <w:r w:rsidR="003B67DD">
        <w:t xml:space="preserve"> no</w:t>
      </w:r>
      <w:r w:rsidR="00BF7CE2" w:rsidRPr="00BF7CE2">
        <w:t xml:space="preserve"> special court</w:t>
      </w:r>
      <w:r w:rsidR="00FA7BFD">
        <w:t>s</w:t>
      </w:r>
      <w:r w:rsidR="00BF7CE2" w:rsidRPr="00BF7CE2">
        <w:t xml:space="preserve"> for IP or </w:t>
      </w:r>
      <w:r w:rsidR="00AD709E" w:rsidRPr="00BF7CE2">
        <w:t>specialized</w:t>
      </w:r>
      <w:r w:rsidR="00BF7CE2" w:rsidRPr="00BF7CE2">
        <w:t xml:space="preserve"> judges in Cambodia.</w:t>
      </w:r>
      <w:r w:rsidR="00AD709E">
        <w:t xml:space="preserve"> </w:t>
      </w:r>
      <w:r w:rsidR="0052739F">
        <w:t xml:space="preserve"> </w:t>
      </w:r>
      <w:r w:rsidR="00BF7CE2" w:rsidRPr="00BF7CE2">
        <w:t xml:space="preserve">IPR cases are not </w:t>
      </w:r>
      <w:r w:rsidR="00173806">
        <w:t>prevalent</w:t>
      </w:r>
      <w:r w:rsidR="00BF7CE2" w:rsidRPr="00BF7CE2">
        <w:t xml:space="preserve">. </w:t>
      </w:r>
      <w:r w:rsidR="008D3EA9">
        <w:t xml:space="preserve"> </w:t>
      </w:r>
      <w:r w:rsidR="00BF7CE2" w:rsidRPr="00BF7CE2">
        <w:t xml:space="preserve">Cambodia needs to prepare itself to have capable and experienced courts to cope with increased cases occurring </w:t>
      </w:r>
      <w:r w:rsidR="00173806">
        <w:t>due to</w:t>
      </w:r>
      <w:r w:rsidR="00BF7CE2" w:rsidRPr="00BF7CE2">
        <w:t xml:space="preserve"> economic development. </w:t>
      </w:r>
      <w:r w:rsidR="00AD709E">
        <w:t xml:space="preserve"> </w:t>
      </w:r>
      <w:r w:rsidR="00BF7CE2" w:rsidRPr="00BF7CE2">
        <w:t xml:space="preserve">The structure of </w:t>
      </w:r>
      <w:r w:rsidR="00173806">
        <w:t xml:space="preserve">the </w:t>
      </w:r>
      <w:r w:rsidR="00BF7CE2" w:rsidRPr="00BF7CE2">
        <w:t xml:space="preserve">hearing process will be similar to </w:t>
      </w:r>
      <w:r w:rsidR="00173806">
        <w:t xml:space="preserve">the court rules and procedures in </w:t>
      </w:r>
      <w:r w:rsidR="00BF7CE2" w:rsidRPr="00BF7CE2">
        <w:t xml:space="preserve">other countries. </w:t>
      </w:r>
      <w:r w:rsidR="00AD709E">
        <w:t xml:space="preserve"> </w:t>
      </w:r>
      <w:r w:rsidR="00173806">
        <w:t>The p</w:t>
      </w:r>
      <w:r w:rsidR="00BF7CE2" w:rsidRPr="00BF7CE2">
        <w:t>residing judge will h</w:t>
      </w:r>
      <w:r w:rsidR="00707313">
        <w:t>ave</w:t>
      </w:r>
      <w:r w:rsidR="00BF7CE2" w:rsidRPr="00BF7CE2">
        <w:t xml:space="preserve"> legal background and will be accompanied by </w:t>
      </w:r>
      <w:r w:rsidR="00BF7CE2" w:rsidRPr="00E67628">
        <w:t>two non-legal associate judges</w:t>
      </w:r>
      <w:r w:rsidR="00BF7CE2" w:rsidRPr="00BF7CE2">
        <w:t xml:space="preserve"> with expert knowledge in the field. </w:t>
      </w:r>
    </w:p>
    <w:p w:rsidR="00BF7CE2" w:rsidRPr="00BF7CE2" w:rsidRDefault="00BF7CE2" w:rsidP="0052739F"/>
    <w:p w:rsidR="00BF7CE2" w:rsidRPr="00BF7CE2" w:rsidRDefault="00674B95" w:rsidP="0052739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F7CE2" w:rsidRPr="00BF7CE2">
        <w:t>There are four vital</w:t>
      </w:r>
      <w:r w:rsidR="001B28F4">
        <w:t>ly</w:t>
      </w:r>
      <w:r w:rsidR="00BF7CE2" w:rsidRPr="00BF7CE2">
        <w:t xml:space="preserve"> important pillars to make the IP system more </w:t>
      </w:r>
      <w:r w:rsidR="00AD709E" w:rsidRPr="00BF7CE2">
        <w:t>effective</w:t>
      </w:r>
      <w:r w:rsidR="00BF7CE2" w:rsidRPr="00BF7CE2">
        <w:t xml:space="preserve"> (1</w:t>
      </w:r>
      <w:r w:rsidR="001B28F4">
        <w:t xml:space="preserve">. </w:t>
      </w:r>
      <w:r w:rsidR="00BF7CE2" w:rsidRPr="00BF7CE2">
        <w:t>eff</w:t>
      </w:r>
      <w:r w:rsidR="006E1B4C">
        <w:t>i</w:t>
      </w:r>
      <w:r w:rsidR="00BF7CE2" w:rsidRPr="00BF7CE2">
        <w:t>cient laws and regulations in place</w:t>
      </w:r>
      <w:proofErr w:type="gramStart"/>
      <w:r w:rsidR="001B28F4">
        <w:t xml:space="preserve">;  </w:t>
      </w:r>
      <w:r w:rsidR="00BF7CE2" w:rsidRPr="00BF7CE2">
        <w:t>2</w:t>
      </w:r>
      <w:proofErr w:type="gramEnd"/>
      <w:r w:rsidR="001B28F4">
        <w:t>.</w:t>
      </w:r>
      <w:r w:rsidR="00BF7CE2" w:rsidRPr="00BF7CE2">
        <w:t xml:space="preserve"> strong IP enforcement bodies</w:t>
      </w:r>
      <w:r w:rsidR="001B28F4">
        <w:t>;</w:t>
      </w:r>
      <w:r w:rsidR="00BF7CE2" w:rsidRPr="00BF7CE2">
        <w:t xml:space="preserve"> </w:t>
      </w:r>
      <w:r w:rsidR="001B28F4">
        <w:t xml:space="preserve"> </w:t>
      </w:r>
      <w:r w:rsidR="00BF7CE2" w:rsidRPr="00BF7CE2">
        <w:t>3</w:t>
      </w:r>
      <w:r w:rsidR="001B28F4">
        <w:t>.</w:t>
      </w:r>
      <w:r w:rsidR="00BF7CE2" w:rsidRPr="00BF7CE2">
        <w:t xml:space="preserve"> public awareness</w:t>
      </w:r>
      <w:r w:rsidR="001B28F4">
        <w:t>;</w:t>
      </w:r>
      <w:r w:rsidR="00BF7CE2" w:rsidRPr="00BF7CE2">
        <w:t xml:space="preserve"> </w:t>
      </w:r>
      <w:r w:rsidR="001B28F4">
        <w:t xml:space="preserve"> 4. sufficient budgetary resources</w:t>
      </w:r>
      <w:r w:rsidR="00BF7CE2" w:rsidRPr="00BF7CE2">
        <w:t xml:space="preserve">). </w:t>
      </w:r>
      <w:r w:rsidR="00AD709E">
        <w:t xml:space="preserve"> </w:t>
      </w:r>
      <w:r w:rsidR="00BF7CE2" w:rsidRPr="00BF7CE2">
        <w:t>The lack of collaboration among IP enforcement agencies and enforcement procedures also causes delay</w:t>
      </w:r>
      <w:r w:rsidR="00173806">
        <w:t>s</w:t>
      </w:r>
      <w:r w:rsidR="00BF7CE2" w:rsidRPr="00BF7CE2">
        <w:t xml:space="preserve"> and inefficiencies to crackdown on IPR infringements.</w:t>
      </w:r>
      <w:r w:rsidR="006E1B4C">
        <w:t xml:space="preserve"> </w:t>
      </w:r>
      <w:r w:rsidR="00AD709E">
        <w:t xml:space="preserve"> </w:t>
      </w:r>
      <w:r w:rsidR="00BF7CE2" w:rsidRPr="00BF7CE2">
        <w:t xml:space="preserve">Although the Inter-Ministerial Committee on Suppression of Movie and Video Infringement was established in Cambodia, </w:t>
      </w:r>
      <w:r w:rsidR="00173806">
        <w:t xml:space="preserve">for </w:t>
      </w:r>
      <w:r w:rsidR="00BF7CE2" w:rsidRPr="00BF7CE2">
        <w:t>the actual implementation of laws</w:t>
      </w:r>
      <w:r w:rsidR="00707313">
        <w:t>,</w:t>
      </w:r>
      <w:r w:rsidR="00BF7CE2" w:rsidRPr="00BF7CE2">
        <w:t xml:space="preserve"> guideline</w:t>
      </w:r>
      <w:r w:rsidR="00E67628">
        <w:t>s</w:t>
      </w:r>
      <w:r w:rsidR="00BF7CE2" w:rsidRPr="00BF7CE2">
        <w:t xml:space="preserve"> and collaboration</w:t>
      </w:r>
      <w:r w:rsidR="00173806">
        <w:t xml:space="preserve"> are needed</w:t>
      </w:r>
      <w:r w:rsidR="00BF7CE2" w:rsidRPr="00BF7CE2">
        <w:t xml:space="preserve">. </w:t>
      </w:r>
      <w:r w:rsidR="00E67628">
        <w:t xml:space="preserve"> </w:t>
      </w:r>
      <w:r w:rsidR="00BF7CE2" w:rsidRPr="00BF7CE2">
        <w:t>The establishment of the Sub-</w:t>
      </w:r>
      <w:r w:rsidR="00E67628">
        <w:t>C</w:t>
      </w:r>
      <w:r w:rsidR="00BF7CE2" w:rsidRPr="00BF7CE2">
        <w:t xml:space="preserve">ommittee </w:t>
      </w:r>
      <w:r w:rsidR="00707313">
        <w:t>for</w:t>
      </w:r>
      <w:r w:rsidR="00BF7CE2" w:rsidRPr="00BF7CE2">
        <w:t xml:space="preserve"> IP Enforcement aims to put in place the policy for IP enforcement agencies to </w:t>
      </w:r>
      <w:r w:rsidR="00787B01">
        <w:t xml:space="preserve">efficiently </w:t>
      </w:r>
      <w:r w:rsidR="00164AB8">
        <w:t xml:space="preserve">perform </w:t>
      </w:r>
      <w:r w:rsidR="00BF7CE2" w:rsidRPr="00BF7CE2">
        <w:t xml:space="preserve">their duties. </w:t>
      </w:r>
      <w:r w:rsidR="008D3EA9">
        <w:t xml:space="preserve"> </w:t>
      </w:r>
      <w:r w:rsidR="00BF7CE2" w:rsidRPr="00BF7CE2">
        <w:t>Moreover, the Sub-</w:t>
      </w:r>
      <w:r w:rsidR="00E67628">
        <w:t>D</w:t>
      </w:r>
      <w:r w:rsidR="00BF7CE2" w:rsidRPr="00BF7CE2">
        <w:t xml:space="preserve">ecree on </w:t>
      </w:r>
      <w:r w:rsidR="00707313">
        <w:t xml:space="preserve">IP </w:t>
      </w:r>
      <w:r w:rsidR="00BF7CE2" w:rsidRPr="00BF7CE2">
        <w:t xml:space="preserve">enforcement procedures will fill the gaps to make IP enforcement stronger. </w:t>
      </w:r>
    </w:p>
    <w:p w:rsidR="00BF7CE2" w:rsidRPr="00BF7CE2" w:rsidRDefault="00BF7CE2" w:rsidP="00BF7CE2"/>
    <w:p w:rsidR="00BF7CE2" w:rsidRPr="00BF7CE2" w:rsidRDefault="00BF7CE2" w:rsidP="00BF7CE2"/>
    <w:p w:rsidR="00BF7CE2" w:rsidRPr="00BF7CE2" w:rsidRDefault="00DE4B20" w:rsidP="00BF7CE2">
      <w:pPr>
        <w:rPr>
          <w:b/>
          <w:bCs/>
        </w:rPr>
      </w:pPr>
      <w:r w:rsidRPr="00263A28">
        <w:rPr>
          <w:b/>
          <w:bCs/>
          <w:noProof/>
          <w:lang w:eastAsia="en-US"/>
        </w:rPr>
        <w:lastRenderedPageBreak/>
        <w:drawing>
          <wp:inline distT="0" distB="0" distL="0" distR="0" wp14:anchorId="201A7168" wp14:editId="317D6671">
            <wp:extent cx="5919470" cy="389127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389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E2" w:rsidRDefault="00BF7CE2" w:rsidP="00BF7CE2">
      <w:pPr>
        <w:rPr>
          <w:b/>
          <w:bCs/>
        </w:rPr>
      </w:pPr>
    </w:p>
    <w:p w:rsidR="007E6C79" w:rsidRDefault="007E6C79" w:rsidP="00BF7CE2">
      <w:pPr>
        <w:rPr>
          <w:b/>
          <w:bCs/>
        </w:rPr>
      </w:pPr>
    </w:p>
    <w:p w:rsidR="00BF7CE2" w:rsidRPr="00BF7CE2" w:rsidRDefault="00AD709E" w:rsidP="00AD709E">
      <w:pPr>
        <w:pStyle w:val="Heading1"/>
        <w:tabs>
          <w:tab w:val="left" w:pos="567"/>
        </w:tabs>
        <w:rPr>
          <w:u w:val="single"/>
        </w:rPr>
      </w:pPr>
      <w:r>
        <w:t>II</w:t>
      </w:r>
      <w:r w:rsidR="004B4433">
        <w:t>.</w:t>
      </w:r>
      <w:r>
        <w:tab/>
      </w:r>
      <w:r w:rsidR="00BF7CE2" w:rsidRPr="00BF7CE2">
        <w:t xml:space="preserve">Preliminary Alternative Dispute Resolution (PADR) </w:t>
      </w:r>
    </w:p>
    <w:p w:rsidR="00BF7CE2" w:rsidRPr="00F26759" w:rsidRDefault="00BF7CE2" w:rsidP="008C7BA3">
      <w:pPr>
        <w:pStyle w:val="Heading2"/>
        <w:numPr>
          <w:ilvl w:val="0"/>
          <w:numId w:val="19"/>
        </w:numPr>
        <w:tabs>
          <w:tab w:val="left" w:pos="567"/>
        </w:tabs>
        <w:ind w:hanging="720"/>
      </w:pPr>
      <w:r w:rsidRPr="00F26759">
        <w:t>Background</w:t>
      </w:r>
    </w:p>
    <w:p w:rsidR="00BF7CE2" w:rsidRPr="00BF7CE2" w:rsidRDefault="00BF7CE2" w:rsidP="00BF7CE2">
      <w:pPr>
        <w:rPr>
          <w:b/>
          <w:bCs/>
        </w:rPr>
      </w:pPr>
    </w:p>
    <w:p w:rsidR="00BF7CE2" w:rsidRPr="00BF7CE2" w:rsidRDefault="00674B95" w:rsidP="0052739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F7CE2" w:rsidRPr="00BF7CE2">
        <w:t>Since Cambodia is a least develop</w:t>
      </w:r>
      <w:r w:rsidR="006E1B4C">
        <w:t>ed</w:t>
      </w:r>
      <w:r w:rsidR="00BF7CE2" w:rsidRPr="00BF7CE2">
        <w:t xml:space="preserve"> country (LDC) where </w:t>
      </w:r>
      <w:r w:rsidR="00B114D2">
        <w:t xml:space="preserve">the </w:t>
      </w:r>
      <w:r w:rsidR="00BF7CE2" w:rsidRPr="00BF7CE2">
        <w:t xml:space="preserve">IP knowledge of the public is still limited and where judges, prosecutors and enforcement officials lack IP knowledge and experience in dealing with IP matters, the court may request for </w:t>
      </w:r>
      <w:r w:rsidR="00E67628">
        <w:t xml:space="preserve">IP examiners’ </w:t>
      </w:r>
      <w:r w:rsidR="00BF7CE2" w:rsidRPr="00BF7CE2">
        <w:t xml:space="preserve">recommendation or participation in </w:t>
      </w:r>
      <w:r w:rsidR="00E67628">
        <w:t xml:space="preserve">the </w:t>
      </w:r>
      <w:r w:rsidR="00BF7CE2" w:rsidRPr="00BF7CE2">
        <w:t>hearing</w:t>
      </w:r>
      <w:r w:rsidR="00E67628">
        <w:t>,</w:t>
      </w:r>
      <w:r w:rsidR="00BF7CE2" w:rsidRPr="00BF7CE2">
        <w:t xml:space="preserve"> before </w:t>
      </w:r>
      <w:r w:rsidR="00E67628">
        <w:t>rendering a</w:t>
      </w:r>
      <w:r w:rsidR="00BF7CE2" w:rsidRPr="00BF7CE2">
        <w:t xml:space="preserve"> decision </w:t>
      </w:r>
      <w:r w:rsidR="00E67628">
        <w:t>i</w:t>
      </w:r>
      <w:r w:rsidR="00BF7CE2" w:rsidRPr="00BF7CE2">
        <w:t xml:space="preserve">n IP cases. </w:t>
      </w:r>
      <w:r w:rsidR="00AD709E">
        <w:t xml:space="preserve"> </w:t>
      </w:r>
      <w:r w:rsidR="00BF7CE2" w:rsidRPr="00BF7CE2">
        <w:t xml:space="preserve">Bringing IP cases to court </w:t>
      </w:r>
      <w:r w:rsidR="00E67628">
        <w:t xml:space="preserve">is </w:t>
      </w:r>
      <w:r w:rsidR="00BF7CE2" w:rsidRPr="00BF7CE2">
        <w:t>normally time consuming and cost</w:t>
      </w:r>
      <w:r w:rsidR="00F26759">
        <w:t>ly</w:t>
      </w:r>
      <w:r w:rsidR="00BF7CE2" w:rsidRPr="00BF7CE2">
        <w:t xml:space="preserve">. </w:t>
      </w:r>
      <w:r w:rsidR="00C25390">
        <w:t xml:space="preserve"> </w:t>
      </w:r>
      <w:r w:rsidR="00BF7CE2" w:rsidRPr="00BF7CE2">
        <w:t xml:space="preserve">Some IP cases need </w:t>
      </w:r>
      <w:r w:rsidR="00AD709E">
        <w:t>four</w:t>
      </w:r>
      <w:r w:rsidR="00BF7CE2" w:rsidRPr="00BF7CE2">
        <w:t xml:space="preserve"> to </w:t>
      </w:r>
      <w:r w:rsidR="00AD709E">
        <w:t>five</w:t>
      </w:r>
      <w:r w:rsidR="00BF7CE2" w:rsidRPr="00BF7CE2">
        <w:t xml:space="preserve"> years to complete </w:t>
      </w:r>
      <w:r w:rsidR="00B114D2">
        <w:t xml:space="preserve">the </w:t>
      </w:r>
      <w:r w:rsidR="00BF7CE2" w:rsidRPr="00BF7CE2">
        <w:t xml:space="preserve">proceedings. </w:t>
      </w:r>
      <w:r w:rsidR="00AD709E">
        <w:t xml:space="preserve"> </w:t>
      </w:r>
      <w:r w:rsidR="00BF7CE2" w:rsidRPr="00BF7CE2">
        <w:t xml:space="preserve">Alternatively, local practitioners and right holders have requested the Ministry of Commerce to play a role as intermediary </w:t>
      </w:r>
      <w:r w:rsidR="00E67628">
        <w:t>providing</w:t>
      </w:r>
      <w:r w:rsidR="00BF7CE2" w:rsidRPr="00BF7CE2">
        <w:t xml:space="preserve"> </w:t>
      </w:r>
      <w:r w:rsidR="00707313">
        <w:t>PADR</w:t>
      </w:r>
      <w:r w:rsidR="00BF7CE2" w:rsidRPr="00BF7CE2">
        <w:t xml:space="preserve"> before </w:t>
      </w:r>
      <w:r w:rsidR="00E67628">
        <w:t>parties</w:t>
      </w:r>
      <w:r w:rsidR="00BF7CE2" w:rsidRPr="00BF7CE2">
        <w:t xml:space="preserve"> initiate court proceedings. </w:t>
      </w:r>
    </w:p>
    <w:p w:rsidR="00BF7CE2" w:rsidRPr="001D117A" w:rsidRDefault="00BF7CE2" w:rsidP="0052739F">
      <w:pPr>
        <w:rPr>
          <w:szCs w:val="22"/>
        </w:rPr>
      </w:pPr>
    </w:p>
    <w:p w:rsidR="00C25390" w:rsidRDefault="00674B95" w:rsidP="0052739F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BF7CE2" w:rsidRPr="001D117A">
        <w:rPr>
          <w:szCs w:val="22"/>
        </w:rPr>
        <w:t>Pursuan</w:t>
      </w:r>
      <w:r w:rsidR="00B114D2" w:rsidRPr="001D117A">
        <w:rPr>
          <w:szCs w:val="22"/>
        </w:rPr>
        <w:t>t</w:t>
      </w:r>
      <w:r w:rsidR="00BF7CE2" w:rsidRPr="001D117A">
        <w:rPr>
          <w:szCs w:val="22"/>
        </w:rPr>
        <w:t xml:space="preserve"> to Article 1(1) of TRIPS </w:t>
      </w:r>
      <w:r w:rsidR="00164AB8">
        <w:rPr>
          <w:szCs w:val="22"/>
        </w:rPr>
        <w:t>A</w:t>
      </w:r>
      <w:r w:rsidR="00BF7CE2" w:rsidRPr="001D117A">
        <w:rPr>
          <w:szCs w:val="22"/>
        </w:rPr>
        <w:t>greement</w:t>
      </w:r>
      <w:r w:rsidR="00787B01" w:rsidRPr="001D117A">
        <w:rPr>
          <w:szCs w:val="22"/>
        </w:rPr>
        <w:t>,</w:t>
      </w:r>
      <w:r w:rsidR="00F26759" w:rsidRPr="001D117A">
        <w:rPr>
          <w:szCs w:val="22"/>
        </w:rPr>
        <w:t xml:space="preserve"> which provides</w:t>
      </w:r>
      <w:r w:rsidR="00BF7CE2" w:rsidRPr="001D117A">
        <w:rPr>
          <w:szCs w:val="22"/>
        </w:rPr>
        <w:t xml:space="preserve"> “</w:t>
      </w:r>
      <w:r w:rsidR="00BF7CE2" w:rsidRPr="001D117A">
        <w:rPr>
          <w:i/>
          <w:szCs w:val="22"/>
        </w:rPr>
        <w:t>Member</w:t>
      </w:r>
      <w:r w:rsidR="00E67628" w:rsidRPr="001D117A">
        <w:rPr>
          <w:i/>
          <w:szCs w:val="22"/>
        </w:rPr>
        <w:t>s</w:t>
      </w:r>
      <w:r w:rsidR="00BF7CE2" w:rsidRPr="001D117A">
        <w:rPr>
          <w:i/>
          <w:szCs w:val="22"/>
        </w:rPr>
        <w:t xml:space="preserve"> shall be free to determine the appropriate method of implementing the provisions of this </w:t>
      </w:r>
      <w:r w:rsidR="00F26759" w:rsidRPr="000C739B">
        <w:rPr>
          <w:i/>
          <w:szCs w:val="22"/>
        </w:rPr>
        <w:t>A</w:t>
      </w:r>
      <w:r w:rsidR="00BF7CE2" w:rsidRPr="000C739B">
        <w:rPr>
          <w:i/>
          <w:szCs w:val="22"/>
        </w:rPr>
        <w:t>greement within their own legal system and practice</w:t>
      </w:r>
      <w:r w:rsidR="00C25390" w:rsidRPr="000C739B">
        <w:rPr>
          <w:szCs w:val="22"/>
        </w:rPr>
        <w:t>”, M</w:t>
      </w:r>
      <w:r w:rsidR="00BF7CE2" w:rsidRPr="000C739B">
        <w:rPr>
          <w:szCs w:val="22"/>
        </w:rPr>
        <w:t>ember States</w:t>
      </w:r>
      <w:r w:rsidR="00BF7CE2" w:rsidRPr="002A043C">
        <w:rPr>
          <w:szCs w:val="22"/>
        </w:rPr>
        <w:t xml:space="preserve"> are encouraged to adopt appropriate method</w:t>
      </w:r>
      <w:r w:rsidR="00F26759" w:rsidRPr="002A043C">
        <w:rPr>
          <w:szCs w:val="22"/>
        </w:rPr>
        <w:t>s</w:t>
      </w:r>
      <w:r w:rsidR="00BF7CE2" w:rsidRPr="006E1B4C">
        <w:rPr>
          <w:szCs w:val="22"/>
        </w:rPr>
        <w:t xml:space="preserve"> to enforce IPR effectively.</w:t>
      </w:r>
      <w:r w:rsidR="00AD709E" w:rsidRPr="006E1B4C">
        <w:rPr>
          <w:szCs w:val="22"/>
        </w:rPr>
        <w:t xml:space="preserve"> </w:t>
      </w:r>
      <w:r w:rsidR="00BF7CE2" w:rsidRPr="006E1B4C">
        <w:rPr>
          <w:szCs w:val="22"/>
        </w:rPr>
        <w:t xml:space="preserve"> In terms of Cambodia </w:t>
      </w:r>
      <w:r w:rsidR="00F26759" w:rsidRPr="006E1B4C">
        <w:rPr>
          <w:szCs w:val="22"/>
        </w:rPr>
        <w:t>being</w:t>
      </w:r>
      <w:r w:rsidR="00BF7CE2" w:rsidRPr="006E1B4C">
        <w:rPr>
          <w:szCs w:val="22"/>
        </w:rPr>
        <w:t xml:space="preserve"> </w:t>
      </w:r>
      <w:r w:rsidR="00F26759" w:rsidRPr="006E1B4C">
        <w:rPr>
          <w:szCs w:val="22"/>
        </w:rPr>
        <w:t xml:space="preserve">an </w:t>
      </w:r>
      <w:r w:rsidR="00BF7CE2" w:rsidRPr="006E1B4C">
        <w:rPr>
          <w:szCs w:val="22"/>
        </w:rPr>
        <w:t xml:space="preserve">LDC, </w:t>
      </w:r>
      <w:r w:rsidR="00707313">
        <w:rPr>
          <w:szCs w:val="22"/>
        </w:rPr>
        <w:t>PADR</w:t>
      </w:r>
      <w:r w:rsidR="00BF7CE2" w:rsidRPr="006E1B4C">
        <w:rPr>
          <w:szCs w:val="22"/>
        </w:rPr>
        <w:t xml:space="preserve"> outside the court system </w:t>
      </w:r>
      <w:r w:rsidR="00F26759" w:rsidRPr="006E1B4C">
        <w:rPr>
          <w:szCs w:val="22"/>
        </w:rPr>
        <w:t>is being encouraged a</w:t>
      </w:r>
      <w:r w:rsidR="00BF7CE2" w:rsidRPr="006E1B4C">
        <w:rPr>
          <w:szCs w:val="22"/>
        </w:rPr>
        <w:t xml:space="preserve">s a flexible procedure among others for resolving </w:t>
      </w:r>
      <w:r w:rsidR="00BF7CE2" w:rsidRPr="00694C6F">
        <w:rPr>
          <w:szCs w:val="22"/>
        </w:rPr>
        <w:t xml:space="preserve">IP </w:t>
      </w:r>
      <w:r w:rsidR="00C25390" w:rsidRPr="00694C6F">
        <w:rPr>
          <w:szCs w:val="22"/>
        </w:rPr>
        <w:t xml:space="preserve">disputes.  </w:t>
      </w:r>
      <w:r w:rsidR="00BF7CE2" w:rsidRPr="00694C6F">
        <w:rPr>
          <w:szCs w:val="22"/>
        </w:rPr>
        <w:t>Therefore on September 18, 2007</w:t>
      </w:r>
      <w:r w:rsidR="00AD709E" w:rsidRPr="00694C6F">
        <w:rPr>
          <w:szCs w:val="22"/>
        </w:rPr>
        <w:t xml:space="preserve">, </w:t>
      </w:r>
      <w:r w:rsidR="00BF7CE2" w:rsidRPr="00694C6F">
        <w:rPr>
          <w:szCs w:val="22"/>
        </w:rPr>
        <w:t>the Minister of Commerce issued a Declaration establishing the Bureau of Litigation responsible for IP litigation under the Department of Intellectual Property Rights</w:t>
      </w:r>
      <w:r w:rsidR="00707313">
        <w:rPr>
          <w:szCs w:val="22"/>
        </w:rPr>
        <w:t xml:space="preserve"> (IP office)</w:t>
      </w:r>
      <w:r w:rsidR="00BF7CE2" w:rsidRPr="00694C6F">
        <w:rPr>
          <w:szCs w:val="22"/>
        </w:rPr>
        <w:t xml:space="preserve">, Ministry of Commerce. </w:t>
      </w:r>
    </w:p>
    <w:p w:rsidR="00227A6C" w:rsidRPr="00694C6F" w:rsidRDefault="00227A6C" w:rsidP="0052739F">
      <w:pPr>
        <w:rPr>
          <w:szCs w:val="22"/>
        </w:rPr>
      </w:pPr>
    </w:p>
    <w:p w:rsidR="00BF7CE2" w:rsidRPr="00D5230E" w:rsidRDefault="00BF7CE2" w:rsidP="0052739F">
      <w:pPr>
        <w:pStyle w:val="Heading2"/>
        <w:numPr>
          <w:ilvl w:val="0"/>
          <w:numId w:val="19"/>
        </w:numPr>
        <w:tabs>
          <w:tab w:val="left" w:pos="567"/>
        </w:tabs>
        <w:ind w:hanging="720"/>
        <w:rPr>
          <w:szCs w:val="22"/>
        </w:rPr>
      </w:pPr>
      <w:r w:rsidRPr="00D5230E">
        <w:rPr>
          <w:szCs w:val="22"/>
        </w:rPr>
        <w:t>Role and Procedure</w:t>
      </w:r>
    </w:p>
    <w:p w:rsidR="00BF7CE2" w:rsidRPr="001D117A" w:rsidRDefault="00BF7CE2" w:rsidP="0052739F">
      <w:pPr>
        <w:rPr>
          <w:szCs w:val="22"/>
        </w:rPr>
      </w:pPr>
      <w:r w:rsidRPr="005509EF">
        <w:rPr>
          <w:szCs w:val="22"/>
        </w:rPr>
        <w:tab/>
      </w:r>
    </w:p>
    <w:p w:rsidR="00BF7CE2" w:rsidRPr="006E1B4C" w:rsidRDefault="00674B95" w:rsidP="0052739F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BF7CE2" w:rsidRPr="001D117A">
        <w:rPr>
          <w:szCs w:val="22"/>
        </w:rPr>
        <w:t>The plaintiff may take action against</w:t>
      </w:r>
      <w:r w:rsidR="00F26759" w:rsidRPr="001D117A">
        <w:rPr>
          <w:szCs w:val="22"/>
        </w:rPr>
        <w:t xml:space="preserve"> the</w:t>
      </w:r>
      <w:r w:rsidR="00BF7CE2" w:rsidRPr="001D117A">
        <w:rPr>
          <w:szCs w:val="22"/>
        </w:rPr>
        <w:t xml:space="preserve"> infringer before the Bureau of Litigation acting as intermediary</w:t>
      </w:r>
      <w:r w:rsidR="00F26759" w:rsidRPr="000C739B">
        <w:rPr>
          <w:szCs w:val="22"/>
        </w:rPr>
        <w:t>.</w:t>
      </w:r>
      <w:r w:rsidR="00BF7CE2" w:rsidRPr="000C739B">
        <w:rPr>
          <w:szCs w:val="22"/>
        </w:rPr>
        <w:t xml:space="preserve"> </w:t>
      </w:r>
      <w:r w:rsidR="00F26759" w:rsidRPr="000C739B">
        <w:rPr>
          <w:szCs w:val="22"/>
        </w:rPr>
        <w:t xml:space="preserve"> T</w:t>
      </w:r>
      <w:r w:rsidR="00BF7CE2" w:rsidRPr="000C739B">
        <w:rPr>
          <w:szCs w:val="22"/>
        </w:rPr>
        <w:t xml:space="preserve">he </w:t>
      </w:r>
      <w:r w:rsidR="00707313">
        <w:rPr>
          <w:szCs w:val="22"/>
        </w:rPr>
        <w:t>PADR</w:t>
      </w:r>
      <w:r w:rsidR="00BF7CE2" w:rsidRPr="000C739B">
        <w:rPr>
          <w:szCs w:val="22"/>
        </w:rPr>
        <w:t xml:space="preserve"> procedure </w:t>
      </w:r>
      <w:r w:rsidR="00F26759" w:rsidRPr="002A043C">
        <w:rPr>
          <w:szCs w:val="22"/>
        </w:rPr>
        <w:t>serves as</w:t>
      </w:r>
      <w:r w:rsidR="00BF7CE2" w:rsidRPr="002A043C">
        <w:rPr>
          <w:szCs w:val="22"/>
        </w:rPr>
        <w:t xml:space="preserve"> a good </w:t>
      </w:r>
      <w:r w:rsidR="006E1B4C">
        <w:rPr>
          <w:szCs w:val="22"/>
        </w:rPr>
        <w:t>alternative</w:t>
      </w:r>
      <w:r w:rsidR="00BF7CE2" w:rsidRPr="002A043C">
        <w:rPr>
          <w:szCs w:val="22"/>
        </w:rPr>
        <w:t xml:space="preserve"> to long trials, </w:t>
      </w:r>
      <w:r w:rsidR="00F26759" w:rsidRPr="006E1B4C">
        <w:rPr>
          <w:szCs w:val="22"/>
        </w:rPr>
        <w:t xml:space="preserve">taking </w:t>
      </w:r>
      <w:r w:rsidR="00BF7CE2" w:rsidRPr="006E1B4C">
        <w:rPr>
          <w:szCs w:val="22"/>
        </w:rPr>
        <w:t>from 2 weeks to several weeks</w:t>
      </w:r>
      <w:r w:rsidR="00BF7CE2" w:rsidRPr="006E1B4C">
        <w:rPr>
          <w:bCs/>
          <w:szCs w:val="22"/>
        </w:rPr>
        <w:t xml:space="preserve"> to reach agreement</w:t>
      </w:r>
      <w:r w:rsidR="00BF7CE2" w:rsidRPr="006E1B4C">
        <w:rPr>
          <w:szCs w:val="22"/>
        </w:rPr>
        <w:t xml:space="preserve"> and </w:t>
      </w:r>
      <w:r w:rsidR="00F26759" w:rsidRPr="006E1B4C">
        <w:rPr>
          <w:szCs w:val="22"/>
        </w:rPr>
        <w:t xml:space="preserve">as such is </w:t>
      </w:r>
      <w:proofErr w:type="gramStart"/>
      <w:r w:rsidR="00BF7CE2" w:rsidRPr="006E1B4C">
        <w:rPr>
          <w:szCs w:val="22"/>
        </w:rPr>
        <w:t>cost</w:t>
      </w:r>
      <w:r w:rsidR="00B114D2" w:rsidRPr="006E1B4C">
        <w:rPr>
          <w:szCs w:val="22"/>
        </w:rPr>
        <w:noBreakHyphen/>
      </w:r>
      <w:r w:rsidR="00BF7CE2" w:rsidRPr="006E1B4C">
        <w:rPr>
          <w:szCs w:val="22"/>
        </w:rPr>
        <w:t>effective</w:t>
      </w:r>
      <w:proofErr w:type="gramEnd"/>
      <w:r w:rsidR="00707313">
        <w:rPr>
          <w:szCs w:val="22"/>
        </w:rPr>
        <w:t>, necessitating</w:t>
      </w:r>
      <w:r w:rsidR="00B114D2" w:rsidRPr="006E1B4C">
        <w:rPr>
          <w:szCs w:val="22"/>
        </w:rPr>
        <w:t xml:space="preserve"> only a nominal</w:t>
      </w:r>
      <w:r w:rsidR="00BF7CE2" w:rsidRPr="006E1B4C">
        <w:rPr>
          <w:szCs w:val="22"/>
        </w:rPr>
        <w:t xml:space="preserve"> administrative fee. </w:t>
      </w:r>
      <w:r w:rsidR="00F26759" w:rsidRPr="006E1B4C">
        <w:rPr>
          <w:szCs w:val="22"/>
        </w:rPr>
        <w:t xml:space="preserve"> </w:t>
      </w:r>
      <w:r w:rsidR="00BF7CE2" w:rsidRPr="006E1B4C">
        <w:rPr>
          <w:szCs w:val="22"/>
        </w:rPr>
        <w:t xml:space="preserve">The interested parties may </w:t>
      </w:r>
      <w:r w:rsidR="00F26759" w:rsidRPr="006E1B4C">
        <w:rPr>
          <w:szCs w:val="22"/>
        </w:rPr>
        <w:t xml:space="preserve">also </w:t>
      </w:r>
      <w:r w:rsidR="00BF7CE2" w:rsidRPr="006E1B4C">
        <w:rPr>
          <w:szCs w:val="22"/>
        </w:rPr>
        <w:t xml:space="preserve">settle their dispute before the </w:t>
      </w:r>
      <w:r w:rsidR="00BF7CE2" w:rsidRPr="006E1B4C">
        <w:rPr>
          <w:szCs w:val="22"/>
        </w:rPr>
        <w:lastRenderedPageBreak/>
        <w:t>Ministry of Commerce or the rights owner can directly file a lawsuit against the infringe</w:t>
      </w:r>
      <w:r w:rsidR="00BF7CE2" w:rsidRPr="00694C6F">
        <w:rPr>
          <w:szCs w:val="22"/>
        </w:rPr>
        <w:t xml:space="preserve">r to the court. </w:t>
      </w:r>
      <w:r w:rsidR="00AD709E" w:rsidRPr="00694C6F">
        <w:rPr>
          <w:szCs w:val="22"/>
        </w:rPr>
        <w:t xml:space="preserve"> </w:t>
      </w:r>
      <w:r w:rsidR="00BF7CE2" w:rsidRPr="00694C6F">
        <w:rPr>
          <w:szCs w:val="22"/>
        </w:rPr>
        <w:t xml:space="preserve">In light of the </w:t>
      </w:r>
      <w:r w:rsidR="00B114D2" w:rsidRPr="00694C6F">
        <w:rPr>
          <w:szCs w:val="22"/>
        </w:rPr>
        <w:t>challenges faced by the</w:t>
      </w:r>
      <w:r w:rsidR="00BF7CE2" w:rsidRPr="00694C6F">
        <w:rPr>
          <w:szCs w:val="22"/>
        </w:rPr>
        <w:t xml:space="preserve"> judiciary, legal practitioners normally advise their clients to reach a settlement before the Ministry of Commerce, as court </w:t>
      </w:r>
      <w:r w:rsidR="006E1B4C">
        <w:rPr>
          <w:szCs w:val="22"/>
        </w:rPr>
        <w:t>procedures</w:t>
      </w:r>
      <w:r w:rsidR="00BF7CE2" w:rsidRPr="006E1B4C">
        <w:rPr>
          <w:szCs w:val="22"/>
        </w:rPr>
        <w:t xml:space="preserve"> </w:t>
      </w:r>
      <w:r w:rsidR="00B114D2" w:rsidRPr="006E1B4C">
        <w:rPr>
          <w:szCs w:val="22"/>
        </w:rPr>
        <w:t>c</w:t>
      </w:r>
      <w:r w:rsidR="00BF7CE2" w:rsidRPr="006E1B4C">
        <w:rPr>
          <w:szCs w:val="22"/>
        </w:rPr>
        <w:t xml:space="preserve">ould be lengthy, costly and </w:t>
      </w:r>
      <w:r w:rsidR="00B114D2" w:rsidRPr="006E1B4C">
        <w:rPr>
          <w:szCs w:val="22"/>
        </w:rPr>
        <w:t>possibly</w:t>
      </w:r>
      <w:r w:rsidR="00BF7CE2" w:rsidRPr="006E1B4C">
        <w:rPr>
          <w:bCs/>
          <w:szCs w:val="22"/>
        </w:rPr>
        <w:t xml:space="preserve"> inconsistent</w:t>
      </w:r>
      <w:r w:rsidR="00BF7CE2" w:rsidRPr="006E1B4C">
        <w:rPr>
          <w:szCs w:val="22"/>
        </w:rPr>
        <w:t xml:space="preserve">. </w:t>
      </w:r>
      <w:r w:rsidR="0052739F" w:rsidRPr="006E1B4C">
        <w:rPr>
          <w:szCs w:val="22"/>
        </w:rPr>
        <w:t xml:space="preserve"> </w:t>
      </w:r>
      <w:r w:rsidR="00BF7CE2" w:rsidRPr="006E1B4C">
        <w:rPr>
          <w:szCs w:val="22"/>
        </w:rPr>
        <w:t xml:space="preserve">If reconciliation fails, the rights owner is still free to file </w:t>
      </w:r>
      <w:r w:rsidR="00F23CAC" w:rsidRPr="006E1B4C">
        <w:rPr>
          <w:szCs w:val="22"/>
        </w:rPr>
        <w:t xml:space="preserve">a </w:t>
      </w:r>
      <w:r w:rsidR="00BF7CE2" w:rsidRPr="006E1B4C">
        <w:rPr>
          <w:szCs w:val="22"/>
        </w:rPr>
        <w:t>lawsuit</w:t>
      </w:r>
      <w:r w:rsidR="00707313">
        <w:rPr>
          <w:szCs w:val="22"/>
        </w:rPr>
        <w:t>.</w:t>
      </w:r>
      <w:r w:rsidR="00BF7CE2" w:rsidRPr="006E1B4C">
        <w:rPr>
          <w:szCs w:val="22"/>
        </w:rPr>
        <w:t xml:space="preserve"> </w:t>
      </w:r>
    </w:p>
    <w:p w:rsidR="00BF7CE2" w:rsidRPr="00694C6F" w:rsidRDefault="00BF7CE2" w:rsidP="0052739F">
      <w:pPr>
        <w:rPr>
          <w:szCs w:val="22"/>
        </w:rPr>
      </w:pPr>
    </w:p>
    <w:p w:rsidR="00BF7CE2" w:rsidRPr="00694C6F" w:rsidRDefault="00674B95" w:rsidP="0052739F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BF7CE2" w:rsidRPr="001D117A">
        <w:rPr>
          <w:szCs w:val="22"/>
        </w:rPr>
        <w:t xml:space="preserve">The structure of </w:t>
      </w:r>
      <w:r w:rsidR="00F23CAC" w:rsidRPr="001D117A">
        <w:rPr>
          <w:szCs w:val="22"/>
        </w:rPr>
        <w:t xml:space="preserve">the </w:t>
      </w:r>
      <w:r w:rsidR="00BF7CE2" w:rsidRPr="001D117A">
        <w:rPr>
          <w:szCs w:val="22"/>
        </w:rPr>
        <w:t xml:space="preserve">PADR procedure is organized through </w:t>
      </w:r>
      <w:r w:rsidR="00B5048B" w:rsidRPr="001D117A">
        <w:rPr>
          <w:szCs w:val="22"/>
        </w:rPr>
        <w:t xml:space="preserve">a </w:t>
      </w:r>
      <w:r w:rsidR="00BF7CE2" w:rsidRPr="001D117A">
        <w:rPr>
          <w:szCs w:val="22"/>
        </w:rPr>
        <w:t xml:space="preserve">negotiation hearing, being similar to </w:t>
      </w:r>
      <w:r w:rsidR="00F23CAC" w:rsidRPr="000C739B">
        <w:rPr>
          <w:szCs w:val="22"/>
        </w:rPr>
        <w:t xml:space="preserve">a </w:t>
      </w:r>
      <w:r w:rsidR="00BF7CE2" w:rsidRPr="000C739B">
        <w:rPr>
          <w:szCs w:val="22"/>
        </w:rPr>
        <w:t xml:space="preserve">court hearing process or </w:t>
      </w:r>
      <w:proofErr w:type="gramStart"/>
      <w:r w:rsidR="00F23CAC" w:rsidRPr="000C739B">
        <w:rPr>
          <w:szCs w:val="22"/>
        </w:rPr>
        <w:t xml:space="preserve">a </w:t>
      </w:r>
      <w:r w:rsidR="00BF7CE2" w:rsidRPr="000C739B">
        <w:rPr>
          <w:szCs w:val="22"/>
        </w:rPr>
        <w:t>med</w:t>
      </w:r>
      <w:bookmarkStart w:id="5" w:name="_GoBack"/>
      <w:bookmarkEnd w:id="5"/>
      <w:r w:rsidR="00BF7CE2" w:rsidRPr="000C739B">
        <w:rPr>
          <w:szCs w:val="22"/>
        </w:rPr>
        <w:t>iation</w:t>
      </w:r>
      <w:proofErr w:type="gramEnd"/>
      <w:r w:rsidR="00F23CAC" w:rsidRPr="002A043C">
        <w:rPr>
          <w:szCs w:val="22"/>
        </w:rPr>
        <w:t xml:space="preserve">. </w:t>
      </w:r>
      <w:r w:rsidR="0052739F" w:rsidRPr="002A043C">
        <w:rPr>
          <w:szCs w:val="22"/>
        </w:rPr>
        <w:t xml:space="preserve"> </w:t>
      </w:r>
      <w:r w:rsidR="00F23CAC" w:rsidRPr="006E1B4C">
        <w:rPr>
          <w:szCs w:val="22"/>
        </w:rPr>
        <w:t xml:space="preserve">The </w:t>
      </w:r>
      <w:r w:rsidR="00BF7CE2" w:rsidRPr="006E1B4C">
        <w:rPr>
          <w:szCs w:val="22"/>
        </w:rPr>
        <w:t xml:space="preserve">presiding intermediary </w:t>
      </w:r>
      <w:r w:rsidR="00F23CAC" w:rsidRPr="006E1B4C">
        <w:rPr>
          <w:szCs w:val="22"/>
        </w:rPr>
        <w:t>will comprise of</w:t>
      </w:r>
      <w:r w:rsidR="00B5048B" w:rsidRPr="006E1B4C">
        <w:rPr>
          <w:szCs w:val="22"/>
        </w:rPr>
        <w:t xml:space="preserve"> </w:t>
      </w:r>
      <w:r w:rsidR="00F23CAC" w:rsidRPr="006E1B4C">
        <w:rPr>
          <w:szCs w:val="22"/>
        </w:rPr>
        <w:t>the</w:t>
      </w:r>
      <w:r w:rsidR="00BF7CE2" w:rsidRPr="006E1B4C">
        <w:rPr>
          <w:szCs w:val="22"/>
        </w:rPr>
        <w:t xml:space="preserve"> director or deputy director of the </w:t>
      </w:r>
      <w:r w:rsidR="00401697">
        <w:rPr>
          <w:szCs w:val="22"/>
        </w:rPr>
        <w:t>IP office</w:t>
      </w:r>
      <w:r w:rsidR="00F23CAC" w:rsidRPr="006E1B4C">
        <w:rPr>
          <w:szCs w:val="22"/>
        </w:rPr>
        <w:t xml:space="preserve">, </w:t>
      </w:r>
      <w:r w:rsidR="00BF7CE2" w:rsidRPr="006E1B4C">
        <w:rPr>
          <w:szCs w:val="22"/>
        </w:rPr>
        <w:t xml:space="preserve">alternatively accompanied by </w:t>
      </w:r>
      <w:r w:rsidR="00B5048B" w:rsidRPr="00694C6F">
        <w:rPr>
          <w:szCs w:val="22"/>
        </w:rPr>
        <w:t xml:space="preserve">the </w:t>
      </w:r>
      <w:r w:rsidR="00BF7CE2" w:rsidRPr="00694C6F">
        <w:rPr>
          <w:szCs w:val="22"/>
        </w:rPr>
        <w:t xml:space="preserve">chief or </w:t>
      </w:r>
      <w:r w:rsidR="00B5048B" w:rsidRPr="00694C6F">
        <w:rPr>
          <w:szCs w:val="22"/>
        </w:rPr>
        <w:t xml:space="preserve">the </w:t>
      </w:r>
      <w:r w:rsidR="00BF7CE2" w:rsidRPr="00694C6F">
        <w:rPr>
          <w:szCs w:val="22"/>
        </w:rPr>
        <w:t xml:space="preserve">deputy chief of </w:t>
      </w:r>
      <w:r w:rsidR="00707313">
        <w:rPr>
          <w:szCs w:val="22"/>
        </w:rPr>
        <w:t xml:space="preserve">the </w:t>
      </w:r>
      <w:r w:rsidR="00BF7CE2" w:rsidRPr="00694C6F">
        <w:rPr>
          <w:szCs w:val="22"/>
        </w:rPr>
        <w:t xml:space="preserve">Bureau of Litigation and a secretary with IP knowledge and experience. </w:t>
      </w:r>
    </w:p>
    <w:p w:rsidR="00BF7CE2" w:rsidRPr="00D5230E" w:rsidRDefault="00BF7CE2" w:rsidP="0052739F">
      <w:pPr>
        <w:rPr>
          <w:szCs w:val="22"/>
        </w:rPr>
      </w:pPr>
    </w:p>
    <w:p w:rsidR="00BF7CE2" w:rsidRPr="006E1B4C" w:rsidRDefault="00674B95" w:rsidP="0052739F">
      <w:pPr>
        <w:rPr>
          <w:bCs/>
          <w:szCs w:val="22"/>
        </w:rPr>
      </w:pPr>
      <w:r>
        <w:rPr>
          <w:bCs/>
          <w:szCs w:val="22"/>
        </w:rPr>
        <w:fldChar w:fldCharType="begin"/>
      </w:r>
      <w:r>
        <w:rPr>
          <w:bCs/>
          <w:szCs w:val="22"/>
        </w:rPr>
        <w:instrText xml:space="preserve"> AUTONUM  </w:instrText>
      </w:r>
      <w:r>
        <w:rPr>
          <w:bCs/>
          <w:szCs w:val="22"/>
        </w:rPr>
        <w:fldChar w:fldCharType="end"/>
      </w:r>
      <w:r>
        <w:rPr>
          <w:bCs/>
          <w:szCs w:val="22"/>
        </w:rPr>
        <w:tab/>
      </w:r>
      <w:r w:rsidR="00BF7CE2" w:rsidRPr="001D117A">
        <w:rPr>
          <w:bCs/>
          <w:szCs w:val="22"/>
        </w:rPr>
        <w:t xml:space="preserve">The procedure </w:t>
      </w:r>
      <w:r w:rsidR="00F23CAC" w:rsidRPr="001D117A">
        <w:rPr>
          <w:bCs/>
          <w:szCs w:val="22"/>
        </w:rPr>
        <w:t>may be</w:t>
      </w:r>
      <w:r w:rsidR="00BF7CE2" w:rsidRPr="001D117A">
        <w:rPr>
          <w:bCs/>
          <w:szCs w:val="22"/>
        </w:rPr>
        <w:t xml:space="preserve"> non-binding </w:t>
      </w:r>
      <w:r w:rsidR="00F23CAC" w:rsidRPr="001D117A">
        <w:rPr>
          <w:bCs/>
          <w:szCs w:val="22"/>
        </w:rPr>
        <w:t>or</w:t>
      </w:r>
      <w:r w:rsidR="00BF7CE2" w:rsidRPr="001D117A">
        <w:rPr>
          <w:bCs/>
          <w:szCs w:val="22"/>
        </w:rPr>
        <w:t xml:space="preserve"> binding</w:t>
      </w:r>
      <w:r w:rsidR="00F23CAC" w:rsidRPr="001D117A">
        <w:rPr>
          <w:bCs/>
          <w:szCs w:val="22"/>
        </w:rPr>
        <w:t>.</w:t>
      </w:r>
      <w:r w:rsidR="00BF7CE2" w:rsidRPr="001D117A">
        <w:rPr>
          <w:bCs/>
          <w:szCs w:val="22"/>
        </w:rPr>
        <w:t xml:space="preserve">  Sometimes with administrative imposition</w:t>
      </w:r>
      <w:r w:rsidR="00B23084" w:rsidRPr="001D117A">
        <w:rPr>
          <w:bCs/>
          <w:szCs w:val="22"/>
        </w:rPr>
        <w:t>,</w:t>
      </w:r>
      <w:r w:rsidR="00BF7CE2" w:rsidRPr="001D117A">
        <w:rPr>
          <w:bCs/>
          <w:szCs w:val="22"/>
        </w:rPr>
        <w:t xml:space="preserve"> a </w:t>
      </w:r>
      <w:r w:rsidR="00B5048B" w:rsidRPr="001D117A">
        <w:rPr>
          <w:bCs/>
          <w:szCs w:val="22"/>
        </w:rPr>
        <w:t xml:space="preserve">presiding </w:t>
      </w:r>
      <w:r w:rsidR="00BF7CE2" w:rsidRPr="000C739B">
        <w:rPr>
          <w:bCs/>
          <w:szCs w:val="22"/>
        </w:rPr>
        <w:t>neutral</w:t>
      </w:r>
      <w:r w:rsidR="00F23CAC" w:rsidRPr="000C739B">
        <w:rPr>
          <w:bCs/>
          <w:szCs w:val="22"/>
        </w:rPr>
        <w:t xml:space="preserve"> </w:t>
      </w:r>
      <w:r w:rsidR="00BF7CE2" w:rsidRPr="000C739B">
        <w:rPr>
          <w:bCs/>
          <w:szCs w:val="22"/>
        </w:rPr>
        <w:t>assists the parties in reaching a settlement of their dispute, based on the</w:t>
      </w:r>
      <w:r w:rsidR="00750A81" w:rsidRPr="000C739B">
        <w:rPr>
          <w:bCs/>
          <w:szCs w:val="22"/>
        </w:rPr>
        <w:t xml:space="preserve"> parties’ respective interests.  </w:t>
      </w:r>
      <w:r w:rsidR="00B23084" w:rsidRPr="002A043C">
        <w:rPr>
          <w:bCs/>
          <w:szCs w:val="22"/>
        </w:rPr>
        <w:t>S</w:t>
      </w:r>
      <w:r w:rsidR="00BF7CE2" w:rsidRPr="002A043C">
        <w:rPr>
          <w:bCs/>
          <w:szCs w:val="22"/>
        </w:rPr>
        <w:t>ettlement results</w:t>
      </w:r>
      <w:r w:rsidR="00B23084" w:rsidRPr="006E1B4C">
        <w:rPr>
          <w:bCs/>
          <w:szCs w:val="22"/>
        </w:rPr>
        <w:t xml:space="preserve"> are</w:t>
      </w:r>
      <w:r w:rsidR="00BF7CE2" w:rsidRPr="006E1B4C">
        <w:rPr>
          <w:bCs/>
          <w:szCs w:val="22"/>
        </w:rPr>
        <w:t xml:space="preserve"> normally enforceable as a contract.</w:t>
      </w:r>
    </w:p>
    <w:p w:rsidR="00BF7CE2" w:rsidRPr="006E1B4C" w:rsidRDefault="00BF7CE2" w:rsidP="0052739F">
      <w:pPr>
        <w:rPr>
          <w:bCs/>
          <w:szCs w:val="22"/>
        </w:rPr>
      </w:pPr>
    </w:p>
    <w:p w:rsidR="00BF7CE2" w:rsidRPr="006E1B4C" w:rsidRDefault="00674B95" w:rsidP="0052739F">
      <w:pPr>
        <w:rPr>
          <w:bCs/>
          <w:szCs w:val="22"/>
        </w:rPr>
      </w:pPr>
      <w:r>
        <w:rPr>
          <w:bCs/>
          <w:szCs w:val="22"/>
        </w:rPr>
        <w:fldChar w:fldCharType="begin"/>
      </w:r>
      <w:r>
        <w:rPr>
          <w:bCs/>
          <w:szCs w:val="22"/>
        </w:rPr>
        <w:instrText xml:space="preserve"> AUTONUM  </w:instrText>
      </w:r>
      <w:r>
        <w:rPr>
          <w:bCs/>
          <w:szCs w:val="22"/>
        </w:rPr>
        <w:fldChar w:fldCharType="end"/>
      </w:r>
      <w:r>
        <w:rPr>
          <w:bCs/>
          <w:szCs w:val="22"/>
        </w:rPr>
        <w:tab/>
      </w:r>
      <w:r w:rsidR="00BF7CE2" w:rsidRPr="001D117A">
        <w:rPr>
          <w:bCs/>
          <w:szCs w:val="22"/>
        </w:rPr>
        <w:t>The procedure, at the request of any interested part</w:t>
      </w:r>
      <w:r w:rsidR="00B23084" w:rsidRPr="001D117A">
        <w:rPr>
          <w:bCs/>
          <w:szCs w:val="22"/>
        </w:rPr>
        <w:t>y</w:t>
      </w:r>
      <w:r w:rsidR="00BF7CE2" w:rsidRPr="001D117A">
        <w:rPr>
          <w:bCs/>
          <w:szCs w:val="22"/>
        </w:rPr>
        <w:t xml:space="preserve"> to a dispute, engages the assistance of a neutral intermediary from </w:t>
      </w:r>
      <w:r w:rsidR="00B23084" w:rsidRPr="000C739B">
        <w:rPr>
          <w:bCs/>
          <w:szCs w:val="22"/>
        </w:rPr>
        <w:t xml:space="preserve">the </w:t>
      </w:r>
      <w:r w:rsidR="00BF7CE2" w:rsidRPr="000C739B">
        <w:rPr>
          <w:bCs/>
          <w:szCs w:val="22"/>
        </w:rPr>
        <w:t>IP office to facilitate negotiations between the</w:t>
      </w:r>
      <w:r w:rsidR="00B23084" w:rsidRPr="000C739B">
        <w:rPr>
          <w:bCs/>
          <w:szCs w:val="22"/>
        </w:rPr>
        <w:t xml:space="preserve"> parties</w:t>
      </w:r>
      <w:r w:rsidR="00BF7CE2" w:rsidRPr="000C739B">
        <w:rPr>
          <w:bCs/>
          <w:szCs w:val="22"/>
        </w:rPr>
        <w:t xml:space="preserve"> with </w:t>
      </w:r>
      <w:r w:rsidR="00B23084" w:rsidRPr="002A043C">
        <w:rPr>
          <w:bCs/>
          <w:szCs w:val="22"/>
        </w:rPr>
        <w:t xml:space="preserve">differing </w:t>
      </w:r>
      <w:r w:rsidR="00BF7CE2" w:rsidRPr="002A043C">
        <w:rPr>
          <w:bCs/>
          <w:szCs w:val="22"/>
        </w:rPr>
        <w:t>legal points of view to resolv</w:t>
      </w:r>
      <w:r w:rsidR="00707313">
        <w:rPr>
          <w:bCs/>
          <w:szCs w:val="22"/>
        </w:rPr>
        <w:t>e</w:t>
      </w:r>
      <w:r w:rsidR="00BF7CE2" w:rsidRPr="002A043C">
        <w:rPr>
          <w:bCs/>
          <w:szCs w:val="22"/>
        </w:rPr>
        <w:t xml:space="preserve"> their difference</w:t>
      </w:r>
      <w:r w:rsidR="00BF7CE2" w:rsidRPr="006E1B4C">
        <w:rPr>
          <w:bCs/>
          <w:szCs w:val="22"/>
        </w:rPr>
        <w:t>s amicably.</w:t>
      </w:r>
    </w:p>
    <w:p w:rsidR="00BF7CE2" w:rsidRPr="006E1B4C" w:rsidRDefault="00BF7CE2" w:rsidP="0052739F">
      <w:pPr>
        <w:rPr>
          <w:bCs/>
          <w:szCs w:val="22"/>
        </w:rPr>
      </w:pPr>
      <w:r w:rsidRPr="006E1B4C">
        <w:rPr>
          <w:bCs/>
          <w:szCs w:val="22"/>
        </w:rPr>
        <w:tab/>
      </w:r>
    </w:p>
    <w:p w:rsidR="00BF7CE2" w:rsidRPr="006E1B4C" w:rsidRDefault="00674B95" w:rsidP="0052739F">
      <w:pPr>
        <w:rPr>
          <w:bCs/>
          <w:szCs w:val="22"/>
        </w:rPr>
      </w:pPr>
      <w:r>
        <w:rPr>
          <w:bCs/>
          <w:szCs w:val="22"/>
        </w:rPr>
        <w:fldChar w:fldCharType="begin"/>
      </w:r>
      <w:r>
        <w:rPr>
          <w:bCs/>
          <w:szCs w:val="22"/>
        </w:rPr>
        <w:instrText xml:space="preserve"> AUTONUM  </w:instrText>
      </w:r>
      <w:r>
        <w:rPr>
          <w:bCs/>
          <w:szCs w:val="22"/>
        </w:rPr>
        <w:fldChar w:fldCharType="end"/>
      </w:r>
      <w:r>
        <w:rPr>
          <w:bCs/>
          <w:szCs w:val="22"/>
        </w:rPr>
        <w:tab/>
      </w:r>
      <w:r w:rsidR="00BF7CE2" w:rsidRPr="001D117A">
        <w:rPr>
          <w:bCs/>
          <w:szCs w:val="22"/>
        </w:rPr>
        <w:t xml:space="preserve">Reconciliation is akin to a “without prejudice” negotiation session under the auspices of the intermediary from </w:t>
      </w:r>
      <w:r w:rsidR="00B5048B" w:rsidRPr="000C739B">
        <w:rPr>
          <w:bCs/>
          <w:szCs w:val="22"/>
        </w:rPr>
        <w:t xml:space="preserve">the </w:t>
      </w:r>
      <w:r w:rsidR="00BF7CE2" w:rsidRPr="000C739B">
        <w:rPr>
          <w:bCs/>
          <w:szCs w:val="22"/>
        </w:rPr>
        <w:t>IP offic</w:t>
      </w:r>
      <w:r w:rsidR="00B5048B" w:rsidRPr="000C739B">
        <w:rPr>
          <w:bCs/>
          <w:szCs w:val="22"/>
        </w:rPr>
        <w:t>e</w:t>
      </w:r>
      <w:r w:rsidR="00BF7CE2" w:rsidRPr="000C739B">
        <w:rPr>
          <w:bCs/>
          <w:szCs w:val="22"/>
        </w:rPr>
        <w:t xml:space="preserve"> (Royal civil servants) who are more respected than</w:t>
      </w:r>
      <w:r w:rsidR="00AD709E" w:rsidRPr="002A043C">
        <w:rPr>
          <w:bCs/>
          <w:szCs w:val="22"/>
        </w:rPr>
        <w:t xml:space="preserve"> </w:t>
      </w:r>
      <w:r w:rsidR="006E1B4C">
        <w:rPr>
          <w:bCs/>
          <w:szCs w:val="22"/>
        </w:rPr>
        <w:t>an</w:t>
      </w:r>
      <w:r w:rsidR="00AD709E" w:rsidRPr="002A043C">
        <w:rPr>
          <w:bCs/>
          <w:szCs w:val="22"/>
        </w:rPr>
        <w:t xml:space="preserve"> arbitrator or mediator, in</w:t>
      </w:r>
      <w:r w:rsidR="00BF7CE2" w:rsidRPr="006E1B4C">
        <w:rPr>
          <w:bCs/>
          <w:szCs w:val="22"/>
        </w:rPr>
        <w:t xml:space="preserve"> Cambodia.  </w:t>
      </w:r>
    </w:p>
    <w:p w:rsidR="00BF7CE2" w:rsidRPr="006E1B4C" w:rsidRDefault="00BF7CE2" w:rsidP="0052739F">
      <w:pPr>
        <w:rPr>
          <w:bCs/>
          <w:szCs w:val="22"/>
        </w:rPr>
      </w:pPr>
    </w:p>
    <w:p w:rsidR="00BF7CE2" w:rsidRPr="006E1B4C" w:rsidRDefault="00674B95" w:rsidP="0052739F">
      <w:pPr>
        <w:rPr>
          <w:bCs/>
          <w:szCs w:val="22"/>
        </w:rPr>
      </w:pPr>
      <w:r>
        <w:rPr>
          <w:bCs/>
          <w:szCs w:val="22"/>
        </w:rPr>
        <w:fldChar w:fldCharType="begin"/>
      </w:r>
      <w:r>
        <w:rPr>
          <w:bCs/>
          <w:szCs w:val="22"/>
        </w:rPr>
        <w:instrText xml:space="preserve"> AUTONUM  </w:instrText>
      </w:r>
      <w:r>
        <w:rPr>
          <w:bCs/>
          <w:szCs w:val="22"/>
        </w:rPr>
        <w:fldChar w:fldCharType="end"/>
      </w:r>
      <w:r>
        <w:rPr>
          <w:bCs/>
          <w:szCs w:val="22"/>
        </w:rPr>
        <w:tab/>
      </w:r>
      <w:r w:rsidR="002A3F46" w:rsidRPr="001D117A">
        <w:rPr>
          <w:bCs/>
          <w:szCs w:val="22"/>
        </w:rPr>
        <w:t>T</w:t>
      </w:r>
      <w:r w:rsidR="00BF7CE2" w:rsidRPr="001D117A">
        <w:rPr>
          <w:bCs/>
          <w:szCs w:val="22"/>
        </w:rPr>
        <w:t xml:space="preserve">he presiding intermediary will guide and regulate the process, </w:t>
      </w:r>
      <w:r w:rsidR="00B5048B" w:rsidRPr="001D117A">
        <w:rPr>
          <w:bCs/>
          <w:szCs w:val="22"/>
        </w:rPr>
        <w:t>to</w:t>
      </w:r>
      <w:r w:rsidR="00BF7CE2" w:rsidRPr="001D117A">
        <w:rPr>
          <w:bCs/>
          <w:szCs w:val="22"/>
        </w:rPr>
        <w:t xml:space="preserve"> </w:t>
      </w:r>
      <w:r w:rsidR="00B5048B" w:rsidRPr="001D117A">
        <w:rPr>
          <w:bCs/>
          <w:szCs w:val="22"/>
        </w:rPr>
        <w:t>prevent</w:t>
      </w:r>
      <w:r w:rsidR="00BF7CE2" w:rsidRPr="001D117A">
        <w:rPr>
          <w:bCs/>
          <w:szCs w:val="22"/>
        </w:rPr>
        <w:t xml:space="preserve"> the parties from digging into their respective positions. </w:t>
      </w:r>
      <w:r w:rsidR="0052739F" w:rsidRPr="000C739B">
        <w:rPr>
          <w:bCs/>
          <w:szCs w:val="22"/>
        </w:rPr>
        <w:t xml:space="preserve"> </w:t>
      </w:r>
      <w:r w:rsidR="00BF7CE2" w:rsidRPr="000C739B">
        <w:rPr>
          <w:bCs/>
          <w:szCs w:val="22"/>
        </w:rPr>
        <w:t xml:space="preserve">The outcome of the resolution is determined by the parties. </w:t>
      </w:r>
      <w:r w:rsidR="002A3F46" w:rsidRPr="000C739B">
        <w:rPr>
          <w:bCs/>
          <w:szCs w:val="22"/>
        </w:rPr>
        <w:t xml:space="preserve"> </w:t>
      </w:r>
      <w:r w:rsidR="00BF7CE2" w:rsidRPr="000C739B">
        <w:rPr>
          <w:bCs/>
          <w:szCs w:val="22"/>
        </w:rPr>
        <w:t xml:space="preserve">Mostly, </w:t>
      </w:r>
      <w:r w:rsidR="00B5048B" w:rsidRPr="002A043C">
        <w:rPr>
          <w:bCs/>
          <w:szCs w:val="22"/>
        </w:rPr>
        <w:t xml:space="preserve">a </w:t>
      </w:r>
      <w:r w:rsidR="00BF7CE2" w:rsidRPr="002A043C">
        <w:rPr>
          <w:bCs/>
          <w:szCs w:val="22"/>
        </w:rPr>
        <w:t>consensual (contractually agreed) priva</w:t>
      </w:r>
      <w:r w:rsidR="00BF7CE2" w:rsidRPr="006E1B4C">
        <w:rPr>
          <w:bCs/>
          <w:szCs w:val="22"/>
        </w:rPr>
        <w:t xml:space="preserve">te and confidential dispute resolution mechanism </w:t>
      </w:r>
      <w:r w:rsidR="002A3F46" w:rsidRPr="006E1B4C">
        <w:rPr>
          <w:bCs/>
          <w:szCs w:val="22"/>
        </w:rPr>
        <w:t>is</w:t>
      </w:r>
      <w:r w:rsidR="00BF7CE2" w:rsidRPr="006E1B4C">
        <w:rPr>
          <w:bCs/>
          <w:szCs w:val="22"/>
        </w:rPr>
        <w:t xml:space="preserve"> </w:t>
      </w:r>
      <w:r w:rsidR="002A3F46" w:rsidRPr="006E1B4C">
        <w:rPr>
          <w:bCs/>
          <w:szCs w:val="22"/>
        </w:rPr>
        <w:t xml:space="preserve">the </w:t>
      </w:r>
      <w:r w:rsidR="00BF7CE2" w:rsidRPr="006E1B4C">
        <w:rPr>
          <w:bCs/>
          <w:szCs w:val="22"/>
        </w:rPr>
        <w:t xml:space="preserve">chosen (flexible) resolution by </w:t>
      </w:r>
      <w:r w:rsidR="002A3F46" w:rsidRPr="006E1B4C">
        <w:rPr>
          <w:bCs/>
          <w:szCs w:val="22"/>
        </w:rPr>
        <w:t xml:space="preserve">the </w:t>
      </w:r>
      <w:r w:rsidR="00BF7CE2" w:rsidRPr="006E1B4C">
        <w:rPr>
          <w:bCs/>
          <w:szCs w:val="22"/>
        </w:rPr>
        <w:t>parties</w:t>
      </w:r>
      <w:proofErr w:type="gramStart"/>
      <w:r w:rsidR="00BF7CE2" w:rsidRPr="006E1B4C">
        <w:rPr>
          <w:bCs/>
          <w:szCs w:val="22"/>
        </w:rPr>
        <w:t>;</w:t>
      </w:r>
      <w:r w:rsidR="002A3F46" w:rsidRPr="006E1B4C">
        <w:rPr>
          <w:bCs/>
          <w:szCs w:val="22"/>
        </w:rPr>
        <w:t xml:space="preserve"> </w:t>
      </w:r>
      <w:r w:rsidR="0052739F" w:rsidRPr="006E1B4C">
        <w:rPr>
          <w:bCs/>
          <w:szCs w:val="22"/>
        </w:rPr>
        <w:t xml:space="preserve"> </w:t>
      </w:r>
      <w:r w:rsidR="002A3F46" w:rsidRPr="006E1B4C">
        <w:rPr>
          <w:bCs/>
          <w:szCs w:val="22"/>
        </w:rPr>
        <w:t>it</w:t>
      </w:r>
      <w:proofErr w:type="gramEnd"/>
      <w:r w:rsidR="002A3F46" w:rsidRPr="006E1B4C">
        <w:rPr>
          <w:bCs/>
          <w:szCs w:val="22"/>
        </w:rPr>
        <w:t xml:space="preserve"> is also</w:t>
      </w:r>
      <w:r w:rsidR="00BF7CE2" w:rsidRPr="006E1B4C">
        <w:rPr>
          <w:bCs/>
          <w:szCs w:val="22"/>
        </w:rPr>
        <w:t xml:space="preserve"> seen </w:t>
      </w:r>
      <w:r w:rsidR="002A3F46" w:rsidRPr="006E1B4C">
        <w:rPr>
          <w:bCs/>
          <w:szCs w:val="22"/>
        </w:rPr>
        <w:t xml:space="preserve">as </w:t>
      </w:r>
      <w:r w:rsidR="00BF7CE2" w:rsidRPr="006E1B4C">
        <w:rPr>
          <w:bCs/>
          <w:szCs w:val="22"/>
        </w:rPr>
        <w:t>more appropriate for the reputation of their business</w:t>
      </w:r>
      <w:r w:rsidR="00525A8A" w:rsidRPr="00694C6F">
        <w:rPr>
          <w:bCs/>
          <w:szCs w:val="22"/>
        </w:rPr>
        <w:t>.</w:t>
      </w:r>
      <w:r w:rsidR="00750A81" w:rsidRPr="00694C6F">
        <w:rPr>
          <w:bCs/>
          <w:szCs w:val="22"/>
        </w:rPr>
        <w:t xml:space="preserve"> </w:t>
      </w:r>
      <w:r w:rsidR="0052739F" w:rsidRPr="006E1B4C">
        <w:rPr>
          <w:bCs/>
          <w:szCs w:val="22"/>
        </w:rPr>
        <w:t xml:space="preserve"> </w:t>
      </w:r>
      <w:r w:rsidR="00BF7CE2" w:rsidRPr="006E1B4C">
        <w:rPr>
          <w:bCs/>
          <w:szCs w:val="22"/>
        </w:rPr>
        <w:t xml:space="preserve">Interest-based negotiation </w:t>
      </w:r>
      <w:r w:rsidR="00B5048B" w:rsidRPr="006E1B4C">
        <w:rPr>
          <w:bCs/>
          <w:szCs w:val="22"/>
        </w:rPr>
        <w:t xml:space="preserve">is </w:t>
      </w:r>
      <w:r w:rsidR="00BF7CE2" w:rsidRPr="006E1B4C">
        <w:rPr>
          <w:bCs/>
          <w:szCs w:val="22"/>
        </w:rPr>
        <w:t xml:space="preserve">assisted by the presiding intermediary whom the parties may </w:t>
      </w:r>
      <w:r w:rsidR="00787B01" w:rsidRPr="006E1B4C">
        <w:rPr>
          <w:bCs/>
          <w:szCs w:val="22"/>
        </w:rPr>
        <w:t>select</w:t>
      </w:r>
      <w:r w:rsidR="00BF7CE2" w:rsidRPr="006E1B4C">
        <w:rPr>
          <w:bCs/>
          <w:szCs w:val="22"/>
        </w:rPr>
        <w:t xml:space="preserve">. </w:t>
      </w:r>
      <w:r w:rsidR="00AD709E" w:rsidRPr="006E1B4C">
        <w:rPr>
          <w:bCs/>
          <w:szCs w:val="22"/>
        </w:rPr>
        <w:t xml:space="preserve"> </w:t>
      </w:r>
      <w:r w:rsidR="00BF7CE2" w:rsidRPr="006E1B4C">
        <w:rPr>
          <w:bCs/>
          <w:szCs w:val="22"/>
        </w:rPr>
        <w:t>Parties m</w:t>
      </w:r>
      <w:r w:rsidR="00B5048B" w:rsidRPr="006E1B4C">
        <w:rPr>
          <w:bCs/>
          <w:szCs w:val="22"/>
        </w:rPr>
        <w:t>ay</w:t>
      </w:r>
      <w:r w:rsidR="00BF7CE2" w:rsidRPr="006E1B4C">
        <w:rPr>
          <w:bCs/>
          <w:szCs w:val="22"/>
        </w:rPr>
        <w:t xml:space="preserve"> commence </w:t>
      </w:r>
      <w:r w:rsidR="00164AB8">
        <w:rPr>
          <w:bCs/>
          <w:szCs w:val="22"/>
        </w:rPr>
        <w:t xml:space="preserve">PADR </w:t>
      </w:r>
      <w:r w:rsidR="00BF7CE2" w:rsidRPr="006E1B4C">
        <w:rPr>
          <w:bCs/>
          <w:szCs w:val="22"/>
        </w:rPr>
        <w:t>resolution but they can</w:t>
      </w:r>
      <w:r w:rsidR="00B5048B" w:rsidRPr="006E1B4C">
        <w:rPr>
          <w:bCs/>
          <w:szCs w:val="22"/>
        </w:rPr>
        <w:t xml:space="preserve"> also</w:t>
      </w:r>
      <w:r w:rsidR="00BF7CE2" w:rsidRPr="006E1B4C">
        <w:rPr>
          <w:bCs/>
          <w:szCs w:val="22"/>
        </w:rPr>
        <w:t xml:space="preserve"> go to court at any time. </w:t>
      </w:r>
      <w:r w:rsidR="00C25390" w:rsidRPr="00694C6F">
        <w:rPr>
          <w:bCs/>
          <w:szCs w:val="22"/>
        </w:rPr>
        <w:t xml:space="preserve"> </w:t>
      </w:r>
      <w:r w:rsidR="00E947C8" w:rsidRPr="00694C6F">
        <w:rPr>
          <w:bCs/>
          <w:szCs w:val="22"/>
        </w:rPr>
        <w:t>As p</w:t>
      </w:r>
      <w:r w:rsidR="00BF7CE2" w:rsidRPr="00694C6F">
        <w:rPr>
          <w:bCs/>
          <w:szCs w:val="22"/>
        </w:rPr>
        <w:t xml:space="preserve">arty autonomy </w:t>
      </w:r>
      <w:r w:rsidR="002A3F46" w:rsidRPr="00694C6F">
        <w:rPr>
          <w:bCs/>
          <w:szCs w:val="22"/>
        </w:rPr>
        <w:t>govern</w:t>
      </w:r>
      <w:r w:rsidR="00E947C8" w:rsidRPr="00694C6F">
        <w:rPr>
          <w:bCs/>
          <w:szCs w:val="22"/>
        </w:rPr>
        <w:t>s</w:t>
      </w:r>
      <w:r w:rsidR="002A3F46" w:rsidRPr="00694C6F">
        <w:rPr>
          <w:bCs/>
          <w:szCs w:val="22"/>
        </w:rPr>
        <w:t xml:space="preserve"> the</w:t>
      </w:r>
      <w:r w:rsidR="00BF7CE2" w:rsidRPr="00694C6F">
        <w:rPr>
          <w:bCs/>
          <w:szCs w:val="22"/>
        </w:rPr>
        <w:t xml:space="preserve"> process, the presiding intermediary has no decision authority</w:t>
      </w:r>
      <w:r w:rsidR="002A3F46" w:rsidRPr="00D5230E">
        <w:rPr>
          <w:bCs/>
          <w:szCs w:val="22"/>
        </w:rPr>
        <w:t>.</w:t>
      </w:r>
      <w:r w:rsidR="00BF7CE2" w:rsidRPr="00D5230E">
        <w:rPr>
          <w:bCs/>
          <w:szCs w:val="22"/>
        </w:rPr>
        <w:t xml:space="preserve"> </w:t>
      </w:r>
      <w:r w:rsidR="002A3F46" w:rsidRPr="00D5230E">
        <w:rPr>
          <w:bCs/>
          <w:szCs w:val="22"/>
        </w:rPr>
        <w:t xml:space="preserve"> The </w:t>
      </w:r>
      <w:r w:rsidR="00BF7CE2" w:rsidRPr="00D5230E">
        <w:rPr>
          <w:bCs/>
          <w:szCs w:val="22"/>
        </w:rPr>
        <w:t xml:space="preserve">parties may </w:t>
      </w:r>
      <w:r w:rsidR="002A3F46" w:rsidRPr="00D5230E">
        <w:rPr>
          <w:bCs/>
          <w:szCs w:val="22"/>
        </w:rPr>
        <w:t xml:space="preserve">nevertheless </w:t>
      </w:r>
      <w:r w:rsidR="00BF7CE2" w:rsidRPr="00D5230E">
        <w:rPr>
          <w:bCs/>
          <w:szCs w:val="22"/>
        </w:rPr>
        <w:t>ask the presiding intermediary to give an opinion</w:t>
      </w:r>
      <w:r w:rsidR="002A3F46" w:rsidRPr="005509EF">
        <w:rPr>
          <w:bCs/>
          <w:szCs w:val="22"/>
        </w:rPr>
        <w:t xml:space="preserve"> and</w:t>
      </w:r>
      <w:r w:rsidR="00BF7CE2" w:rsidRPr="00707313">
        <w:rPr>
          <w:bCs/>
          <w:szCs w:val="22"/>
        </w:rPr>
        <w:t xml:space="preserve"> sometime</w:t>
      </w:r>
      <w:r w:rsidR="002A3F46" w:rsidRPr="00707313">
        <w:rPr>
          <w:bCs/>
          <w:szCs w:val="22"/>
        </w:rPr>
        <w:t>s</w:t>
      </w:r>
      <w:r w:rsidR="00BF7CE2" w:rsidRPr="00707313">
        <w:rPr>
          <w:bCs/>
          <w:szCs w:val="22"/>
        </w:rPr>
        <w:t xml:space="preserve"> the presiding intermediary may impose </w:t>
      </w:r>
      <w:r w:rsidR="00E947C8" w:rsidRPr="00707313">
        <w:rPr>
          <w:bCs/>
          <w:szCs w:val="22"/>
        </w:rPr>
        <w:t xml:space="preserve">on </w:t>
      </w:r>
      <w:r w:rsidR="00BF7CE2" w:rsidRPr="00707313">
        <w:rPr>
          <w:bCs/>
          <w:szCs w:val="22"/>
        </w:rPr>
        <w:t xml:space="preserve">the parties to reach a resolution through </w:t>
      </w:r>
      <w:r w:rsidR="002A3F46" w:rsidRPr="00674B95">
        <w:rPr>
          <w:bCs/>
          <w:szCs w:val="22"/>
        </w:rPr>
        <w:t xml:space="preserve">an </w:t>
      </w:r>
      <w:r w:rsidR="00BF7CE2" w:rsidRPr="00674B95">
        <w:rPr>
          <w:bCs/>
          <w:szCs w:val="22"/>
        </w:rPr>
        <w:t>administrative procedure.</w:t>
      </w:r>
      <w:r w:rsidR="00BF7CE2" w:rsidRPr="00674B95">
        <w:rPr>
          <w:szCs w:val="22"/>
        </w:rPr>
        <w:t xml:space="preserve"> </w:t>
      </w:r>
      <w:r w:rsidR="00AD709E" w:rsidRPr="00C74A39">
        <w:rPr>
          <w:szCs w:val="22"/>
        </w:rPr>
        <w:t xml:space="preserve"> </w:t>
      </w:r>
      <w:r w:rsidR="00BF7CE2" w:rsidRPr="00C74A39">
        <w:rPr>
          <w:szCs w:val="22"/>
        </w:rPr>
        <w:t xml:space="preserve">Moreover, </w:t>
      </w:r>
      <w:r w:rsidR="00BF7CE2" w:rsidRPr="00E8314E">
        <w:rPr>
          <w:bCs/>
          <w:szCs w:val="22"/>
        </w:rPr>
        <w:t>the presiding intermediary</w:t>
      </w:r>
      <w:r w:rsidR="00BF7CE2" w:rsidRPr="000963FB">
        <w:rPr>
          <w:szCs w:val="22"/>
        </w:rPr>
        <w:t xml:space="preserve"> has no power to enforce a ruling</w:t>
      </w:r>
      <w:r w:rsidR="002A3F46" w:rsidRPr="000963FB">
        <w:rPr>
          <w:szCs w:val="22"/>
        </w:rPr>
        <w:t xml:space="preserve">. </w:t>
      </w:r>
      <w:r w:rsidR="0052739F" w:rsidRPr="006E1B4C">
        <w:rPr>
          <w:szCs w:val="22"/>
        </w:rPr>
        <w:t xml:space="preserve"> </w:t>
      </w:r>
      <w:r w:rsidR="002A3F46" w:rsidRPr="006E1B4C">
        <w:rPr>
          <w:szCs w:val="22"/>
        </w:rPr>
        <w:t>Therefore,</w:t>
      </w:r>
      <w:r w:rsidR="00BF7CE2" w:rsidRPr="006E1B4C">
        <w:rPr>
          <w:szCs w:val="22"/>
        </w:rPr>
        <w:t xml:space="preserve"> damages, compensation, seizure of goods and destruction of goods can only be </w:t>
      </w:r>
      <w:r w:rsidR="006E1B4C">
        <w:rPr>
          <w:szCs w:val="22"/>
        </w:rPr>
        <w:t>granted</w:t>
      </w:r>
      <w:r w:rsidR="00BF7CE2" w:rsidRPr="006E1B4C">
        <w:rPr>
          <w:szCs w:val="22"/>
        </w:rPr>
        <w:t xml:space="preserve"> upon the agreement of both parties.</w:t>
      </w:r>
      <w:r w:rsidR="00AD709E" w:rsidRPr="006E1B4C">
        <w:rPr>
          <w:szCs w:val="22"/>
        </w:rPr>
        <w:t xml:space="preserve"> </w:t>
      </w:r>
      <w:r w:rsidR="00BF7CE2" w:rsidRPr="006E1B4C">
        <w:rPr>
          <w:bCs/>
          <w:szCs w:val="22"/>
        </w:rPr>
        <w:t xml:space="preserve"> However, in case of counterfeit goods which affect public health, the presiding intermediary encourages parties, with </w:t>
      </w:r>
      <w:r w:rsidR="00E947C8" w:rsidRPr="006E1B4C">
        <w:rPr>
          <w:bCs/>
          <w:szCs w:val="22"/>
        </w:rPr>
        <w:t xml:space="preserve">an </w:t>
      </w:r>
      <w:r w:rsidR="00BF7CE2" w:rsidRPr="006E1B4C">
        <w:rPr>
          <w:bCs/>
          <w:szCs w:val="22"/>
        </w:rPr>
        <w:t xml:space="preserve">explanation of prosecution </w:t>
      </w:r>
      <w:r w:rsidR="00E947C8" w:rsidRPr="006E1B4C">
        <w:rPr>
          <w:bCs/>
          <w:szCs w:val="22"/>
        </w:rPr>
        <w:t xml:space="preserve">and </w:t>
      </w:r>
      <w:r w:rsidR="00BF7CE2" w:rsidRPr="006E1B4C">
        <w:rPr>
          <w:bCs/>
          <w:szCs w:val="22"/>
        </w:rPr>
        <w:t xml:space="preserve">IPR penalty provisions under court procedure, to destroy those goods in order to avoid </w:t>
      </w:r>
      <w:r w:rsidR="002A3F46" w:rsidRPr="006E1B4C">
        <w:rPr>
          <w:bCs/>
          <w:szCs w:val="22"/>
        </w:rPr>
        <w:t>returning</w:t>
      </w:r>
      <w:r w:rsidR="00BF7CE2" w:rsidRPr="006E1B4C">
        <w:rPr>
          <w:bCs/>
          <w:szCs w:val="22"/>
        </w:rPr>
        <w:t xml:space="preserve"> </w:t>
      </w:r>
      <w:r w:rsidR="00E947C8" w:rsidRPr="006E1B4C">
        <w:rPr>
          <w:bCs/>
          <w:szCs w:val="22"/>
        </w:rPr>
        <w:t xml:space="preserve">such goods </w:t>
      </w:r>
      <w:r w:rsidR="00BF7CE2" w:rsidRPr="006E1B4C">
        <w:rPr>
          <w:bCs/>
          <w:szCs w:val="22"/>
        </w:rPr>
        <w:t>into the channel of commerce.</w:t>
      </w:r>
    </w:p>
    <w:p w:rsidR="00674B95" w:rsidRDefault="00674B95" w:rsidP="000963FB">
      <w:pPr>
        <w:rPr>
          <w:highlight w:val="yellow"/>
        </w:rPr>
      </w:pPr>
    </w:p>
    <w:p w:rsidR="00BF7CE2" w:rsidRPr="00C45BDE" w:rsidRDefault="00674B95" w:rsidP="000963FB">
      <w:r w:rsidRPr="000963FB">
        <w:fldChar w:fldCharType="begin"/>
      </w:r>
      <w:r w:rsidRPr="000963FB">
        <w:instrText xml:space="preserve"> AUTONUM  </w:instrText>
      </w:r>
      <w:r w:rsidRPr="000963FB">
        <w:fldChar w:fldCharType="end"/>
      </w:r>
      <w:r w:rsidRPr="000963FB">
        <w:tab/>
      </w:r>
      <w:r w:rsidR="00BF7CE2" w:rsidRPr="00C45BDE">
        <w:t>The PADR is Appropriate to IPR Disputes</w:t>
      </w:r>
      <w:r w:rsidR="00C45BDE">
        <w:t xml:space="preserve"> for the following characteristics:  </w:t>
      </w:r>
    </w:p>
    <w:p w:rsidR="00AD7583" w:rsidRPr="00694C6F" w:rsidRDefault="00AD7583" w:rsidP="001D117A">
      <w:pPr>
        <w:rPr>
          <w:szCs w:val="22"/>
        </w:rPr>
      </w:pPr>
    </w:p>
    <w:p w:rsidR="00BF7CE2" w:rsidRPr="00694C6F" w:rsidRDefault="00BF7CE2" w:rsidP="00C45BDE">
      <w:pPr>
        <w:numPr>
          <w:ilvl w:val="0"/>
          <w:numId w:val="20"/>
        </w:numPr>
        <w:tabs>
          <w:tab w:val="left" w:pos="1134"/>
        </w:tabs>
        <w:ind w:left="567" w:firstLine="0"/>
        <w:rPr>
          <w:bCs/>
          <w:szCs w:val="22"/>
        </w:rPr>
      </w:pPr>
      <w:r w:rsidRPr="00694C6F">
        <w:rPr>
          <w:bCs/>
          <w:szCs w:val="22"/>
        </w:rPr>
        <w:t>Single neutral procedure</w:t>
      </w:r>
    </w:p>
    <w:p w:rsidR="00BF7CE2" w:rsidRPr="00D5230E" w:rsidRDefault="00BF7CE2" w:rsidP="00C45BDE">
      <w:pPr>
        <w:numPr>
          <w:ilvl w:val="0"/>
          <w:numId w:val="20"/>
        </w:numPr>
        <w:tabs>
          <w:tab w:val="left" w:pos="1134"/>
        </w:tabs>
        <w:ind w:left="567" w:firstLine="0"/>
        <w:rPr>
          <w:bCs/>
          <w:szCs w:val="22"/>
        </w:rPr>
      </w:pPr>
      <w:r w:rsidRPr="00D5230E">
        <w:rPr>
          <w:bCs/>
          <w:szCs w:val="22"/>
        </w:rPr>
        <w:t>Party autonomy</w:t>
      </w:r>
    </w:p>
    <w:p w:rsidR="00BF7CE2" w:rsidRPr="00D5230E" w:rsidRDefault="00BF7CE2" w:rsidP="00C45BDE">
      <w:pPr>
        <w:numPr>
          <w:ilvl w:val="0"/>
          <w:numId w:val="20"/>
        </w:numPr>
        <w:tabs>
          <w:tab w:val="left" w:pos="1134"/>
        </w:tabs>
        <w:ind w:left="567" w:firstLine="0"/>
        <w:rPr>
          <w:bCs/>
          <w:szCs w:val="22"/>
        </w:rPr>
      </w:pPr>
      <w:r w:rsidRPr="00D5230E">
        <w:rPr>
          <w:bCs/>
          <w:szCs w:val="22"/>
        </w:rPr>
        <w:t>Neutrality</w:t>
      </w:r>
    </w:p>
    <w:p w:rsidR="00BF7CE2" w:rsidRPr="00707313" w:rsidRDefault="00BF7CE2" w:rsidP="00C45BDE">
      <w:pPr>
        <w:numPr>
          <w:ilvl w:val="0"/>
          <w:numId w:val="20"/>
        </w:numPr>
        <w:tabs>
          <w:tab w:val="left" w:pos="1134"/>
        </w:tabs>
        <w:ind w:left="567" w:firstLine="0"/>
        <w:rPr>
          <w:bCs/>
          <w:szCs w:val="22"/>
        </w:rPr>
      </w:pPr>
      <w:r w:rsidRPr="005509EF">
        <w:rPr>
          <w:bCs/>
          <w:szCs w:val="22"/>
        </w:rPr>
        <w:t>Expertise</w:t>
      </w:r>
    </w:p>
    <w:p w:rsidR="00BF7CE2" w:rsidRPr="00C45BDE" w:rsidRDefault="00BF7CE2" w:rsidP="00C45BDE">
      <w:pPr>
        <w:numPr>
          <w:ilvl w:val="0"/>
          <w:numId w:val="20"/>
        </w:numPr>
        <w:tabs>
          <w:tab w:val="left" w:pos="1134"/>
        </w:tabs>
        <w:ind w:left="567" w:firstLine="0"/>
        <w:rPr>
          <w:bCs/>
          <w:szCs w:val="22"/>
        </w:rPr>
      </w:pPr>
      <w:r w:rsidRPr="00C45BDE">
        <w:rPr>
          <w:bCs/>
          <w:szCs w:val="22"/>
        </w:rPr>
        <w:t>Efficiency</w:t>
      </w:r>
    </w:p>
    <w:p w:rsidR="00BF7CE2" w:rsidRPr="006E1B4C" w:rsidRDefault="00BF7CE2" w:rsidP="00C45BDE">
      <w:pPr>
        <w:numPr>
          <w:ilvl w:val="0"/>
          <w:numId w:val="20"/>
        </w:numPr>
        <w:tabs>
          <w:tab w:val="left" w:pos="1134"/>
        </w:tabs>
        <w:ind w:left="567" w:firstLine="0"/>
        <w:rPr>
          <w:bCs/>
          <w:szCs w:val="22"/>
        </w:rPr>
      </w:pPr>
      <w:r w:rsidRPr="006E1B4C">
        <w:rPr>
          <w:bCs/>
          <w:szCs w:val="22"/>
        </w:rPr>
        <w:t>Confidentiality</w:t>
      </w:r>
    </w:p>
    <w:p w:rsidR="00BF7CE2" w:rsidRPr="006E1B4C" w:rsidRDefault="00BF7CE2" w:rsidP="00C45BDE">
      <w:pPr>
        <w:numPr>
          <w:ilvl w:val="0"/>
          <w:numId w:val="20"/>
        </w:numPr>
        <w:tabs>
          <w:tab w:val="left" w:pos="1134"/>
        </w:tabs>
        <w:ind w:left="567" w:firstLine="0"/>
        <w:rPr>
          <w:bCs/>
          <w:szCs w:val="22"/>
        </w:rPr>
      </w:pPr>
      <w:r w:rsidRPr="006E1B4C">
        <w:rPr>
          <w:bCs/>
          <w:szCs w:val="22"/>
        </w:rPr>
        <w:t>Finality of agreement</w:t>
      </w:r>
    </w:p>
    <w:p w:rsidR="00BF7CE2" w:rsidRPr="006E1B4C" w:rsidRDefault="00BF7CE2" w:rsidP="00C45BDE">
      <w:pPr>
        <w:numPr>
          <w:ilvl w:val="0"/>
          <w:numId w:val="20"/>
        </w:numPr>
        <w:tabs>
          <w:tab w:val="left" w:pos="1134"/>
        </w:tabs>
        <w:ind w:left="567" w:firstLine="0"/>
        <w:rPr>
          <w:bCs/>
          <w:szCs w:val="22"/>
        </w:rPr>
      </w:pPr>
      <w:r w:rsidRPr="006E1B4C">
        <w:rPr>
          <w:bCs/>
          <w:szCs w:val="22"/>
        </w:rPr>
        <w:t>Preserving party relationships</w:t>
      </w:r>
    </w:p>
    <w:p w:rsidR="00674B95" w:rsidRDefault="00674B95" w:rsidP="000963FB"/>
    <w:p w:rsidR="00BF7CE2" w:rsidRPr="00352509" w:rsidRDefault="00674B95" w:rsidP="000963FB">
      <w:pPr>
        <w:rPr>
          <w:b/>
          <w:bCs/>
          <w:szCs w:val="28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 w:rsidR="00BF7CE2" w:rsidRPr="000963FB">
        <w:rPr>
          <w:u w:val="single"/>
        </w:rPr>
        <w:t>A Single Neutral Procedure</w:t>
      </w:r>
      <w:r w:rsidR="00C45BDE" w:rsidRPr="000963FB">
        <w:rPr>
          <w:bCs/>
        </w:rPr>
        <w:t xml:space="preserve">  </w:t>
      </w:r>
      <w:r w:rsidR="006A7243">
        <w:t xml:space="preserve">   </w:t>
      </w:r>
      <w:r w:rsidR="00BF7CE2" w:rsidRPr="00674B95">
        <w:rPr>
          <w:bCs/>
          <w:szCs w:val="28"/>
        </w:rPr>
        <w:t>I</w:t>
      </w:r>
      <w:r w:rsidR="003B2CF0" w:rsidRPr="00C74A39">
        <w:rPr>
          <w:bCs/>
          <w:szCs w:val="28"/>
        </w:rPr>
        <w:t>PRs</w:t>
      </w:r>
      <w:proofErr w:type="gramEnd"/>
      <w:r w:rsidR="00BF7CE2" w:rsidRPr="00E8314E">
        <w:rPr>
          <w:bCs/>
          <w:szCs w:val="28"/>
        </w:rPr>
        <w:t xml:space="preserve"> are often used as a </w:t>
      </w:r>
      <w:r w:rsidR="003B2CF0" w:rsidRPr="000963FB">
        <w:rPr>
          <w:bCs/>
          <w:szCs w:val="28"/>
        </w:rPr>
        <w:t xml:space="preserve">business </w:t>
      </w:r>
      <w:r w:rsidR="00BF7CE2" w:rsidRPr="000963FB">
        <w:rPr>
          <w:bCs/>
          <w:szCs w:val="28"/>
        </w:rPr>
        <w:t xml:space="preserve">tool </w:t>
      </w:r>
      <w:r w:rsidR="003B2CF0" w:rsidRPr="000963FB">
        <w:rPr>
          <w:bCs/>
          <w:szCs w:val="28"/>
        </w:rPr>
        <w:t xml:space="preserve">in </w:t>
      </w:r>
      <w:r w:rsidR="00BF7CE2" w:rsidRPr="000963FB">
        <w:rPr>
          <w:bCs/>
          <w:szCs w:val="28"/>
        </w:rPr>
        <w:t>international collaboration</w:t>
      </w:r>
      <w:r w:rsidR="003B2CF0" w:rsidRPr="000963FB">
        <w:rPr>
          <w:bCs/>
          <w:szCs w:val="28"/>
        </w:rPr>
        <w:t>s</w:t>
      </w:r>
      <w:r w:rsidR="00BF7CE2" w:rsidRPr="000963FB">
        <w:rPr>
          <w:bCs/>
          <w:szCs w:val="28"/>
        </w:rPr>
        <w:t xml:space="preserve"> and protected </w:t>
      </w:r>
      <w:r w:rsidR="003B2CF0" w:rsidRPr="000963FB">
        <w:rPr>
          <w:bCs/>
          <w:szCs w:val="28"/>
        </w:rPr>
        <w:t>through</w:t>
      </w:r>
      <w:r w:rsidR="00BF7CE2" w:rsidRPr="000963FB">
        <w:rPr>
          <w:bCs/>
          <w:szCs w:val="28"/>
        </w:rPr>
        <w:t xml:space="preserve"> multi</w:t>
      </w:r>
      <w:r w:rsidR="003B2CF0" w:rsidRPr="000963FB">
        <w:rPr>
          <w:bCs/>
          <w:szCs w:val="28"/>
        </w:rPr>
        <w:t xml:space="preserve">ple </w:t>
      </w:r>
      <w:r w:rsidR="00BF7CE2" w:rsidRPr="000963FB">
        <w:rPr>
          <w:bCs/>
          <w:szCs w:val="28"/>
        </w:rPr>
        <w:t>procedure</w:t>
      </w:r>
      <w:r w:rsidR="003B2CF0" w:rsidRPr="000963FB">
        <w:rPr>
          <w:bCs/>
          <w:szCs w:val="28"/>
        </w:rPr>
        <w:t>s</w:t>
      </w:r>
      <w:r w:rsidR="00BF7CE2" w:rsidRPr="000963FB">
        <w:rPr>
          <w:bCs/>
          <w:szCs w:val="28"/>
        </w:rPr>
        <w:t xml:space="preserve"> in different jurisdictions with a risk of inconsistent outcomes.</w:t>
      </w:r>
      <w:r w:rsidR="00C45BDE">
        <w:t xml:space="preserve">  </w:t>
      </w:r>
      <w:r w:rsidR="006A7243" w:rsidRPr="00674B95">
        <w:rPr>
          <w:bCs/>
        </w:rPr>
        <w:t xml:space="preserve">As such, </w:t>
      </w:r>
      <w:r w:rsidR="00BF7CE2" w:rsidRPr="006A7243">
        <w:rPr>
          <w:bCs/>
        </w:rPr>
        <w:t>I</w:t>
      </w:r>
      <w:r w:rsidR="003B2CF0" w:rsidRPr="00674B95">
        <w:t>P</w:t>
      </w:r>
      <w:r w:rsidR="00BF7CE2" w:rsidRPr="00C74A39">
        <w:t xml:space="preserve"> dispute</w:t>
      </w:r>
      <w:r w:rsidR="003B2CF0" w:rsidRPr="00E8314E">
        <w:t>s</w:t>
      </w:r>
      <w:r w:rsidR="00BF7CE2" w:rsidRPr="000963FB">
        <w:t xml:space="preserve"> often involve parties from different parts of the country, and </w:t>
      </w:r>
      <w:r w:rsidR="003B2CF0" w:rsidRPr="000963FB">
        <w:t>multi-</w:t>
      </w:r>
      <w:r w:rsidR="00BF7CE2" w:rsidRPr="000963FB">
        <w:t>jurisdiction</w:t>
      </w:r>
      <w:r w:rsidR="003B2CF0" w:rsidRPr="000963FB">
        <w:t>al</w:t>
      </w:r>
      <w:r w:rsidR="00BF7CE2" w:rsidRPr="000963FB">
        <w:t xml:space="preserve"> commerce</w:t>
      </w:r>
      <w:r w:rsidR="00C25390" w:rsidRPr="00C45BDE">
        <w:t>.</w:t>
      </w:r>
      <w:r w:rsidR="006A7243">
        <w:t xml:space="preserve">  </w:t>
      </w:r>
      <w:r w:rsidR="003B2CF0" w:rsidRPr="00C74A39">
        <w:rPr>
          <w:i/>
          <w:szCs w:val="28"/>
        </w:rPr>
        <w:t xml:space="preserve">As courts have limited </w:t>
      </w:r>
      <w:r w:rsidR="00E947C8" w:rsidRPr="00E8314E">
        <w:rPr>
          <w:i/>
          <w:szCs w:val="28"/>
        </w:rPr>
        <w:t>experience with</w:t>
      </w:r>
      <w:r w:rsidR="003B2CF0" w:rsidRPr="000963FB">
        <w:rPr>
          <w:i/>
          <w:szCs w:val="28"/>
        </w:rPr>
        <w:t xml:space="preserve"> IPR, with risk of inconsistent results, </w:t>
      </w:r>
      <w:r w:rsidR="00BF7CE2" w:rsidRPr="000963FB">
        <w:rPr>
          <w:i/>
          <w:szCs w:val="28"/>
        </w:rPr>
        <w:t>at the request of any part</w:t>
      </w:r>
      <w:r w:rsidR="003B2CF0" w:rsidRPr="000963FB">
        <w:rPr>
          <w:i/>
          <w:szCs w:val="28"/>
        </w:rPr>
        <w:t>y</w:t>
      </w:r>
      <w:r w:rsidR="00BF7CE2" w:rsidRPr="000963FB">
        <w:rPr>
          <w:i/>
          <w:szCs w:val="28"/>
        </w:rPr>
        <w:t xml:space="preserve"> to the dispute</w:t>
      </w:r>
      <w:r w:rsidR="003B2CF0" w:rsidRPr="000963FB">
        <w:rPr>
          <w:i/>
          <w:szCs w:val="28"/>
        </w:rPr>
        <w:t>, the matter may be</w:t>
      </w:r>
      <w:r w:rsidR="00BF7CE2" w:rsidRPr="000963FB">
        <w:rPr>
          <w:i/>
          <w:szCs w:val="28"/>
        </w:rPr>
        <w:t xml:space="preserve"> </w:t>
      </w:r>
      <w:r w:rsidR="00BF7CE2" w:rsidRPr="00C74A39">
        <w:rPr>
          <w:i/>
          <w:szCs w:val="28"/>
        </w:rPr>
        <w:lastRenderedPageBreak/>
        <w:t>resolve</w:t>
      </w:r>
      <w:r w:rsidR="003B2CF0" w:rsidRPr="00E8314E">
        <w:rPr>
          <w:i/>
          <w:szCs w:val="28"/>
        </w:rPr>
        <w:t>d</w:t>
      </w:r>
      <w:r w:rsidR="00BF7CE2" w:rsidRPr="000963FB">
        <w:rPr>
          <w:i/>
          <w:szCs w:val="28"/>
        </w:rPr>
        <w:t xml:space="preserve"> under PADR (avoiding the expense (time and cost) and complexity of multi-jurisdictional litigation)</w:t>
      </w:r>
      <w:r w:rsidR="003B2CF0" w:rsidRPr="000963FB">
        <w:rPr>
          <w:i/>
          <w:szCs w:val="28"/>
        </w:rPr>
        <w:t>.</w:t>
      </w:r>
    </w:p>
    <w:p w:rsidR="006A7243" w:rsidRPr="000963FB" w:rsidRDefault="006A7243" w:rsidP="000963FB">
      <w:pPr>
        <w:tabs>
          <w:tab w:val="left" w:pos="1134"/>
        </w:tabs>
        <w:rPr>
          <w:i/>
          <w:szCs w:val="22"/>
        </w:rPr>
      </w:pPr>
    </w:p>
    <w:p w:rsidR="00BF7CE2" w:rsidRPr="00C74A39" w:rsidRDefault="00674B95" w:rsidP="000963FB">
      <w:pPr>
        <w:tabs>
          <w:tab w:val="left" w:pos="567"/>
        </w:tabs>
        <w:rPr>
          <w:szCs w:val="22"/>
        </w:rPr>
      </w:pPr>
      <w:r w:rsidRPr="000963FB">
        <w:rPr>
          <w:bCs/>
          <w:szCs w:val="22"/>
        </w:rPr>
        <w:fldChar w:fldCharType="begin"/>
      </w:r>
      <w:r w:rsidRPr="000963FB">
        <w:rPr>
          <w:bCs/>
          <w:szCs w:val="22"/>
        </w:rPr>
        <w:instrText xml:space="preserve"> AUTONUM  </w:instrText>
      </w:r>
      <w:r w:rsidRPr="000963FB">
        <w:rPr>
          <w:bCs/>
          <w:szCs w:val="22"/>
        </w:rPr>
        <w:fldChar w:fldCharType="end"/>
      </w:r>
      <w:r w:rsidRPr="000963FB">
        <w:rPr>
          <w:bCs/>
          <w:szCs w:val="22"/>
        </w:rPr>
        <w:tab/>
      </w:r>
      <w:r w:rsidR="00BF7CE2" w:rsidRPr="00BD2EE3">
        <w:rPr>
          <w:szCs w:val="22"/>
          <w:u w:val="single"/>
        </w:rPr>
        <w:t>Party Autonomy</w:t>
      </w:r>
      <w:r w:rsidR="006A7243" w:rsidRPr="000963FB">
        <w:rPr>
          <w:szCs w:val="22"/>
        </w:rPr>
        <w:t xml:space="preserve">     </w:t>
      </w:r>
      <w:r w:rsidR="003B2CF0" w:rsidRPr="00C74A39">
        <w:rPr>
          <w:bCs/>
          <w:szCs w:val="22"/>
        </w:rPr>
        <w:t>PADR is m</w:t>
      </w:r>
      <w:r w:rsidR="00BF7CE2" w:rsidRPr="00E8314E">
        <w:rPr>
          <w:bCs/>
          <w:szCs w:val="22"/>
        </w:rPr>
        <w:t>ostly</w:t>
      </w:r>
      <w:r w:rsidR="003B2CF0" w:rsidRPr="000963FB">
        <w:rPr>
          <w:bCs/>
          <w:szCs w:val="22"/>
        </w:rPr>
        <w:t xml:space="preserve"> of</w:t>
      </w:r>
      <w:r w:rsidR="009D51B1" w:rsidRPr="000963FB">
        <w:rPr>
          <w:bCs/>
          <w:szCs w:val="22"/>
        </w:rPr>
        <w:t xml:space="preserve"> a</w:t>
      </w:r>
      <w:r w:rsidR="00BF7CE2" w:rsidRPr="000963FB">
        <w:rPr>
          <w:bCs/>
          <w:szCs w:val="22"/>
        </w:rPr>
        <w:t xml:space="preserve"> private nature</w:t>
      </w:r>
      <w:r w:rsidR="00C25390" w:rsidRPr="000963FB">
        <w:rPr>
          <w:bCs/>
          <w:szCs w:val="22"/>
        </w:rPr>
        <w:t>.</w:t>
      </w:r>
      <w:r w:rsidR="006A7243" w:rsidRPr="00352509">
        <w:rPr>
          <w:bCs/>
          <w:szCs w:val="22"/>
        </w:rPr>
        <w:t xml:space="preserve">  </w:t>
      </w:r>
      <w:r w:rsidR="005F51D0" w:rsidRPr="00C74A39">
        <w:rPr>
          <w:bCs/>
          <w:szCs w:val="22"/>
        </w:rPr>
        <w:t>The i</w:t>
      </w:r>
      <w:r w:rsidR="00BF7CE2" w:rsidRPr="00E8314E">
        <w:rPr>
          <w:bCs/>
          <w:szCs w:val="22"/>
        </w:rPr>
        <w:t xml:space="preserve">ntermediary offers parties the opportunity to exercise greater control over the way the dispute is resolved (bargaining power in negotiation process). </w:t>
      </w:r>
      <w:r w:rsidR="00C25390" w:rsidRPr="000963FB">
        <w:rPr>
          <w:bCs/>
          <w:szCs w:val="22"/>
        </w:rPr>
        <w:t xml:space="preserve"> </w:t>
      </w:r>
      <w:r w:rsidR="00BF7CE2" w:rsidRPr="000963FB">
        <w:rPr>
          <w:bCs/>
          <w:szCs w:val="22"/>
        </w:rPr>
        <w:t xml:space="preserve">Negotiation for compensation between parties is better than </w:t>
      </w:r>
      <w:r w:rsidR="009D51B1" w:rsidRPr="000963FB">
        <w:rPr>
          <w:bCs/>
          <w:szCs w:val="22"/>
        </w:rPr>
        <w:t xml:space="preserve">the </w:t>
      </w:r>
      <w:r w:rsidR="00BF7CE2" w:rsidRPr="000963FB">
        <w:rPr>
          <w:bCs/>
          <w:szCs w:val="22"/>
        </w:rPr>
        <w:t xml:space="preserve">prosecution of </w:t>
      </w:r>
      <w:r w:rsidR="009D51B1" w:rsidRPr="000963FB">
        <w:rPr>
          <w:bCs/>
          <w:szCs w:val="22"/>
        </w:rPr>
        <w:t xml:space="preserve">an </w:t>
      </w:r>
      <w:r w:rsidR="00BF7CE2" w:rsidRPr="000963FB">
        <w:rPr>
          <w:bCs/>
          <w:szCs w:val="22"/>
        </w:rPr>
        <w:t>infringer</w:t>
      </w:r>
      <w:r w:rsidR="009D51B1" w:rsidRPr="000963FB">
        <w:rPr>
          <w:bCs/>
          <w:szCs w:val="22"/>
        </w:rPr>
        <w:t>, with the possibility of a</w:t>
      </w:r>
      <w:r w:rsidR="00BF7CE2" w:rsidRPr="000963FB">
        <w:rPr>
          <w:bCs/>
          <w:szCs w:val="22"/>
        </w:rPr>
        <w:t xml:space="preserve"> jail</w:t>
      </w:r>
      <w:r w:rsidR="009D51B1" w:rsidRPr="000963FB">
        <w:rPr>
          <w:bCs/>
          <w:szCs w:val="22"/>
        </w:rPr>
        <w:t xml:space="preserve"> sentence</w:t>
      </w:r>
      <w:r w:rsidR="00BF7CE2" w:rsidRPr="000963FB">
        <w:rPr>
          <w:bCs/>
          <w:szCs w:val="22"/>
        </w:rPr>
        <w:t xml:space="preserve"> under the court procedure. </w:t>
      </w:r>
      <w:r w:rsidR="006A7243" w:rsidRPr="00352509">
        <w:rPr>
          <w:bCs/>
          <w:szCs w:val="22"/>
        </w:rPr>
        <w:t xml:space="preserve"> </w:t>
      </w:r>
      <w:r w:rsidR="00BF7CE2" w:rsidRPr="00C74A39">
        <w:rPr>
          <w:bCs/>
          <w:szCs w:val="22"/>
        </w:rPr>
        <w:t xml:space="preserve">In some cases, however, </w:t>
      </w:r>
      <w:r w:rsidR="005F51D0" w:rsidRPr="00E8314E">
        <w:rPr>
          <w:bCs/>
          <w:szCs w:val="22"/>
        </w:rPr>
        <w:t xml:space="preserve">the </w:t>
      </w:r>
      <w:r w:rsidR="00BF7CE2" w:rsidRPr="000963FB">
        <w:rPr>
          <w:bCs/>
          <w:szCs w:val="22"/>
        </w:rPr>
        <w:t>intermediary may also impose</w:t>
      </w:r>
      <w:r w:rsidR="009D51B1" w:rsidRPr="000963FB">
        <w:rPr>
          <w:bCs/>
          <w:szCs w:val="22"/>
        </w:rPr>
        <w:t xml:space="preserve"> on</w:t>
      </w:r>
      <w:r w:rsidR="00BF7CE2" w:rsidRPr="000963FB">
        <w:rPr>
          <w:bCs/>
          <w:szCs w:val="22"/>
        </w:rPr>
        <w:t xml:space="preserve"> the part</w:t>
      </w:r>
      <w:r w:rsidR="009D51B1" w:rsidRPr="000963FB">
        <w:rPr>
          <w:bCs/>
          <w:szCs w:val="22"/>
        </w:rPr>
        <w:t>ies</w:t>
      </w:r>
      <w:r w:rsidR="00BF7CE2" w:rsidRPr="000963FB">
        <w:rPr>
          <w:bCs/>
          <w:szCs w:val="22"/>
        </w:rPr>
        <w:t xml:space="preserve"> to reach </w:t>
      </w:r>
      <w:r w:rsidR="005F51D0" w:rsidRPr="000963FB">
        <w:rPr>
          <w:bCs/>
          <w:szCs w:val="22"/>
        </w:rPr>
        <w:t xml:space="preserve">an </w:t>
      </w:r>
      <w:r w:rsidR="00BF7CE2" w:rsidRPr="000963FB">
        <w:rPr>
          <w:bCs/>
          <w:szCs w:val="22"/>
        </w:rPr>
        <w:t xml:space="preserve">agreement through </w:t>
      </w:r>
      <w:r w:rsidR="005F51D0" w:rsidRPr="000963FB">
        <w:rPr>
          <w:bCs/>
          <w:szCs w:val="22"/>
        </w:rPr>
        <w:t xml:space="preserve">an </w:t>
      </w:r>
      <w:r w:rsidR="00BF7CE2" w:rsidRPr="000963FB">
        <w:rPr>
          <w:bCs/>
          <w:szCs w:val="22"/>
        </w:rPr>
        <w:t>administrative procedure</w:t>
      </w:r>
      <w:r w:rsidR="005F51D0" w:rsidRPr="000963FB">
        <w:rPr>
          <w:bCs/>
          <w:szCs w:val="22"/>
        </w:rPr>
        <w:t>.  S</w:t>
      </w:r>
      <w:r w:rsidR="00BF7CE2" w:rsidRPr="000963FB">
        <w:rPr>
          <w:bCs/>
          <w:szCs w:val="22"/>
        </w:rPr>
        <w:t>ince the IP office administers the registrations</w:t>
      </w:r>
      <w:r w:rsidR="005F51D0" w:rsidRPr="000963FB">
        <w:rPr>
          <w:bCs/>
          <w:szCs w:val="22"/>
        </w:rPr>
        <w:t>, the</w:t>
      </w:r>
      <w:r w:rsidR="009D51B1" w:rsidRPr="000963FB">
        <w:rPr>
          <w:bCs/>
          <w:szCs w:val="22"/>
        </w:rPr>
        <w:t xml:space="preserve"> </w:t>
      </w:r>
      <w:r w:rsidR="00BF7CE2" w:rsidRPr="000963FB">
        <w:rPr>
          <w:bCs/>
          <w:szCs w:val="22"/>
        </w:rPr>
        <w:t xml:space="preserve">IP office may </w:t>
      </w:r>
      <w:r w:rsidR="005F51D0" w:rsidRPr="000963FB">
        <w:rPr>
          <w:bCs/>
          <w:szCs w:val="22"/>
        </w:rPr>
        <w:t xml:space="preserve">otherwise </w:t>
      </w:r>
      <w:r w:rsidR="00BF7CE2" w:rsidRPr="000963FB">
        <w:rPr>
          <w:bCs/>
          <w:szCs w:val="22"/>
        </w:rPr>
        <w:t>order</w:t>
      </w:r>
      <w:r w:rsidR="00457CD9" w:rsidRPr="000963FB">
        <w:rPr>
          <w:bCs/>
          <w:szCs w:val="22"/>
        </w:rPr>
        <w:t xml:space="preserve"> the</w:t>
      </w:r>
      <w:r w:rsidR="00BF7CE2" w:rsidRPr="000963FB">
        <w:rPr>
          <w:bCs/>
          <w:szCs w:val="22"/>
        </w:rPr>
        <w:t xml:space="preserve"> cancellation of the</w:t>
      </w:r>
      <w:r w:rsidR="005F51D0" w:rsidRPr="000963FB">
        <w:rPr>
          <w:bCs/>
          <w:szCs w:val="22"/>
        </w:rPr>
        <w:t xml:space="preserve"> </w:t>
      </w:r>
      <w:r w:rsidR="00BF7CE2" w:rsidRPr="000963FB">
        <w:rPr>
          <w:bCs/>
          <w:szCs w:val="22"/>
        </w:rPr>
        <w:t xml:space="preserve">registrations if the registered </w:t>
      </w:r>
      <w:r w:rsidR="00D5230E" w:rsidRPr="000963FB">
        <w:rPr>
          <w:bCs/>
          <w:szCs w:val="22"/>
        </w:rPr>
        <w:t xml:space="preserve">mark </w:t>
      </w:r>
      <w:r w:rsidR="00BF7CE2" w:rsidRPr="000963FB">
        <w:rPr>
          <w:bCs/>
          <w:szCs w:val="22"/>
        </w:rPr>
        <w:t xml:space="preserve">owner </w:t>
      </w:r>
      <w:r w:rsidR="00D5230E" w:rsidRPr="000963FB">
        <w:rPr>
          <w:bCs/>
          <w:szCs w:val="22"/>
        </w:rPr>
        <w:t xml:space="preserve">has used that </w:t>
      </w:r>
      <w:r w:rsidR="00BF7CE2" w:rsidRPr="000963FB">
        <w:rPr>
          <w:bCs/>
          <w:szCs w:val="22"/>
        </w:rPr>
        <w:t>mark different</w:t>
      </w:r>
      <w:r w:rsidR="00D5230E" w:rsidRPr="000963FB">
        <w:rPr>
          <w:bCs/>
          <w:szCs w:val="22"/>
        </w:rPr>
        <w:t>ly</w:t>
      </w:r>
      <w:r w:rsidR="00BF7CE2" w:rsidRPr="000963FB">
        <w:rPr>
          <w:bCs/>
          <w:szCs w:val="22"/>
        </w:rPr>
        <w:t xml:space="preserve"> </w:t>
      </w:r>
      <w:r w:rsidR="00D5230E" w:rsidRPr="00352509">
        <w:rPr>
          <w:bCs/>
          <w:szCs w:val="22"/>
        </w:rPr>
        <w:t>from the original form which has been register</w:t>
      </w:r>
      <w:r w:rsidR="00164AB8">
        <w:rPr>
          <w:bCs/>
          <w:szCs w:val="22"/>
        </w:rPr>
        <w:t>ed and infringed the rights of anot</w:t>
      </w:r>
      <w:r w:rsidR="00D5230E" w:rsidRPr="00352509">
        <w:rPr>
          <w:bCs/>
          <w:szCs w:val="22"/>
        </w:rPr>
        <w:t>her person’s registered mark</w:t>
      </w:r>
      <w:r w:rsidR="006A7243" w:rsidRPr="00352509">
        <w:rPr>
          <w:bCs/>
          <w:szCs w:val="22"/>
        </w:rPr>
        <w:t xml:space="preserve">.  The IP office relies on the relevant provisions (Article 24(3) and (4)) in the </w:t>
      </w:r>
      <w:r w:rsidR="006E1B4C" w:rsidRPr="00352509">
        <w:t>Sub-Decree on the Implementation of the Law concerning Mark, Trade Names and Acts of Unfair Competition</w:t>
      </w:r>
      <w:r w:rsidR="006A7243" w:rsidRPr="00C74A39">
        <w:t>, to encourage</w:t>
      </w:r>
      <w:r w:rsidR="006A7243" w:rsidRPr="000963FB">
        <w:rPr>
          <w:szCs w:val="22"/>
        </w:rPr>
        <w:t xml:space="preserve"> the </w:t>
      </w:r>
      <w:r w:rsidR="00BD2E52" w:rsidRPr="000963FB">
        <w:rPr>
          <w:szCs w:val="22"/>
        </w:rPr>
        <w:t xml:space="preserve">infringer to reach </w:t>
      </w:r>
      <w:r w:rsidR="006A7243" w:rsidRPr="000963FB">
        <w:rPr>
          <w:szCs w:val="22"/>
        </w:rPr>
        <w:t xml:space="preserve">an </w:t>
      </w:r>
      <w:r w:rsidR="00BD2E52" w:rsidRPr="000963FB">
        <w:rPr>
          <w:szCs w:val="22"/>
        </w:rPr>
        <w:t xml:space="preserve">agreement </w:t>
      </w:r>
      <w:r w:rsidR="006A7243" w:rsidRPr="000963FB">
        <w:rPr>
          <w:szCs w:val="22"/>
        </w:rPr>
        <w:t xml:space="preserve">as </w:t>
      </w:r>
      <w:r w:rsidR="00BD2E52" w:rsidRPr="000963FB">
        <w:rPr>
          <w:szCs w:val="22"/>
        </w:rPr>
        <w:t>otherwise the registered mark will be removed</w:t>
      </w:r>
      <w:r w:rsidR="006A7243" w:rsidRPr="000963FB">
        <w:rPr>
          <w:szCs w:val="22"/>
        </w:rPr>
        <w:t xml:space="preserve"> from the register</w:t>
      </w:r>
      <w:r w:rsidR="00BD2E52" w:rsidRPr="000963FB">
        <w:rPr>
          <w:szCs w:val="22"/>
        </w:rPr>
        <w:t>.</w:t>
      </w:r>
    </w:p>
    <w:p w:rsidR="000C478E" w:rsidRPr="00352509" w:rsidRDefault="000C478E" w:rsidP="000963FB">
      <w:pPr>
        <w:tabs>
          <w:tab w:val="left" w:pos="1134"/>
        </w:tabs>
        <w:rPr>
          <w:szCs w:val="22"/>
        </w:rPr>
      </w:pPr>
    </w:p>
    <w:p w:rsidR="00BF7CE2" w:rsidRPr="00352509" w:rsidRDefault="00674B95" w:rsidP="000963FB">
      <w:pPr>
        <w:rPr>
          <w:bCs/>
          <w:szCs w:val="22"/>
        </w:rPr>
      </w:pPr>
      <w:r w:rsidRPr="000963FB">
        <w:rPr>
          <w:bCs/>
          <w:szCs w:val="22"/>
        </w:rPr>
        <w:fldChar w:fldCharType="begin"/>
      </w:r>
      <w:r w:rsidRPr="000963FB">
        <w:rPr>
          <w:bCs/>
          <w:szCs w:val="22"/>
        </w:rPr>
        <w:instrText xml:space="preserve"> AUTONUM  </w:instrText>
      </w:r>
      <w:r w:rsidRPr="000963FB">
        <w:rPr>
          <w:bCs/>
          <w:szCs w:val="22"/>
        </w:rPr>
        <w:fldChar w:fldCharType="end"/>
      </w:r>
      <w:r w:rsidRPr="000963FB">
        <w:rPr>
          <w:bCs/>
          <w:szCs w:val="22"/>
        </w:rPr>
        <w:tab/>
      </w:r>
      <w:r w:rsidR="00BF7CE2" w:rsidRPr="00BD2EE3">
        <w:rPr>
          <w:szCs w:val="22"/>
          <w:u w:val="single"/>
        </w:rPr>
        <w:t>Neutrality</w:t>
      </w:r>
      <w:r w:rsidR="00800EF6" w:rsidRPr="000963FB">
        <w:rPr>
          <w:bCs/>
          <w:szCs w:val="22"/>
        </w:rPr>
        <w:t xml:space="preserve">     </w:t>
      </w:r>
      <w:r w:rsidR="00BF7CE2" w:rsidRPr="000963FB">
        <w:rPr>
          <w:szCs w:val="26"/>
        </w:rPr>
        <w:t xml:space="preserve">To avoid any local court advantage that one of </w:t>
      </w:r>
      <w:r w:rsidR="006E03DB" w:rsidRPr="00E8314E">
        <w:rPr>
          <w:szCs w:val="26"/>
        </w:rPr>
        <w:t xml:space="preserve">the </w:t>
      </w:r>
      <w:r w:rsidR="00BF7CE2" w:rsidRPr="000963FB">
        <w:rPr>
          <w:szCs w:val="26"/>
        </w:rPr>
        <w:t>parties may enjoy in the context of court litigation, where familiarity with the applicable law and local processes can offer significant strategic advantages</w:t>
      </w:r>
      <w:r w:rsidR="00800EF6" w:rsidRPr="000963FB">
        <w:rPr>
          <w:bCs/>
          <w:szCs w:val="26"/>
        </w:rPr>
        <w:t xml:space="preserve"> to one party</w:t>
      </w:r>
      <w:r w:rsidR="00BF7CE2" w:rsidRPr="000963FB">
        <w:rPr>
          <w:szCs w:val="26"/>
        </w:rPr>
        <w:t>, th</w:t>
      </w:r>
      <w:r w:rsidR="00DD56DF" w:rsidRPr="000963FB">
        <w:rPr>
          <w:szCs w:val="26"/>
        </w:rPr>
        <w:t>e</w:t>
      </w:r>
      <w:r w:rsidR="00BF7CE2" w:rsidRPr="000963FB">
        <w:rPr>
          <w:szCs w:val="26"/>
        </w:rPr>
        <w:t xml:space="preserve"> PADR provides </w:t>
      </w:r>
      <w:r w:rsidR="00DD56DF" w:rsidRPr="000963FB">
        <w:rPr>
          <w:szCs w:val="26"/>
        </w:rPr>
        <w:t xml:space="preserve">a </w:t>
      </w:r>
      <w:r w:rsidR="00BF7CE2" w:rsidRPr="000963FB">
        <w:rPr>
          <w:szCs w:val="26"/>
        </w:rPr>
        <w:t xml:space="preserve">chance to </w:t>
      </w:r>
      <w:r w:rsidR="00800EF6" w:rsidRPr="000963FB">
        <w:rPr>
          <w:bCs/>
          <w:szCs w:val="26"/>
        </w:rPr>
        <w:t>both</w:t>
      </w:r>
      <w:r w:rsidR="00BF7CE2" w:rsidRPr="000963FB">
        <w:rPr>
          <w:szCs w:val="26"/>
        </w:rPr>
        <w:t xml:space="preserve"> parties </w:t>
      </w:r>
      <w:r w:rsidR="00800EF6" w:rsidRPr="000963FB">
        <w:rPr>
          <w:bCs/>
          <w:szCs w:val="26"/>
        </w:rPr>
        <w:t xml:space="preserve">exercise </w:t>
      </w:r>
      <w:r w:rsidR="00BF7CE2" w:rsidRPr="000963FB">
        <w:rPr>
          <w:szCs w:val="26"/>
        </w:rPr>
        <w:t xml:space="preserve">negotiation power </w:t>
      </w:r>
      <w:r w:rsidR="00800EF6" w:rsidRPr="000963FB">
        <w:rPr>
          <w:bCs/>
          <w:szCs w:val="26"/>
        </w:rPr>
        <w:t>to find a resolution (</w:t>
      </w:r>
      <w:r w:rsidR="00BF7CE2" w:rsidRPr="000963FB">
        <w:rPr>
          <w:szCs w:val="26"/>
        </w:rPr>
        <w:t>better than in the court system</w:t>
      </w:r>
      <w:r w:rsidR="00800EF6" w:rsidRPr="000963FB">
        <w:rPr>
          <w:bCs/>
          <w:szCs w:val="26"/>
        </w:rPr>
        <w:t>), or alternatively</w:t>
      </w:r>
      <w:r w:rsidR="00BF7CE2" w:rsidRPr="000963FB">
        <w:rPr>
          <w:szCs w:val="26"/>
        </w:rPr>
        <w:t>,</w:t>
      </w:r>
      <w:r w:rsidR="00800EF6" w:rsidRPr="000963FB">
        <w:rPr>
          <w:bCs/>
          <w:szCs w:val="26"/>
        </w:rPr>
        <w:t xml:space="preserve"> to refuse to reach an agreement.  </w:t>
      </w:r>
      <w:r w:rsidR="000C478E" w:rsidRPr="000963FB">
        <w:rPr>
          <w:bCs/>
          <w:szCs w:val="26"/>
        </w:rPr>
        <w:t xml:space="preserve">In the court system, however, the </w:t>
      </w:r>
      <w:r w:rsidR="00215A5C" w:rsidRPr="000963FB">
        <w:rPr>
          <w:bCs/>
          <w:szCs w:val="22"/>
        </w:rPr>
        <w:t>judge makes a judgment</w:t>
      </w:r>
      <w:r w:rsidR="000C478E" w:rsidRPr="000963FB">
        <w:rPr>
          <w:bCs/>
          <w:szCs w:val="22"/>
        </w:rPr>
        <w:t xml:space="preserve">, which may not always satisfy </w:t>
      </w:r>
      <w:r w:rsidR="00215A5C" w:rsidRPr="000963FB">
        <w:rPr>
          <w:bCs/>
          <w:szCs w:val="22"/>
        </w:rPr>
        <w:t>the parties</w:t>
      </w:r>
      <w:r w:rsidR="00215A5C" w:rsidRPr="00352509">
        <w:rPr>
          <w:bCs/>
          <w:szCs w:val="22"/>
        </w:rPr>
        <w:t xml:space="preserve">  </w:t>
      </w:r>
      <w:r w:rsidR="006841DC" w:rsidRPr="00352509">
        <w:rPr>
          <w:bCs/>
          <w:szCs w:val="22"/>
        </w:rPr>
        <w:t xml:space="preserve"> </w:t>
      </w:r>
      <w:r w:rsidR="003358D9" w:rsidRPr="00352509">
        <w:rPr>
          <w:bCs/>
          <w:szCs w:val="22"/>
        </w:rPr>
        <w:t xml:space="preserve"> </w:t>
      </w:r>
      <w:r w:rsidR="00BF7CE2" w:rsidRPr="00352509">
        <w:rPr>
          <w:bCs/>
          <w:szCs w:val="22"/>
        </w:rPr>
        <w:t xml:space="preserve">    </w:t>
      </w:r>
    </w:p>
    <w:p w:rsidR="00674B95" w:rsidRPr="00352509" w:rsidRDefault="00674B95" w:rsidP="000963FB"/>
    <w:p w:rsidR="00BF7CE2" w:rsidRPr="00352509" w:rsidRDefault="00674B95" w:rsidP="000963FB">
      <w:r w:rsidRPr="000963FB">
        <w:fldChar w:fldCharType="begin"/>
      </w:r>
      <w:r w:rsidRPr="000963FB">
        <w:instrText xml:space="preserve"> AUTONUM  </w:instrText>
      </w:r>
      <w:r w:rsidRPr="000963FB">
        <w:fldChar w:fldCharType="end"/>
      </w:r>
      <w:r w:rsidRPr="000963FB">
        <w:tab/>
      </w:r>
      <w:r w:rsidR="00BF7CE2" w:rsidRPr="000963FB">
        <w:rPr>
          <w:u w:val="single"/>
        </w:rPr>
        <w:t>Expertise</w:t>
      </w:r>
      <w:r w:rsidR="000C478E" w:rsidRPr="00C74A39">
        <w:t xml:space="preserve">  </w:t>
      </w:r>
      <w:r w:rsidR="000C478E" w:rsidRPr="00E8314E">
        <w:t xml:space="preserve">   In PADR, t</w:t>
      </w:r>
      <w:r w:rsidR="00DD56DF" w:rsidRPr="00352509">
        <w:t>he p</w:t>
      </w:r>
      <w:r w:rsidR="00BF7CE2" w:rsidRPr="00352509">
        <w:t xml:space="preserve">residing intermediary has special expertise in IPR </w:t>
      </w:r>
      <w:r w:rsidR="00DD56DF" w:rsidRPr="00352509">
        <w:t>required for</w:t>
      </w:r>
      <w:r w:rsidR="00BF7CE2" w:rsidRPr="00352509">
        <w:t xml:space="preserve"> the resolution of the disputes.</w:t>
      </w:r>
    </w:p>
    <w:p w:rsidR="00674B95" w:rsidRPr="00C74A39" w:rsidRDefault="00674B95" w:rsidP="000963FB"/>
    <w:p w:rsidR="00BF7CE2" w:rsidRPr="00352509" w:rsidRDefault="00674B95" w:rsidP="000963FB">
      <w:r w:rsidRPr="000963FB">
        <w:fldChar w:fldCharType="begin"/>
      </w:r>
      <w:r w:rsidRPr="000963FB">
        <w:instrText xml:space="preserve"> AUTONUM  </w:instrText>
      </w:r>
      <w:r w:rsidRPr="000963FB">
        <w:fldChar w:fldCharType="end"/>
      </w:r>
      <w:r w:rsidRPr="000963FB">
        <w:tab/>
      </w:r>
      <w:r w:rsidR="00BF7CE2" w:rsidRPr="000963FB">
        <w:rPr>
          <w:u w:val="single"/>
        </w:rPr>
        <w:t>Confidentiality</w:t>
      </w:r>
      <w:r w:rsidR="000C478E" w:rsidRPr="00C74A39">
        <w:t xml:space="preserve">     </w:t>
      </w:r>
      <w:r w:rsidR="000C478E" w:rsidRPr="00E8314E">
        <w:t>In PADR, the p</w:t>
      </w:r>
      <w:r w:rsidR="00BF7CE2" w:rsidRPr="00E8314E">
        <w:t xml:space="preserve">arties can keep the proceedings and any result </w:t>
      </w:r>
      <w:r w:rsidR="00BF7CE2" w:rsidRPr="000963FB">
        <w:t>confidential</w:t>
      </w:r>
      <w:r w:rsidR="004E760B" w:rsidRPr="000963FB">
        <w:t xml:space="preserve"> if they wish so.</w:t>
      </w:r>
      <w:r w:rsidR="000C478E" w:rsidRPr="00352509">
        <w:t xml:space="preserve">  </w:t>
      </w:r>
      <w:r w:rsidR="00BF7CE2" w:rsidRPr="00E8314E">
        <w:t>This allows the focus to be kept on the merits of the dispute, and may be of special importance</w:t>
      </w:r>
      <w:r w:rsidR="00DD56DF" w:rsidRPr="000963FB">
        <w:t>,</w:t>
      </w:r>
      <w:r w:rsidR="00BF7CE2" w:rsidRPr="000963FB">
        <w:t xml:space="preserve"> whereas often in the case of IPR disputes</w:t>
      </w:r>
      <w:r w:rsidR="00DD56DF" w:rsidRPr="000963FB">
        <w:t xml:space="preserve">, </w:t>
      </w:r>
      <w:r w:rsidR="00BF7CE2" w:rsidRPr="000963FB">
        <w:t>commercial reputation</w:t>
      </w:r>
      <w:r w:rsidR="00DD56DF" w:rsidRPr="000963FB">
        <w:t xml:space="preserve"> is</w:t>
      </w:r>
      <w:r w:rsidR="00BF7CE2" w:rsidRPr="000963FB">
        <w:t xml:space="preserve"> at stake.</w:t>
      </w:r>
      <w:r w:rsidR="000C478E" w:rsidRPr="00352509">
        <w:t xml:space="preserve">  </w:t>
      </w:r>
      <w:r w:rsidR="00BF7CE2" w:rsidRPr="00E8314E">
        <w:t xml:space="preserve">Both parties can enforce </w:t>
      </w:r>
      <w:r w:rsidR="00457CD9" w:rsidRPr="000963FB">
        <w:t>the</w:t>
      </w:r>
      <w:r w:rsidR="00BF7CE2" w:rsidRPr="000963FB">
        <w:t xml:space="preserve"> consensual agreement as </w:t>
      </w:r>
      <w:r w:rsidR="00457CD9" w:rsidRPr="000963FB">
        <w:t xml:space="preserve">a </w:t>
      </w:r>
      <w:r w:rsidR="00BF7CE2" w:rsidRPr="000963FB">
        <w:t>contract.</w:t>
      </w:r>
      <w:r w:rsidR="000C478E" w:rsidRPr="00352509">
        <w:t xml:space="preserve">  </w:t>
      </w:r>
      <w:r w:rsidR="00BF7CE2" w:rsidRPr="00352509">
        <w:t xml:space="preserve">PADR is </w:t>
      </w:r>
      <w:r w:rsidR="00DD56DF" w:rsidRPr="00352509">
        <w:t>a</w:t>
      </w:r>
      <w:r w:rsidR="00BF7CE2" w:rsidRPr="00352509">
        <w:t xml:space="preserve"> private procedure except </w:t>
      </w:r>
      <w:r w:rsidR="00457CD9" w:rsidRPr="00352509">
        <w:t>when</w:t>
      </w:r>
      <w:r w:rsidR="00BF7CE2" w:rsidRPr="00352509">
        <w:t xml:space="preserve"> agreed otherwise</w:t>
      </w:r>
      <w:proofErr w:type="gramStart"/>
      <w:r w:rsidR="00DD56DF" w:rsidRPr="00352509">
        <w:t xml:space="preserve">; </w:t>
      </w:r>
      <w:r w:rsidR="0052739F" w:rsidRPr="00352509">
        <w:t xml:space="preserve"> </w:t>
      </w:r>
      <w:r w:rsidR="00BF7CE2" w:rsidRPr="00352509">
        <w:t>all</w:t>
      </w:r>
      <w:proofErr w:type="gramEnd"/>
      <w:r w:rsidR="00BF7CE2" w:rsidRPr="00352509">
        <w:t xml:space="preserve"> parties may preserve confidentiality regarding </w:t>
      </w:r>
      <w:r w:rsidR="00DD56DF" w:rsidRPr="00352509">
        <w:t>the settlement</w:t>
      </w:r>
      <w:r w:rsidR="00BF7CE2" w:rsidRPr="00352509">
        <w:t xml:space="preserve"> agreement.</w:t>
      </w:r>
    </w:p>
    <w:p w:rsidR="00674B95" w:rsidRPr="00C74A39" w:rsidRDefault="00674B95" w:rsidP="000963FB"/>
    <w:p w:rsidR="00BF7CE2" w:rsidRPr="00352509" w:rsidRDefault="00674B95" w:rsidP="000963FB">
      <w:r w:rsidRPr="000963FB">
        <w:fldChar w:fldCharType="begin"/>
      </w:r>
      <w:r w:rsidRPr="000963FB">
        <w:instrText xml:space="preserve"> AUTONUM  </w:instrText>
      </w:r>
      <w:r w:rsidRPr="000963FB">
        <w:fldChar w:fldCharType="end"/>
      </w:r>
      <w:r w:rsidRPr="000963FB">
        <w:tab/>
      </w:r>
      <w:r w:rsidR="00BF7CE2" w:rsidRPr="000963FB">
        <w:rPr>
          <w:u w:val="single"/>
        </w:rPr>
        <w:t>Efficiency</w:t>
      </w:r>
      <w:r w:rsidR="00861988" w:rsidRPr="00164AB8">
        <w:t xml:space="preserve"> </w:t>
      </w:r>
      <w:r w:rsidR="00861988" w:rsidRPr="00C74A39">
        <w:t xml:space="preserve">    Recognizing the n</w:t>
      </w:r>
      <w:r w:rsidR="00BF7CE2" w:rsidRPr="00E8314E">
        <w:t xml:space="preserve">eed for efficient dispute resolution </w:t>
      </w:r>
      <w:r w:rsidR="00BF7CE2" w:rsidRPr="000963FB">
        <w:t>procedures</w:t>
      </w:r>
      <w:r w:rsidR="00861988" w:rsidRPr="00352509">
        <w:t xml:space="preserve">, </w:t>
      </w:r>
      <w:r w:rsidR="00BF7CE2" w:rsidRPr="000963FB">
        <w:t>PADR offers parties control (short deadlines) to</w:t>
      </w:r>
      <w:r w:rsidR="00CE201B" w:rsidRPr="000963FB">
        <w:t xml:space="preserve"> reach a</w:t>
      </w:r>
      <w:r w:rsidR="00BF7CE2" w:rsidRPr="000963FB">
        <w:t xml:space="preserve"> quick result as they wish</w:t>
      </w:r>
      <w:proofErr w:type="gramStart"/>
      <w:r w:rsidR="00CE201B" w:rsidRPr="000963FB">
        <w:t xml:space="preserve">; </w:t>
      </w:r>
      <w:r w:rsidR="00164AB8">
        <w:t xml:space="preserve"> </w:t>
      </w:r>
      <w:r w:rsidR="00CE201B" w:rsidRPr="000963FB">
        <w:t>when</w:t>
      </w:r>
      <w:proofErr w:type="gramEnd"/>
      <w:r w:rsidR="00CE201B" w:rsidRPr="000963FB">
        <w:t xml:space="preserve"> the </w:t>
      </w:r>
      <w:r w:rsidR="00BF7CE2" w:rsidRPr="00352509">
        <w:t>infring</w:t>
      </w:r>
      <w:r w:rsidR="00CE201B" w:rsidRPr="00C74A39">
        <w:t>ing</w:t>
      </w:r>
      <w:r w:rsidR="00BF7CE2" w:rsidRPr="00E8314E">
        <w:t xml:space="preserve"> party tries to delay </w:t>
      </w:r>
      <w:r w:rsidR="00CE201B" w:rsidRPr="000963FB">
        <w:t xml:space="preserve">the </w:t>
      </w:r>
      <w:r w:rsidR="00BF7CE2" w:rsidRPr="000963FB">
        <w:t>right holder’s proceedings, the intermediary may preserve the right to set a fix</w:t>
      </w:r>
      <w:r w:rsidR="00CE201B" w:rsidRPr="000963FB">
        <w:t>ed</w:t>
      </w:r>
      <w:r w:rsidR="00BF7CE2" w:rsidRPr="000963FB">
        <w:t xml:space="preserve"> deadline for </w:t>
      </w:r>
      <w:r w:rsidR="00861988" w:rsidRPr="000963FB">
        <w:t xml:space="preserve">the </w:t>
      </w:r>
      <w:r w:rsidR="00BF7CE2" w:rsidRPr="000963FB">
        <w:t xml:space="preserve">closure of </w:t>
      </w:r>
      <w:r w:rsidR="00861988" w:rsidRPr="000963FB">
        <w:t xml:space="preserve">the </w:t>
      </w:r>
      <w:r w:rsidR="00BF7CE2" w:rsidRPr="000963FB">
        <w:t xml:space="preserve">proceedings.  </w:t>
      </w:r>
      <w:r w:rsidR="00861988" w:rsidRPr="000963FB">
        <w:t>Through a c</w:t>
      </w:r>
      <w:r w:rsidR="001941D4" w:rsidRPr="000963FB">
        <w:t>omprehensive dispute resolution</w:t>
      </w:r>
      <w:r w:rsidR="00861988" w:rsidRPr="000963FB">
        <w:t xml:space="preserve">, a </w:t>
      </w:r>
      <w:r w:rsidR="00BF7CE2" w:rsidRPr="00352509">
        <w:t>procedure,</w:t>
      </w:r>
      <w:r w:rsidR="00AD709E" w:rsidRPr="00352509">
        <w:t xml:space="preserve"> </w:t>
      </w:r>
      <w:r w:rsidR="00861988" w:rsidRPr="00C74A39">
        <w:t xml:space="preserve">and with the assistance of a </w:t>
      </w:r>
      <w:r w:rsidR="00BF7CE2" w:rsidRPr="00352509">
        <w:t xml:space="preserve">neutral expert, </w:t>
      </w:r>
      <w:r w:rsidR="00861988" w:rsidRPr="00C74A39">
        <w:t xml:space="preserve">a </w:t>
      </w:r>
      <w:r w:rsidR="00BF7CE2" w:rsidRPr="00352509">
        <w:t>final settlement agreement</w:t>
      </w:r>
      <w:r w:rsidR="00861988" w:rsidRPr="00C74A39">
        <w:t xml:space="preserve"> can be achieved</w:t>
      </w:r>
      <w:r w:rsidR="00BF7CE2" w:rsidRPr="00352509">
        <w:t>.</w:t>
      </w:r>
    </w:p>
    <w:p w:rsidR="00674B95" w:rsidRPr="00C74A39" w:rsidRDefault="00674B95" w:rsidP="000963FB"/>
    <w:p w:rsidR="00674B95" w:rsidRPr="00C74A39" w:rsidRDefault="00674B95" w:rsidP="000963FB">
      <w:r w:rsidRPr="000963FB">
        <w:fldChar w:fldCharType="begin"/>
      </w:r>
      <w:r w:rsidRPr="000963FB">
        <w:instrText xml:space="preserve"> AUTONUM  </w:instrText>
      </w:r>
      <w:r w:rsidRPr="000963FB">
        <w:fldChar w:fldCharType="end"/>
      </w:r>
      <w:r w:rsidRPr="000963FB">
        <w:tab/>
      </w:r>
      <w:r w:rsidR="00BF7CE2" w:rsidRPr="000963FB">
        <w:rPr>
          <w:u w:val="single"/>
        </w:rPr>
        <w:t>Finality of Agreement</w:t>
      </w:r>
      <w:r w:rsidR="00FA1E88" w:rsidRPr="00E8314E">
        <w:t xml:space="preserve"> </w:t>
      </w:r>
      <w:r w:rsidR="00C74A39">
        <w:t xml:space="preserve">    </w:t>
      </w:r>
      <w:r w:rsidR="00FA1E88" w:rsidRPr="000963FB">
        <w:t xml:space="preserve">Whereas court decisions can be generally contested through one or more rounds of litigation, </w:t>
      </w:r>
      <w:r w:rsidR="00BF7CE2" w:rsidRPr="00E8314E">
        <w:t>PADR agreements are not normally subject to appeal</w:t>
      </w:r>
      <w:r w:rsidR="00CE201B" w:rsidRPr="000963FB">
        <w:t xml:space="preserve">; </w:t>
      </w:r>
      <w:r w:rsidR="0052739F" w:rsidRPr="000963FB">
        <w:t xml:space="preserve"> </w:t>
      </w:r>
      <w:r w:rsidR="00BF7CE2" w:rsidRPr="000963FB">
        <w:t xml:space="preserve">in case </w:t>
      </w:r>
      <w:r w:rsidR="00457CD9" w:rsidRPr="000963FB">
        <w:t xml:space="preserve">of </w:t>
      </w:r>
      <w:r w:rsidR="00BF7CE2" w:rsidRPr="000963FB">
        <w:t>breach, parties may appeal to the court.</w:t>
      </w:r>
    </w:p>
    <w:p w:rsidR="00BF7CE2" w:rsidRPr="00C74A39" w:rsidRDefault="00BF7CE2" w:rsidP="000963FB">
      <w:r w:rsidRPr="00C74A39">
        <w:t xml:space="preserve"> </w:t>
      </w:r>
      <w:r w:rsidR="00FA1E88" w:rsidRPr="00352509">
        <w:t xml:space="preserve"> </w:t>
      </w:r>
    </w:p>
    <w:p w:rsidR="00BF7CE2" w:rsidRPr="00674B95" w:rsidRDefault="00674B95" w:rsidP="000963FB">
      <w:r w:rsidRPr="000963FB">
        <w:fldChar w:fldCharType="begin"/>
      </w:r>
      <w:r w:rsidRPr="000963FB">
        <w:instrText xml:space="preserve"> AUTONUM  </w:instrText>
      </w:r>
      <w:r w:rsidRPr="000963FB">
        <w:fldChar w:fldCharType="end"/>
      </w:r>
      <w:r w:rsidRPr="000963FB">
        <w:tab/>
      </w:r>
      <w:r w:rsidR="00BF7CE2" w:rsidRPr="000963FB">
        <w:rPr>
          <w:u w:val="single"/>
        </w:rPr>
        <w:t>Preserving Party Relationships</w:t>
      </w:r>
      <w:r w:rsidR="00FA1E88" w:rsidRPr="00C74A39">
        <w:t xml:space="preserve">  </w:t>
      </w:r>
      <w:r w:rsidR="000D38FC" w:rsidRPr="00E8314E">
        <w:t xml:space="preserve"> </w:t>
      </w:r>
      <w:r w:rsidR="00BF7CE2" w:rsidRPr="000963FB">
        <w:t>IPR</w:t>
      </w:r>
      <w:r w:rsidR="00CE201B" w:rsidRPr="000963FB">
        <w:t>s are</w:t>
      </w:r>
      <w:r w:rsidR="00BF7CE2" w:rsidRPr="000963FB">
        <w:t xml:space="preserve"> generally exploited in long-term relationships between partners</w:t>
      </w:r>
      <w:r w:rsidR="004E760B" w:rsidRPr="000963FB">
        <w:t>.</w:t>
      </w:r>
      <w:r w:rsidR="00FA1E88" w:rsidRPr="000963FB">
        <w:t xml:space="preserve">  PA</w:t>
      </w:r>
      <w:r w:rsidR="00BF7CE2" w:rsidRPr="000963FB">
        <w:t>DR</w:t>
      </w:r>
      <w:r w:rsidR="00FA1E88" w:rsidRPr="000963FB">
        <w:t xml:space="preserve"> is a p</w:t>
      </w:r>
      <w:r w:rsidR="00BF7CE2" w:rsidRPr="000963FB">
        <w:t xml:space="preserve">rivate and administrative procedure, </w:t>
      </w:r>
      <w:r w:rsidR="00FA1E88" w:rsidRPr="000963FB">
        <w:t xml:space="preserve">which takes place </w:t>
      </w:r>
      <w:r w:rsidR="00BF7CE2" w:rsidRPr="000963FB">
        <w:t xml:space="preserve">at the request </w:t>
      </w:r>
      <w:r w:rsidR="00457CD9" w:rsidRPr="000963FB">
        <w:t>of</w:t>
      </w:r>
      <w:r w:rsidR="00BF7CE2" w:rsidRPr="000963FB">
        <w:t xml:space="preserve"> the parties</w:t>
      </w:r>
      <w:r w:rsidR="00FA1E88" w:rsidRPr="000963FB">
        <w:t xml:space="preserve">, and which is flexible, </w:t>
      </w:r>
      <w:r w:rsidR="00BF7CE2" w:rsidRPr="000963FB">
        <w:t>tailor</w:t>
      </w:r>
      <w:r w:rsidR="00164AB8">
        <w:t>ing</w:t>
      </w:r>
      <w:r w:rsidR="00BF7CE2" w:rsidRPr="000963FB">
        <w:t xml:space="preserve"> to the parties</w:t>
      </w:r>
      <w:r w:rsidR="00CE201B" w:rsidRPr="000963FB">
        <w:t>’</w:t>
      </w:r>
      <w:r w:rsidR="00BF7CE2" w:rsidRPr="000963FB">
        <w:t xml:space="preserve"> needs</w:t>
      </w:r>
      <w:r w:rsidR="004E760B" w:rsidRPr="000963FB">
        <w:t>.</w:t>
      </w:r>
      <w:r w:rsidR="00FA1E88" w:rsidRPr="00674B95">
        <w:t xml:space="preserve">  Furthermore, c</w:t>
      </w:r>
      <w:r w:rsidR="00BF7CE2" w:rsidRPr="00674B95">
        <w:t xml:space="preserve">onfidentiality </w:t>
      </w:r>
      <w:r w:rsidR="00FA1E88" w:rsidRPr="00C74A39">
        <w:t xml:space="preserve">of the procedure </w:t>
      </w:r>
      <w:r w:rsidR="00BF7CE2" w:rsidRPr="00674B95">
        <w:t>helps parties to focus on the merits of the dispute, without concern about its public implications.</w:t>
      </w:r>
    </w:p>
    <w:p w:rsidR="00846847" w:rsidRPr="00C74A39" w:rsidRDefault="00846847" w:rsidP="000963FB"/>
    <w:p w:rsidR="00BF7CE2" w:rsidRPr="00C74A39" w:rsidRDefault="00BF7CE2" w:rsidP="008C7BA3">
      <w:pPr>
        <w:pStyle w:val="Heading2"/>
        <w:numPr>
          <w:ilvl w:val="0"/>
          <w:numId w:val="19"/>
        </w:numPr>
        <w:tabs>
          <w:tab w:val="left" w:pos="567"/>
        </w:tabs>
        <w:ind w:left="0" w:firstLine="0"/>
        <w:rPr>
          <w:szCs w:val="22"/>
        </w:rPr>
      </w:pPr>
      <w:r w:rsidRPr="00674B95">
        <w:rPr>
          <w:szCs w:val="22"/>
        </w:rPr>
        <w:t>Disposal of Infringing Goods</w:t>
      </w:r>
    </w:p>
    <w:p w:rsidR="00BF7CE2" w:rsidRPr="001D117A" w:rsidRDefault="00BF7CE2" w:rsidP="00BF7CE2">
      <w:pPr>
        <w:rPr>
          <w:bCs/>
          <w:szCs w:val="22"/>
        </w:rPr>
      </w:pPr>
      <w:r w:rsidRPr="00E8314E">
        <w:rPr>
          <w:b/>
          <w:bCs/>
          <w:szCs w:val="22"/>
        </w:rPr>
        <w:t xml:space="preserve"> </w:t>
      </w:r>
    </w:p>
    <w:p w:rsidR="00DC0459" w:rsidRPr="00707313" w:rsidRDefault="00AD709E" w:rsidP="000963FB">
      <w:pPr>
        <w:rPr>
          <w:szCs w:val="22"/>
        </w:rPr>
      </w:pPr>
      <w:r w:rsidRPr="000963FB">
        <w:rPr>
          <w:bCs/>
          <w:szCs w:val="22"/>
        </w:rPr>
        <w:fldChar w:fldCharType="begin"/>
      </w:r>
      <w:r w:rsidRPr="000963FB">
        <w:rPr>
          <w:bCs/>
          <w:szCs w:val="22"/>
        </w:rPr>
        <w:instrText xml:space="preserve"> AUTONUM  </w:instrText>
      </w:r>
      <w:r w:rsidRPr="000963FB">
        <w:rPr>
          <w:bCs/>
          <w:szCs w:val="22"/>
        </w:rPr>
        <w:fldChar w:fldCharType="end"/>
      </w:r>
      <w:r w:rsidRPr="001D117A">
        <w:rPr>
          <w:bCs/>
          <w:szCs w:val="22"/>
        </w:rPr>
        <w:tab/>
      </w:r>
      <w:r w:rsidR="00BF7CE2" w:rsidRPr="0012219B">
        <w:rPr>
          <w:bCs/>
          <w:szCs w:val="22"/>
        </w:rPr>
        <w:t xml:space="preserve">Once </w:t>
      </w:r>
      <w:r w:rsidR="00164AB8">
        <w:rPr>
          <w:bCs/>
          <w:szCs w:val="22"/>
        </w:rPr>
        <w:t xml:space="preserve">a </w:t>
      </w:r>
      <w:r w:rsidR="00BF7CE2" w:rsidRPr="0012219B">
        <w:rPr>
          <w:bCs/>
          <w:szCs w:val="22"/>
        </w:rPr>
        <w:t xml:space="preserve">reconciliation session </w:t>
      </w:r>
      <w:r w:rsidR="00CE201B" w:rsidRPr="0012219B">
        <w:rPr>
          <w:bCs/>
          <w:szCs w:val="22"/>
        </w:rPr>
        <w:t>takes place</w:t>
      </w:r>
      <w:r w:rsidR="00BF7CE2" w:rsidRPr="0012219B">
        <w:rPr>
          <w:bCs/>
          <w:szCs w:val="22"/>
        </w:rPr>
        <w:t xml:space="preserve"> between </w:t>
      </w:r>
      <w:r w:rsidR="00CE201B" w:rsidRPr="0012219B">
        <w:rPr>
          <w:bCs/>
          <w:szCs w:val="22"/>
        </w:rPr>
        <w:t xml:space="preserve">the </w:t>
      </w:r>
      <w:r w:rsidR="00BF7CE2" w:rsidRPr="0012219B">
        <w:rPr>
          <w:bCs/>
          <w:szCs w:val="22"/>
        </w:rPr>
        <w:t xml:space="preserve">right holder and </w:t>
      </w:r>
      <w:r w:rsidR="00CE201B" w:rsidRPr="0012219B">
        <w:rPr>
          <w:bCs/>
          <w:szCs w:val="22"/>
        </w:rPr>
        <w:t xml:space="preserve">the </w:t>
      </w:r>
      <w:r w:rsidR="00BF7CE2" w:rsidRPr="0012219B">
        <w:rPr>
          <w:bCs/>
          <w:szCs w:val="22"/>
        </w:rPr>
        <w:t>infringer,</w:t>
      </w:r>
      <w:r w:rsidR="00BF7CE2" w:rsidRPr="0012219B">
        <w:rPr>
          <w:szCs w:val="22"/>
        </w:rPr>
        <w:t xml:space="preserve"> the right holder </w:t>
      </w:r>
      <w:r w:rsidR="00991795" w:rsidRPr="0012219B">
        <w:rPr>
          <w:szCs w:val="22"/>
        </w:rPr>
        <w:t>obtains</w:t>
      </w:r>
      <w:r w:rsidR="00BF7CE2" w:rsidRPr="0012219B">
        <w:rPr>
          <w:szCs w:val="22"/>
        </w:rPr>
        <w:t xml:space="preserve"> </w:t>
      </w:r>
      <w:r w:rsidR="00164AB8">
        <w:rPr>
          <w:szCs w:val="22"/>
        </w:rPr>
        <w:t xml:space="preserve">the </w:t>
      </w:r>
      <w:r w:rsidR="00BF7CE2" w:rsidRPr="0012219B">
        <w:rPr>
          <w:szCs w:val="22"/>
        </w:rPr>
        <w:t xml:space="preserve">full right to make </w:t>
      </w:r>
      <w:r w:rsidR="00164AB8">
        <w:rPr>
          <w:szCs w:val="22"/>
        </w:rPr>
        <w:t>a</w:t>
      </w:r>
      <w:r w:rsidR="00CE201B" w:rsidRPr="0012219B">
        <w:rPr>
          <w:szCs w:val="22"/>
        </w:rPr>
        <w:t xml:space="preserve"> </w:t>
      </w:r>
      <w:r w:rsidR="00BF7CE2" w:rsidRPr="0012219B">
        <w:rPr>
          <w:szCs w:val="22"/>
        </w:rPr>
        <w:t xml:space="preserve">determination </w:t>
      </w:r>
      <w:r w:rsidR="00CE201B" w:rsidRPr="0012219B">
        <w:rPr>
          <w:szCs w:val="22"/>
        </w:rPr>
        <w:t>on</w:t>
      </w:r>
      <w:r w:rsidR="0012219B" w:rsidRPr="0012219B">
        <w:rPr>
          <w:szCs w:val="22"/>
        </w:rPr>
        <w:t xml:space="preserve"> how </w:t>
      </w:r>
      <w:r w:rsidR="00BF7CE2" w:rsidRPr="0012219B">
        <w:rPr>
          <w:szCs w:val="22"/>
        </w:rPr>
        <w:t xml:space="preserve">the counterfeit goods </w:t>
      </w:r>
      <w:r w:rsidR="00CE201B" w:rsidRPr="0012219B">
        <w:rPr>
          <w:szCs w:val="22"/>
        </w:rPr>
        <w:t xml:space="preserve">are </w:t>
      </w:r>
      <w:r w:rsidR="00BF7CE2" w:rsidRPr="0012219B">
        <w:rPr>
          <w:szCs w:val="22"/>
        </w:rPr>
        <w:t>to be disposed</w:t>
      </w:r>
      <w:r w:rsidR="0012219B" w:rsidRPr="000963FB">
        <w:rPr>
          <w:szCs w:val="22"/>
        </w:rPr>
        <w:t>.  Counterfeit goods which do not affect public health (</w:t>
      </w:r>
      <w:r w:rsidR="0012219B" w:rsidRPr="000963FB">
        <w:rPr>
          <w:i/>
          <w:szCs w:val="22"/>
        </w:rPr>
        <w:t>e.g.</w:t>
      </w:r>
      <w:r w:rsidR="0012219B" w:rsidRPr="000963FB">
        <w:rPr>
          <w:szCs w:val="22"/>
        </w:rPr>
        <w:t>, t-shirts, shoes, toys, etc.)</w:t>
      </w:r>
      <w:r w:rsidR="00164AB8">
        <w:rPr>
          <w:szCs w:val="22"/>
        </w:rPr>
        <w:t xml:space="preserve">, </w:t>
      </w:r>
      <w:r w:rsidR="00164AB8">
        <w:rPr>
          <w:szCs w:val="22"/>
        </w:rPr>
        <w:lastRenderedPageBreak/>
        <w:t xml:space="preserve">the Ministry of Commerce encourages both parties to reach an agreement to </w:t>
      </w:r>
      <w:r w:rsidR="0012219B" w:rsidRPr="000963FB">
        <w:rPr>
          <w:szCs w:val="22"/>
        </w:rPr>
        <w:t>dispose</w:t>
      </w:r>
      <w:r w:rsidR="00164AB8">
        <w:rPr>
          <w:szCs w:val="22"/>
        </w:rPr>
        <w:t xml:space="preserve"> such goods </w:t>
      </w:r>
      <w:r w:rsidR="00BF7CE2" w:rsidRPr="000963FB">
        <w:rPr>
          <w:szCs w:val="22"/>
        </w:rPr>
        <w:t>in</w:t>
      </w:r>
      <w:r w:rsidR="0012219B" w:rsidRPr="000963FB">
        <w:rPr>
          <w:szCs w:val="22"/>
        </w:rPr>
        <w:t>to</w:t>
      </w:r>
      <w:r w:rsidR="00BF7CE2" w:rsidRPr="000963FB">
        <w:rPr>
          <w:szCs w:val="22"/>
        </w:rPr>
        <w:t xml:space="preserve"> c</w:t>
      </w:r>
      <w:r w:rsidR="00263A28" w:rsidRPr="000963FB">
        <w:rPr>
          <w:szCs w:val="22"/>
        </w:rPr>
        <w:t>hannel of commerce for a certain</w:t>
      </w:r>
      <w:r w:rsidR="00BF7CE2" w:rsidRPr="000963FB">
        <w:rPr>
          <w:szCs w:val="22"/>
        </w:rPr>
        <w:t xml:space="preserve"> period of time </w:t>
      </w:r>
      <w:r w:rsidR="00BF7CE2" w:rsidRPr="000963FB">
        <w:rPr>
          <w:bCs/>
          <w:szCs w:val="22"/>
        </w:rPr>
        <w:t xml:space="preserve">by </w:t>
      </w:r>
      <w:r w:rsidR="00BF7CE2" w:rsidRPr="000963FB">
        <w:rPr>
          <w:szCs w:val="22"/>
        </w:rPr>
        <w:t>provi</w:t>
      </w:r>
      <w:r w:rsidR="0012219B">
        <w:rPr>
          <w:szCs w:val="22"/>
        </w:rPr>
        <w:t>ding</w:t>
      </w:r>
      <w:r w:rsidR="00BF7CE2" w:rsidRPr="000963FB">
        <w:rPr>
          <w:szCs w:val="22"/>
        </w:rPr>
        <w:t xml:space="preserve"> the certificate of production</w:t>
      </w:r>
      <w:r w:rsidR="0012219B" w:rsidRPr="0012219B">
        <w:rPr>
          <w:szCs w:val="22"/>
        </w:rPr>
        <w:t xml:space="preserve"> issued by the concerned ministries. </w:t>
      </w:r>
      <w:r w:rsidR="00CE201B" w:rsidRPr="0012219B">
        <w:rPr>
          <w:szCs w:val="22"/>
        </w:rPr>
        <w:t xml:space="preserve"> </w:t>
      </w:r>
      <w:r w:rsidR="0012219B" w:rsidRPr="0012219B">
        <w:rPr>
          <w:szCs w:val="22"/>
        </w:rPr>
        <w:t>Counterfeit goods which affect public health (</w:t>
      </w:r>
      <w:r w:rsidR="0012219B" w:rsidRPr="000963FB">
        <w:rPr>
          <w:i/>
          <w:szCs w:val="22"/>
        </w:rPr>
        <w:t>e.g.</w:t>
      </w:r>
      <w:r w:rsidR="0012219B" w:rsidRPr="0012219B">
        <w:rPr>
          <w:szCs w:val="22"/>
        </w:rPr>
        <w:t>, medicine, chili sauce, car spare parts, etc.) are</w:t>
      </w:r>
      <w:r w:rsidR="00BF7CE2" w:rsidRPr="0012219B">
        <w:rPr>
          <w:szCs w:val="22"/>
        </w:rPr>
        <w:t xml:space="preserve"> destroyed.</w:t>
      </w:r>
      <w:r w:rsidR="008D3EA9" w:rsidRPr="0012219B">
        <w:rPr>
          <w:szCs w:val="22"/>
        </w:rPr>
        <w:t xml:space="preserve"> </w:t>
      </w:r>
      <w:r w:rsidR="00164AB8">
        <w:rPr>
          <w:szCs w:val="22"/>
        </w:rPr>
        <w:t xml:space="preserve"> The final decision on the disposal of the counterfeit goods shall be made by the right holder</w:t>
      </w:r>
      <w:proofErr w:type="gramStart"/>
      <w:r w:rsidR="00164AB8">
        <w:rPr>
          <w:szCs w:val="22"/>
        </w:rPr>
        <w:t>;  h</w:t>
      </w:r>
      <w:r w:rsidR="00BF7CE2" w:rsidRPr="0012219B">
        <w:rPr>
          <w:szCs w:val="22"/>
        </w:rPr>
        <w:t>owever</w:t>
      </w:r>
      <w:proofErr w:type="gramEnd"/>
      <w:r w:rsidR="00BF7CE2" w:rsidRPr="0012219B">
        <w:rPr>
          <w:szCs w:val="22"/>
        </w:rPr>
        <w:t xml:space="preserve">, the infringer may persuade the right holder to provide him </w:t>
      </w:r>
      <w:r w:rsidR="00CE201B" w:rsidRPr="0012219B">
        <w:rPr>
          <w:szCs w:val="22"/>
        </w:rPr>
        <w:t xml:space="preserve">a </w:t>
      </w:r>
      <w:r w:rsidR="00BF7CE2" w:rsidRPr="0012219B">
        <w:rPr>
          <w:szCs w:val="22"/>
        </w:rPr>
        <w:t xml:space="preserve">chance </w:t>
      </w:r>
      <w:r w:rsidR="00CE201B" w:rsidRPr="0012219B">
        <w:rPr>
          <w:szCs w:val="22"/>
        </w:rPr>
        <w:t>to</w:t>
      </w:r>
      <w:r w:rsidR="00BF7CE2" w:rsidRPr="0012219B">
        <w:rPr>
          <w:szCs w:val="22"/>
        </w:rPr>
        <w:t xml:space="preserve"> clean up</w:t>
      </w:r>
      <w:r w:rsidR="00BF7CE2" w:rsidRPr="00C0738F">
        <w:rPr>
          <w:szCs w:val="22"/>
        </w:rPr>
        <w:t xml:space="preserve"> his infringement</w:t>
      </w:r>
      <w:r w:rsidR="00CE201B" w:rsidRPr="00D5230E">
        <w:rPr>
          <w:szCs w:val="22"/>
        </w:rPr>
        <w:t xml:space="preserve"> activities</w:t>
      </w:r>
      <w:r w:rsidR="00BF7CE2" w:rsidRPr="005509EF">
        <w:rPr>
          <w:szCs w:val="22"/>
        </w:rPr>
        <w:t>.</w:t>
      </w:r>
    </w:p>
    <w:p w:rsidR="00BF7CE2" w:rsidRPr="000C739B" w:rsidRDefault="001E62C9">
      <w:pPr>
        <w:rPr>
          <w:b/>
          <w:bCs/>
          <w:szCs w:val="22"/>
        </w:rPr>
      </w:pPr>
      <w:r w:rsidRPr="000C739B">
        <w:rPr>
          <w:szCs w:val="22"/>
        </w:rPr>
        <w:t xml:space="preserve"> </w:t>
      </w:r>
      <w:r w:rsidR="00DC4B89" w:rsidRPr="000C739B">
        <w:rPr>
          <w:szCs w:val="22"/>
        </w:rPr>
        <w:t xml:space="preserve"> </w:t>
      </w:r>
    </w:p>
    <w:p w:rsidR="00BF7CE2" w:rsidRPr="006E1B4C" w:rsidRDefault="00BF7CE2" w:rsidP="008C7BA3">
      <w:pPr>
        <w:pStyle w:val="Heading2"/>
        <w:numPr>
          <w:ilvl w:val="0"/>
          <w:numId w:val="19"/>
        </w:numPr>
        <w:tabs>
          <w:tab w:val="left" w:pos="567"/>
        </w:tabs>
        <w:ind w:left="0" w:firstLine="0"/>
        <w:rPr>
          <w:szCs w:val="22"/>
        </w:rPr>
      </w:pPr>
      <w:r w:rsidRPr="000C739B">
        <w:rPr>
          <w:szCs w:val="22"/>
        </w:rPr>
        <w:t>Collabora</w:t>
      </w:r>
      <w:r w:rsidRPr="002A043C">
        <w:rPr>
          <w:szCs w:val="22"/>
        </w:rPr>
        <w:t>tion with other Enforcement Agencies</w:t>
      </w:r>
    </w:p>
    <w:p w:rsidR="00BF7CE2" w:rsidRPr="006E1B4C" w:rsidRDefault="00BF7CE2" w:rsidP="00BF7CE2">
      <w:pPr>
        <w:rPr>
          <w:szCs w:val="22"/>
        </w:rPr>
      </w:pPr>
      <w:r w:rsidRPr="006E1B4C">
        <w:rPr>
          <w:szCs w:val="22"/>
        </w:rPr>
        <w:t xml:space="preserve"> </w:t>
      </w:r>
    </w:p>
    <w:p w:rsidR="00BF7CE2" w:rsidRPr="00694C6F" w:rsidRDefault="00AD709E" w:rsidP="000963FB">
      <w:pPr>
        <w:rPr>
          <w:szCs w:val="22"/>
        </w:rPr>
      </w:pPr>
      <w:r w:rsidRPr="000963FB">
        <w:rPr>
          <w:szCs w:val="22"/>
        </w:rPr>
        <w:fldChar w:fldCharType="begin"/>
      </w:r>
      <w:r w:rsidRPr="000963FB">
        <w:rPr>
          <w:szCs w:val="22"/>
        </w:rPr>
        <w:instrText xml:space="preserve"> AUTONUM  </w:instrText>
      </w:r>
      <w:r w:rsidRPr="000963FB">
        <w:rPr>
          <w:szCs w:val="22"/>
        </w:rPr>
        <w:fldChar w:fldCharType="end"/>
      </w:r>
      <w:r w:rsidRPr="001D117A">
        <w:rPr>
          <w:szCs w:val="22"/>
        </w:rPr>
        <w:tab/>
      </w:r>
      <w:r w:rsidR="00CE201B" w:rsidRPr="001D117A">
        <w:rPr>
          <w:szCs w:val="22"/>
        </w:rPr>
        <w:t xml:space="preserve">In addition to its </w:t>
      </w:r>
      <w:r w:rsidR="00BF7CE2" w:rsidRPr="001D117A">
        <w:rPr>
          <w:szCs w:val="22"/>
        </w:rPr>
        <w:t>responsib</w:t>
      </w:r>
      <w:r w:rsidR="00CE201B" w:rsidRPr="001D117A">
        <w:rPr>
          <w:szCs w:val="22"/>
        </w:rPr>
        <w:t>ility</w:t>
      </w:r>
      <w:r w:rsidR="00BF7CE2" w:rsidRPr="001D117A">
        <w:rPr>
          <w:szCs w:val="22"/>
        </w:rPr>
        <w:t xml:space="preserve"> for</w:t>
      </w:r>
      <w:r w:rsidR="0035723F">
        <w:rPr>
          <w:szCs w:val="22"/>
        </w:rPr>
        <w:t xml:space="preserve"> PADR</w:t>
      </w:r>
      <w:r w:rsidR="00BF7CE2" w:rsidRPr="001D117A">
        <w:rPr>
          <w:szCs w:val="22"/>
        </w:rPr>
        <w:t xml:space="preserve">, </w:t>
      </w:r>
      <w:r w:rsidR="00CE201B" w:rsidRPr="001D117A">
        <w:rPr>
          <w:szCs w:val="22"/>
        </w:rPr>
        <w:t xml:space="preserve">the </w:t>
      </w:r>
      <w:r w:rsidR="00BF7CE2" w:rsidRPr="001D117A">
        <w:rPr>
          <w:szCs w:val="22"/>
        </w:rPr>
        <w:t>IP office also provides recommendation</w:t>
      </w:r>
      <w:r w:rsidR="007C642A">
        <w:rPr>
          <w:szCs w:val="22"/>
        </w:rPr>
        <w:t>s</w:t>
      </w:r>
      <w:r w:rsidR="00BF7CE2" w:rsidRPr="001D117A">
        <w:rPr>
          <w:szCs w:val="22"/>
        </w:rPr>
        <w:t xml:space="preserve"> on IP cases to the court or participat</w:t>
      </w:r>
      <w:r w:rsidR="00CE201B" w:rsidRPr="000C739B">
        <w:rPr>
          <w:szCs w:val="22"/>
        </w:rPr>
        <w:t>es</w:t>
      </w:r>
      <w:r w:rsidR="00BF7CE2" w:rsidRPr="000C739B">
        <w:rPr>
          <w:szCs w:val="22"/>
        </w:rPr>
        <w:t xml:space="preserve"> in hearing</w:t>
      </w:r>
      <w:r w:rsidR="00CE201B" w:rsidRPr="000C739B">
        <w:rPr>
          <w:szCs w:val="22"/>
        </w:rPr>
        <w:t>s</w:t>
      </w:r>
      <w:r w:rsidR="00BF7CE2" w:rsidRPr="000C739B">
        <w:rPr>
          <w:szCs w:val="22"/>
        </w:rPr>
        <w:t xml:space="preserve"> under the court procedure. </w:t>
      </w:r>
      <w:r w:rsidR="004E760B" w:rsidRPr="002A043C">
        <w:rPr>
          <w:szCs w:val="22"/>
        </w:rPr>
        <w:t xml:space="preserve"> </w:t>
      </w:r>
      <w:r w:rsidR="00BF7CE2" w:rsidRPr="006E1B4C">
        <w:rPr>
          <w:szCs w:val="22"/>
        </w:rPr>
        <w:t xml:space="preserve">Moreover, at the request of enforcement agencies, </w:t>
      </w:r>
      <w:r w:rsidR="00CE201B" w:rsidRPr="006E1B4C">
        <w:rPr>
          <w:szCs w:val="22"/>
        </w:rPr>
        <w:t xml:space="preserve">the </w:t>
      </w:r>
      <w:r w:rsidR="00BF7CE2" w:rsidRPr="006E1B4C">
        <w:rPr>
          <w:szCs w:val="22"/>
        </w:rPr>
        <w:t xml:space="preserve">IP office provides </w:t>
      </w:r>
      <w:r w:rsidR="00A0562E" w:rsidRPr="006E1B4C">
        <w:rPr>
          <w:szCs w:val="22"/>
        </w:rPr>
        <w:t xml:space="preserve">a </w:t>
      </w:r>
      <w:r w:rsidR="00BF7CE2" w:rsidRPr="006E1B4C">
        <w:rPr>
          <w:szCs w:val="22"/>
        </w:rPr>
        <w:t>validity check of</w:t>
      </w:r>
      <w:r w:rsidR="00A0562E" w:rsidRPr="006E1B4C">
        <w:rPr>
          <w:szCs w:val="22"/>
        </w:rPr>
        <w:t xml:space="preserve"> the </w:t>
      </w:r>
      <w:r w:rsidR="00BF7CE2" w:rsidRPr="006E1B4C">
        <w:rPr>
          <w:szCs w:val="22"/>
        </w:rPr>
        <w:t xml:space="preserve">registration status to those agencies before they take action against infringement. </w:t>
      </w:r>
    </w:p>
    <w:p w:rsidR="00BF7CE2" w:rsidRPr="00694C6F" w:rsidRDefault="00BF7CE2">
      <w:pPr>
        <w:rPr>
          <w:szCs w:val="22"/>
        </w:rPr>
      </w:pPr>
    </w:p>
    <w:p w:rsidR="00BF7CE2" w:rsidRPr="00694C6F" w:rsidRDefault="00BF7CE2" w:rsidP="000963FB">
      <w:pPr>
        <w:pStyle w:val="Heading2"/>
        <w:numPr>
          <w:ilvl w:val="0"/>
          <w:numId w:val="19"/>
        </w:numPr>
        <w:tabs>
          <w:tab w:val="left" w:pos="567"/>
        </w:tabs>
        <w:ind w:left="0" w:firstLine="0"/>
        <w:rPr>
          <w:szCs w:val="22"/>
        </w:rPr>
      </w:pPr>
      <w:r w:rsidRPr="00694C6F">
        <w:rPr>
          <w:szCs w:val="22"/>
        </w:rPr>
        <w:t>Partnership with Private Sector against Infringement</w:t>
      </w:r>
    </w:p>
    <w:p w:rsidR="00BF7CE2" w:rsidRPr="00694C6F" w:rsidRDefault="00BF7CE2">
      <w:pPr>
        <w:rPr>
          <w:b/>
          <w:bCs/>
          <w:szCs w:val="22"/>
        </w:rPr>
      </w:pPr>
    </w:p>
    <w:p w:rsidR="00BF7CE2" w:rsidRPr="006E1B4C" w:rsidRDefault="00AD709E" w:rsidP="000963FB">
      <w:pPr>
        <w:rPr>
          <w:szCs w:val="22"/>
        </w:rPr>
      </w:pPr>
      <w:r w:rsidRPr="000963FB">
        <w:rPr>
          <w:szCs w:val="22"/>
        </w:rPr>
        <w:fldChar w:fldCharType="begin"/>
      </w:r>
      <w:r w:rsidRPr="000963FB">
        <w:rPr>
          <w:szCs w:val="22"/>
        </w:rPr>
        <w:instrText xml:space="preserve"> AUTONUM  </w:instrText>
      </w:r>
      <w:r w:rsidRPr="000963FB">
        <w:rPr>
          <w:szCs w:val="22"/>
        </w:rPr>
        <w:fldChar w:fldCharType="end"/>
      </w:r>
      <w:r w:rsidRPr="001D117A">
        <w:rPr>
          <w:szCs w:val="22"/>
        </w:rPr>
        <w:tab/>
      </w:r>
      <w:r w:rsidR="00BF7CE2" w:rsidRPr="001D117A">
        <w:rPr>
          <w:szCs w:val="22"/>
        </w:rPr>
        <w:t xml:space="preserve">In order to reduce the amount of counterfeit goods lawsuits, </w:t>
      </w:r>
      <w:r w:rsidR="00CE201B" w:rsidRPr="001D117A">
        <w:rPr>
          <w:szCs w:val="22"/>
        </w:rPr>
        <w:t xml:space="preserve">the </w:t>
      </w:r>
      <w:r w:rsidR="00BF7CE2" w:rsidRPr="001D117A">
        <w:rPr>
          <w:szCs w:val="22"/>
        </w:rPr>
        <w:t xml:space="preserve">IP office has </w:t>
      </w:r>
      <w:r w:rsidR="00CE201B" w:rsidRPr="001D117A">
        <w:rPr>
          <w:szCs w:val="22"/>
        </w:rPr>
        <w:t xml:space="preserve">also </w:t>
      </w:r>
      <w:r w:rsidR="00BF7CE2" w:rsidRPr="000C739B">
        <w:rPr>
          <w:szCs w:val="22"/>
        </w:rPr>
        <w:t>collaborated with other enforcement agencies</w:t>
      </w:r>
      <w:r w:rsidR="00CE201B" w:rsidRPr="000C739B">
        <w:rPr>
          <w:szCs w:val="22"/>
        </w:rPr>
        <w:t>, through</w:t>
      </w:r>
      <w:r w:rsidR="00A0562E" w:rsidRPr="000C739B">
        <w:rPr>
          <w:szCs w:val="22"/>
        </w:rPr>
        <w:t xml:space="preserve"> a</w:t>
      </w:r>
      <w:r w:rsidR="00CE201B" w:rsidRPr="000C739B">
        <w:rPr>
          <w:szCs w:val="22"/>
        </w:rPr>
        <w:t xml:space="preserve"> Memorandum of Understanding,</w:t>
      </w:r>
      <w:r w:rsidR="00BF7CE2" w:rsidRPr="002A043C">
        <w:rPr>
          <w:szCs w:val="22"/>
        </w:rPr>
        <w:t xml:space="preserve"> to persuade </w:t>
      </w:r>
      <w:r w:rsidR="00CE201B" w:rsidRPr="006E1B4C">
        <w:rPr>
          <w:szCs w:val="22"/>
        </w:rPr>
        <w:t xml:space="preserve">the </w:t>
      </w:r>
      <w:r w:rsidR="00BF7CE2" w:rsidRPr="006E1B4C">
        <w:rPr>
          <w:szCs w:val="22"/>
        </w:rPr>
        <w:t>private sector</w:t>
      </w:r>
      <w:r w:rsidR="00CE201B" w:rsidRPr="006E1B4C">
        <w:rPr>
          <w:szCs w:val="22"/>
        </w:rPr>
        <w:t>,</w:t>
      </w:r>
      <w:r w:rsidR="00BF7CE2" w:rsidRPr="006E1B4C">
        <w:rPr>
          <w:szCs w:val="22"/>
        </w:rPr>
        <w:t xml:space="preserve"> such as landlords, super market</w:t>
      </w:r>
      <w:r w:rsidR="00CE201B" w:rsidRPr="006E1B4C">
        <w:rPr>
          <w:szCs w:val="22"/>
        </w:rPr>
        <w:t>s</w:t>
      </w:r>
      <w:r w:rsidR="00BF7CE2" w:rsidRPr="006E1B4C">
        <w:rPr>
          <w:szCs w:val="22"/>
        </w:rPr>
        <w:t xml:space="preserve"> or store owner</w:t>
      </w:r>
      <w:r w:rsidR="00CE201B" w:rsidRPr="006E1B4C">
        <w:rPr>
          <w:szCs w:val="22"/>
        </w:rPr>
        <w:t>s</w:t>
      </w:r>
      <w:r w:rsidR="00BF7CE2" w:rsidRPr="006E1B4C">
        <w:rPr>
          <w:szCs w:val="22"/>
        </w:rPr>
        <w:t>, not</w:t>
      </w:r>
      <w:r w:rsidR="00A0562E" w:rsidRPr="006E1B4C">
        <w:rPr>
          <w:szCs w:val="22"/>
        </w:rPr>
        <w:t xml:space="preserve"> to</w:t>
      </w:r>
      <w:r w:rsidR="00BF7CE2" w:rsidRPr="006E1B4C">
        <w:rPr>
          <w:szCs w:val="22"/>
        </w:rPr>
        <w:t xml:space="preserve"> sell counterfeit goods</w:t>
      </w:r>
      <w:r w:rsidR="00CE201B" w:rsidRPr="006E1B4C">
        <w:rPr>
          <w:szCs w:val="22"/>
        </w:rPr>
        <w:t>.</w:t>
      </w:r>
    </w:p>
    <w:p w:rsidR="00AD709E" w:rsidRPr="00694C6F" w:rsidRDefault="00AD709E">
      <w:pPr>
        <w:rPr>
          <w:b/>
          <w:bCs/>
          <w:szCs w:val="22"/>
        </w:rPr>
      </w:pPr>
    </w:p>
    <w:p w:rsidR="00BF7CE2" w:rsidRPr="00694C6F" w:rsidRDefault="00BF7CE2" w:rsidP="000963FB">
      <w:pPr>
        <w:pStyle w:val="Heading2"/>
        <w:numPr>
          <w:ilvl w:val="0"/>
          <w:numId w:val="19"/>
        </w:numPr>
        <w:tabs>
          <w:tab w:val="left" w:pos="567"/>
        </w:tabs>
        <w:ind w:left="0" w:firstLine="0"/>
        <w:rPr>
          <w:szCs w:val="22"/>
        </w:rPr>
      </w:pPr>
      <w:r w:rsidRPr="00694C6F">
        <w:rPr>
          <w:szCs w:val="22"/>
        </w:rPr>
        <w:t>Conclusion</w:t>
      </w:r>
    </w:p>
    <w:p w:rsidR="00AD709E" w:rsidRPr="00694C6F" w:rsidRDefault="00AD709E">
      <w:pPr>
        <w:ind w:left="360"/>
        <w:rPr>
          <w:szCs w:val="22"/>
        </w:rPr>
      </w:pPr>
    </w:p>
    <w:p w:rsidR="00BF7CE2" w:rsidRPr="006E1B4C" w:rsidRDefault="00AD709E" w:rsidP="000963FB">
      <w:pPr>
        <w:rPr>
          <w:szCs w:val="22"/>
        </w:rPr>
      </w:pPr>
      <w:r w:rsidRPr="000963FB">
        <w:rPr>
          <w:szCs w:val="22"/>
        </w:rPr>
        <w:fldChar w:fldCharType="begin"/>
      </w:r>
      <w:r w:rsidRPr="000963FB">
        <w:rPr>
          <w:szCs w:val="22"/>
        </w:rPr>
        <w:instrText xml:space="preserve"> AUTONUM  </w:instrText>
      </w:r>
      <w:r w:rsidRPr="000963FB">
        <w:rPr>
          <w:szCs w:val="22"/>
        </w:rPr>
        <w:fldChar w:fldCharType="end"/>
      </w:r>
      <w:r w:rsidRPr="001D117A">
        <w:rPr>
          <w:szCs w:val="22"/>
        </w:rPr>
        <w:tab/>
      </w:r>
      <w:r w:rsidR="00BF7CE2" w:rsidRPr="001D117A">
        <w:rPr>
          <w:szCs w:val="22"/>
        </w:rPr>
        <w:t xml:space="preserve">Throughout </w:t>
      </w:r>
      <w:r w:rsidR="005960FE" w:rsidRPr="001D117A">
        <w:rPr>
          <w:szCs w:val="22"/>
        </w:rPr>
        <w:t xml:space="preserve">the </w:t>
      </w:r>
      <w:r w:rsidR="00BF7CE2" w:rsidRPr="001D117A">
        <w:rPr>
          <w:szCs w:val="22"/>
        </w:rPr>
        <w:t xml:space="preserve">Cambodian practices, we have </w:t>
      </w:r>
      <w:r w:rsidR="009C0F30" w:rsidRPr="001D117A">
        <w:rPr>
          <w:szCs w:val="22"/>
        </w:rPr>
        <w:t>established</w:t>
      </w:r>
      <w:r w:rsidR="00BF7CE2" w:rsidRPr="001D117A">
        <w:rPr>
          <w:szCs w:val="22"/>
        </w:rPr>
        <w:t xml:space="preserve"> that the people of a least develop</w:t>
      </w:r>
      <w:r w:rsidR="006E1B4C">
        <w:rPr>
          <w:szCs w:val="22"/>
        </w:rPr>
        <w:t>ed</w:t>
      </w:r>
      <w:r w:rsidR="00BF7CE2" w:rsidRPr="001D117A">
        <w:rPr>
          <w:szCs w:val="22"/>
        </w:rPr>
        <w:t xml:space="preserve"> country have limited IP knowledge and experience </w:t>
      </w:r>
      <w:r w:rsidR="005960FE" w:rsidRPr="000C739B">
        <w:rPr>
          <w:szCs w:val="22"/>
        </w:rPr>
        <w:t>to</w:t>
      </w:r>
      <w:r w:rsidR="00BF7CE2" w:rsidRPr="000C739B">
        <w:rPr>
          <w:szCs w:val="22"/>
        </w:rPr>
        <w:t xml:space="preserve"> deal with IP matters</w:t>
      </w:r>
      <w:r w:rsidR="005960FE" w:rsidRPr="000C739B">
        <w:rPr>
          <w:szCs w:val="22"/>
        </w:rPr>
        <w:t>.  T</w:t>
      </w:r>
      <w:r w:rsidR="00BF7CE2" w:rsidRPr="000C739B">
        <w:rPr>
          <w:szCs w:val="22"/>
        </w:rPr>
        <w:t>herefore th</w:t>
      </w:r>
      <w:r w:rsidR="00BF7CE2" w:rsidRPr="002A043C">
        <w:rPr>
          <w:szCs w:val="22"/>
        </w:rPr>
        <w:t xml:space="preserve">e IP office should not only play a role in granting and administering IP rights but the IP office ought to take part in IP enforcement, </w:t>
      </w:r>
      <w:r w:rsidR="0035723F">
        <w:rPr>
          <w:szCs w:val="22"/>
        </w:rPr>
        <w:t>PADR</w:t>
      </w:r>
      <w:r w:rsidR="00BF7CE2" w:rsidRPr="002A043C">
        <w:rPr>
          <w:szCs w:val="22"/>
        </w:rPr>
        <w:t xml:space="preserve">, and collaboration with enforcement agencies, </w:t>
      </w:r>
      <w:r w:rsidR="005960FE" w:rsidRPr="006E1B4C">
        <w:rPr>
          <w:szCs w:val="22"/>
        </w:rPr>
        <w:t>to take place</w:t>
      </w:r>
      <w:r w:rsidR="00BF7CE2" w:rsidRPr="006E1B4C">
        <w:rPr>
          <w:szCs w:val="22"/>
        </w:rPr>
        <w:t xml:space="preserve"> </w:t>
      </w:r>
      <w:r w:rsidR="009C0F30" w:rsidRPr="006E1B4C">
        <w:rPr>
          <w:szCs w:val="22"/>
        </w:rPr>
        <w:t>prior to</w:t>
      </w:r>
      <w:r w:rsidR="00BF7CE2" w:rsidRPr="006E1B4C">
        <w:rPr>
          <w:szCs w:val="22"/>
        </w:rPr>
        <w:t xml:space="preserve"> the court procedure. </w:t>
      </w:r>
    </w:p>
    <w:p w:rsidR="00BF7CE2" w:rsidRPr="006E1B4C" w:rsidRDefault="00BF7CE2" w:rsidP="00BF7CE2">
      <w:pPr>
        <w:rPr>
          <w:szCs w:val="22"/>
        </w:rPr>
      </w:pPr>
    </w:p>
    <w:p w:rsidR="00BF7CE2" w:rsidRPr="001D117A" w:rsidRDefault="00263A28" w:rsidP="00BF7CE2">
      <w:pPr>
        <w:rPr>
          <w:szCs w:val="22"/>
        </w:rPr>
      </w:pPr>
      <w:r w:rsidRPr="001D117A">
        <w:rPr>
          <w:noProof/>
          <w:szCs w:val="22"/>
          <w:lang w:eastAsia="en-US"/>
        </w:rPr>
        <w:drawing>
          <wp:inline distT="0" distB="0" distL="0" distR="0" wp14:anchorId="2188980D" wp14:editId="103DE698">
            <wp:extent cx="4978988" cy="3429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683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F8B" w:rsidRDefault="00852F8B" w:rsidP="00BF7CE2">
      <w:pPr>
        <w:rPr>
          <w:b/>
          <w:bCs/>
          <w:szCs w:val="22"/>
          <w:u w:val="single"/>
        </w:rPr>
      </w:pPr>
    </w:p>
    <w:p w:rsidR="00352509" w:rsidRDefault="00352509" w:rsidP="00BF7CE2">
      <w:pPr>
        <w:rPr>
          <w:b/>
          <w:bCs/>
          <w:szCs w:val="22"/>
          <w:u w:val="single"/>
        </w:rPr>
      </w:pPr>
    </w:p>
    <w:p w:rsidR="00352509" w:rsidRDefault="00352509" w:rsidP="00BF7CE2">
      <w:pPr>
        <w:rPr>
          <w:b/>
          <w:bCs/>
          <w:szCs w:val="22"/>
          <w:u w:val="single"/>
        </w:rPr>
      </w:pPr>
    </w:p>
    <w:p w:rsidR="00352509" w:rsidRPr="000C739B" w:rsidRDefault="00352509" w:rsidP="00BF7CE2">
      <w:pPr>
        <w:rPr>
          <w:b/>
          <w:bCs/>
          <w:szCs w:val="22"/>
          <w:u w:val="single"/>
        </w:rPr>
      </w:pPr>
    </w:p>
    <w:p w:rsidR="00BF7CE2" w:rsidRPr="000C739B" w:rsidRDefault="00BF7CE2" w:rsidP="00BF7CE2">
      <w:pPr>
        <w:rPr>
          <w:szCs w:val="22"/>
        </w:rPr>
      </w:pPr>
      <w:r w:rsidRPr="000C739B">
        <w:rPr>
          <w:b/>
          <w:bCs/>
          <w:szCs w:val="22"/>
          <w:u w:val="single"/>
        </w:rPr>
        <w:t>Note</w:t>
      </w:r>
      <w:r w:rsidRPr="000C739B">
        <w:rPr>
          <w:szCs w:val="22"/>
        </w:rPr>
        <w:t xml:space="preserve">: </w:t>
      </w:r>
    </w:p>
    <w:p w:rsidR="00155850" w:rsidRPr="002A043C" w:rsidRDefault="00155850" w:rsidP="00BF7CE2">
      <w:pPr>
        <w:rPr>
          <w:szCs w:val="22"/>
        </w:rPr>
      </w:pPr>
    </w:p>
    <w:p w:rsidR="00BF7CE2" w:rsidRPr="000963FB" w:rsidRDefault="00BF7CE2" w:rsidP="000963FB">
      <w:pPr>
        <w:pStyle w:val="ListParagraph"/>
        <w:numPr>
          <w:ilvl w:val="0"/>
          <w:numId w:val="30"/>
        </w:numPr>
        <w:tabs>
          <w:tab w:val="left" w:pos="1134"/>
        </w:tabs>
        <w:ind w:left="567" w:firstLine="0"/>
        <w:jc w:val="both"/>
        <w:rPr>
          <w:szCs w:val="22"/>
        </w:rPr>
      </w:pPr>
      <w:r w:rsidRPr="00674B95">
        <w:rPr>
          <w:szCs w:val="22"/>
        </w:rPr>
        <w:t xml:space="preserve">Invitation </w:t>
      </w:r>
      <w:r w:rsidR="00441A3C" w:rsidRPr="00C74A39">
        <w:rPr>
          <w:szCs w:val="22"/>
        </w:rPr>
        <w:t>for</w:t>
      </w:r>
      <w:r w:rsidR="009C0F30" w:rsidRPr="00E8314E">
        <w:rPr>
          <w:szCs w:val="22"/>
        </w:rPr>
        <w:t xml:space="preserve"> </w:t>
      </w:r>
      <w:r w:rsidRPr="000963FB">
        <w:rPr>
          <w:szCs w:val="22"/>
        </w:rPr>
        <w:t xml:space="preserve">litigation can be made to </w:t>
      </w:r>
      <w:r w:rsidR="005960FE" w:rsidRPr="000963FB">
        <w:rPr>
          <w:szCs w:val="22"/>
        </w:rPr>
        <w:t xml:space="preserve">the </w:t>
      </w:r>
      <w:r w:rsidRPr="000963FB">
        <w:rPr>
          <w:szCs w:val="22"/>
        </w:rPr>
        <w:t xml:space="preserve">parties at least </w:t>
      </w:r>
      <w:r w:rsidR="00852F8B" w:rsidRPr="000963FB">
        <w:rPr>
          <w:szCs w:val="22"/>
        </w:rPr>
        <w:t>seven</w:t>
      </w:r>
      <w:r w:rsidRPr="000963FB">
        <w:rPr>
          <w:szCs w:val="22"/>
        </w:rPr>
        <w:t xml:space="preserve"> days before starting </w:t>
      </w:r>
      <w:r w:rsidR="005960FE" w:rsidRPr="000963FB">
        <w:rPr>
          <w:szCs w:val="22"/>
        </w:rPr>
        <w:t xml:space="preserve">a </w:t>
      </w:r>
      <w:r w:rsidRPr="000963FB">
        <w:rPr>
          <w:szCs w:val="22"/>
        </w:rPr>
        <w:t>litigation hearing.</w:t>
      </w:r>
    </w:p>
    <w:p w:rsidR="009C0F30" w:rsidRDefault="00BF7CE2" w:rsidP="000963FB">
      <w:pPr>
        <w:pStyle w:val="ListParagraph"/>
        <w:numPr>
          <w:ilvl w:val="0"/>
          <w:numId w:val="30"/>
        </w:numPr>
        <w:tabs>
          <w:tab w:val="left" w:pos="360"/>
          <w:tab w:val="left" w:pos="1134"/>
        </w:tabs>
        <w:ind w:left="567" w:firstLine="0"/>
        <w:jc w:val="both"/>
      </w:pPr>
      <w:r w:rsidRPr="000963FB">
        <w:rPr>
          <w:szCs w:val="22"/>
        </w:rPr>
        <w:t xml:space="preserve">Generally, </w:t>
      </w:r>
      <w:r w:rsidR="009C0F30" w:rsidRPr="000963FB">
        <w:rPr>
          <w:szCs w:val="22"/>
        </w:rPr>
        <w:t xml:space="preserve">such </w:t>
      </w:r>
      <w:r w:rsidRPr="000963FB">
        <w:rPr>
          <w:szCs w:val="22"/>
        </w:rPr>
        <w:t xml:space="preserve">invitation can be made not more than </w:t>
      </w:r>
      <w:r w:rsidR="005960FE" w:rsidRPr="000963FB">
        <w:rPr>
          <w:szCs w:val="22"/>
        </w:rPr>
        <w:t xml:space="preserve">three </w:t>
      </w:r>
      <w:r w:rsidRPr="000963FB">
        <w:rPr>
          <w:szCs w:val="22"/>
        </w:rPr>
        <w:t xml:space="preserve">times, except </w:t>
      </w:r>
      <w:r w:rsidR="005960FE" w:rsidRPr="000963FB">
        <w:rPr>
          <w:szCs w:val="22"/>
        </w:rPr>
        <w:t>in</w:t>
      </w:r>
      <w:r w:rsidRPr="000963FB">
        <w:rPr>
          <w:szCs w:val="22"/>
        </w:rPr>
        <w:t xml:space="preserve"> complicated case</w:t>
      </w:r>
      <w:r w:rsidR="005960FE" w:rsidRPr="000963FB">
        <w:rPr>
          <w:szCs w:val="22"/>
        </w:rPr>
        <w:t>s</w:t>
      </w:r>
      <w:r w:rsidRPr="000963FB">
        <w:rPr>
          <w:szCs w:val="22"/>
        </w:rPr>
        <w:t xml:space="preserve">, </w:t>
      </w:r>
      <w:r w:rsidR="005960FE" w:rsidRPr="000963FB">
        <w:rPr>
          <w:szCs w:val="22"/>
        </w:rPr>
        <w:t xml:space="preserve">where the </w:t>
      </w:r>
      <w:r w:rsidRPr="000963FB">
        <w:rPr>
          <w:szCs w:val="22"/>
        </w:rPr>
        <w:t xml:space="preserve">invitation can be made </w:t>
      </w:r>
      <w:r w:rsidR="00441A3C" w:rsidRPr="000963FB">
        <w:rPr>
          <w:szCs w:val="22"/>
        </w:rPr>
        <w:t>two</w:t>
      </w:r>
      <w:r w:rsidR="005960FE" w:rsidRPr="000963FB">
        <w:rPr>
          <w:szCs w:val="22"/>
        </w:rPr>
        <w:t xml:space="preserve"> </w:t>
      </w:r>
      <w:r w:rsidRPr="000963FB">
        <w:rPr>
          <w:szCs w:val="22"/>
        </w:rPr>
        <w:t>time</w:t>
      </w:r>
      <w:r w:rsidR="005960FE" w:rsidRPr="000963FB">
        <w:rPr>
          <w:szCs w:val="22"/>
        </w:rPr>
        <w:t>s</w:t>
      </w:r>
      <w:r w:rsidR="00441A3C" w:rsidRPr="000963FB">
        <w:rPr>
          <w:szCs w:val="22"/>
        </w:rPr>
        <w:t xml:space="preserve"> more</w:t>
      </w:r>
      <w:r w:rsidRPr="000963FB">
        <w:rPr>
          <w:szCs w:val="22"/>
        </w:rPr>
        <w:t>.</w:t>
      </w:r>
      <w:r w:rsidRPr="00BF7CE2">
        <w:t xml:space="preserve"> </w:t>
      </w:r>
    </w:p>
    <w:p w:rsidR="00846847" w:rsidRPr="0081452A" w:rsidRDefault="00846847" w:rsidP="000963FB">
      <w:pPr>
        <w:pStyle w:val="ListParagraph"/>
        <w:tabs>
          <w:tab w:val="left" w:pos="360"/>
          <w:tab w:val="left" w:pos="1134"/>
        </w:tabs>
        <w:ind w:left="567"/>
        <w:jc w:val="both"/>
      </w:pPr>
    </w:p>
    <w:p w:rsidR="00BF7CE2" w:rsidRDefault="00BF7CE2" w:rsidP="00852F8B">
      <w:pPr>
        <w:pStyle w:val="Heading1"/>
      </w:pPr>
      <w:r w:rsidRPr="00BF7CE2">
        <w:t>Best Practical Cases</w:t>
      </w:r>
    </w:p>
    <w:p w:rsidR="00846847" w:rsidRPr="00707313" w:rsidRDefault="00846847" w:rsidP="000963FB"/>
    <w:p w:rsidR="00BF7CE2" w:rsidRPr="00BF7CE2" w:rsidRDefault="00BF7CE2" w:rsidP="00BF7CE2">
      <w:pPr>
        <w:rPr>
          <w:b/>
          <w:bCs/>
        </w:rPr>
      </w:pPr>
    </w:p>
    <w:p w:rsidR="00BF7CE2" w:rsidRPr="00BF7CE2" w:rsidRDefault="00BF7CE2" w:rsidP="00BF7CE2">
      <w:r w:rsidRPr="00BF7CE2">
        <w:rPr>
          <w:noProof/>
          <w:lang w:eastAsia="en-US"/>
        </w:rPr>
        <w:drawing>
          <wp:inline distT="0" distB="0" distL="0" distR="0" wp14:anchorId="40AEF031" wp14:editId="124167B6">
            <wp:extent cx="2473637" cy="2219930"/>
            <wp:effectExtent l="0" t="0" r="317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4" b="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65" cy="222130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E2" w:rsidRDefault="00BF7CE2" w:rsidP="00BF7CE2"/>
    <w:p w:rsidR="00BF7CE2" w:rsidRPr="00BF7CE2" w:rsidRDefault="00BF7CE2" w:rsidP="00BF7CE2"/>
    <w:p w:rsidR="00676852" w:rsidRDefault="00BF7CE2" w:rsidP="00BF7CE2">
      <w:r w:rsidRPr="00BF7CE2">
        <w:rPr>
          <w:noProof/>
          <w:lang w:eastAsia="en-US"/>
        </w:rPr>
        <w:drawing>
          <wp:inline distT="0" distB="0" distL="0" distR="0" wp14:anchorId="6F4F9DC5" wp14:editId="5C6482A1">
            <wp:extent cx="2261933" cy="3197757"/>
            <wp:effectExtent l="0" t="0" r="508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6" r="21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0484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CE2">
        <w:rPr>
          <w:noProof/>
          <w:lang w:eastAsia="en-US"/>
        </w:rPr>
        <w:drawing>
          <wp:inline distT="0" distB="0" distL="0" distR="0" wp14:anchorId="16F44244" wp14:editId="339EF422">
            <wp:extent cx="2122238" cy="32030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5" r="4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05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52" w:rsidRPr="00BF7CE2" w:rsidRDefault="00676852" w:rsidP="00BF7CE2"/>
    <w:p w:rsidR="00BF7CE2" w:rsidRDefault="00BF7CE2" w:rsidP="00BF7CE2">
      <w:r w:rsidRPr="00BF7CE2">
        <w:rPr>
          <w:noProof/>
          <w:lang w:eastAsia="en-US"/>
        </w:rPr>
        <w:lastRenderedPageBreak/>
        <w:drawing>
          <wp:inline distT="0" distB="0" distL="0" distR="0" wp14:anchorId="7408967D" wp14:editId="088226F6">
            <wp:extent cx="2383783" cy="251063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9" r="19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52" cy="251070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47" w:rsidRDefault="00846847" w:rsidP="00BF7CE2"/>
    <w:p w:rsidR="00852F8B" w:rsidRPr="00BF7CE2" w:rsidRDefault="00852F8B" w:rsidP="00BF7CE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2160"/>
        <w:gridCol w:w="2160"/>
        <w:gridCol w:w="1820"/>
      </w:tblGrid>
      <w:tr w:rsidR="00BF7CE2" w:rsidRPr="00BF7CE2" w:rsidTr="004B4433"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BF7CE2" w:rsidRPr="00BF7CE2" w:rsidRDefault="00BF7CE2" w:rsidP="00263A28">
            <w:pPr>
              <w:jc w:val="center"/>
            </w:pPr>
            <w:r w:rsidRPr="00BF7CE2">
              <w:rPr>
                <w:b/>
                <w:bCs/>
              </w:rPr>
              <w:t>Statistic</w:t>
            </w:r>
            <w:r w:rsidR="002E05E5">
              <w:rPr>
                <w:b/>
                <w:bCs/>
              </w:rPr>
              <w:t>s</w:t>
            </w:r>
            <w:r w:rsidRPr="00BF7CE2">
              <w:rPr>
                <w:b/>
                <w:bCs/>
              </w:rPr>
              <w:t xml:space="preserve"> of IP Infringement, 2011</w:t>
            </w:r>
          </w:p>
        </w:tc>
      </w:tr>
      <w:tr w:rsidR="00BF7CE2" w:rsidRPr="00BF7CE2" w:rsidTr="004B4433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/>
          <w:p w:rsidR="00BF7CE2" w:rsidRPr="00BF7CE2" w:rsidRDefault="00BF7CE2" w:rsidP="00BF7CE2"/>
          <w:p w:rsidR="00BF7CE2" w:rsidRPr="00BF7CE2" w:rsidRDefault="00BF7CE2" w:rsidP="00BF7CE2">
            <w:pPr>
              <w:rPr>
                <w:b/>
              </w:rPr>
            </w:pPr>
            <w:r w:rsidRPr="00BF7CE2">
              <w:t>Year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</w:rPr>
            </w:pPr>
          </w:p>
          <w:p w:rsidR="00BF7CE2" w:rsidRPr="00BF7CE2" w:rsidRDefault="00BF7CE2" w:rsidP="00BF7CE2"/>
          <w:p w:rsidR="00BF7CE2" w:rsidRPr="00BF7CE2" w:rsidRDefault="00BF7CE2" w:rsidP="002E05E5">
            <w:pPr>
              <w:rPr>
                <w:b/>
                <w:bCs/>
              </w:rPr>
            </w:pPr>
            <w:r w:rsidRPr="00BF7CE2">
              <w:t>Petition Receiv</w:t>
            </w:r>
            <w:r w:rsidR="002E05E5">
              <w:t>ed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BF7CE2" w:rsidRPr="00BF7CE2" w:rsidRDefault="00BF7CE2" w:rsidP="00676852">
            <w:pPr>
              <w:jc w:val="center"/>
              <w:rPr>
                <w:b/>
                <w:bCs/>
              </w:rPr>
            </w:pPr>
            <w:r w:rsidRPr="00BF7CE2">
              <w:rPr>
                <w:b/>
                <w:bCs/>
              </w:rPr>
              <w:t>Preliminary Alternative</w:t>
            </w:r>
          </w:p>
          <w:p w:rsidR="00BF7CE2" w:rsidRPr="00BF7CE2" w:rsidRDefault="00BF7CE2" w:rsidP="00676852">
            <w:pPr>
              <w:jc w:val="center"/>
              <w:rPr>
                <w:b/>
              </w:rPr>
            </w:pPr>
            <w:r w:rsidRPr="00BF7CE2">
              <w:rPr>
                <w:b/>
                <w:bCs/>
              </w:rPr>
              <w:t>Dispute Resolution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</w:rPr>
            </w:pPr>
            <w:r w:rsidRPr="00BF7CE2">
              <w:rPr>
                <w:b/>
              </w:rPr>
              <w:t xml:space="preserve"> </w:t>
            </w:r>
          </w:p>
          <w:p w:rsidR="00BF7CE2" w:rsidRPr="00BF7CE2" w:rsidRDefault="00BF7CE2" w:rsidP="00BF7CE2">
            <w:pPr>
              <w:rPr>
                <w:b/>
              </w:rPr>
            </w:pPr>
          </w:p>
          <w:p w:rsidR="00BF7CE2" w:rsidRPr="00BF7CE2" w:rsidRDefault="00BF7CE2" w:rsidP="00BF7CE2">
            <w:r w:rsidRPr="00BF7CE2">
              <w:t xml:space="preserve">Carried over </w:t>
            </w:r>
          </w:p>
        </w:tc>
      </w:tr>
      <w:tr w:rsidR="00BF7CE2" w:rsidRPr="00BF7CE2" w:rsidTr="004B4433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E2" w:rsidRPr="00BF7CE2" w:rsidRDefault="00BF7CE2" w:rsidP="00BF7CE2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E2" w:rsidRPr="00BF7CE2" w:rsidRDefault="00BF7CE2" w:rsidP="00BF7CE2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/>
          <w:p w:rsidR="00BF7CE2" w:rsidRPr="00BF7CE2" w:rsidRDefault="00BF7CE2" w:rsidP="00676852">
            <w:pPr>
              <w:jc w:val="center"/>
              <w:rPr>
                <w:b/>
                <w:bCs/>
              </w:rPr>
            </w:pPr>
            <w:r w:rsidRPr="00BF7CE2">
              <w:t>Withdrawal and Rejection</w:t>
            </w:r>
          </w:p>
          <w:p w:rsidR="00BF7CE2" w:rsidRPr="00BF7CE2" w:rsidRDefault="00BF7CE2" w:rsidP="00BF7CE2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676852">
            <w:pPr>
              <w:jc w:val="center"/>
            </w:pPr>
            <w:r w:rsidRPr="00BF7CE2">
              <w:t>Amendment, Warning Letter, Certification of Validity,</w:t>
            </w:r>
          </w:p>
          <w:p w:rsidR="00BF7CE2" w:rsidRPr="00BF7CE2" w:rsidRDefault="00BF7CE2" w:rsidP="00676852">
            <w:pPr>
              <w:jc w:val="center"/>
              <w:rPr>
                <w:b/>
              </w:rPr>
            </w:pPr>
            <w:r w:rsidRPr="00BF7CE2">
              <w:t>Dispute Resolution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CE2" w:rsidRPr="00BF7CE2" w:rsidRDefault="00BF7CE2" w:rsidP="00BF7CE2">
            <w:pPr>
              <w:rPr>
                <w:b/>
              </w:rPr>
            </w:pPr>
          </w:p>
        </w:tc>
      </w:tr>
      <w:tr w:rsidR="00BF7CE2" w:rsidRPr="00BF7CE2" w:rsidTr="004B44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  <w:bCs/>
              </w:rPr>
            </w:pPr>
            <w:r w:rsidRPr="00BF7CE2">
              <w:t>2010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r w:rsidRPr="00BF7CE2">
              <w:t>3</w:t>
            </w:r>
          </w:p>
        </w:tc>
      </w:tr>
      <w:tr w:rsidR="00BF7CE2" w:rsidRPr="00BF7CE2" w:rsidTr="004B4433">
        <w:trPr>
          <w:trHeight w:val="2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r w:rsidRPr="00BF7CE2">
              <w:t>2011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r w:rsidRPr="00BF7CE2"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r w:rsidRPr="00BF7CE2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r w:rsidRPr="00BF7CE2">
              <w:t>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CE2" w:rsidRPr="00BF7CE2" w:rsidRDefault="00BF7CE2" w:rsidP="00BF7CE2"/>
        </w:tc>
      </w:tr>
      <w:tr w:rsidR="00BF7CE2" w:rsidRPr="00BF7CE2" w:rsidTr="004B44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BF7CE2" w:rsidRPr="00BF7CE2" w:rsidRDefault="00BF7CE2" w:rsidP="00BF7CE2">
            <w:r w:rsidRPr="00BF7CE2">
              <w:rPr>
                <w:b/>
                <w:bCs/>
              </w:rPr>
              <w:t>Total</w:t>
            </w:r>
            <w:r w:rsidRPr="00BF7CE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BF7CE2" w:rsidRPr="00BF7CE2" w:rsidRDefault="00BF7CE2" w:rsidP="00BF7CE2">
            <w:r w:rsidRPr="00BF7CE2"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BF7CE2" w:rsidRPr="00BF7CE2" w:rsidRDefault="00BF7CE2" w:rsidP="00BF7CE2">
            <w:r w:rsidRPr="00BF7CE2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BF7CE2" w:rsidRPr="00BF7CE2" w:rsidRDefault="00BF7CE2" w:rsidP="00BF7CE2">
            <w:r w:rsidRPr="00BF7CE2">
              <w:t>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BF7CE2" w:rsidRPr="00BF7CE2" w:rsidRDefault="00BF7CE2" w:rsidP="00BF7CE2">
            <w:r w:rsidRPr="00BF7CE2">
              <w:t>9</w:t>
            </w:r>
          </w:p>
        </w:tc>
      </w:tr>
    </w:tbl>
    <w:p w:rsidR="00852F8B" w:rsidRPr="00BF7CE2" w:rsidRDefault="00852F8B" w:rsidP="00BF7CE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2160"/>
        <w:gridCol w:w="2160"/>
        <w:gridCol w:w="1820"/>
      </w:tblGrid>
      <w:tr w:rsidR="00BF7CE2" w:rsidRPr="00BF7CE2" w:rsidTr="004B4433"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BF7CE2" w:rsidRPr="00BF7CE2" w:rsidRDefault="00BF7CE2" w:rsidP="00263A28">
            <w:pPr>
              <w:jc w:val="center"/>
            </w:pPr>
            <w:r w:rsidRPr="00BF7CE2">
              <w:rPr>
                <w:b/>
                <w:bCs/>
              </w:rPr>
              <w:t>Statistic</w:t>
            </w:r>
            <w:r w:rsidR="002E05E5">
              <w:rPr>
                <w:b/>
                <w:bCs/>
              </w:rPr>
              <w:t>s</w:t>
            </w:r>
            <w:r w:rsidRPr="00BF7CE2">
              <w:rPr>
                <w:b/>
                <w:bCs/>
              </w:rPr>
              <w:t xml:space="preserve"> of IP Infringement, 2012</w:t>
            </w:r>
          </w:p>
        </w:tc>
      </w:tr>
      <w:tr w:rsidR="00BF7CE2" w:rsidRPr="00BF7CE2" w:rsidTr="004B4433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/>
          <w:p w:rsidR="00BF7CE2" w:rsidRDefault="00BF7CE2" w:rsidP="00BF7CE2"/>
          <w:p w:rsidR="00263A28" w:rsidRPr="00BF7CE2" w:rsidRDefault="00263A28" w:rsidP="00BF7CE2"/>
          <w:p w:rsidR="00BF7CE2" w:rsidRPr="00BF7CE2" w:rsidRDefault="00BF7CE2" w:rsidP="00BF7CE2">
            <w:pPr>
              <w:rPr>
                <w:b/>
              </w:rPr>
            </w:pPr>
            <w:r w:rsidRPr="00BF7CE2">
              <w:t>Year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</w:rPr>
            </w:pPr>
          </w:p>
          <w:p w:rsidR="00BF7CE2" w:rsidRDefault="00BF7CE2" w:rsidP="00BF7CE2"/>
          <w:p w:rsidR="00263A28" w:rsidRPr="00BF7CE2" w:rsidRDefault="00263A28" w:rsidP="00BF7CE2"/>
          <w:p w:rsidR="00BF7CE2" w:rsidRPr="00BF7CE2" w:rsidRDefault="00BF7CE2" w:rsidP="002E05E5">
            <w:pPr>
              <w:rPr>
                <w:b/>
                <w:bCs/>
              </w:rPr>
            </w:pPr>
            <w:r w:rsidRPr="00BF7CE2">
              <w:t>Petition Receiv</w:t>
            </w:r>
            <w:r w:rsidR="002E05E5">
              <w:t>ed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BF7CE2" w:rsidRPr="00BF7CE2" w:rsidRDefault="00BF7CE2" w:rsidP="00263A28">
            <w:pPr>
              <w:jc w:val="center"/>
              <w:rPr>
                <w:b/>
                <w:bCs/>
              </w:rPr>
            </w:pPr>
            <w:r w:rsidRPr="00BF7CE2">
              <w:rPr>
                <w:b/>
                <w:bCs/>
              </w:rPr>
              <w:t>Preliminary Alternative</w:t>
            </w:r>
          </w:p>
          <w:p w:rsidR="00BF7CE2" w:rsidRPr="00BF7CE2" w:rsidRDefault="00BF7CE2" w:rsidP="00263A28">
            <w:pPr>
              <w:jc w:val="center"/>
              <w:rPr>
                <w:b/>
              </w:rPr>
            </w:pPr>
            <w:r w:rsidRPr="00BF7CE2">
              <w:rPr>
                <w:b/>
                <w:bCs/>
              </w:rPr>
              <w:t>Dispute Resolution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</w:rPr>
            </w:pPr>
            <w:r w:rsidRPr="00BF7CE2">
              <w:rPr>
                <w:b/>
              </w:rPr>
              <w:t xml:space="preserve"> </w:t>
            </w:r>
          </w:p>
          <w:p w:rsidR="00BF7CE2" w:rsidRDefault="00BF7CE2" w:rsidP="00BF7CE2">
            <w:pPr>
              <w:rPr>
                <w:b/>
              </w:rPr>
            </w:pPr>
          </w:p>
          <w:p w:rsidR="00263A28" w:rsidRPr="00BF7CE2" w:rsidRDefault="00263A28" w:rsidP="00BF7CE2">
            <w:pPr>
              <w:rPr>
                <w:b/>
              </w:rPr>
            </w:pPr>
          </w:p>
          <w:p w:rsidR="00BF7CE2" w:rsidRPr="00BF7CE2" w:rsidRDefault="00BF7CE2" w:rsidP="00BF7CE2">
            <w:r w:rsidRPr="00BF7CE2">
              <w:t xml:space="preserve">Carried over </w:t>
            </w:r>
          </w:p>
        </w:tc>
      </w:tr>
      <w:tr w:rsidR="00BF7CE2" w:rsidRPr="00BF7CE2" w:rsidTr="004B4433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E2" w:rsidRPr="00BF7CE2" w:rsidRDefault="00BF7CE2" w:rsidP="00BF7CE2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E2" w:rsidRPr="00BF7CE2" w:rsidRDefault="00BF7CE2" w:rsidP="00BF7CE2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/>
          <w:p w:rsidR="00BF7CE2" w:rsidRPr="00BF7CE2" w:rsidRDefault="00BF7CE2" w:rsidP="00263A28">
            <w:pPr>
              <w:jc w:val="center"/>
              <w:rPr>
                <w:b/>
                <w:bCs/>
              </w:rPr>
            </w:pPr>
            <w:r w:rsidRPr="00BF7CE2">
              <w:t>Withdrawal and Rejection</w:t>
            </w:r>
          </w:p>
          <w:p w:rsidR="00BF7CE2" w:rsidRPr="00BF7CE2" w:rsidRDefault="00BF7CE2" w:rsidP="00BF7CE2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263A28">
            <w:pPr>
              <w:jc w:val="center"/>
            </w:pPr>
            <w:r w:rsidRPr="00BF7CE2">
              <w:t>Amendment, Warning Letter, Certification of Validity,</w:t>
            </w:r>
          </w:p>
          <w:p w:rsidR="00BF7CE2" w:rsidRPr="00BF7CE2" w:rsidRDefault="00BF7CE2" w:rsidP="00BF7CE2">
            <w:pPr>
              <w:rPr>
                <w:b/>
              </w:rPr>
            </w:pPr>
            <w:r w:rsidRPr="00BF7CE2">
              <w:t xml:space="preserve">Dispute Resolution  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CE2" w:rsidRPr="00BF7CE2" w:rsidRDefault="00BF7CE2" w:rsidP="00BF7CE2">
            <w:pPr>
              <w:rPr>
                <w:b/>
              </w:rPr>
            </w:pPr>
          </w:p>
        </w:tc>
      </w:tr>
      <w:tr w:rsidR="00BF7CE2" w:rsidRPr="00BF7CE2" w:rsidTr="004B44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  <w:bCs/>
              </w:rPr>
            </w:pPr>
            <w:r w:rsidRPr="00BF7CE2">
              <w:t>2011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r w:rsidRPr="00BF7CE2">
              <w:t>9</w:t>
            </w:r>
          </w:p>
        </w:tc>
      </w:tr>
      <w:tr w:rsidR="00BF7CE2" w:rsidRPr="00BF7CE2" w:rsidTr="004B4433">
        <w:trPr>
          <w:trHeight w:val="27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r w:rsidRPr="00BF7CE2">
              <w:t>2012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r w:rsidRPr="00BF7CE2"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r w:rsidRPr="00BF7CE2"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2" w:rsidRPr="00BF7CE2" w:rsidRDefault="00BF7CE2" w:rsidP="00BF7CE2">
            <w:r w:rsidRPr="00BF7CE2">
              <w:t>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CE2" w:rsidRPr="00BF7CE2" w:rsidRDefault="00BF7CE2" w:rsidP="00BF7CE2"/>
        </w:tc>
      </w:tr>
      <w:tr w:rsidR="00BF7CE2" w:rsidRPr="00BF7CE2" w:rsidTr="004B44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BF7CE2" w:rsidRPr="00BF7CE2" w:rsidRDefault="00BF7CE2" w:rsidP="00BF7CE2">
            <w:r w:rsidRPr="00BF7CE2">
              <w:rPr>
                <w:b/>
                <w:bCs/>
              </w:rPr>
              <w:t>Total</w:t>
            </w:r>
            <w:r w:rsidRPr="00BF7CE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BF7CE2" w:rsidRPr="00BF7CE2" w:rsidRDefault="00BF7CE2" w:rsidP="00BF7CE2">
            <w:r w:rsidRPr="00BF7CE2">
              <w:t>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BF7CE2" w:rsidRPr="00BF7CE2" w:rsidRDefault="00BF7CE2" w:rsidP="00BF7CE2">
            <w:r w:rsidRPr="00BF7CE2"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BF7CE2" w:rsidRPr="00BF7CE2" w:rsidRDefault="00BF7CE2" w:rsidP="00BF7CE2">
            <w:r w:rsidRPr="00BF7CE2">
              <w:t>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BF7CE2" w:rsidRPr="00BF7CE2" w:rsidRDefault="00BF7CE2" w:rsidP="00BF7CE2">
            <w:r w:rsidRPr="00BF7CE2">
              <w:t>14</w:t>
            </w:r>
          </w:p>
        </w:tc>
      </w:tr>
    </w:tbl>
    <w:p w:rsidR="0054017E" w:rsidRDefault="0054017E" w:rsidP="0054017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2160"/>
        <w:gridCol w:w="2160"/>
        <w:gridCol w:w="1820"/>
      </w:tblGrid>
      <w:tr w:rsidR="007B2BB3" w:rsidRPr="00BF7CE2" w:rsidTr="00EA16FF"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B2BB3" w:rsidRPr="00BF7CE2" w:rsidRDefault="007B2BB3" w:rsidP="00EA16FF">
            <w:pPr>
              <w:jc w:val="center"/>
            </w:pPr>
            <w:r w:rsidRPr="00BF7CE2">
              <w:rPr>
                <w:b/>
                <w:bCs/>
              </w:rPr>
              <w:t>Statistic</w:t>
            </w:r>
            <w:r>
              <w:rPr>
                <w:b/>
                <w:bCs/>
              </w:rPr>
              <w:t>s of IP Infringement, 2013</w:t>
            </w:r>
          </w:p>
        </w:tc>
      </w:tr>
      <w:tr w:rsidR="007B2BB3" w:rsidRPr="00BF7CE2" w:rsidTr="00EA16FF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/>
          <w:p w:rsidR="007B2BB3" w:rsidRPr="00BF7CE2" w:rsidRDefault="007B2BB3" w:rsidP="00EA16FF"/>
          <w:p w:rsidR="007B2BB3" w:rsidRPr="00BF7CE2" w:rsidRDefault="007B2BB3" w:rsidP="00EA16FF">
            <w:pPr>
              <w:rPr>
                <w:b/>
              </w:rPr>
            </w:pPr>
            <w:r w:rsidRPr="00BF7CE2">
              <w:t>Year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pPr>
              <w:rPr>
                <w:b/>
              </w:rPr>
            </w:pPr>
          </w:p>
          <w:p w:rsidR="007B2BB3" w:rsidRPr="00BF7CE2" w:rsidRDefault="007B2BB3" w:rsidP="00EA16FF"/>
          <w:p w:rsidR="007B2BB3" w:rsidRPr="00BF7CE2" w:rsidRDefault="007B2BB3" w:rsidP="00EA16FF">
            <w:pPr>
              <w:rPr>
                <w:b/>
                <w:bCs/>
              </w:rPr>
            </w:pPr>
            <w:r w:rsidRPr="00BF7CE2">
              <w:t>Petition Receiv</w:t>
            </w:r>
            <w:r>
              <w:t>ed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7B2BB3" w:rsidRPr="00BF7CE2" w:rsidRDefault="007B2BB3" w:rsidP="00EA16FF">
            <w:pPr>
              <w:jc w:val="center"/>
              <w:rPr>
                <w:b/>
                <w:bCs/>
              </w:rPr>
            </w:pPr>
            <w:r w:rsidRPr="00BF7CE2">
              <w:rPr>
                <w:b/>
                <w:bCs/>
              </w:rPr>
              <w:t>Preliminary Alternative</w:t>
            </w:r>
          </w:p>
          <w:p w:rsidR="007B2BB3" w:rsidRPr="00BF7CE2" w:rsidRDefault="007B2BB3" w:rsidP="00EA16FF">
            <w:pPr>
              <w:jc w:val="center"/>
              <w:rPr>
                <w:b/>
              </w:rPr>
            </w:pPr>
            <w:r w:rsidRPr="00BF7CE2">
              <w:rPr>
                <w:b/>
                <w:bCs/>
              </w:rPr>
              <w:t>Dispute Resolution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pPr>
              <w:rPr>
                <w:b/>
              </w:rPr>
            </w:pPr>
            <w:r w:rsidRPr="00BF7CE2">
              <w:rPr>
                <w:b/>
              </w:rPr>
              <w:t xml:space="preserve"> </w:t>
            </w:r>
          </w:p>
          <w:p w:rsidR="007B2BB3" w:rsidRPr="00BF7CE2" w:rsidRDefault="007B2BB3" w:rsidP="00EA16FF">
            <w:pPr>
              <w:rPr>
                <w:b/>
              </w:rPr>
            </w:pPr>
          </w:p>
          <w:p w:rsidR="007B2BB3" w:rsidRPr="00BF7CE2" w:rsidRDefault="007B2BB3" w:rsidP="00EA16FF">
            <w:r w:rsidRPr="00BF7CE2">
              <w:t xml:space="preserve">Carried over </w:t>
            </w:r>
          </w:p>
        </w:tc>
      </w:tr>
      <w:tr w:rsidR="007B2BB3" w:rsidRPr="00BF7CE2" w:rsidTr="00EA16FF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B3" w:rsidRPr="00BF7CE2" w:rsidRDefault="007B2BB3" w:rsidP="00EA16FF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B3" w:rsidRPr="00BF7CE2" w:rsidRDefault="007B2BB3" w:rsidP="00EA16FF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/>
          <w:p w:rsidR="007B2BB3" w:rsidRPr="00BF7CE2" w:rsidRDefault="007B2BB3" w:rsidP="00EA16FF">
            <w:pPr>
              <w:jc w:val="center"/>
              <w:rPr>
                <w:b/>
                <w:bCs/>
              </w:rPr>
            </w:pPr>
            <w:r w:rsidRPr="00BF7CE2">
              <w:t>Withdrawal and Rejection</w:t>
            </w:r>
          </w:p>
          <w:p w:rsidR="007B2BB3" w:rsidRPr="00BF7CE2" w:rsidRDefault="007B2BB3" w:rsidP="00EA16F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pPr>
              <w:jc w:val="center"/>
            </w:pPr>
            <w:r w:rsidRPr="00BF7CE2">
              <w:t>Amendment, Warning Letter, Certification of Validity,</w:t>
            </w:r>
          </w:p>
          <w:p w:rsidR="007B2BB3" w:rsidRPr="00BF7CE2" w:rsidRDefault="007B2BB3" w:rsidP="00EA16FF">
            <w:pPr>
              <w:jc w:val="center"/>
              <w:rPr>
                <w:b/>
              </w:rPr>
            </w:pPr>
            <w:r w:rsidRPr="00BF7CE2">
              <w:t>Dispute Resolution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B3" w:rsidRPr="00BF7CE2" w:rsidRDefault="007B2BB3" w:rsidP="00EA16FF">
            <w:pPr>
              <w:rPr>
                <w:b/>
              </w:rPr>
            </w:pPr>
          </w:p>
        </w:tc>
      </w:tr>
      <w:tr w:rsidR="007B2BB3" w:rsidRPr="00BF7CE2" w:rsidTr="00EA16F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pPr>
              <w:rPr>
                <w:b/>
                <w:bCs/>
              </w:rPr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r>
              <w:t>14</w:t>
            </w:r>
          </w:p>
        </w:tc>
      </w:tr>
      <w:tr w:rsidR="007B2BB3" w:rsidRPr="00BF7CE2" w:rsidTr="00EA16FF">
        <w:trPr>
          <w:trHeight w:val="2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r>
              <w:t>2013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B3" w:rsidRPr="00BF7CE2" w:rsidRDefault="007B2BB3" w:rsidP="00EA16FF">
            <w:r w:rsidRPr="00BF7CE2">
              <w:t>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B3" w:rsidRPr="00BF7CE2" w:rsidRDefault="007B2BB3" w:rsidP="00EA16FF"/>
        </w:tc>
      </w:tr>
      <w:tr w:rsidR="007B2BB3" w:rsidRPr="00BF7CE2" w:rsidTr="00EA16F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7B2BB3" w:rsidRPr="00BF7CE2" w:rsidRDefault="007B2BB3" w:rsidP="00EA16FF">
            <w:r w:rsidRPr="00BF7CE2">
              <w:rPr>
                <w:b/>
                <w:bCs/>
              </w:rPr>
              <w:t>Total</w:t>
            </w:r>
            <w:r w:rsidRPr="00BF7CE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7B2BB3" w:rsidRPr="00BF7CE2" w:rsidRDefault="007B2BB3" w:rsidP="00EA16FF">
            <w:r>
              <w:t>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7B2BB3" w:rsidRPr="00BF7CE2" w:rsidRDefault="007B2BB3" w:rsidP="00EA16FF">
            <w: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7B2BB3" w:rsidRPr="00BF7CE2" w:rsidRDefault="007B2BB3" w:rsidP="00EA16FF">
            <w:r w:rsidRPr="00BF7CE2">
              <w:t>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7B2BB3" w:rsidRPr="00BF7CE2" w:rsidRDefault="007B2BB3" w:rsidP="00EA16FF">
            <w:r w:rsidRPr="00BF7CE2">
              <w:t>9</w:t>
            </w:r>
          </w:p>
        </w:tc>
      </w:tr>
    </w:tbl>
    <w:p w:rsidR="0054017E" w:rsidRDefault="0054017E" w:rsidP="0054017E"/>
    <w:p w:rsidR="00846847" w:rsidRDefault="00846847" w:rsidP="0054017E"/>
    <w:p w:rsidR="0054017E" w:rsidRDefault="007B2BB3" w:rsidP="000963FB">
      <w:pPr>
        <w:pStyle w:val="Endofdocument-Annex"/>
      </w:pPr>
      <w:r w:rsidRPr="00C54797">
        <w:t>[End of document]</w:t>
      </w:r>
    </w:p>
    <w:sectPr w:rsidR="0054017E" w:rsidSect="00AD709E">
      <w:headerReference w:type="default" r:id="rId16"/>
      <w:footnotePr>
        <w:numFmt w:val="chicago"/>
      </w:footnotePr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C1" w:rsidRDefault="00AE60C1">
      <w:r>
        <w:separator/>
      </w:r>
    </w:p>
  </w:endnote>
  <w:endnote w:type="continuationSeparator" w:id="0">
    <w:p w:rsidR="00AE60C1" w:rsidRDefault="00AE60C1" w:rsidP="003B38C1">
      <w:r>
        <w:separator/>
      </w:r>
    </w:p>
    <w:p w:rsidR="00AE60C1" w:rsidRPr="003B38C1" w:rsidRDefault="00AE60C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E60C1" w:rsidRPr="003B38C1" w:rsidRDefault="00AE60C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C1" w:rsidRDefault="00AE60C1">
      <w:r>
        <w:separator/>
      </w:r>
    </w:p>
  </w:footnote>
  <w:footnote w:type="continuationSeparator" w:id="0">
    <w:p w:rsidR="00AE60C1" w:rsidRDefault="00AE60C1" w:rsidP="008B60B2">
      <w:r>
        <w:separator/>
      </w:r>
    </w:p>
    <w:p w:rsidR="00AE60C1" w:rsidRPr="00ED77FB" w:rsidRDefault="00AE60C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E60C1" w:rsidRPr="00ED77FB" w:rsidRDefault="00AE60C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A20F5" w:rsidRPr="006A20F5" w:rsidRDefault="006A20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509EF">
        <w:tab/>
      </w:r>
      <w:r w:rsidRPr="00BD5047">
        <w:t>The views expressed in this d</w:t>
      </w:r>
      <w:r w:rsidR="006E1B4C">
        <w:t>ocument are those of the author</w:t>
      </w:r>
      <w:r w:rsidRPr="00BD5047">
        <w:t xml:space="preserve"> alone, and not those of the Secretariat or any of the Member States of WIPO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C1" w:rsidRDefault="00AE60C1" w:rsidP="00477D6B">
    <w:pPr>
      <w:jc w:val="right"/>
    </w:pPr>
    <w:bookmarkStart w:id="6" w:name="Code2"/>
    <w:bookmarkEnd w:id="6"/>
    <w:r>
      <w:t>WIPO/ACE/9/5</w:t>
    </w:r>
  </w:p>
  <w:p w:rsidR="00AE60C1" w:rsidRDefault="00AE60C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27A6C">
      <w:rPr>
        <w:noProof/>
      </w:rPr>
      <w:t>8</w:t>
    </w:r>
    <w:r>
      <w:fldChar w:fldCharType="end"/>
    </w:r>
  </w:p>
  <w:p w:rsidR="00AE60C1" w:rsidRDefault="00AE60C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BEF6787A"/>
    <w:name w:val="WW8Num4"/>
    <w:lvl w:ilvl="0">
      <w:start w:val="1"/>
      <w:numFmt w:val="decimal"/>
      <w:lvlText w:val="%1-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6"/>
    <w:multiLevelType w:val="singleLevel"/>
    <w:tmpl w:val="4658FC70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 w:val="0"/>
        <w:u w:val="none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0CF721ED"/>
    <w:multiLevelType w:val="hybridMultilevel"/>
    <w:tmpl w:val="7D442EB8"/>
    <w:lvl w:ilvl="0" w:tplc="9DFA0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AA02D42"/>
    <w:multiLevelType w:val="hybridMultilevel"/>
    <w:tmpl w:val="17A458CA"/>
    <w:lvl w:ilvl="0" w:tplc="9DFA0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>
    <w:nsid w:val="211B30DF"/>
    <w:multiLevelType w:val="multilevel"/>
    <w:tmpl w:val="509CF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27F9341D"/>
    <w:multiLevelType w:val="hybridMultilevel"/>
    <w:tmpl w:val="5004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D0057"/>
    <w:multiLevelType w:val="hybridMultilevel"/>
    <w:tmpl w:val="6638F6C0"/>
    <w:lvl w:ilvl="0" w:tplc="9DFA0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D8581D"/>
    <w:multiLevelType w:val="hybridMultilevel"/>
    <w:tmpl w:val="348A09F6"/>
    <w:lvl w:ilvl="0" w:tplc="9DFA0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C2434D"/>
    <w:multiLevelType w:val="hybridMultilevel"/>
    <w:tmpl w:val="62FCE1BE"/>
    <w:lvl w:ilvl="0" w:tplc="9DFA0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6E1A47"/>
    <w:multiLevelType w:val="hybridMultilevel"/>
    <w:tmpl w:val="B9046AF4"/>
    <w:lvl w:ilvl="0" w:tplc="9DFA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FA0F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300A5"/>
    <w:multiLevelType w:val="hybridMultilevel"/>
    <w:tmpl w:val="CB46B934"/>
    <w:lvl w:ilvl="0" w:tplc="9DFA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F1C06"/>
    <w:multiLevelType w:val="hybridMultilevel"/>
    <w:tmpl w:val="7E2CC73E"/>
    <w:lvl w:ilvl="0" w:tplc="9DFA0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1C44C54"/>
    <w:multiLevelType w:val="hybridMultilevel"/>
    <w:tmpl w:val="B03804F6"/>
    <w:lvl w:ilvl="0" w:tplc="9DFA0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3A0428">
      <w:numFmt w:val="bullet"/>
      <w:lvlText w:val="-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8325BF"/>
    <w:multiLevelType w:val="hybridMultilevel"/>
    <w:tmpl w:val="98769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302C7"/>
    <w:multiLevelType w:val="hybridMultilevel"/>
    <w:tmpl w:val="64F6B01C"/>
    <w:lvl w:ilvl="0" w:tplc="9DFA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2"/>
  </w:num>
  <w:num w:numId="5">
    <w:abstractNumId w:val="12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8"/>
  </w:num>
  <w:num w:numId="19">
    <w:abstractNumId w:val="28"/>
  </w:num>
  <w:num w:numId="20">
    <w:abstractNumId w:val="25"/>
  </w:num>
  <w:num w:numId="21">
    <w:abstractNumId w:val="23"/>
  </w:num>
  <w:num w:numId="22">
    <w:abstractNumId w:val="13"/>
  </w:num>
  <w:num w:numId="23">
    <w:abstractNumId w:val="19"/>
  </w:num>
  <w:num w:numId="24">
    <w:abstractNumId w:val="15"/>
  </w:num>
  <w:num w:numId="25">
    <w:abstractNumId w:val="20"/>
  </w:num>
  <w:num w:numId="26">
    <w:abstractNumId w:val="26"/>
  </w:num>
  <w:num w:numId="27">
    <w:abstractNumId w:val="27"/>
  </w:num>
  <w:num w:numId="28">
    <w:abstractNumId w:val="17"/>
  </w:num>
  <w:num w:numId="29">
    <w:abstractNumId w:val="29"/>
  </w:num>
  <w:num w:numId="30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 Rady">
    <w15:presenceInfo w15:providerId="None" w15:userId="OP Ra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7"/>
    <w:rsid w:val="00043CAA"/>
    <w:rsid w:val="000530FC"/>
    <w:rsid w:val="00053D38"/>
    <w:rsid w:val="000575AF"/>
    <w:rsid w:val="00061D47"/>
    <w:rsid w:val="00074CDE"/>
    <w:rsid w:val="00075432"/>
    <w:rsid w:val="000800A0"/>
    <w:rsid w:val="000963FB"/>
    <w:rsid w:val="000968ED"/>
    <w:rsid w:val="000A1C91"/>
    <w:rsid w:val="000C478E"/>
    <w:rsid w:val="000C5E12"/>
    <w:rsid w:val="000C739B"/>
    <w:rsid w:val="000D38FC"/>
    <w:rsid w:val="000F5E56"/>
    <w:rsid w:val="0012219B"/>
    <w:rsid w:val="00124C5C"/>
    <w:rsid w:val="001362EE"/>
    <w:rsid w:val="00141D83"/>
    <w:rsid w:val="00155850"/>
    <w:rsid w:val="00164AB8"/>
    <w:rsid w:val="00173806"/>
    <w:rsid w:val="001832A6"/>
    <w:rsid w:val="001941D4"/>
    <w:rsid w:val="001A43BA"/>
    <w:rsid w:val="001B28F4"/>
    <w:rsid w:val="001D117A"/>
    <w:rsid w:val="001E62C9"/>
    <w:rsid w:val="001F3711"/>
    <w:rsid w:val="00203E97"/>
    <w:rsid w:val="00212834"/>
    <w:rsid w:val="00215663"/>
    <w:rsid w:val="00215A5C"/>
    <w:rsid w:val="00217CF7"/>
    <w:rsid w:val="00226CE9"/>
    <w:rsid w:val="00227A6C"/>
    <w:rsid w:val="002634C4"/>
    <w:rsid w:val="00263A28"/>
    <w:rsid w:val="002928D3"/>
    <w:rsid w:val="002A043C"/>
    <w:rsid w:val="002A3F46"/>
    <w:rsid w:val="002C6914"/>
    <w:rsid w:val="002E05E5"/>
    <w:rsid w:val="002E796E"/>
    <w:rsid w:val="002F1FE6"/>
    <w:rsid w:val="002F4E68"/>
    <w:rsid w:val="00312F7F"/>
    <w:rsid w:val="00324CEB"/>
    <w:rsid w:val="003358D9"/>
    <w:rsid w:val="00347212"/>
    <w:rsid w:val="00352509"/>
    <w:rsid w:val="0035723F"/>
    <w:rsid w:val="00361450"/>
    <w:rsid w:val="003673CF"/>
    <w:rsid w:val="003845C1"/>
    <w:rsid w:val="003853DA"/>
    <w:rsid w:val="003A6F89"/>
    <w:rsid w:val="003A74B2"/>
    <w:rsid w:val="003B2CF0"/>
    <w:rsid w:val="003B38C1"/>
    <w:rsid w:val="003B67DD"/>
    <w:rsid w:val="003E33C6"/>
    <w:rsid w:val="00401697"/>
    <w:rsid w:val="00423E3E"/>
    <w:rsid w:val="00427AF4"/>
    <w:rsid w:val="00430E4A"/>
    <w:rsid w:val="00441A3C"/>
    <w:rsid w:val="00457CD9"/>
    <w:rsid w:val="004608AB"/>
    <w:rsid w:val="004647DA"/>
    <w:rsid w:val="00474062"/>
    <w:rsid w:val="00477A19"/>
    <w:rsid w:val="00477D6B"/>
    <w:rsid w:val="004B04DF"/>
    <w:rsid w:val="004B18BC"/>
    <w:rsid w:val="004B4433"/>
    <w:rsid w:val="004C45E7"/>
    <w:rsid w:val="004C5D5C"/>
    <w:rsid w:val="004E0E75"/>
    <w:rsid w:val="004E36F8"/>
    <w:rsid w:val="004E760B"/>
    <w:rsid w:val="004F35DD"/>
    <w:rsid w:val="005019FF"/>
    <w:rsid w:val="00525A8A"/>
    <w:rsid w:val="0052739F"/>
    <w:rsid w:val="0053057A"/>
    <w:rsid w:val="0054017E"/>
    <w:rsid w:val="00541ED5"/>
    <w:rsid w:val="005509EF"/>
    <w:rsid w:val="00560A29"/>
    <w:rsid w:val="005960FE"/>
    <w:rsid w:val="005963E1"/>
    <w:rsid w:val="005B1D7D"/>
    <w:rsid w:val="005C6649"/>
    <w:rsid w:val="005E3EB3"/>
    <w:rsid w:val="005F51D0"/>
    <w:rsid w:val="00604327"/>
    <w:rsid w:val="00605827"/>
    <w:rsid w:val="00646050"/>
    <w:rsid w:val="006545DE"/>
    <w:rsid w:val="006713CA"/>
    <w:rsid w:val="00674B95"/>
    <w:rsid w:val="00676852"/>
    <w:rsid w:val="00676C5C"/>
    <w:rsid w:val="006841DC"/>
    <w:rsid w:val="00694C6F"/>
    <w:rsid w:val="00694F79"/>
    <w:rsid w:val="006A20F5"/>
    <w:rsid w:val="006A7243"/>
    <w:rsid w:val="006E03DB"/>
    <w:rsid w:val="006E1B4C"/>
    <w:rsid w:val="00706E40"/>
    <w:rsid w:val="00707313"/>
    <w:rsid w:val="00720763"/>
    <w:rsid w:val="007404FF"/>
    <w:rsid w:val="00750A81"/>
    <w:rsid w:val="007743BD"/>
    <w:rsid w:val="00787B01"/>
    <w:rsid w:val="007B2BB3"/>
    <w:rsid w:val="007C642A"/>
    <w:rsid w:val="007C65BD"/>
    <w:rsid w:val="007D124C"/>
    <w:rsid w:val="007D1613"/>
    <w:rsid w:val="007E6C79"/>
    <w:rsid w:val="007F6FED"/>
    <w:rsid w:val="00800C92"/>
    <w:rsid w:val="00800EF6"/>
    <w:rsid w:val="00801E1B"/>
    <w:rsid w:val="0081452A"/>
    <w:rsid w:val="00846847"/>
    <w:rsid w:val="00852F8B"/>
    <w:rsid w:val="00861729"/>
    <w:rsid w:val="00861988"/>
    <w:rsid w:val="008730ED"/>
    <w:rsid w:val="008B2CC1"/>
    <w:rsid w:val="008B60B2"/>
    <w:rsid w:val="008C7BA3"/>
    <w:rsid w:val="008D3EA9"/>
    <w:rsid w:val="0090731E"/>
    <w:rsid w:val="00916EE2"/>
    <w:rsid w:val="00927BB6"/>
    <w:rsid w:val="00956450"/>
    <w:rsid w:val="00966A22"/>
    <w:rsid w:val="0096722F"/>
    <w:rsid w:val="00980843"/>
    <w:rsid w:val="00980E04"/>
    <w:rsid w:val="00991795"/>
    <w:rsid w:val="009C0F30"/>
    <w:rsid w:val="009D51B1"/>
    <w:rsid w:val="009D6123"/>
    <w:rsid w:val="009E2791"/>
    <w:rsid w:val="009E3F6F"/>
    <w:rsid w:val="009E64BE"/>
    <w:rsid w:val="009F499F"/>
    <w:rsid w:val="00A0562E"/>
    <w:rsid w:val="00A42DAF"/>
    <w:rsid w:val="00A45BD8"/>
    <w:rsid w:val="00A869B7"/>
    <w:rsid w:val="00AC205C"/>
    <w:rsid w:val="00AD709E"/>
    <w:rsid w:val="00AD7583"/>
    <w:rsid w:val="00AE5E5A"/>
    <w:rsid w:val="00AE60C1"/>
    <w:rsid w:val="00AF0A6B"/>
    <w:rsid w:val="00B0031F"/>
    <w:rsid w:val="00B05A69"/>
    <w:rsid w:val="00B114D2"/>
    <w:rsid w:val="00B16D57"/>
    <w:rsid w:val="00B214D7"/>
    <w:rsid w:val="00B23084"/>
    <w:rsid w:val="00B270D8"/>
    <w:rsid w:val="00B321AF"/>
    <w:rsid w:val="00B5048B"/>
    <w:rsid w:val="00B5351E"/>
    <w:rsid w:val="00B86038"/>
    <w:rsid w:val="00B95446"/>
    <w:rsid w:val="00B9734B"/>
    <w:rsid w:val="00BC32CA"/>
    <w:rsid w:val="00BD2E52"/>
    <w:rsid w:val="00BD2EE3"/>
    <w:rsid w:val="00BF2AC0"/>
    <w:rsid w:val="00BF7CE2"/>
    <w:rsid w:val="00C0738F"/>
    <w:rsid w:val="00C11BFE"/>
    <w:rsid w:val="00C15E6C"/>
    <w:rsid w:val="00C218C6"/>
    <w:rsid w:val="00C25390"/>
    <w:rsid w:val="00C33738"/>
    <w:rsid w:val="00C45BDE"/>
    <w:rsid w:val="00C45D71"/>
    <w:rsid w:val="00C54797"/>
    <w:rsid w:val="00C74A39"/>
    <w:rsid w:val="00C77C76"/>
    <w:rsid w:val="00CE201B"/>
    <w:rsid w:val="00D16B3C"/>
    <w:rsid w:val="00D36F91"/>
    <w:rsid w:val="00D45252"/>
    <w:rsid w:val="00D475D4"/>
    <w:rsid w:val="00D5230E"/>
    <w:rsid w:val="00D71B4D"/>
    <w:rsid w:val="00D7216E"/>
    <w:rsid w:val="00D743C1"/>
    <w:rsid w:val="00D93D55"/>
    <w:rsid w:val="00DB16D1"/>
    <w:rsid w:val="00DC0459"/>
    <w:rsid w:val="00DC4B89"/>
    <w:rsid w:val="00DD23C1"/>
    <w:rsid w:val="00DD56DF"/>
    <w:rsid w:val="00DE4B20"/>
    <w:rsid w:val="00E27BE1"/>
    <w:rsid w:val="00E335FE"/>
    <w:rsid w:val="00E5133F"/>
    <w:rsid w:val="00E67628"/>
    <w:rsid w:val="00E72CB1"/>
    <w:rsid w:val="00E8314E"/>
    <w:rsid w:val="00E947C8"/>
    <w:rsid w:val="00EC4E49"/>
    <w:rsid w:val="00EC6B5C"/>
    <w:rsid w:val="00ED77FB"/>
    <w:rsid w:val="00EE45FA"/>
    <w:rsid w:val="00EE51DC"/>
    <w:rsid w:val="00F02C78"/>
    <w:rsid w:val="00F1487B"/>
    <w:rsid w:val="00F23CAC"/>
    <w:rsid w:val="00F26759"/>
    <w:rsid w:val="00F533B0"/>
    <w:rsid w:val="00F56433"/>
    <w:rsid w:val="00F601E5"/>
    <w:rsid w:val="00F66152"/>
    <w:rsid w:val="00F96404"/>
    <w:rsid w:val="00FA120C"/>
    <w:rsid w:val="00FA1E88"/>
    <w:rsid w:val="00FA7BFD"/>
    <w:rsid w:val="00FE7A4D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540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17E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BF7CE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25390"/>
    <w:pPr>
      <w:ind w:left="720"/>
      <w:contextualSpacing/>
    </w:pPr>
  </w:style>
  <w:style w:type="character" w:styleId="FootnoteReference">
    <w:name w:val="footnote reference"/>
    <w:basedOn w:val="DefaultParagraphFont"/>
    <w:rsid w:val="003A74B2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3A74B2"/>
    <w:rPr>
      <w:rFonts w:ascii="Arial" w:eastAsia="SimSun" w:hAnsi="Arial" w:cs="Arial"/>
      <w:sz w:val="22"/>
      <w:lang w:eastAsia="zh-CN"/>
    </w:rPr>
  </w:style>
  <w:style w:type="paragraph" w:customStyle="1" w:styleId="Col-1stLine">
    <w:name w:val="Col-1stLine"/>
    <w:basedOn w:val="Normal"/>
    <w:rsid w:val="004C5D5C"/>
    <w:pPr>
      <w:widowControl w:val="0"/>
      <w:tabs>
        <w:tab w:val="left" w:pos="3686"/>
      </w:tabs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styleId="Emphasis">
    <w:name w:val="Emphasis"/>
    <w:basedOn w:val="DefaultParagraphFont"/>
    <w:qFormat/>
    <w:rsid w:val="00053D38"/>
    <w:rPr>
      <w:i/>
      <w:iCs/>
    </w:rPr>
  </w:style>
  <w:style w:type="table" w:styleId="TableGrid">
    <w:name w:val="Table Grid"/>
    <w:basedOn w:val="TableNormal"/>
    <w:uiPriority w:val="59"/>
    <w:rsid w:val="00676852"/>
    <w:rPr>
      <w:lang w:bidi="km-K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540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17E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BF7CE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25390"/>
    <w:pPr>
      <w:ind w:left="720"/>
      <w:contextualSpacing/>
    </w:pPr>
  </w:style>
  <w:style w:type="character" w:styleId="FootnoteReference">
    <w:name w:val="footnote reference"/>
    <w:basedOn w:val="DefaultParagraphFont"/>
    <w:rsid w:val="003A74B2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3A74B2"/>
    <w:rPr>
      <w:rFonts w:ascii="Arial" w:eastAsia="SimSun" w:hAnsi="Arial" w:cs="Arial"/>
      <w:sz w:val="22"/>
      <w:lang w:eastAsia="zh-CN"/>
    </w:rPr>
  </w:style>
  <w:style w:type="paragraph" w:customStyle="1" w:styleId="Col-1stLine">
    <w:name w:val="Col-1stLine"/>
    <w:basedOn w:val="Normal"/>
    <w:rsid w:val="004C5D5C"/>
    <w:pPr>
      <w:widowControl w:val="0"/>
      <w:tabs>
        <w:tab w:val="left" w:pos="3686"/>
      </w:tabs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styleId="Emphasis">
    <w:name w:val="Emphasis"/>
    <w:basedOn w:val="DefaultParagraphFont"/>
    <w:qFormat/>
    <w:rsid w:val="00053D38"/>
    <w:rPr>
      <w:i/>
      <w:iCs/>
    </w:rPr>
  </w:style>
  <w:style w:type="table" w:styleId="TableGrid">
    <w:name w:val="Table Grid"/>
    <w:basedOn w:val="TableNormal"/>
    <w:uiPriority w:val="59"/>
    <w:rsid w:val="00676852"/>
    <w:rPr>
      <w:lang w:bidi="km-K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A7B0-AD95-41E9-A707-76693E3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WIPO/ACE/9/</vt:lpstr>
    </vt:vector>
  </TitlesOfParts>
  <Company>WIPO</Company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COLIN Isabelle</cp:lastModifiedBy>
  <cp:revision>10</cp:revision>
  <cp:lastPrinted>2014-02-05T13:54:00Z</cp:lastPrinted>
  <dcterms:created xsi:type="dcterms:W3CDTF">2014-02-05T13:56:00Z</dcterms:created>
  <dcterms:modified xsi:type="dcterms:W3CDTF">2014-02-06T15:38:00Z</dcterms:modified>
</cp:coreProperties>
</file>