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373F6" w:rsidP="00916EE2">
            <w:r>
              <w:rPr>
                <w:noProof/>
                <w:lang w:eastAsia="en-US"/>
              </w:rPr>
              <w:drawing>
                <wp:inline distT="0" distB="0" distL="0" distR="0" wp14:anchorId="2FE33444" wp14:editId="3A58E720">
                  <wp:extent cx="1860550" cy="132778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84BDF" w:rsidP="007D5941">
            <w:pPr>
              <w:jc w:val="right"/>
              <w:rPr>
                <w:rFonts w:ascii="Arial Black" w:hAnsi="Arial Black"/>
                <w:caps/>
                <w:sz w:val="15"/>
              </w:rPr>
            </w:pPr>
            <w:r>
              <w:rPr>
                <w:rFonts w:ascii="Arial Black" w:hAnsi="Arial Black"/>
                <w:caps/>
                <w:sz w:val="15"/>
                <w:lang w:val="nl-NL"/>
              </w:rPr>
              <w:t>LI/R</w:t>
            </w:r>
            <w:r w:rsidR="00D80804">
              <w:rPr>
                <w:rFonts w:ascii="Arial Black" w:hAnsi="Arial Black"/>
                <w:caps/>
                <w:sz w:val="15"/>
                <w:lang w:val="nl-NL"/>
              </w:rPr>
              <w:t>/Pm</w:t>
            </w:r>
            <w:r w:rsidR="00844CB0" w:rsidRPr="00844CB0">
              <w:rPr>
                <w:rFonts w:ascii="Arial Black" w:hAnsi="Arial Black"/>
                <w:caps/>
                <w:sz w:val="15"/>
                <w:lang w:val="nl-NL"/>
              </w:rPr>
              <w:t>/</w:t>
            </w:r>
            <w:r w:rsidR="007D5941">
              <w:rPr>
                <w:rFonts w:ascii="Arial Black" w:hAnsi="Arial Black"/>
                <w:caps/>
                <w:sz w:val="15"/>
                <w:lang w:val="nl-NL"/>
              </w:rPr>
              <w:t>4</w:t>
            </w:r>
            <w:r w:rsidR="00A42DAF">
              <w:rPr>
                <w:rFonts w:ascii="Arial Black" w:hAnsi="Arial Black"/>
                <w:caps/>
                <w:sz w:val="15"/>
              </w:rPr>
              <w:t xml:space="preserve"> </w:t>
            </w:r>
            <w:r w:rsidR="007D5941">
              <w:rPr>
                <w:rFonts w:ascii="Arial Black" w:hAnsi="Arial Black"/>
                <w:caps/>
                <w:sz w:val="15"/>
              </w:rPr>
              <w:t xml:space="preserve">  </w:t>
            </w:r>
          </w:p>
        </w:tc>
        <w:bookmarkStart w:id="1" w:name="Code"/>
        <w:bookmarkEnd w:id="1"/>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8080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96B7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F1AA2">
              <w:rPr>
                <w:rFonts w:ascii="Arial Black" w:hAnsi="Arial Black"/>
                <w:caps/>
                <w:sz w:val="15"/>
              </w:rPr>
              <w:t>august 25</w:t>
            </w:r>
            <w:r w:rsidR="00396B7D">
              <w:rPr>
                <w:rFonts w:ascii="Arial Black" w:hAnsi="Arial Black"/>
                <w:caps/>
                <w:sz w:val="15"/>
              </w:rPr>
              <w:t>,</w:t>
            </w:r>
            <w:r w:rsidR="007D5941">
              <w:rPr>
                <w:rFonts w:ascii="Arial Black" w:hAnsi="Arial Black"/>
                <w:caps/>
                <w:sz w:val="15"/>
              </w:rPr>
              <w:t xml:space="preserv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743A9" w:rsidRPr="008B2CC1" w:rsidRDefault="008743A9" w:rsidP="008743A9">
      <w:r>
        <w:rPr>
          <w:b/>
          <w:sz w:val="28"/>
          <w:szCs w:val="28"/>
        </w:rPr>
        <w:t xml:space="preserve">Preparatory Committee of the </w:t>
      </w:r>
      <w:r w:rsidR="00522859">
        <w:rPr>
          <w:b/>
          <w:sz w:val="28"/>
          <w:szCs w:val="28"/>
        </w:rPr>
        <w:t>Diplomatic Conference</w:t>
      </w:r>
      <w:r w:rsidRPr="00B15F04">
        <w:rPr>
          <w:b/>
          <w:sz w:val="28"/>
          <w:szCs w:val="28"/>
        </w:rPr>
        <w:t xml:space="preserve"> </w:t>
      </w:r>
      <w:r w:rsidR="008F2F6B" w:rsidRPr="008F2F6B">
        <w:rPr>
          <w:b/>
          <w:sz w:val="28"/>
          <w:szCs w:val="28"/>
        </w:rPr>
        <w:t>for the Adoption of a Revised Lisbon Agreement on Appellations of Origin and Geographical Indications</w:t>
      </w:r>
    </w:p>
    <w:p w:rsidR="008743A9" w:rsidRPr="00DA5A8D" w:rsidRDefault="008743A9" w:rsidP="008743A9"/>
    <w:p w:rsidR="008743A9" w:rsidRPr="008B2CC1" w:rsidRDefault="008743A9" w:rsidP="008743A9">
      <w:r w:rsidRPr="0012267F">
        <w:rPr>
          <w:b/>
          <w:sz w:val="24"/>
          <w:szCs w:val="24"/>
        </w:rPr>
        <w:t>Geneva</w:t>
      </w:r>
      <w:r w:rsidR="00A84BDF">
        <w:rPr>
          <w:b/>
          <w:sz w:val="24"/>
          <w:szCs w:val="24"/>
        </w:rPr>
        <w:t>, October</w:t>
      </w:r>
      <w:r>
        <w:rPr>
          <w:b/>
          <w:sz w:val="24"/>
          <w:szCs w:val="24"/>
        </w:rPr>
        <w:t xml:space="preserve"> </w:t>
      </w:r>
      <w:r w:rsidR="00806210">
        <w:rPr>
          <w:b/>
          <w:sz w:val="24"/>
          <w:szCs w:val="24"/>
        </w:rPr>
        <w:t>30</w:t>
      </w:r>
      <w:r w:rsidR="00321844">
        <w:rPr>
          <w:b/>
          <w:sz w:val="24"/>
          <w:szCs w:val="24"/>
        </w:rPr>
        <w:t xml:space="preserve"> </w:t>
      </w:r>
      <w:r w:rsidR="00DE520E">
        <w:rPr>
          <w:b/>
          <w:sz w:val="24"/>
          <w:szCs w:val="24"/>
        </w:rPr>
        <w:t>and</w:t>
      </w:r>
      <w:r w:rsidR="00321844">
        <w:rPr>
          <w:b/>
          <w:sz w:val="24"/>
          <w:szCs w:val="24"/>
        </w:rPr>
        <w:t xml:space="preserve"> 31</w:t>
      </w:r>
      <w:r>
        <w:rPr>
          <w:b/>
          <w:sz w:val="24"/>
          <w:szCs w:val="24"/>
        </w:rPr>
        <w:t>,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D80804" w:rsidP="008B2CC1">
      <w:pPr>
        <w:rPr>
          <w:caps/>
          <w:sz w:val="24"/>
        </w:rPr>
      </w:pPr>
      <w:bookmarkStart w:id="4" w:name="TitleOfDoc"/>
      <w:bookmarkEnd w:id="4"/>
      <w:r>
        <w:rPr>
          <w:caps/>
          <w:sz w:val="24"/>
        </w:rPr>
        <w:t>AGENDA, DATES</w:t>
      </w:r>
      <w:r w:rsidR="0026782B">
        <w:rPr>
          <w:caps/>
          <w:sz w:val="24"/>
        </w:rPr>
        <w:t xml:space="preserve"> AND </w:t>
      </w:r>
      <w:r>
        <w:rPr>
          <w:caps/>
          <w:sz w:val="24"/>
        </w:rPr>
        <w:t xml:space="preserve">VENUE FOR THE </w:t>
      </w:r>
      <w:r w:rsidR="00522859">
        <w:rPr>
          <w:caps/>
          <w:sz w:val="24"/>
        </w:rPr>
        <w:t>DIPLOMATIC CONFERENCE</w:t>
      </w:r>
    </w:p>
    <w:p w:rsidR="008B2CC1" w:rsidRPr="008B2CC1" w:rsidRDefault="008B2CC1" w:rsidP="008B2CC1"/>
    <w:p w:rsidR="008B2CC1" w:rsidRPr="008B2CC1" w:rsidRDefault="00D80804" w:rsidP="008B2CC1">
      <w:pPr>
        <w:rPr>
          <w:i/>
        </w:rPr>
      </w:pPr>
      <w:bookmarkStart w:id="5" w:name="Prepared"/>
      <w:bookmarkEnd w:id="5"/>
      <w:proofErr w:type="gramStart"/>
      <w:r>
        <w:rPr>
          <w:i/>
        </w:rPr>
        <w:t>prepared</w:t>
      </w:r>
      <w:proofErr w:type="gramEnd"/>
      <w:r>
        <w:rPr>
          <w:i/>
        </w:rPr>
        <w:t xml:space="preserve"> by the Director General</w:t>
      </w:r>
    </w:p>
    <w:p w:rsidR="00AC205C" w:rsidRDefault="00AC205C"/>
    <w:p w:rsidR="000F5E56" w:rsidRDefault="000F5E56"/>
    <w:p w:rsidR="002928D3" w:rsidRDefault="002928D3"/>
    <w:p w:rsidR="002928D3" w:rsidRDefault="002928D3" w:rsidP="0053057A"/>
    <w:p w:rsidR="00D80804" w:rsidRPr="00D75572" w:rsidRDefault="00D80804" w:rsidP="009A0AD8">
      <w:pPr>
        <w:keepNext/>
        <w:rPr>
          <w:szCs w:val="22"/>
          <w:u w:val="single"/>
        </w:rPr>
      </w:pPr>
      <w:r>
        <w:br w:type="page"/>
      </w:r>
      <w:r w:rsidRPr="009D4BE0">
        <w:rPr>
          <w:szCs w:val="22"/>
          <w:u w:val="single"/>
        </w:rPr>
        <w:lastRenderedPageBreak/>
        <w:t>I</w:t>
      </w:r>
      <w:r w:rsidR="009D4BE0">
        <w:rPr>
          <w:szCs w:val="22"/>
          <w:u w:val="single"/>
        </w:rPr>
        <w:t>NTRODUCTION</w:t>
      </w:r>
    </w:p>
    <w:p w:rsidR="00AE295B" w:rsidRPr="00AE295B" w:rsidRDefault="00D80804" w:rsidP="00F571A2">
      <w:pPr>
        <w:keepNext/>
        <w:rPr>
          <w:szCs w:val="22"/>
        </w:rPr>
      </w:pPr>
      <w:r>
        <w:rPr>
          <w:b/>
          <w:i/>
          <w:szCs w:val="22"/>
        </w:rPr>
        <w:tab/>
      </w:r>
      <w:r w:rsidR="005D4544">
        <w:rPr>
          <w:szCs w:val="22"/>
        </w:rPr>
        <w:t xml:space="preserve"> </w:t>
      </w:r>
    </w:p>
    <w:p w:rsidR="00AE295B" w:rsidRPr="00AE295B" w:rsidRDefault="00AE295B" w:rsidP="00AE295B">
      <w:pPr>
        <w:keepNext/>
        <w:rPr>
          <w:szCs w:val="22"/>
        </w:rPr>
      </w:pPr>
      <w:r w:rsidRPr="00AE295B">
        <w:rPr>
          <w:szCs w:val="22"/>
        </w:rPr>
        <w:t>1.</w:t>
      </w:r>
      <w:r w:rsidRPr="00AE295B">
        <w:rPr>
          <w:szCs w:val="22"/>
        </w:rPr>
        <w:tab/>
        <w:t xml:space="preserve">At its twenty-third (6th extraordinary) session, held from September 22 to 30, 2008, the Assembly of the Lisbon Union established a Working Group on the Development of the Lisbon System (hereinafter referred to as “the Working Group”) responsible for exploring possible improvements to the procedures under the Lisbon Agreement, composed of all </w:t>
      </w:r>
      <w:r w:rsidR="00B83EB9">
        <w:rPr>
          <w:szCs w:val="22"/>
        </w:rPr>
        <w:t>m</w:t>
      </w:r>
      <w:r w:rsidRPr="00AE295B">
        <w:rPr>
          <w:szCs w:val="22"/>
        </w:rPr>
        <w:t xml:space="preserve">embers of the Lisbon Union and open to other WIPO Member States and interested organizations as observers.  At its twenty-fifth (18th ordinary) session, held from September 22 to </w:t>
      </w:r>
      <w:r w:rsidR="00B83EB9">
        <w:rPr>
          <w:szCs w:val="22"/>
        </w:rPr>
        <w:br/>
      </w:r>
      <w:r w:rsidRPr="00AE295B">
        <w:rPr>
          <w:szCs w:val="22"/>
        </w:rPr>
        <w:t>October 1, 2009, the Assembly mandated the Working Group to engage in a full review of the Lisbon System, in view of the need to look for improvements which would make it more attractive for States and users, while preserving the principles and objectives of the Lisbon Agreement (document</w:t>
      </w:r>
      <w:r w:rsidR="00B83EB9">
        <w:rPr>
          <w:szCs w:val="22"/>
        </w:rPr>
        <w:t>s</w:t>
      </w:r>
      <w:r w:rsidRPr="00AE295B">
        <w:rPr>
          <w:szCs w:val="22"/>
        </w:rPr>
        <w:t xml:space="preserve"> LI/A/25/1 and 2).  </w:t>
      </w:r>
    </w:p>
    <w:p w:rsidR="00AE295B" w:rsidRPr="00AE295B" w:rsidRDefault="00AE295B" w:rsidP="00AE295B">
      <w:pPr>
        <w:keepNext/>
        <w:rPr>
          <w:szCs w:val="22"/>
        </w:rPr>
      </w:pPr>
    </w:p>
    <w:p w:rsidR="00AE295B" w:rsidRPr="00AE295B" w:rsidRDefault="00AE295B" w:rsidP="00AE295B">
      <w:pPr>
        <w:keepNext/>
        <w:rPr>
          <w:szCs w:val="22"/>
        </w:rPr>
      </w:pPr>
      <w:r w:rsidRPr="00AE295B">
        <w:rPr>
          <w:szCs w:val="22"/>
        </w:rPr>
        <w:t>2.</w:t>
      </w:r>
      <w:r w:rsidRPr="00AE295B">
        <w:rPr>
          <w:szCs w:val="22"/>
        </w:rPr>
        <w:tab/>
        <w:t>Since 2012, this review has focused on:  (</w:t>
      </w:r>
      <w:proofErr w:type="spellStart"/>
      <w:r w:rsidRPr="00AE295B">
        <w:rPr>
          <w:szCs w:val="22"/>
        </w:rPr>
        <w:t>i</w:t>
      </w:r>
      <w:proofErr w:type="spellEnd"/>
      <w:r w:rsidRPr="00AE295B">
        <w:rPr>
          <w:szCs w:val="22"/>
        </w:rPr>
        <w:t>) a revision of the Lisbon Agreement that would involve the refinement of its current legal framework and the inclusion of the possibility of accession by intergovernmental organizations, while preserving the principles and</w:t>
      </w:r>
      <w:r>
        <w:rPr>
          <w:szCs w:val="22"/>
        </w:rPr>
        <w:t xml:space="preserve"> objectives of that Agreement; </w:t>
      </w:r>
      <w:r w:rsidRPr="00AE295B">
        <w:rPr>
          <w:szCs w:val="22"/>
        </w:rPr>
        <w:t xml:space="preserve">and (ii) the establishment of an international registration system for geographical indications.  </w:t>
      </w:r>
    </w:p>
    <w:p w:rsidR="00AE295B" w:rsidRPr="00AE295B" w:rsidRDefault="00AE295B" w:rsidP="00AE295B">
      <w:pPr>
        <w:keepNext/>
        <w:rPr>
          <w:szCs w:val="22"/>
        </w:rPr>
      </w:pPr>
    </w:p>
    <w:p w:rsidR="00AE295B" w:rsidRPr="00AE295B" w:rsidRDefault="00AE295B" w:rsidP="00AE295B">
      <w:pPr>
        <w:keepNext/>
        <w:rPr>
          <w:szCs w:val="22"/>
        </w:rPr>
      </w:pPr>
      <w:r w:rsidRPr="00AE295B">
        <w:rPr>
          <w:szCs w:val="22"/>
        </w:rPr>
        <w:t>3.</w:t>
      </w:r>
      <w:r w:rsidRPr="00AE295B">
        <w:rPr>
          <w:szCs w:val="22"/>
        </w:rPr>
        <w:tab/>
        <w:t xml:space="preserve">At its twenty-ninth (20th </w:t>
      </w:r>
      <w:r w:rsidR="00B83EB9">
        <w:rPr>
          <w:szCs w:val="22"/>
        </w:rPr>
        <w:t>o</w:t>
      </w:r>
      <w:r w:rsidRPr="00AE295B">
        <w:rPr>
          <w:szCs w:val="22"/>
        </w:rPr>
        <w:t>rdinary) session</w:t>
      </w:r>
      <w:r w:rsidR="00B83EB9">
        <w:rPr>
          <w:szCs w:val="22"/>
        </w:rPr>
        <w:t>, held from</w:t>
      </w:r>
      <w:r w:rsidRPr="00AE295B">
        <w:rPr>
          <w:szCs w:val="22"/>
        </w:rPr>
        <w:t xml:space="preserve"> September 23 to October 2, 2013, the Assembly of the Lisbon Union approved the convening of a Diplomatic Conference for the Adoption of a Revised Lisbon Agreement on Appellations of Origin and Geographical Indications in 2015, with the exact dates and venue to be decided by the Preparatory Committee for this Diplomatic Conference (see document</w:t>
      </w:r>
      <w:r w:rsidR="00B83EB9">
        <w:rPr>
          <w:szCs w:val="22"/>
        </w:rPr>
        <w:t>s</w:t>
      </w:r>
      <w:r w:rsidRPr="00AE295B">
        <w:rPr>
          <w:szCs w:val="22"/>
        </w:rPr>
        <w:t xml:space="preserve"> LI/A/29/1 and 2).  </w:t>
      </w:r>
    </w:p>
    <w:p w:rsidR="00AE295B" w:rsidRPr="00AE295B" w:rsidRDefault="00AE295B" w:rsidP="00AE295B">
      <w:pPr>
        <w:keepNext/>
        <w:rPr>
          <w:szCs w:val="22"/>
        </w:rPr>
      </w:pPr>
    </w:p>
    <w:p w:rsidR="00AE295B" w:rsidRPr="00AE295B" w:rsidRDefault="00AE295B" w:rsidP="00AE295B">
      <w:pPr>
        <w:keepNext/>
        <w:rPr>
          <w:szCs w:val="22"/>
        </w:rPr>
      </w:pPr>
      <w:r>
        <w:rPr>
          <w:szCs w:val="22"/>
        </w:rPr>
        <w:t>4</w:t>
      </w:r>
      <w:r w:rsidRPr="00AE295B">
        <w:rPr>
          <w:szCs w:val="22"/>
        </w:rPr>
        <w:t>.</w:t>
      </w:r>
      <w:r w:rsidRPr="00AE295B">
        <w:rPr>
          <w:szCs w:val="22"/>
        </w:rPr>
        <w:tab/>
        <w:t xml:space="preserve">A total of nine sessions of the Working Group have been held between March 2009 and June 2014.  A tenth session of the Working Group is scheduled to take place from October 27 to 31, 2014, in conjunction with the meeting of the Preparatory Committee.  </w:t>
      </w:r>
    </w:p>
    <w:p w:rsidR="00AE295B" w:rsidRPr="00AE295B" w:rsidRDefault="00AE295B" w:rsidP="00AE295B">
      <w:pPr>
        <w:keepNext/>
        <w:rPr>
          <w:szCs w:val="22"/>
        </w:rPr>
      </w:pPr>
    </w:p>
    <w:p w:rsidR="00822AE8" w:rsidRDefault="00AE295B" w:rsidP="00AE295B">
      <w:pPr>
        <w:keepNext/>
        <w:rPr>
          <w:szCs w:val="22"/>
          <w:highlight w:val="yellow"/>
        </w:rPr>
      </w:pPr>
      <w:r>
        <w:rPr>
          <w:szCs w:val="22"/>
        </w:rPr>
        <w:t>5</w:t>
      </w:r>
      <w:r w:rsidRPr="00AE295B">
        <w:rPr>
          <w:szCs w:val="22"/>
        </w:rPr>
        <w:t>.</w:t>
      </w:r>
      <w:r w:rsidRPr="00AE295B">
        <w:rPr>
          <w:szCs w:val="22"/>
        </w:rPr>
        <w:tab/>
        <w:t xml:space="preserve">Since its seventh session (April 29 to May 3, 2013), the Working Group has worked on the basis of draft </w:t>
      </w:r>
      <w:r w:rsidR="00B83EB9">
        <w:rPr>
          <w:szCs w:val="22"/>
        </w:rPr>
        <w:t>A</w:t>
      </w:r>
      <w:r w:rsidRPr="00AE295B">
        <w:rPr>
          <w:szCs w:val="22"/>
        </w:rPr>
        <w:t xml:space="preserve">rticles and </w:t>
      </w:r>
      <w:r w:rsidR="00B83EB9">
        <w:rPr>
          <w:szCs w:val="22"/>
        </w:rPr>
        <w:t>R</w:t>
      </w:r>
      <w:r w:rsidRPr="00AE295B">
        <w:rPr>
          <w:szCs w:val="22"/>
        </w:rPr>
        <w:t xml:space="preserve">ules for a Revised Lisbon Agreement on Appellations of Origin and Geographical Indications and Regulations under the Revised Lisbon Agreement.  </w:t>
      </w:r>
    </w:p>
    <w:p w:rsidR="009279D1" w:rsidRPr="00EC37A9" w:rsidRDefault="009279D1" w:rsidP="00D80804">
      <w:pPr>
        <w:rPr>
          <w:szCs w:val="22"/>
        </w:rPr>
      </w:pPr>
    </w:p>
    <w:p w:rsidR="00D80804" w:rsidRPr="0078200F" w:rsidRDefault="00D80804" w:rsidP="00D80804">
      <w:pPr>
        <w:rPr>
          <w:szCs w:val="22"/>
        </w:rPr>
      </w:pPr>
    </w:p>
    <w:p w:rsidR="00D80804" w:rsidRPr="0078200F" w:rsidRDefault="00D80804" w:rsidP="009A0AD8">
      <w:pPr>
        <w:pStyle w:val="Heading2"/>
        <w:spacing w:before="0" w:after="0"/>
        <w:rPr>
          <w:szCs w:val="22"/>
        </w:rPr>
      </w:pPr>
      <w:r w:rsidRPr="0078200F">
        <w:rPr>
          <w:szCs w:val="22"/>
        </w:rPr>
        <w:t xml:space="preserve">Agenda of the </w:t>
      </w:r>
      <w:r w:rsidR="00522859">
        <w:rPr>
          <w:szCs w:val="22"/>
        </w:rPr>
        <w:t>Diplomatic Conference</w:t>
      </w:r>
    </w:p>
    <w:p w:rsidR="00D80804" w:rsidRPr="0078200F" w:rsidRDefault="00D80804" w:rsidP="009A0AD8">
      <w:pPr>
        <w:pStyle w:val="Footer"/>
        <w:keepNext/>
        <w:rPr>
          <w:szCs w:val="22"/>
        </w:rPr>
      </w:pPr>
    </w:p>
    <w:p w:rsidR="00D80804" w:rsidRPr="0078200F" w:rsidRDefault="00AE295B" w:rsidP="009A0AD8">
      <w:pPr>
        <w:keepNext/>
        <w:rPr>
          <w:szCs w:val="22"/>
        </w:rPr>
      </w:pPr>
      <w:r>
        <w:rPr>
          <w:szCs w:val="22"/>
        </w:rPr>
        <w:t>6</w:t>
      </w:r>
      <w:r w:rsidR="005D4544">
        <w:rPr>
          <w:szCs w:val="22"/>
        </w:rPr>
        <w:t>.</w:t>
      </w:r>
      <w:r w:rsidR="005D4544">
        <w:rPr>
          <w:szCs w:val="22"/>
        </w:rPr>
        <w:tab/>
        <w:t>T</w:t>
      </w:r>
      <w:r w:rsidR="00D80804" w:rsidRPr="0078200F">
        <w:rPr>
          <w:szCs w:val="22"/>
        </w:rPr>
        <w:t xml:space="preserve">he </w:t>
      </w:r>
      <w:r w:rsidR="005D4544">
        <w:rPr>
          <w:szCs w:val="22"/>
        </w:rPr>
        <w:t xml:space="preserve">proposed </w:t>
      </w:r>
      <w:r w:rsidR="00D80804" w:rsidRPr="0078200F">
        <w:rPr>
          <w:szCs w:val="22"/>
        </w:rPr>
        <w:t xml:space="preserve">draft agenda of the </w:t>
      </w:r>
      <w:r w:rsidR="00522859">
        <w:rPr>
          <w:szCs w:val="22"/>
        </w:rPr>
        <w:t>Diplomatic Conference</w:t>
      </w:r>
      <w:r w:rsidR="00F6537A">
        <w:rPr>
          <w:szCs w:val="22"/>
        </w:rPr>
        <w:t xml:space="preserve"> </w:t>
      </w:r>
      <w:r w:rsidR="005D4544">
        <w:rPr>
          <w:szCs w:val="22"/>
        </w:rPr>
        <w:t xml:space="preserve">is </w:t>
      </w:r>
      <w:r w:rsidR="00F6537A">
        <w:rPr>
          <w:szCs w:val="22"/>
        </w:rPr>
        <w:t xml:space="preserve">set out in </w:t>
      </w:r>
      <w:r w:rsidR="00D80804" w:rsidRPr="0078200F">
        <w:rPr>
          <w:szCs w:val="22"/>
        </w:rPr>
        <w:t>the</w:t>
      </w:r>
      <w:r w:rsidR="00F6537A">
        <w:rPr>
          <w:szCs w:val="22"/>
        </w:rPr>
        <w:t> </w:t>
      </w:r>
      <w:r w:rsidR="00D80804" w:rsidRPr="0078200F">
        <w:rPr>
          <w:szCs w:val="22"/>
        </w:rPr>
        <w:t>Annex.</w:t>
      </w:r>
    </w:p>
    <w:p w:rsidR="00D80804" w:rsidRPr="0078200F" w:rsidRDefault="00D80804" w:rsidP="00D80804">
      <w:pPr>
        <w:rPr>
          <w:szCs w:val="22"/>
        </w:rPr>
      </w:pPr>
    </w:p>
    <w:p w:rsidR="00D80804" w:rsidRPr="0078200F" w:rsidRDefault="00AE295B" w:rsidP="00D80804">
      <w:pPr>
        <w:rPr>
          <w:szCs w:val="22"/>
          <w:u w:val="single"/>
        </w:rPr>
      </w:pPr>
      <w:r>
        <w:rPr>
          <w:szCs w:val="22"/>
        </w:rPr>
        <w:t>7</w:t>
      </w:r>
      <w:r w:rsidR="00D80804" w:rsidRPr="0078200F">
        <w:rPr>
          <w:szCs w:val="22"/>
        </w:rPr>
        <w:t>.</w:t>
      </w:r>
      <w:r w:rsidR="00D80804" w:rsidRPr="0078200F">
        <w:rPr>
          <w:szCs w:val="22"/>
        </w:rPr>
        <w:tab/>
        <w:t xml:space="preserve">The draft </w:t>
      </w:r>
      <w:r w:rsidR="00A823B7">
        <w:rPr>
          <w:szCs w:val="22"/>
        </w:rPr>
        <w:t xml:space="preserve">agenda </w:t>
      </w:r>
      <w:r w:rsidR="00D80804" w:rsidRPr="0078200F">
        <w:rPr>
          <w:szCs w:val="22"/>
        </w:rPr>
        <w:t xml:space="preserve">is </w:t>
      </w:r>
      <w:r w:rsidR="00D80804">
        <w:rPr>
          <w:szCs w:val="22"/>
        </w:rPr>
        <w:t>modeled on the</w:t>
      </w:r>
      <w:r w:rsidR="00D80804" w:rsidRPr="000E224B">
        <w:rPr>
          <w:szCs w:val="22"/>
        </w:rPr>
        <w:t xml:space="preserve"> agenda</w:t>
      </w:r>
      <w:r w:rsidR="007C5090">
        <w:rPr>
          <w:szCs w:val="22"/>
        </w:rPr>
        <w:t>s</w:t>
      </w:r>
      <w:r w:rsidR="00D80804" w:rsidRPr="000E224B">
        <w:rPr>
          <w:szCs w:val="22"/>
        </w:rPr>
        <w:t xml:space="preserve"> of </w:t>
      </w:r>
      <w:r w:rsidR="00D80804">
        <w:rPr>
          <w:szCs w:val="22"/>
        </w:rPr>
        <w:t xml:space="preserve">the 2012 Beijing </w:t>
      </w:r>
      <w:r w:rsidR="00522859">
        <w:rPr>
          <w:szCs w:val="22"/>
        </w:rPr>
        <w:t>Diplomatic Conference</w:t>
      </w:r>
      <w:r w:rsidR="00D80804">
        <w:rPr>
          <w:szCs w:val="22"/>
        </w:rPr>
        <w:t xml:space="preserve"> on the </w:t>
      </w:r>
      <w:r w:rsidR="00B83EB9">
        <w:rPr>
          <w:szCs w:val="22"/>
        </w:rPr>
        <w:t>P</w:t>
      </w:r>
      <w:r w:rsidR="00D80804">
        <w:rPr>
          <w:szCs w:val="22"/>
        </w:rPr>
        <w:t xml:space="preserve">rotection of </w:t>
      </w:r>
      <w:r w:rsidR="007C5090">
        <w:rPr>
          <w:szCs w:val="22"/>
        </w:rPr>
        <w:t>A</w:t>
      </w:r>
      <w:r w:rsidR="00D80804">
        <w:rPr>
          <w:szCs w:val="22"/>
        </w:rPr>
        <w:t xml:space="preserve">udiovisual </w:t>
      </w:r>
      <w:r w:rsidR="007C5090">
        <w:rPr>
          <w:szCs w:val="22"/>
        </w:rPr>
        <w:t>P</w:t>
      </w:r>
      <w:r w:rsidR="00D80804">
        <w:rPr>
          <w:szCs w:val="22"/>
        </w:rPr>
        <w:t>erformances</w:t>
      </w:r>
      <w:r w:rsidR="00D80804" w:rsidRPr="000E224B">
        <w:rPr>
          <w:szCs w:val="22"/>
        </w:rPr>
        <w:t xml:space="preserve"> </w:t>
      </w:r>
      <w:r w:rsidR="00A823B7">
        <w:rPr>
          <w:szCs w:val="22"/>
        </w:rPr>
        <w:t xml:space="preserve">and </w:t>
      </w:r>
      <w:r w:rsidR="008A7B58">
        <w:rPr>
          <w:szCs w:val="22"/>
        </w:rPr>
        <w:t xml:space="preserve">of the 2013 Marrakesh </w:t>
      </w:r>
      <w:r w:rsidR="00522859">
        <w:rPr>
          <w:szCs w:val="22"/>
        </w:rPr>
        <w:t>Diplomatic Conference</w:t>
      </w:r>
      <w:r w:rsidR="008A7B58">
        <w:rPr>
          <w:szCs w:val="22"/>
        </w:rPr>
        <w:t xml:space="preserve"> </w:t>
      </w:r>
      <w:r w:rsidR="008A7B58" w:rsidRPr="006F449C">
        <w:rPr>
          <w:szCs w:val="22"/>
        </w:rPr>
        <w:t>on</w:t>
      </w:r>
      <w:r w:rsidR="00B35C30">
        <w:rPr>
          <w:szCs w:val="22"/>
        </w:rPr>
        <w:t xml:space="preserve"> a </w:t>
      </w:r>
      <w:r w:rsidR="007C5090">
        <w:rPr>
          <w:szCs w:val="22"/>
        </w:rPr>
        <w:t>T</w:t>
      </w:r>
      <w:r w:rsidR="00B35C30">
        <w:rPr>
          <w:szCs w:val="22"/>
        </w:rPr>
        <w:t xml:space="preserve">reaty to </w:t>
      </w:r>
      <w:r w:rsidR="007C5090">
        <w:rPr>
          <w:szCs w:val="22"/>
        </w:rPr>
        <w:t>F</w:t>
      </w:r>
      <w:proofErr w:type="spellStart"/>
      <w:r w:rsidR="007C5090" w:rsidRPr="006F449C">
        <w:rPr>
          <w:lang w:val="en"/>
        </w:rPr>
        <w:t>acilitate</w:t>
      </w:r>
      <w:proofErr w:type="spellEnd"/>
      <w:r w:rsidR="008A7B58" w:rsidRPr="006F449C">
        <w:rPr>
          <w:lang w:val="en"/>
        </w:rPr>
        <w:t xml:space="preserve"> </w:t>
      </w:r>
      <w:r w:rsidR="007C5090">
        <w:rPr>
          <w:lang w:val="en"/>
        </w:rPr>
        <w:t>A</w:t>
      </w:r>
      <w:r w:rsidR="008A7B58" w:rsidRPr="006F449C">
        <w:rPr>
          <w:lang w:val="en"/>
        </w:rPr>
        <w:t xml:space="preserve">ccess to </w:t>
      </w:r>
      <w:r w:rsidR="007C5090">
        <w:rPr>
          <w:lang w:val="en"/>
        </w:rPr>
        <w:t>P</w:t>
      </w:r>
      <w:r w:rsidR="008A7B58" w:rsidRPr="006F449C">
        <w:rPr>
          <w:lang w:val="en"/>
        </w:rPr>
        <w:t xml:space="preserve">ublished </w:t>
      </w:r>
      <w:r w:rsidR="007C5090">
        <w:rPr>
          <w:lang w:val="en"/>
        </w:rPr>
        <w:t>W</w:t>
      </w:r>
      <w:r w:rsidR="008A7B58" w:rsidRPr="006F449C">
        <w:rPr>
          <w:lang w:val="en"/>
        </w:rPr>
        <w:t xml:space="preserve">orks by </w:t>
      </w:r>
      <w:r w:rsidR="007C5090">
        <w:rPr>
          <w:lang w:val="en"/>
        </w:rPr>
        <w:t>V</w:t>
      </w:r>
      <w:r w:rsidR="008A7B58" w:rsidRPr="006F449C">
        <w:rPr>
          <w:lang w:val="en"/>
        </w:rPr>
        <w:t xml:space="preserve">isually </w:t>
      </w:r>
      <w:r w:rsidR="007C5090">
        <w:rPr>
          <w:lang w:val="en"/>
        </w:rPr>
        <w:t>I</w:t>
      </w:r>
      <w:r w:rsidR="008A7B58" w:rsidRPr="006F449C">
        <w:rPr>
          <w:lang w:val="en"/>
        </w:rPr>
        <w:t xml:space="preserve">mpaired </w:t>
      </w:r>
      <w:r w:rsidR="007C5090">
        <w:rPr>
          <w:lang w:val="en"/>
        </w:rPr>
        <w:t>P</w:t>
      </w:r>
      <w:r w:rsidR="008A7B58" w:rsidRPr="006F449C">
        <w:rPr>
          <w:lang w:val="en"/>
        </w:rPr>
        <w:t xml:space="preserve">ersons and </w:t>
      </w:r>
      <w:r w:rsidR="007C5090">
        <w:rPr>
          <w:lang w:val="en"/>
        </w:rPr>
        <w:t>P</w:t>
      </w:r>
      <w:r w:rsidR="008A7B58" w:rsidRPr="006F449C">
        <w:rPr>
          <w:lang w:val="en"/>
        </w:rPr>
        <w:t xml:space="preserve">ersons with </w:t>
      </w:r>
      <w:r w:rsidR="007C5090">
        <w:rPr>
          <w:lang w:val="en"/>
        </w:rPr>
        <w:t>P</w:t>
      </w:r>
      <w:r w:rsidR="008A7B58" w:rsidRPr="006F449C">
        <w:rPr>
          <w:lang w:val="en"/>
        </w:rPr>
        <w:t>rint</w:t>
      </w:r>
      <w:r w:rsidR="008A7B58" w:rsidRPr="008A7B58">
        <w:rPr>
          <w:lang w:val="en"/>
        </w:rPr>
        <w:t xml:space="preserve"> </w:t>
      </w:r>
      <w:r w:rsidR="007C5090">
        <w:rPr>
          <w:lang w:val="en"/>
        </w:rPr>
        <w:t>D</w:t>
      </w:r>
      <w:r w:rsidR="008A7B58" w:rsidRPr="008A7B58">
        <w:rPr>
          <w:lang w:val="en"/>
        </w:rPr>
        <w:t>isabilities</w:t>
      </w:r>
      <w:r w:rsidR="008A7B58">
        <w:rPr>
          <w:lang w:val="en"/>
        </w:rPr>
        <w:t xml:space="preserve">, </w:t>
      </w:r>
      <w:r w:rsidR="00D80804" w:rsidRPr="000E224B">
        <w:rPr>
          <w:szCs w:val="22"/>
        </w:rPr>
        <w:t>held under the auspices of WIPO.</w:t>
      </w:r>
    </w:p>
    <w:p w:rsidR="00D80804" w:rsidRPr="0078200F" w:rsidRDefault="00D80804" w:rsidP="00D80804">
      <w:pPr>
        <w:rPr>
          <w:szCs w:val="22"/>
          <w:u w:val="single"/>
        </w:rPr>
      </w:pPr>
    </w:p>
    <w:p w:rsidR="00DA1658" w:rsidRDefault="00DA1658">
      <w:pPr>
        <w:rPr>
          <w:szCs w:val="22"/>
        </w:rPr>
      </w:pPr>
      <w:r>
        <w:rPr>
          <w:szCs w:val="22"/>
        </w:rPr>
        <w:br w:type="page"/>
      </w:r>
    </w:p>
    <w:p w:rsidR="00D80804" w:rsidRPr="0078200F" w:rsidRDefault="00D80804" w:rsidP="009A0AD8">
      <w:pPr>
        <w:pStyle w:val="Heading2"/>
        <w:spacing w:before="0" w:after="0"/>
        <w:rPr>
          <w:szCs w:val="22"/>
        </w:rPr>
      </w:pPr>
      <w:r w:rsidRPr="0078200F">
        <w:rPr>
          <w:szCs w:val="22"/>
        </w:rPr>
        <w:lastRenderedPageBreak/>
        <w:t>Dates</w:t>
      </w:r>
      <w:r w:rsidR="00CC654C">
        <w:rPr>
          <w:szCs w:val="22"/>
        </w:rPr>
        <w:t xml:space="preserve"> and </w:t>
      </w:r>
      <w:r w:rsidRPr="0078200F">
        <w:rPr>
          <w:szCs w:val="22"/>
        </w:rPr>
        <w:t xml:space="preserve">Venue of the </w:t>
      </w:r>
      <w:r w:rsidR="00522859">
        <w:rPr>
          <w:szCs w:val="22"/>
        </w:rPr>
        <w:t>Diplomatic Conference</w:t>
      </w:r>
    </w:p>
    <w:p w:rsidR="00D80804" w:rsidRPr="0078200F" w:rsidRDefault="00D80804" w:rsidP="009A0AD8">
      <w:pPr>
        <w:keepNext/>
        <w:rPr>
          <w:szCs w:val="22"/>
        </w:rPr>
      </w:pPr>
    </w:p>
    <w:p w:rsidR="00D80804" w:rsidRPr="003605D1" w:rsidRDefault="00AE295B" w:rsidP="00D80804">
      <w:pPr>
        <w:pStyle w:val="ListBullet"/>
      </w:pPr>
      <w:r>
        <w:t>8</w:t>
      </w:r>
      <w:r w:rsidR="00CC654C">
        <w:t>.</w:t>
      </w:r>
      <w:r w:rsidR="00D80804" w:rsidRPr="0078200F">
        <w:tab/>
      </w:r>
      <w:r w:rsidR="00877EAE">
        <w:t>At the time of finalization of the present document, the International</w:t>
      </w:r>
      <w:r w:rsidR="00E553CA">
        <w:t xml:space="preserve"> Bureau of WIPO had received an</w:t>
      </w:r>
      <w:r w:rsidR="00877EAE">
        <w:t xml:space="preserve"> official invitation from the Government of Portugal to host the Diplomatic Conference</w:t>
      </w:r>
      <w:r w:rsidR="007B34C5">
        <w:t xml:space="preserve"> </w:t>
      </w:r>
      <w:r w:rsidR="00B83EB9">
        <w:t xml:space="preserve">in a </w:t>
      </w:r>
      <w:r w:rsidR="007B34C5">
        <w:t>letter dated January 13, 2014</w:t>
      </w:r>
      <w:r w:rsidR="00B83EB9">
        <w:t xml:space="preserve"> which was circulated to the </w:t>
      </w:r>
      <w:r w:rsidR="00CF3BDB">
        <w:t>M</w:t>
      </w:r>
      <w:r w:rsidR="00B83EB9">
        <w:t>ember</w:t>
      </w:r>
      <w:r w:rsidR="00CF3BDB">
        <w:t>s</w:t>
      </w:r>
      <w:r w:rsidR="00B83EB9">
        <w:t xml:space="preserve"> of the Lisbon Union by Circular letter C. LIS 79, dated February 10, 2014</w:t>
      </w:r>
      <w:r w:rsidR="00877EAE">
        <w:t xml:space="preserve">.  </w:t>
      </w:r>
      <w:r w:rsidR="00AE6DAE">
        <w:t xml:space="preserve">It is proposed that the </w:t>
      </w:r>
      <w:r w:rsidR="00522859">
        <w:t>Diplomatic Conference</w:t>
      </w:r>
      <w:r w:rsidR="00AE6DAE">
        <w:t xml:space="preserve"> take place </w:t>
      </w:r>
      <w:r w:rsidR="00914AD2">
        <w:t xml:space="preserve">from </w:t>
      </w:r>
      <w:r w:rsidR="00B83EB9">
        <w:t>May 11</w:t>
      </w:r>
      <w:r w:rsidR="00914AD2">
        <w:t xml:space="preserve"> to </w:t>
      </w:r>
      <w:r w:rsidR="00B83EB9">
        <w:t>21,</w:t>
      </w:r>
      <w:r w:rsidR="00914AD2">
        <w:t xml:space="preserve"> </w:t>
      </w:r>
      <w:r w:rsidR="00AE6DAE">
        <w:t>201</w:t>
      </w:r>
      <w:r w:rsidR="00A84BDF">
        <w:t>5</w:t>
      </w:r>
      <w:r w:rsidR="00F6537A">
        <w:t>.</w:t>
      </w:r>
    </w:p>
    <w:p w:rsidR="00D80804" w:rsidRPr="00557846" w:rsidRDefault="00D80804" w:rsidP="00D80804">
      <w:pPr>
        <w:pStyle w:val="ListBullet"/>
      </w:pPr>
    </w:p>
    <w:p w:rsidR="00D80804" w:rsidRDefault="00AE295B" w:rsidP="000427AA">
      <w:pPr>
        <w:pStyle w:val="DecisionParagraph"/>
        <w:tabs>
          <w:tab w:val="left" w:pos="6096"/>
        </w:tabs>
        <w:ind w:left="5534"/>
        <w:rPr>
          <w:rFonts w:ascii="Arial" w:hAnsi="Arial" w:cs="Arial"/>
          <w:sz w:val="22"/>
          <w:szCs w:val="22"/>
        </w:rPr>
      </w:pPr>
      <w:r>
        <w:rPr>
          <w:rFonts w:ascii="Arial" w:hAnsi="Arial" w:cs="Arial"/>
          <w:sz w:val="22"/>
          <w:szCs w:val="22"/>
        </w:rPr>
        <w:t>9</w:t>
      </w:r>
      <w:r w:rsidR="00D80804" w:rsidRPr="00D575CA">
        <w:rPr>
          <w:rFonts w:ascii="Arial" w:hAnsi="Arial" w:cs="Arial"/>
          <w:sz w:val="22"/>
          <w:szCs w:val="22"/>
        </w:rPr>
        <w:t>.</w:t>
      </w:r>
      <w:r w:rsidR="009904CD">
        <w:rPr>
          <w:rFonts w:ascii="Arial" w:hAnsi="Arial" w:cs="Arial"/>
          <w:sz w:val="22"/>
          <w:szCs w:val="22"/>
        </w:rPr>
        <w:tab/>
      </w:r>
      <w:r w:rsidR="00D80804" w:rsidRPr="00D575CA">
        <w:rPr>
          <w:rFonts w:ascii="Arial" w:hAnsi="Arial" w:cs="Arial"/>
          <w:sz w:val="22"/>
          <w:szCs w:val="22"/>
        </w:rPr>
        <w:t>The Preparatory Committee is invited to</w:t>
      </w:r>
      <w:r w:rsidR="005A4F1F">
        <w:rPr>
          <w:rFonts w:ascii="Arial" w:hAnsi="Arial" w:cs="Arial"/>
          <w:sz w:val="22"/>
          <w:szCs w:val="22"/>
        </w:rPr>
        <w:t xml:space="preserve"> approve the draft agenda of the </w:t>
      </w:r>
      <w:r w:rsidR="00522859">
        <w:rPr>
          <w:rFonts w:ascii="Arial" w:hAnsi="Arial" w:cs="Arial"/>
          <w:sz w:val="22"/>
          <w:szCs w:val="22"/>
        </w:rPr>
        <w:t>Diplomatic Conference</w:t>
      </w:r>
      <w:r w:rsidR="005A4F1F">
        <w:rPr>
          <w:rFonts w:ascii="Arial" w:hAnsi="Arial" w:cs="Arial"/>
          <w:sz w:val="22"/>
          <w:szCs w:val="22"/>
        </w:rPr>
        <w:t xml:space="preserve"> and </w:t>
      </w:r>
      <w:r w:rsidR="00142E13">
        <w:rPr>
          <w:rFonts w:ascii="Arial" w:hAnsi="Arial" w:cs="Arial"/>
          <w:sz w:val="22"/>
          <w:szCs w:val="22"/>
        </w:rPr>
        <w:t xml:space="preserve">to decide on </w:t>
      </w:r>
      <w:r w:rsidR="005A4F1F">
        <w:rPr>
          <w:rFonts w:ascii="Arial" w:hAnsi="Arial" w:cs="Arial"/>
          <w:sz w:val="22"/>
          <w:szCs w:val="22"/>
        </w:rPr>
        <w:t>t</w:t>
      </w:r>
      <w:r w:rsidR="00F03797">
        <w:rPr>
          <w:rFonts w:ascii="Arial" w:hAnsi="Arial" w:cs="Arial"/>
          <w:sz w:val="22"/>
          <w:szCs w:val="22"/>
        </w:rPr>
        <w:t xml:space="preserve">he </w:t>
      </w:r>
      <w:r w:rsidR="00D80804" w:rsidRPr="00D575CA">
        <w:rPr>
          <w:rFonts w:ascii="Arial" w:hAnsi="Arial" w:cs="Arial"/>
          <w:sz w:val="22"/>
          <w:szCs w:val="22"/>
        </w:rPr>
        <w:t xml:space="preserve">venue and dates of the </w:t>
      </w:r>
      <w:r w:rsidR="00522859">
        <w:rPr>
          <w:rFonts w:ascii="Arial" w:hAnsi="Arial" w:cs="Arial"/>
          <w:sz w:val="22"/>
          <w:szCs w:val="22"/>
        </w:rPr>
        <w:t>Diplomatic Conference</w:t>
      </w:r>
      <w:r w:rsidR="00F6537A">
        <w:rPr>
          <w:rFonts w:ascii="Arial" w:hAnsi="Arial" w:cs="Arial"/>
          <w:sz w:val="22"/>
          <w:szCs w:val="22"/>
        </w:rPr>
        <w:t>.</w:t>
      </w: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EB28D3" w:rsidRPr="00EB28D3" w:rsidRDefault="00EB28D3" w:rsidP="009904CD">
      <w:pPr>
        <w:pStyle w:val="EndofDocument"/>
        <w:ind w:left="5533"/>
        <w:jc w:val="left"/>
        <w:rPr>
          <w:rFonts w:ascii="Arial" w:hAnsi="Arial" w:cs="Arial"/>
          <w:sz w:val="22"/>
          <w:szCs w:val="22"/>
        </w:rPr>
      </w:pPr>
      <w:r w:rsidRPr="00EB28D3">
        <w:rPr>
          <w:rFonts w:ascii="Arial" w:hAnsi="Arial" w:cs="Arial"/>
          <w:sz w:val="22"/>
          <w:szCs w:val="22"/>
        </w:rPr>
        <w:t>[Annex</w:t>
      </w:r>
      <w:r>
        <w:rPr>
          <w:rFonts w:ascii="Arial" w:hAnsi="Arial" w:cs="Arial"/>
          <w:sz w:val="22"/>
          <w:szCs w:val="22"/>
        </w:rPr>
        <w:t xml:space="preserve"> </w:t>
      </w:r>
      <w:r w:rsidRPr="00EB28D3">
        <w:rPr>
          <w:rFonts w:ascii="Arial" w:hAnsi="Arial" w:cs="Arial"/>
          <w:sz w:val="22"/>
          <w:szCs w:val="22"/>
        </w:rPr>
        <w:t>follow</w:t>
      </w:r>
      <w:r>
        <w:rPr>
          <w:rFonts w:ascii="Arial" w:hAnsi="Arial" w:cs="Arial"/>
          <w:sz w:val="22"/>
          <w:szCs w:val="22"/>
        </w:rPr>
        <w:t>s</w:t>
      </w:r>
      <w:r w:rsidRPr="00EB28D3">
        <w:rPr>
          <w:rFonts w:ascii="Arial" w:hAnsi="Arial" w:cs="Arial"/>
          <w:sz w:val="22"/>
          <w:szCs w:val="22"/>
        </w:rPr>
        <w:t>]</w:t>
      </w: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rPr>
          <w:rFonts w:ascii="Arial" w:hAnsi="Arial" w:cs="Arial"/>
          <w:sz w:val="22"/>
          <w:szCs w:val="22"/>
        </w:rPr>
      </w:pPr>
    </w:p>
    <w:p w:rsidR="00D80804" w:rsidRDefault="00D80804" w:rsidP="00D80804">
      <w:pPr>
        <w:pStyle w:val="DecisionParagraph"/>
      </w:pPr>
    </w:p>
    <w:p w:rsidR="00D80804" w:rsidRPr="00376A53" w:rsidRDefault="001A3CEA" w:rsidP="00D80804">
      <w:pPr>
        <w:rPr>
          <w:szCs w:val="22"/>
        </w:rPr>
      </w:pPr>
      <w:r>
        <w:rPr>
          <w:szCs w:val="22"/>
        </w:rPr>
        <w:br w:type="page"/>
      </w:r>
      <w:r w:rsidR="00D80804" w:rsidRPr="00376A53">
        <w:rPr>
          <w:szCs w:val="22"/>
        </w:rPr>
        <w:t xml:space="preserve">DRAFT AGENDA OF THE </w:t>
      </w:r>
      <w:r w:rsidR="00522859">
        <w:rPr>
          <w:szCs w:val="22"/>
        </w:rPr>
        <w:t>DIPLOMATIC CONFERENCE</w:t>
      </w:r>
    </w:p>
    <w:p w:rsidR="00D80804" w:rsidRPr="00376A53" w:rsidRDefault="00D80804" w:rsidP="00D80804">
      <w:pPr>
        <w:ind w:left="567" w:hanging="567"/>
        <w:rPr>
          <w:szCs w:val="22"/>
        </w:rPr>
      </w:pPr>
    </w:p>
    <w:p w:rsidR="00D80804" w:rsidRPr="00376A53" w:rsidRDefault="00D80804" w:rsidP="00D80804">
      <w:pPr>
        <w:ind w:left="567" w:hanging="567"/>
        <w:rPr>
          <w:szCs w:val="22"/>
        </w:rPr>
      </w:pPr>
    </w:p>
    <w:p w:rsidR="00D80804" w:rsidRPr="00376A53" w:rsidRDefault="00D80804" w:rsidP="00D80804">
      <w:pPr>
        <w:rPr>
          <w:szCs w:val="22"/>
        </w:rPr>
      </w:pPr>
      <w:r w:rsidRPr="00376A53">
        <w:rPr>
          <w:szCs w:val="22"/>
        </w:rPr>
        <w:t>1.</w:t>
      </w:r>
      <w:r w:rsidRPr="00376A53">
        <w:rPr>
          <w:szCs w:val="22"/>
        </w:rPr>
        <w:tab/>
        <w:t>Opening of the Conference by the Director General of WIPO</w:t>
      </w:r>
    </w:p>
    <w:p w:rsidR="00D80804" w:rsidRPr="00376A53" w:rsidRDefault="00D80804" w:rsidP="00D80804">
      <w:pPr>
        <w:pStyle w:val="Footer"/>
        <w:rPr>
          <w:szCs w:val="22"/>
        </w:rPr>
      </w:pPr>
    </w:p>
    <w:p w:rsidR="00D80804" w:rsidRPr="00376A53" w:rsidRDefault="00D80804" w:rsidP="00D80804">
      <w:pPr>
        <w:rPr>
          <w:szCs w:val="22"/>
        </w:rPr>
      </w:pPr>
      <w:r w:rsidRPr="00376A53">
        <w:rPr>
          <w:szCs w:val="22"/>
        </w:rPr>
        <w:t>2.</w:t>
      </w:r>
      <w:r w:rsidRPr="00376A53">
        <w:rPr>
          <w:szCs w:val="22"/>
        </w:rPr>
        <w:tab/>
        <w:t>Consideration and adoption of the Rules of Procedure</w:t>
      </w:r>
    </w:p>
    <w:p w:rsidR="00D80804" w:rsidRPr="00376A53" w:rsidRDefault="00D80804" w:rsidP="00D80804">
      <w:pPr>
        <w:rPr>
          <w:szCs w:val="22"/>
        </w:rPr>
      </w:pPr>
    </w:p>
    <w:p w:rsidR="00D80804" w:rsidRPr="00376A53" w:rsidRDefault="00D80804" w:rsidP="00D80804">
      <w:pPr>
        <w:tabs>
          <w:tab w:val="left" w:pos="567"/>
          <w:tab w:val="left" w:pos="1134"/>
          <w:tab w:val="left" w:pos="1701"/>
          <w:tab w:val="left" w:pos="2268"/>
          <w:tab w:val="left" w:pos="2835"/>
          <w:tab w:val="left" w:pos="3402"/>
          <w:tab w:val="left" w:pos="3969"/>
          <w:tab w:val="left" w:pos="4536"/>
          <w:tab w:val="left" w:pos="7950"/>
        </w:tabs>
        <w:rPr>
          <w:szCs w:val="22"/>
        </w:rPr>
      </w:pPr>
      <w:r w:rsidRPr="00376A53">
        <w:rPr>
          <w:szCs w:val="22"/>
        </w:rPr>
        <w:t>3.</w:t>
      </w:r>
      <w:r w:rsidRPr="00376A53">
        <w:rPr>
          <w:szCs w:val="22"/>
        </w:rPr>
        <w:tab/>
        <w:t xml:space="preserve">Election of </w:t>
      </w:r>
      <w:r w:rsidR="00F6537A">
        <w:rPr>
          <w:szCs w:val="22"/>
        </w:rPr>
        <w:t>the President of the Conference</w:t>
      </w:r>
    </w:p>
    <w:p w:rsidR="00D80804" w:rsidRPr="00376A53" w:rsidRDefault="00D80804" w:rsidP="00D80804">
      <w:pPr>
        <w:rPr>
          <w:szCs w:val="22"/>
        </w:rPr>
      </w:pPr>
    </w:p>
    <w:p w:rsidR="00D80804" w:rsidRPr="00376A53" w:rsidRDefault="00D80804" w:rsidP="00D80804">
      <w:pPr>
        <w:rPr>
          <w:szCs w:val="22"/>
        </w:rPr>
      </w:pPr>
      <w:r w:rsidRPr="00376A53">
        <w:rPr>
          <w:szCs w:val="22"/>
        </w:rPr>
        <w:t>4.</w:t>
      </w:r>
      <w:r w:rsidRPr="00376A53">
        <w:rPr>
          <w:szCs w:val="22"/>
        </w:rPr>
        <w:tab/>
        <w:t>Consideration and adoption of the agenda</w:t>
      </w:r>
    </w:p>
    <w:p w:rsidR="00D80804" w:rsidRPr="00376A53" w:rsidRDefault="00D80804" w:rsidP="00D80804">
      <w:pPr>
        <w:rPr>
          <w:szCs w:val="22"/>
        </w:rPr>
      </w:pPr>
    </w:p>
    <w:p w:rsidR="00D80804" w:rsidRPr="00376A53" w:rsidRDefault="00D80804" w:rsidP="00D80804">
      <w:pPr>
        <w:rPr>
          <w:szCs w:val="22"/>
        </w:rPr>
      </w:pPr>
      <w:r w:rsidRPr="00376A53">
        <w:rPr>
          <w:szCs w:val="22"/>
        </w:rPr>
        <w:t>5.</w:t>
      </w:r>
      <w:r w:rsidRPr="00376A53">
        <w:rPr>
          <w:szCs w:val="22"/>
        </w:rPr>
        <w:tab/>
        <w:t>Election of the Vice-Presidents of the Conference</w:t>
      </w:r>
    </w:p>
    <w:p w:rsidR="00D80804" w:rsidRPr="00376A53" w:rsidRDefault="00D80804" w:rsidP="00D80804">
      <w:pPr>
        <w:rPr>
          <w:szCs w:val="22"/>
        </w:rPr>
      </w:pPr>
    </w:p>
    <w:p w:rsidR="00D80804" w:rsidRPr="00376A53" w:rsidRDefault="00D80804" w:rsidP="00D80804">
      <w:pPr>
        <w:rPr>
          <w:szCs w:val="22"/>
        </w:rPr>
      </w:pPr>
      <w:r w:rsidRPr="00376A53">
        <w:rPr>
          <w:szCs w:val="22"/>
        </w:rPr>
        <w:t>6.</w:t>
      </w:r>
      <w:r w:rsidRPr="00376A53">
        <w:rPr>
          <w:szCs w:val="22"/>
        </w:rPr>
        <w:tab/>
        <w:t>Election of the members of the Credentials Committee</w:t>
      </w:r>
    </w:p>
    <w:p w:rsidR="00D80804" w:rsidRPr="00376A53" w:rsidRDefault="00D80804" w:rsidP="00D80804">
      <w:pPr>
        <w:rPr>
          <w:szCs w:val="22"/>
        </w:rPr>
      </w:pPr>
    </w:p>
    <w:p w:rsidR="00D80804" w:rsidRPr="00376A53" w:rsidRDefault="00D80804" w:rsidP="00D80804">
      <w:pPr>
        <w:spacing w:line="240" w:lineRule="atLeast"/>
        <w:rPr>
          <w:szCs w:val="22"/>
        </w:rPr>
      </w:pPr>
      <w:r w:rsidRPr="00376A53">
        <w:rPr>
          <w:szCs w:val="22"/>
        </w:rPr>
        <w:t>7.</w:t>
      </w:r>
      <w:r w:rsidRPr="00376A53">
        <w:rPr>
          <w:szCs w:val="22"/>
        </w:rPr>
        <w:tab/>
        <w:t>Election of the members of the Drafting Committee</w:t>
      </w:r>
    </w:p>
    <w:p w:rsidR="00D80804" w:rsidRPr="00376A53" w:rsidRDefault="00D80804" w:rsidP="00D80804">
      <w:pPr>
        <w:pStyle w:val="BodyTextIndent2"/>
        <w:spacing w:after="0" w:line="240" w:lineRule="atLeast"/>
        <w:ind w:firstLine="0"/>
        <w:rPr>
          <w:rFonts w:ascii="Arial" w:hAnsi="Arial" w:cs="Arial"/>
          <w:sz w:val="22"/>
          <w:szCs w:val="22"/>
        </w:rPr>
      </w:pPr>
    </w:p>
    <w:p w:rsidR="00D80804" w:rsidRDefault="00D80804" w:rsidP="00D80804">
      <w:pPr>
        <w:pStyle w:val="BodyTextIndent2"/>
        <w:tabs>
          <w:tab w:val="clear" w:pos="851"/>
          <w:tab w:val="right" w:pos="-3969"/>
        </w:tabs>
        <w:spacing w:after="0"/>
        <w:ind w:left="567" w:hanging="567"/>
        <w:rPr>
          <w:rFonts w:ascii="Arial" w:hAnsi="Arial" w:cs="Arial"/>
          <w:sz w:val="22"/>
          <w:szCs w:val="22"/>
        </w:rPr>
      </w:pPr>
      <w:r w:rsidRPr="00376A53">
        <w:rPr>
          <w:rFonts w:ascii="Arial" w:hAnsi="Arial" w:cs="Arial"/>
          <w:sz w:val="22"/>
          <w:szCs w:val="22"/>
        </w:rPr>
        <w:t>8.</w:t>
      </w:r>
      <w:r w:rsidRPr="00376A53">
        <w:rPr>
          <w:rFonts w:ascii="Arial" w:hAnsi="Arial" w:cs="Arial"/>
          <w:sz w:val="22"/>
          <w:szCs w:val="22"/>
        </w:rPr>
        <w:tab/>
        <w:t>Election of the Officers of the Credentials Committee, the Main Committees and Drafting Committee</w:t>
      </w:r>
    </w:p>
    <w:p w:rsidR="009811B5" w:rsidRPr="00376A53" w:rsidRDefault="009811B5" w:rsidP="00D80804">
      <w:pPr>
        <w:pStyle w:val="BodyTextIndent2"/>
        <w:tabs>
          <w:tab w:val="clear" w:pos="851"/>
          <w:tab w:val="right" w:pos="-3969"/>
        </w:tabs>
        <w:spacing w:after="0"/>
        <w:ind w:left="567" w:hanging="567"/>
        <w:rPr>
          <w:rFonts w:ascii="Arial" w:hAnsi="Arial" w:cs="Arial"/>
          <w:sz w:val="22"/>
          <w:szCs w:val="22"/>
        </w:rPr>
      </w:pPr>
    </w:p>
    <w:p w:rsidR="009811B5" w:rsidRPr="00376A53" w:rsidRDefault="009811B5" w:rsidP="009811B5">
      <w:pPr>
        <w:ind w:left="550" w:hanging="550"/>
        <w:rPr>
          <w:szCs w:val="22"/>
        </w:rPr>
      </w:pPr>
      <w:r>
        <w:rPr>
          <w:szCs w:val="22"/>
        </w:rPr>
        <w:t>9.</w:t>
      </w:r>
      <w:r w:rsidRPr="00376A53">
        <w:rPr>
          <w:szCs w:val="22"/>
        </w:rPr>
        <w:tab/>
        <w:t>Opening declarations by Delegations and by representatives of Observers</w:t>
      </w:r>
    </w:p>
    <w:p w:rsidR="00D80804" w:rsidRPr="00376A53" w:rsidRDefault="00D80804" w:rsidP="00D80804">
      <w:pPr>
        <w:rPr>
          <w:szCs w:val="22"/>
        </w:rPr>
      </w:pPr>
    </w:p>
    <w:p w:rsidR="00D80804" w:rsidRPr="00376A53" w:rsidRDefault="009811B5" w:rsidP="00D80804">
      <w:pPr>
        <w:rPr>
          <w:szCs w:val="22"/>
        </w:rPr>
      </w:pPr>
      <w:r>
        <w:rPr>
          <w:szCs w:val="22"/>
        </w:rPr>
        <w:t>10</w:t>
      </w:r>
      <w:r w:rsidR="00D80804" w:rsidRPr="00376A53">
        <w:rPr>
          <w:szCs w:val="22"/>
        </w:rPr>
        <w:t>.</w:t>
      </w:r>
      <w:r w:rsidR="00D80804" w:rsidRPr="00376A53">
        <w:rPr>
          <w:szCs w:val="22"/>
        </w:rPr>
        <w:tab/>
        <w:t>Consideration of the first report of the Credentials Committee</w:t>
      </w:r>
    </w:p>
    <w:p w:rsidR="00D80804" w:rsidRPr="00376A53" w:rsidRDefault="00D80804" w:rsidP="00D80804">
      <w:pPr>
        <w:rPr>
          <w:szCs w:val="22"/>
        </w:rPr>
      </w:pPr>
    </w:p>
    <w:p w:rsidR="00D80804" w:rsidRPr="00376A53" w:rsidRDefault="00D80804" w:rsidP="00D80804">
      <w:pPr>
        <w:rPr>
          <w:szCs w:val="22"/>
        </w:rPr>
      </w:pPr>
      <w:r w:rsidRPr="00376A53">
        <w:rPr>
          <w:szCs w:val="22"/>
        </w:rPr>
        <w:t>11.</w:t>
      </w:r>
      <w:r w:rsidRPr="00376A53">
        <w:rPr>
          <w:szCs w:val="22"/>
        </w:rPr>
        <w:tab/>
        <w:t>Consideration of the texts proposed by the Main Committees</w:t>
      </w:r>
    </w:p>
    <w:p w:rsidR="00D80804" w:rsidRPr="00376A53" w:rsidRDefault="00D80804" w:rsidP="00D80804">
      <w:pPr>
        <w:pStyle w:val="Footer"/>
        <w:rPr>
          <w:szCs w:val="22"/>
        </w:rPr>
      </w:pPr>
    </w:p>
    <w:p w:rsidR="00D80804" w:rsidRPr="00376A53" w:rsidRDefault="00D80804" w:rsidP="00D80804">
      <w:pPr>
        <w:rPr>
          <w:szCs w:val="22"/>
        </w:rPr>
      </w:pPr>
      <w:r w:rsidRPr="00376A53">
        <w:rPr>
          <w:szCs w:val="22"/>
        </w:rPr>
        <w:t>12.</w:t>
      </w:r>
      <w:r w:rsidRPr="00376A53">
        <w:rPr>
          <w:szCs w:val="22"/>
        </w:rPr>
        <w:tab/>
        <w:t>Consideration of the second report of the Credentials Committee</w:t>
      </w:r>
    </w:p>
    <w:p w:rsidR="00D80804" w:rsidRPr="00376A53" w:rsidRDefault="00D80804" w:rsidP="00D80804">
      <w:pPr>
        <w:rPr>
          <w:szCs w:val="22"/>
        </w:rPr>
      </w:pPr>
    </w:p>
    <w:p w:rsidR="00D80804" w:rsidRPr="00376A53" w:rsidRDefault="00D80804" w:rsidP="00D80804">
      <w:pPr>
        <w:rPr>
          <w:szCs w:val="22"/>
        </w:rPr>
      </w:pPr>
      <w:r w:rsidRPr="00376A53">
        <w:rPr>
          <w:szCs w:val="22"/>
        </w:rPr>
        <w:t>13.</w:t>
      </w:r>
      <w:r w:rsidRPr="00376A53">
        <w:rPr>
          <w:szCs w:val="22"/>
        </w:rPr>
        <w:tab/>
        <w:t>Adoption of the Treaty</w:t>
      </w:r>
      <w:r w:rsidR="007E3BFD">
        <w:rPr>
          <w:szCs w:val="22"/>
        </w:rPr>
        <w:t xml:space="preserve"> and the Regulations</w:t>
      </w:r>
    </w:p>
    <w:p w:rsidR="00D80804" w:rsidRPr="00376A53" w:rsidRDefault="00D80804" w:rsidP="00D80804">
      <w:pPr>
        <w:rPr>
          <w:szCs w:val="22"/>
        </w:rPr>
      </w:pPr>
    </w:p>
    <w:p w:rsidR="00D80804" w:rsidRPr="00376A53" w:rsidRDefault="00D80804" w:rsidP="00D80804">
      <w:pPr>
        <w:rPr>
          <w:szCs w:val="22"/>
        </w:rPr>
      </w:pPr>
      <w:r w:rsidRPr="00376A53">
        <w:rPr>
          <w:szCs w:val="22"/>
        </w:rPr>
        <w:t>14.</w:t>
      </w:r>
      <w:r w:rsidRPr="00376A53">
        <w:rPr>
          <w:szCs w:val="22"/>
        </w:rPr>
        <w:tab/>
        <w:t>Adoption of any recommendation, resolution, agreed statement or final act</w:t>
      </w:r>
    </w:p>
    <w:p w:rsidR="00D80804" w:rsidRPr="00376A53" w:rsidRDefault="00D80804" w:rsidP="00D80804">
      <w:pPr>
        <w:rPr>
          <w:szCs w:val="22"/>
        </w:rPr>
      </w:pPr>
    </w:p>
    <w:p w:rsidR="00D80804" w:rsidRPr="00376A53" w:rsidRDefault="00D80804" w:rsidP="00D80804">
      <w:pPr>
        <w:rPr>
          <w:szCs w:val="22"/>
        </w:rPr>
      </w:pPr>
      <w:r w:rsidRPr="00376A53">
        <w:rPr>
          <w:szCs w:val="22"/>
        </w:rPr>
        <w:t>15.</w:t>
      </w:r>
      <w:r w:rsidRPr="00376A53">
        <w:rPr>
          <w:szCs w:val="22"/>
        </w:rPr>
        <w:tab/>
        <w:t>Closing declarations by Delegations and by repr</w:t>
      </w:r>
      <w:r w:rsidR="007E3BFD">
        <w:rPr>
          <w:szCs w:val="22"/>
        </w:rPr>
        <w:t>esentatives of Observer</w:t>
      </w:r>
    </w:p>
    <w:p w:rsidR="00D80804" w:rsidRPr="00376A53" w:rsidRDefault="00D80804" w:rsidP="00D80804">
      <w:pPr>
        <w:rPr>
          <w:szCs w:val="22"/>
        </w:rPr>
      </w:pPr>
    </w:p>
    <w:p w:rsidR="00D80804" w:rsidRPr="00376A53" w:rsidRDefault="00D80804" w:rsidP="00D80804">
      <w:pPr>
        <w:numPr>
          <w:ilvl w:val="0"/>
          <w:numId w:val="7"/>
        </w:numPr>
        <w:tabs>
          <w:tab w:val="clear" w:pos="930"/>
          <w:tab w:val="num" w:pos="567"/>
        </w:tabs>
        <w:spacing w:after="120" w:line="260" w:lineRule="atLeast"/>
        <w:ind w:hanging="930"/>
        <w:contextualSpacing/>
        <w:rPr>
          <w:szCs w:val="22"/>
        </w:rPr>
      </w:pPr>
      <w:r w:rsidRPr="00376A53">
        <w:rPr>
          <w:szCs w:val="22"/>
        </w:rPr>
        <w:t>Closing of the Conference by the President</w:t>
      </w:r>
      <w:r w:rsidRPr="00376A53">
        <w:rPr>
          <w:rStyle w:val="FootnoteReference"/>
          <w:szCs w:val="22"/>
        </w:rPr>
        <w:footnoteReference w:customMarkFollows="1" w:id="2"/>
        <w:sym w:font="Symbol" w:char="F02A"/>
      </w:r>
    </w:p>
    <w:p w:rsidR="00D80804" w:rsidRDefault="00D80804" w:rsidP="00D80804">
      <w:pPr>
        <w:rPr>
          <w:szCs w:val="22"/>
        </w:rPr>
      </w:pPr>
    </w:p>
    <w:p w:rsidR="00D80804" w:rsidRDefault="00D80804" w:rsidP="00D80804">
      <w:pPr>
        <w:rPr>
          <w:szCs w:val="22"/>
        </w:rPr>
      </w:pPr>
    </w:p>
    <w:p w:rsidR="00D80804" w:rsidRPr="0078200F" w:rsidRDefault="00D80804" w:rsidP="00D80804">
      <w:pPr>
        <w:rPr>
          <w:szCs w:val="22"/>
        </w:rPr>
      </w:pPr>
    </w:p>
    <w:p w:rsidR="00D80804" w:rsidRPr="00B13265" w:rsidRDefault="00D80804" w:rsidP="00D80804">
      <w:pPr>
        <w:pStyle w:val="EndofDocument"/>
        <w:ind w:left="5529"/>
        <w:jc w:val="left"/>
        <w:rPr>
          <w:rFonts w:ascii="Arial" w:hAnsi="Arial" w:cs="Arial"/>
          <w:sz w:val="22"/>
          <w:szCs w:val="22"/>
        </w:rPr>
      </w:pPr>
      <w:r>
        <w:rPr>
          <w:rFonts w:ascii="Arial" w:hAnsi="Arial" w:cs="Arial"/>
          <w:sz w:val="22"/>
          <w:szCs w:val="22"/>
        </w:rPr>
        <w:t>[End of A</w:t>
      </w:r>
      <w:r w:rsidRPr="00B13265">
        <w:rPr>
          <w:rFonts w:ascii="Arial" w:hAnsi="Arial" w:cs="Arial"/>
          <w:sz w:val="22"/>
          <w:szCs w:val="22"/>
        </w:rPr>
        <w:t>nnex and of document]</w:t>
      </w:r>
    </w:p>
    <w:p w:rsidR="002928D3" w:rsidRDefault="002928D3"/>
    <w:sectPr w:rsidR="002928D3" w:rsidSect="00D8080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90" w:rsidRDefault="00743B90">
      <w:r>
        <w:separator/>
      </w:r>
    </w:p>
  </w:endnote>
  <w:endnote w:type="continuationSeparator" w:id="0">
    <w:p w:rsidR="00743B90" w:rsidRDefault="00743B90" w:rsidP="003B38C1">
      <w:r>
        <w:separator/>
      </w:r>
    </w:p>
    <w:p w:rsidR="00743B90" w:rsidRPr="003B38C1" w:rsidRDefault="00743B90" w:rsidP="003B38C1">
      <w:pPr>
        <w:spacing w:after="60"/>
        <w:rPr>
          <w:sz w:val="17"/>
        </w:rPr>
      </w:pPr>
      <w:r>
        <w:rPr>
          <w:sz w:val="17"/>
        </w:rPr>
        <w:t>[Endnote continued from previous page]</w:t>
      </w:r>
    </w:p>
  </w:endnote>
  <w:endnote w:type="continuationNotice" w:id="1">
    <w:p w:rsidR="00743B90" w:rsidRPr="003B38C1" w:rsidRDefault="00743B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90" w:rsidRDefault="00743B90">
      <w:r>
        <w:separator/>
      </w:r>
    </w:p>
  </w:footnote>
  <w:footnote w:type="continuationSeparator" w:id="0">
    <w:p w:rsidR="00743B90" w:rsidRDefault="00743B90" w:rsidP="008B60B2">
      <w:r>
        <w:separator/>
      </w:r>
    </w:p>
    <w:p w:rsidR="00743B90" w:rsidRPr="00ED77FB" w:rsidRDefault="00743B90" w:rsidP="008B60B2">
      <w:pPr>
        <w:spacing w:after="60"/>
        <w:rPr>
          <w:sz w:val="17"/>
          <w:szCs w:val="17"/>
        </w:rPr>
      </w:pPr>
      <w:r w:rsidRPr="00ED77FB">
        <w:rPr>
          <w:sz w:val="17"/>
          <w:szCs w:val="17"/>
        </w:rPr>
        <w:t>[Footnote continued from previous page]</w:t>
      </w:r>
    </w:p>
  </w:footnote>
  <w:footnote w:type="continuationNotice" w:id="1">
    <w:p w:rsidR="00743B90" w:rsidRPr="00ED77FB" w:rsidRDefault="00743B90" w:rsidP="008B60B2">
      <w:pPr>
        <w:spacing w:before="60"/>
        <w:jc w:val="right"/>
        <w:rPr>
          <w:sz w:val="17"/>
          <w:szCs w:val="17"/>
        </w:rPr>
      </w:pPr>
      <w:r w:rsidRPr="00ED77FB">
        <w:rPr>
          <w:sz w:val="17"/>
          <w:szCs w:val="17"/>
        </w:rPr>
        <w:t>[Footnote continued on next page]</w:t>
      </w:r>
    </w:p>
  </w:footnote>
  <w:footnote w:id="2">
    <w:p w:rsidR="00A855D0" w:rsidRPr="00B13265" w:rsidRDefault="00A855D0" w:rsidP="00D80804">
      <w:pPr>
        <w:pStyle w:val="FootnoteText"/>
        <w:rPr>
          <w:sz w:val="16"/>
          <w:szCs w:val="16"/>
        </w:rPr>
      </w:pPr>
      <w:r w:rsidRPr="00B13265">
        <w:rPr>
          <w:rStyle w:val="FootnoteReference"/>
          <w:sz w:val="16"/>
          <w:szCs w:val="16"/>
        </w:rPr>
        <w:sym w:font="Symbol" w:char="F02A"/>
      </w:r>
      <w:r w:rsidRPr="00B13265">
        <w:rPr>
          <w:sz w:val="16"/>
          <w:szCs w:val="16"/>
        </w:rPr>
        <w:tab/>
        <w:t>Immediately after the closing of the Conference, the Final Act, if any, and the Instrument will be open for signature.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B9" w:rsidRDefault="00B83EB9">
    <w:pPr>
      <w:pStyle w:val="Header"/>
      <w:jc w:val="right"/>
    </w:pPr>
    <w:proofErr w:type="gramStart"/>
    <w:r>
      <w:t>page</w:t>
    </w:r>
    <w:proofErr w:type="gramEnd"/>
    <w:r>
      <w:t xml:space="preserve"> </w:t>
    </w:r>
    <w:sdt>
      <w:sdtPr>
        <w:id w:val="-2992976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A1C7F">
          <w:rPr>
            <w:noProof/>
          </w:rPr>
          <w:t>4</w:t>
        </w:r>
        <w:r>
          <w:rPr>
            <w:noProof/>
          </w:rPr>
          <w:fldChar w:fldCharType="end"/>
        </w:r>
      </w:sdtContent>
    </w:sdt>
  </w:p>
  <w:p w:rsidR="00A855D0" w:rsidRDefault="00A855D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545"/>
    <w:rsid w:val="000427AA"/>
    <w:rsid w:val="00043CAA"/>
    <w:rsid w:val="00044D3A"/>
    <w:rsid w:val="00052D73"/>
    <w:rsid w:val="00075432"/>
    <w:rsid w:val="000968ED"/>
    <w:rsid w:val="000E0006"/>
    <w:rsid w:val="000F5E56"/>
    <w:rsid w:val="001362EE"/>
    <w:rsid w:val="00142E13"/>
    <w:rsid w:val="001611C4"/>
    <w:rsid w:val="00176873"/>
    <w:rsid w:val="00182A73"/>
    <w:rsid w:val="001832A6"/>
    <w:rsid w:val="001A3CEA"/>
    <w:rsid w:val="001F24A3"/>
    <w:rsid w:val="00227FD1"/>
    <w:rsid w:val="002373F6"/>
    <w:rsid w:val="00257F93"/>
    <w:rsid w:val="002605EA"/>
    <w:rsid w:val="002634C4"/>
    <w:rsid w:val="0026782B"/>
    <w:rsid w:val="00270AB6"/>
    <w:rsid w:val="002928D3"/>
    <w:rsid w:val="00292BC3"/>
    <w:rsid w:val="00295309"/>
    <w:rsid w:val="002F1FE6"/>
    <w:rsid w:val="002F4E68"/>
    <w:rsid w:val="00312F7F"/>
    <w:rsid w:val="00321844"/>
    <w:rsid w:val="00323054"/>
    <w:rsid w:val="0032594C"/>
    <w:rsid w:val="00361450"/>
    <w:rsid w:val="0036159D"/>
    <w:rsid w:val="003673CF"/>
    <w:rsid w:val="003845C1"/>
    <w:rsid w:val="00396B7D"/>
    <w:rsid w:val="003A6F89"/>
    <w:rsid w:val="003B227C"/>
    <w:rsid w:val="003B38C1"/>
    <w:rsid w:val="003F4B4B"/>
    <w:rsid w:val="00417687"/>
    <w:rsid w:val="00423E3E"/>
    <w:rsid w:val="00427AF4"/>
    <w:rsid w:val="004647DA"/>
    <w:rsid w:val="00474062"/>
    <w:rsid w:val="004770D3"/>
    <w:rsid w:val="00477D6B"/>
    <w:rsid w:val="004F3165"/>
    <w:rsid w:val="005019FF"/>
    <w:rsid w:val="005119CE"/>
    <w:rsid w:val="00514E5A"/>
    <w:rsid w:val="00522859"/>
    <w:rsid w:val="0053057A"/>
    <w:rsid w:val="0053319E"/>
    <w:rsid w:val="00560A29"/>
    <w:rsid w:val="00571E3C"/>
    <w:rsid w:val="00572893"/>
    <w:rsid w:val="00586DFB"/>
    <w:rsid w:val="005A4F1F"/>
    <w:rsid w:val="005B32D2"/>
    <w:rsid w:val="005B612A"/>
    <w:rsid w:val="005C21C3"/>
    <w:rsid w:val="005C6649"/>
    <w:rsid w:val="005D4544"/>
    <w:rsid w:val="00605827"/>
    <w:rsid w:val="00646050"/>
    <w:rsid w:val="00664080"/>
    <w:rsid w:val="006713CA"/>
    <w:rsid w:val="00676C5C"/>
    <w:rsid w:val="006F449C"/>
    <w:rsid w:val="007003CD"/>
    <w:rsid w:val="00743B90"/>
    <w:rsid w:val="00755DFB"/>
    <w:rsid w:val="007B34C5"/>
    <w:rsid w:val="007B3974"/>
    <w:rsid w:val="007C1416"/>
    <w:rsid w:val="007C5090"/>
    <w:rsid w:val="007D1613"/>
    <w:rsid w:val="007D5941"/>
    <w:rsid w:val="007E3BFD"/>
    <w:rsid w:val="007F267D"/>
    <w:rsid w:val="00806210"/>
    <w:rsid w:val="00822AE8"/>
    <w:rsid w:val="00827AA6"/>
    <w:rsid w:val="008377C4"/>
    <w:rsid w:val="00844CB0"/>
    <w:rsid w:val="00866E78"/>
    <w:rsid w:val="008743A9"/>
    <w:rsid w:val="00877EAE"/>
    <w:rsid w:val="008858A3"/>
    <w:rsid w:val="008919A6"/>
    <w:rsid w:val="008A543C"/>
    <w:rsid w:val="008A7B58"/>
    <w:rsid w:val="008B2CC1"/>
    <w:rsid w:val="008B60B2"/>
    <w:rsid w:val="008F2F6B"/>
    <w:rsid w:val="0090731E"/>
    <w:rsid w:val="009127AF"/>
    <w:rsid w:val="00914AD2"/>
    <w:rsid w:val="00916EE2"/>
    <w:rsid w:val="00921345"/>
    <w:rsid w:val="009279D1"/>
    <w:rsid w:val="00933CD0"/>
    <w:rsid w:val="00936760"/>
    <w:rsid w:val="00954C9D"/>
    <w:rsid w:val="00966A22"/>
    <w:rsid w:val="0096722F"/>
    <w:rsid w:val="00973D16"/>
    <w:rsid w:val="00980843"/>
    <w:rsid w:val="009811B5"/>
    <w:rsid w:val="009904CD"/>
    <w:rsid w:val="00991C78"/>
    <w:rsid w:val="009A0AD8"/>
    <w:rsid w:val="009D4820"/>
    <w:rsid w:val="009D4BE0"/>
    <w:rsid w:val="009E2791"/>
    <w:rsid w:val="009E3F6F"/>
    <w:rsid w:val="009E6E24"/>
    <w:rsid w:val="009F499F"/>
    <w:rsid w:val="009F4DFA"/>
    <w:rsid w:val="00A05207"/>
    <w:rsid w:val="00A42DAF"/>
    <w:rsid w:val="00A45BD8"/>
    <w:rsid w:val="00A71BD3"/>
    <w:rsid w:val="00A823B7"/>
    <w:rsid w:val="00A84BDF"/>
    <w:rsid w:val="00A855D0"/>
    <w:rsid w:val="00A869B7"/>
    <w:rsid w:val="00A91436"/>
    <w:rsid w:val="00AB1821"/>
    <w:rsid w:val="00AC205C"/>
    <w:rsid w:val="00AE295B"/>
    <w:rsid w:val="00AE6DAE"/>
    <w:rsid w:val="00AF0A6B"/>
    <w:rsid w:val="00B05A69"/>
    <w:rsid w:val="00B22CBA"/>
    <w:rsid w:val="00B35C30"/>
    <w:rsid w:val="00B452F1"/>
    <w:rsid w:val="00B506B8"/>
    <w:rsid w:val="00B83EB9"/>
    <w:rsid w:val="00B8567C"/>
    <w:rsid w:val="00B9734B"/>
    <w:rsid w:val="00BC2DFD"/>
    <w:rsid w:val="00BE7BB9"/>
    <w:rsid w:val="00BF25D8"/>
    <w:rsid w:val="00BF7223"/>
    <w:rsid w:val="00C11BFE"/>
    <w:rsid w:val="00C141D6"/>
    <w:rsid w:val="00C817FE"/>
    <w:rsid w:val="00CA3D18"/>
    <w:rsid w:val="00CC654C"/>
    <w:rsid w:val="00CF3BDB"/>
    <w:rsid w:val="00D0216C"/>
    <w:rsid w:val="00D14A0E"/>
    <w:rsid w:val="00D42243"/>
    <w:rsid w:val="00D45252"/>
    <w:rsid w:val="00D65B0F"/>
    <w:rsid w:val="00D71B4D"/>
    <w:rsid w:val="00D7385E"/>
    <w:rsid w:val="00D75572"/>
    <w:rsid w:val="00D80804"/>
    <w:rsid w:val="00D93D55"/>
    <w:rsid w:val="00DA1658"/>
    <w:rsid w:val="00DA29DA"/>
    <w:rsid w:val="00DB6B9A"/>
    <w:rsid w:val="00DD0F26"/>
    <w:rsid w:val="00DE520E"/>
    <w:rsid w:val="00DF1AA2"/>
    <w:rsid w:val="00E3343F"/>
    <w:rsid w:val="00E335FE"/>
    <w:rsid w:val="00E3711F"/>
    <w:rsid w:val="00E553CA"/>
    <w:rsid w:val="00E71E13"/>
    <w:rsid w:val="00EB28D3"/>
    <w:rsid w:val="00EC4E49"/>
    <w:rsid w:val="00ED77FB"/>
    <w:rsid w:val="00EE3C70"/>
    <w:rsid w:val="00EE45FA"/>
    <w:rsid w:val="00F00300"/>
    <w:rsid w:val="00F03797"/>
    <w:rsid w:val="00F571A2"/>
    <w:rsid w:val="00F6537A"/>
    <w:rsid w:val="00F66152"/>
    <w:rsid w:val="00F877D6"/>
    <w:rsid w:val="00FA1C7F"/>
    <w:rsid w:val="00FF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D80804"/>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B83EB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D80804"/>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B83EB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66E8-8521-4F77-8AAF-315DCAE6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740</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WIPO/IS/VIP-PPD/GE/12/</vt:lpstr>
    </vt:vector>
  </TitlesOfParts>
  <Company>WIPO</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WIPO/IS/VIP-PPD/GE/12/</dc:title>
  <dc:creator>Haizel</dc:creator>
  <cp:lastModifiedBy>VINCENT Anouck</cp:lastModifiedBy>
  <cp:revision>5</cp:revision>
  <cp:lastPrinted>2014-09-29T09:53:00Z</cp:lastPrinted>
  <dcterms:created xsi:type="dcterms:W3CDTF">2014-09-29T09:52:00Z</dcterms:created>
  <dcterms:modified xsi:type="dcterms:W3CDTF">2014-09-29T15:19:00Z</dcterms:modified>
</cp:coreProperties>
</file>