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2F3C4" w14:textId="77777777" w:rsidR="008B2CC1" w:rsidRPr="008B2CC1" w:rsidRDefault="00873EE5" w:rsidP="00F11D94">
      <w:pPr>
        <w:spacing w:after="120"/>
        <w:jc w:val="right"/>
      </w:pPr>
      <w:r>
        <w:rPr>
          <w:noProof/>
          <w:sz w:val="28"/>
          <w:szCs w:val="28"/>
          <w:lang w:eastAsia="en-US"/>
        </w:rPr>
        <w:drawing>
          <wp:inline distT="0" distB="0" distL="0" distR="0" wp14:anchorId="224E58CA" wp14:editId="32B0F89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A3D0C46" wp14:editId="230CB05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9B1FD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56E710E" w14:textId="7496EB6B" w:rsidR="008B2CC1" w:rsidRPr="001024FE" w:rsidRDefault="004732D3" w:rsidP="002066C3">
      <w:pPr>
        <w:jc w:val="right"/>
        <w:rPr>
          <w:rFonts w:ascii="Arial Black" w:hAnsi="Arial Black"/>
          <w:caps/>
          <w:sz w:val="15"/>
          <w:szCs w:val="15"/>
        </w:rPr>
      </w:pPr>
      <w:r w:rsidRPr="004732D3">
        <w:rPr>
          <w:rFonts w:ascii="Arial Black" w:hAnsi="Arial Black"/>
          <w:caps/>
          <w:sz w:val="15"/>
          <w:szCs w:val="15"/>
        </w:rPr>
        <w:t>CDIP/29/</w:t>
      </w:r>
      <w:bookmarkStart w:id="0" w:name="Code"/>
      <w:r w:rsidR="002066C3">
        <w:rPr>
          <w:rFonts w:ascii="Arial Black" w:hAnsi="Arial Black"/>
          <w:caps/>
          <w:sz w:val="15"/>
          <w:szCs w:val="15"/>
        </w:rPr>
        <w:t>8</w:t>
      </w:r>
      <w:r w:rsidR="00565706">
        <w:rPr>
          <w:rFonts w:ascii="Arial Black" w:hAnsi="Arial Black"/>
          <w:caps/>
          <w:sz w:val="15"/>
          <w:szCs w:val="15"/>
        </w:rPr>
        <w:t xml:space="preserve"> rev.</w:t>
      </w:r>
      <w:r w:rsidR="00CE65D4" w:rsidRPr="001024FE">
        <w:rPr>
          <w:rFonts w:ascii="Arial Black" w:hAnsi="Arial Black"/>
          <w:caps/>
          <w:sz w:val="15"/>
          <w:szCs w:val="15"/>
        </w:rPr>
        <w:t xml:space="preserve"> </w:t>
      </w:r>
    </w:p>
    <w:bookmarkEnd w:id="0"/>
    <w:p w14:paraId="28F41189" w14:textId="663C05B6"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84015">
        <w:rPr>
          <w:rFonts w:ascii="Arial Black" w:hAnsi="Arial Black"/>
          <w:caps/>
          <w:sz w:val="15"/>
          <w:szCs w:val="15"/>
        </w:rPr>
        <w:t xml:space="preserve">english </w:t>
      </w:r>
      <w:r w:rsidRPr="00CE65D4">
        <w:rPr>
          <w:rFonts w:ascii="Arial Black" w:hAnsi="Arial Black"/>
          <w:caps/>
          <w:sz w:val="15"/>
          <w:szCs w:val="15"/>
        </w:rPr>
        <w:t xml:space="preserve"> </w:t>
      </w:r>
    </w:p>
    <w:bookmarkEnd w:id="1"/>
    <w:p w14:paraId="36517A87" w14:textId="6D7C6220" w:rsidR="008B2CC1" w:rsidRPr="00CE65D4" w:rsidRDefault="00CE65D4" w:rsidP="003B504F">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65706">
        <w:rPr>
          <w:rFonts w:ascii="Arial Black" w:hAnsi="Arial Black"/>
          <w:caps/>
          <w:sz w:val="15"/>
          <w:szCs w:val="15"/>
        </w:rPr>
        <w:t>october 21</w:t>
      </w:r>
      <w:r w:rsidR="00484015">
        <w:rPr>
          <w:rFonts w:ascii="Arial Black" w:hAnsi="Arial Black"/>
          <w:caps/>
          <w:sz w:val="15"/>
          <w:szCs w:val="15"/>
        </w:rPr>
        <w:t>, 2022</w:t>
      </w:r>
      <w:r w:rsidRPr="00CE65D4">
        <w:rPr>
          <w:rFonts w:ascii="Arial Black" w:hAnsi="Arial Black"/>
          <w:caps/>
          <w:sz w:val="15"/>
          <w:szCs w:val="15"/>
        </w:rPr>
        <w:t xml:space="preserve"> </w:t>
      </w:r>
    </w:p>
    <w:bookmarkEnd w:id="2"/>
    <w:p w14:paraId="02562983" w14:textId="77777777" w:rsidR="006626A7" w:rsidRPr="00720EFD" w:rsidRDefault="006626A7" w:rsidP="00007362">
      <w:pPr>
        <w:pStyle w:val="Heading1"/>
        <w:spacing w:before="0" w:after="600"/>
        <w:rPr>
          <w:sz w:val="28"/>
          <w:szCs w:val="28"/>
        </w:rPr>
      </w:pPr>
      <w:r w:rsidRPr="00446147">
        <w:rPr>
          <w:bCs w:val="0"/>
          <w:caps w:val="0"/>
          <w:kern w:val="0"/>
          <w:sz w:val="28"/>
          <w:szCs w:val="28"/>
        </w:rPr>
        <w:t>Committee on Development and Intellectual Property (CDIP)</w:t>
      </w:r>
    </w:p>
    <w:p w14:paraId="5F3D06EC" w14:textId="77777777" w:rsidR="006626A7" w:rsidRPr="003845C1" w:rsidRDefault="006626A7" w:rsidP="006626A7">
      <w:pPr>
        <w:spacing w:after="720"/>
        <w:outlineLvl w:val="1"/>
        <w:rPr>
          <w:b/>
          <w:sz w:val="24"/>
          <w:szCs w:val="24"/>
        </w:rPr>
      </w:pPr>
      <w:r>
        <w:rPr>
          <w:b/>
          <w:sz w:val="24"/>
          <w:szCs w:val="24"/>
        </w:rPr>
        <w:t xml:space="preserve">Twenty-Ninth </w:t>
      </w:r>
      <w:r w:rsidRPr="003845C1">
        <w:rPr>
          <w:b/>
          <w:sz w:val="24"/>
          <w:szCs w:val="24"/>
        </w:rPr>
        <w:t>Session</w:t>
      </w:r>
      <w:r>
        <w:rPr>
          <w:b/>
          <w:sz w:val="24"/>
          <w:szCs w:val="24"/>
        </w:rPr>
        <w:br/>
        <w:t xml:space="preserve">Geneva, </w:t>
      </w:r>
      <w:r>
        <w:rPr>
          <w:b/>
          <w:bCs/>
          <w:sz w:val="24"/>
          <w:szCs w:val="24"/>
        </w:rPr>
        <w:t>October 17 to 21, 2022</w:t>
      </w:r>
    </w:p>
    <w:p w14:paraId="5215678B" w14:textId="0A9EB7CE" w:rsidR="000463E8" w:rsidRPr="000463E8" w:rsidRDefault="000463E8" w:rsidP="000463E8">
      <w:pPr>
        <w:spacing w:after="360"/>
        <w:rPr>
          <w:caps/>
          <w:sz w:val="24"/>
        </w:rPr>
      </w:pPr>
      <w:bookmarkStart w:id="3" w:name="TitleOfDoc"/>
      <w:r w:rsidRPr="000463E8">
        <w:rPr>
          <w:caps/>
          <w:sz w:val="24"/>
        </w:rPr>
        <w:t>Enhancing the Us</w:t>
      </w:r>
      <w:r w:rsidR="003B504F">
        <w:rPr>
          <w:caps/>
          <w:sz w:val="24"/>
        </w:rPr>
        <w:t xml:space="preserve">e of Intellectual Property </w:t>
      </w:r>
      <w:r w:rsidRPr="000463E8">
        <w:rPr>
          <w:caps/>
          <w:sz w:val="24"/>
        </w:rPr>
        <w:t>for Mobile App</w:t>
      </w:r>
      <w:r w:rsidR="00CA201F">
        <w:rPr>
          <w:caps/>
          <w:sz w:val="24"/>
        </w:rPr>
        <w:t>lication</w:t>
      </w:r>
      <w:r w:rsidRPr="000463E8">
        <w:rPr>
          <w:caps/>
          <w:sz w:val="24"/>
        </w:rPr>
        <w:t xml:space="preserve">s in the Software Sector – </w:t>
      </w:r>
      <w:r w:rsidR="00565706">
        <w:rPr>
          <w:caps/>
          <w:sz w:val="24"/>
        </w:rPr>
        <w:t xml:space="preserve">revised </w:t>
      </w:r>
      <w:r w:rsidRPr="000463E8">
        <w:rPr>
          <w:caps/>
          <w:sz w:val="24"/>
        </w:rPr>
        <w:t xml:space="preserve">Proposal for a Phase II </w:t>
      </w:r>
    </w:p>
    <w:p w14:paraId="38D7EA64" w14:textId="53CF14C4" w:rsidR="00EC5F68" w:rsidRPr="007A6952" w:rsidRDefault="00EC5F68" w:rsidP="00EC5F68">
      <w:pPr>
        <w:spacing w:after="960"/>
        <w:rPr>
          <w:i/>
        </w:rPr>
      </w:pPr>
      <w:bookmarkStart w:id="4" w:name="Prepared"/>
      <w:bookmarkEnd w:id="3"/>
      <w:proofErr w:type="gramStart"/>
      <w:r>
        <w:rPr>
          <w:i/>
        </w:rPr>
        <w:t>p</w:t>
      </w:r>
      <w:r w:rsidRPr="007A6952">
        <w:rPr>
          <w:i/>
        </w:rPr>
        <w:t>repared</w:t>
      </w:r>
      <w:proofErr w:type="gramEnd"/>
      <w:r w:rsidRPr="007A6952">
        <w:rPr>
          <w:i/>
        </w:rPr>
        <w:t xml:space="preserve"> by the Secretariat</w:t>
      </w:r>
    </w:p>
    <w:p w14:paraId="5FB9DBC3" w14:textId="45716783" w:rsidR="00364508" w:rsidRDefault="00364508" w:rsidP="002976C8">
      <w:pPr>
        <w:autoSpaceDE w:val="0"/>
        <w:autoSpaceDN w:val="0"/>
        <w:adjustRightInd w:val="0"/>
        <w:spacing w:after="240"/>
        <w:rPr>
          <w:rFonts w:eastAsia="Batang"/>
          <w:color w:val="000000"/>
          <w:szCs w:val="22"/>
          <w:lang w:eastAsia="ko-KR"/>
        </w:rPr>
      </w:pPr>
      <w:r w:rsidRPr="00364508">
        <w:rPr>
          <w:rFonts w:eastAsia="Batang"/>
          <w:color w:val="000000"/>
          <w:szCs w:val="22"/>
          <w:lang w:eastAsia="ko-KR"/>
        </w:rPr>
        <w:fldChar w:fldCharType="begin"/>
      </w:r>
      <w:r w:rsidRPr="00364508">
        <w:rPr>
          <w:rFonts w:eastAsia="Batang"/>
          <w:color w:val="000000"/>
          <w:szCs w:val="22"/>
          <w:lang w:eastAsia="ko-KR"/>
        </w:rPr>
        <w:instrText xml:space="preserve"> AUTONUM  </w:instrText>
      </w:r>
      <w:r w:rsidRPr="00364508">
        <w:rPr>
          <w:rFonts w:eastAsia="Batang"/>
          <w:color w:val="000000"/>
          <w:szCs w:val="22"/>
          <w:lang w:eastAsia="ko-KR"/>
        </w:rPr>
        <w:fldChar w:fldCharType="end"/>
      </w:r>
      <w:r w:rsidRPr="00364508">
        <w:rPr>
          <w:rFonts w:eastAsia="Batang"/>
          <w:color w:val="000000"/>
          <w:szCs w:val="22"/>
          <w:lang w:eastAsia="ko-KR"/>
        </w:rPr>
        <w:t xml:space="preserve"> </w:t>
      </w:r>
      <w:r w:rsidRPr="00364508">
        <w:rPr>
          <w:rFonts w:eastAsia="Batang"/>
          <w:color w:val="000000"/>
          <w:szCs w:val="22"/>
          <w:lang w:eastAsia="ko-KR"/>
        </w:rPr>
        <w:tab/>
        <w:t>The</w:t>
      </w:r>
      <w:r w:rsidR="000463E8">
        <w:rPr>
          <w:rFonts w:eastAsia="Batang"/>
          <w:color w:val="000000"/>
          <w:szCs w:val="22"/>
          <w:lang w:eastAsia="ko-KR"/>
        </w:rPr>
        <w:t xml:space="preserve"> </w:t>
      </w:r>
      <w:r w:rsidR="000463E8">
        <w:t xml:space="preserve">Committee on Development and Intellectual Property (CDIP), at its twenty-eighth session, while considering the </w:t>
      </w:r>
      <w:r w:rsidR="000463E8" w:rsidRPr="006974F8">
        <w:t>Evaluation Report of the Project on Enhancing the Use of Intellectual Property</w:t>
      </w:r>
      <w:r w:rsidR="00F27143">
        <w:t xml:space="preserve"> (IP)</w:t>
      </w:r>
      <w:r w:rsidR="000463E8" w:rsidRPr="006974F8">
        <w:t xml:space="preserve"> for Mobile Applications in the Software Sector, contained in document CDIP/28/6</w:t>
      </w:r>
      <w:r w:rsidR="000463E8">
        <w:t>,</w:t>
      </w:r>
      <w:r w:rsidR="000463E8" w:rsidRPr="006974F8">
        <w:t xml:space="preserve"> </w:t>
      </w:r>
      <w:r w:rsidR="000463E8">
        <w:t xml:space="preserve">requested, </w:t>
      </w:r>
      <w:r w:rsidR="000463E8" w:rsidRPr="00F27143">
        <w:rPr>
          <w:i/>
          <w:iCs/>
        </w:rPr>
        <w:t>inter alia</w:t>
      </w:r>
      <w:r w:rsidR="000463E8">
        <w:t xml:space="preserve">, to </w:t>
      </w:r>
      <w:r w:rsidR="0087776D">
        <w:t>“</w:t>
      </w:r>
      <w:r w:rsidR="000463E8" w:rsidRPr="006974F8">
        <w:t>receive a follow-up document on further activities to be undertaken by the Secretariat in this</w:t>
      </w:r>
      <w:r w:rsidR="000463E8">
        <w:t xml:space="preserve"> area</w:t>
      </w:r>
      <w:r w:rsidR="0087776D">
        <w:t>”</w:t>
      </w:r>
      <w:r w:rsidR="007015E6">
        <w:t xml:space="preserve"> (para 4.3, Summary by the Chair, CDIP/28)</w:t>
      </w:r>
      <w:r w:rsidRPr="00364508">
        <w:rPr>
          <w:rFonts w:eastAsia="Batang"/>
          <w:color w:val="000000"/>
          <w:szCs w:val="22"/>
          <w:lang w:eastAsia="ko-KR"/>
        </w:rPr>
        <w:t xml:space="preserve">. </w:t>
      </w:r>
      <w:r w:rsidR="007015E6">
        <w:rPr>
          <w:rFonts w:eastAsia="Batang"/>
          <w:color w:val="000000"/>
          <w:szCs w:val="22"/>
          <w:lang w:eastAsia="ko-KR"/>
        </w:rPr>
        <w:t xml:space="preserve"> </w:t>
      </w:r>
      <w:r w:rsidR="00BF71AA">
        <w:rPr>
          <w:rFonts w:eastAsia="Batang"/>
          <w:color w:val="000000"/>
          <w:szCs w:val="22"/>
          <w:lang w:eastAsia="ko-KR"/>
        </w:rPr>
        <w:t xml:space="preserve">Document CDIP/29/8 </w:t>
      </w:r>
      <w:r w:rsidR="00BF71AA" w:rsidRPr="00BF71AA">
        <w:rPr>
          <w:rFonts w:eastAsia="Batang"/>
          <w:color w:val="000000"/>
          <w:szCs w:val="22"/>
          <w:lang w:eastAsia="ko-KR"/>
        </w:rPr>
        <w:t>contains a proposal for a Phase II of the project on Enhancing the Use of IP for Mobile Applications in the Software Sector.</w:t>
      </w:r>
    </w:p>
    <w:p w14:paraId="4764151D" w14:textId="4196DA8E" w:rsidR="00BF71AA" w:rsidRDefault="000463E8" w:rsidP="002976C8">
      <w:pPr>
        <w:autoSpaceDE w:val="0"/>
        <w:autoSpaceDN w:val="0"/>
        <w:adjustRightInd w:val="0"/>
        <w:spacing w:after="240"/>
        <w:rPr>
          <w:rFonts w:eastAsia="Batang"/>
          <w:color w:val="000000"/>
          <w:szCs w:val="22"/>
          <w:lang w:eastAsia="ko-KR"/>
        </w:rPr>
      </w:pPr>
      <w:r>
        <w:rPr>
          <w:rFonts w:eastAsia="Batang"/>
          <w:color w:val="000000"/>
          <w:szCs w:val="22"/>
          <w:lang w:eastAsia="ko-KR"/>
        </w:rPr>
        <w:fldChar w:fldCharType="begin"/>
      </w:r>
      <w:r>
        <w:rPr>
          <w:rFonts w:eastAsia="Batang"/>
          <w:color w:val="000000"/>
          <w:szCs w:val="22"/>
          <w:lang w:eastAsia="ko-KR"/>
        </w:rPr>
        <w:instrText xml:space="preserve"> AUTONUM  </w:instrText>
      </w:r>
      <w:r>
        <w:rPr>
          <w:rFonts w:eastAsia="Batang"/>
          <w:color w:val="000000"/>
          <w:szCs w:val="22"/>
          <w:lang w:eastAsia="ko-KR"/>
        </w:rPr>
        <w:fldChar w:fldCharType="end"/>
      </w:r>
      <w:r>
        <w:rPr>
          <w:rFonts w:eastAsia="Batang"/>
          <w:color w:val="000000"/>
          <w:szCs w:val="22"/>
          <w:lang w:eastAsia="ko-KR"/>
        </w:rPr>
        <w:tab/>
      </w:r>
      <w:r w:rsidR="00BF71AA" w:rsidRPr="00C215E5">
        <w:rPr>
          <w:rFonts w:eastAsia="Batang"/>
          <w:color w:val="000000"/>
          <w:szCs w:val="22"/>
          <w:lang w:eastAsia="ko-KR"/>
        </w:rPr>
        <w:t>During the twenty-</w:t>
      </w:r>
      <w:r w:rsidR="00BF71AA">
        <w:rPr>
          <w:rFonts w:eastAsia="Batang"/>
          <w:color w:val="000000"/>
          <w:szCs w:val="22"/>
          <w:lang w:eastAsia="ko-KR"/>
        </w:rPr>
        <w:t>ninth</w:t>
      </w:r>
      <w:r w:rsidR="00BF71AA" w:rsidRPr="00C215E5">
        <w:rPr>
          <w:rFonts w:eastAsia="Batang"/>
          <w:color w:val="000000"/>
          <w:szCs w:val="22"/>
          <w:lang w:eastAsia="ko-KR"/>
        </w:rPr>
        <w:t xml:space="preserve"> session of the Committee, t</w:t>
      </w:r>
      <w:r w:rsidR="00B85478">
        <w:rPr>
          <w:rFonts w:eastAsia="Batang"/>
          <w:color w:val="000000"/>
          <w:szCs w:val="22"/>
          <w:lang w:eastAsia="ko-KR"/>
        </w:rPr>
        <w:t xml:space="preserve">he proposal was revised </w:t>
      </w:r>
      <w:r w:rsidR="00BF71AA" w:rsidRPr="00C215E5">
        <w:rPr>
          <w:rFonts w:eastAsia="Batang"/>
          <w:color w:val="000000"/>
          <w:szCs w:val="22"/>
          <w:lang w:eastAsia="ko-KR"/>
        </w:rPr>
        <w:t xml:space="preserve">by the </w:t>
      </w:r>
      <w:r w:rsidR="00B85478">
        <w:rPr>
          <w:rFonts w:eastAsia="Batang"/>
          <w:color w:val="000000"/>
          <w:szCs w:val="22"/>
          <w:lang w:eastAsia="ko-KR"/>
        </w:rPr>
        <w:t>Secretariat to respond to the</w:t>
      </w:r>
      <w:r w:rsidR="00BF71AA">
        <w:rPr>
          <w:rFonts w:eastAsia="Batang"/>
          <w:color w:val="000000"/>
          <w:szCs w:val="22"/>
          <w:lang w:eastAsia="ko-KR"/>
        </w:rPr>
        <w:t xml:space="preserve"> comments provided by Member States.  </w:t>
      </w:r>
    </w:p>
    <w:p w14:paraId="53C603A2" w14:textId="078316F7" w:rsidR="00BF71AA" w:rsidRPr="00364508" w:rsidRDefault="00BF71AA" w:rsidP="00BF71AA">
      <w:pPr>
        <w:autoSpaceDE w:val="0"/>
        <w:autoSpaceDN w:val="0"/>
        <w:adjustRightInd w:val="0"/>
        <w:spacing w:after="240"/>
        <w:rPr>
          <w:rFonts w:eastAsia="Batang"/>
          <w:color w:val="000000"/>
          <w:szCs w:val="22"/>
          <w:lang w:eastAsia="ko-KR"/>
        </w:rPr>
      </w:pPr>
      <w:r>
        <w:rPr>
          <w:rFonts w:eastAsia="Batang"/>
          <w:color w:val="000000"/>
          <w:szCs w:val="22"/>
          <w:lang w:eastAsia="ko-KR"/>
        </w:rPr>
        <w:fldChar w:fldCharType="begin"/>
      </w:r>
      <w:r>
        <w:rPr>
          <w:rFonts w:eastAsia="Batang"/>
          <w:color w:val="000000"/>
          <w:szCs w:val="22"/>
          <w:lang w:eastAsia="ko-KR"/>
        </w:rPr>
        <w:instrText xml:space="preserve"> AUTONUM  </w:instrText>
      </w:r>
      <w:r>
        <w:rPr>
          <w:rFonts w:eastAsia="Batang"/>
          <w:color w:val="000000"/>
          <w:szCs w:val="22"/>
          <w:lang w:eastAsia="ko-KR"/>
        </w:rPr>
        <w:fldChar w:fldCharType="end"/>
      </w:r>
      <w:r>
        <w:rPr>
          <w:rFonts w:eastAsia="Batang"/>
          <w:color w:val="000000"/>
          <w:szCs w:val="22"/>
          <w:lang w:eastAsia="ko-KR"/>
        </w:rPr>
        <w:tab/>
        <w:t xml:space="preserve">The above-mentioned revised </w:t>
      </w:r>
      <w:r w:rsidRPr="000463E8">
        <w:rPr>
          <w:rFonts w:eastAsia="Batang"/>
          <w:color w:val="000000"/>
          <w:szCs w:val="22"/>
          <w:lang w:eastAsia="ko-KR"/>
        </w:rPr>
        <w:t>proposal for a Phase II of the project on Enhancing the Use of IP for Mobile Applications in the Software Sector</w:t>
      </w:r>
      <w:r>
        <w:rPr>
          <w:rFonts w:eastAsia="Batang"/>
          <w:color w:val="000000"/>
          <w:szCs w:val="22"/>
          <w:lang w:eastAsia="ko-KR"/>
        </w:rPr>
        <w:t xml:space="preserve"> is contained in the Annex to this document</w:t>
      </w:r>
      <w:r w:rsidRPr="000463E8">
        <w:rPr>
          <w:rFonts w:eastAsia="Batang"/>
          <w:color w:val="000000"/>
          <w:szCs w:val="22"/>
          <w:lang w:eastAsia="ko-KR"/>
        </w:rPr>
        <w:t>.</w:t>
      </w:r>
    </w:p>
    <w:p w14:paraId="7830A26D" w14:textId="42C95566" w:rsidR="00364508" w:rsidRPr="00364508" w:rsidRDefault="00364508" w:rsidP="00013417">
      <w:pPr>
        <w:ind w:left="5530"/>
        <w:rPr>
          <w:rFonts w:eastAsia="Times New Roman" w:cs="Times New Roman"/>
          <w:i/>
          <w:iCs/>
          <w:szCs w:val="22"/>
          <w:lang w:eastAsia="en-US"/>
        </w:rPr>
      </w:pPr>
      <w:r w:rsidRPr="00364508">
        <w:rPr>
          <w:rFonts w:eastAsia="Times New Roman" w:cs="Times New Roman"/>
          <w:lang w:eastAsia="en-US"/>
        </w:rPr>
        <w:fldChar w:fldCharType="begin"/>
      </w:r>
      <w:r w:rsidRPr="00364508">
        <w:rPr>
          <w:rFonts w:eastAsia="Times New Roman" w:cs="Times New Roman"/>
          <w:lang w:eastAsia="en-US"/>
        </w:rPr>
        <w:instrText xml:space="preserve"> AUTONUM  </w:instrText>
      </w:r>
      <w:r w:rsidRPr="00364508">
        <w:rPr>
          <w:rFonts w:eastAsia="Times New Roman" w:cs="Times New Roman"/>
          <w:lang w:eastAsia="en-US"/>
        </w:rPr>
        <w:fldChar w:fldCharType="end"/>
      </w:r>
      <w:r w:rsidR="00F27143">
        <w:rPr>
          <w:rFonts w:eastAsia="Times New Roman" w:cs="Times New Roman"/>
          <w:i/>
          <w:iCs/>
          <w:szCs w:val="22"/>
          <w:lang w:eastAsia="en-US"/>
        </w:rPr>
        <w:tab/>
        <w:t>The CDIP is invited to consider</w:t>
      </w:r>
      <w:r w:rsidRPr="00364508">
        <w:rPr>
          <w:rFonts w:eastAsia="Times New Roman" w:cs="Times New Roman"/>
          <w:i/>
          <w:iCs/>
          <w:szCs w:val="22"/>
          <w:lang w:eastAsia="en-US"/>
        </w:rPr>
        <w:t xml:space="preserve"> the information contained in the Annex to this document.</w:t>
      </w:r>
    </w:p>
    <w:p w14:paraId="6B1696CD" w14:textId="77777777" w:rsidR="00013417" w:rsidRDefault="00013417" w:rsidP="00013417">
      <w:pPr>
        <w:ind w:left="4968" w:firstLine="562"/>
        <w:rPr>
          <w:rFonts w:eastAsia="Arial"/>
          <w:szCs w:val="22"/>
          <w:lang w:eastAsia="en-US"/>
        </w:rPr>
      </w:pPr>
    </w:p>
    <w:p w14:paraId="747C7AA3" w14:textId="77777777" w:rsidR="00013417" w:rsidRDefault="00013417" w:rsidP="00013417">
      <w:pPr>
        <w:ind w:left="4968" w:firstLine="562"/>
        <w:rPr>
          <w:rFonts w:eastAsia="Arial"/>
          <w:szCs w:val="22"/>
          <w:lang w:eastAsia="en-US"/>
        </w:rPr>
      </w:pPr>
    </w:p>
    <w:p w14:paraId="270AC5A0" w14:textId="119E445E" w:rsidR="00EC5F68" w:rsidRDefault="00364508" w:rsidP="00BF71AA">
      <w:pPr>
        <w:ind w:left="4968" w:firstLine="562"/>
      </w:pPr>
      <w:r w:rsidRPr="00364508">
        <w:rPr>
          <w:rFonts w:eastAsia="Arial"/>
          <w:szCs w:val="22"/>
          <w:lang w:eastAsia="en-US"/>
        </w:rPr>
        <w:t>[</w:t>
      </w:r>
      <w:r w:rsidRPr="00364508">
        <w:rPr>
          <w:szCs w:val="22"/>
        </w:rPr>
        <w:t>Annex</w:t>
      </w:r>
      <w:r w:rsidRPr="00364508">
        <w:rPr>
          <w:rFonts w:eastAsia="Arial"/>
          <w:szCs w:val="22"/>
          <w:lang w:eastAsia="en-US"/>
        </w:rPr>
        <w:t xml:space="preserve"> follows]</w:t>
      </w:r>
      <w:bookmarkEnd w:id="4"/>
    </w:p>
    <w:p w14:paraId="634C4797" w14:textId="77777777" w:rsidR="00EC5F68" w:rsidRDefault="00EC5F68" w:rsidP="003D352A">
      <w:pPr>
        <w:spacing w:after="220"/>
      </w:pPr>
    </w:p>
    <w:p w14:paraId="00635C1A" w14:textId="77777777" w:rsidR="00EC5F68" w:rsidRDefault="00EC5F68" w:rsidP="003D352A">
      <w:pPr>
        <w:spacing w:after="220"/>
        <w:sectPr w:rsidR="00EC5F68" w:rsidSect="005A1A7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0463E8" w:rsidRPr="00C6096E" w14:paraId="24FCCC46" w14:textId="77777777" w:rsidTr="00A56C91">
        <w:trPr>
          <w:trHeight w:val="253"/>
        </w:trPr>
        <w:tc>
          <w:tcPr>
            <w:tcW w:w="9352" w:type="dxa"/>
            <w:shd w:val="clear" w:color="auto" w:fill="68E089"/>
          </w:tcPr>
          <w:p w14:paraId="3620D79F" w14:textId="77777777" w:rsidR="000463E8" w:rsidRPr="00C6096E" w:rsidRDefault="000463E8" w:rsidP="0020698E">
            <w:pPr>
              <w:pStyle w:val="TableParagraph"/>
              <w:spacing w:line="234" w:lineRule="exact"/>
              <w:ind w:left="103" w:right="87"/>
              <w:jc w:val="center"/>
              <w:rPr>
                <w:b/>
              </w:rPr>
            </w:pPr>
            <w:r>
              <w:rPr>
                <w:b/>
              </w:rPr>
              <w:lastRenderedPageBreak/>
              <w:t xml:space="preserve">1. </w:t>
            </w:r>
            <w:r w:rsidRPr="00C6096E">
              <w:rPr>
                <w:b/>
              </w:rPr>
              <w:t>Project code</w:t>
            </w:r>
          </w:p>
        </w:tc>
      </w:tr>
      <w:tr w:rsidR="000463E8" w:rsidRPr="00C6096E" w14:paraId="48C8046E" w14:textId="77777777" w:rsidTr="00A56C91">
        <w:trPr>
          <w:trHeight w:val="441"/>
        </w:trPr>
        <w:tc>
          <w:tcPr>
            <w:tcW w:w="9352" w:type="dxa"/>
          </w:tcPr>
          <w:p w14:paraId="11356749" w14:textId="77777777" w:rsidR="000463E8" w:rsidRPr="00C6096E" w:rsidRDefault="000463E8" w:rsidP="0020698E">
            <w:pPr>
              <w:pStyle w:val="TableParagraph"/>
              <w:spacing w:line="249" w:lineRule="exact"/>
              <w:ind w:left="110"/>
            </w:pPr>
            <w:r w:rsidRPr="00FD57A0">
              <w:t>DA_4_11_23_24_27_0</w:t>
            </w:r>
            <w:r>
              <w:t>2</w:t>
            </w:r>
          </w:p>
        </w:tc>
      </w:tr>
      <w:tr w:rsidR="000463E8" w:rsidRPr="00C6096E" w14:paraId="1C734382" w14:textId="77777777" w:rsidTr="00A56C91">
        <w:trPr>
          <w:trHeight w:val="251"/>
        </w:trPr>
        <w:tc>
          <w:tcPr>
            <w:tcW w:w="9352" w:type="dxa"/>
            <w:shd w:val="clear" w:color="auto" w:fill="68E089"/>
          </w:tcPr>
          <w:p w14:paraId="3C5ED08B" w14:textId="77777777" w:rsidR="000463E8" w:rsidRPr="00C6096E" w:rsidRDefault="000463E8" w:rsidP="0020698E">
            <w:pPr>
              <w:pStyle w:val="TableParagraph"/>
              <w:spacing w:line="232" w:lineRule="exact"/>
              <w:ind w:left="103" w:right="90"/>
              <w:jc w:val="center"/>
              <w:rPr>
                <w:b/>
              </w:rPr>
            </w:pPr>
            <w:r>
              <w:rPr>
                <w:b/>
              </w:rPr>
              <w:t xml:space="preserve">1.2 </w:t>
            </w:r>
            <w:r w:rsidRPr="00C6096E">
              <w:rPr>
                <w:b/>
              </w:rPr>
              <w:t>Project</w:t>
            </w:r>
            <w:r w:rsidRPr="00C6096E">
              <w:rPr>
                <w:b/>
                <w:spacing w:val="-1"/>
              </w:rPr>
              <w:t xml:space="preserve"> </w:t>
            </w:r>
            <w:r w:rsidRPr="00C6096E">
              <w:rPr>
                <w:b/>
              </w:rPr>
              <w:t>title</w:t>
            </w:r>
          </w:p>
        </w:tc>
      </w:tr>
      <w:tr w:rsidR="000463E8" w:rsidRPr="00C6096E" w14:paraId="2A7A86DB" w14:textId="77777777" w:rsidTr="00A56C91">
        <w:trPr>
          <w:trHeight w:val="699"/>
        </w:trPr>
        <w:tc>
          <w:tcPr>
            <w:tcW w:w="9352" w:type="dxa"/>
          </w:tcPr>
          <w:p w14:paraId="0CF191FE" w14:textId="77777777" w:rsidR="000463E8" w:rsidRPr="00C6096E" w:rsidRDefault="000463E8" w:rsidP="0020698E">
            <w:pPr>
              <w:pStyle w:val="TableParagraph"/>
              <w:ind w:left="110" w:right="188"/>
            </w:pPr>
            <w:r w:rsidRPr="00FD57A0">
              <w:t>Enhancing the Use of Intellectual Property (IP) for Mobile Apps in the Software Sector</w:t>
            </w:r>
            <w:r>
              <w:t xml:space="preserve"> – Phase II</w:t>
            </w:r>
          </w:p>
        </w:tc>
      </w:tr>
      <w:tr w:rsidR="000463E8" w:rsidRPr="00C6096E" w14:paraId="0798D960" w14:textId="77777777" w:rsidTr="00A56C91">
        <w:trPr>
          <w:trHeight w:val="252"/>
        </w:trPr>
        <w:tc>
          <w:tcPr>
            <w:tcW w:w="9352" w:type="dxa"/>
            <w:shd w:val="clear" w:color="auto" w:fill="68E089"/>
          </w:tcPr>
          <w:p w14:paraId="39944145" w14:textId="3054D03E" w:rsidR="000463E8" w:rsidRPr="00C6096E" w:rsidRDefault="000463E8" w:rsidP="0020698E">
            <w:pPr>
              <w:pStyle w:val="TableParagraph"/>
              <w:spacing w:line="232" w:lineRule="exact"/>
              <w:ind w:left="103" w:right="88"/>
              <w:jc w:val="center"/>
              <w:rPr>
                <w:b/>
              </w:rPr>
            </w:pPr>
            <w:r>
              <w:rPr>
                <w:b/>
              </w:rPr>
              <w:t xml:space="preserve">1.3 </w:t>
            </w:r>
            <w:hyperlink r:id="rId15" w:history="1">
              <w:r w:rsidRPr="00FD57A0">
                <w:rPr>
                  <w:rStyle w:val="Hyperlink"/>
                  <w:b/>
                </w:rPr>
                <w:t>DA</w:t>
              </w:r>
              <w:r w:rsidRPr="00FD57A0">
                <w:rPr>
                  <w:rStyle w:val="Hyperlink"/>
                  <w:b/>
                  <w:spacing w:val="-4"/>
                </w:rPr>
                <w:t xml:space="preserve"> </w:t>
              </w:r>
              <w:r w:rsidRPr="00FD57A0">
                <w:rPr>
                  <w:rStyle w:val="Hyperlink"/>
                  <w:b/>
                </w:rPr>
                <w:t>Recommendations</w:t>
              </w:r>
            </w:hyperlink>
          </w:p>
        </w:tc>
      </w:tr>
      <w:tr w:rsidR="000463E8" w:rsidRPr="00C6096E" w14:paraId="020277B5" w14:textId="77777777" w:rsidTr="00A56C91">
        <w:trPr>
          <w:trHeight w:val="760"/>
        </w:trPr>
        <w:tc>
          <w:tcPr>
            <w:tcW w:w="9352" w:type="dxa"/>
          </w:tcPr>
          <w:p w14:paraId="0DD7DB2B" w14:textId="77777777" w:rsidR="000463E8" w:rsidRPr="00FD57A0" w:rsidRDefault="000463E8" w:rsidP="0020698E">
            <w:pPr>
              <w:pStyle w:val="TableParagraph"/>
              <w:ind w:left="110"/>
              <w:rPr>
                <w:i/>
              </w:rPr>
            </w:pPr>
            <w:r w:rsidRPr="00FD57A0">
              <w:rPr>
                <w:i/>
                <w:iCs/>
              </w:rPr>
              <w:t>Recommendation 4</w:t>
            </w:r>
            <w:r w:rsidRPr="00FD57A0">
              <w:rPr>
                <w:i/>
              </w:rPr>
              <w:t xml:space="preserve">:  </w:t>
            </w:r>
            <w:r w:rsidRPr="00125D30">
              <w:rPr>
                <w:iCs/>
              </w:rPr>
              <w:t>Place particular emphasis on the needs of small and medium-sized enterprises (SMEs) and institutions dealing with scientific research and cultural industries and assist Member States, at their request, in setting-up appropriate national strategies in the field of intellectual property.</w:t>
            </w:r>
          </w:p>
          <w:p w14:paraId="2CFFC94E" w14:textId="77777777" w:rsidR="000463E8" w:rsidRPr="00FD57A0" w:rsidRDefault="000463E8" w:rsidP="0020698E">
            <w:pPr>
              <w:pStyle w:val="TableParagraph"/>
              <w:ind w:left="110"/>
              <w:rPr>
                <w:i/>
              </w:rPr>
            </w:pPr>
          </w:p>
          <w:p w14:paraId="6BDA7027" w14:textId="4CD77572" w:rsidR="000463E8" w:rsidRPr="00FD57A0" w:rsidRDefault="000463E8" w:rsidP="0020698E">
            <w:pPr>
              <w:pStyle w:val="TableParagraph"/>
              <w:ind w:left="110"/>
            </w:pPr>
            <w:r w:rsidRPr="00FD57A0">
              <w:rPr>
                <w:i/>
              </w:rPr>
              <w:t xml:space="preserve">Recommendation 11: </w:t>
            </w:r>
            <w:r w:rsidR="00125D30">
              <w:rPr>
                <w:i/>
              </w:rPr>
              <w:t xml:space="preserve"> </w:t>
            </w:r>
            <w:r w:rsidRPr="00FD57A0">
              <w:t>To assist Member States to strengthen national capacity for protection of domestic creations, innovations and inventions and to support development of national scientific and technological infrastructure, where appropriate, in accordance with WIPO</w:t>
            </w:r>
            <w:r w:rsidR="0087776D">
              <w:t>’</w:t>
            </w:r>
            <w:r w:rsidRPr="00FD57A0">
              <w:t>s mandate.</w:t>
            </w:r>
          </w:p>
          <w:p w14:paraId="360D7890" w14:textId="77777777" w:rsidR="000463E8" w:rsidRPr="00FD57A0" w:rsidRDefault="000463E8" w:rsidP="0020698E">
            <w:pPr>
              <w:pStyle w:val="TableParagraph"/>
              <w:ind w:left="110"/>
              <w:rPr>
                <w:i/>
              </w:rPr>
            </w:pPr>
          </w:p>
          <w:p w14:paraId="3DD6F179" w14:textId="7FD4926F" w:rsidR="000463E8" w:rsidRPr="00FD57A0" w:rsidRDefault="000463E8" w:rsidP="0020698E">
            <w:pPr>
              <w:pStyle w:val="TableParagraph"/>
              <w:ind w:left="110"/>
            </w:pPr>
            <w:r w:rsidRPr="00FD57A0">
              <w:rPr>
                <w:i/>
              </w:rPr>
              <w:t xml:space="preserve">Recommendation 23: </w:t>
            </w:r>
            <w:r w:rsidR="00125D30">
              <w:rPr>
                <w:i/>
              </w:rPr>
              <w:t xml:space="preserve"> </w:t>
            </w:r>
            <w:r w:rsidRPr="00FD57A0">
              <w:t>To consider how to better promote pro-competitive intellectual property licensing practices, particularly with a view to fostering creativity, innovation and the transfer and dissemination of technology to interested countries, in particular developing countries and LDCs.</w:t>
            </w:r>
          </w:p>
          <w:p w14:paraId="79FA7B88" w14:textId="77777777" w:rsidR="000463E8" w:rsidRPr="00FD57A0" w:rsidRDefault="000463E8" w:rsidP="0020698E">
            <w:pPr>
              <w:pStyle w:val="TableParagraph"/>
              <w:ind w:left="110"/>
              <w:rPr>
                <w:i/>
              </w:rPr>
            </w:pPr>
          </w:p>
          <w:p w14:paraId="196202AD" w14:textId="3081A20A" w:rsidR="000463E8" w:rsidRPr="00FD57A0" w:rsidRDefault="000463E8" w:rsidP="0020698E">
            <w:pPr>
              <w:pStyle w:val="TableParagraph"/>
              <w:ind w:left="110"/>
            </w:pPr>
            <w:r w:rsidRPr="00FD57A0">
              <w:rPr>
                <w:i/>
              </w:rPr>
              <w:t>Recommendation 24:</w:t>
            </w:r>
            <w:r w:rsidR="00C86EA4">
              <w:rPr>
                <w:i/>
              </w:rPr>
              <w:t xml:space="preserve"> </w:t>
            </w:r>
            <w:r w:rsidRPr="00FD57A0">
              <w:rPr>
                <w:i/>
              </w:rPr>
              <w:t xml:space="preserve"> </w:t>
            </w:r>
            <w:r w:rsidRPr="00FD57A0">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14:paraId="600D5A79" w14:textId="77777777" w:rsidR="000463E8" w:rsidRPr="00FD57A0" w:rsidRDefault="000463E8" w:rsidP="0020698E">
            <w:pPr>
              <w:pStyle w:val="TableParagraph"/>
              <w:ind w:left="110"/>
              <w:rPr>
                <w:i/>
              </w:rPr>
            </w:pPr>
          </w:p>
          <w:p w14:paraId="7B7992D2" w14:textId="30323925" w:rsidR="000463E8" w:rsidRPr="00C6096E" w:rsidRDefault="000463E8" w:rsidP="00344570">
            <w:pPr>
              <w:pStyle w:val="TableParagraph"/>
              <w:ind w:left="110"/>
            </w:pPr>
            <w:r w:rsidRPr="00FD57A0">
              <w:rPr>
                <w:i/>
              </w:rPr>
              <w:t xml:space="preserve">Recommendation 27: </w:t>
            </w:r>
            <w:r w:rsidR="00C86EA4">
              <w:rPr>
                <w:i/>
              </w:rPr>
              <w:t xml:space="preserve"> </w:t>
            </w:r>
            <w:r w:rsidRPr="00FD57A0">
              <w:t>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p>
        </w:tc>
      </w:tr>
      <w:tr w:rsidR="000463E8" w:rsidRPr="00C6096E" w14:paraId="0E8D576D" w14:textId="77777777" w:rsidTr="00A56C91">
        <w:trPr>
          <w:trHeight w:val="251"/>
        </w:trPr>
        <w:tc>
          <w:tcPr>
            <w:tcW w:w="9352" w:type="dxa"/>
            <w:shd w:val="clear" w:color="auto" w:fill="68E089"/>
          </w:tcPr>
          <w:p w14:paraId="33B70025" w14:textId="77777777" w:rsidR="000463E8" w:rsidRPr="00C6096E" w:rsidRDefault="000463E8" w:rsidP="0020698E">
            <w:pPr>
              <w:pStyle w:val="TableParagraph"/>
              <w:spacing w:line="232" w:lineRule="exact"/>
              <w:ind w:left="103" w:right="88"/>
              <w:jc w:val="center"/>
              <w:rPr>
                <w:b/>
              </w:rPr>
            </w:pPr>
            <w:r>
              <w:rPr>
                <w:b/>
              </w:rPr>
              <w:t>1.4 Project duration</w:t>
            </w:r>
          </w:p>
        </w:tc>
      </w:tr>
      <w:tr w:rsidR="000463E8" w:rsidRPr="00C6096E" w14:paraId="71E72CED" w14:textId="77777777" w:rsidTr="00A56C91">
        <w:trPr>
          <w:trHeight w:val="251"/>
        </w:trPr>
        <w:tc>
          <w:tcPr>
            <w:tcW w:w="9352" w:type="dxa"/>
            <w:shd w:val="clear" w:color="auto" w:fill="auto"/>
          </w:tcPr>
          <w:p w14:paraId="086C698E" w14:textId="5F0A4CE2" w:rsidR="000463E8" w:rsidRDefault="00BD463E" w:rsidP="0020698E">
            <w:pPr>
              <w:pStyle w:val="TableParagraph"/>
              <w:spacing w:line="232" w:lineRule="exact"/>
              <w:ind w:left="103" w:right="90"/>
            </w:pPr>
            <w:r>
              <w:t>15</w:t>
            </w:r>
            <w:r w:rsidR="000463E8">
              <w:t xml:space="preserve"> months</w:t>
            </w:r>
          </w:p>
          <w:p w14:paraId="5F5F9BC1" w14:textId="712DE30D" w:rsidR="00AC29F2" w:rsidRPr="00C6096E" w:rsidRDefault="00AC29F2" w:rsidP="0020698E">
            <w:pPr>
              <w:pStyle w:val="TableParagraph"/>
              <w:spacing w:line="232" w:lineRule="exact"/>
              <w:ind w:left="103" w:right="90"/>
              <w:rPr>
                <w:b/>
              </w:rPr>
            </w:pPr>
          </w:p>
        </w:tc>
      </w:tr>
      <w:tr w:rsidR="000463E8" w:rsidRPr="00C6096E" w14:paraId="1CCC819E" w14:textId="77777777" w:rsidTr="00A56C91">
        <w:trPr>
          <w:trHeight w:val="251"/>
        </w:trPr>
        <w:tc>
          <w:tcPr>
            <w:tcW w:w="9352" w:type="dxa"/>
            <w:shd w:val="clear" w:color="auto" w:fill="68E089"/>
          </w:tcPr>
          <w:p w14:paraId="4CB37CEE" w14:textId="77777777" w:rsidR="000463E8" w:rsidRPr="00C6096E" w:rsidRDefault="000463E8" w:rsidP="0020698E">
            <w:pPr>
              <w:pStyle w:val="TableParagraph"/>
              <w:spacing w:line="232" w:lineRule="exact"/>
              <w:ind w:left="103" w:right="90"/>
              <w:jc w:val="center"/>
              <w:rPr>
                <w:b/>
              </w:rPr>
            </w:pPr>
            <w:r>
              <w:rPr>
                <w:b/>
              </w:rPr>
              <w:t xml:space="preserve">1.5 Project Budget </w:t>
            </w:r>
          </w:p>
        </w:tc>
      </w:tr>
      <w:tr w:rsidR="000463E8" w:rsidRPr="00AC017A" w14:paraId="35849FC3" w14:textId="77777777" w:rsidTr="00A56C91">
        <w:trPr>
          <w:trHeight w:val="251"/>
        </w:trPr>
        <w:tc>
          <w:tcPr>
            <w:tcW w:w="9352" w:type="dxa"/>
            <w:shd w:val="clear" w:color="auto" w:fill="auto"/>
          </w:tcPr>
          <w:p w14:paraId="7EA05F3E" w14:textId="767797F5" w:rsidR="000463E8" w:rsidRDefault="004122AA" w:rsidP="002C6349">
            <w:pPr>
              <w:pStyle w:val="TableParagraph"/>
              <w:spacing w:line="232" w:lineRule="exact"/>
              <w:ind w:left="103" w:right="90"/>
              <w:rPr>
                <w:bCs/>
                <w:lang w:val="fr-CH"/>
              </w:rPr>
            </w:pPr>
            <w:r>
              <w:rPr>
                <w:bCs/>
                <w:lang w:val="fr-CH"/>
              </w:rPr>
              <w:t xml:space="preserve">Total non-personnel </w:t>
            </w:r>
            <w:proofErr w:type="spellStart"/>
            <w:r>
              <w:rPr>
                <w:bCs/>
                <w:lang w:val="fr-CH"/>
              </w:rPr>
              <w:t>cost</w:t>
            </w:r>
            <w:proofErr w:type="spellEnd"/>
            <w:r w:rsidR="000463E8" w:rsidRPr="008E3C58">
              <w:rPr>
                <w:bCs/>
                <w:lang w:val="fr-CH"/>
              </w:rPr>
              <w:t>:  150</w:t>
            </w:r>
            <w:r w:rsidR="002C6349">
              <w:rPr>
                <w:bCs/>
                <w:lang w:val="fr-CH"/>
              </w:rPr>
              <w:t>,</w:t>
            </w:r>
            <w:r w:rsidR="000463E8" w:rsidRPr="008E3C58">
              <w:rPr>
                <w:bCs/>
                <w:lang w:val="fr-CH"/>
              </w:rPr>
              <w:t xml:space="preserve">000 </w:t>
            </w:r>
            <w:proofErr w:type="spellStart"/>
            <w:r w:rsidR="000463E8" w:rsidRPr="008E3C58">
              <w:rPr>
                <w:bCs/>
                <w:lang w:val="fr-CH"/>
              </w:rPr>
              <w:t>Swiss</w:t>
            </w:r>
            <w:proofErr w:type="spellEnd"/>
            <w:r w:rsidR="000463E8" w:rsidRPr="008E3C58">
              <w:rPr>
                <w:bCs/>
                <w:lang w:val="fr-CH"/>
              </w:rPr>
              <w:t xml:space="preserve"> francs</w:t>
            </w:r>
          </w:p>
          <w:p w14:paraId="6C9544FD" w14:textId="421A1B91" w:rsidR="00AC29F2" w:rsidRPr="008E3C58" w:rsidRDefault="00AC29F2" w:rsidP="002C6349">
            <w:pPr>
              <w:pStyle w:val="TableParagraph"/>
              <w:spacing w:line="232" w:lineRule="exact"/>
              <w:ind w:left="103" w:right="90"/>
              <w:rPr>
                <w:bCs/>
                <w:lang w:val="fr-CH"/>
              </w:rPr>
            </w:pPr>
          </w:p>
        </w:tc>
      </w:tr>
      <w:tr w:rsidR="000463E8" w:rsidRPr="00C6096E" w14:paraId="4663141C" w14:textId="77777777" w:rsidTr="00A56C91">
        <w:trPr>
          <w:trHeight w:val="251"/>
        </w:trPr>
        <w:tc>
          <w:tcPr>
            <w:tcW w:w="9352" w:type="dxa"/>
            <w:shd w:val="clear" w:color="auto" w:fill="68E089"/>
          </w:tcPr>
          <w:p w14:paraId="3BF1CD70" w14:textId="77777777" w:rsidR="000463E8" w:rsidRPr="00C6096E" w:rsidRDefault="000463E8" w:rsidP="0020698E">
            <w:pPr>
              <w:pStyle w:val="TableParagraph"/>
              <w:spacing w:line="232" w:lineRule="exact"/>
              <w:ind w:left="103" w:right="90"/>
              <w:jc w:val="center"/>
              <w:rPr>
                <w:b/>
              </w:rPr>
            </w:pPr>
            <w:r>
              <w:rPr>
                <w:b/>
              </w:rPr>
              <w:t xml:space="preserve">2. </w:t>
            </w:r>
            <w:r w:rsidRPr="00C6096E">
              <w:rPr>
                <w:b/>
              </w:rPr>
              <w:t>Description</w:t>
            </w:r>
            <w:r w:rsidRPr="00C6096E">
              <w:rPr>
                <w:b/>
                <w:spacing w:val="-3"/>
              </w:rPr>
              <w:t xml:space="preserve"> </w:t>
            </w:r>
            <w:r w:rsidRPr="00C6096E">
              <w:rPr>
                <w:b/>
              </w:rPr>
              <w:t>of</w:t>
            </w:r>
            <w:r w:rsidRPr="00C6096E">
              <w:rPr>
                <w:b/>
                <w:spacing w:val="-1"/>
              </w:rPr>
              <w:t xml:space="preserve"> </w:t>
            </w:r>
            <w:r w:rsidRPr="00C6096E">
              <w:rPr>
                <w:b/>
              </w:rPr>
              <w:t>the</w:t>
            </w:r>
            <w:r w:rsidRPr="00C6096E">
              <w:rPr>
                <w:b/>
                <w:spacing w:val="-3"/>
              </w:rPr>
              <w:t xml:space="preserve"> </w:t>
            </w:r>
            <w:r w:rsidRPr="00C6096E">
              <w:rPr>
                <w:b/>
              </w:rPr>
              <w:t>Project</w:t>
            </w:r>
          </w:p>
        </w:tc>
      </w:tr>
      <w:tr w:rsidR="000463E8" w:rsidRPr="00C6096E" w14:paraId="4C75E1B2" w14:textId="77777777" w:rsidTr="00A56C91">
        <w:trPr>
          <w:trHeight w:val="1172"/>
        </w:trPr>
        <w:tc>
          <w:tcPr>
            <w:tcW w:w="9352" w:type="dxa"/>
          </w:tcPr>
          <w:p w14:paraId="71098FD2" w14:textId="40C5B184" w:rsidR="00AC29F2" w:rsidRDefault="00AC29F2" w:rsidP="00425DA7">
            <w:pPr>
              <w:pStyle w:val="TableParagraph"/>
              <w:ind w:left="110" w:right="493"/>
            </w:pPr>
            <w:r>
              <w:t xml:space="preserve">The project on </w:t>
            </w:r>
            <w:r w:rsidRPr="006974F8">
              <w:t xml:space="preserve">Enhancing the </w:t>
            </w:r>
            <w:hyperlink r:id="rId16" w:history="1">
              <w:r w:rsidRPr="00125D30">
                <w:rPr>
                  <w:rStyle w:val="Hyperlink"/>
                </w:rPr>
                <w:t>Use of</w:t>
              </w:r>
              <w:r w:rsidR="00425DA7" w:rsidRPr="00125D30">
                <w:rPr>
                  <w:rStyle w:val="Hyperlink"/>
                </w:rPr>
                <w:t xml:space="preserve"> IP</w:t>
              </w:r>
              <w:r w:rsidRPr="00125D30">
                <w:rPr>
                  <w:rStyle w:val="Hyperlink"/>
                </w:rPr>
                <w:t xml:space="preserve"> for Mobile Applications in the Software Sector</w:t>
              </w:r>
            </w:hyperlink>
            <w:r>
              <w:t xml:space="preserve"> was proposed by Kenya and approved by the CDIP at its 22</w:t>
            </w:r>
            <w:r w:rsidRPr="00AC29F2">
              <w:rPr>
                <w:vertAlign w:val="superscript"/>
              </w:rPr>
              <w:t>nd</w:t>
            </w:r>
            <w:r>
              <w:t xml:space="preserve"> session, held in 2018. </w:t>
            </w:r>
          </w:p>
          <w:p w14:paraId="19F3CB94" w14:textId="38D5BCA4" w:rsidR="00AC29F2" w:rsidRDefault="00AC29F2" w:rsidP="0020698E">
            <w:pPr>
              <w:pStyle w:val="TableParagraph"/>
              <w:ind w:left="110" w:right="493"/>
            </w:pPr>
          </w:p>
          <w:p w14:paraId="08DDA925" w14:textId="77777777" w:rsidR="00C00C8D" w:rsidRDefault="00AC29F2" w:rsidP="00C00C8D">
            <w:pPr>
              <w:pStyle w:val="TableParagraph"/>
              <w:ind w:left="110" w:right="493"/>
            </w:pPr>
            <w:r>
              <w:t>The overall objective of the project wa</w:t>
            </w:r>
            <w:r w:rsidR="002C6349" w:rsidRPr="002C6349">
              <w:t xml:space="preserve">s to contribute to the economic development of </w:t>
            </w:r>
            <w:r w:rsidR="00C00C8D">
              <w:t>the project beneficiary</w:t>
            </w:r>
            <w:r w:rsidR="002C6349" w:rsidRPr="002C6349">
              <w:t xml:space="preserve"> countries, by enhancing the</w:t>
            </w:r>
            <w:r w:rsidR="00C00C8D">
              <w:t>ir</w:t>
            </w:r>
            <w:r w:rsidR="002C6349" w:rsidRPr="002C6349">
              <w:t xml:space="preserve"> use of IP in the software sector, including by providing tools that could also be used in other countries.</w:t>
            </w:r>
            <w:r>
              <w:t xml:space="preserve"> </w:t>
            </w:r>
            <w:r w:rsidR="002C6349" w:rsidRPr="002C6349">
              <w:t xml:space="preserve"> </w:t>
            </w:r>
          </w:p>
          <w:p w14:paraId="5990F782" w14:textId="77777777" w:rsidR="00C00C8D" w:rsidRDefault="00C00C8D" w:rsidP="00C00C8D">
            <w:pPr>
              <w:pStyle w:val="TableParagraph"/>
              <w:ind w:left="110" w:right="493"/>
            </w:pPr>
          </w:p>
          <w:p w14:paraId="6B2CFB2D" w14:textId="1C682253" w:rsidR="00C00C8D" w:rsidRDefault="002C6349" w:rsidP="00C00C8D">
            <w:pPr>
              <w:pStyle w:val="TableParagraph"/>
              <w:ind w:left="110" w:right="493"/>
            </w:pPr>
            <w:r w:rsidRPr="002C6349">
              <w:t>More specifically, the project s</w:t>
            </w:r>
            <w:r w:rsidR="00AC29F2">
              <w:t>ought</w:t>
            </w:r>
            <w:r w:rsidR="00C00C8D">
              <w:t xml:space="preserve"> to:</w:t>
            </w:r>
          </w:p>
          <w:p w14:paraId="61F98857" w14:textId="77777777" w:rsidR="00125D30" w:rsidRDefault="00125D30" w:rsidP="00C00C8D">
            <w:pPr>
              <w:pStyle w:val="TableParagraph"/>
              <w:ind w:left="110" w:right="493"/>
            </w:pPr>
          </w:p>
          <w:p w14:paraId="3F6F2C6A" w14:textId="3CF068AB" w:rsidR="00C00C8D" w:rsidRDefault="00C00C8D" w:rsidP="00C00C8D">
            <w:pPr>
              <w:pStyle w:val="TableParagraph"/>
              <w:ind w:left="567" w:right="493"/>
            </w:pPr>
            <w:r>
              <w:t xml:space="preserve">(i) </w:t>
            </w:r>
            <w:r w:rsidR="002C6349" w:rsidRPr="002C6349">
              <w:t>enhanc</w:t>
            </w:r>
            <w:r>
              <w:t>e</w:t>
            </w:r>
            <w:r w:rsidR="002C6349" w:rsidRPr="002C6349">
              <w:t xml:space="preserve"> the use of IP in support of mobile applications by training researchers, developers and entrepreneurs on the range of available IP tools, and how such tools can be used to support related endeavors; </w:t>
            </w:r>
          </w:p>
          <w:p w14:paraId="6DEC33A5" w14:textId="77777777" w:rsidR="00125D30" w:rsidRDefault="00125D30" w:rsidP="00C00C8D">
            <w:pPr>
              <w:pStyle w:val="TableParagraph"/>
              <w:ind w:left="567" w:right="493"/>
            </w:pPr>
          </w:p>
          <w:p w14:paraId="6B919E86" w14:textId="6C9385BB" w:rsidR="00C00C8D" w:rsidRDefault="002C6349" w:rsidP="00C00C8D">
            <w:pPr>
              <w:pStyle w:val="TableParagraph"/>
              <w:ind w:left="567" w:right="493"/>
            </w:pPr>
            <w:r w:rsidRPr="002C6349">
              <w:t xml:space="preserve">(ii) raise awareness among entrepreneurs, financial institutions, venture capitalists and other investors on using IP as an asset and collaboration tool by furthering the </w:t>
            </w:r>
            <w:r w:rsidRPr="002C6349">
              <w:lastRenderedPageBreak/>
              <w:t xml:space="preserve">exchange of knowledge and experience; </w:t>
            </w:r>
            <w:r w:rsidR="00804AE7">
              <w:t xml:space="preserve"> </w:t>
            </w:r>
            <w:r w:rsidRPr="002C6349">
              <w:t xml:space="preserve">and </w:t>
            </w:r>
          </w:p>
          <w:p w14:paraId="4F07F3FB" w14:textId="77777777" w:rsidR="00125D30" w:rsidRDefault="00125D30" w:rsidP="00C00C8D">
            <w:pPr>
              <w:pStyle w:val="TableParagraph"/>
              <w:ind w:left="567" w:right="493"/>
            </w:pPr>
          </w:p>
          <w:p w14:paraId="782F9EB8" w14:textId="2707A6AA" w:rsidR="002C6349" w:rsidRDefault="002C6349" w:rsidP="00C00C8D">
            <w:pPr>
              <w:pStyle w:val="TableParagraph"/>
              <w:ind w:left="567" w:right="493"/>
            </w:pPr>
            <w:r w:rsidRPr="002C6349">
              <w:t>(iii) build respect for IP in the software sector by educating researchers, developers and entrepreneurs on tools and procedures for effectively protecting IP rights in mobile applications, including mediation and arbitration.</w:t>
            </w:r>
          </w:p>
          <w:p w14:paraId="1AB1748E" w14:textId="24D11B9E" w:rsidR="00AC29F2" w:rsidRDefault="00AC29F2" w:rsidP="00AC29F2">
            <w:pPr>
              <w:pStyle w:val="TableParagraph"/>
              <w:ind w:left="110" w:right="493"/>
            </w:pPr>
          </w:p>
          <w:p w14:paraId="2BA3AB23" w14:textId="7C092866" w:rsidR="000168F0" w:rsidRDefault="00AC29F2" w:rsidP="00902D83">
            <w:pPr>
              <w:pStyle w:val="TableParagraph"/>
              <w:ind w:left="110" w:right="493"/>
            </w:pPr>
            <w:r>
              <w:t>The first phase of the project was implemented in Kenya,</w:t>
            </w:r>
            <w:r w:rsidR="00902D83">
              <w:t xml:space="preserve"> the Philippines and</w:t>
            </w:r>
            <w:r>
              <w:t xml:space="preserve"> Trinidad an</w:t>
            </w:r>
            <w:r w:rsidR="000168F0">
              <w:t>d</w:t>
            </w:r>
            <w:r>
              <w:t xml:space="preserve"> Tobago</w:t>
            </w:r>
            <w:r w:rsidR="004122AA">
              <w:t>.  It</w:t>
            </w:r>
            <w:r w:rsidR="000168F0">
              <w:t xml:space="preserve"> was implemented from January 2019 to December 2021. </w:t>
            </w:r>
          </w:p>
          <w:p w14:paraId="32C5DCF3" w14:textId="6BBA12E4" w:rsidR="00125D30" w:rsidRDefault="00125D30" w:rsidP="002E78B6">
            <w:pPr>
              <w:pStyle w:val="TableParagraph"/>
              <w:ind w:left="110" w:right="493"/>
            </w:pPr>
          </w:p>
          <w:p w14:paraId="16745BC0" w14:textId="03A86CC0" w:rsidR="00125D30" w:rsidRDefault="00125D30" w:rsidP="00701739">
            <w:pPr>
              <w:pStyle w:val="TableParagraph"/>
              <w:ind w:left="110"/>
            </w:pPr>
            <w:r>
              <w:t>In the context of the discussion on the Completion (document CDIP/28/7) and Evaluation (document CDIP/28/6) reports during the 28</w:t>
            </w:r>
            <w:r w:rsidRPr="00C00C8D">
              <w:rPr>
                <w:vertAlign w:val="superscript"/>
              </w:rPr>
              <w:t>th</w:t>
            </w:r>
            <w:r>
              <w:t xml:space="preserve"> session of the CDIP, it was highlighted that the project focused on mobile apps as a sector agnostic area.  However, mobile apps will be even more relevant in specific industry contexts where they add value and reinforce IP utilization and market performance to specific industries.  </w:t>
            </w:r>
            <w:r w:rsidR="004122AA">
              <w:t xml:space="preserve">As emphasized in the </w:t>
            </w:r>
            <w:r w:rsidR="004122AA" w:rsidRPr="004122AA">
              <w:t>recommendation 47 (b) of the Evaluation</w:t>
            </w:r>
            <w:r w:rsidR="004122AA">
              <w:t xml:space="preserve"> report, a</w:t>
            </w:r>
            <w:r>
              <w:t>dopting a vertical approach to mobile app</w:t>
            </w:r>
            <w:r w:rsidR="00701739">
              <w:t>s in an industry context wa</w:t>
            </w:r>
            <w:r>
              <w:t xml:space="preserve">s an important addition to the horizontal approach followed throughout the first phase of the project, and would contribute to the sustainability of the initial project results. </w:t>
            </w:r>
            <w:r w:rsidR="004122AA">
              <w:t xml:space="preserve"> </w:t>
            </w:r>
          </w:p>
          <w:p w14:paraId="68B456C8" w14:textId="69722626" w:rsidR="00701739" w:rsidRDefault="00701739" w:rsidP="00701739">
            <w:pPr>
              <w:pStyle w:val="TableParagraph"/>
              <w:ind w:left="110"/>
            </w:pPr>
          </w:p>
          <w:p w14:paraId="5FF2CBFD" w14:textId="7B232FE2" w:rsidR="00701739" w:rsidRDefault="00701739" w:rsidP="00701739">
            <w:pPr>
              <w:pStyle w:val="TableParagraph"/>
              <w:ind w:left="110"/>
            </w:pPr>
            <w:r>
              <w:t>Based on the positive consideration of the reports mentioned above, the Committee decided to mainstream the project results in</w:t>
            </w:r>
            <w:r w:rsidR="00A56C91">
              <w:t>to</w:t>
            </w:r>
            <w:r>
              <w:t xml:space="preserve"> the work of WIPO, and requested to </w:t>
            </w:r>
            <w:r w:rsidR="0087776D">
              <w:t>“</w:t>
            </w:r>
            <w:r w:rsidRPr="006974F8">
              <w:t>receive a follow-up document on further activities to be undertaken by the Secretariat in this</w:t>
            </w:r>
            <w:r>
              <w:t xml:space="preserve"> area</w:t>
            </w:r>
            <w:r w:rsidR="0087776D">
              <w:t>”</w:t>
            </w:r>
            <w:r>
              <w:rPr>
                <w:rStyle w:val="FootnoteReference"/>
              </w:rPr>
              <w:footnoteReference w:id="2"/>
            </w:r>
            <w:r w:rsidRPr="00364508">
              <w:rPr>
                <w:rFonts w:eastAsia="Batang"/>
                <w:color w:val="000000"/>
                <w:lang w:eastAsia="ko-KR"/>
              </w:rPr>
              <w:t>.</w:t>
            </w:r>
          </w:p>
          <w:p w14:paraId="120F5A47" w14:textId="35A45F8F" w:rsidR="00701739" w:rsidRDefault="00701739" w:rsidP="00701739">
            <w:pPr>
              <w:pStyle w:val="TableParagraph"/>
              <w:ind w:left="110"/>
            </w:pPr>
          </w:p>
          <w:p w14:paraId="3E0215D7" w14:textId="395CFB5E" w:rsidR="00701739" w:rsidRDefault="00701739" w:rsidP="007363AB">
            <w:pPr>
              <w:pStyle w:val="TableParagraph"/>
              <w:ind w:left="110" w:right="493"/>
            </w:pPr>
            <w:r>
              <w:t>Hence, the second phase of the project will focus on ensuring</w:t>
            </w:r>
            <w:r w:rsidR="007363AB">
              <w:t xml:space="preserve"> </w:t>
            </w:r>
            <w:r>
              <w:t xml:space="preserve">the </w:t>
            </w:r>
            <w:r w:rsidR="00D864BF">
              <w:t>long-term</w:t>
            </w:r>
            <w:r w:rsidR="007363AB">
              <w:t xml:space="preserve"> sustainability of the </w:t>
            </w:r>
            <w:r>
              <w:t xml:space="preserve">project outputs </w:t>
            </w:r>
            <w:r w:rsidR="007363AB">
              <w:t>by</w:t>
            </w:r>
            <w:r>
              <w:t xml:space="preserve"> incorporating them in a comprehensive training course material that would provide possibilities for </w:t>
            </w:r>
            <w:r w:rsidR="00BD463E">
              <w:t xml:space="preserve">future </w:t>
            </w:r>
            <w:r>
              <w:t>self-education, training, reference and further reading.</w:t>
            </w:r>
          </w:p>
          <w:p w14:paraId="7DF2C8FD" w14:textId="710CB471" w:rsidR="00701739" w:rsidRDefault="00701739" w:rsidP="00701739">
            <w:pPr>
              <w:pStyle w:val="TableParagraph"/>
              <w:ind w:left="110"/>
            </w:pPr>
          </w:p>
          <w:p w14:paraId="62074884" w14:textId="3E78D72C" w:rsidR="00125D30" w:rsidRPr="00C6096E" w:rsidRDefault="00701739" w:rsidP="00A60EA4">
            <w:pPr>
              <w:pStyle w:val="TableParagraph"/>
              <w:ind w:left="110"/>
            </w:pPr>
            <w:r>
              <w:t xml:space="preserve">In addition, in consultation with the beneficiary countries (Kenya, </w:t>
            </w:r>
            <w:r w:rsidR="00902D83">
              <w:t xml:space="preserve">the Philippines, and </w:t>
            </w:r>
            <w:r>
              <w:t xml:space="preserve">Trinidad and Tobago), it was </w:t>
            </w:r>
            <w:r w:rsidR="007363AB">
              <w:t xml:space="preserve">decided to </w:t>
            </w:r>
            <w:r>
              <w:t>focus</w:t>
            </w:r>
            <w:r w:rsidR="007363AB">
              <w:t xml:space="preserve"> the second phase of the project on enhancing the use of IP protection to support the mobile app industry in</w:t>
            </w:r>
            <w:r>
              <w:t xml:space="preserve"> </w:t>
            </w:r>
            <w:r w:rsidR="00D864BF">
              <w:t xml:space="preserve">the </w:t>
            </w:r>
            <w:r>
              <w:t xml:space="preserve">following four creative industries:  </w:t>
            </w:r>
            <w:r w:rsidRPr="00701739">
              <w:t>music, publishing, videogames and audiovisual</w:t>
            </w:r>
            <w:r w:rsidR="007363AB">
              <w:t xml:space="preserve"> content</w:t>
            </w:r>
            <w:r w:rsidRPr="00701739">
              <w:t xml:space="preserve">. </w:t>
            </w:r>
          </w:p>
        </w:tc>
      </w:tr>
      <w:tr w:rsidR="000463E8" w:rsidRPr="00C6096E" w14:paraId="509B1E57" w14:textId="77777777" w:rsidTr="00A56C91">
        <w:trPr>
          <w:trHeight w:val="280"/>
        </w:trPr>
        <w:tc>
          <w:tcPr>
            <w:tcW w:w="9352" w:type="dxa"/>
            <w:shd w:val="clear" w:color="auto" w:fill="68E089"/>
          </w:tcPr>
          <w:p w14:paraId="11003919" w14:textId="718F13BD" w:rsidR="000463E8" w:rsidRPr="009C3E8F" w:rsidDel="00821A8E" w:rsidRDefault="007363AB" w:rsidP="0020698E">
            <w:pPr>
              <w:pStyle w:val="TableParagraph"/>
              <w:ind w:left="110"/>
              <w:jc w:val="center"/>
              <w:rPr>
                <w:b/>
                <w:bCs/>
              </w:rPr>
            </w:pPr>
            <w:r>
              <w:rPr>
                <w:b/>
                <w:bCs/>
              </w:rPr>
              <w:lastRenderedPageBreak/>
              <w:t>2.1</w:t>
            </w:r>
            <w:r w:rsidR="000463E8" w:rsidRPr="009C3E8F">
              <w:rPr>
                <w:b/>
                <w:bCs/>
              </w:rPr>
              <w:t xml:space="preserve"> Project Objective, Outcome and Outputs</w:t>
            </w:r>
          </w:p>
        </w:tc>
      </w:tr>
      <w:tr w:rsidR="000463E8" w:rsidRPr="00C6096E" w14:paraId="594F3074" w14:textId="77777777" w:rsidTr="00A56C91">
        <w:trPr>
          <w:trHeight w:val="280"/>
        </w:trPr>
        <w:tc>
          <w:tcPr>
            <w:tcW w:w="9352" w:type="dxa"/>
            <w:shd w:val="clear" w:color="auto" w:fill="auto"/>
          </w:tcPr>
          <w:p w14:paraId="6AB26D54" w14:textId="2B5F397A" w:rsidR="000E6AF4" w:rsidRDefault="00AE6A73" w:rsidP="007363AB">
            <w:pPr>
              <w:pStyle w:val="TableParagraph"/>
              <w:ind w:left="110"/>
            </w:pPr>
            <w:r>
              <w:t>The</w:t>
            </w:r>
            <w:r w:rsidR="00C00C8D">
              <w:t xml:space="preserve"> overall</w:t>
            </w:r>
            <w:r>
              <w:t xml:space="preserve"> </w:t>
            </w:r>
            <w:r w:rsidRPr="00C00C8D">
              <w:rPr>
                <w:b/>
                <w:bCs/>
              </w:rPr>
              <w:t>objective</w:t>
            </w:r>
            <w:r>
              <w:t xml:space="preserve"> of the proposed phase II is to</w:t>
            </w:r>
            <w:r w:rsidR="006F13A1">
              <w:t xml:space="preserve"> build on the tools and capacities developed during the first phas</w:t>
            </w:r>
            <w:r w:rsidR="00C00C8D">
              <w:t>e of the project</w:t>
            </w:r>
            <w:r w:rsidR="006F13A1">
              <w:t xml:space="preserve"> and </w:t>
            </w:r>
            <w:r>
              <w:t xml:space="preserve">ensure greater sustainability of the </w:t>
            </w:r>
            <w:r w:rsidR="00425DA7">
              <w:t>project results</w:t>
            </w:r>
            <w:r w:rsidR="006F13A1">
              <w:t xml:space="preserve">. </w:t>
            </w:r>
          </w:p>
          <w:p w14:paraId="159089DD" w14:textId="6505A080" w:rsidR="000E6AF4" w:rsidRDefault="000E6AF4" w:rsidP="00425DA7">
            <w:pPr>
              <w:pStyle w:val="TableParagraph"/>
            </w:pPr>
          </w:p>
          <w:p w14:paraId="6EFBC049" w14:textId="6F9A0B09" w:rsidR="00C00C8D" w:rsidRDefault="006F13A1" w:rsidP="00BD463E">
            <w:pPr>
              <w:pStyle w:val="TableParagraph"/>
              <w:ind w:left="110"/>
            </w:pPr>
            <w:r>
              <w:t xml:space="preserve">In view of the above, the project expected </w:t>
            </w:r>
            <w:r w:rsidR="000E6AF4" w:rsidRPr="00C00C8D">
              <w:rPr>
                <w:b/>
                <w:bCs/>
              </w:rPr>
              <w:t>outcome</w:t>
            </w:r>
            <w:r w:rsidR="000E6AF4">
              <w:t xml:space="preserve"> </w:t>
            </w:r>
            <w:r w:rsidR="00902D83">
              <w:t xml:space="preserve">is to improve the understanding of the relevance of IP and </w:t>
            </w:r>
            <w:r w:rsidR="002E78B6">
              <w:t>e</w:t>
            </w:r>
            <w:r w:rsidR="007363AB">
              <w:t xml:space="preserve">nhance the use of </w:t>
            </w:r>
            <w:r w:rsidR="000365DC">
              <w:t xml:space="preserve">its </w:t>
            </w:r>
            <w:r w:rsidR="007363AB">
              <w:t>protection</w:t>
            </w:r>
            <w:r w:rsidR="00C00C8D">
              <w:t xml:space="preserve"> </w:t>
            </w:r>
            <w:r w:rsidR="002E78B6">
              <w:t xml:space="preserve">to </w:t>
            </w:r>
            <w:r w:rsidR="00C00C8D">
              <w:t>sup</w:t>
            </w:r>
            <w:r w:rsidR="007363AB">
              <w:t>port the mobile app industry in</w:t>
            </w:r>
            <w:r w:rsidR="00C00C8D">
              <w:t xml:space="preserve"> </w:t>
            </w:r>
            <w:r w:rsidR="00BD463E">
              <w:t xml:space="preserve">the </w:t>
            </w:r>
            <w:r w:rsidR="00902D83" w:rsidRPr="00701739">
              <w:t>music, publishing, videogames and audiovisual</w:t>
            </w:r>
            <w:r w:rsidR="00902D83">
              <w:t xml:space="preserve"> content</w:t>
            </w:r>
            <w:r w:rsidR="00BD463E">
              <w:t xml:space="preserve"> sectors</w:t>
            </w:r>
            <w:r w:rsidR="00902D83">
              <w:t>.</w:t>
            </w:r>
            <w:r w:rsidR="00C00C8D">
              <w:t xml:space="preserve">  </w:t>
            </w:r>
          </w:p>
          <w:p w14:paraId="3F15AFDA" w14:textId="77777777" w:rsidR="00C00C8D" w:rsidRDefault="00C00C8D" w:rsidP="00C00C8D">
            <w:pPr>
              <w:pStyle w:val="TableParagraph"/>
              <w:ind w:left="110"/>
            </w:pPr>
          </w:p>
          <w:p w14:paraId="4343A053" w14:textId="4B0CA4A8" w:rsidR="000E6AF4" w:rsidRDefault="000E6AF4" w:rsidP="00C00C8D">
            <w:pPr>
              <w:pStyle w:val="TableParagraph"/>
              <w:ind w:left="110"/>
            </w:pPr>
            <w:r>
              <w:t xml:space="preserve">This will be achieved through the delivery of the following </w:t>
            </w:r>
            <w:r w:rsidRPr="006F13A1">
              <w:rPr>
                <w:b/>
                <w:bCs/>
              </w:rPr>
              <w:t>outputs</w:t>
            </w:r>
            <w:r>
              <w:t xml:space="preserve">: </w:t>
            </w:r>
          </w:p>
          <w:p w14:paraId="17BBC641" w14:textId="75A21833" w:rsidR="000E6AF4" w:rsidRDefault="000E6AF4" w:rsidP="007363AB">
            <w:pPr>
              <w:pStyle w:val="TableParagraph"/>
              <w:numPr>
                <w:ilvl w:val="0"/>
                <w:numId w:val="20"/>
              </w:numPr>
            </w:pPr>
            <w:r>
              <w:t xml:space="preserve">A training </w:t>
            </w:r>
            <w:r w:rsidR="007363AB">
              <w:t xml:space="preserve">course </w:t>
            </w:r>
            <w:r w:rsidR="009E4CA8">
              <w:t>material on IP for</w:t>
            </w:r>
            <w:r>
              <w:t xml:space="preserve"> mobile applications</w:t>
            </w:r>
            <w:r w:rsidR="006F13A1">
              <w:t>;</w:t>
            </w:r>
          </w:p>
          <w:p w14:paraId="114BAE69" w14:textId="77F9729E" w:rsidR="000E6AF4" w:rsidRDefault="000E6AF4" w:rsidP="009E4CA8">
            <w:pPr>
              <w:pStyle w:val="TableParagraph"/>
              <w:numPr>
                <w:ilvl w:val="0"/>
                <w:numId w:val="20"/>
              </w:numPr>
            </w:pPr>
            <w:r>
              <w:t>T</w:t>
            </w:r>
            <w:r w:rsidR="009E4CA8">
              <w:t>ools on IP for</w:t>
            </w:r>
            <w:r w:rsidRPr="000E6AF4">
              <w:t xml:space="preserve"> mobile apps</w:t>
            </w:r>
            <w:r w:rsidR="009E4CA8">
              <w:t xml:space="preserve"> in</w:t>
            </w:r>
            <w:r w:rsidRPr="000E6AF4">
              <w:t xml:space="preserve"> music, publishing, videogames and audiovisual content</w:t>
            </w:r>
            <w:r w:rsidR="006F13A1">
              <w:t>;</w:t>
            </w:r>
          </w:p>
          <w:p w14:paraId="173D8715" w14:textId="6FB5ECA5" w:rsidR="00AE6A73" w:rsidRDefault="007363AB" w:rsidP="00BD463E">
            <w:pPr>
              <w:pStyle w:val="TableParagraph"/>
              <w:numPr>
                <w:ilvl w:val="0"/>
                <w:numId w:val="20"/>
              </w:numPr>
            </w:pPr>
            <w:r>
              <w:t xml:space="preserve">Holding of </w:t>
            </w:r>
            <w:r w:rsidR="000E6AF4" w:rsidRPr="000E6AF4">
              <w:t>event</w:t>
            </w:r>
            <w:r>
              <w:t>s</w:t>
            </w:r>
            <w:r w:rsidR="000E6AF4" w:rsidRPr="000E6AF4">
              <w:t xml:space="preserve"> to </w:t>
            </w:r>
            <w:r w:rsidR="005151C5">
              <w:t xml:space="preserve">present </w:t>
            </w:r>
            <w:r w:rsidR="00BD463E">
              <w:t>the produced material</w:t>
            </w:r>
            <w:r w:rsidR="006F13A1">
              <w:t xml:space="preserve"> </w:t>
            </w:r>
            <w:r w:rsidR="005151C5">
              <w:t xml:space="preserve">to </w:t>
            </w:r>
            <w:r w:rsidR="006F13A1">
              <w:t>the relevant stakeholders</w:t>
            </w:r>
            <w:r w:rsidR="000E6AF4" w:rsidRPr="000E6AF4">
              <w:t xml:space="preserve"> in each beneficiary country</w:t>
            </w:r>
            <w:r w:rsidR="005151C5">
              <w:t xml:space="preserve"> and collect their feedback</w:t>
            </w:r>
            <w:r w:rsidR="006F13A1">
              <w:t>.</w:t>
            </w:r>
          </w:p>
          <w:p w14:paraId="7EB74E99" w14:textId="479416DA" w:rsidR="007363AB" w:rsidDel="00821A8E" w:rsidRDefault="007363AB" w:rsidP="007363AB">
            <w:pPr>
              <w:pStyle w:val="TableParagraph"/>
              <w:ind w:left="720"/>
            </w:pPr>
          </w:p>
        </w:tc>
      </w:tr>
      <w:tr w:rsidR="000463E8" w:rsidRPr="00C6096E" w14:paraId="571F52C5" w14:textId="77777777" w:rsidTr="00A56C91">
        <w:trPr>
          <w:trHeight w:val="280"/>
        </w:trPr>
        <w:tc>
          <w:tcPr>
            <w:tcW w:w="9352" w:type="dxa"/>
            <w:shd w:val="clear" w:color="auto" w:fill="68E089"/>
          </w:tcPr>
          <w:p w14:paraId="4E02A922" w14:textId="10FC1901" w:rsidR="000463E8" w:rsidRDefault="000463E8" w:rsidP="007363AB">
            <w:pPr>
              <w:pStyle w:val="TableParagraph"/>
              <w:ind w:left="110"/>
              <w:jc w:val="center"/>
              <w:rPr>
                <w:b/>
                <w:bCs/>
              </w:rPr>
            </w:pPr>
            <w:r w:rsidRPr="00125D30">
              <w:rPr>
                <w:b/>
                <w:bCs/>
              </w:rPr>
              <w:t>2.</w:t>
            </w:r>
            <w:r w:rsidR="007363AB">
              <w:rPr>
                <w:b/>
                <w:bCs/>
              </w:rPr>
              <w:t>2</w:t>
            </w:r>
            <w:r w:rsidRPr="00125D30">
              <w:rPr>
                <w:b/>
                <w:bCs/>
              </w:rPr>
              <w:t xml:space="preserve"> Project Implementation Strategy</w:t>
            </w:r>
            <w:r>
              <w:rPr>
                <w:b/>
                <w:bCs/>
              </w:rPr>
              <w:t xml:space="preserve"> </w:t>
            </w:r>
          </w:p>
        </w:tc>
      </w:tr>
      <w:tr w:rsidR="000463E8" w:rsidRPr="00C6096E" w14:paraId="7923C7CB" w14:textId="77777777" w:rsidTr="00A56C91">
        <w:trPr>
          <w:trHeight w:val="463"/>
        </w:trPr>
        <w:tc>
          <w:tcPr>
            <w:tcW w:w="9352" w:type="dxa"/>
            <w:shd w:val="clear" w:color="auto" w:fill="auto"/>
          </w:tcPr>
          <w:p w14:paraId="72BF94B7" w14:textId="743AA5AA" w:rsidR="008151EC" w:rsidRDefault="00AE6A73" w:rsidP="00BD463E">
            <w:pPr>
              <w:pStyle w:val="TableParagraph"/>
              <w:ind w:left="110"/>
            </w:pPr>
            <w:r>
              <w:t>The training</w:t>
            </w:r>
            <w:r w:rsidR="009E4CA8">
              <w:t xml:space="preserve"> course material</w:t>
            </w:r>
            <w:r>
              <w:t xml:space="preserve"> will </w:t>
            </w:r>
            <w:r w:rsidR="00440DF3">
              <w:t xml:space="preserve">provide a comprehensive overview of the mobile app ecosystem, </w:t>
            </w:r>
            <w:r w:rsidR="00A86ACF">
              <w:t xml:space="preserve">the stakeholders, </w:t>
            </w:r>
            <w:r w:rsidR="00440DF3">
              <w:t xml:space="preserve">the </w:t>
            </w:r>
            <w:r w:rsidR="00A86ACF">
              <w:t xml:space="preserve">issues </w:t>
            </w:r>
            <w:r w:rsidR="00440DF3">
              <w:t xml:space="preserve">related to IP mechanisms for mobile apps, the </w:t>
            </w:r>
            <w:r w:rsidR="00A86ACF">
              <w:t xml:space="preserve">IP </w:t>
            </w:r>
            <w:r w:rsidR="00440DF3">
              <w:t>income streams in the industry, the demand and supply of apps and the IP related interventions on the market</w:t>
            </w:r>
            <w:r w:rsidR="00335768">
              <w:t xml:space="preserve">, competition aspects, commercialization process, </w:t>
            </w:r>
            <w:r w:rsidR="003C1C08">
              <w:t>respecting</w:t>
            </w:r>
            <w:r w:rsidR="003C1C08" w:rsidRPr="000E72BE">
              <w:t xml:space="preserve"> and promoting</w:t>
            </w:r>
            <w:r w:rsidR="00335768">
              <w:t xml:space="preserve"> IP rights of developers, the role of professional associations, case studies, checklists and references. The material will build on</w:t>
            </w:r>
            <w:r w:rsidR="00B85478">
              <w:t xml:space="preserve"> and use to the extent possible</w:t>
            </w:r>
            <w:r w:rsidR="009E4CA8">
              <w:t xml:space="preserve"> </w:t>
            </w:r>
            <w:r w:rsidR="00335768">
              <w:t xml:space="preserve">the </w:t>
            </w:r>
            <w:r w:rsidR="009E4CA8">
              <w:t xml:space="preserve">tools </w:t>
            </w:r>
            <w:r w:rsidR="00335768">
              <w:t>developed</w:t>
            </w:r>
            <w:r w:rsidR="009E4CA8">
              <w:t xml:space="preserve"> during the first phase of the project. </w:t>
            </w:r>
            <w:r w:rsidR="007868E7">
              <w:t xml:space="preserve"> </w:t>
            </w:r>
            <w:r w:rsidR="00335768">
              <w:t>Meanwhile</w:t>
            </w:r>
            <w:r w:rsidR="00A86ACF">
              <w:t>,</w:t>
            </w:r>
            <w:r w:rsidR="00B85478">
              <w:t xml:space="preserve"> it will be developed as a</w:t>
            </w:r>
            <w:r w:rsidR="00335768">
              <w:t xml:space="preserve"> </w:t>
            </w:r>
            <w:r w:rsidR="00B85478">
              <w:t>standalone</w:t>
            </w:r>
            <w:r w:rsidR="00335768">
              <w:t xml:space="preserve"> training tool in line with</w:t>
            </w:r>
            <w:r w:rsidR="007868E7">
              <w:t xml:space="preserve"> the</w:t>
            </w:r>
            <w:r w:rsidR="00335768">
              <w:t xml:space="preserve"> </w:t>
            </w:r>
            <w:r w:rsidR="0063198E">
              <w:t>standard</w:t>
            </w:r>
            <w:r w:rsidR="00A86ACF">
              <w:t xml:space="preserve"> </w:t>
            </w:r>
            <w:r w:rsidR="00335768">
              <w:t xml:space="preserve">requirements for </w:t>
            </w:r>
            <w:r w:rsidR="00A86ACF">
              <w:t xml:space="preserve">high quality </w:t>
            </w:r>
            <w:r w:rsidR="00335768">
              <w:t>educational material</w:t>
            </w:r>
            <w:r w:rsidR="00A86ACF">
              <w:t>.</w:t>
            </w:r>
            <w:r w:rsidR="009E4CA8">
              <w:t xml:space="preserve"> </w:t>
            </w:r>
            <w:r w:rsidR="007868E7">
              <w:t xml:space="preserve"> </w:t>
            </w:r>
            <w:r w:rsidR="009E4CA8">
              <w:t xml:space="preserve">It will be </w:t>
            </w:r>
            <w:r>
              <w:t xml:space="preserve">made available to the beneficiary countries (and </w:t>
            </w:r>
            <w:r w:rsidR="006F13A1">
              <w:t xml:space="preserve">to </w:t>
            </w:r>
            <w:r>
              <w:t>all Member States) to use, as appropriate</w:t>
            </w:r>
            <w:r w:rsidR="00D864BF">
              <w:t>,</w:t>
            </w:r>
            <w:r>
              <w:t xml:space="preserve"> in their</w:t>
            </w:r>
            <w:r w:rsidR="006F13A1">
              <w:t xml:space="preserve"> future</w:t>
            </w:r>
            <w:r>
              <w:t xml:space="preserve"> activities. </w:t>
            </w:r>
            <w:r w:rsidR="006F13A1">
              <w:t xml:space="preserve"> </w:t>
            </w:r>
            <w:r>
              <w:t xml:space="preserve">The </w:t>
            </w:r>
            <w:r w:rsidR="009E4CA8">
              <w:t>course material</w:t>
            </w:r>
            <w:r w:rsidR="008151EC">
              <w:t xml:space="preserve"> </w:t>
            </w:r>
            <w:r>
              <w:t>will be available only online and</w:t>
            </w:r>
            <w:r w:rsidR="009E4CA8">
              <w:t>, as part of the project mainstreaming,</w:t>
            </w:r>
            <w:r>
              <w:t xml:space="preserve"> </w:t>
            </w:r>
            <w:r w:rsidR="00973847">
              <w:t xml:space="preserve">it </w:t>
            </w:r>
            <w:r>
              <w:t xml:space="preserve">will be regularly </w:t>
            </w:r>
            <w:r w:rsidR="008151EC">
              <w:t xml:space="preserve">updated </w:t>
            </w:r>
            <w:r>
              <w:t xml:space="preserve">to </w:t>
            </w:r>
            <w:r w:rsidR="006F13A1">
              <w:t>ensure that the information is always up-to-date</w:t>
            </w:r>
            <w:r>
              <w:t xml:space="preserve">. </w:t>
            </w:r>
            <w:r w:rsidR="006F13A1">
              <w:t xml:space="preserve"> </w:t>
            </w:r>
            <w:r>
              <w:t>It</w:t>
            </w:r>
            <w:r w:rsidR="008151EC">
              <w:t xml:space="preserve"> will </w:t>
            </w:r>
            <w:r w:rsidR="00BD463E">
              <w:t xml:space="preserve">also </w:t>
            </w:r>
            <w:r w:rsidR="008151EC">
              <w:t xml:space="preserve">be </w:t>
            </w:r>
            <w:r w:rsidR="00973847">
              <w:t xml:space="preserve">shared with </w:t>
            </w:r>
            <w:r w:rsidR="008151EC">
              <w:t xml:space="preserve">the WIPO Academy for </w:t>
            </w:r>
            <w:r w:rsidR="009E4CA8">
              <w:t>its</w:t>
            </w:r>
            <w:r w:rsidR="005151C5">
              <w:t xml:space="preserve"> potential</w:t>
            </w:r>
            <w:r w:rsidR="008151EC">
              <w:t xml:space="preserve"> use </w:t>
            </w:r>
            <w:r w:rsidR="00BD463E">
              <w:t xml:space="preserve">in </w:t>
            </w:r>
            <w:r w:rsidR="00AC017A">
              <w:t xml:space="preserve">its </w:t>
            </w:r>
            <w:r w:rsidR="00BD463E">
              <w:t>various capacity building activities in the</w:t>
            </w:r>
            <w:r w:rsidR="008151EC">
              <w:t xml:space="preserve"> future. </w:t>
            </w:r>
          </w:p>
          <w:p w14:paraId="6CF5223F" w14:textId="77777777" w:rsidR="008151EC" w:rsidRDefault="008151EC" w:rsidP="008151EC">
            <w:pPr>
              <w:pStyle w:val="TableParagraph"/>
              <w:ind w:left="110"/>
            </w:pPr>
          </w:p>
          <w:p w14:paraId="68FF9870" w14:textId="115E4393" w:rsidR="006F13A1" w:rsidRDefault="00AE6A73" w:rsidP="00AE0C42">
            <w:pPr>
              <w:pStyle w:val="TableParagraph"/>
              <w:ind w:left="110"/>
            </w:pPr>
            <w:r>
              <w:t>The tools on IP for mobile apps in</w:t>
            </w:r>
            <w:r w:rsidR="00AE0C42">
              <w:t xml:space="preserve"> the selected</w:t>
            </w:r>
            <w:r w:rsidR="00A60EA4">
              <w:t xml:space="preserve"> creative sectors will</w:t>
            </w:r>
            <w:r>
              <w:t xml:space="preserve"> offer</w:t>
            </w:r>
            <w:r w:rsidR="00AE0C42">
              <w:t xml:space="preserve"> material specifically targeted at</w:t>
            </w:r>
            <w:r>
              <w:t xml:space="preserve"> </w:t>
            </w:r>
            <w:r w:rsidR="00AE0C42">
              <w:t xml:space="preserve">the </w:t>
            </w:r>
            <w:r w:rsidR="00A86ACF">
              <w:t xml:space="preserve">mobile apps </w:t>
            </w:r>
            <w:r>
              <w:t xml:space="preserve">stakeholders in </w:t>
            </w:r>
            <w:r w:rsidR="00AE0C42">
              <w:t xml:space="preserve">the </w:t>
            </w:r>
            <w:r w:rsidR="00AE0C42" w:rsidRPr="00AE0C42">
              <w:t>music, publishing, videogames and audiovisual content sectors</w:t>
            </w:r>
            <w:r w:rsidR="00A86ACF">
              <w:t xml:space="preserve">. </w:t>
            </w:r>
            <w:r w:rsidR="007868E7">
              <w:t xml:space="preserve"> </w:t>
            </w:r>
            <w:r w:rsidR="00A86ACF">
              <w:t xml:space="preserve">These tools </w:t>
            </w:r>
            <w:r w:rsidR="007353A0">
              <w:t>will target</w:t>
            </w:r>
            <w:r w:rsidR="003C1C08">
              <w:t xml:space="preserve"> stakeholders </w:t>
            </w:r>
            <w:r w:rsidR="003C1C08" w:rsidRPr="003C1C08">
              <w:t>working with mobile apps</w:t>
            </w:r>
            <w:r w:rsidR="003C1C08">
              <w:t>, including</w:t>
            </w:r>
            <w:r w:rsidR="007353A0">
              <w:t xml:space="preserve"> individual entrepreneurs and SMEs.</w:t>
            </w:r>
            <w:r w:rsidR="007868E7">
              <w:t xml:space="preserve">  </w:t>
            </w:r>
            <w:r w:rsidR="007353A0">
              <w:t xml:space="preserve">They will </w:t>
            </w:r>
            <w:r w:rsidR="00A86ACF">
              <w:t>focus on how IP fits in the business model of each o</w:t>
            </w:r>
            <w:r w:rsidR="007353A0">
              <w:t xml:space="preserve">f </w:t>
            </w:r>
            <w:r w:rsidR="00A86ACF">
              <w:t xml:space="preserve">the selected sectors. </w:t>
            </w:r>
            <w:r w:rsidR="007868E7">
              <w:t xml:space="preserve"> </w:t>
            </w:r>
            <w:r w:rsidR="00A86ACF">
              <w:t>The</w:t>
            </w:r>
            <w:r w:rsidR="007353A0">
              <w:t xml:space="preserve"> tools </w:t>
            </w:r>
            <w:r w:rsidR="00A86ACF">
              <w:t>will explain business process</w:t>
            </w:r>
            <w:r w:rsidR="007353A0">
              <w:t>es</w:t>
            </w:r>
            <w:r w:rsidR="00A86ACF">
              <w:t xml:space="preserve">, </w:t>
            </w:r>
            <w:r w:rsidR="007353A0">
              <w:t xml:space="preserve">show how mobile apps add value and to what extent it is related to the underlying IP, the </w:t>
            </w:r>
            <w:r w:rsidR="00A86ACF">
              <w:t xml:space="preserve">due diligence and </w:t>
            </w:r>
            <w:r w:rsidR="007353A0">
              <w:t>the potential of</w:t>
            </w:r>
            <w:r w:rsidR="00A86ACF">
              <w:t xml:space="preserve"> IP to generate multiple income streams.</w:t>
            </w:r>
            <w:r w:rsidR="007353A0">
              <w:t xml:space="preserve"> </w:t>
            </w:r>
            <w:r w:rsidR="007868E7">
              <w:t xml:space="preserve"> </w:t>
            </w:r>
            <w:r w:rsidR="007353A0">
              <w:t xml:space="preserve">The tools will offer practical guidelines and demonstrate through case studies and best practices the role of IP in the four sectors. </w:t>
            </w:r>
            <w:bookmarkStart w:id="6" w:name="_GoBack"/>
            <w:bookmarkEnd w:id="6"/>
          </w:p>
          <w:p w14:paraId="6880AB93" w14:textId="77777777" w:rsidR="006F13A1" w:rsidRDefault="006F13A1" w:rsidP="006F13A1">
            <w:pPr>
              <w:pStyle w:val="TableParagraph"/>
              <w:ind w:left="110"/>
            </w:pPr>
          </w:p>
          <w:p w14:paraId="2883390F" w14:textId="1AD02F0A" w:rsidR="00AE6A73" w:rsidRDefault="00AE6A73" w:rsidP="00AE0C42">
            <w:pPr>
              <w:pStyle w:val="TableParagraph"/>
              <w:ind w:left="110"/>
            </w:pPr>
            <w:r>
              <w:t xml:space="preserve">The </w:t>
            </w:r>
            <w:r w:rsidRPr="00125D30">
              <w:t>events for</w:t>
            </w:r>
            <w:r>
              <w:t xml:space="preserve"> </w:t>
            </w:r>
            <w:r w:rsidR="00AE0C42">
              <w:t>presenting</w:t>
            </w:r>
            <w:r w:rsidR="009E4CA8">
              <w:t xml:space="preserve"> and testing</w:t>
            </w:r>
            <w:r>
              <w:t xml:space="preserve"> the</w:t>
            </w:r>
            <w:r w:rsidR="006F13A1">
              <w:t xml:space="preserve">se tools among the relevant </w:t>
            </w:r>
            <w:r w:rsidR="00AE25AE">
              <w:t>stakeholders</w:t>
            </w:r>
            <w:r>
              <w:t xml:space="preserve"> </w:t>
            </w:r>
            <w:r w:rsidR="00AE0C42">
              <w:t>in each beneficiary countries</w:t>
            </w:r>
            <w:r w:rsidR="00125D30">
              <w:t xml:space="preserve"> </w:t>
            </w:r>
            <w:r>
              <w:t>will enable an objective assessment of their level of acceptance and practical orientation.</w:t>
            </w:r>
            <w:r w:rsidR="00AE25AE">
              <w:t xml:space="preserve">  </w:t>
            </w:r>
            <w:r w:rsidR="00AE0C42">
              <w:t>Feedback from participants will also be collected during the events, with the view of revising and/or adjusting the content accordingly, if required</w:t>
            </w:r>
            <w:r>
              <w:t>.</w:t>
            </w:r>
          </w:p>
          <w:p w14:paraId="1097EC73" w14:textId="21C460C8" w:rsidR="000463E8" w:rsidRDefault="000463E8" w:rsidP="0020698E">
            <w:pPr>
              <w:pStyle w:val="TableParagraph"/>
              <w:ind w:left="110"/>
            </w:pPr>
          </w:p>
          <w:p w14:paraId="67B72C1A" w14:textId="05629DE7" w:rsidR="00344570" w:rsidRPr="009C3E8F" w:rsidRDefault="00782F31" w:rsidP="00A60EA4">
            <w:pPr>
              <w:pStyle w:val="TableParagraph"/>
              <w:ind w:left="110"/>
            </w:pPr>
            <w:r w:rsidRPr="00C00C8D">
              <w:t>The said strategy will be delivered</w:t>
            </w:r>
            <w:r w:rsidR="00C00C8D" w:rsidRPr="00C00C8D">
              <w:t xml:space="preserve"> in strong cooperation with </w:t>
            </w:r>
            <w:r w:rsidR="00AE0C42">
              <w:t xml:space="preserve">the </w:t>
            </w:r>
            <w:r w:rsidR="00C00C8D" w:rsidRPr="00C00C8D">
              <w:t>partners</w:t>
            </w:r>
            <w:r w:rsidRPr="00C00C8D">
              <w:t xml:space="preserve"> in each of the beneficiary countr</w:t>
            </w:r>
            <w:r w:rsidR="00D864BF">
              <w:t>ies</w:t>
            </w:r>
            <w:r w:rsidRPr="00C00C8D">
              <w:t>, and in consultation with the identified mobile app and creative industry stakeholders.</w:t>
            </w:r>
          </w:p>
        </w:tc>
      </w:tr>
      <w:tr w:rsidR="000463E8" w:rsidRPr="00C6096E" w14:paraId="6C8D9201" w14:textId="77777777" w:rsidTr="00A56C91">
        <w:trPr>
          <w:trHeight w:val="280"/>
        </w:trPr>
        <w:tc>
          <w:tcPr>
            <w:tcW w:w="9352" w:type="dxa"/>
            <w:shd w:val="clear" w:color="auto" w:fill="68E089"/>
          </w:tcPr>
          <w:p w14:paraId="6CB4BB97" w14:textId="098E10EF" w:rsidR="000463E8" w:rsidRPr="003B0A9E" w:rsidRDefault="007363AB" w:rsidP="0020698E">
            <w:pPr>
              <w:pStyle w:val="TableParagraph"/>
              <w:ind w:left="110"/>
              <w:jc w:val="center"/>
              <w:rPr>
                <w:b/>
                <w:bCs/>
              </w:rPr>
            </w:pPr>
            <w:r>
              <w:rPr>
                <w:b/>
                <w:bCs/>
              </w:rPr>
              <w:t>2.3</w:t>
            </w:r>
            <w:r w:rsidR="000463E8">
              <w:rPr>
                <w:b/>
                <w:bCs/>
              </w:rPr>
              <w:t xml:space="preserve"> Project Indicators</w:t>
            </w:r>
          </w:p>
        </w:tc>
      </w:tr>
      <w:tr w:rsidR="000463E8" w:rsidRPr="00C6096E" w14:paraId="24DEF5AA" w14:textId="77777777" w:rsidTr="00A56C91">
        <w:trPr>
          <w:trHeight w:val="280"/>
        </w:trPr>
        <w:tc>
          <w:tcPr>
            <w:tcW w:w="9352" w:type="dxa"/>
            <w:shd w:val="clear" w:color="auto" w:fill="FFFFFF" w:themeFill="background1"/>
          </w:tcPr>
          <w:p w14:paraId="563126CB" w14:textId="746372CE" w:rsidR="009E4CA8" w:rsidRPr="009E4CA8" w:rsidRDefault="001C23D1" w:rsidP="00AE0C42">
            <w:pPr>
              <w:pStyle w:val="TableParagraph"/>
              <w:ind w:left="110"/>
            </w:pPr>
            <w:r w:rsidRPr="00D447D5">
              <w:t>Project</w:t>
            </w:r>
            <w:r w:rsidRPr="00A62A17">
              <w:rPr>
                <w:b/>
                <w:bCs/>
              </w:rPr>
              <w:t xml:space="preserve"> Outcome</w:t>
            </w:r>
            <w:r>
              <w:t>:</w:t>
            </w:r>
            <w:r w:rsidR="00AE6A73">
              <w:t xml:space="preserve"> </w:t>
            </w:r>
            <w:r>
              <w:t xml:space="preserve"> </w:t>
            </w:r>
            <w:r w:rsidR="000365DC">
              <w:t>T</w:t>
            </w:r>
            <w:r w:rsidR="000365DC" w:rsidRPr="000365DC">
              <w:t>o improve the understanding of the relevance of IP and e</w:t>
            </w:r>
            <w:r w:rsidR="000365DC">
              <w:t>nhance the use of its</w:t>
            </w:r>
            <w:r w:rsidR="000365DC" w:rsidRPr="000365DC">
              <w:t xml:space="preserve"> protection to support the mobile app industry in </w:t>
            </w:r>
            <w:r w:rsidR="00AE0C42">
              <w:t xml:space="preserve">the </w:t>
            </w:r>
            <w:r w:rsidR="000365DC" w:rsidRPr="000365DC">
              <w:t>music, publishing, videogames and audiovisual content</w:t>
            </w:r>
            <w:r w:rsidR="00AE0C42">
              <w:t xml:space="preserve"> sectors</w:t>
            </w:r>
            <w:r w:rsidR="000365DC" w:rsidRPr="000365DC">
              <w:t>.</w:t>
            </w:r>
            <w:r w:rsidR="009E4CA8" w:rsidRPr="009E4CA8">
              <w:t xml:space="preserve">  </w:t>
            </w:r>
          </w:p>
          <w:p w14:paraId="67A2846F" w14:textId="77777777" w:rsidR="009E4CA8" w:rsidRDefault="009E4CA8" w:rsidP="009E4CA8"/>
          <w:p w14:paraId="37B4EB18" w14:textId="77777777" w:rsidR="00AE0C42" w:rsidRDefault="00A62A17" w:rsidP="00D447D5">
            <w:pPr>
              <w:pStyle w:val="TableParagraph"/>
              <w:ind w:left="110"/>
            </w:pPr>
            <w:r w:rsidRPr="00D447D5">
              <w:t>Outcome</w:t>
            </w:r>
            <w:r w:rsidRPr="00A62A17">
              <w:rPr>
                <w:b/>
                <w:bCs/>
              </w:rPr>
              <w:t xml:space="preserve"> </w:t>
            </w:r>
            <w:r w:rsidR="001C23D1" w:rsidRPr="00A62A17">
              <w:rPr>
                <w:b/>
                <w:bCs/>
              </w:rPr>
              <w:t>Indicator</w:t>
            </w:r>
            <w:r w:rsidR="00AE0C42">
              <w:rPr>
                <w:b/>
                <w:bCs/>
              </w:rPr>
              <w:t>s</w:t>
            </w:r>
            <w:r w:rsidR="001C23D1">
              <w:t>:</w:t>
            </w:r>
            <w:r w:rsidR="00C00C8D">
              <w:t xml:space="preserve"> </w:t>
            </w:r>
            <w:r w:rsidR="001C23D1">
              <w:t xml:space="preserve"> </w:t>
            </w:r>
          </w:p>
          <w:p w14:paraId="0A8DA6C5" w14:textId="77777777" w:rsidR="00AE0C42" w:rsidRDefault="000852E9" w:rsidP="00AE0C42">
            <w:pPr>
              <w:pStyle w:val="TableParagraph"/>
              <w:numPr>
                <w:ilvl w:val="0"/>
                <w:numId w:val="25"/>
              </w:numPr>
            </w:pPr>
            <w:r>
              <w:t>70</w:t>
            </w:r>
            <w:r w:rsidR="00A62A17">
              <w:t xml:space="preserve">% of the relevant stakeholders in the beneficiary countries </w:t>
            </w:r>
            <w:r w:rsidR="00C00C8D">
              <w:t xml:space="preserve">agree that IP is a relevant tool that can support the mobile app industry in the </w:t>
            </w:r>
            <w:r w:rsidR="00C00C8D" w:rsidRPr="000E6AF4">
              <w:t>music, publishing, videogames and audiovisual</w:t>
            </w:r>
            <w:r w:rsidR="00C00C8D">
              <w:t xml:space="preserve"> </w:t>
            </w:r>
            <w:r w:rsidR="009E4CA8">
              <w:t xml:space="preserve">content </w:t>
            </w:r>
            <w:r w:rsidR="00C00C8D">
              <w:t>spheres</w:t>
            </w:r>
            <w:r w:rsidR="00A62A17">
              <w:t xml:space="preserve">. </w:t>
            </w:r>
            <w:r w:rsidR="000365DC">
              <w:t xml:space="preserve">  </w:t>
            </w:r>
          </w:p>
          <w:p w14:paraId="2D463102" w14:textId="3796B911" w:rsidR="00902D83" w:rsidRDefault="000365DC" w:rsidP="0017641B">
            <w:pPr>
              <w:pStyle w:val="TableParagraph"/>
              <w:numPr>
                <w:ilvl w:val="0"/>
                <w:numId w:val="25"/>
              </w:numPr>
            </w:pPr>
            <w:r>
              <w:t xml:space="preserve">At least </w:t>
            </w:r>
            <w:r w:rsidR="00AE0C42">
              <w:t xml:space="preserve">100 downloads </w:t>
            </w:r>
            <w:r w:rsidR="0017641B">
              <w:t>of the tools regist</w:t>
            </w:r>
            <w:r w:rsidR="00C04642">
              <w:t xml:space="preserve">ered in the first three months </w:t>
            </w:r>
            <w:r w:rsidR="0017641B">
              <w:t>f</w:t>
            </w:r>
            <w:r w:rsidR="00C04642">
              <w:t>rom</w:t>
            </w:r>
            <w:r w:rsidR="0017641B">
              <w:t xml:space="preserve"> their publication. </w:t>
            </w:r>
          </w:p>
          <w:p w14:paraId="148A63CF" w14:textId="11C72155" w:rsidR="00AE6A73" w:rsidRDefault="00AE6A73" w:rsidP="0017641B">
            <w:pPr>
              <w:pStyle w:val="TableParagraph"/>
              <w:ind w:left="110"/>
            </w:pPr>
          </w:p>
          <w:p w14:paraId="2C72BDD6" w14:textId="68005A24" w:rsidR="00AE6A73" w:rsidRDefault="001C23D1" w:rsidP="00D447D5">
            <w:pPr>
              <w:pStyle w:val="TableParagraph"/>
              <w:ind w:left="110"/>
            </w:pPr>
            <w:r w:rsidRPr="00D447D5">
              <w:t>Project</w:t>
            </w:r>
            <w:r w:rsidR="003F2B7B">
              <w:rPr>
                <w:b/>
                <w:bCs/>
              </w:rPr>
              <w:t xml:space="preserve"> O</w:t>
            </w:r>
            <w:r w:rsidRPr="00A62A17">
              <w:rPr>
                <w:b/>
                <w:bCs/>
              </w:rPr>
              <w:t>utput</w:t>
            </w:r>
            <w:r w:rsidR="00B5447A" w:rsidRPr="00A62A17">
              <w:rPr>
                <w:b/>
                <w:bCs/>
              </w:rPr>
              <w:t>s</w:t>
            </w:r>
            <w:r>
              <w:t xml:space="preserve">: </w:t>
            </w:r>
          </w:p>
          <w:p w14:paraId="1D81B7BD" w14:textId="77777777" w:rsidR="009E4CA8" w:rsidRDefault="009E4CA8" w:rsidP="009E4CA8">
            <w:pPr>
              <w:pStyle w:val="TableParagraph"/>
              <w:numPr>
                <w:ilvl w:val="0"/>
                <w:numId w:val="23"/>
              </w:numPr>
            </w:pPr>
            <w:r>
              <w:t>A training course material on IP for mobile applications;</w:t>
            </w:r>
          </w:p>
          <w:p w14:paraId="1472961E" w14:textId="77777777" w:rsidR="009E4CA8" w:rsidRDefault="009E4CA8" w:rsidP="009E4CA8">
            <w:pPr>
              <w:pStyle w:val="TableParagraph"/>
              <w:numPr>
                <w:ilvl w:val="0"/>
                <w:numId w:val="23"/>
              </w:numPr>
            </w:pPr>
            <w:r>
              <w:t>Tools on IP for</w:t>
            </w:r>
            <w:r w:rsidRPr="000E6AF4">
              <w:t xml:space="preserve"> mobile apps</w:t>
            </w:r>
            <w:r>
              <w:t xml:space="preserve"> in</w:t>
            </w:r>
            <w:r w:rsidRPr="000E6AF4">
              <w:t xml:space="preserve"> music, publishing, videogames and audiovisual content</w:t>
            </w:r>
            <w:r>
              <w:t>;</w:t>
            </w:r>
          </w:p>
          <w:p w14:paraId="0AF5C92E" w14:textId="30CFEEE6" w:rsidR="009E4CA8" w:rsidRDefault="009E4CA8" w:rsidP="000365DC">
            <w:pPr>
              <w:pStyle w:val="TableParagraph"/>
              <w:numPr>
                <w:ilvl w:val="0"/>
                <w:numId w:val="23"/>
              </w:numPr>
            </w:pPr>
            <w:r>
              <w:t xml:space="preserve">Holding of </w:t>
            </w:r>
            <w:r w:rsidRPr="000E6AF4">
              <w:t>event</w:t>
            </w:r>
            <w:r>
              <w:t>s</w:t>
            </w:r>
            <w:r w:rsidRPr="000E6AF4">
              <w:t xml:space="preserve"> </w:t>
            </w:r>
            <w:r w:rsidR="000365DC" w:rsidRPr="000365DC">
              <w:t>to present the produced materials to the relevant stakeholders in each beneficiary country, and collect their feedback</w:t>
            </w:r>
            <w:r>
              <w:t>.</w:t>
            </w:r>
          </w:p>
          <w:p w14:paraId="41E221BA" w14:textId="77777777" w:rsidR="001C23D1" w:rsidRDefault="001C23D1" w:rsidP="00AE6A73">
            <w:pPr>
              <w:pStyle w:val="TableParagraph"/>
            </w:pPr>
          </w:p>
          <w:p w14:paraId="3DF72BA8" w14:textId="5C3313F4" w:rsidR="001C23D1" w:rsidRDefault="00A62A17" w:rsidP="00D447D5">
            <w:pPr>
              <w:pStyle w:val="TableParagraph"/>
              <w:ind w:left="110"/>
            </w:pPr>
            <w:r w:rsidRPr="00D447D5">
              <w:t>Output</w:t>
            </w:r>
            <w:r w:rsidRPr="00A62A17">
              <w:rPr>
                <w:b/>
                <w:bCs/>
              </w:rPr>
              <w:t xml:space="preserve"> </w:t>
            </w:r>
            <w:r w:rsidR="001C23D1" w:rsidRPr="00A62A17">
              <w:rPr>
                <w:b/>
                <w:bCs/>
              </w:rPr>
              <w:t>Indicator</w:t>
            </w:r>
            <w:r w:rsidR="00B5447A" w:rsidRPr="00A62A17">
              <w:rPr>
                <w:b/>
                <w:bCs/>
              </w:rPr>
              <w:t>s</w:t>
            </w:r>
            <w:r w:rsidR="00B5447A">
              <w:t>:</w:t>
            </w:r>
          </w:p>
          <w:p w14:paraId="3492F462" w14:textId="08908499" w:rsidR="00816300" w:rsidRDefault="00816300" w:rsidP="009E4CA8">
            <w:pPr>
              <w:pStyle w:val="TableParagraph"/>
              <w:numPr>
                <w:ilvl w:val="0"/>
                <w:numId w:val="22"/>
              </w:numPr>
            </w:pPr>
            <w:r>
              <w:t xml:space="preserve">A training </w:t>
            </w:r>
            <w:r w:rsidR="00125D30">
              <w:t>course material</w:t>
            </w:r>
            <w:r w:rsidR="009E4CA8">
              <w:t xml:space="preserve"> on IP for</w:t>
            </w:r>
            <w:r>
              <w:t xml:space="preserve"> mobile applications developed and published online within 6 months </w:t>
            </w:r>
            <w:r w:rsidR="009E4CA8">
              <w:t>of the</w:t>
            </w:r>
            <w:r>
              <w:t xml:space="preserve"> project implementation;</w:t>
            </w:r>
          </w:p>
          <w:p w14:paraId="04B61A30" w14:textId="32F95C5D" w:rsidR="00816300" w:rsidRDefault="00816300" w:rsidP="00816300">
            <w:pPr>
              <w:pStyle w:val="TableParagraph"/>
              <w:numPr>
                <w:ilvl w:val="0"/>
                <w:numId w:val="22"/>
              </w:numPr>
            </w:pPr>
            <w:r>
              <w:t>Four t</w:t>
            </w:r>
            <w:r w:rsidRPr="000E6AF4">
              <w:t>ools</w:t>
            </w:r>
            <w:r w:rsidR="009E4CA8">
              <w:t xml:space="preserve"> on IP for mobile apps in</w:t>
            </w:r>
            <w:r w:rsidRPr="000E6AF4">
              <w:t xml:space="preserve"> </w:t>
            </w:r>
            <w:r>
              <w:t xml:space="preserve">the following creative industries: </w:t>
            </w:r>
            <w:r w:rsidRPr="000E6AF4">
              <w:t>music, publishing, videogames and audiovisual content</w:t>
            </w:r>
            <w:r w:rsidR="005178A0">
              <w:t>, developed and published online within 9 months of the project implementation</w:t>
            </w:r>
            <w:r>
              <w:t>;</w:t>
            </w:r>
            <w:r w:rsidR="00902D83">
              <w:t xml:space="preserve">  </w:t>
            </w:r>
          </w:p>
          <w:p w14:paraId="70300E3D" w14:textId="4C5F1D6E" w:rsidR="00816300" w:rsidRDefault="0017641B" w:rsidP="0017641B">
            <w:pPr>
              <w:pStyle w:val="TableParagraph"/>
              <w:numPr>
                <w:ilvl w:val="0"/>
                <w:numId w:val="22"/>
              </w:numPr>
            </w:pPr>
            <w:r>
              <w:t>Three events held (one in each beneficiary country) and attended by at least 2 representatives of each selected creative sectors.  Tools successfully adjusted to respond to the collected feedback, if any, within one month from the event</w:t>
            </w:r>
            <w:r w:rsidR="005178A0">
              <w:t xml:space="preserve">.  </w:t>
            </w:r>
          </w:p>
          <w:p w14:paraId="18CDA927" w14:textId="1471E377" w:rsidR="009E4CA8" w:rsidRPr="00531397" w:rsidRDefault="009E4CA8" w:rsidP="009E4CA8">
            <w:pPr>
              <w:pStyle w:val="TableParagraph"/>
              <w:ind w:left="720"/>
            </w:pPr>
          </w:p>
        </w:tc>
      </w:tr>
      <w:tr w:rsidR="000463E8" w:rsidRPr="00C6096E" w14:paraId="0112061A" w14:textId="77777777" w:rsidTr="00A56C91">
        <w:trPr>
          <w:trHeight w:val="280"/>
        </w:trPr>
        <w:tc>
          <w:tcPr>
            <w:tcW w:w="9352" w:type="dxa"/>
            <w:shd w:val="clear" w:color="auto" w:fill="68E089"/>
          </w:tcPr>
          <w:p w14:paraId="188352F3" w14:textId="73EB6C73" w:rsidR="000463E8" w:rsidRPr="003B0A9E" w:rsidRDefault="007363AB" w:rsidP="0020698E">
            <w:pPr>
              <w:pStyle w:val="TableParagraph"/>
              <w:ind w:left="110"/>
              <w:jc w:val="center"/>
              <w:rPr>
                <w:b/>
                <w:bCs/>
              </w:rPr>
            </w:pPr>
            <w:r>
              <w:rPr>
                <w:b/>
                <w:bCs/>
              </w:rPr>
              <w:t>2.4</w:t>
            </w:r>
            <w:r w:rsidR="000463E8">
              <w:rPr>
                <w:b/>
                <w:bCs/>
              </w:rPr>
              <w:t xml:space="preserve"> </w:t>
            </w:r>
            <w:r w:rsidR="000463E8" w:rsidRPr="003B0A9E">
              <w:rPr>
                <w:b/>
                <w:bCs/>
              </w:rPr>
              <w:t>Sustainability Strategy</w:t>
            </w:r>
          </w:p>
        </w:tc>
      </w:tr>
      <w:tr w:rsidR="000463E8" w:rsidRPr="00C6096E" w14:paraId="79AA743B" w14:textId="77777777" w:rsidTr="00A56C91">
        <w:trPr>
          <w:trHeight w:val="370"/>
        </w:trPr>
        <w:tc>
          <w:tcPr>
            <w:tcW w:w="9352" w:type="dxa"/>
          </w:tcPr>
          <w:p w14:paraId="02B7C17E" w14:textId="0742CD6E" w:rsidR="005B5FD7" w:rsidRDefault="005B5FD7" w:rsidP="005B5FD7">
            <w:pPr>
              <w:pStyle w:val="TableParagraph"/>
              <w:ind w:left="110"/>
            </w:pPr>
            <w:r>
              <w:t xml:space="preserve">To ensure the sustainability of the project results, it is important that that the tools developed in the context of phases I and II of the project </w:t>
            </w:r>
            <w:r w:rsidR="0062314D">
              <w:t>are maintained</w:t>
            </w:r>
            <w:r>
              <w:t xml:space="preserve"> up-to-date and relevant to the target stakeholder groups.  It is also important that both WIPO and Member States </w:t>
            </w:r>
            <w:r w:rsidR="0062314D">
              <w:t xml:space="preserve">ensure that the tools developed in the context of the project are easily accessible by stakeholders, and continue to increase awareness about them, to ensure their greater </w:t>
            </w:r>
            <w:r>
              <w:t xml:space="preserve">use in the delivery of capacity building activities in the future.  When and if needed, the tools could be customized and/or translated into additional languages. </w:t>
            </w:r>
          </w:p>
          <w:p w14:paraId="3B526EE5" w14:textId="77777777" w:rsidR="00ED1DB8" w:rsidRDefault="00ED1DB8" w:rsidP="005B5FD7">
            <w:pPr>
              <w:pStyle w:val="TableParagraph"/>
              <w:ind w:left="110"/>
            </w:pPr>
          </w:p>
          <w:p w14:paraId="783A8FC5" w14:textId="77AA9984" w:rsidR="000463E8" w:rsidRDefault="005B5FD7" w:rsidP="00A60EA4">
            <w:pPr>
              <w:pStyle w:val="TableParagraph"/>
              <w:ind w:left="110"/>
            </w:pPr>
            <w:r>
              <w:t>In addition, t</w:t>
            </w:r>
            <w:r w:rsidRPr="005B5FD7">
              <w:t>he 28</w:t>
            </w:r>
            <w:r w:rsidRPr="005B5FD7">
              <w:rPr>
                <w:vertAlign w:val="superscript"/>
              </w:rPr>
              <w:t>th</w:t>
            </w:r>
            <w:r w:rsidRPr="005B5FD7">
              <w:t xml:space="preserve"> session of the CDIP approved the mainstreaming of the project outputs</w:t>
            </w:r>
            <w:r w:rsidRPr="005B5FD7">
              <w:rPr>
                <w:vertAlign w:val="superscript"/>
              </w:rPr>
              <w:footnoteReference w:id="3"/>
            </w:r>
            <w:r w:rsidRPr="005B5FD7">
              <w:t xml:space="preserve">.  </w:t>
            </w:r>
            <w:r>
              <w:t>Hence</w:t>
            </w:r>
            <w:r w:rsidRPr="005B5FD7">
              <w:t xml:space="preserve">, the Secretariat will ensure that the </w:t>
            </w:r>
            <w:r>
              <w:t xml:space="preserve">project </w:t>
            </w:r>
            <w:r w:rsidRPr="005B5FD7">
              <w:t xml:space="preserve">outputs </w:t>
            </w:r>
            <w:r>
              <w:t xml:space="preserve">are duly </w:t>
            </w:r>
            <w:r w:rsidRPr="005B5FD7">
              <w:t xml:space="preserve">integrated in the regular work of </w:t>
            </w:r>
            <w:r>
              <w:t>WIPO</w:t>
            </w:r>
            <w:r w:rsidRPr="005B5FD7">
              <w:t xml:space="preserve">. </w:t>
            </w:r>
          </w:p>
        </w:tc>
      </w:tr>
      <w:tr w:rsidR="000463E8" w:rsidRPr="00C6096E" w14:paraId="1C321A0C" w14:textId="77777777" w:rsidTr="00A56C91">
        <w:trPr>
          <w:trHeight w:val="253"/>
        </w:trPr>
        <w:tc>
          <w:tcPr>
            <w:tcW w:w="9352" w:type="dxa"/>
            <w:shd w:val="clear" w:color="auto" w:fill="68E089"/>
          </w:tcPr>
          <w:p w14:paraId="1B3A072D" w14:textId="7B00959C" w:rsidR="000463E8" w:rsidRPr="00C6096E" w:rsidRDefault="007363AB" w:rsidP="0020698E">
            <w:pPr>
              <w:pStyle w:val="TableParagraph"/>
              <w:spacing w:line="234" w:lineRule="exact"/>
              <w:ind w:left="102" w:right="90"/>
              <w:jc w:val="center"/>
              <w:rPr>
                <w:b/>
              </w:rPr>
            </w:pPr>
            <w:r>
              <w:rPr>
                <w:b/>
              </w:rPr>
              <w:t>2.5</w:t>
            </w:r>
            <w:r w:rsidR="000463E8">
              <w:rPr>
                <w:b/>
              </w:rPr>
              <w:t xml:space="preserve"> </w:t>
            </w:r>
            <w:r w:rsidR="000463E8" w:rsidRPr="00C6096E">
              <w:rPr>
                <w:b/>
              </w:rPr>
              <w:t>Selection Criteria for Pilot</w:t>
            </w:r>
            <w:r w:rsidR="000463E8">
              <w:rPr>
                <w:b/>
              </w:rPr>
              <w:t>/Beneficiary</w:t>
            </w:r>
            <w:r w:rsidR="000463E8" w:rsidRPr="00C6096E">
              <w:rPr>
                <w:b/>
              </w:rPr>
              <w:t xml:space="preserve"> Countries</w:t>
            </w:r>
          </w:p>
        </w:tc>
      </w:tr>
      <w:tr w:rsidR="000463E8" w:rsidRPr="00C6096E" w14:paraId="206E26E7" w14:textId="77777777" w:rsidTr="00A56C91">
        <w:trPr>
          <w:trHeight w:val="253"/>
        </w:trPr>
        <w:tc>
          <w:tcPr>
            <w:tcW w:w="9352" w:type="dxa"/>
            <w:shd w:val="clear" w:color="auto" w:fill="FFFFFF" w:themeFill="background1"/>
          </w:tcPr>
          <w:p w14:paraId="7DC419BD" w14:textId="2605A7C7" w:rsidR="00AE6A73" w:rsidRDefault="000463E8" w:rsidP="009E4CA8">
            <w:pPr>
              <w:pStyle w:val="TableParagraph"/>
              <w:spacing w:line="234" w:lineRule="exact"/>
              <w:ind w:left="102" w:right="90"/>
            </w:pPr>
            <w:r>
              <w:t>Beneficiary countries will constitute the same</w:t>
            </w:r>
            <w:r w:rsidR="009E4CA8">
              <w:t xml:space="preserve"> as those </w:t>
            </w:r>
            <w:r w:rsidR="00831387">
              <w:t xml:space="preserve">that </w:t>
            </w:r>
            <w:r w:rsidR="009E4CA8">
              <w:t>participated in p</w:t>
            </w:r>
            <w:r>
              <w:t>hase I, namely</w:t>
            </w:r>
            <w:r w:rsidR="009E4CA8">
              <w:t>:</w:t>
            </w:r>
            <w:r>
              <w:t xml:space="preserve"> Kenya, </w:t>
            </w:r>
            <w:r w:rsidR="00831387">
              <w:t xml:space="preserve">the Philippines, and </w:t>
            </w:r>
            <w:r>
              <w:t xml:space="preserve">Trinidad and Tobago. </w:t>
            </w:r>
            <w:r w:rsidRPr="00C6096E">
              <w:t xml:space="preserve"> </w:t>
            </w:r>
          </w:p>
          <w:p w14:paraId="491E09E3" w14:textId="61CC82D5" w:rsidR="009F1173" w:rsidRPr="00C6096E" w:rsidRDefault="009F1173" w:rsidP="009E4CA8">
            <w:pPr>
              <w:pStyle w:val="TableParagraph"/>
              <w:spacing w:line="234" w:lineRule="exact"/>
              <w:ind w:left="102" w:right="90"/>
            </w:pPr>
          </w:p>
        </w:tc>
      </w:tr>
      <w:tr w:rsidR="000463E8" w:rsidRPr="00C6096E" w14:paraId="26C4B5DF" w14:textId="77777777" w:rsidTr="00A56C91">
        <w:trPr>
          <w:trHeight w:val="253"/>
        </w:trPr>
        <w:tc>
          <w:tcPr>
            <w:tcW w:w="9352" w:type="dxa"/>
            <w:shd w:val="clear" w:color="auto" w:fill="68E089"/>
          </w:tcPr>
          <w:p w14:paraId="3CD732CD" w14:textId="09914655" w:rsidR="000463E8" w:rsidRPr="00C6096E" w:rsidRDefault="000463E8" w:rsidP="007363AB">
            <w:pPr>
              <w:pStyle w:val="TableParagraph"/>
              <w:spacing w:line="234" w:lineRule="exact"/>
              <w:ind w:left="102" w:right="90"/>
              <w:jc w:val="center"/>
              <w:rPr>
                <w:b/>
              </w:rPr>
            </w:pPr>
            <w:r>
              <w:rPr>
                <w:b/>
              </w:rPr>
              <w:t>2.</w:t>
            </w:r>
            <w:r w:rsidR="007363AB">
              <w:rPr>
                <w:b/>
              </w:rPr>
              <w:t>6</w:t>
            </w:r>
            <w:r>
              <w:rPr>
                <w:b/>
              </w:rPr>
              <w:t xml:space="preserve"> </w:t>
            </w:r>
            <w:r w:rsidRPr="00C6096E">
              <w:rPr>
                <w:b/>
              </w:rPr>
              <w:t>Implementing</w:t>
            </w:r>
            <w:r w:rsidRPr="00C6096E">
              <w:rPr>
                <w:b/>
                <w:spacing w:val="-6"/>
              </w:rPr>
              <w:t xml:space="preserve"> </w:t>
            </w:r>
            <w:r w:rsidRPr="00C6096E">
              <w:rPr>
                <w:b/>
              </w:rPr>
              <w:t>Organizational Entity</w:t>
            </w:r>
          </w:p>
        </w:tc>
      </w:tr>
      <w:tr w:rsidR="000463E8" w:rsidRPr="00C6096E" w14:paraId="095BE518" w14:textId="77777777" w:rsidTr="00A56C91">
        <w:trPr>
          <w:trHeight w:val="416"/>
        </w:trPr>
        <w:tc>
          <w:tcPr>
            <w:tcW w:w="9352" w:type="dxa"/>
          </w:tcPr>
          <w:p w14:paraId="6381E5DB" w14:textId="77777777" w:rsidR="000463E8" w:rsidRPr="0084101F" w:rsidRDefault="000463E8" w:rsidP="0020698E">
            <w:pPr>
              <w:pStyle w:val="TableParagraph"/>
              <w:ind w:left="110" w:right="614"/>
            </w:pPr>
            <w:r w:rsidRPr="008E3C58">
              <w:t>Copyright and Creative Industries Sector</w:t>
            </w:r>
            <w:r>
              <w:t xml:space="preserve">, </w:t>
            </w:r>
            <w:r w:rsidRPr="008E3C58">
              <w:t>Information and Digital Outreach Division</w:t>
            </w:r>
          </w:p>
        </w:tc>
      </w:tr>
      <w:tr w:rsidR="000463E8" w:rsidRPr="00C6096E" w14:paraId="66ADE246" w14:textId="77777777" w:rsidTr="00A56C91">
        <w:trPr>
          <w:trHeight w:val="254"/>
        </w:trPr>
        <w:tc>
          <w:tcPr>
            <w:tcW w:w="9352" w:type="dxa"/>
            <w:shd w:val="clear" w:color="auto" w:fill="68E089"/>
          </w:tcPr>
          <w:p w14:paraId="257077BA" w14:textId="39962522" w:rsidR="000463E8" w:rsidRPr="00C6096E" w:rsidRDefault="000463E8" w:rsidP="007363AB">
            <w:pPr>
              <w:pStyle w:val="TableParagraph"/>
              <w:spacing w:line="234" w:lineRule="exact"/>
              <w:ind w:left="102" w:right="90"/>
              <w:jc w:val="center"/>
              <w:rPr>
                <w:b/>
              </w:rPr>
            </w:pPr>
            <w:r>
              <w:rPr>
                <w:b/>
              </w:rPr>
              <w:t>2.</w:t>
            </w:r>
            <w:r w:rsidR="007363AB">
              <w:rPr>
                <w:b/>
              </w:rPr>
              <w:t>7</w:t>
            </w:r>
            <w:r>
              <w:rPr>
                <w:b/>
              </w:rPr>
              <w:t xml:space="preserve"> </w:t>
            </w:r>
            <w:r w:rsidRPr="00C6096E">
              <w:rPr>
                <w:b/>
              </w:rPr>
              <w:t>Links</w:t>
            </w:r>
            <w:r w:rsidRPr="00C6096E">
              <w:rPr>
                <w:b/>
                <w:spacing w:val="-4"/>
              </w:rPr>
              <w:t xml:space="preserve"> </w:t>
            </w:r>
            <w:r w:rsidRPr="00C6096E">
              <w:rPr>
                <w:b/>
              </w:rPr>
              <w:t>to</w:t>
            </w:r>
            <w:r w:rsidRPr="00C6096E">
              <w:rPr>
                <w:b/>
                <w:spacing w:val="-1"/>
              </w:rPr>
              <w:t xml:space="preserve"> </w:t>
            </w:r>
            <w:r w:rsidRPr="00C6096E">
              <w:rPr>
                <w:b/>
              </w:rPr>
              <w:t>other</w:t>
            </w:r>
            <w:r w:rsidRPr="00C6096E">
              <w:rPr>
                <w:b/>
                <w:spacing w:val="-2"/>
              </w:rPr>
              <w:t xml:space="preserve"> </w:t>
            </w:r>
            <w:r w:rsidRPr="00C6096E">
              <w:rPr>
                <w:b/>
              </w:rPr>
              <w:t>Organizational</w:t>
            </w:r>
            <w:r w:rsidRPr="00C6096E">
              <w:rPr>
                <w:b/>
                <w:spacing w:val="1"/>
              </w:rPr>
              <w:t xml:space="preserve"> </w:t>
            </w:r>
            <w:r w:rsidRPr="00C6096E">
              <w:rPr>
                <w:b/>
              </w:rPr>
              <w:t>Entities</w:t>
            </w:r>
          </w:p>
        </w:tc>
      </w:tr>
      <w:tr w:rsidR="000463E8" w:rsidRPr="00C6096E" w14:paraId="0AA1DEC7" w14:textId="77777777" w:rsidTr="00A56C91">
        <w:trPr>
          <w:trHeight w:val="431"/>
        </w:trPr>
        <w:tc>
          <w:tcPr>
            <w:tcW w:w="9352" w:type="dxa"/>
          </w:tcPr>
          <w:p w14:paraId="4539D025" w14:textId="3411F5BC" w:rsidR="000463E8" w:rsidRDefault="000463E8" w:rsidP="003B504F">
            <w:pPr>
              <w:pStyle w:val="TableParagraph"/>
              <w:spacing w:before="1"/>
              <w:ind w:left="110"/>
            </w:pPr>
            <w:r>
              <w:t xml:space="preserve">Regional </w:t>
            </w:r>
            <w:r w:rsidR="00C00C8D">
              <w:t>a</w:t>
            </w:r>
            <w:r w:rsidR="003B504F">
              <w:t xml:space="preserve">nd National Development Sector </w:t>
            </w:r>
          </w:p>
          <w:p w14:paraId="127754D6" w14:textId="77777777" w:rsidR="00C00C8D" w:rsidRDefault="00C00C8D" w:rsidP="00C00C8D">
            <w:pPr>
              <w:pStyle w:val="TableParagraph"/>
              <w:spacing w:before="1"/>
              <w:ind w:left="110"/>
            </w:pPr>
            <w:r w:rsidRPr="00C00C8D">
              <w:t>IP and Innovation Ecosystems Sector</w:t>
            </w:r>
          </w:p>
          <w:p w14:paraId="37CE911D" w14:textId="756DDAFF" w:rsidR="00C00C8D" w:rsidRPr="00C6096E" w:rsidRDefault="00C00C8D" w:rsidP="00C00C8D">
            <w:pPr>
              <w:pStyle w:val="TableParagraph"/>
              <w:spacing w:before="1"/>
              <w:ind w:left="110"/>
            </w:pPr>
          </w:p>
        </w:tc>
      </w:tr>
      <w:tr w:rsidR="000463E8" w:rsidRPr="00C6096E" w14:paraId="47438020" w14:textId="77777777" w:rsidTr="00A56C91">
        <w:trPr>
          <w:trHeight w:val="361"/>
        </w:trPr>
        <w:tc>
          <w:tcPr>
            <w:tcW w:w="9352" w:type="dxa"/>
            <w:shd w:val="clear" w:color="auto" w:fill="68E089"/>
          </w:tcPr>
          <w:p w14:paraId="7EEC3894" w14:textId="4600FD3D" w:rsidR="000463E8" w:rsidRPr="00C6096E" w:rsidRDefault="000463E8" w:rsidP="007363AB">
            <w:pPr>
              <w:pStyle w:val="TableParagraph"/>
              <w:spacing w:line="250" w:lineRule="exact"/>
              <w:ind w:left="110"/>
              <w:jc w:val="center"/>
            </w:pPr>
            <w:r>
              <w:rPr>
                <w:b/>
              </w:rPr>
              <w:t>2.</w:t>
            </w:r>
            <w:r w:rsidR="007363AB">
              <w:rPr>
                <w:b/>
              </w:rPr>
              <w:t>8</w:t>
            </w:r>
            <w:r>
              <w:rPr>
                <w:b/>
              </w:rPr>
              <w:t xml:space="preserve"> </w:t>
            </w:r>
            <w:r w:rsidRPr="00C6096E">
              <w:rPr>
                <w:b/>
              </w:rPr>
              <w:t>Links</w:t>
            </w:r>
            <w:r w:rsidRPr="00C6096E">
              <w:rPr>
                <w:b/>
                <w:spacing w:val="-2"/>
              </w:rPr>
              <w:t xml:space="preserve"> </w:t>
            </w:r>
            <w:r w:rsidRPr="00C6096E">
              <w:rPr>
                <w:b/>
              </w:rPr>
              <w:t>to</w:t>
            </w:r>
            <w:r w:rsidRPr="00C6096E">
              <w:rPr>
                <w:b/>
                <w:spacing w:val="1"/>
              </w:rPr>
              <w:t xml:space="preserve"> </w:t>
            </w:r>
            <w:r w:rsidRPr="00C6096E">
              <w:rPr>
                <w:b/>
              </w:rPr>
              <w:t>other</w:t>
            </w:r>
            <w:r w:rsidRPr="00C6096E">
              <w:rPr>
                <w:b/>
                <w:spacing w:val="2"/>
              </w:rPr>
              <w:t xml:space="preserve"> </w:t>
            </w:r>
            <w:r w:rsidRPr="00C6096E">
              <w:rPr>
                <w:b/>
              </w:rPr>
              <w:t>DA</w:t>
            </w:r>
            <w:r w:rsidRPr="00C6096E">
              <w:rPr>
                <w:b/>
                <w:spacing w:val="-7"/>
              </w:rPr>
              <w:t xml:space="preserve"> </w:t>
            </w:r>
            <w:r w:rsidRPr="00C6096E">
              <w:rPr>
                <w:b/>
              </w:rPr>
              <w:t>Projects</w:t>
            </w:r>
          </w:p>
        </w:tc>
      </w:tr>
      <w:tr w:rsidR="000463E8" w:rsidRPr="00CD4E4B" w14:paraId="00361425" w14:textId="77777777" w:rsidTr="00A56C91">
        <w:trPr>
          <w:trHeight w:val="568"/>
        </w:trPr>
        <w:tc>
          <w:tcPr>
            <w:tcW w:w="9352" w:type="dxa"/>
          </w:tcPr>
          <w:p w14:paraId="039716EF" w14:textId="5D9C2C49" w:rsidR="000463E8" w:rsidRPr="00CD4E4B" w:rsidRDefault="00B5447A" w:rsidP="003F2B7B">
            <w:pPr>
              <w:pStyle w:val="TableParagraph"/>
              <w:ind w:left="110" w:right="614"/>
            </w:pPr>
            <w:r w:rsidRPr="00CD4E4B">
              <w:t xml:space="preserve">DA Project on </w:t>
            </w:r>
            <w:r w:rsidR="00CD4E4B" w:rsidRPr="00CD4E4B">
              <w:t>Enhancing the Use of Intellectual Property in the Software Sector</w:t>
            </w:r>
            <w:r w:rsidR="003F2B7B">
              <w:t xml:space="preserve"> </w:t>
            </w:r>
            <w:r w:rsidR="00CD4E4B">
              <w:t>(</w:t>
            </w:r>
            <w:r w:rsidR="000463E8" w:rsidRPr="00CD4E4B">
              <w:t>DA_11_23_24_27_01</w:t>
            </w:r>
            <w:r w:rsidR="00CD4E4B">
              <w:t>)</w:t>
            </w:r>
          </w:p>
          <w:p w14:paraId="6B49906A" w14:textId="34563D99" w:rsidR="000463E8" w:rsidRPr="00CD4E4B" w:rsidRDefault="000463E8" w:rsidP="003F2B7B">
            <w:pPr>
              <w:pStyle w:val="TableParagraph"/>
              <w:ind w:right="614"/>
            </w:pPr>
          </w:p>
        </w:tc>
      </w:tr>
      <w:tr w:rsidR="000463E8" w:rsidRPr="00C6096E" w14:paraId="2766D841" w14:textId="77777777" w:rsidTr="00A56C91">
        <w:trPr>
          <w:trHeight w:val="406"/>
        </w:trPr>
        <w:tc>
          <w:tcPr>
            <w:tcW w:w="9352" w:type="dxa"/>
            <w:shd w:val="clear" w:color="auto" w:fill="68E089"/>
          </w:tcPr>
          <w:p w14:paraId="35AF76A1" w14:textId="0EF75CB7" w:rsidR="000463E8" w:rsidRPr="00C6096E" w:rsidRDefault="000463E8" w:rsidP="007363AB">
            <w:pPr>
              <w:pStyle w:val="TableParagraph"/>
              <w:spacing w:line="246" w:lineRule="exact"/>
              <w:ind w:left="110"/>
              <w:jc w:val="center"/>
            </w:pPr>
            <w:r>
              <w:rPr>
                <w:b/>
              </w:rPr>
              <w:t>2.</w:t>
            </w:r>
            <w:r w:rsidR="007363AB">
              <w:rPr>
                <w:b/>
              </w:rPr>
              <w:t>9</w:t>
            </w:r>
            <w:r>
              <w:rPr>
                <w:b/>
              </w:rPr>
              <w:t xml:space="preserve"> </w:t>
            </w:r>
            <w:r w:rsidRPr="00C6096E">
              <w:rPr>
                <w:b/>
              </w:rPr>
              <w:t>Contribution</w:t>
            </w:r>
            <w:r w:rsidRPr="00C6096E">
              <w:rPr>
                <w:b/>
                <w:spacing w:val="-5"/>
              </w:rPr>
              <w:t xml:space="preserve"> </w:t>
            </w:r>
            <w:r w:rsidRPr="00C6096E">
              <w:rPr>
                <w:b/>
              </w:rPr>
              <w:t>to</w:t>
            </w:r>
            <w:r w:rsidRPr="00C6096E">
              <w:rPr>
                <w:b/>
                <w:spacing w:val="-4"/>
              </w:rPr>
              <w:t xml:space="preserve"> </w:t>
            </w:r>
            <w:r w:rsidRPr="00C6096E">
              <w:rPr>
                <w:b/>
              </w:rPr>
              <w:t>Expected</w:t>
            </w:r>
            <w:r w:rsidRPr="00C6096E">
              <w:rPr>
                <w:b/>
                <w:spacing w:val="-2"/>
              </w:rPr>
              <w:t xml:space="preserve"> </w:t>
            </w:r>
            <w:r w:rsidRPr="00C6096E">
              <w:rPr>
                <w:b/>
              </w:rPr>
              <w:t>Results</w:t>
            </w:r>
            <w:r w:rsidRPr="00C6096E">
              <w:rPr>
                <w:b/>
                <w:spacing w:val="-4"/>
              </w:rPr>
              <w:t xml:space="preserve"> </w:t>
            </w:r>
            <w:r w:rsidRPr="00C6096E">
              <w:rPr>
                <w:b/>
              </w:rPr>
              <w:t>in</w:t>
            </w:r>
            <w:r w:rsidRPr="00C6096E">
              <w:rPr>
                <w:b/>
                <w:spacing w:val="-4"/>
              </w:rPr>
              <w:t xml:space="preserve"> </w:t>
            </w:r>
            <w:r w:rsidRPr="00C6096E">
              <w:rPr>
                <w:b/>
              </w:rPr>
              <w:t>WIPO</w:t>
            </w:r>
            <w:r w:rsidR="0087776D">
              <w:rPr>
                <w:b/>
              </w:rPr>
              <w:t>’</w:t>
            </w:r>
            <w:r w:rsidRPr="00C6096E">
              <w:rPr>
                <w:b/>
              </w:rPr>
              <w:t>s</w:t>
            </w:r>
            <w:r w:rsidRPr="00C6096E">
              <w:rPr>
                <w:b/>
                <w:spacing w:val="-4"/>
              </w:rPr>
              <w:t xml:space="preserve"> </w:t>
            </w:r>
            <w:r w:rsidRPr="00C6096E">
              <w:rPr>
                <w:b/>
              </w:rPr>
              <w:t>Program</w:t>
            </w:r>
            <w:r w:rsidRPr="00C6096E">
              <w:rPr>
                <w:b/>
                <w:spacing w:val="-4"/>
              </w:rPr>
              <w:t xml:space="preserve"> </w:t>
            </w:r>
            <w:r w:rsidRPr="00C6096E">
              <w:rPr>
                <w:b/>
              </w:rPr>
              <w:t>and</w:t>
            </w:r>
            <w:r w:rsidRPr="00C6096E">
              <w:rPr>
                <w:b/>
                <w:spacing w:val="-2"/>
              </w:rPr>
              <w:t xml:space="preserve"> </w:t>
            </w:r>
            <w:r w:rsidRPr="00C6096E">
              <w:rPr>
                <w:b/>
              </w:rPr>
              <w:t>Budget</w:t>
            </w:r>
          </w:p>
        </w:tc>
      </w:tr>
      <w:tr w:rsidR="000463E8" w:rsidRPr="00C6096E" w14:paraId="62F0300B" w14:textId="77777777" w:rsidTr="00A56C91">
        <w:trPr>
          <w:trHeight w:val="451"/>
        </w:trPr>
        <w:tc>
          <w:tcPr>
            <w:tcW w:w="9352" w:type="dxa"/>
          </w:tcPr>
          <w:p w14:paraId="6DE3F625" w14:textId="19FE5F4B" w:rsidR="000463E8" w:rsidRDefault="00E34B57" w:rsidP="00E34B57">
            <w:pPr>
              <w:pStyle w:val="TableParagraph"/>
              <w:spacing w:line="246" w:lineRule="exact"/>
              <w:ind w:left="110"/>
            </w:pPr>
            <w:r>
              <w:t xml:space="preserve">4.1 More effective use of IP to support growth and development of all Member States and their relevant regions and sub-regions, including through the mainstreaming of the Development Agenda recommendations. </w:t>
            </w:r>
          </w:p>
          <w:p w14:paraId="754AC6B8" w14:textId="50B66BB1" w:rsidR="00125D30" w:rsidRDefault="00125D30" w:rsidP="00E34B57">
            <w:pPr>
              <w:pStyle w:val="TableParagraph"/>
              <w:spacing w:line="246" w:lineRule="exact"/>
              <w:ind w:left="110"/>
            </w:pPr>
          </w:p>
          <w:p w14:paraId="014E400B" w14:textId="5AEBC25A" w:rsidR="00125D30" w:rsidRDefault="00125D30" w:rsidP="00E34B57">
            <w:pPr>
              <w:pStyle w:val="TableParagraph"/>
              <w:spacing w:line="246" w:lineRule="exact"/>
              <w:ind w:left="110"/>
            </w:pPr>
            <w:r>
              <w:t xml:space="preserve">4.2 Development of balanced and effective IP, innovation and creative ecosystems in Member States. </w:t>
            </w:r>
          </w:p>
          <w:p w14:paraId="0375DB00" w14:textId="5B5F410D" w:rsidR="00125D30" w:rsidRDefault="00125D30" w:rsidP="00E34B57">
            <w:pPr>
              <w:pStyle w:val="TableParagraph"/>
              <w:spacing w:line="246" w:lineRule="exact"/>
              <w:ind w:left="110"/>
            </w:pPr>
          </w:p>
          <w:p w14:paraId="704F7672" w14:textId="08B18D87" w:rsidR="00125D30" w:rsidRDefault="00125D30" w:rsidP="00E34B57">
            <w:pPr>
              <w:pStyle w:val="TableParagraph"/>
              <w:spacing w:line="246" w:lineRule="exact"/>
              <w:ind w:left="110"/>
            </w:pPr>
            <w:r>
              <w:t xml:space="preserve">4.3 Increased IP knowledge and skills in all Member States. </w:t>
            </w:r>
          </w:p>
          <w:p w14:paraId="4006842C" w14:textId="77777777" w:rsidR="00E34B57" w:rsidRDefault="00E34B57" w:rsidP="00E34B57">
            <w:pPr>
              <w:pStyle w:val="TableParagraph"/>
              <w:spacing w:line="246" w:lineRule="exact"/>
              <w:ind w:left="110"/>
              <w:rPr>
                <w:b/>
              </w:rPr>
            </w:pPr>
          </w:p>
          <w:p w14:paraId="51D7E81B" w14:textId="577DC0AE" w:rsidR="00344570" w:rsidRPr="00C6096E" w:rsidRDefault="00E34B57" w:rsidP="00A60EA4">
            <w:pPr>
              <w:pStyle w:val="TableParagraph"/>
              <w:spacing w:line="246" w:lineRule="exact"/>
              <w:ind w:left="110"/>
              <w:rPr>
                <w:b/>
              </w:rPr>
            </w:pPr>
            <w:r>
              <w:t>4.4 More innovators, creators, SMEs, universities, research institutions and communi</w:t>
            </w:r>
            <w:r w:rsidR="00125D30">
              <w:t xml:space="preserve">ties leverage IP successfully. </w:t>
            </w:r>
          </w:p>
        </w:tc>
      </w:tr>
      <w:tr w:rsidR="000463E8" w:rsidRPr="00C6096E" w14:paraId="6BC32EB5" w14:textId="77777777" w:rsidTr="00A56C91">
        <w:trPr>
          <w:trHeight w:val="352"/>
        </w:trPr>
        <w:tc>
          <w:tcPr>
            <w:tcW w:w="9352" w:type="dxa"/>
            <w:shd w:val="clear" w:color="auto" w:fill="68E089"/>
          </w:tcPr>
          <w:p w14:paraId="337006D7" w14:textId="1FB4D37D" w:rsidR="000463E8" w:rsidRPr="00C6096E" w:rsidRDefault="007363AB" w:rsidP="0020698E">
            <w:pPr>
              <w:pStyle w:val="TableParagraph"/>
              <w:ind w:left="110" w:right="77"/>
              <w:jc w:val="center"/>
              <w:rPr>
                <w:b/>
              </w:rPr>
            </w:pPr>
            <w:r>
              <w:rPr>
                <w:b/>
              </w:rPr>
              <w:t>2.</w:t>
            </w:r>
            <w:r w:rsidR="000463E8" w:rsidRPr="00007ABB">
              <w:rPr>
                <w:b/>
              </w:rPr>
              <w:t>1</w:t>
            </w:r>
            <w:r>
              <w:rPr>
                <w:b/>
              </w:rPr>
              <w:t>0</w:t>
            </w:r>
            <w:r w:rsidR="000463E8" w:rsidRPr="00007ABB">
              <w:rPr>
                <w:b/>
              </w:rPr>
              <w:t xml:space="preserve"> Risk and Mitigation</w:t>
            </w:r>
          </w:p>
        </w:tc>
      </w:tr>
      <w:tr w:rsidR="000463E8" w:rsidRPr="00C6096E" w14:paraId="1292B5C0" w14:textId="77777777" w:rsidTr="00A56C91">
        <w:trPr>
          <w:trHeight w:val="424"/>
        </w:trPr>
        <w:tc>
          <w:tcPr>
            <w:tcW w:w="9352" w:type="dxa"/>
            <w:shd w:val="clear" w:color="auto" w:fill="FFFFFF" w:themeFill="background1"/>
          </w:tcPr>
          <w:p w14:paraId="1B22640B" w14:textId="1D0C3B03" w:rsidR="00A62A17" w:rsidRDefault="00392F64" w:rsidP="00C00C8D">
            <w:pPr>
              <w:pStyle w:val="TableParagraph"/>
              <w:ind w:left="110" w:right="77"/>
            </w:pPr>
            <w:r>
              <w:rPr>
                <w:b/>
                <w:bCs/>
              </w:rPr>
              <w:t>Risk I</w:t>
            </w:r>
            <w:r w:rsidR="00A62A17">
              <w:t xml:space="preserve">: </w:t>
            </w:r>
            <w:r w:rsidR="00C86EA4">
              <w:t xml:space="preserve"> </w:t>
            </w:r>
            <w:r w:rsidR="00007ABB">
              <w:t>difficulties in identifying mobile ap</w:t>
            </w:r>
            <w:r w:rsidR="00C00C8D">
              <w:t>p</w:t>
            </w:r>
            <w:r w:rsidR="00007ABB">
              <w:t xml:space="preserve"> developers in the selected creative indus</w:t>
            </w:r>
            <w:r w:rsidR="00C00C8D">
              <w:t>try spheres</w:t>
            </w:r>
            <w:r w:rsidR="00007ABB">
              <w:t xml:space="preserve"> (</w:t>
            </w:r>
            <w:r w:rsidR="00007ABB" w:rsidRPr="000E6AF4">
              <w:t>music, publishing, videogames and audiovisual content</w:t>
            </w:r>
            <w:r w:rsidR="00007ABB">
              <w:t>)</w:t>
            </w:r>
          </w:p>
          <w:p w14:paraId="37CC6364" w14:textId="77777777" w:rsidR="00A62A17" w:rsidRDefault="00A62A17" w:rsidP="00A62A17">
            <w:pPr>
              <w:pStyle w:val="TableParagraph"/>
              <w:ind w:left="110" w:right="77"/>
            </w:pPr>
          </w:p>
          <w:p w14:paraId="41E8B2BC" w14:textId="63B9BCCC" w:rsidR="00A62A17" w:rsidRDefault="00392F64" w:rsidP="00C00C8D">
            <w:pPr>
              <w:pStyle w:val="TableParagraph"/>
              <w:ind w:left="110" w:right="77"/>
            </w:pPr>
            <w:r>
              <w:rPr>
                <w:b/>
                <w:bCs/>
              </w:rPr>
              <w:t>Mitigation I</w:t>
            </w:r>
            <w:r w:rsidR="00A62A17">
              <w:t xml:space="preserve">:  </w:t>
            </w:r>
            <w:r w:rsidR="00007ABB">
              <w:t xml:space="preserve">Development of a clear and targeted communication or outreach strategy in close coordination with the local partners in each of the beneficiary country. </w:t>
            </w:r>
            <w:r w:rsidR="00A62A17">
              <w:t xml:space="preserve"> </w:t>
            </w:r>
          </w:p>
          <w:p w14:paraId="66771D5B" w14:textId="77777777" w:rsidR="00A62A17" w:rsidRDefault="00A62A17" w:rsidP="00A62A17">
            <w:pPr>
              <w:pStyle w:val="TableParagraph"/>
              <w:ind w:left="110" w:right="77"/>
            </w:pPr>
          </w:p>
          <w:p w14:paraId="31744C8A" w14:textId="23439CB3" w:rsidR="00A62A17" w:rsidRDefault="00392F64" w:rsidP="00007ABB">
            <w:pPr>
              <w:pStyle w:val="TableParagraph"/>
              <w:ind w:left="110" w:right="77"/>
            </w:pPr>
            <w:r>
              <w:rPr>
                <w:b/>
                <w:bCs/>
              </w:rPr>
              <w:t>Risk II</w:t>
            </w:r>
            <w:r w:rsidR="00A62A17">
              <w:t xml:space="preserve">:  </w:t>
            </w:r>
            <w:r w:rsidR="00007ABB">
              <w:t xml:space="preserve">Continued and/or various COVID-19 related restrictions in each of the beneficiary country, that </w:t>
            </w:r>
            <w:r w:rsidR="000463E8">
              <w:t>may impede the required level of interaction</w:t>
            </w:r>
            <w:r w:rsidR="00007ABB">
              <w:t>, networking</w:t>
            </w:r>
            <w:r w:rsidR="000463E8">
              <w:t xml:space="preserve"> and the planned</w:t>
            </w:r>
            <w:r w:rsidR="00007ABB">
              <w:t xml:space="preserve"> in-person</w:t>
            </w:r>
            <w:r w:rsidR="000463E8">
              <w:t xml:space="preserve"> event</w:t>
            </w:r>
            <w:r w:rsidR="00125D30">
              <w:t>s</w:t>
            </w:r>
            <w:r w:rsidR="000463E8">
              <w:t>.</w:t>
            </w:r>
          </w:p>
          <w:p w14:paraId="54713DA8" w14:textId="77777777" w:rsidR="00A62A17" w:rsidRDefault="00A62A17" w:rsidP="00A62A17">
            <w:pPr>
              <w:pStyle w:val="TableParagraph"/>
              <w:ind w:left="110" w:right="77"/>
            </w:pPr>
          </w:p>
          <w:p w14:paraId="61A0EA0F" w14:textId="67140C7F" w:rsidR="000463E8" w:rsidRDefault="000463E8" w:rsidP="00007ABB">
            <w:pPr>
              <w:pStyle w:val="TableParagraph"/>
              <w:ind w:left="110" w:right="77"/>
            </w:pPr>
            <w:r w:rsidRPr="00851541">
              <w:rPr>
                <w:b/>
                <w:bCs/>
              </w:rPr>
              <w:t>Mitigation</w:t>
            </w:r>
            <w:r w:rsidR="00392F64">
              <w:rPr>
                <w:b/>
                <w:bCs/>
              </w:rPr>
              <w:t xml:space="preserve"> II</w:t>
            </w:r>
            <w:r>
              <w:t>:</w:t>
            </w:r>
            <w:r w:rsidR="00A62A17">
              <w:t xml:space="preserve">  </w:t>
            </w:r>
            <w:r w:rsidR="00007ABB">
              <w:t xml:space="preserve">Ensuring that the project is implemented </w:t>
            </w:r>
            <w:r w:rsidR="00AF1E09">
              <w:t>in a harmonized way in all the three</w:t>
            </w:r>
            <w:r w:rsidR="00007ABB">
              <w:t xml:space="preserve"> beneficiary countries, by delivering the event</w:t>
            </w:r>
            <w:r w:rsidR="00AF1E09">
              <w:t>s</w:t>
            </w:r>
            <w:r w:rsidR="00007ABB">
              <w:t xml:space="preserve"> in a virtual format, or in Geneva. </w:t>
            </w:r>
          </w:p>
          <w:p w14:paraId="0305DA42" w14:textId="6DF81740" w:rsidR="00007ABB" w:rsidRPr="00007ABB" w:rsidRDefault="00007ABB" w:rsidP="00007ABB">
            <w:pPr>
              <w:pStyle w:val="TableParagraph"/>
              <w:ind w:left="110" w:right="77"/>
            </w:pPr>
          </w:p>
        </w:tc>
      </w:tr>
    </w:tbl>
    <w:p w14:paraId="34465CF1" w14:textId="4BAD60C3" w:rsidR="00F069BD" w:rsidRDefault="00F069BD" w:rsidP="000463E8">
      <w:pPr>
        <w:widowControl w:val="0"/>
        <w:autoSpaceDE w:val="0"/>
        <w:autoSpaceDN w:val="0"/>
        <w:spacing w:before="71"/>
        <w:ind w:left="136"/>
        <w:rPr>
          <w:rFonts w:eastAsia="Arial"/>
          <w:b/>
          <w:szCs w:val="22"/>
          <w:lang w:eastAsia="en-US"/>
        </w:rPr>
      </w:pPr>
    </w:p>
    <w:p w14:paraId="3A3823D9" w14:textId="40737B95" w:rsidR="000463E8" w:rsidRDefault="000463E8" w:rsidP="000463E8">
      <w:pPr>
        <w:spacing w:before="5" w:after="220"/>
        <w:rPr>
          <w:rFonts w:eastAsia="Times New Roman"/>
          <w:szCs w:val="22"/>
          <w:lang w:eastAsia="en-US"/>
        </w:rPr>
      </w:pPr>
      <w:r w:rsidRPr="000463E8">
        <w:rPr>
          <w:rFonts w:eastAsia="Times New Roman"/>
          <w:b/>
          <w:bCs/>
          <w:szCs w:val="22"/>
          <w:lang w:eastAsia="en-US"/>
        </w:rPr>
        <w:t>3.</w:t>
      </w:r>
      <w:r>
        <w:rPr>
          <w:rFonts w:eastAsia="Times New Roman"/>
          <w:szCs w:val="22"/>
          <w:lang w:eastAsia="en-US"/>
        </w:rPr>
        <w:t xml:space="preserve"> </w:t>
      </w:r>
      <w:r w:rsidRPr="00C6096E">
        <w:rPr>
          <w:b/>
        </w:rPr>
        <w:t>T</w:t>
      </w:r>
      <w:r w:rsidR="002945EB" w:rsidRPr="00C6096E">
        <w:rPr>
          <w:b/>
        </w:rPr>
        <w:t>entative</w:t>
      </w:r>
      <w:r w:rsidRPr="00C6096E">
        <w:rPr>
          <w:b/>
          <w:spacing w:val="-6"/>
        </w:rPr>
        <w:t xml:space="preserve"> </w:t>
      </w:r>
      <w:r w:rsidRPr="00C6096E">
        <w:rPr>
          <w:b/>
        </w:rPr>
        <w:t>I</w:t>
      </w:r>
      <w:r w:rsidR="002945EB" w:rsidRPr="00C6096E">
        <w:rPr>
          <w:b/>
        </w:rPr>
        <w:t>mplementation</w:t>
      </w:r>
      <w:r w:rsidRPr="00C6096E">
        <w:rPr>
          <w:b/>
          <w:spacing w:val="-6"/>
        </w:rPr>
        <w:t xml:space="preserve"> </w:t>
      </w:r>
      <w:r w:rsidRPr="00C6096E">
        <w:rPr>
          <w:b/>
        </w:rPr>
        <w:t>T</w:t>
      </w:r>
      <w:r w:rsidR="002945EB" w:rsidRPr="00C6096E">
        <w:rPr>
          <w:b/>
        </w:rPr>
        <w:t>imeline</w:t>
      </w:r>
    </w:p>
    <w:tbl>
      <w:tblPr>
        <w:tblW w:w="949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45"/>
        <w:gridCol w:w="851"/>
        <w:gridCol w:w="850"/>
        <w:gridCol w:w="851"/>
        <w:gridCol w:w="850"/>
        <w:gridCol w:w="851"/>
      </w:tblGrid>
      <w:tr w:rsidR="0017641B" w:rsidRPr="00C6096E" w14:paraId="0421FA88" w14:textId="1A5D8832" w:rsidTr="006A5B34">
        <w:trPr>
          <w:trHeight w:val="377"/>
        </w:trPr>
        <w:tc>
          <w:tcPr>
            <w:tcW w:w="5245" w:type="dxa"/>
            <w:vMerge w:val="restart"/>
            <w:tcBorders>
              <w:left w:val="nil"/>
              <w:bottom w:val="single" w:sz="8" w:space="0" w:color="FFFFFF"/>
              <w:right w:val="single" w:sz="8" w:space="0" w:color="FFFFFF"/>
            </w:tcBorders>
            <w:shd w:val="clear" w:color="auto" w:fill="F1F1F1"/>
          </w:tcPr>
          <w:p w14:paraId="665401FB" w14:textId="77777777" w:rsidR="0017641B" w:rsidRPr="00C6096E" w:rsidRDefault="0017641B" w:rsidP="0020698E">
            <w:pPr>
              <w:pStyle w:val="TableParagraph"/>
            </w:pPr>
          </w:p>
          <w:p w14:paraId="3FDCDFB6" w14:textId="77777777" w:rsidR="0017641B" w:rsidRPr="00C6096E" w:rsidRDefault="0017641B" w:rsidP="0020698E">
            <w:pPr>
              <w:pStyle w:val="TableParagraph"/>
              <w:spacing w:before="150"/>
              <w:ind w:left="98"/>
            </w:pPr>
            <w:r>
              <w:t xml:space="preserve">Project Outputs </w:t>
            </w: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14:paraId="113EB717" w14:textId="11AD8553" w:rsidR="0017641B" w:rsidRDefault="0017641B" w:rsidP="000A5A02">
            <w:pPr>
              <w:pStyle w:val="TableParagraph"/>
              <w:spacing w:line="264" w:lineRule="exact"/>
              <w:ind w:left="90"/>
              <w:jc w:val="center"/>
            </w:pPr>
            <w:r>
              <w:t>2023/24</w:t>
            </w:r>
          </w:p>
        </w:tc>
      </w:tr>
      <w:tr w:rsidR="006A5B34" w:rsidRPr="006A5B34" w14:paraId="3C551020" w14:textId="2E02A76D" w:rsidTr="006A5B34">
        <w:trPr>
          <w:trHeight w:val="384"/>
        </w:trPr>
        <w:tc>
          <w:tcPr>
            <w:tcW w:w="5245" w:type="dxa"/>
            <w:vMerge/>
            <w:tcBorders>
              <w:top w:val="nil"/>
              <w:left w:val="nil"/>
              <w:bottom w:val="single" w:sz="8" w:space="0" w:color="FFFFFF"/>
              <w:right w:val="single" w:sz="8" w:space="0" w:color="FFFFFF"/>
            </w:tcBorders>
            <w:shd w:val="clear" w:color="auto" w:fill="F1F1F1"/>
          </w:tcPr>
          <w:p w14:paraId="2694EF5A" w14:textId="77777777" w:rsidR="0017641B" w:rsidRPr="00C6096E" w:rsidRDefault="0017641B" w:rsidP="0020698E"/>
        </w:tc>
        <w:tc>
          <w:tcPr>
            <w:tcW w:w="4253" w:type="dxa"/>
            <w:gridSpan w:val="5"/>
            <w:tcBorders>
              <w:left w:val="single" w:sz="8" w:space="0" w:color="FFFFFF"/>
              <w:bottom w:val="single" w:sz="12" w:space="0" w:color="FFFFFF"/>
              <w:right w:val="single" w:sz="12" w:space="0" w:color="FFFFFF" w:themeColor="background1"/>
            </w:tcBorders>
            <w:shd w:val="clear" w:color="auto" w:fill="68E089"/>
          </w:tcPr>
          <w:p w14:paraId="36DDD1AC" w14:textId="1E2259E0" w:rsidR="0017641B" w:rsidRPr="00C6096E" w:rsidRDefault="0017641B" w:rsidP="000A5A02">
            <w:pPr>
              <w:pStyle w:val="TableParagraph"/>
              <w:jc w:val="center"/>
            </w:pPr>
            <w:r w:rsidRPr="00C6096E">
              <w:t>Quarters</w:t>
            </w:r>
          </w:p>
        </w:tc>
      </w:tr>
      <w:tr w:rsidR="006A5B34" w:rsidRPr="00C6096E" w14:paraId="534F429C" w14:textId="76C17B7D" w:rsidTr="006A5B34">
        <w:trPr>
          <w:trHeight w:val="387"/>
        </w:trPr>
        <w:tc>
          <w:tcPr>
            <w:tcW w:w="5245" w:type="dxa"/>
            <w:vMerge/>
            <w:tcBorders>
              <w:top w:val="nil"/>
              <w:left w:val="nil"/>
              <w:bottom w:val="single" w:sz="8" w:space="0" w:color="FFFFFF"/>
              <w:right w:val="single" w:sz="8" w:space="0" w:color="FFFFFF"/>
            </w:tcBorders>
            <w:shd w:val="clear" w:color="auto" w:fill="F1F1F1"/>
          </w:tcPr>
          <w:p w14:paraId="2658819B" w14:textId="77777777" w:rsidR="0017641B" w:rsidRPr="00C6096E" w:rsidRDefault="0017641B" w:rsidP="0020698E"/>
        </w:tc>
        <w:tc>
          <w:tcPr>
            <w:tcW w:w="851" w:type="dxa"/>
            <w:tcBorders>
              <w:top w:val="single" w:sz="4" w:space="0" w:color="auto"/>
              <w:left w:val="single" w:sz="8" w:space="0" w:color="FFFFFF"/>
              <w:bottom w:val="single" w:sz="12" w:space="0" w:color="FFFFFF"/>
              <w:right w:val="single" w:sz="4" w:space="0" w:color="auto"/>
            </w:tcBorders>
            <w:shd w:val="clear" w:color="auto" w:fill="68E089"/>
          </w:tcPr>
          <w:p w14:paraId="181F9E7F" w14:textId="09E82F6F" w:rsidR="0017641B" w:rsidRPr="00C6096E" w:rsidRDefault="0017641B" w:rsidP="0020698E">
            <w:pPr>
              <w:pStyle w:val="TableParagraph"/>
              <w:spacing w:before="45" w:line="146" w:lineRule="auto"/>
              <w:ind w:left="103"/>
            </w:pPr>
            <w:r>
              <w:t>1</w:t>
            </w:r>
            <w:r w:rsidRPr="000A5A02">
              <w:rPr>
                <w:vertAlign w:val="superscript"/>
              </w:rPr>
              <w:t>st</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14:paraId="10103C84" w14:textId="1C55B74C" w:rsidR="0017641B" w:rsidRPr="00C6096E" w:rsidRDefault="0017641B" w:rsidP="0020698E">
            <w:pPr>
              <w:pStyle w:val="TableParagraph"/>
              <w:spacing w:before="45" w:line="146" w:lineRule="auto"/>
              <w:ind w:left="103"/>
            </w:pPr>
            <w:r>
              <w:t>2</w:t>
            </w:r>
            <w:r w:rsidRPr="000A5A02">
              <w:rPr>
                <w:vertAlign w:val="superscript"/>
              </w:rPr>
              <w:t>nd</w:t>
            </w:r>
            <w:r>
              <w:t xml:space="preserve"> </w:t>
            </w: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14:paraId="59EE4747" w14:textId="256E0E33" w:rsidR="0017641B" w:rsidRPr="00C6096E" w:rsidRDefault="0017641B" w:rsidP="0020698E">
            <w:pPr>
              <w:pStyle w:val="TableParagraph"/>
              <w:spacing w:before="45" w:line="146" w:lineRule="auto"/>
              <w:ind w:left="103"/>
            </w:pPr>
            <w:r>
              <w:t>3</w:t>
            </w:r>
            <w:r w:rsidRPr="000A5A02">
              <w:rPr>
                <w:vertAlign w:val="superscript"/>
              </w:rPr>
              <w:t>rd</w:t>
            </w:r>
            <w:r>
              <w:t xml:space="preserve"> </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14:paraId="66332640" w14:textId="4B7E6B2C" w:rsidR="0017641B" w:rsidRPr="00C6096E" w:rsidRDefault="0017641B" w:rsidP="0020698E">
            <w:pPr>
              <w:pStyle w:val="TableParagraph"/>
              <w:spacing w:before="45" w:line="146" w:lineRule="auto"/>
              <w:ind w:left="103"/>
            </w:pPr>
            <w:r>
              <w:t>4</w:t>
            </w:r>
            <w:r w:rsidRPr="000A5A02">
              <w:rPr>
                <w:vertAlign w:val="superscript"/>
              </w:rPr>
              <w:t>th</w:t>
            </w:r>
            <w:r>
              <w:t xml:space="preserve"> </w:t>
            </w:r>
          </w:p>
        </w:tc>
        <w:tc>
          <w:tcPr>
            <w:tcW w:w="851" w:type="dxa"/>
            <w:tcBorders>
              <w:top w:val="single" w:sz="4" w:space="0" w:color="auto"/>
              <w:left w:val="single" w:sz="8" w:space="0" w:color="FFFFFF"/>
              <w:bottom w:val="single" w:sz="12" w:space="0" w:color="FFFFFF"/>
              <w:right w:val="single" w:sz="12" w:space="0" w:color="FFFFFF" w:themeColor="background1"/>
            </w:tcBorders>
            <w:shd w:val="clear" w:color="auto" w:fill="68E089"/>
          </w:tcPr>
          <w:p w14:paraId="77AB599A" w14:textId="366B30DE" w:rsidR="0017641B" w:rsidRDefault="0017641B" w:rsidP="0020698E">
            <w:pPr>
              <w:pStyle w:val="TableParagraph"/>
              <w:spacing w:before="45" w:line="146" w:lineRule="auto"/>
              <w:ind w:left="103"/>
            </w:pPr>
            <w:r>
              <w:t>1</w:t>
            </w:r>
            <w:r w:rsidRPr="0017641B">
              <w:rPr>
                <w:vertAlign w:val="superscript"/>
              </w:rPr>
              <w:t>st</w:t>
            </w:r>
            <w:r>
              <w:t xml:space="preserve"> </w:t>
            </w:r>
          </w:p>
        </w:tc>
      </w:tr>
      <w:tr w:rsidR="006A5B34" w:rsidRPr="00C6096E" w14:paraId="0C57E497" w14:textId="03995811" w:rsidTr="006A5B34">
        <w:trPr>
          <w:trHeight w:val="388"/>
        </w:trPr>
        <w:tc>
          <w:tcPr>
            <w:tcW w:w="5245" w:type="dxa"/>
            <w:tcBorders>
              <w:top w:val="single" w:sz="8" w:space="0" w:color="FFFFFF"/>
              <w:left w:val="nil"/>
              <w:bottom w:val="single" w:sz="8" w:space="0" w:color="FFFFFF"/>
              <w:right w:val="single" w:sz="8" w:space="0" w:color="FFFFFF"/>
            </w:tcBorders>
            <w:shd w:val="clear" w:color="auto" w:fill="F1F1F1"/>
          </w:tcPr>
          <w:p w14:paraId="04B781CC" w14:textId="1025E3EA" w:rsidR="0017641B" w:rsidRPr="00C6096E" w:rsidRDefault="0017641B" w:rsidP="00F41BEC">
            <w:pPr>
              <w:pStyle w:val="TableParagraph"/>
              <w:spacing w:line="268" w:lineRule="exact"/>
              <w:ind w:left="98"/>
            </w:pPr>
            <w:r w:rsidRPr="00C6096E">
              <w:t>1</w:t>
            </w:r>
            <w:r>
              <w:t>. Training course material on IP for mobile applications</w:t>
            </w:r>
          </w:p>
        </w:tc>
        <w:tc>
          <w:tcPr>
            <w:tcW w:w="851" w:type="dxa"/>
            <w:tcBorders>
              <w:top w:val="single" w:sz="4" w:space="0" w:color="auto"/>
              <w:left w:val="single" w:sz="8" w:space="0" w:color="FFFFFF"/>
              <w:right w:val="nil"/>
            </w:tcBorders>
            <w:shd w:val="clear" w:color="auto" w:fill="68E089"/>
          </w:tcPr>
          <w:p w14:paraId="1C227019" w14:textId="77777777" w:rsidR="0017641B" w:rsidRPr="00C6096E" w:rsidRDefault="0017641B" w:rsidP="000A5A02">
            <w:pPr>
              <w:pStyle w:val="TableParagraph"/>
              <w:jc w:val="center"/>
            </w:pPr>
            <w:r>
              <w:t>X</w:t>
            </w:r>
          </w:p>
        </w:tc>
        <w:tc>
          <w:tcPr>
            <w:tcW w:w="850" w:type="dxa"/>
            <w:tcBorders>
              <w:top w:val="single" w:sz="4" w:space="0" w:color="auto"/>
              <w:left w:val="single" w:sz="8" w:space="0" w:color="FFFFFF"/>
              <w:right w:val="nil"/>
            </w:tcBorders>
            <w:shd w:val="clear" w:color="auto" w:fill="68E089"/>
          </w:tcPr>
          <w:p w14:paraId="2B4E2BE4" w14:textId="3E9603F4" w:rsidR="0017641B" w:rsidRPr="00C6096E" w:rsidRDefault="0017641B" w:rsidP="000A5A02">
            <w:pPr>
              <w:pStyle w:val="TableParagraph"/>
              <w:jc w:val="center"/>
            </w:pPr>
            <w:r>
              <w:t>X</w:t>
            </w:r>
          </w:p>
        </w:tc>
        <w:tc>
          <w:tcPr>
            <w:tcW w:w="851" w:type="dxa"/>
            <w:tcBorders>
              <w:top w:val="single" w:sz="4" w:space="0" w:color="auto"/>
              <w:left w:val="single" w:sz="8" w:space="0" w:color="FFFFFF"/>
              <w:right w:val="nil"/>
            </w:tcBorders>
            <w:shd w:val="clear" w:color="auto" w:fill="D9D9D9" w:themeFill="background1" w:themeFillShade="D9"/>
          </w:tcPr>
          <w:p w14:paraId="70F693EE" w14:textId="77777777" w:rsidR="0017641B" w:rsidRPr="00C6096E" w:rsidRDefault="0017641B" w:rsidP="000A5A02">
            <w:pPr>
              <w:pStyle w:val="TableParagraph"/>
              <w:jc w:val="center"/>
            </w:pPr>
          </w:p>
        </w:tc>
        <w:tc>
          <w:tcPr>
            <w:tcW w:w="850" w:type="dxa"/>
            <w:tcBorders>
              <w:top w:val="single" w:sz="4" w:space="0" w:color="auto"/>
              <w:left w:val="single" w:sz="8" w:space="0" w:color="FFFFFF"/>
              <w:right w:val="nil"/>
            </w:tcBorders>
            <w:shd w:val="clear" w:color="auto" w:fill="D9D9D9" w:themeFill="background1" w:themeFillShade="D9"/>
          </w:tcPr>
          <w:p w14:paraId="5A1C578F" w14:textId="6739B128" w:rsidR="0017641B" w:rsidRPr="00C6096E" w:rsidRDefault="0017641B" w:rsidP="000A5A02">
            <w:pPr>
              <w:pStyle w:val="TableParagraph"/>
              <w:jc w:val="center"/>
            </w:pPr>
          </w:p>
        </w:tc>
        <w:tc>
          <w:tcPr>
            <w:tcW w:w="851" w:type="dxa"/>
            <w:tcBorders>
              <w:top w:val="single" w:sz="4" w:space="0" w:color="auto"/>
              <w:left w:val="single" w:sz="8" w:space="0" w:color="FFFFFF"/>
              <w:right w:val="single" w:sz="12" w:space="0" w:color="FFFFFF" w:themeColor="background1"/>
            </w:tcBorders>
            <w:shd w:val="clear" w:color="auto" w:fill="D9D9D9" w:themeFill="background1" w:themeFillShade="D9"/>
          </w:tcPr>
          <w:p w14:paraId="2CD4460A" w14:textId="77777777" w:rsidR="0017641B" w:rsidRPr="00C6096E" w:rsidRDefault="0017641B" w:rsidP="000A5A02">
            <w:pPr>
              <w:pStyle w:val="TableParagraph"/>
              <w:jc w:val="center"/>
            </w:pPr>
          </w:p>
        </w:tc>
      </w:tr>
      <w:tr w:rsidR="006A5B34" w:rsidRPr="00C6096E" w14:paraId="5C1BA8D1" w14:textId="668FBA82" w:rsidTr="006A5B34">
        <w:trPr>
          <w:trHeight w:val="384"/>
        </w:trPr>
        <w:tc>
          <w:tcPr>
            <w:tcW w:w="5245" w:type="dxa"/>
            <w:tcBorders>
              <w:top w:val="single" w:sz="8" w:space="0" w:color="FFFFFF"/>
              <w:left w:val="nil"/>
              <w:right w:val="single" w:sz="8" w:space="0" w:color="FFFFFF"/>
            </w:tcBorders>
            <w:shd w:val="clear" w:color="auto" w:fill="F1F1F1"/>
          </w:tcPr>
          <w:p w14:paraId="22E92DF4" w14:textId="6189722F" w:rsidR="0017641B" w:rsidRPr="00C6096E" w:rsidRDefault="0017641B" w:rsidP="0020698E">
            <w:pPr>
              <w:pStyle w:val="TableParagraph"/>
              <w:spacing w:line="267" w:lineRule="exact"/>
              <w:ind w:left="98"/>
            </w:pPr>
            <w:r w:rsidRPr="00FD57A0">
              <w:t>2</w:t>
            </w:r>
            <w:r>
              <w:t>. Four tools on IP for mobile apps in</w:t>
            </w:r>
            <w:r w:rsidRPr="00FD57A0">
              <w:t xml:space="preserve"> music, publishing, videogames and audiovisual content</w:t>
            </w:r>
          </w:p>
        </w:tc>
        <w:tc>
          <w:tcPr>
            <w:tcW w:w="851" w:type="dxa"/>
            <w:tcBorders>
              <w:left w:val="single" w:sz="8" w:space="0" w:color="FFFFFF"/>
              <w:right w:val="nil"/>
            </w:tcBorders>
            <w:shd w:val="clear" w:color="auto" w:fill="D9D9D9" w:themeFill="background1" w:themeFillShade="D9"/>
          </w:tcPr>
          <w:p w14:paraId="58D62DEA" w14:textId="77777777" w:rsidR="0017641B" w:rsidRPr="00C6096E" w:rsidRDefault="0017641B" w:rsidP="000A5A02">
            <w:pPr>
              <w:pStyle w:val="TableParagraph"/>
              <w:jc w:val="center"/>
            </w:pPr>
          </w:p>
        </w:tc>
        <w:tc>
          <w:tcPr>
            <w:tcW w:w="850" w:type="dxa"/>
            <w:tcBorders>
              <w:left w:val="single" w:sz="8" w:space="0" w:color="FFFFFF"/>
              <w:right w:val="nil"/>
            </w:tcBorders>
            <w:shd w:val="clear" w:color="auto" w:fill="68E089"/>
          </w:tcPr>
          <w:p w14:paraId="2BAC3FCD" w14:textId="42AB2E2C" w:rsidR="0017641B" w:rsidRPr="00C6096E" w:rsidRDefault="0017641B" w:rsidP="000A5A02">
            <w:pPr>
              <w:pStyle w:val="TableParagraph"/>
              <w:jc w:val="center"/>
            </w:pPr>
            <w:r>
              <w:t>X</w:t>
            </w:r>
          </w:p>
        </w:tc>
        <w:tc>
          <w:tcPr>
            <w:tcW w:w="851" w:type="dxa"/>
            <w:tcBorders>
              <w:left w:val="single" w:sz="8" w:space="0" w:color="FFFFFF"/>
              <w:right w:val="nil"/>
            </w:tcBorders>
            <w:shd w:val="clear" w:color="auto" w:fill="68E089"/>
          </w:tcPr>
          <w:p w14:paraId="0A18747E" w14:textId="3A284002" w:rsidR="0017641B" w:rsidRPr="00C6096E" w:rsidRDefault="0017641B" w:rsidP="000A5A02">
            <w:pPr>
              <w:pStyle w:val="TableParagraph"/>
              <w:jc w:val="center"/>
            </w:pPr>
            <w:r>
              <w:t>X</w:t>
            </w:r>
          </w:p>
        </w:tc>
        <w:tc>
          <w:tcPr>
            <w:tcW w:w="850" w:type="dxa"/>
            <w:tcBorders>
              <w:left w:val="single" w:sz="8" w:space="0" w:color="FFFFFF"/>
              <w:right w:val="nil"/>
            </w:tcBorders>
            <w:shd w:val="clear" w:color="auto" w:fill="D9D9D9" w:themeFill="background1" w:themeFillShade="D9"/>
          </w:tcPr>
          <w:p w14:paraId="171A0417" w14:textId="0AF7A088" w:rsidR="0017641B" w:rsidRPr="00C6096E" w:rsidRDefault="0017641B" w:rsidP="000A5A02">
            <w:pPr>
              <w:pStyle w:val="TableParagraph"/>
              <w:jc w:val="center"/>
            </w:pPr>
          </w:p>
        </w:tc>
        <w:tc>
          <w:tcPr>
            <w:tcW w:w="851" w:type="dxa"/>
            <w:tcBorders>
              <w:left w:val="single" w:sz="8" w:space="0" w:color="FFFFFF"/>
              <w:right w:val="single" w:sz="12" w:space="0" w:color="FFFFFF" w:themeColor="background1"/>
            </w:tcBorders>
            <w:shd w:val="clear" w:color="auto" w:fill="D9D9D9" w:themeFill="background1" w:themeFillShade="D9"/>
          </w:tcPr>
          <w:p w14:paraId="32F2F501" w14:textId="77777777" w:rsidR="0017641B" w:rsidRPr="00C6096E" w:rsidRDefault="0017641B" w:rsidP="000A5A02">
            <w:pPr>
              <w:pStyle w:val="TableParagraph"/>
              <w:jc w:val="center"/>
            </w:pPr>
          </w:p>
        </w:tc>
      </w:tr>
      <w:tr w:rsidR="0017641B" w:rsidRPr="00C6096E" w14:paraId="10901B95" w14:textId="2DADF0CB" w:rsidTr="006A5B34">
        <w:trPr>
          <w:trHeight w:val="384"/>
        </w:trPr>
        <w:tc>
          <w:tcPr>
            <w:tcW w:w="5245" w:type="dxa"/>
            <w:tcBorders>
              <w:top w:val="single" w:sz="8" w:space="0" w:color="FFFFFF"/>
              <w:left w:val="nil"/>
              <w:right w:val="single" w:sz="8" w:space="0" w:color="FFFFFF"/>
            </w:tcBorders>
            <w:shd w:val="clear" w:color="auto" w:fill="F1F1F1"/>
          </w:tcPr>
          <w:p w14:paraId="2C283830" w14:textId="44E174DB" w:rsidR="0017641B" w:rsidRPr="00C6096E" w:rsidRDefault="0017641B" w:rsidP="00F41BEC">
            <w:pPr>
              <w:pStyle w:val="TableParagraph"/>
              <w:spacing w:line="267" w:lineRule="exact"/>
              <w:ind w:left="98"/>
            </w:pPr>
            <w:r>
              <w:t xml:space="preserve">3. Three events (one event in each country) </w:t>
            </w:r>
            <w:r w:rsidR="00F41BEC" w:rsidRPr="00F41BEC">
              <w:t>to present the produced materials to the relevant stakeholders in each beneficiary country, and collect their feedback</w:t>
            </w:r>
          </w:p>
        </w:tc>
        <w:tc>
          <w:tcPr>
            <w:tcW w:w="851" w:type="dxa"/>
            <w:tcBorders>
              <w:left w:val="single" w:sz="8" w:space="0" w:color="FFFFFF"/>
              <w:right w:val="nil"/>
            </w:tcBorders>
            <w:shd w:val="clear" w:color="auto" w:fill="D9D9D9" w:themeFill="background1" w:themeFillShade="D9"/>
          </w:tcPr>
          <w:p w14:paraId="42E379CD" w14:textId="77777777" w:rsidR="0017641B" w:rsidRPr="00C6096E" w:rsidRDefault="0017641B" w:rsidP="000A5A02">
            <w:pPr>
              <w:pStyle w:val="TableParagraph"/>
              <w:jc w:val="center"/>
            </w:pPr>
          </w:p>
        </w:tc>
        <w:tc>
          <w:tcPr>
            <w:tcW w:w="850" w:type="dxa"/>
            <w:tcBorders>
              <w:left w:val="single" w:sz="8" w:space="0" w:color="FFFFFF"/>
              <w:right w:val="nil"/>
            </w:tcBorders>
            <w:shd w:val="clear" w:color="auto" w:fill="D9D9D9" w:themeFill="background1" w:themeFillShade="D9"/>
          </w:tcPr>
          <w:p w14:paraId="2BC48092" w14:textId="77777777" w:rsidR="0017641B" w:rsidRPr="00C6096E" w:rsidRDefault="0017641B" w:rsidP="000A5A02">
            <w:pPr>
              <w:pStyle w:val="TableParagraph"/>
              <w:jc w:val="center"/>
            </w:pPr>
          </w:p>
        </w:tc>
        <w:tc>
          <w:tcPr>
            <w:tcW w:w="851" w:type="dxa"/>
            <w:tcBorders>
              <w:left w:val="single" w:sz="8" w:space="0" w:color="FFFFFF"/>
              <w:right w:val="nil"/>
            </w:tcBorders>
            <w:shd w:val="clear" w:color="auto" w:fill="68E089"/>
          </w:tcPr>
          <w:p w14:paraId="2C852560" w14:textId="3DEAF511" w:rsidR="0017641B" w:rsidRPr="00C6096E" w:rsidRDefault="0017641B" w:rsidP="000A5A02">
            <w:pPr>
              <w:pStyle w:val="TableParagraph"/>
              <w:jc w:val="center"/>
            </w:pPr>
            <w:r>
              <w:t>X</w:t>
            </w:r>
          </w:p>
        </w:tc>
        <w:tc>
          <w:tcPr>
            <w:tcW w:w="850" w:type="dxa"/>
            <w:tcBorders>
              <w:left w:val="single" w:sz="8" w:space="0" w:color="FFFFFF"/>
              <w:right w:val="nil"/>
            </w:tcBorders>
            <w:shd w:val="clear" w:color="auto" w:fill="68E089"/>
          </w:tcPr>
          <w:p w14:paraId="778DA8C2" w14:textId="39FB3C4B" w:rsidR="0017641B" w:rsidRPr="00C6096E" w:rsidRDefault="0017641B" w:rsidP="000A5A02">
            <w:pPr>
              <w:pStyle w:val="TableParagraph"/>
              <w:jc w:val="center"/>
            </w:pPr>
            <w:r>
              <w:t>X</w:t>
            </w:r>
          </w:p>
        </w:tc>
        <w:tc>
          <w:tcPr>
            <w:tcW w:w="851" w:type="dxa"/>
            <w:tcBorders>
              <w:left w:val="single" w:sz="8" w:space="0" w:color="FFFFFF"/>
              <w:right w:val="single" w:sz="12" w:space="0" w:color="FFFFFF" w:themeColor="background1"/>
            </w:tcBorders>
            <w:shd w:val="clear" w:color="auto" w:fill="D9D9D9" w:themeFill="background1" w:themeFillShade="D9"/>
          </w:tcPr>
          <w:p w14:paraId="04FB75E4" w14:textId="77777777" w:rsidR="0017641B" w:rsidRDefault="0017641B" w:rsidP="000A5A02">
            <w:pPr>
              <w:pStyle w:val="TableParagraph"/>
              <w:jc w:val="center"/>
            </w:pPr>
          </w:p>
        </w:tc>
      </w:tr>
      <w:tr w:rsidR="0017641B" w:rsidRPr="00C6096E" w14:paraId="420C6A56" w14:textId="3DE64CA6" w:rsidTr="006A5B34">
        <w:trPr>
          <w:trHeight w:val="387"/>
        </w:trPr>
        <w:tc>
          <w:tcPr>
            <w:tcW w:w="5245" w:type="dxa"/>
            <w:tcBorders>
              <w:top w:val="single" w:sz="8" w:space="0" w:color="FFFFFF"/>
              <w:left w:val="nil"/>
              <w:bottom w:val="single" w:sz="8" w:space="0" w:color="FFFFFF"/>
              <w:right w:val="single" w:sz="8" w:space="0" w:color="FFFFFF"/>
            </w:tcBorders>
            <w:shd w:val="clear" w:color="auto" w:fill="F1F1F1"/>
          </w:tcPr>
          <w:p w14:paraId="037ED569" w14:textId="4DCD7913" w:rsidR="0017641B" w:rsidRPr="00C6096E" w:rsidRDefault="0017641B" w:rsidP="00AF1E09">
            <w:pPr>
              <w:pStyle w:val="TableParagraph"/>
              <w:spacing w:line="267" w:lineRule="exact"/>
              <w:ind w:left="98"/>
            </w:pPr>
            <w:r>
              <w:t xml:space="preserve">4. Project conclusion and final self-assessment </w:t>
            </w:r>
          </w:p>
        </w:tc>
        <w:tc>
          <w:tcPr>
            <w:tcW w:w="851" w:type="dxa"/>
            <w:tcBorders>
              <w:left w:val="single" w:sz="8" w:space="0" w:color="FFFFFF"/>
              <w:right w:val="nil"/>
            </w:tcBorders>
            <w:shd w:val="clear" w:color="auto" w:fill="D9D9D9" w:themeFill="background1" w:themeFillShade="D9"/>
          </w:tcPr>
          <w:p w14:paraId="4908978A" w14:textId="77777777" w:rsidR="0017641B" w:rsidRPr="00C6096E" w:rsidRDefault="0017641B" w:rsidP="000A5A02">
            <w:pPr>
              <w:pStyle w:val="TableParagraph"/>
              <w:jc w:val="center"/>
            </w:pPr>
          </w:p>
        </w:tc>
        <w:tc>
          <w:tcPr>
            <w:tcW w:w="850" w:type="dxa"/>
            <w:tcBorders>
              <w:left w:val="single" w:sz="8" w:space="0" w:color="FFFFFF"/>
              <w:right w:val="nil"/>
            </w:tcBorders>
            <w:shd w:val="clear" w:color="auto" w:fill="D9D9D9" w:themeFill="background1" w:themeFillShade="D9"/>
          </w:tcPr>
          <w:p w14:paraId="69AA7181" w14:textId="77777777" w:rsidR="0017641B" w:rsidRPr="00C6096E" w:rsidRDefault="0017641B" w:rsidP="000A5A02">
            <w:pPr>
              <w:pStyle w:val="TableParagraph"/>
              <w:jc w:val="center"/>
            </w:pPr>
          </w:p>
        </w:tc>
        <w:tc>
          <w:tcPr>
            <w:tcW w:w="851" w:type="dxa"/>
            <w:tcBorders>
              <w:left w:val="single" w:sz="8" w:space="0" w:color="FFFFFF"/>
              <w:right w:val="nil"/>
            </w:tcBorders>
            <w:shd w:val="clear" w:color="auto" w:fill="D9D9D9" w:themeFill="background1" w:themeFillShade="D9"/>
          </w:tcPr>
          <w:p w14:paraId="4AD1630A" w14:textId="77777777" w:rsidR="0017641B" w:rsidRPr="00C6096E" w:rsidRDefault="0017641B" w:rsidP="000A5A02">
            <w:pPr>
              <w:pStyle w:val="TableParagraph"/>
              <w:jc w:val="center"/>
            </w:pPr>
          </w:p>
        </w:tc>
        <w:tc>
          <w:tcPr>
            <w:tcW w:w="850" w:type="dxa"/>
            <w:tcBorders>
              <w:left w:val="single" w:sz="8" w:space="0" w:color="FFFFFF"/>
              <w:right w:val="nil"/>
            </w:tcBorders>
            <w:shd w:val="clear" w:color="auto" w:fill="D9D9D9" w:themeFill="background1" w:themeFillShade="D9"/>
          </w:tcPr>
          <w:p w14:paraId="704C8161" w14:textId="6F635901" w:rsidR="0017641B" w:rsidRPr="00C6096E" w:rsidRDefault="0017641B" w:rsidP="000A5A02">
            <w:pPr>
              <w:pStyle w:val="TableParagraph"/>
              <w:jc w:val="center"/>
            </w:pPr>
          </w:p>
        </w:tc>
        <w:tc>
          <w:tcPr>
            <w:tcW w:w="851" w:type="dxa"/>
            <w:tcBorders>
              <w:left w:val="single" w:sz="8" w:space="0" w:color="FFFFFF"/>
              <w:right w:val="single" w:sz="12" w:space="0" w:color="FFFFFF" w:themeColor="background1"/>
            </w:tcBorders>
            <w:shd w:val="clear" w:color="auto" w:fill="68E089"/>
          </w:tcPr>
          <w:p w14:paraId="47174536" w14:textId="493E7683" w:rsidR="0017641B" w:rsidRDefault="0017641B" w:rsidP="000A5A02">
            <w:pPr>
              <w:pStyle w:val="TableParagraph"/>
              <w:jc w:val="center"/>
            </w:pPr>
            <w:r>
              <w:t>X</w:t>
            </w:r>
          </w:p>
        </w:tc>
      </w:tr>
    </w:tbl>
    <w:p w14:paraId="05F8D838" w14:textId="2CA97C2A" w:rsidR="00344570" w:rsidRDefault="00344570" w:rsidP="00EC5F68">
      <w:pPr>
        <w:spacing w:after="220"/>
        <w:rPr>
          <w:rFonts w:eastAsia="Times New Roman"/>
          <w:b/>
          <w:bCs/>
          <w:szCs w:val="22"/>
          <w:lang w:eastAsia="en-US"/>
        </w:rPr>
      </w:pPr>
    </w:p>
    <w:p w14:paraId="0C46794D" w14:textId="21D18BB5" w:rsidR="000463E8" w:rsidRPr="000463E8" w:rsidRDefault="00344570" w:rsidP="00EC5F68">
      <w:pPr>
        <w:spacing w:after="220"/>
        <w:rPr>
          <w:rFonts w:eastAsia="Times New Roman"/>
          <w:b/>
          <w:bCs/>
          <w:szCs w:val="22"/>
          <w:lang w:eastAsia="en-US"/>
        </w:rPr>
      </w:pPr>
      <w:r>
        <w:rPr>
          <w:rFonts w:eastAsia="Times New Roman"/>
          <w:b/>
          <w:bCs/>
          <w:szCs w:val="22"/>
          <w:lang w:eastAsia="en-US"/>
        </w:rPr>
        <w:t>4.</w:t>
      </w:r>
      <w:r w:rsidR="000463E8" w:rsidRPr="000463E8">
        <w:rPr>
          <w:rFonts w:eastAsia="Times New Roman"/>
          <w:b/>
          <w:bCs/>
          <w:szCs w:val="22"/>
          <w:lang w:eastAsia="en-US"/>
        </w:rPr>
        <w:t xml:space="preserve"> Total Resources by Output </w:t>
      </w:r>
    </w:p>
    <w:tbl>
      <w:tblPr>
        <w:tblW w:w="9493" w:type="dxa"/>
        <w:tblLook w:val="04A0" w:firstRow="1" w:lastRow="0" w:firstColumn="1" w:lastColumn="0" w:noHBand="0" w:noVBand="1"/>
      </w:tblPr>
      <w:tblGrid>
        <w:gridCol w:w="4815"/>
        <w:gridCol w:w="1701"/>
        <w:gridCol w:w="1559"/>
        <w:gridCol w:w="1418"/>
      </w:tblGrid>
      <w:tr w:rsidR="000463E8" w:rsidRPr="000463E8" w14:paraId="583F5727" w14:textId="77777777" w:rsidTr="000463E8">
        <w:trPr>
          <w:trHeight w:val="705"/>
        </w:trPr>
        <w:tc>
          <w:tcPr>
            <w:tcW w:w="4815" w:type="dxa"/>
            <w:tcBorders>
              <w:top w:val="single" w:sz="4" w:space="0" w:color="BFBFBF"/>
              <w:left w:val="single" w:sz="4" w:space="0" w:color="BFBFBF"/>
              <w:bottom w:val="nil"/>
              <w:right w:val="single" w:sz="4" w:space="0" w:color="A6A6A6"/>
            </w:tcBorders>
            <w:shd w:val="clear" w:color="000000" w:fill="C7CFD8"/>
            <w:noWrap/>
            <w:vAlign w:val="bottom"/>
            <w:hideMark/>
          </w:tcPr>
          <w:p w14:paraId="21AD890A" w14:textId="77777777" w:rsidR="000463E8" w:rsidRPr="000463E8" w:rsidRDefault="000463E8" w:rsidP="000463E8">
            <w:pPr>
              <w:rPr>
                <w:rFonts w:ascii="Arial Narrow" w:eastAsia="Times New Roman" w:hAnsi="Arial Narrow"/>
                <w:i/>
                <w:iCs/>
                <w:color w:val="002839"/>
                <w:szCs w:val="22"/>
                <w:lang w:eastAsia="en-US"/>
              </w:rPr>
            </w:pPr>
            <w:r w:rsidRPr="000463E8">
              <w:rPr>
                <w:rFonts w:ascii="Arial Narrow" w:eastAsia="Times New Roman" w:hAnsi="Arial Narrow"/>
                <w:i/>
                <w:iCs/>
                <w:color w:val="002839"/>
                <w:szCs w:val="22"/>
                <w:lang w:eastAsia="en-US"/>
              </w:rPr>
              <w:t>(in Swiss francs)</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196EF68A" w14:textId="77777777" w:rsidR="000463E8" w:rsidRPr="000463E8" w:rsidRDefault="000463E8" w:rsidP="000463E8">
            <w:pPr>
              <w:jc w:val="cente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Year 1</w:t>
            </w:r>
          </w:p>
        </w:tc>
        <w:tc>
          <w:tcPr>
            <w:tcW w:w="1418"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50F4BE8F" w14:textId="77777777" w:rsidR="000463E8" w:rsidRPr="000463E8" w:rsidRDefault="000463E8" w:rsidP="000463E8">
            <w:pPr>
              <w:jc w:val="cente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Total</w:t>
            </w:r>
          </w:p>
        </w:tc>
      </w:tr>
      <w:tr w:rsidR="000463E8" w:rsidRPr="000463E8" w14:paraId="1051FC52" w14:textId="77777777" w:rsidTr="000463E8">
        <w:trPr>
          <w:trHeight w:val="525"/>
        </w:trPr>
        <w:tc>
          <w:tcPr>
            <w:tcW w:w="4815" w:type="dxa"/>
            <w:tcBorders>
              <w:top w:val="nil"/>
              <w:left w:val="single" w:sz="4" w:space="0" w:color="BFBFBF"/>
              <w:bottom w:val="single" w:sz="4" w:space="0" w:color="BFBFBF"/>
              <w:right w:val="nil"/>
            </w:tcBorders>
            <w:shd w:val="clear" w:color="000000" w:fill="C7CFD8"/>
            <w:noWrap/>
            <w:vAlign w:val="bottom"/>
            <w:hideMark/>
          </w:tcPr>
          <w:p w14:paraId="10FF5FE4" w14:textId="77777777" w:rsidR="000463E8" w:rsidRPr="000463E8" w:rsidRDefault="000463E8" w:rsidP="000463E8">
            <w:pP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Project Outputs </w:t>
            </w:r>
          </w:p>
        </w:tc>
        <w:tc>
          <w:tcPr>
            <w:tcW w:w="1701" w:type="dxa"/>
            <w:tcBorders>
              <w:top w:val="nil"/>
              <w:left w:val="single" w:sz="4" w:space="0" w:color="A6A6A6"/>
              <w:bottom w:val="single" w:sz="4" w:space="0" w:color="BFBFBF"/>
              <w:right w:val="single" w:sz="4" w:space="0" w:color="A6A6A6"/>
            </w:tcBorders>
            <w:shd w:val="clear" w:color="000000" w:fill="C7CFD8"/>
            <w:vAlign w:val="bottom"/>
            <w:hideMark/>
          </w:tcPr>
          <w:p w14:paraId="300E76CF" w14:textId="77777777" w:rsidR="000463E8" w:rsidRPr="000463E8" w:rsidRDefault="000463E8" w:rsidP="000463E8">
            <w:pPr>
              <w:jc w:val="cente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Personnel </w:t>
            </w:r>
          </w:p>
        </w:tc>
        <w:tc>
          <w:tcPr>
            <w:tcW w:w="1559" w:type="dxa"/>
            <w:tcBorders>
              <w:top w:val="nil"/>
              <w:left w:val="nil"/>
              <w:bottom w:val="single" w:sz="4" w:space="0" w:color="BFBFBF"/>
              <w:right w:val="single" w:sz="4" w:space="0" w:color="A6A6A6"/>
            </w:tcBorders>
            <w:shd w:val="clear" w:color="000000" w:fill="C7CFD8"/>
            <w:vAlign w:val="bottom"/>
            <w:hideMark/>
          </w:tcPr>
          <w:p w14:paraId="35F0B9E4" w14:textId="77777777" w:rsidR="000463E8" w:rsidRPr="000463E8" w:rsidRDefault="000463E8" w:rsidP="000463E8">
            <w:pPr>
              <w:jc w:val="cente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Non-Personnel </w:t>
            </w:r>
          </w:p>
        </w:tc>
        <w:tc>
          <w:tcPr>
            <w:tcW w:w="1418" w:type="dxa"/>
            <w:vMerge/>
            <w:tcBorders>
              <w:top w:val="single" w:sz="4" w:space="0" w:color="BFBFBF"/>
              <w:left w:val="nil"/>
              <w:bottom w:val="single" w:sz="4" w:space="0" w:color="BFBFBF"/>
              <w:right w:val="single" w:sz="4" w:space="0" w:color="BFBFBF"/>
            </w:tcBorders>
            <w:vAlign w:val="center"/>
            <w:hideMark/>
          </w:tcPr>
          <w:p w14:paraId="6F183FBC" w14:textId="77777777" w:rsidR="000463E8" w:rsidRPr="000463E8" w:rsidRDefault="000463E8" w:rsidP="000463E8">
            <w:pPr>
              <w:rPr>
                <w:rFonts w:ascii="Arial Narrow" w:eastAsia="Times New Roman" w:hAnsi="Arial Narrow"/>
                <w:b/>
                <w:bCs/>
                <w:color w:val="002839"/>
                <w:szCs w:val="22"/>
                <w:lang w:eastAsia="en-US"/>
              </w:rPr>
            </w:pPr>
          </w:p>
        </w:tc>
      </w:tr>
      <w:tr w:rsidR="000463E8" w:rsidRPr="000463E8" w14:paraId="66143DD3" w14:textId="77777777" w:rsidTr="000463E8">
        <w:trPr>
          <w:trHeight w:val="78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3449945B" w14:textId="21C584B8" w:rsidR="000463E8" w:rsidRPr="000463E8" w:rsidRDefault="000463E8" w:rsidP="006D6DF8">
            <w:pPr>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w:t>
            </w:r>
            <w:r w:rsidR="006D6DF8" w:rsidRPr="006D6DF8">
              <w:rPr>
                <w:rFonts w:ascii="Arial Narrow" w:eastAsia="Times New Roman" w:hAnsi="Arial Narrow"/>
                <w:color w:val="002839"/>
                <w:szCs w:val="22"/>
                <w:lang w:eastAsia="en-US"/>
              </w:rPr>
              <w:t>Training course material on IP for mobile applications</w:t>
            </w:r>
          </w:p>
        </w:tc>
        <w:tc>
          <w:tcPr>
            <w:tcW w:w="1701" w:type="dxa"/>
            <w:tcBorders>
              <w:top w:val="nil"/>
              <w:left w:val="nil"/>
              <w:bottom w:val="single" w:sz="4" w:space="0" w:color="BFBFBF"/>
              <w:right w:val="single" w:sz="4" w:space="0" w:color="BFBFBF"/>
            </w:tcBorders>
            <w:shd w:val="clear" w:color="auto" w:fill="auto"/>
            <w:noWrap/>
            <w:vAlign w:val="center"/>
            <w:hideMark/>
          </w:tcPr>
          <w:p w14:paraId="05CD343D" w14:textId="0CBFED54" w:rsidR="000463E8" w:rsidRPr="000463E8" w:rsidRDefault="00125D30" w:rsidP="000463E8">
            <w:pPr>
              <w:jc w:val="right"/>
              <w:rPr>
                <w:rFonts w:ascii="Arial Narrow" w:eastAsia="Times New Roman" w:hAnsi="Arial Narrow"/>
                <w:color w:val="002839"/>
                <w:szCs w:val="22"/>
                <w:lang w:eastAsia="en-US"/>
              </w:rPr>
            </w:pPr>
            <w:r>
              <w:rPr>
                <w:rFonts w:ascii="Arial Narrow" w:eastAsia="Times New Roman" w:hAnsi="Arial Narrow"/>
                <w:color w:val="002839"/>
                <w:szCs w:val="22"/>
                <w:lang w:eastAsia="en-US"/>
              </w:rPr>
              <w:t>-</w:t>
            </w:r>
            <w:r w:rsidR="000463E8" w:rsidRPr="000463E8">
              <w:rPr>
                <w:rFonts w:ascii="Arial Narrow" w:eastAsia="Times New Roman" w:hAnsi="Arial Narrow"/>
                <w:color w:val="002839"/>
                <w:szCs w:val="22"/>
                <w:lang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2C59BF16" w14:textId="6B51CD80" w:rsidR="000463E8" w:rsidRPr="000463E8" w:rsidRDefault="000463E8" w:rsidP="000463E8">
            <w:pPr>
              <w:jc w:val="right"/>
              <w:rPr>
                <w:rFonts w:ascii="Arial Narrow" w:eastAsia="Times New Roman" w:hAnsi="Arial Narrow"/>
                <w:color w:val="000000"/>
                <w:szCs w:val="22"/>
                <w:lang w:eastAsia="en-US"/>
              </w:rPr>
            </w:pPr>
            <w:r w:rsidRPr="000463E8">
              <w:rPr>
                <w:rFonts w:ascii="Arial Narrow" w:eastAsia="Times New Roman" w:hAnsi="Arial Narrow"/>
                <w:color w:val="000000"/>
                <w:szCs w:val="22"/>
                <w:lang w:eastAsia="en-US"/>
              </w:rPr>
              <w:t xml:space="preserve">                40</w:t>
            </w:r>
            <w:r w:rsidR="00902D83">
              <w:rPr>
                <w:rFonts w:ascii="Arial Narrow" w:eastAsia="Times New Roman" w:hAnsi="Arial Narrow"/>
                <w:color w:val="000000"/>
                <w:szCs w:val="22"/>
                <w:lang w:eastAsia="en-US"/>
              </w:rPr>
              <w:t>,</w:t>
            </w:r>
            <w:r w:rsidRPr="000463E8">
              <w:rPr>
                <w:rFonts w:ascii="Arial Narrow" w:eastAsia="Times New Roman" w:hAnsi="Arial Narrow"/>
                <w:color w:val="000000"/>
                <w:szCs w:val="22"/>
                <w:lang w:eastAsia="en-US"/>
              </w:rPr>
              <w:t xml:space="preserve">000 </w:t>
            </w:r>
          </w:p>
        </w:tc>
        <w:tc>
          <w:tcPr>
            <w:tcW w:w="1418" w:type="dxa"/>
            <w:tcBorders>
              <w:top w:val="nil"/>
              <w:left w:val="nil"/>
              <w:bottom w:val="single" w:sz="4" w:space="0" w:color="BFBFBF"/>
              <w:right w:val="single" w:sz="4" w:space="0" w:color="BFBFBF"/>
            </w:tcBorders>
            <w:shd w:val="clear" w:color="auto" w:fill="auto"/>
            <w:noWrap/>
            <w:vAlign w:val="center"/>
            <w:hideMark/>
          </w:tcPr>
          <w:p w14:paraId="0A0467F1" w14:textId="3C4598CB" w:rsidR="000463E8" w:rsidRPr="000463E8" w:rsidRDefault="000463E8" w:rsidP="00B27729">
            <w:pPr>
              <w:jc w:val="right"/>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40</w:t>
            </w:r>
            <w:r w:rsidR="00902D83">
              <w:rPr>
                <w:rFonts w:ascii="Arial Narrow" w:eastAsia="Times New Roman" w:hAnsi="Arial Narrow"/>
                <w:color w:val="002839"/>
                <w:szCs w:val="22"/>
                <w:lang w:eastAsia="en-US"/>
              </w:rPr>
              <w:t>,</w:t>
            </w:r>
            <w:r w:rsidRPr="000463E8">
              <w:rPr>
                <w:rFonts w:ascii="Arial Narrow" w:eastAsia="Times New Roman" w:hAnsi="Arial Narrow"/>
                <w:color w:val="002839"/>
                <w:szCs w:val="22"/>
                <w:lang w:eastAsia="en-US"/>
              </w:rPr>
              <w:t xml:space="preserve">000 </w:t>
            </w:r>
          </w:p>
        </w:tc>
      </w:tr>
      <w:tr w:rsidR="000463E8" w:rsidRPr="000463E8" w14:paraId="1784F13E" w14:textId="77777777" w:rsidTr="000463E8">
        <w:trPr>
          <w:trHeight w:val="915"/>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3194A71D" w14:textId="3C11D729" w:rsidR="000463E8" w:rsidRPr="000463E8" w:rsidRDefault="006D6DF8" w:rsidP="006D6DF8">
            <w:pPr>
              <w:rPr>
                <w:rFonts w:ascii="Arial Narrow" w:eastAsia="Times New Roman" w:hAnsi="Arial Narrow"/>
                <w:color w:val="002839"/>
                <w:szCs w:val="22"/>
                <w:lang w:eastAsia="en-US"/>
              </w:rPr>
            </w:pPr>
            <w:r w:rsidRPr="006D6DF8">
              <w:rPr>
                <w:rFonts w:ascii="Arial Narrow" w:eastAsia="Times New Roman" w:hAnsi="Arial Narrow"/>
                <w:color w:val="002839"/>
                <w:szCs w:val="22"/>
                <w:lang w:eastAsia="en-US"/>
              </w:rPr>
              <w:t>Four tools on IP for mobile apps in music, publishing, videogames and audiovisual content</w:t>
            </w:r>
          </w:p>
        </w:tc>
        <w:tc>
          <w:tcPr>
            <w:tcW w:w="1701" w:type="dxa"/>
            <w:tcBorders>
              <w:top w:val="nil"/>
              <w:left w:val="nil"/>
              <w:bottom w:val="single" w:sz="4" w:space="0" w:color="BFBFBF"/>
              <w:right w:val="single" w:sz="4" w:space="0" w:color="BFBFBF"/>
            </w:tcBorders>
            <w:shd w:val="clear" w:color="auto" w:fill="auto"/>
            <w:noWrap/>
            <w:vAlign w:val="center"/>
            <w:hideMark/>
          </w:tcPr>
          <w:p w14:paraId="2EDBC6BF" w14:textId="023D8264" w:rsidR="000463E8" w:rsidRPr="000463E8" w:rsidRDefault="00125D30" w:rsidP="000463E8">
            <w:pPr>
              <w:jc w:val="right"/>
              <w:rPr>
                <w:rFonts w:ascii="Arial Narrow" w:eastAsia="Times New Roman" w:hAnsi="Arial Narrow"/>
                <w:color w:val="002839"/>
                <w:szCs w:val="22"/>
                <w:lang w:eastAsia="en-US"/>
              </w:rPr>
            </w:pPr>
            <w:r>
              <w:rPr>
                <w:rFonts w:ascii="Arial Narrow" w:eastAsia="Times New Roman" w:hAnsi="Arial Narrow"/>
                <w:color w:val="002839"/>
                <w:szCs w:val="22"/>
                <w:lang w:eastAsia="en-US"/>
              </w:rPr>
              <w:t>-</w:t>
            </w:r>
            <w:r w:rsidR="000463E8" w:rsidRPr="000463E8">
              <w:rPr>
                <w:rFonts w:ascii="Arial Narrow" w:eastAsia="Times New Roman" w:hAnsi="Arial Narrow"/>
                <w:color w:val="002839"/>
                <w:szCs w:val="22"/>
                <w:lang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4064649B" w14:textId="55036FCC" w:rsidR="000463E8" w:rsidRPr="000463E8" w:rsidRDefault="000463E8" w:rsidP="000463E8">
            <w:pPr>
              <w:jc w:val="right"/>
              <w:rPr>
                <w:rFonts w:ascii="Arial Narrow" w:eastAsia="Times New Roman" w:hAnsi="Arial Narrow"/>
                <w:color w:val="000000"/>
                <w:szCs w:val="22"/>
                <w:lang w:eastAsia="en-US"/>
              </w:rPr>
            </w:pPr>
            <w:r w:rsidRPr="000463E8">
              <w:rPr>
                <w:rFonts w:ascii="Arial Narrow" w:eastAsia="Times New Roman" w:hAnsi="Arial Narrow"/>
                <w:color w:val="000000"/>
                <w:szCs w:val="22"/>
                <w:lang w:eastAsia="en-US"/>
              </w:rPr>
              <w:t xml:space="preserve">                60</w:t>
            </w:r>
            <w:r w:rsidR="00902D83">
              <w:rPr>
                <w:rFonts w:ascii="Arial Narrow" w:eastAsia="Times New Roman" w:hAnsi="Arial Narrow"/>
                <w:color w:val="000000"/>
                <w:szCs w:val="22"/>
                <w:lang w:eastAsia="en-US"/>
              </w:rPr>
              <w:t>,</w:t>
            </w:r>
            <w:r w:rsidRPr="000463E8">
              <w:rPr>
                <w:rFonts w:ascii="Arial Narrow" w:eastAsia="Times New Roman" w:hAnsi="Arial Narrow"/>
                <w:color w:val="000000"/>
                <w:szCs w:val="22"/>
                <w:lang w:eastAsia="en-US"/>
              </w:rPr>
              <w:t xml:space="preserve">000 </w:t>
            </w:r>
          </w:p>
        </w:tc>
        <w:tc>
          <w:tcPr>
            <w:tcW w:w="1418" w:type="dxa"/>
            <w:tcBorders>
              <w:top w:val="nil"/>
              <w:left w:val="nil"/>
              <w:bottom w:val="single" w:sz="4" w:space="0" w:color="BFBFBF"/>
              <w:right w:val="single" w:sz="4" w:space="0" w:color="BFBFBF"/>
            </w:tcBorders>
            <w:shd w:val="clear" w:color="auto" w:fill="auto"/>
            <w:noWrap/>
            <w:vAlign w:val="center"/>
            <w:hideMark/>
          </w:tcPr>
          <w:p w14:paraId="66745244" w14:textId="7FE4CCF5" w:rsidR="000463E8" w:rsidRPr="000463E8" w:rsidRDefault="000463E8" w:rsidP="00B27729">
            <w:pPr>
              <w:jc w:val="right"/>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60</w:t>
            </w:r>
            <w:r w:rsidR="00902D83">
              <w:rPr>
                <w:rFonts w:ascii="Arial Narrow" w:eastAsia="Times New Roman" w:hAnsi="Arial Narrow"/>
                <w:color w:val="002839"/>
                <w:szCs w:val="22"/>
                <w:lang w:eastAsia="en-US"/>
              </w:rPr>
              <w:t>,</w:t>
            </w:r>
            <w:r w:rsidRPr="000463E8">
              <w:rPr>
                <w:rFonts w:ascii="Arial Narrow" w:eastAsia="Times New Roman" w:hAnsi="Arial Narrow"/>
                <w:color w:val="002839"/>
                <w:szCs w:val="22"/>
                <w:lang w:eastAsia="en-US"/>
              </w:rPr>
              <w:t xml:space="preserve">000 </w:t>
            </w:r>
          </w:p>
        </w:tc>
      </w:tr>
      <w:tr w:rsidR="000463E8" w:rsidRPr="000463E8" w14:paraId="41E2E6DB" w14:textId="77777777" w:rsidTr="000463E8">
        <w:trPr>
          <w:trHeight w:val="93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622798A2" w14:textId="372BDEF5" w:rsidR="000463E8" w:rsidRPr="000463E8" w:rsidRDefault="006D6DF8" w:rsidP="00F41BEC">
            <w:pPr>
              <w:rPr>
                <w:rFonts w:ascii="Arial Narrow" w:eastAsia="Times New Roman" w:hAnsi="Arial Narrow"/>
                <w:color w:val="002839"/>
                <w:szCs w:val="22"/>
                <w:lang w:eastAsia="en-US"/>
              </w:rPr>
            </w:pPr>
            <w:r w:rsidRPr="006D6DF8">
              <w:rPr>
                <w:rFonts w:ascii="Arial Narrow" w:eastAsia="Times New Roman" w:hAnsi="Arial Narrow"/>
                <w:color w:val="002839"/>
                <w:szCs w:val="22"/>
                <w:lang w:eastAsia="en-US"/>
              </w:rPr>
              <w:t xml:space="preserve">Three events (one event in each country) </w:t>
            </w:r>
            <w:r w:rsidR="00F41BEC" w:rsidRPr="00F41BEC">
              <w:rPr>
                <w:rFonts w:ascii="Arial Narrow" w:eastAsia="Times New Roman" w:hAnsi="Arial Narrow"/>
                <w:color w:val="002839"/>
                <w:szCs w:val="22"/>
                <w:lang w:eastAsia="en-US"/>
              </w:rPr>
              <w:t>to present the produced materials to the relevant stakeholders in each beneficiary country, and collect their feedback</w:t>
            </w:r>
          </w:p>
        </w:tc>
        <w:tc>
          <w:tcPr>
            <w:tcW w:w="1701" w:type="dxa"/>
            <w:tcBorders>
              <w:top w:val="nil"/>
              <w:left w:val="nil"/>
              <w:bottom w:val="single" w:sz="4" w:space="0" w:color="BFBFBF"/>
              <w:right w:val="single" w:sz="4" w:space="0" w:color="BFBFBF"/>
            </w:tcBorders>
            <w:shd w:val="clear" w:color="auto" w:fill="auto"/>
            <w:noWrap/>
            <w:vAlign w:val="center"/>
            <w:hideMark/>
          </w:tcPr>
          <w:p w14:paraId="24177923" w14:textId="3A006F6F" w:rsidR="000463E8" w:rsidRPr="000463E8" w:rsidRDefault="00125D30" w:rsidP="000463E8">
            <w:pPr>
              <w:jc w:val="right"/>
              <w:rPr>
                <w:rFonts w:ascii="Arial Narrow" w:eastAsia="Times New Roman" w:hAnsi="Arial Narrow"/>
                <w:color w:val="002839"/>
                <w:szCs w:val="22"/>
                <w:lang w:eastAsia="en-US"/>
              </w:rPr>
            </w:pPr>
            <w:r>
              <w:rPr>
                <w:rFonts w:ascii="Arial Narrow" w:eastAsia="Times New Roman" w:hAnsi="Arial Narrow"/>
                <w:color w:val="002839"/>
                <w:szCs w:val="22"/>
                <w:lang w:eastAsia="en-US"/>
              </w:rPr>
              <w:t>-</w:t>
            </w:r>
            <w:r w:rsidR="000463E8" w:rsidRPr="000463E8">
              <w:rPr>
                <w:rFonts w:ascii="Arial Narrow" w:eastAsia="Times New Roman" w:hAnsi="Arial Narrow"/>
                <w:color w:val="002839"/>
                <w:szCs w:val="22"/>
                <w:lang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338EF7FA" w14:textId="0797C9C5" w:rsidR="000463E8" w:rsidRPr="000463E8" w:rsidRDefault="000463E8" w:rsidP="00902D83">
            <w:pPr>
              <w:jc w:val="right"/>
              <w:rPr>
                <w:rFonts w:ascii="Arial Narrow" w:eastAsia="Times New Roman" w:hAnsi="Arial Narrow"/>
                <w:color w:val="000000"/>
                <w:szCs w:val="22"/>
                <w:lang w:eastAsia="en-US"/>
              </w:rPr>
            </w:pPr>
            <w:r w:rsidRPr="000463E8">
              <w:rPr>
                <w:rFonts w:ascii="Arial Narrow" w:eastAsia="Times New Roman" w:hAnsi="Arial Narrow"/>
                <w:color w:val="000000"/>
                <w:szCs w:val="22"/>
                <w:lang w:eastAsia="en-US"/>
              </w:rPr>
              <w:t xml:space="preserve">                50</w:t>
            </w:r>
            <w:r w:rsidR="00902D83">
              <w:rPr>
                <w:rFonts w:ascii="Arial Narrow" w:eastAsia="Times New Roman" w:hAnsi="Arial Narrow"/>
                <w:color w:val="000000"/>
                <w:szCs w:val="22"/>
                <w:lang w:eastAsia="en-US"/>
              </w:rPr>
              <w:t>,</w:t>
            </w:r>
            <w:r w:rsidRPr="000463E8">
              <w:rPr>
                <w:rFonts w:ascii="Arial Narrow" w:eastAsia="Times New Roman" w:hAnsi="Arial Narrow"/>
                <w:color w:val="000000"/>
                <w:szCs w:val="22"/>
                <w:lang w:eastAsia="en-US"/>
              </w:rPr>
              <w:t xml:space="preserve">000 </w:t>
            </w:r>
          </w:p>
        </w:tc>
        <w:tc>
          <w:tcPr>
            <w:tcW w:w="1418" w:type="dxa"/>
            <w:tcBorders>
              <w:top w:val="nil"/>
              <w:left w:val="nil"/>
              <w:bottom w:val="single" w:sz="4" w:space="0" w:color="BFBFBF"/>
              <w:right w:val="single" w:sz="4" w:space="0" w:color="BFBFBF"/>
            </w:tcBorders>
            <w:shd w:val="clear" w:color="auto" w:fill="auto"/>
            <w:noWrap/>
            <w:vAlign w:val="center"/>
            <w:hideMark/>
          </w:tcPr>
          <w:p w14:paraId="0ECBF782" w14:textId="65243A4B" w:rsidR="000463E8" w:rsidRPr="000463E8" w:rsidRDefault="000463E8" w:rsidP="00B27729">
            <w:pPr>
              <w:jc w:val="right"/>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50</w:t>
            </w:r>
            <w:r w:rsidR="00902D83">
              <w:rPr>
                <w:rFonts w:ascii="Arial Narrow" w:eastAsia="Times New Roman" w:hAnsi="Arial Narrow"/>
                <w:color w:val="002839"/>
                <w:szCs w:val="22"/>
                <w:lang w:eastAsia="en-US"/>
              </w:rPr>
              <w:t>,</w:t>
            </w:r>
            <w:r w:rsidRPr="000463E8">
              <w:rPr>
                <w:rFonts w:ascii="Arial Narrow" w:eastAsia="Times New Roman" w:hAnsi="Arial Narrow"/>
                <w:color w:val="002839"/>
                <w:szCs w:val="22"/>
                <w:lang w:eastAsia="en-US"/>
              </w:rPr>
              <w:t xml:space="preserve">000 </w:t>
            </w:r>
          </w:p>
        </w:tc>
      </w:tr>
      <w:tr w:rsidR="000463E8" w:rsidRPr="000463E8" w14:paraId="4D389246" w14:textId="77777777" w:rsidTr="000463E8">
        <w:trPr>
          <w:trHeight w:val="66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38BF34FA" w14:textId="246BDC49" w:rsidR="000463E8" w:rsidRPr="000463E8" w:rsidRDefault="000463E8" w:rsidP="000463E8">
            <w:pPr>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w:t>
            </w:r>
            <w:r w:rsidR="006D6DF8" w:rsidRPr="00B27729">
              <w:rPr>
                <w:rFonts w:ascii="Arial Narrow" w:eastAsia="Times New Roman" w:hAnsi="Arial Narrow"/>
                <w:color w:val="002839"/>
                <w:szCs w:val="22"/>
                <w:lang w:eastAsia="en-US"/>
              </w:rPr>
              <w:t>Project conclusion and final self-assessment</w:t>
            </w:r>
          </w:p>
        </w:tc>
        <w:tc>
          <w:tcPr>
            <w:tcW w:w="1701" w:type="dxa"/>
            <w:tcBorders>
              <w:top w:val="nil"/>
              <w:left w:val="nil"/>
              <w:bottom w:val="single" w:sz="4" w:space="0" w:color="BFBFBF"/>
              <w:right w:val="single" w:sz="4" w:space="0" w:color="BFBFBF"/>
            </w:tcBorders>
            <w:shd w:val="clear" w:color="auto" w:fill="auto"/>
            <w:noWrap/>
            <w:vAlign w:val="center"/>
            <w:hideMark/>
          </w:tcPr>
          <w:p w14:paraId="1A60375C" w14:textId="77777777" w:rsidR="000463E8" w:rsidRPr="000463E8" w:rsidRDefault="000463E8" w:rsidP="000463E8">
            <w:pPr>
              <w:jc w:val="right"/>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   </w:t>
            </w:r>
          </w:p>
        </w:tc>
        <w:tc>
          <w:tcPr>
            <w:tcW w:w="1559" w:type="dxa"/>
            <w:tcBorders>
              <w:top w:val="nil"/>
              <w:left w:val="nil"/>
              <w:bottom w:val="single" w:sz="4" w:space="0" w:color="BFBFBF"/>
              <w:right w:val="single" w:sz="4" w:space="0" w:color="BFBFBF"/>
            </w:tcBorders>
            <w:shd w:val="clear" w:color="auto" w:fill="auto"/>
            <w:vAlign w:val="center"/>
            <w:hideMark/>
          </w:tcPr>
          <w:p w14:paraId="78388468" w14:textId="60CE4C7E" w:rsidR="000463E8" w:rsidRPr="00B27729" w:rsidRDefault="000463E8" w:rsidP="000463E8">
            <w:pPr>
              <w:jc w:val="right"/>
              <w:rPr>
                <w:rFonts w:ascii="Arial Narrow" w:eastAsia="Times New Roman" w:hAnsi="Arial Narrow"/>
                <w:color w:val="002839"/>
                <w:szCs w:val="22"/>
                <w:lang w:eastAsia="en-US"/>
              </w:rPr>
            </w:pPr>
            <w:r w:rsidRPr="00B27729">
              <w:rPr>
                <w:rFonts w:ascii="Arial Narrow" w:eastAsia="Times New Roman" w:hAnsi="Arial Narrow"/>
                <w:color w:val="002839"/>
                <w:szCs w:val="22"/>
                <w:lang w:eastAsia="en-US"/>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2B3C8EA1" w14:textId="62CB83FA" w:rsidR="000463E8" w:rsidRPr="000463E8" w:rsidRDefault="000463E8" w:rsidP="00B27729">
            <w:pPr>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   </w:t>
            </w:r>
          </w:p>
        </w:tc>
      </w:tr>
      <w:tr w:rsidR="000463E8" w:rsidRPr="000463E8" w14:paraId="2C320E57" w14:textId="77777777" w:rsidTr="000463E8">
        <w:trPr>
          <w:trHeight w:val="330"/>
        </w:trPr>
        <w:tc>
          <w:tcPr>
            <w:tcW w:w="4815" w:type="dxa"/>
            <w:tcBorders>
              <w:top w:val="nil"/>
              <w:left w:val="single" w:sz="4" w:space="0" w:color="BFBFBF"/>
              <w:bottom w:val="single" w:sz="4" w:space="0" w:color="BFBFBF"/>
              <w:right w:val="single" w:sz="4" w:space="0" w:color="BFBFBF"/>
            </w:tcBorders>
            <w:shd w:val="clear" w:color="000000" w:fill="EDF0F3"/>
            <w:vAlign w:val="center"/>
            <w:hideMark/>
          </w:tcPr>
          <w:p w14:paraId="0E5074D4" w14:textId="77777777" w:rsidR="000463E8" w:rsidRPr="000463E8" w:rsidRDefault="000463E8" w:rsidP="000463E8">
            <w:pP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Total </w:t>
            </w:r>
          </w:p>
        </w:tc>
        <w:tc>
          <w:tcPr>
            <w:tcW w:w="1701" w:type="dxa"/>
            <w:tcBorders>
              <w:top w:val="nil"/>
              <w:left w:val="nil"/>
              <w:bottom w:val="single" w:sz="4" w:space="0" w:color="BFBFBF"/>
              <w:right w:val="single" w:sz="4" w:space="0" w:color="BFBFBF"/>
            </w:tcBorders>
            <w:shd w:val="clear" w:color="000000" w:fill="EDF0F3"/>
            <w:noWrap/>
            <w:vAlign w:val="center"/>
            <w:hideMark/>
          </w:tcPr>
          <w:p w14:paraId="3F9EA3FC" w14:textId="77777777" w:rsidR="000463E8" w:rsidRPr="000463E8" w:rsidRDefault="000463E8" w:rsidP="000463E8">
            <w:pP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                          -   </w:t>
            </w:r>
          </w:p>
        </w:tc>
        <w:tc>
          <w:tcPr>
            <w:tcW w:w="1559" w:type="dxa"/>
            <w:tcBorders>
              <w:top w:val="nil"/>
              <w:left w:val="nil"/>
              <w:bottom w:val="single" w:sz="4" w:space="0" w:color="BFBFBF"/>
              <w:right w:val="single" w:sz="4" w:space="0" w:color="BFBFBF"/>
            </w:tcBorders>
            <w:shd w:val="clear" w:color="000000" w:fill="EDF0F3"/>
            <w:noWrap/>
            <w:vAlign w:val="center"/>
            <w:hideMark/>
          </w:tcPr>
          <w:p w14:paraId="4405D283" w14:textId="267D1B1D" w:rsidR="000463E8" w:rsidRPr="000463E8" w:rsidRDefault="00275677" w:rsidP="00902D83">
            <w:pPr>
              <w:rPr>
                <w:rFonts w:ascii="Arial Narrow" w:eastAsia="Times New Roman" w:hAnsi="Arial Narrow"/>
                <w:b/>
                <w:bCs/>
                <w:color w:val="002839"/>
                <w:szCs w:val="22"/>
                <w:lang w:eastAsia="en-US"/>
              </w:rPr>
            </w:pPr>
            <w:r>
              <w:rPr>
                <w:rFonts w:ascii="Arial Narrow" w:eastAsia="Times New Roman" w:hAnsi="Arial Narrow"/>
                <w:b/>
                <w:bCs/>
                <w:color w:val="002839"/>
                <w:szCs w:val="22"/>
                <w:lang w:eastAsia="en-US"/>
              </w:rPr>
              <w:t xml:space="preserve">     </w:t>
            </w:r>
            <w:r w:rsidR="000463E8" w:rsidRPr="000463E8">
              <w:rPr>
                <w:rFonts w:ascii="Arial Narrow" w:eastAsia="Times New Roman" w:hAnsi="Arial Narrow"/>
                <w:b/>
                <w:bCs/>
                <w:color w:val="002839"/>
                <w:szCs w:val="22"/>
                <w:lang w:eastAsia="en-US"/>
              </w:rPr>
              <w:t xml:space="preserve">        </w:t>
            </w:r>
            <w:r>
              <w:rPr>
                <w:rFonts w:ascii="Arial Narrow" w:eastAsia="Times New Roman" w:hAnsi="Arial Narrow"/>
                <w:b/>
                <w:bCs/>
                <w:color w:val="002839"/>
                <w:szCs w:val="22"/>
                <w:lang w:eastAsia="en-US"/>
              </w:rPr>
              <w:t>1</w:t>
            </w:r>
            <w:r w:rsidR="000463E8" w:rsidRPr="000463E8">
              <w:rPr>
                <w:rFonts w:ascii="Arial Narrow" w:eastAsia="Times New Roman" w:hAnsi="Arial Narrow"/>
                <w:b/>
                <w:bCs/>
                <w:color w:val="002839"/>
                <w:szCs w:val="22"/>
                <w:lang w:eastAsia="en-US"/>
              </w:rPr>
              <w:t>50</w:t>
            </w:r>
            <w:r w:rsidR="00902D83">
              <w:rPr>
                <w:rFonts w:ascii="Arial Narrow" w:eastAsia="Times New Roman" w:hAnsi="Arial Narrow"/>
                <w:b/>
                <w:bCs/>
                <w:color w:val="002839"/>
                <w:szCs w:val="22"/>
                <w:lang w:eastAsia="en-US"/>
              </w:rPr>
              <w:t>,</w:t>
            </w:r>
            <w:r w:rsidR="000463E8" w:rsidRPr="000463E8">
              <w:rPr>
                <w:rFonts w:ascii="Arial Narrow" w:eastAsia="Times New Roman" w:hAnsi="Arial Narrow"/>
                <w:b/>
                <w:bCs/>
                <w:color w:val="002839"/>
                <w:szCs w:val="22"/>
                <w:lang w:eastAsia="en-US"/>
              </w:rPr>
              <w:t xml:space="preserve">000 </w:t>
            </w:r>
          </w:p>
        </w:tc>
        <w:tc>
          <w:tcPr>
            <w:tcW w:w="1418" w:type="dxa"/>
            <w:tcBorders>
              <w:top w:val="nil"/>
              <w:left w:val="nil"/>
              <w:bottom w:val="single" w:sz="4" w:space="0" w:color="BFBFBF"/>
              <w:right w:val="single" w:sz="4" w:space="0" w:color="BFBFBF"/>
            </w:tcBorders>
            <w:shd w:val="clear" w:color="000000" w:fill="EDF0F3"/>
            <w:noWrap/>
            <w:vAlign w:val="center"/>
            <w:hideMark/>
          </w:tcPr>
          <w:p w14:paraId="2E69CEDF" w14:textId="788BB3F9" w:rsidR="000463E8" w:rsidRPr="000463E8" w:rsidRDefault="000463E8" w:rsidP="006D6DF8">
            <w:pP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          150</w:t>
            </w:r>
            <w:r w:rsidR="00902D83">
              <w:rPr>
                <w:rFonts w:ascii="Arial Narrow" w:eastAsia="Times New Roman" w:hAnsi="Arial Narrow"/>
                <w:b/>
                <w:bCs/>
                <w:color w:val="002839"/>
                <w:szCs w:val="22"/>
                <w:lang w:eastAsia="en-US"/>
              </w:rPr>
              <w:t>,</w:t>
            </w:r>
            <w:r w:rsidRPr="000463E8">
              <w:rPr>
                <w:rFonts w:ascii="Arial Narrow" w:eastAsia="Times New Roman" w:hAnsi="Arial Narrow"/>
                <w:b/>
                <w:bCs/>
                <w:color w:val="002839"/>
                <w:szCs w:val="22"/>
                <w:lang w:eastAsia="en-US"/>
              </w:rPr>
              <w:t xml:space="preserve">000 </w:t>
            </w:r>
          </w:p>
        </w:tc>
      </w:tr>
    </w:tbl>
    <w:p w14:paraId="095B43B9" w14:textId="77777777" w:rsidR="00344570" w:rsidRDefault="00344570" w:rsidP="00344570">
      <w:pPr>
        <w:rPr>
          <w:rFonts w:eastAsia="Times New Roman"/>
          <w:szCs w:val="22"/>
          <w:lang w:eastAsia="en-US"/>
        </w:rPr>
        <w:sectPr w:rsidR="00344570" w:rsidSect="00E61FAB">
          <w:headerReference w:type="default" r:id="rId17"/>
          <w:headerReference w:type="first" r:id="rId18"/>
          <w:endnotePr>
            <w:numFmt w:val="decimal"/>
          </w:endnotePr>
          <w:pgSz w:w="11907" w:h="16840" w:code="9"/>
          <w:pgMar w:top="567" w:right="1134" w:bottom="1418" w:left="1418" w:header="510" w:footer="1021" w:gutter="0"/>
          <w:pgNumType w:start="1" w:chapStyle="1"/>
          <w:cols w:space="720"/>
          <w:titlePg/>
          <w:docGrid w:linePitch="299"/>
        </w:sectPr>
      </w:pPr>
    </w:p>
    <w:p w14:paraId="35B2FBF2" w14:textId="77534991" w:rsidR="000463E8" w:rsidRDefault="00344570" w:rsidP="0032654F">
      <w:pPr>
        <w:rPr>
          <w:rFonts w:eastAsia="Times New Roman"/>
          <w:b/>
          <w:bCs/>
          <w:szCs w:val="22"/>
          <w:lang w:eastAsia="en-US"/>
        </w:rPr>
      </w:pPr>
      <w:r w:rsidRPr="007746D5">
        <w:rPr>
          <w:rFonts w:eastAsia="Times New Roman"/>
          <w:b/>
          <w:bCs/>
          <w:szCs w:val="22"/>
          <w:lang w:eastAsia="en-US"/>
        </w:rPr>
        <w:t xml:space="preserve">5. </w:t>
      </w:r>
      <w:r w:rsidR="0032654F">
        <w:rPr>
          <w:rFonts w:eastAsia="Times New Roman"/>
          <w:b/>
          <w:bCs/>
          <w:szCs w:val="22"/>
          <w:lang w:eastAsia="en-US"/>
        </w:rPr>
        <w:t>Non-Personnel Resources b</w:t>
      </w:r>
      <w:r w:rsidRPr="00344570">
        <w:rPr>
          <w:rFonts w:eastAsia="Times New Roman"/>
          <w:b/>
          <w:bCs/>
          <w:szCs w:val="22"/>
          <w:lang w:eastAsia="en-US"/>
        </w:rPr>
        <w:t>y Cost Category</w:t>
      </w:r>
    </w:p>
    <w:p w14:paraId="3D4B9664" w14:textId="17D553B8" w:rsidR="00344570" w:rsidRDefault="00344570" w:rsidP="00344570">
      <w:pPr>
        <w:rPr>
          <w:rFonts w:eastAsia="Times New Roman"/>
          <w:b/>
          <w:bCs/>
          <w:szCs w:val="22"/>
          <w:lang w:eastAsia="en-US"/>
        </w:rPr>
      </w:pPr>
    </w:p>
    <w:tbl>
      <w:tblPr>
        <w:tblW w:w="13475" w:type="dxa"/>
        <w:tblLook w:val="04A0" w:firstRow="1" w:lastRow="0" w:firstColumn="1" w:lastColumn="0" w:noHBand="0" w:noVBand="1"/>
      </w:tblPr>
      <w:tblGrid>
        <w:gridCol w:w="2263"/>
        <w:gridCol w:w="1134"/>
        <w:gridCol w:w="993"/>
        <w:gridCol w:w="1134"/>
        <w:gridCol w:w="1309"/>
        <w:gridCol w:w="1384"/>
        <w:gridCol w:w="1219"/>
        <w:gridCol w:w="1249"/>
        <w:gridCol w:w="1219"/>
        <w:gridCol w:w="1571"/>
      </w:tblGrid>
      <w:tr w:rsidR="00344570" w:rsidRPr="00315B02" w14:paraId="459CD044" w14:textId="77777777" w:rsidTr="00344570">
        <w:trPr>
          <w:trHeight w:val="705"/>
        </w:trPr>
        <w:tc>
          <w:tcPr>
            <w:tcW w:w="2263" w:type="dxa"/>
            <w:tcBorders>
              <w:top w:val="single" w:sz="4" w:space="0" w:color="BFBFBF"/>
              <w:left w:val="single" w:sz="4" w:space="0" w:color="BFBFBF"/>
              <w:bottom w:val="nil"/>
              <w:right w:val="single" w:sz="4" w:space="0" w:color="A6A6A6"/>
            </w:tcBorders>
            <w:shd w:val="clear" w:color="000000" w:fill="C7CFD8"/>
            <w:noWrap/>
            <w:vAlign w:val="bottom"/>
            <w:hideMark/>
          </w:tcPr>
          <w:p w14:paraId="1E2AF3EF" w14:textId="77777777" w:rsidR="00344570" w:rsidRPr="00315B02" w:rsidRDefault="00344570" w:rsidP="00344570">
            <w:pPr>
              <w:rPr>
                <w:rFonts w:ascii="Arial Narrow" w:eastAsia="Times New Roman" w:hAnsi="Arial Narrow"/>
                <w:i/>
                <w:iCs/>
                <w:color w:val="002839"/>
                <w:szCs w:val="22"/>
                <w:lang w:eastAsia="en-US"/>
              </w:rPr>
            </w:pPr>
            <w:r w:rsidRPr="00315B02">
              <w:rPr>
                <w:rFonts w:ascii="Arial Narrow" w:eastAsia="Times New Roman" w:hAnsi="Arial Narrow"/>
                <w:i/>
                <w:iCs/>
                <w:color w:val="002839"/>
                <w:szCs w:val="22"/>
                <w:lang w:eastAsia="en-US"/>
              </w:rPr>
              <w:t>(in Swiss francs)</w:t>
            </w:r>
          </w:p>
        </w:tc>
        <w:tc>
          <w:tcPr>
            <w:tcW w:w="3261"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70DCDF4E"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Travel, Training and Grants </w:t>
            </w:r>
          </w:p>
        </w:tc>
        <w:tc>
          <w:tcPr>
            <w:tcW w:w="6380"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646FA39D"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Contractual Services</w:t>
            </w:r>
          </w:p>
        </w:tc>
        <w:tc>
          <w:tcPr>
            <w:tcW w:w="15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29E4B267"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Total</w:t>
            </w:r>
          </w:p>
        </w:tc>
      </w:tr>
      <w:tr w:rsidR="00344570" w:rsidRPr="00315B02" w14:paraId="38C757A6" w14:textId="77777777" w:rsidTr="00344570">
        <w:trPr>
          <w:trHeight w:val="990"/>
        </w:trPr>
        <w:tc>
          <w:tcPr>
            <w:tcW w:w="2263" w:type="dxa"/>
            <w:tcBorders>
              <w:top w:val="nil"/>
              <w:left w:val="single" w:sz="4" w:space="0" w:color="BFBFBF"/>
              <w:bottom w:val="single" w:sz="4" w:space="0" w:color="BFBFBF"/>
              <w:right w:val="single" w:sz="4" w:space="0" w:color="A6A6A6"/>
            </w:tcBorders>
            <w:shd w:val="clear" w:color="000000" w:fill="C7CFD8"/>
            <w:noWrap/>
            <w:vAlign w:val="bottom"/>
            <w:hideMark/>
          </w:tcPr>
          <w:p w14:paraId="2BEE990C" w14:textId="77777777" w:rsidR="00344570" w:rsidRPr="00315B02" w:rsidRDefault="00344570" w:rsidP="00344570">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Activities</w:t>
            </w:r>
          </w:p>
        </w:tc>
        <w:tc>
          <w:tcPr>
            <w:tcW w:w="1134" w:type="dxa"/>
            <w:tcBorders>
              <w:top w:val="nil"/>
              <w:left w:val="nil"/>
              <w:bottom w:val="single" w:sz="4" w:space="0" w:color="BFBFBF"/>
              <w:right w:val="single" w:sz="4" w:space="0" w:color="A6A6A6"/>
            </w:tcBorders>
            <w:shd w:val="clear" w:color="000000" w:fill="C7CFD8"/>
            <w:vAlign w:val="center"/>
            <w:hideMark/>
          </w:tcPr>
          <w:p w14:paraId="7B721AC0"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Staff Missions</w:t>
            </w:r>
          </w:p>
        </w:tc>
        <w:tc>
          <w:tcPr>
            <w:tcW w:w="993" w:type="dxa"/>
            <w:tcBorders>
              <w:top w:val="nil"/>
              <w:left w:val="nil"/>
              <w:bottom w:val="single" w:sz="4" w:space="0" w:color="BFBFBF"/>
              <w:right w:val="single" w:sz="4" w:space="0" w:color="A6A6A6"/>
            </w:tcBorders>
            <w:shd w:val="clear" w:color="000000" w:fill="C7CFD8"/>
            <w:vAlign w:val="center"/>
            <w:hideMark/>
          </w:tcPr>
          <w:p w14:paraId="63793D32"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Third-party Travel</w:t>
            </w:r>
          </w:p>
        </w:tc>
        <w:tc>
          <w:tcPr>
            <w:tcW w:w="1134" w:type="dxa"/>
            <w:tcBorders>
              <w:top w:val="nil"/>
              <w:left w:val="nil"/>
              <w:bottom w:val="single" w:sz="4" w:space="0" w:color="BFBFBF"/>
              <w:right w:val="single" w:sz="4" w:space="0" w:color="A6A6A6"/>
            </w:tcBorders>
            <w:shd w:val="clear" w:color="000000" w:fill="C7CFD8"/>
            <w:vAlign w:val="center"/>
            <w:hideMark/>
          </w:tcPr>
          <w:p w14:paraId="3D2D9456"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Training and related travel grants</w:t>
            </w:r>
          </w:p>
        </w:tc>
        <w:tc>
          <w:tcPr>
            <w:tcW w:w="1309" w:type="dxa"/>
            <w:tcBorders>
              <w:top w:val="nil"/>
              <w:left w:val="nil"/>
              <w:bottom w:val="single" w:sz="4" w:space="0" w:color="BFBFBF"/>
              <w:right w:val="single" w:sz="4" w:space="0" w:color="A6A6A6"/>
            </w:tcBorders>
            <w:shd w:val="clear" w:color="000000" w:fill="C7CFD8"/>
            <w:noWrap/>
            <w:vAlign w:val="center"/>
            <w:hideMark/>
          </w:tcPr>
          <w:p w14:paraId="18A073AC"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Conferences</w:t>
            </w:r>
          </w:p>
        </w:tc>
        <w:tc>
          <w:tcPr>
            <w:tcW w:w="1384" w:type="dxa"/>
            <w:tcBorders>
              <w:top w:val="nil"/>
              <w:left w:val="nil"/>
              <w:bottom w:val="single" w:sz="4" w:space="0" w:color="BFBFBF"/>
              <w:right w:val="single" w:sz="4" w:space="0" w:color="A6A6A6"/>
            </w:tcBorders>
            <w:shd w:val="clear" w:color="000000" w:fill="C7CFD8"/>
            <w:noWrap/>
            <w:vAlign w:val="center"/>
            <w:hideMark/>
          </w:tcPr>
          <w:p w14:paraId="5E824B73"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Publishing</w:t>
            </w:r>
          </w:p>
        </w:tc>
        <w:tc>
          <w:tcPr>
            <w:tcW w:w="1219" w:type="dxa"/>
            <w:tcBorders>
              <w:top w:val="nil"/>
              <w:left w:val="nil"/>
              <w:bottom w:val="single" w:sz="4" w:space="0" w:color="BFBFBF"/>
              <w:right w:val="single" w:sz="4" w:space="0" w:color="A6A6A6"/>
            </w:tcBorders>
            <w:shd w:val="clear" w:color="000000" w:fill="C7CFD8"/>
            <w:vAlign w:val="center"/>
            <w:hideMark/>
          </w:tcPr>
          <w:p w14:paraId="47955CEF" w14:textId="08A556DE"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Individual Contractual Services</w:t>
            </w:r>
            <w:r w:rsidR="000F286D">
              <w:rPr>
                <w:rStyle w:val="FootnoteReference"/>
                <w:rFonts w:ascii="Arial Narrow" w:eastAsia="Times New Roman" w:hAnsi="Arial Narrow"/>
                <w:b/>
                <w:bCs/>
                <w:color w:val="002839"/>
                <w:szCs w:val="22"/>
                <w:lang w:eastAsia="en-US"/>
              </w:rPr>
              <w:footnoteReference w:id="4"/>
            </w:r>
          </w:p>
        </w:tc>
        <w:tc>
          <w:tcPr>
            <w:tcW w:w="1249" w:type="dxa"/>
            <w:tcBorders>
              <w:top w:val="nil"/>
              <w:left w:val="nil"/>
              <w:bottom w:val="single" w:sz="4" w:space="0" w:color="BFBFBF"/>
              <w:right w:val="single" w:sz="4" w:space="0" w:color="A6A6A6"/>
            </w:tcBorders>
            <w:shd w:val="clear" w:color="000000" w:fill="C7CFD8"/>
            <w:vAlign w:val="center"/>
            <w:hideMark/>
          </w:tcPr>
          <w:p w14:paraId="481B14B7"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WIPO Fellowships</w:t>
            </w:r>
          </w:p>
        </w:tc>
        <w:tc>
          <w:tcPr>
            <w:tcW w:w="1219" w:type="dxa"/>
            <w:tcBorders>
              <w:top w:val="nil"/>
              <w:left w:val="nil"/>
              <w:bottom w:val="single" w:sz="4" w:space="0" w:color="BFBFBF"/>
              <w:right w:val="nil"/>
            </w:tcBorders>
            <w:shd w:val="clear" w:color="000000" w:fill="C7CFD8"/>
            <w:vAlign w:val="center"/>
            <w:hideMark/>
          </w:tcPr>
          <w:p w14:paraId="51F68CCB"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Other Contractual Services</w:t>
            </w:r>
          </w:p>
        </w:tc>
        <w:tc>
          <w:tcPr>
            <w:tcW w:w="1571" w:type="dxa"/>
            <w:vMerge/>
            <w:tcBorders>
              <w:top w:val="single" w:sz="4" w:space="0" w:color="BFBFBF"/>
              <w:left w:val="single" w:sz="4" w:space="0" w:color="A6A6A6"/>
              <w:bottom w:val="single" w:sz="4" w:space="0" w:color="BFBFBF"/>
              <w:right w:val="single" w:sz="4" w:space="0" w:color="BFBFBF"/>
            </w:tcBorders>
            <w:vAlign w:val="center"/>
            <w:hideMark/>
          </w:tcPr>
          <w:p w14:paraId="7A841931" w14:textId="77777777" w:rsidR="00344570" w:rsidRPr="00315B02" w:rsidRDefault="00344570" w:rsidP="00344570">
            <w:pPr>
              <w:rPr>
                <w:rFonts w:ascii="Arial Narrow" w:eastAsia="Times New Roman" w:hAnsi="Arial Narrow"/>
                <w:b/>
                <w:bCs/>
                <w:color w:val="002839"/>
                <w:szCs w:val="22"/>
                <w:lang w:eastAsia="en-US"/>
              </w:rPr>
            </w:pPr>
          </w:p>
        </w:tc>
      </w:tr>
      <w:tr w:rsidR="00344570" w:rsidRPr="00315B02" w14:paraId="27028216" w14:textId="77777777" w:rsidTr="00344570">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527A560B" w14:textId="2ADA1230" w:rsidR="00344570" w:rsidRPr="00315B02" w:rsidRDefault="00B27729" w:rsidP="00B27729">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Training course material on IP for mobile applications</w:t>
            </w:r>
          </w:p>
        </w:tc>
        <w:tc>
          <w:tcPr>
            <w:tcW w:w="1134" w:type="dxa"/>
            <w:tcBorders>
              <w:top w:val="nil"/>
              <w:left w:val="nil"/>
              <w:bottom w:val="single" w:sz="4" w:space="0" w:color="BFBFBF"/>
              <w:right w:val="single" w:sz="4" w:space="0" w:color="BFBFBF"/>
            </w:tcBorders>
            <w:shd w:val="clear" w:color="auto" w:fill="auto"/>
            <w:noWrap/>
            <w:vAlign w:val="center"/>
            <w:hideMark/>
          </w:tcPr>
          <w:p w14:paraId="3A43BC90" w14:textId="37ACFB9D"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53A5AE9D" w14:textId="42CC6E37"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16288FC2" w14:textId="0DDBC2CA"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2D1FCD56" w14:textId="2683157A"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38151723" w14:textId="15EFAB16"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1C256AB7" w14:textId="22845FAE" w:rsidR="00344570" w:rsidRPr="00315B02" w:rsidRDefault="0034457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40</w:t>
            </w:r>
            <w:r w:rsidR="00902D83">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1249" w:type="dxa"/>
            <w:tcBorders>
              <w:top w:val="nil"/>
              <w:left w:val="nil"/>
              <w:bottom w:val="single" w:sz="4" w:space="0" w:color="BFBFBF"/>
              <w:right w:val="single" w:sz="4" w:space="0" w:color="BFBFBF"/>
            </w:tcBorders>
            <w:shd w:val="clear" w:color="auto" w:fill="auto"/>
            <w:noWrap/>
            <w:vAlign w:val="center"/>
            <w:hideMark/>
          </w:tcPr>
          <w:p w14:paraId="627BAF84" w14:textId="68656C11"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3E094E45" w14:textId="66A87A37"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060C7573" w14:textId="61892DA2" w:rsidR="00344570" w:rsidRPr="00315B02" w:rsidRDefault="00344570" w:rsidP="00344570">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w:t>
            </w:r>
            <w:r w:rsidR="00125D30" w:rsidRPr="00315B02">
              <w:rPr>
                <w:rFonts w:ascii="Arial Narrow" w:eastAsia="Times New Roman" w:hAnsi="Arial Narrow"/>
                <w:color w:val="002839"/>
                <w:szCs w:val="22"/>
                <w:lang w:eastAsia="en-US"/>
              </w:rPr>
              <w:t>-</w:t>
            </w:r>
          </w:p>
        </w:tc>
      </w:tr>
      <w:tr w:rsidR="00344570" w:rsidRPr="00315B02" w14:paraId="128D6796" w14:textId="77777777" w:rsidTr="00344570">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26456082" w14:textId="4189AA3C" w:rsidR="00344570" w:rsidRPr="00315B02" w:rsidRDefault="00B27729" w:rsidP="00B27729">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Four tools on IP for mobile apps in music, publishing, videogames and audiovisual content</w:t>
            </w:r>
          </w:p>
        </w:tc>
        <w:tc>
          <w:tcPr>
            <w:tcW w:w="1134" w:type="dxa"/>
            <w:tcBorders>
              <w:top w:val="nil"/>
              <w:left w:val="nil"/>
              <w:bottom w:val="single" w:sz="4" w:space="0" w:color="BFBFBF"/>
              <w:right w:val="single" w:sz="4" w:space="0" w:color="BFBFBF"/>
            </w:tcBorders>
            <w:shd w:val="clear" w:color="auto" w:fill="auto"/>
            <w:noWrap/>
            <w:vAlign w:val="center"/>
            <w:hideMark/>
          </w:tcPr>
          <w:p w14:paraId="4E941EE3" w14:textId="030E27D4"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2371C521" w14:textId="511A9EFF"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5EA45495" w14:textId="05527236"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614DD0E9" w14:textId="46F4365E"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0154735C" w14:textId="21D68932"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1FDA3570" w14:textId="4B575261" w:rsidR="00344570" w:rsidRPr="00315B02" w:rsidRDefault="0034457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60</w:t>
            </w:r>
            <w:r w:rsidR="00902D83">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1249" w:type="dxa"/>
            <w:tcBorders>
              <w:top w:val="nil"/>
              <w:left w:val="nil"/>
              <w:bottom w:val="single" w:sz="4" w:space="0" w:color="BFBFBF"/>
              <w:right w:val="single" w:sz="4" w:space="0" w:color="BFBFBF"/>
            </w:tcBorders>
            <w:shd w:val="clear" w:color="auto" w:fill="auto"/>
            <w:noWrap/>
            <w:vAlign w:val="center"/>
            <w:hideMark/>
          </w:tcPr>
          <w:p w14:paraId="1140D931" w14:textId="3E59FCDC"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7FD8E10F" w14:textId="1D465885"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3E3F041B" w14:textId="2EBE9C91" w:rsidR="00344570" w:rsidRPr="00315B02" w:rsidRDefault="00344570" w:rsidP="00344570">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w:t>
            </w:r>
            <w:r w:rsidR="00125D30" w:rsidRPr="00315B02">
              <w:rPr>
                <w:rFonts w:ascii="Arial Narrow" w:eastAsia="Times New Roman" w:hAnsi="Arial Narrow"/>
                <w:color w:val="002839"/>
                <w:szCs w:val="22"/>
                <w:lang w:eastAsia="en-US"/>
              </w:rPr>
              <w:t>-</w:t>
            </w:r>
          </w:p>
        </w:tc>
      </w:tr>
      <w:tr w:rsidR="00344570" w:rsidRPr="00315B02" w14:paraId="623FBEC5" w14:textId="77777777" w:rsidTr="00344570">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55CBAEEC" w14:textId="1FDD4EBD" w:rsidR="00344570" w:rsidRPr="00315B02" w:rsidRDefault="00B27729" w:rsidP="00F41BEC">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Three events (one event in each country) </w:t>
            </w:r>
            <w:r w:rsidR="00F41BEC" w:rsidRPr="00F41BEC">
              <w:rPr>
                <w:rFonts w:ascii="Arial Narrow" w:eastAsia="Times New Roman" w:hAnsi="Arial Narrow"/>
                <w:color w:val="002839"/>
                <w:szCs w:val="22"/>
                <w:lang w:eastAsia="en-US"/>
              </w:rPr>
              <w:t>to present the produced materials to the relevant stakeholders in each beneficiary country, and collect their feedback</w:t>
            </w:r>
          </w:p>
        </w:tc>
        <w:tc>
          <w:tcPr>
            <w:tcW w:w="1134" w:type="dxa"/>
            <w:tcBorders>
              <w:top w:val="nil"/>
              <w:left w:val="nil"/>
              <w:bottom w:val="single" w:sz="4" w:space="0" w:color="BFBFBF"/>
              <w:right w:val="single" w:sz="4" w:space="0" w:color="BFBFBF"/>
            </w:tcBorders>
            <w:shd w:val="clear" w:color="auto" w:fill="auto"/>
            <w:noWrap/>
            <w:vAlign w:val="center"/>
            <w:hideMark/>
          </w:tcPr>
          <w:p w14:paraId="02026DE1" w14:textId="7000279B" w:rsidR="00344570" w:rsidRPr="00315B02" w:rsidRDefault="0034457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20</w:t>
            </w:r>
            <w:r w:rsidR="00754FED">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993" w:type="dxa"/>
            <w:tcBorders>
              <w:top w:val="nil"/>
              <w:left w:val="nil"/>
              <w:bottom w:val="single" w:sz="4" w:space="0" w:color="BFBFBF"/>
              <w:right w:val="single" w:sz="4" w:space="0" w:color="BFBFBF"/>
            </w:tcBorders>
            <w:shd w:val="clear" w:color="auto" w:fill="auto"/>
            <w:noWrap/>
            <w:vAlign w:val="center"/>
            <w:hideMark/>
          </w:tcPr>
          <w:p w14:paraId="323DF18F" w14:textId="23154BEA"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0D68C3DC" w14:textId="29B1BFBC"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072E8F4A" w14:textId="50FC5361" w:rsidR="00344570" w:rsidRPr="00315B02" w:rsidRDefault="00344570" w:rsidP="00B27729">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1</w:t>
            </w:r>
            <w:r w:rsidR="00B27729" w:rsidRPr="00315B02">
              <w:rPr>
                <w:rFonts w:ascii="Arial Narrow" w:eastAsia="Times New Roman" w:hAnsi="Arial Narrow"/>
                <w:color w:val="002839"/>
                <w:szCs w:val="22"/>
                <w:lang w:eastAsia="en-US"/>
              </w:rPr>
              <w:t>2</w:t>
            </w:r>
            <w:r w:rsidR="00902D83">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1384" w:type="dxa"/>
            <w:tcBorders>
              <w:top w:val="nil"/>
              <w:left w:val="nil"/>
              <w:bottom w:val="single" w:sz="4" w:space="0" w:color="BFBFBF"/>
              <w:right w:val="single" w:sz="4" w:space="0" w:color="BFBFBF"/>
            </w:tcBorders>
            <w:shd w:val="clear" w:color="auto" w:fill="auto"/>
            <w:noWrap/>
            <w:vAlign w:val="center"/>
            <w:hideMark/>
          </w:tcPr>
          <w:p w14:paraId="203BBE7C" w14:textId="6F584DE8"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2F076228" w14:textId="7B1783A1" w:rsidR="00344570" w:rsidRPr="00315B02" w:rsidRDefault="0034457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w:t>
            </w:r>
            <w:r w:rsidR="00B27729" w:rsidRPr="00315B02">
              <w:rPr>
                <w:rFonts w:ascii="Arial Narrow" w:eastAsia="Times New Roman" w:hAnsi="Arial Narrow"/>
                <w:color w:val="002839"/>
                <w:szCs w:val="22"/>
                <w:lang w:eastAsia="en-US"/>
              </w:rPr>
              <w:t>18</w:t>
            </w:r>
            <w:r w:rsidR="00902D83">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1249" w:type="dxa"/>
            <w:tcBorders>
              <w:top w:val="nil"/>
              <w:left w:val="nil"/>
              <w:bottom w:val="single" w:sz="4" w:space="0" w:color="BFBFBF"/>
              <w:right w:val="single" w:sz="4" w:space="0" w:color="BFBFBF"/>
            </w:tcBorders>
            <w:shd w:val="clear" w:color="auto" w:fill="auto"/>
            <w:noWrap/>
            <w:vAlign w:val="center"/>
            <w:hideMark/>
          </w:tcPr>
          <w:p w14:paraId="494D5A78" w14:textId="410170FC"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37948170" w14:textId="3F15C3B3"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57368957" w14:textId="6859260E" w:rsidR="00344570" w:rsidRPr="00315B02" w:rsidRDefault="00344570" w:rsidP="00344570">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w:t>
            </w:r>
            <w:r w:rsidR="00125D30" w:rsidRPr="00315B02">
              <w:rPr>
                <w:rFonts w:ascii="Arial Narrow" w:eastAsia="Times New Roman" w:hAnsi="Arial Narrow"/>
                <w:color w:val="002839"/>
                <w:szCs w:val="22"/>
                <w:lang w:eastAsia="en-US"/>
              </w:rPr>
              <w:t>-</w:t>
            </w:r>
          </w:p>
        </w:tc>
      </w:tr>
      <w:tr w:rsidR="00344570" w:rsidRPr="00315B02" w14:paraId="6978E6A6" w14:textId="77777777" w:rsidTr="00344570">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4286888C" w14:textId="0BFDE0D6" w:rsidR="00344570" w:rsidRPr="00315B02" w:rsidRDefault="00B27729" w:rsidP="00B27729">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Project conclusion and final self-assessment</w:t>
            </w:r>
          </w:p>
        </w:tc>
        <w:tc>
          <w:tcPr>
            <w:tcW w:w="1134" w:type="dxa"/>
            <w:tcBorders>
              <w:top w:val="nil"/>
              <w:left w:val="nil"/>
              <w:bottom w:val="single" w:sz="4" w:space="0" w:color="BFBFBF"/>
              <w:right w:val="single" w:sz="4" w:space="0" w:color="BFBFBF"/>
            </w:tcBorders>
            <w:shd w:val="clear" w:color="auto" w:fill="auto"/>
            <w:noWrap/>
            <w:vAlign w:val="center"/>
            <w:hideMark/>
          </w:tcPr>
          <w:p w14:paraId="3E313BCD" w14:textId="4DA67AB3"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01CFF241" w14:textId="06BE0C35"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218D65BB" w14:textId="43E7054D"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488480AA" w14:textId="10C32FB8"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1E48E069" w14:textId="2B0A6A08"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6CD5F023" w14:textId="4992739F"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49" w:type="dxa"/>
            <w:tcBorders>
              <w:top w:val="nil"/>
              <w:left w:val="nil"/>
              <w:bottom w:val="single" w:sz="4" w:space="0" w:color="BFBFBF"/>
              <w:right w:val="single" w:sz="4" w:space="0" w:color="BFBFBF"/>
            </w:tcBorders>
            <w:shd w:val="clear" w:color="auto" w:fill="auto"/>
            <w:noWrap/>
            <w:vAlign w:val="center"/>
            <w:hideMark/>
          </w:tcPr>
          <w:p w14:paraId="666A604E" w14:textId="126A75E1"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19FD7844" w14:textId="1938E76C"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2BFB79B5" w14:textId="3712D3EE" w:rsidR="00344570" w:rsidRPr="00315B02" w:rsidRDefault="00344570" w:rsidP="00344570">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w:t>
            </w:r>
            <w:r w:rsidR="00125D30" w:rsidRPr="00315B02">
              <w:rPr>
                <w:rFonts w:ascii="Arial Narrow" w:eastAsia="Times New Roman" w:hAnsi="Arial Narrow"/>
                <w:color w:val="002839"/>
                <w:szCs w:val="22"/>
                <w:lang w:eastAsia="en-US"/>
              </w:rPr>
              <w:t>-</w:t>
            </w:r>
          </w:p>
        </w:tc>
      </w:tr>
      <w:tr w:rsidR="00344570" w:rsidRPr="00315B02" w14:paraId="2AB2EBB1" w14:textId="77777777" w:rsidTr="00344570">
        <w:trPr>
          <w:trHeight w:val="330"/>
        </w:trPr>
        <w:tc>
          <w:tcPr>
            <w:tcW w:w="2263" w:type="dxa"/>
            <w:tcBorders>
              <w:top w:val="nil"/>
              <w:left w:val="single" w:sz="4" w:space="0" w:color="BFBFBF"/>
              <w:bottom w:val="single" w:sz="4" w:space="0" w:color="BFBFBF"/>
              <w:right w:val="single" w:sz="4" w:space="0" w:color="BFBFBF"/>
            </w:tcBorders>
            <w:shd w:val="clear" w:color="000000" w:fill="EDF0F3"/>
            <w:vAlign w:val="center"/>
            <w:hideMark/>
          </w:tcPr>
          <w:p w14:paraId="5E355C99" w14:textId="77777777" w:rsidR="00344570" w:rsidRPr="00315B02" w:rsidRDefault="00344570" w:rsidP="00344570">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Total </w:t>
            </w:r>
          </w:p>
        </w:tc>
        <w:tc>
          <w:tcPr>
            <w:tcW w:w="1134" w:type="dxa"/>
            <w:tcBorders>
              <w:top w:val="nil"/>
              <w:left w:val="nil"/>
              <w:bottom w:val="single" w:sz="4" w:space="0" w:color="BFBFBF"/>
              <w:right w:val="single" w:sz="4" w:space="0" w:color="BFBFBF"/>
            </w:tcBorders>
            <w:shd w:val="clear" w:color="000000" w:fill="EDF0F3"/>
            <w:noWrap/>
            <w:vAlign w:val="center"/>
            <w:hideMark/>
          </w:tcPr>
          <w:p w14:paraId="402E41CF" w14:textId="5021BE0F" w:rsidR="00344570" w:rsidRPr="00315B02" w:rsidRDefault="00344570" w:rsidP="00B27729">
            <w:pPr>
              <w:jc w:val="right"/>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20</w:t>
            </w:r>
            <w:r w:rsidR="00902D83">
              <w:rPr>
                <w:rFonts w:ascii="Arial Narrow" w:eastAsia="Times New Roman" w:hAnsi="Arial Narrow"/>
                <w:b/>
                <w:bCs/>
                <w:color w:val="002839"/>
                <w:szCs w:val="22"/>
                <w:lang w:eastAsia="en-US"/>
              </w:rPr>
              <w:t>,</w:t>
            </w:r>
            <w:r w:rsidRPr="00315B02">
              <w:rPr>
                <w:rFonts w:ascii="Arial Narrow" w:eastAsia="Times New Roman" w:hAnsi="Arial Narrow"/>
                <w:b/>
                <w:bCs/>
                <w:color w:val="002839"/>
                <w:szCs w:val="22"/>
                <w:lang w:eastAsia="en-US"/>
              </w:rPr>
              <w:t xml:space="preserve">000 </w:t>
            </w:r>
          </w:p>
        </w:tc>
        <w:tc>
          <w:tcPr>
            <w:tcW w:w="993" w:type="dxa"/>
            <w:tcBorders>
              <w:top w:val="nil"/>
              <w:left w:val="nil"/>
              <w:bottom w:val="single" w:sz="4" w:space="0" w:color="BFBFBF"/>
              <w:right w:val="single" w:sz="4" w:space="0" w:color="BFBFBF"/>
            </w:tcBorders>
            <w:shd w:val="clear" w:color="000000" w:fill="EDF0F3"/>
            <w:noWrap/>
            <w:vAlign w:val="center"/>
            <w:hideMark/>
          </w:tcPr>
          <w:p w14:paraId="499F6F13" w14:textId="134BF6B9" w:rsidR="00344570" w:rsidRPr="00315B02" w:rsidRDefault="00344570" w:rsidP="00344570">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14:paraId="047513AF" w14:textId="6D664818" w:rsidR="00344570" w:rsidRPr="00315B02" w:rsidRDefault="00344570" w:rsidP="00C4532F">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   </w:t>
            </w:r>
          </w:p>
        </w:tc>
        <w:tc>
          <w:tcPr>
            <w:tcW w:w="1309" w:type="dxa"/>
            <w:tcBorders>
              <w:top w:val="nil"/>
              <w:left w:val="nil"/>
              <w:bottom w:val="single" w:sz="4" w:space="0" w:color="BFBFBF"/>
              <w:right w:val="single" w:sz="4" w:space="0" w:color="BFBFBF"/>
            </w:tcBorders>
            <w:shd w:val="clear" w:color="000000" w:fill="EDF0F3"/>
            <w:noWrap/>
            <w:vAlign w:val="center"/>
            <w:hideMark/>
          </w:tcPr>
          <w:p w14:paraId="1A80C3A5" w14:textId="398527FB" w:rsidR="00344570" w:rsidRPr="00315B02" w:rsidRDefault="00344570" w:rsidP="00B27729">
            <w:pPr>
              <w:jc w:val="right"/>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1</w:t>
            </w:r>
            <w:r w:rsidR="00B27729" w:rsidRPr="00315B02">
              <w:rPr>
                <w:rFonts w:ascii="Arial Narrow" w:eastAsia="Times New Roman" w:hAnsi="Arial Narrow"/>
                <w:b/>
                <w:bCs/>
                <w:color w:val="002839"/>
                <w:szCs w:val="22"/>
                <w:lang w:eastAsia="en-US"/>
              </w:rPr>
              <w:t>2</w:t>
            </w:r>
            <w:r w:rsidR="00902D83">
              <w:rPr>
                <w:rFonts w:ascii="Arial Narrow" w:eastAsia="Times New Roman" w:hAnsi="Arial Narrow"/>
                <w:b/>
                <w:bCs/>
                <w:color w:val="002839"/>
                <w:szCs w:val="22"/>
                <w:lang w:eastAsia="en-US"/>
              </w:rPr>
              <w:t>,</w:t>
            </w:r>
            <w:r w:rsidRPr="00315B02">
              <w:rPr>
                <w:rFonts w:ascii="Arial Narrow" w:eastAsia="Times New Roman" w:hAnsi="Arial Narrow"/>
                <w:b/>
                <w:bCs/>
                <w:color w:val="002839"/>
                <w:szCs w:val="22"/>
                <w:lang w:eastAsia="en-US"/>
              </w:rPr>
              <w:t xml:space="preserve">000 </w:t>
            </w:r>
          </w:p>
        </w:tc>
        <w:tc>
          <w:tcPr>
            <w:tcW w:w="1384" w:type="dxa"/>
            <w:tcBorders>
              <w:top w:val="nil"/>
              <w:left w:val="nil"/>
              <w:bottom w:val="single" w:sz="4" w:space="0" w:color="BFBFBF"/>
              <w:right w:val="single" w:sz="4" w:space="0" w:color="BFBFBF"/>
            </w:tcBorders>
            <w:shd w:val="clear" w:color="000000" w:fill="EDF0F3"/>
            <w:noWrap/>
            <w:vAlign w:val="center"/>
            <w:hideMark/>
          </w:tcPr>
          <w:p w14:paraId="58DE44B7" w14:textId="6978937D" w:rsidR="00344570" w:rsidRPr="00315B02" w:rsidRDefault="00344570" w:rsidP="00C4532F">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   </w:t>
            </w:r>
          </w:p>
        </w:tc>
        <w:tc>
          <w:tcPr>
            <w:tcW w:w="1219" w:type="dxa"/>
            <w:tcBorders>
              <w:top w:val="nil"/>
              <w:left w:val="nil"/>
              <w:bottom w:val="single" w:sz="4" w:space="0" w:color="BFBFBF"/>
              <w:right w:val="single" w:sz="4" w:space="0" w:color="BFBFBF"/>
            </w:tcBorders>
            <w:shd w:val="clear" w:color="000000" w:fill="EDF0F3"/>
            <w:noWrap/>
            <w:vAlign w:val="center"/>
            <w:hideMark/>
          </w:tcPr>
          <w:p w14:paraId="61FF0E06" w14:textId="445B9C8E" w:rsidR="00344570" w:rsidRPr="00315B02" w:rsidRDefault="00344570" w:rsidP="00902D83">
            <w:pPr>
              <w:jc w:val="right"/>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w:t>
            </w:r>
            <w:r w:rsidR="00B27729" w:rsidRPr="00315B02">
              <w:rPr>
                <w:rFonts w:ascii="Arial Narrow" w:eastAsia="Times New Roman" w:hAnsi="Arial Narrow"/>
                <w:b/>
                <w:bCs/>
                <w:color w:val="002839"/>
                <w:szCs w:val="22"/>
                <w:lang w:eastAsia="en-US"/>
              </w:rPr>
              <w:t>118</w:t>
            </w:r>
            <w:r w:rsidR="00902D83">
              <w:rPr>
                <w:rFonts w:ascii="Arial Narrow" w:eastAsia="Times New Roman" w:hAnsi="Arial Narrow"/>
                <w:b/>
                <w:bCs/>
                <w:color w:val="002839"/>
                <w:szCs w:val="22"/>
                <w:lang w:eastAsia="en-US"/>
              </w:rPr>
              <w:t>,</w:t>
            </w:r>
            <w:r w:rsidRPr="00315B02">
              <w:rPr>
                <w:rFonts w:ascii="Arial Narrow" w:eastAsia="Times New Roman" w:hAnsi="Arial Narrow"/>
                <w:b/>
                <w:bCs/>
                <w:color w:val="002839"/>
                <w:szCs w:val="22"/>
                <w:lang w:eastAsia="en-US"/>
              </w:rPr>
              <w:t xml:space="preserve">000 </w:t>
            </w:r>
          </w:p>
        </w:tc>
        <w:tc>
          <w:tcPr>
            <w:tcW w:w="1249" w:type="dxa"/>
            <w:tcBorders>
              <w:top w:val="nil"/>
              <w:left w:val="nil"/>
              <w:bottom w:val="single" w:sz="4" w:space="0" w:color="BFBFBF"/>
              <w:right w:val="single" w:sz="4" w:space="0" w:color="BFBFBF"/>
            </w:tcBorders>
            <w:shd w:val="clear" w:color="000000" w:fill="EDF0F3"/>
            <w:noWrap/>
            <w:vAlign w:val="center"/>
            <w:hideMark/>
          </w:tcPr>
          <w:p w14:paraId="10C9EB74" w14:textId="0DE9B1D9" w:rsidR="00344570" w:rsidRPr="00315B02" w:rsidRDefault="00344570" w:rsidP="00C4532F">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   </w:t>
            </w:r>
          </w:p>
        </w:tc>
        <w:tc>
          <w:tcPr>
            <w:tcW w:w="1219" w:type="dxa"/>
            <w:tcBorders>
              <w:top w:val="nil"/>
              <w:left w:val="nil"/>
              <w:bottom w:val="single" w:sz="4" w:space="0" w:color="BFBFBF"/>
              <w:right w:val="single" w:sz="4" w:space="0" w:color="BFBFBF"/>
            </w:tcBorders>
            <w:shd w:val="clear" w:color="000000" w:fill="EDF0F3"/>
            <w:noWrap/>
            <w:vAlign w:val="center"/>
            <w:hideMark/>
          </w:tcPr>
          <w:p w14:paraId="2D5A6A81" w14:textId="39E9333B" w:rsidR="00344570" w:rsidRPr="00315B02" w:rsidRDefault="00344570" w:rsidP="00C4532F">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w:t>
            </w:r>
            <w:r w:rsidR="00C4532F" w:rsidRPr="00315B02">
              <w:rPr>
                <w:rFonts w:ascii="Arial Narrow" w:eastAsia="Times New Roman" w:hAnsi="Arial Narrow"/>
                <w:b/>
                <w:bCs/>
                <w:color w:val="002839"/>
                <w:szCs w:val="22"/>
                <w:lang w:eastAsia="en-US"/>
              </w:rPr>
              <w:t xml:space="preserve">    </w:t>
            </w:r>
            <w:r w:rsidRPr="00315B02">
              <w:rPr>
                <w:rFonts w:ascii="Arial Narrow" w:eastAsia="Times New Roman" w:hAnsi="Arial Narrow"/>
                <w:b/>
                <w:bCs/>
                <w:color w:val="002839"/>
                <w:szCs w:val="22"/>
                <w:lang w:eastAsia="en-US"/>
              </w:rPr>
              <w:t xml:space="preserve">          -   </w:t>
            </w:r>
          </w:p>
        </w:tc>
        <w:tc>
          <w:tcPr>
            <w:tcW w:w="1571" w:type="dxa"/>
            <w:tcBorders>
              <w:top w:val="nil"/>
              <w:left w:val="nil"/>
              <w:bottom w:val="single" w:sz="4" w:space="0" w:color="BFBFBF"/>
              <w:right w:val="single" w:sz="4" w:space="0" w:color="BFBFBF"/>
            </w:tcBorders>
            <w:shd w:val="clear" w:color="000000" w:fill="EDF0F3"/>
            <w:noWrap/>
            <w:vAlign w:val="center"/>
            <w:hideMark/>
          </w:tcPr>
          <w:p w14:paraId="00B49489" w14:textId="0991BB4C" w:rsidR="00344570" w:rsidRPr="00315B02" w:rsidRDefault="00344570" w:rsidP="00B27729">
            <w:pPr>
              <w:jc w:val="right"/>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150</w:t>
            </w:r>
            <w:r w:rsidR="00902D83">
              <w:rPr>
                <w:rFonts w:ascii="Arial Narrow" w:eastAsia="Times New Roman" w:hAnsi="Arial Narrow"/>
                <w:b/>
                <w:bCs/>
                <w:color w:val="002839"/>
                <w:szCs w:val="22"/>
                <w:lang w:eastAsia="en-US"/>
              </w:rPr>
              <w:t>,</w:t>
            </w:r>
            <w:r w:rsidRPr="00315B02">
              <w:rPr>
                <w:rFonts w:ascii="Arial Narrow" w:eastAsia="Times New Roman" w:hAnsi="Arial Narrow"/>
                <w:b/>
                <w:bCs/>
                <w:color w:val="002839"/>
                <w:szCs w:val="22"/>
                <w:lang w:eastAsia="en-US"/>
              </w:rPr>
              <w:t xml:space="preserve">000 </w:t>
            </w:r>
          </w:p>
        </w:tc>
      </w:tr>
    </w:tbl>
    <w:p w14:paraId="6DF98811" w14:textId="77777777" w:rsidR="00344570" w:rsidRPr="007746D5" w:rsidRDefault="00344570" w:rsidP="00344570">
      <w:pPr>
        <w:rPr>
          <w:rFonts w:eastAsia="Times New Roman"/>
          <w:b/>
          <w:bCs/>
          <w:szCs w:val="22"/>
          <w:lang w:eastAsia="en-US"/>
        </w:rPr>
      </w:pPr>
    </w:p>
    <w:p w14:paraId="437ABBFD" w14:textId="77777777" w:rsidR="00EC5F68" w:rsidRPr="00EC5F68" w:rsidRDefault="00EC5F68" w:rsidP="00EC5F68">
      <w:pPr>
        <w:spacing w:after="220"/>
        <w:rPr>
          <w:rFonts w:eastAsia="Times New Roman"/>
          <w:szCs w:val="22"/>
          <w:lang w:eastAsia="en-US"/>
        </w:rPr>
      </w:pPr>
    </w:p>
    <w:p w14:paraId="568ABE49" w14:textId="17C51CED" w:rsidR="00EC5F68" w:rsidRPr="007A6952" w:rsidRDefault="00EC5F68" w:rsidP="00344570">
      <w:pPr>
        <w:ind w:left="8368" w:firstLine="137"/>
      </w:pPr>
      <w:r>
        <w:t xml:space="preserve">[End of </w:t>
      </w:r>
      <w:r w:rsidR="00A440DB">
        <w:t xml:space="preserve">Annex and </w:t>
      </w:r>
      <w:r w:rsidRPr="007A6952">
        <w:t>document]</w:t>
      </w:r>
    </w:p>
    <w:p w14:paraId="23B2ED82" w14:textId="77777777" w:rsidR="002928D3" w:rsidRDefault="002928D3" w:rsidP="003D352A">
      <w:pPr>
        <w:spacing w:after="220"/>
      </w:pPr>
    </w:p>
    <w:sectPr w:rsidR="002928D3" w:rsidSect="00E61FAB">
      <w:headerReference w:type="first" r:id="rId19"/>
      <w:endnotePr>
        <w:numFmt w:val="decimal"/>
      </w:endnotePr>
      <w:pgSz w:w="16840" w:h="11907" w:orient="landscape" w:code="9"/>
      <w:pgMar w:top="1418" w:right="567" w:bottom="1134" w:left="1418" w:header="510" w:footer="1021" w:gutter="0"/>
      <w:pgNumType w:start="6"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3DD1F" w14:textId="77777777" w:rsidR="00626D8A" w:rsidRDefault="00626D8A">
      <w:r>
        <w:separator/>
      </w:r>
    </w:p>
  </w:endnote>
  <w:endnote w:type="continuationSeparator" w:id="0">
    <w:p w14:paraId="5EFD6553" w14:textId="77777777" w:rsidR="00626D8A" w:rsidRDefault="00626D8A" w:rsidP="003B38C1">
      <w:r>
        <w:separator/>
      </w:r>
    </w:p>
    <w:p w14:paraId="3A250089" w14:textId="77777777" w:rsidR="00626D8A" w:rsidRPr="003B38C1" w:rsidRDefault="00626D8A" w:rsidP="003B38C1">
      <w:pPr>
        <w:spacing w:after="60"/>
        <w:rPr>
          <w:sz w:val="17"/>
        </w:rPr>
      </w:pPr>
      <w:r>
        <w:rPr>
          <w:sz w:val="17"/>
        </w:rPr>
        <w:t>[Endnote continued from previous page]</w:t>
      </w:r>
    </w:p>
  </w:endnote>
  <w:endnote w:type="continuationNotice" w:id="1">
    <w:p w14:paraId="6407C036" w14:textId="77777777" w:rsidR="00626D8A" w:rsidRPr="003B38C1" w:rsidRDefault="00626D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DA96" w14:textId="77777777" w:rsidR="0087776D" w:rsidRDefault="0087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2BC08" w14:textId="77777777" w:rsidR="0087776D" w:rsidRDefault="00877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8412" w14:textId="77777777" w:rsidR="0087776D" w:rsidRDefault="0087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6FFDA" w14:textId="77777777" w:rsidR="00626D8A" w:rsidRDefault="00626D8A">
      <w:r>
        <w:separator/>
      </w:r>
    </w:p>
  </w:footnote>
  <w:footnote w:type="continuationSeparator" w:id="0">
    <w:p w14:paraId="6C2B1EA7" w14:textId="77777777" w:rsidR="00626D8A" w:rsidRDefault="00626D8A" w:rsidP="008B60B2">
      <w:r>
        <w:separator/>
      </w:r>
    </w:p>
    <w:p w14:paraId="4D43D1E5" w14:textId="77777777" w:rsidR="00626D8A" w:rsidRPr="00ED77FB" w:rsidRDefault="00626D8A" w:rsidP="008B60B2">
      <w:pPr>
        <w:spacing w:after="60"/>
        <w:rPr>
          <w:sz w:val="17"/>
          <w:szCs w:val="17"/>
        </w:rPr>
      </w:pPr>
      <w:r w:rsidRPr="00ED77FB">
        <w:rPr>
          <w:sz w:val="17"/>
          <w:szCs w:val="17"/>
        </w:rPr>
        <w:t>[Footnote continued from previous page]</w:t>
      </w:r>
    </w:p>
  </w:footnote>
  <w:footnote w:type="continuationNotice" w:id="1">
    <w:p w14:paraId="28692233" w14:textId="77777777" w:rsidR="00626D8A" w:rsidRPr="00ED77FB" w:rsidRDefault="00626D8A" w:rsidP="008B60B2">
      <w:pPr>
        <w:spacing w:before="60"/>
        <w:jc w:val="right"/>
        <w:rPr>
          <w:sz w:val="17"/>
          <w:szCs w:val="17"/>
        </w:rPr>
      </w:pPr>
      <w:r w:rsidRPr="00ED77FB">
        <w:rPr>
          <w:sz w:val="17"/>
          <w:szCs w:val="17"/>
        </w:rPr>
        <w:t>[Footnote continued on next page]</w:t>
      </w:r>
    </w:p>
  </w:footnote>
  <w:footnote w:id="2">
    <w:p w14:paraId="0659ECEC" w14:textId="188B33FE" w:rsidR="00701739" w:rsidRDefault="00701739">
      <w:pPr>
        <w:pStyle w:val="FootnoteText"/>
      </w:pPr>
      <w:r>
        <w:rPr>
          <w:rStyle w:val="FootnoteReference"/>
        </w:rPr>
        <w:footnoteRef/>
      </w:r>
      <w:r>
        <w:t xml:space="preserve"> Para. 4.3 </w:t>
      </w:r>
      <w:proofErr w:type="gramStart"/>
      <w:r>
        <w:t>in</w:t>
      </w:r>
      <w:proofErr w:type="gramEnd"/>
      <w:r>
        <w:t xml:space="preserve"> the </w:t>
      </w:r>
      <w:hyperlink r:id="rId1" w:history="1">
        <w:r w:rsidRPr="00701739">
          <w:rPr>
            <w:rStyle w:val="Hyperlink"/>
          </w:rPr>
          <w:t>Summary by the Chair</w:t>
        </w:r>
      </w:hyperlink>
      <w:r>
        <w:t xml:space="preserve">, CDIP/28. </w:t>
      </w:r>
    </w:p>
  </w:footnote>
  <w:footnote w:id="3">
    <w:p w14:paraId="0D671F2D" w14:textId="2F5661D5" w:rsidR="005B5FD7" w:rsidRDefault="005B5FD7" w:rsidP="005B5FD7">
      <w:pPr>
        <w:pStyle w:val="FootnoteText"/>
      </w:pPr>
      <w:r>
        <w:rPr>
          <w:rStyle w:val="FootnoteReference"/>
        </w:rPr>
        <w:footnoteRef/>
      </w:r>
      <w:r>
        <w:t xml:space="preserve"> Para. 4.3 </w:t>
      </w:r>
      <w:proofErr w:type="gramStart"/>
      <w:r>
        <w:t>in</w:t>
      </w:r>
      <w:proofErr w:type="gramEnd"/>
      <w:r>
        <w:t xml:space="preserve"> the </w:t>
      </w:r>
      <w:hyperlink r:id="rId2" w:history="1">
        <w:r w:rsidRPr="00701739">
          <w:rPr>
            <w:rStyle w:val="Hyperlink"/>
          </w:rPr>
          <w:t>Summary by the Chair</w:t>
        </w:r>
      </w:hyperlink>
      <w:r>
        <w:t>, CDIP/28.</w:t>
      </w:r>
    </w:p>
  </w:footnote>
  <w:footnote w:id="4">
    <w:p w14:paraId="4A0238D2" w14:textId="65637783" w:rsidR="000F286D" w:rsidRDefault="000F286D" w:rsidP="003B504F">
      <w:pPr>
        <w:pStyle w:val="FootnoteText"/>
      </w:pPr>
      <w:r>
        <w:rPr>
          <w:rStyle w:val="FootnoteReference"/>
        </w:rPr>
        <w:footnoteRef/>
      </w:r>
      <w:r>
        <w:t xml:space="preserve"> This cost relates to hiring several Individual Contractual Services (ICS) who will be engaged to deliver various project </w:t>
      </w:r>
      <w:r w:rsidR="003B504F">
        <w:t>outputs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5F75" w14:textId="77777777" w:rsidR="0087776D" w:rsidRDefault="0087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012C" w14:textId="2EBDC063" w:rsidR="00EC4E49" w:rsidRDefault="005A1A71" w:rsidP="000A5A02">
    <w:pPr>
      <w:jc w:val="right"/>
    </w:pPr>
    <w:bookmarkStart w:id="5" w:name="Code2"/>
    <w:bookmarkEnd w:id="5"/>
    <w:r>
      <w:t>CDIP/29/</w:t>
    </w:r>
    <w:r w:rsidR="00EC5F68">
      <w:t>CDIP/29/</w:t>
    </w:r>
    <w:r w:rsidR="000A5A02">
      <w:t>7</w:t>
    </w:r>
  </w:p>
  <w:p w14:paraId="0A85B640" w14:textId="3B89E79B" w:rsidR="00EC4E49" w:rsidRDefault="00EE150C" w:rsidP="00F27143">
    <w:pPr>
      <w:jc w:val="right"/>
    </w:pPr>
    <w:r>
      <w:t xml:space="preserve">Annex, </w:t>
    </w:r>
    <w:r w:rsidR="00EC4E49">
      <w:t xml:space="preserve">page </w:t>
    </w:r>
    <w:r w:rsidR="00ED3345">
      <w:t>2</w:t>
    </w:r>
  </w:p>
  <w:p w14:paraId="46AD70BE" w14:textId="77777777" w:rsidR="00EC4E49" w:rsidRDefault="00EC4E49" w:rsidP="00477D6B">
    <w:pPr>
      <w:jc w:val="right"/>
    </w:pPr>
  </w:p>
  <w:p w14:paraId="06CB0B68"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5E5E" w14:textId="77777777" w:rsidR="00EC5F68" w:rsidRDefault="00EC5F68">
    <w:pPr>
      <w:pStyle w:val="Header"/>
    </w:pPr>
  </w:p>
  <w:p w14:paraId="7B1200C8" w14:textId="77777777" w:rsidR="00EC5F68" w:rsidRDefault="00EC5F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444E" w14:textId="6C4EB3FE" w:rsidR="00ED3345" w:rsidRDefault="002066C3" w:rsidP="000A5A02">
    <w:pPr>
      <w:jc w:val="right"/>
    </w:pPr>
    <w:r>
      <w:t>CDIP/29/8</w:t>
    </w:r>
    <w:r w:rsidR="00565706">
      <w:t xml:space="preserve"> Rev.</w:t>
    </w:r>
  </w:p>
  <w:p w14:paraId="37869EC2" w14:textId="2FDA589F" w:rsidR="00ED3345" w:rsidRDefault="00E61FAB" w:rsidP="00477D6B">
    <w:pP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7830B5">
      <w:rPr>
        <w:rStyle w:val="PageNumber"/>
        <w:noProof/>
      </w:rPr>
      <w:t>5</w:t>
    </w:r>
    <w:r>
      <w:rPr>
        <w:rStyle w:val="PageNumber"/>
      </w:rPr>
      <w:fldChar w:fldCharType="end"/>
    </w:r>
  </w:p>
  <w:p w14:paraId="42854BA6" w14:textId="77777777" w:rsidR="00ED3345" w:rsidRDefault="00ED334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E365" w14:textId="508222F2" w:rsidR="00EE150C" w:rsidRPr="002326AB" w:rsidRDefault="00F27143" w:rsidP="002066C3">
    <w:pPr>
      <w:jc w:val="right"/>
      <w:rPr>
        <w:caps/>
      </w:rPr>
    </w:pPr>
    <w:r>
      <w:rPr>
        <w:caps/>
      </w:rPr>
      <w:t>CDIP/29/</w:t>
    </w:r>
    <w:r w:rsidR="002066C3">
      <w:rPr>
        <w:caps/>
      </w:rPr>
      <w:t>8</w:t>
    </w:r>
    <w:r w:rsidR="00565706">
      <w:rPr>
        <w:caps/>
      </w:rPr>
      <w:t xml:space="preserve"> R</w:t>
    </w:r>
    <w:r w:rsidR="00565706">
      <w:t>ev</w:t>
    </w:r>
    <w:r w:rsidR="00565706">
      <w:rPr>
        <w:caps/>
      </w:rPr>
      <w:t>.</w:t>
    </w:r>
  </w:p>
  <w:p w14:paraId="25FB3B6E" w14:textId="71B9B327" w:rsidR="00EE150C" w:rsidRDefault="00E61FAB" w:rsidP="00E61FAB">
    <w:pPr>
      <w:pStyle w:val="Header"/>
      <w:jc w:val="right"/>
    </w:pPr>
    <w:r>
      <w:t>ANNEX</w:t>
    </w:r>
  </w:p>
  <w:p w14:paraId="3223B2BE" w14:textId="77777777" w:rsidR="00EE150C" w:rsidRDefault="00EE15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8593" w14:textId="19792F0E" w:rsidR="00E61FAB" w:rsidRPr="002326AB" w:rsidRDefault="00E61FAB" w:rsidP="002066C3">
    <w:pPr>
      <w:jc w:val="right"/>
      <w:rPr>
        <w:caps/>
      </w:rPr>
    </w:pPr>
    <w:r>
      <w:rPr>
        <w:caps/>
      </w:rPr>
      <w:t>CDIP/29/8</w:t>
    </w:r>
    <w:r w:rsidR="00565706">
      <w:rPr>
        <w:caps/>
      </w:rPr>
      <w:t xml:space="preserve"> R</w:t>
    </w:r>
    <w:r w:rsidR="00565706">
      <w:t>ev.</w:t>
    </w:r>
  </w:p>
  <w:p w14:paraId="04602604" w14:textId="511EB875" w:rsidR="00E61FAB" w:rsidRDefault="00E61FAB" w:rsidP="00E61FAB">
    <w:pP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7830B5">
      <w:rPr>
        <w:rStyle w:val="PageNumber"/>
        <w:noProof/>
      </w:rPr>
      <w:t>6</w:t>
    </w:r>
    <w:r>
      <w:rPr>
        <w:rStyle w:val="PageNumber"/>
      </w:rPr>
      <w:fldChar w:fldCharType="end"/>
    </w:r>
  </w:p>
  <w:p w14:paraId="1E343F89" w14:textId="77777777" w:rsidR="00E61FAB" w:rsidRDefault="00E61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FB44C1"/>
    <w:multiLevelType w:val="hybridMultilevel"/>
    <w:tmpl w:val="B182497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1233609D"/>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A41C5"/>
    <w:multiLevelType w:val="hybridMultilevel"/>
    <w:tmpl w:val="1012DC64"/>
    <w:lvl w:ilvl="0" w:tplc="564ADC4C">
      <w:start w:val="1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27051DF5"/>
    <w:multiLevelType w:val="hybridMultilevel"/>
    <w:tmpl w:val="0DACE028"/>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2403F"/>
    <w:multiLevelType w:val="hybridMultilevel"/>
    <w:tmpl w:val="F880DF54"/>
    <w:lvl w:ilvl="0" w:tplc="0409001B">
      <w:start w:val="1"/>
      <w:numFmt w:val="lowerRoman"/>
      <w:lvlText w:val="%1."/>
      <w:lvlJc w:val="right"/>
      <w:pPr>
        <w:ind w:left="829" w:hanging="360"/>
      </w:pPr>
      <w:rPr>
        <w:rFont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2DDC1D4A"/>
    <w:multiLevelType w:val="hybridMultilevel"/>
    <w:tmpl w:val="967827A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 w15:restartNumberingAfterBreak="0">
    <w:nsid w:val="338C475E"/>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A435D"/>
    <w:multiLevelType w:val="hybridMultilevel"/>
    <w:tmpl w:val="38209940"/>
    <w:lvl w:ilvl="0" w:tplc="8878D23A">
      <w:start w:val="1"/>
      <w:numFmt w:val="bullet"/>
      <w:lvlText w:val=""/>
      <w:lvlJc w:val="left"/>
      <w:pPr>
        <w:ind w:left="469" w:hanging="360"/>
      </w:pPr>
      <w:rPr>
        <w:rFonts w:ascii="Symbol" w:hAnsi="Symbol" w:hint="default"/>
        <w:color w:val="auto"/>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645D0"/>
    <w:multiLevelType w:val="hybridMultilevel"/>
    <w:tmpl w:val="E2847F10"/>
    <w:lvl w:ilvl="0" w:tplc="04090015">
      <w:start w:val="1"/>
      <w:numFmt w:val="upp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7" w15:restartNumberingAfterBreak="0">
    <w:nsid w:val="57FA4963"/>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3710A"/>
    <w:multiLevelType w:val="hybridMultilevel"/>
    <w:tmpl w:val="31E4728A"/>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831C2"/>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066AD2"/>
    <w:multiLevelType w:val="hybridMultilevel"/>
    <w:tmpl w:val="61903218"/>
    <w:lvl w:ilvl="0" w:tplc="C4629B2C">
      <w:start w:val="1"/>
      <w:numFmt w:val="lowerRoman"/>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7FAD746F"/>
    <w:multiLevelType w:val="hybridMultilevel"/>
    <w:tmpl w:val="2EF2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5"/>
  </w:num>
  <w:num w:numId="5">
    <w:abstractNumId w:val="1"/>
  </w:num>
  <w:num w:numId="6">
    <w:abstractNumId w:val="7"/>
  </w:num>
  <w:num w:numId="7">
    <w:abstractNumId w:val="20"/>
  </w:num>
  <w:num w:numId="8">
    <w:abstractNumId w:val="5"/>
  </w:num>
  <w:num w:numId="9">
    <w:abstractNumId w:val="10"/>
  </w:num>
  <w:num w:numId="10">
    <w:abstractNumId w:val="16"/>
  </w:num>
  <w:num w:numId="11">
    <w:abstractNumId w:val="19"/>
  </w:num>
  <w:num w:numId="12">
    <w:abstractNumId w:val="9"/>
  </w:num>
  <w:num w:numId="13">
    <w:abstractNumId w:val="13"/>
  </w:num>
  <w:num w:numId="14">
    <w:abstractNumId w:val="11"/>
  </w:num>
  <w:num w:numId="15">
    <w:abstractNumId w:val="18"/>
  </w:num>
  <w:num w:numId="16">
    <w:abstractNumId w:val="22"/>
  </w:num>
  <w:num w:numId="17">
    <w:abstractNumId w:val="8"/>
  </w:num>
  <w:num w:numId="18">
    <w:abstractNumId w:val="2"/>
  </w:num>
  <w:num w:numId="19">
    <w:abstractNumId w:val="24"/>
  </w:num>
  <w:num w:numId="20">
    <w:abstractNumId w:val="17"/>
  </w:num>
  <w:num w:numId="21">
    <w:abstractNumId w:val="12"/>
  </w:num>
  <w:num w:numId="22">
    <w:abstractNumId w:val="21"/>
  </w:num>
  <w:num w:numId="23">
    <w:abstractNumId w:val="3"/>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68"/>
    <w:rsid w:val="00007362"/>
    <w:rsid w:val="00007ABB"/>
    <w:rsid w:val="00013417"/>
    <w:rsid w:val="0001647B"/>
    <w:rsid w:val="000168F0"/>
    <w:rsid w:val="00026F60"/>
    <w:rsid w:val="000365DC"/>
    <w:rsid w:val="00043CAA"/>
    <w:rsid w:val="000463E8"/>
    <w:rsid w:val="00061327"/>
    <w:rsid w:val="00066707"/>
    <w:rsid w:val="00075432"/>
    <w:rsid w:val="00075A83"/>
    <w:rsid w:val="000852E9"/>
    <w:rsid w:val="000968ED"/>
    <w:rsid w:val="000A0373"/>
    <w:rsid w:val="000A5A02"/>
    <w:rsid w:val="000A5D55"/>
    <w:rsid w:val="000A6F6C"/>
    <w:rsid w:val="000C6E8F"/>
    <w:rsid w:val="000C747D"/>
    <w:rsid w:val="000E6AF4"/>
    <w:rsid w:val="000E72BE"/>
    <w:rsid w:val="000F1C79"/>
    <w:rsid w:val="000F286D"/>
    <w:rsid w:val="000F3147"/>
    <w:rsid w:val="000F5E56"/>
    <w:rsid w:val="001017FF"/>
    <w:rsid w:val="001024FE"/>
    <w:rsid w:val="00117CCB"/>
    <w:rsid w:val="00125D30"/>
    <w:rsid w:val="00130925"/>
    <w:rsid w:val="001362EE"/>
    <w:rsid w:val="00142868"/>
    <w:rsid w:val="0017641B"/>
    <w:rsid w:val="001832A6"/>
    <w:rsid w:val="001935C7"/>
    <w:rsid w:val="001A39CB"/>
    <w:rsid w:val="001B4C6F"/>
    <w:rsid w:val="001B55A5"/>
    <w:rsid w:val="001C23D1"/>
    <w:rsid w:val="001C6808"/>
    <w:rsid w:val="001F7BAB"/>
    <w:rsid w:val="00201274"/>
    <w:rsid w:val="002066C3"/>
    <w:rsid w:val="0020698E"/>
    <w:rsid w:val="002121FA"/>
    <w:rsid w:val="00242C03"/>
    <w:rsid w:val="00256D37"/>
    <w:rsid w:val="002634C4"/>
    <w:rsid w:val="00275677"/>
    <w:rsid w:val="00276241"/>
    <w:rsid w:val="00281B8D"/>
    <w:rsid w:val="002828DE"/>
    <w:rsid w:val="002928D3"/>
    <w:rsid w:val="002945EB"/>
    <w:rsid w:val="002976C8"/>
    <w:rsid w:val="002A389D"/>
    <w:rsid w:val="002C6349"/>
    <w:rsid w:val="002D3921"/>
    <w:rsid w:val="002E4CAC"/>
    <w:rsid w:val="002E78B6"/>
    <w:rsid w:val="002F1FE6"/>
    <w:rsid w:val="002F4E68"/>
    <w:rsid w:val="00312F7F"/>
    <w:rsid w:val="00315B02"/>
    <w:rsid w:val="003228B7"/>
    <w:rsid w:val="0032654F"/>
    <w:rsid w:val="00332E02"/>
    <w:rsid w:val="00335768"/>
    <w:rsid w:val="0033593D"/>
    <w:rsid w:val="00344570"/>
    <w:rsid w:val="003508A3"/>
    <w:rsid w:val="003533FE"/>
    <w:rsid w:val="00364508"/>
    <w:rsid w:val="003673CF"/>
    <w:rsid w:val="003802C7"/>
    <w:rsid w:val="003845C1"/>
    <w:rsid w:val="00392F64"/>
    <w:rsid w:val="003A66B3"/>
    <w:rsid w:val="003A6F89"/>
    <w:rsid w:val="003B38C1"/>
    <w:rsid w:val="003B504F"/>
    <w:rsid w:val="003C1C08"/>
    <w:rsid w:val="003D0ABC"/>
    <w:rsid w:val="003D352A"/>
    <w:rsid w:val="003E2A56"/>
    <w:rsid w:val="003E72FA"/>
    <w:rsid w:val="003F01A6"/>
    <w:rsid w:val="003F2B7B"/>
    <w:rsid w:val="003F480B"/>
    <w:rsid w:val="00400406"/>
    <w:rsid w:val="004122AA"/>
    <w:rsid w:val="00423E3E"/>
    <w:rsid w:val="00425DA7"/>
    <w:rsid w:val="0042683F"/>
    <w:rsid w:val="00427AF4"/>
    <w:rsid w:val="004400E2"/>
    <w:rsid w:val="00440DF3"/>
    <w:rsid w:val="00455CE9"/>
    <w:rsid w:val="00460621"/>
    <w:rsid w:val="00461632"/>
    <w:rsid w:val="004647DA"/>
    <w:rsid w:val="004732D3"/>
    <w:rsid w:val="00474062"/>
    <w:rsid w:val="00477D6B"/>
    <w:rsid w:val="00484015"/>
    <w:rsid w:val="004958EC"/>
    <w:rsid w:val="004978EC"/>
    <w:rsid w:val="004B4281"/>
    <w:rsid w:val="004B7F1D"/>
    <w:rsid w:val="004D39C4"/>
    <w:rsid w:val="004E5017"/>
    <w:rsid w:val="004E7CC2"/>
    <w:rsid w:val="005151C5"/>
    <w:rsid w:val="005178A0"/>
    <w:rsid w:val="00517E3D"/>
    <w:rsid w:val="00526ED6"/>
    <w:rsid w:val="0053057A"/>
    <w:rsid w:val="005346B1"/>
    <w:rsid w:val="00560A29"/>
    <w:rsid w:val="00565706"/>
    <w:rsid w:val="00583965"/>
    <w:rsid w:val="00594D27"/>
    <w:rsid w:val="005A1A71"/>
    <w:rsid w:val="005A43B0"/>
    <w:rsid w:val="005B5FD7"/>
    <w:rsid w:val="005C317E"/>
    <w:rsid w:val="005E779A"/>
    <w:rsid w:val="005F00B4"/>
    <w:rsid w:val="0060139F"/>
    <w:rsid w:val="00601760"/>
    <w:rsid w:val="00605827"/>
    <w:rsid w:val="006079B6"/>
    <w:rsid w:val="0062213D"/>
    <w:rsid w:val="0062314D"/>
    <w:rsid w:val="00626D8A"/>
    <w:rsid w:val="0063198E"/>
    <w:rsid w:val="00635A68"/>
    <w:rsid w:val="00646050"/>
    <w:rsid w:val="006626A7"/>
    <w:rsid w:val="006713CA"/>
    <w:rsid w:val="006748E3"/>
    <w:rsid w:val="00676C5C"/>
    <w:rsid w:val="00695558"/>
    <w:rsid w:val="006A5B34"/>
    <w:rsid w:val="006C4012"/>
    <w:rsid w:val="006D2F58"/>
    <w:rsid w:val="006D5E0F"/>
    <w:rsid w:val="006D6DF8"/>
    <w:rsid w:val="006F0905"/>
    <w:rsid w:val="006F13A1"/>
    <w:rsid w:val="007015E6"/>
    <w:rsid w:val="00701739"/>
    <w:rsid w:val="007058FB"/>
    <w:rsid w:val="007132D5"/>
    <w:rsid w:val="007353A0"/>
    <w:rsid w:val="007363AB"/>
    <w:rsid w:val="00742EAF"/>
    <w:rsid w:val="00745646"/>
    <w:rsid w:val="00754FED"/>
    <w:rsid w:val="007746D5"/>
    <w:rsid w:val="00782F31"/>
    <w:rsid w:val="007830B5"/>
    <w:rsid w:val="007868E7"/>
    <w:rsid w:val="00786F61"/>
    <w:rsid w:val="007B6A58"/>
    <w:rsid w:val="007D1613"/>
    <w:rsid w:val="007D7C17"/>
    <w:rsid w:val="007E41CB"/>
    <w:rsid w:val="00804AE7"/>
    <w:rsid w:val="008151EC"/>
    <w:rsid w:val="00816300"/>
    <w:rsid w:val="008176A9"/>
    <w:rsid w:val="00831387"/>
    <w:rsid w:val="00851541"/>
    <w:rsid w:val="00860E0F"/>
    <w:rsid w:val="00873EE5"/>
    <w:rsid w:val="0087776D"/>
    <w:rsid w:val="00892F21"/>
    <w:rsid w:val="008B2CC1"/>
    <w:rsid w:val="008B4B5E"/>
    <w:rsid w:val="008B60B2"/>
    <w:rsid w:val="008E0B79"/>
    <w:rsid w:val="00902D83"/>
    <w:rsid w:val="0090731E"/>
    <w:rsid w:val="00910643"/>
    <w:rsid w:val="00916EE2"/>
    <w:rsid w:val="00935414"/>
    <w:rsid w:val="00937B3B"/>
    <w:rsid w:val="0094333A"/>
    <w:rsid w:val="00966A22"/>
    <w:rsid w:val="0096722F"/>
    <w:rsid w:val="00973847"/>
    <w:rsid w:val="00975000"/>
    <w:rsid w:val="00980843"/>
    <w:rsid w:val="00983F0C"/>
    <w:rsid w:val="009A21E5"/>
    <w:rsid w:val="009A7B55"/>
    <w:rsid w:val="009E0461"/>
    <w:rsid w:val="009E2791"/>
    <w:rsid w:val="009E3F6F"/>
    <w:rsid w:val="009E4CA8"/>
    <w:rsid w:val="009F1173"/>
    <w:rsid w:val="009F3BF9"/>
    <w:rsid w:val="009F499F"/>
    <w:rsid w:val="00A20FE0"/>
    <w:rsid w:val="00A338EF"/>
    <w:rsid w:val="00A42DAF"/>
    <w:rsid w:val="00A440DB"/>
    <w:rsid w:val="00A45BD8"/>
    <w:rsid w:val="00A56C91"/>
    <w:rsid w:val="00A60EA4"/>
    <w:rsid w:val="00A62A17"/>
    <w:rsid w:val="00A778BF"/>
    <w:rsid w:val="00A85B8E"/>
    <w:rsid w:val="00A86ACF"/>
    <w:rsid w:val="00AC017A"/>
    <w:rsid w:val="00AC205C"/>
    <w:rsid w:val="00AC29F2"/>
    <w:rsid w:val="00AD5788"/>
    <w:rsid w:val="00AE0C42"/>
    <w:rsid w:val="00AE0F90"/>
    <w:rsid w:val="00AE25AE"/>
    <w:rsid w:val="00AE62DA"/>
    <w:rsid w:val="00AE6A73"/>
    <w:rsid w:val="00AF1E09"/>
    <w:rsid w:val="00AF36AF"/>
    <w:rsid w:val="00AF5C73"/>
    <w:rsid w:val="00B01BDA"/>
    <w:rsid w:val="00B05A69"/>
    <w:rsid w:val="00B27729"/>
    <w:rsid w:val="00B40598"/>
    <w:rsid w:val="00B50B99"/>
    <w:rsid w:val="00B5447A"/>
    <w:rsid w:val="00B62CD9"/>
    <w:rsid w:val="00B76DE1"/>
    <w:rsid w:val="00B82C7D"/>
    <w:rsid w:val="00B85478"/>
    <w:rsid w:val="00B9734B"/>
    <w:rsid w:val="00BD463E"/>
    <w:rsid w:val="00BF71AA"/>
    <w:rsid w:val="00C00C8D"/>
    <w:rsid w:val="00C02989"/>
    <w:rsid w:val="00C04642"/>
    <w:rsid w:val="00C11BFE"/>
    <w:rsid w:val="00C129CC"/>
    <w:rsid w:val="00C27534"/>
    <w:rsid w:val="00C44C83"/>
    <w:rsid w:val="00C4532F"/>
    <w:rsid w:val="00C806DB"/>
    <w:rsid w:val="00C8261B"/>
    <w:rsid w:val="00C84B46"/>
    <w:rsid w:val="00C86EA4"/>
    <w:rsid w:val="00C94629"/>
    <w:rsid w:val="00CA201F"/>
    <w:rsid w:val="00CA5CAE"/>
    <w:rsid w:val="00CD4E4B"/>
    <w:rsid w:val="00CD7492"/>
    <w:rsid w:val="00CE1BDD"/>
    <w:rsid w:val="00CE1FFF"/>
    <w:rsid w:val="00CE65D4"/>
    <w:rsid w:val="00CE7583"/>
    <w:rsid w:val="00D15C31"/>
    <w:rsid w:val="00D24AB2"/>
    <w:rsid w:val="00D273E0"/>
    <w:rsid w:val="00D447D5"/>
    <w:rsid w:val="00D45252"/>
    <w:rsid w:val="00D55B2F"/>
    <w:rsid w:val="00D57F87"/>
    <w:rsid w:val="00D649EF"/>
    <w:rsid w:val="00D71B4D"/>
    <w:rsid w:val="00D75A39"/>
    <w:rsid w:val="00D864BF"/>
    <w:rsid w:val="00D93D55"/>
    <w:rsid w:val="00DA6EE6"/>
    <w:rsid w:val="00DD12EA"/>
    <w:rsid w:val="00E063A8"/>
    <w:rsid w:val="00E161A2"/>
    <w:rsid w:val="00E335FE"/>
    <w:rsid w:val="00E34B57"/>
    <w:rsid w:val="00E40040"/>
    <w:rsid w:val="00E5021F"/>
    <w:rsid w:val="00E61FAB"/>
    <w:rsid w:val="00E671A6"/>
    <w:rsid w:val="00E83B3D"/>
    <w:rsid w:val="00E926E5"/>
    <w:rsid w:val="00EB17B8"/>
    <w:rsid w:val="00EC3AF5"/>
    <w:rsid w:val="00EC4E49"/>
    <w:rsid w:val="00EC5F68"/>
    <w:rsid w:val="00ED1DB8"/>
    <w:rsid w:val="00ED3345"/>
    <w:rsid w:val="00ED36A0"/>
    <w:rsid w:val="00ED77FB"/>
    <w:rsid w:val="00EE150C"/>
    <w:rsid w:val="00EE7507"/>
    <w:rsid w:val="00F021A6"/>
    <w:rsid w:val="00F069BD"/>
    <w:rsid w:val="00F11D94"/>
    <w:rsid w:val="00F17B3E"/>
    <w:rsid w:val="00F27143"/>
    <w:rsid w:val="00F41BEC"/>
    <w:rsid w:val="00F45139"/>
    <w:rsid w:val="00F465C9"/>
    <w:rsid w:val="00F66152"/>
    <w:rsid w:val="00F7065E"/>
    <w:rsid w:val="00FB395D"/>
    <w:rsid w:val="00FC7D8B"/>
    <w:rsid w:val="00FF21D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A1CF720"/>
  <w15:docId w15:val="{01FA4573-4487-47EC-979E-C4897FA5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EC5F68"/>
    <w:rPr>
      <w:vertAlign w:val="superscript"/>
    </w:rPr>
  </w:style>
  <w:style w:type="character" w:styleId="CommentReference">
    <w:name w:val="annotation reference"/>
    <w:basedOn w:val="DefaultParagraphFont"/>
    <w:semiHidden/>
    <w:unhideWhenUsed/>
    <w:rsid w:val="00EC5F68"/>
    <w:rPr>
      <w:sz w:val="16"/>
      <w:szCs w:val="16"/>
    </w:rPr>
  </w:style>
  <w:style w:type="paragraph" w:styleId="BalloonText">
    <w:name w:val="Balloon Text"/>
    <w:basedOn w:val="Normal"/>
    <w:link w:val="BalloonTextChar"/>
    <w:semiHidden/>
    <w:unhideWhenUsed/>
    <w:rsid w:val="00EC5F68"/>
    <w:rPr>
      <w:rFonts w:ascii="Segoe UI" w:hAnsi="Segoe UI" w:cs="Segoe UI"/>
      <w:sz w:val="18"/>
      <w:szCs w:val="18"/>
    </w:rPr>
  </w:style>
  <w:style w:type="character" w:customStyle="1" w:styleId="BalloonTextChar">
    <w:name w:val="Balloon Text Char"/>
    <w:basedOn w:val="DefaultParagraphFont"/>
    <w:link w:val="BalloonText"/>
    <w:semiHidden/>
    <w:rsid w:val="00EC5F68"/>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EC5F68"/>
    <w:rPr>
      <w:rFonts w:ascii="Arial" w:eastAsia="SimSun" w:hAnsi="Arial" w:cs="Arial"/>
      <w:sz w:val="22"/>
      <w:lang w:val="en-US" w:eastAsia="zh-CN"/>
    </w:rPr>
  </w:style>
  <w:style w:type="character" w:customStyle="1" w:styleId="Heading1Char">
    <w:name w:val="Heading 1 Char"/>
    <w:basedOn w:val="DefaultParagraphFont"/>
    <w:link w:val="Heading1"/>
    <w:rsid w:val="006626A7"/>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F7065E"/>
    <w:rPr>
      <w:color w:val="0000FF" w:themeColor="hyperlink"/>
      <w:u w:val="single"/>
    </w:rPr>
  </w:style>
  <w:style w:type="paragraph" w:customStyle="1" w:styleId="TableParagraph">
    <w:name w:val="Table Paragraph"/>
    <w:basedOn w:val="Normal"/>
    <w:uiPriority w:val="1"/>
    <w:qFormat/>
    <w:rsid w:val="000463E8"/>
    <w:pPr>
      <w:widowControl w:val="0"/>
      <w:autoSpaceDE w:val="0"/>
      <w:autoSpaceDN w:val="0"/>
    </w:pPr>
    <w:rPr>
      <w:rFonts w:eastAsia="Arial"/>
      <w:szCs w:val="22"/>
      <w:lang w:eastAsia="en-US"/>
    </w:rPr>
  </w:style>
  <w:style w:type="paragraph" w:styleId="ListParagraph">
    <w:name w:val="List Paragraph"/>
    <w:basedOn w:val="Normal"/>
    <w:uiPriority w:val="34"/>
    <w:qFormat/>
    <w:rsid w:val="000463E8"/>
    <w:pPr>
      <w:ind w:left="720"/>
      <w:contextualSpacing/>
    </w:pPr>
  </w:style>
  <w:style w:type="paragraph" w:styleId="CommentSubject">
    <w:name w:val="annotation subject"/>
    <w:basedOn w:val="CommentText"/>
    <w:next w:val="CommentText"/>
    <w:link w:val="CommentSubjectChar"/>
    <w:semiHidden/>
    <w:unhideWhenUsed/>
    <w:rsid w:val="006F13A1"/>
    <w:rPr>
      <w:b/>
      <w:bCs/>
      <w:sz w:val="20"/>
    </w:rPr>
  </w:style>
  <w:style w:type="character" w:customStyle="1" w:styleId="CommentTextChar">
    <w:name w:val="Comment Text Char"/>
    <w:basedOn w:val="DefaultParagraphFont"/>
    <w:link w:val="CommentText"/>
    <w:semiHidden/>
    <w:rsid w:val="006F13A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F13A1"/>
    <w:rPr>
      <w:rFonts w:ascii="Arial" w:eastAsia="SimSun" w:hAnsi="Arial" w:cs="Arial"/>
      <w:b/>
      <w:bCs/>
      <w:sz w:val="18"/>
      <w:lang w:val="en-US" w:eastAsia="zh-CN"/>
    </w:rPr>
  </w:style>
  <w:style w:type="paragraph" w:styleId="Revision">
    <w:name w:val="Revision"/>
    <w:hidden/>
    <w:uiPriority w:val="99"/>
    <w:semiHidden/>
    <w:rsid w:val="005E779A"/>
    <w:rPr>
      <w:rFonts w:ascii="Arial" w:eastAsia="SimSun" w:hAnsi="Arial" w:cs="Arial"/>
      <w:sz w:val="22"/>
      <w:lang w:val="en-US" w:eastAsia="zh-CN"/>
    </w:rPr>
  </w:style>
  <w:style w:type="character" w:styleId="FollowedHyperlink">
    <w:name w:val="FollowedHyperlink"/>
    <w:basedOn w:val="DefaultParagraphFont"/>
    <w:semiHidden/>
    <w:unhideWhenUsed/>
    <w:rsid w:val="00FF21D0"/>
    <w:rPr>
      <w:color w:val="800080" w:themeColor="followedHyperlink"/>
      <w:u w:val="single"/>
    </w:rPr>
  </w:style>
  <w:style w:type="character" w:styleId="PageNumber">
    <w:name w:val="page number"/>
    <w:basedOn w:val="DefaultParagraphFont"/>
    <w:rsid w:val="00E6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7312">
      <w:bodyDiv w:val="1"/>
      <w:marLeft w:val="0"/>
      <w:marRight w:val="0"/>
      <w:marTop w:val="0"/>
      <w:marBottom w:val="0"/>
      <w:divBdr>
        <w:top w:val="none" w:sz="0" w:space="0" w:color="auto"/>
        <w:left w:val="none" w:sz="0" w:space="0" w:color="auto"/>
        <w:bottom w:val="none" w:sz="0" w:space="0" w:color="auto"/>
        <w:right w:val="none" w:sz="0" w:space="0" w:color="auto"/>
      </w:divBdr>
    </w:div>
    <w:div w:id="177158775">
      <w:bodyDiv w:val="1"/>
      <w:marLeft w:val="0"/>
      <w:marRight w:val="0"/>
      <w:marTop w:val="0"/>
      <w:marBottom w:val="0"/>
      <w:divBdr>
        <w:top w:val="none" w:sz="0" w:space="0" w:color="auto"/>
        <w:left w:val="none" w:sz="0" w:space="0" w:color="auto"/>
        <w:bottom w:val="none" w:sz="0" w:space="0" w:color="auto"/>
        <w:right w:val="none" w:sz="0" w:space="0" w:color="auto"/>
      </w:divBdr>
    </w:div>
    <w:div w:id="785540191">
      <w:bodyDiv w:val="1"/>
      <w:marLeft w:val="0"/>
      <w:marRight w:val="0"/>
      <w:marTop w:val="0"/>
      <w:marBottom w:val="0"/>
      <w:divBdr>
        <w:top w:val="none" w:sz="0" w:space="0" w:color="auto"/>
        <w:left w:val="none" w:sz="0" w:space="0" w:color="auto"/>
        <w:bottom w:val="none" w:sz="0" w:space="0" w:color="auto"/>
        <w:right w:val="none" w:sz="0" w:space="0" w:color="auto"/>
      </w:divBdr>
    </w:div>
    <w:div w:id="985860726">
      <w:bodyDiv w:val="1"/>
      <w:marLeft w:val="0"/>
      <w:marRight w:val="0"/>
      <w:marTop w:val="0"/>
      <w:marBottom w:val="0"/>
      <w:divBdr>
        <w:top w:val="none" w:sz="0" w:space="0" w:color="auto"/>
        <w:left w:val="none" w:sz="0" w:space="0" w:color="auto"/>
        <w:bottom w:val="none" w:sz="0" w:space="0" w:color="auto"/>
        <w:right w:val="none" w:sz="0" w:space="0" w:color="auto"/>
      </w:divBdr>
    </w:div>
    <w:div w:id="1558709265">
      <w:bodyDiv w:val="1"/>
      <w:marLeft w:val="0"/>
      <w:marRight w:val="0"/>
      <w:marTop w:val="0"/>
      <w:marBottom w:val="0"/>
      <w:divBdr>
        <w:top w:val="none" w:sz="0" w:space="0" w:color="auto"/>
        <w:left w:val="none" w:sz="0" w:space="0" w:color="auto"/>
        <w:bottom w:val="none" w:sz="0" w:space="0" w:color="auto"/>
        <w:right w:val="none" w:sz="0" w:space="0" w:color="auto"/>
      </w:divBdr>
    </w:div>
    <w:div w:id="1796094425">
      <w:bodyDiv w:val="1"/>
      <w:marLeft w:val="0"/>
      <w:marRight w:val="0"/>
      <w:marTop w:val="0"/>
      <w:marBottom w:val="0"/>
      <w:divBdr>
        <w:top w:val="none" w:sz="0" w:space="0" w:color="auto"/>
        <w:left w:val="none" w:sz="0" w:space="0" w:color="auto"/>
        <w:bottom w:val="none" w:sz="0" w:space="0" w:color="auto"/>
        <w:right w:val="none" w:sz="0" w:space="0" w:color="auto"/>
      </w:divBdr>
    </w:div>
    <w:div w:id="20037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en/doc_details.jsp?doc_id=416005%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ip-development/en/agenda/recommendations.html"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573792" TargetMode="External"/><Relationship Id="rId1" Type="http://schemas.openxmlformats.org/officeDocument/2006/relationships/hyperlink" Target="https://www.wipo.int/meetings/en/doc_details.jsp?doc_id=5737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1540C-43A5-4073-B0FB-9B32DA5A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 (E)</Template>
  <TotalTime>46</TotalTime>
  <Pages>7</Pages>
  <Words>2364</Words>
  <Characters>13137</Characters>
  <Application>Microsoft Office Word</Application>
  <DocSecurity>0</DocSecurity>
  <Lines>422</Lines>
  <Paragraphs>197</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subject/>
  <dc:creator>ESTEVES DOS SANTOS Anabela</dc:creator>
  <cp:keywords>FOR OFFICIAL USE ONLY</cp:keywords>
  <dc:description/>
  <cp:lastModifiedBy>ESTEVES DOS SANTOS Anabela</cp:lastModifiedBy>
  <cp:revision>7</cp:revision>
  <cp:lastPrinted>2022-10-20T08:08:00Z</cp:lastPrinted>
  <dcterms:created xsi:type="dcterms:W3CDTF">2022-10-21T09:46:00Z</dcterms:created>
  <dcterms:modified xsi:type="dcterms:W3CDTF">2022-10-21T15:26:00Z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f56228bb-a98c-48c4-917d-57457f48c55e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