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C3E9C" w:rsidRPr="009F5287" w:rsidTr="008C3E9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C3E9C" w:rsidRPr="009F5287" w:rsidRDefault="008C3E9C" w:rsidP="008C3E9C">
            <w:pPr>
              <w:rPr>
                <w:rFonts w:eastAsia="SimSun"/>
                <w:szCs w:val="20"/>
                <w:lang w:eastAsia="zh-C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C3E9C" w:rsidRPr="009F5287" w:rsidRDefault="008C3E9C" w:rsidP="008C3E9C">
            <w:pPr>
              <w:rPr>
                <w:rFonts w:eastAsia="SimSun"/>
                <w:szCs w:val="20"/>
                <w:lang w:eastAsia="zh-CN"/>
              </w:rPr>
            </w:pPr>
            <w:r w:rsidRPr="009F5287">
              <w:rPr>
                <w:rFonts w:eastAsia="SimSun"/>
                <w:noProof/>
                <w:szCs w:val="20"/>
                <w:lang w:val="fr-CH" w:eastAsia="fr-CH"/>
              </w:rPr>
              <w:drawing>
                <wp:inline distT="0" distB="0" distL="0" distR="0" wp14:anchorId="0083BA09" wp14:editId="58848FAF">
                  <wp:extent cx="1857375" cy="1323975"/>
                  <wp:effectExtent l="0" t="0" r="9525" b="9525"/>
                  <wp:docPr id="4" name="Picture 4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C3E9C" w:rsidRPr="009F5287" w:rsidRDefault="008C3E9C" w:rsidP="008C3E9C">
            <w:pPr>
              <w:jc w:val="right"/>
              <w:rPr>
                <w:rFonts w:eastAsia="SimSun"/>
                <w:szCs w:val="20"/>
                <w:lang w:eastAsia="zh-CN"/>
              </w:rPr>
            </w:pPr>
            <w:r w:rsidRPr="009F5287">
              <w:rPr>
                <w:rFonts w:eastAsia="SimSun"/>
                <w:b/>
                <w:sz w:val="40"/>
                <w:szCs w:val="40"/>
                <w:lang w:eastAsia="zh-CN"/>
              </w:rPr>
              <w:t>E</w:t>
            </w:r>
          </w:p>
        </w:tc>
      </w:tr>
      <w:tr w:rsidR="006E30A9" w:rsidRPr="00354881" w:rsidTr="008C3E9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E30A9" w:rsidRPr="00354881" w:rsidRDefault="006E30A9" w:rsidP="006E30A9">
            <w:pPr>
              <w:jc w:val="right"/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</w:pPr>
            <w:r w:rsidRPr="00354881"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>CDIP</w:t>
            </w:r>
            <w:bookmarkStart w:id="0" w:name="Code"/>
            <w:bookmarkEnd w:id="0"/>
            <w:r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>/28/INF/7</w:t>
            </w:r>
            <w:r w:rsidRPr="00354881"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 xml:space="preserve">    </w:t>
            </w:r>
          </w:p>
        </w:tc>
      </w:tr>
      <w:tr w:rsidR="006E30A9" w:rsidRPr="00354881" w:rsidTr="008C3E9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E30A9" w:rsidRPr="00354881" w:rsidRDefault="006E30A9" w:rsidP="006E30A9">
            <w:pPr>
              <w:jc w:val="right"/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</w:pPr>
            <w:r w:rsidRPr="00354881"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 xml:space="preserve">ORIGINAL:  </w:t>
            </w:r>
            <w:bookmarkStart w:id="1" w:name="Original"/>
            <w:bookmarkEnd w:id="1"/>
            <w:r w:rsidRPr="00354881"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>English</w:t>
            </w:r>
          </w:p>
        </w:tc>
      </w:tr>
      <w:tr w:rsidR="006E30A9" w:rsidRPr="00354881" w:rsidTr="008C3E9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E30A9" w:rsidRPr="00354881" w:rsidRDefault="006E30A9" w:rsidP="006E30A9">
            <w:pPr>
              <w:jc w:val="right"/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</w:pPr>
            <w:bookmarkStart w:id="2" w:name="Date"/>
            <w:bookmarkEnd w:id="2"/>
            <w:r w:rsidRPr="00354881"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 xml:space="preserve">DATE:  </w:t>
            </w:r>
            <w:r w:rsidR="00CC4246"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>MAY 2</w:t>
            </w:r>
            <w:r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>, 2022</w:t>
            </w:r>
          </w:p>
        </w:tc>
      </w:tr>
    </w:tbl>
    <w:p w:rsidR="008C3E9C" w:rsidRDefault="008C3E9C" w:rsidP="008C3E9C">
      <w:pPr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8C3E9C" w:rsidRDefault="008C3E9C" w:rsidP="008C3E9C">
      <w:pPr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8C3E9C" w:rsidRDefault="008C3E9C" w:rsidP="008C3E9C">
      <w:pPr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8C3E9C" w:rsidRDefault="008C3E9C" w:rsidP="008C3E9C">
      <w:pPr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3C710A" w:rsidRDefault="003C710A" w:rsidP="008C3E9C">
      <w:pPr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8C3E9C" w:rsidRPr="008C3E9C" w:rsidRDefault="008C3E9C" w:rsidP="008C3E9C">
      <w:pPr>
        <w:rPr>
          <w:rFonts w:ascii="Arial" w:eastAsia="SimSun" w:hAnsi="Arial" w:cs="Arial"/>
          <w:b/>
          <w:sz w:val="28"/>
          <w:szCs w:val="28"/>
          <w:lang w:eastAsia="zh-CN"/>
        </w:rPr>
      </w:pPr>
      <w:r w:rsidRPr="008C3E9C">
        <w:rPr>
          <w:rFonts w:ascii="Arial" w:eastAsia="SimSun" w:hAnsi="Arial" w:cs="Arial"/>
          <w:b/>
          <w:sz w:val="28"/>
          <w:szCs w:val="28"/>
          <w:lang w:eastAsia="zh-CN"/>
        </w:rPr>
        <w:t>Committee on Development and Intellectual Property (CDIP)</w:t>
      </w:r>
    </w:p>
    <w:p w:rsidR="008C3E9C" w:rsidRPr="008C3E9C" w:rsidRDefault="008C3E9C" w:rsidP="008C3E9C">
      <w:pPr>
        <w:rPr>
          <w:rFonts w:ascii="Arial" w:eastAsia="SimSun" w:hAnsi="Arial" w:cs="Arial"/>
          <w:sz w:val="22"/>
          <w:szCs w:val="20"/>
          <w:lang w:eastAsia="zh-CN"/>
        </w:rPr>
      </w:pPr>
    </w:p>
    <w:p w:rsidR="003C710A" w:rsidRPr="008C3E9C" w:rsidRDefault="003C710A" w:rsidP="008C3E9C">
      <w:pPr>
        <w:rPr>
          <w:rFonts w:ascii="Arial" w:eastAsia="SimSun" w:hAnsi="Arial" w:cs="Arial"/>
          <w:sz w:val="22"/>
          <w:szCs w:val="20"/>
          <w:lang w:eastAsia="zh-CN"/>
        </w:rPr>
      </w:pPr>
    </w:p>
    <w:p w:rsidR="008C3E9C" w:rsidRPr="008C3E9C" w:rsidRDefault="001D0353" w:rsidP="008C3E9C">
      <w:pPr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>Twenty-Eighth</w:t>
      </w:r>
      <w:r w:rsidR="00960E8F">
        <w:rPr>
          <w:rFonts w:ascii="Arial" w:eastAsia="SimSun" w:hAnsi="Arial" w:cs="Arial"/>
          <w:b/>
          <w:lang w:eastAsia="zh-CN"/>
        </w:rPr>
        <w:t xml:space="preserve"> </w:t>
      </w:r>
      <w:r w:rsidR="008C3E9C" w:rsidRPr="008C3E9C">
        <w:rPr>
          <w:rFonts w:ascii="Arial" w:eastAsia="SimSun" w:hAnsi="Arial" w:cs="Arial"/>
          <w:b/>
          <w:lang w:eastAsia="zh-CN"/>
        </w:rPr>
        <w:t>Session</w:t>
      </w:r>
    </w:p>
    <w:p w:rsidR="008C3E9C" w:rsidRPr="008C3E9C" w:rsidRDefault="001D0353" w:rsidP="008C3E9C">
      <w:pPr>
        <w:rPr>
          <w:rFonts w:ascii="Arial" w:eastAsia="SimSun" w:hAnsi="Arial" w:cs="Arial"/>
          <w:b/>
          <w:lang w:eastAsia="zh-CN"/>
        </w:rPr>
      </w:pPr>
      <w:r w:rsidRPr="008C3E9C">
        <w:rPr>
          <w:rFonts w:ascii="Arial" w:eastAsia="SimSun" w:hAnsi="Arial" w:cs="Arial"/>
          <w:b/>
          <w:lang w:eastAsia="zh-CN"/>
        </w:rPr>
        <w:t xml:space="preserve">Geneva, </w:t>
      </w:r>
      <w:r>
        <w:rPr>
          <w:rFonts w:ascii="Arial" w:eastAsia="SimSun" w:hAnsi="Arial" w:cs="Arial"/>
          <w:b/>
          <w:lang w:eastAsia="zh-CN"/>
        </w:rPr>
        <w:t>May 16 to 20, 2022</w:t>
      </w:r>
    </w:p>
    <w:p w:rsidR="008C3E9C" w:rsidRPr="008C3E9C" w:rsidRDefault="008C3E9C" w:rsidP="008C3E9C">
      <w:pPr>
        <w:rPr>
          <w:rFonts w:ascii="Arial" w:eastAsia="SimSun" w:hAnsi="Arial" w:cs="Arial"/>
          <w:sz w:val="22"/>
          <w:szCs w:val="20"/>
          <w:lang w:eastAsia="zh-CN"/>
        </w:rPr>
      </w:pPr>
    </w:p>
    <w:p w:rsidR="008C3E9C" w:rsidRDefault="008C3E9C" w:rsidP="008C3E9C">
      <w:pPr>
        <w:rPr>
          <w:rFonts w:ascii="Arial" w:eastAsia="SimSun" w:hAnsi="Arial" w:cs="Arial"/>
          <w:sz w:val="22"/>
          <w:szCs w:val="20"/>
          <w:lang w:eastAsia="zh-CN"/>
        </w:rPr>
      </w:pPr>
    </w:p>
    <w:p w:rsidR="008B203D" w:rsidRPr="008C3E9C" w:rsidRDefault="008B203D" w:rsidP="008C3E9C">
      <w:pPr>
        <w:rPr>
          <w:rFonts w:ascii="Arial" w:eastAsia="SimSun" w:hAnsi="Arial" w:cs="Arial"/>
          <w:sz w:val="22"/>
          <w:szCs w:val="20"/>
          <w:lang w:eastAsia="zh-CN"/>
        </w:rPr>
      </w:pPr>
    </w:p>
    <w:p w:rsidR="001F5760" w:rsidRPr="0095368D" w:rsidRDefault="001D0353" w:rsidP="008C3E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2"/>
        </w:rPr>
      </w:pPr>
      <w:bookmarkStart w:id="3" w:name="TitleOfDoc"/>
      <w:bookmarkEnd w:id="3"/>
      <w:r>
        <w:rPr>
          <w:rFonts w:ascii="Arial" w:eastAsia="Arial" w:hAnsi="Arial" w:cs="Arial"/>
          <w:color w:val="000000"/>
          <w:szCs w:val="22"/>
        </w:rPr>
        <w:t>OVERVIEW</w:t>
      </w:r>
      <w:r w:rsidR="008C3E9C" w:rsidRPr="008C3E9C">
        <w:rPr>
          <w:rFonts w:ascii="Arial" w:eastAsia="Arial" w:hAnsi="Arial" w:cs="Arial"/>
          <w:color w:val="000000"/>
          <w:szCs w:val="22"/>
        </w:rPr>
        <w:t xml:space="preserve"> OF</w:t>
      </w:r>
      <w:r w:rsidR="00C80664">
        <w:rPr>
          <w:rFonts w:ascii="Arial" w:eastAsia="Arial" w:hAnsi="Arial" w:cs="Arial"/>
          <w:color w:val="000000"/>
          <w:szCs w:val="22"/>
        </w:rPr>
        <w:t xml:space="preserve"> </w:t>
      </w:r>
      <w:r w:rsidR="0032790A">
        <w:rPr>
          <w:rFonts w:ascii="Arial" w:eastAsia="Arial" w:hAnsi="Arial" w:cs="Arial"/>
          <w:color w:val="000000"/>
          <w:szCs w:val="22"/>
        </w:rPr>
        <w:t>THE</w:t>
      </w:r>
      <w:r w:rsidR="00F24A02">
        <w:rPr>
          <w:rFonts w:ascii="Arial" w:eastAsia="Arial" w:hAnsi="Arial" w:cs="Arial"/>
          <w:color w:val="000000"/>
          <w:szCs w:val="22"/>
        </w:rPr>
        <w:t xml:space="preserve"> </w:t>
      </w:r>
      <w:r>
        <w:rPr>
          <w:rFonts w:ascii="Arial" w:eastAsia="Arial" w:hAnsi="Arial" w:cs="Arial"/>
          <w:color w:val="000000"/>
          <w:szCs w:val="22"/>
        </w:rPr>
        <w:t>WIPO</w:t>
      </w:r>
      <w:r w:rsidR="00566992">
        <w:rPr>
          <w:rFonts w:ascii="Arial" w:eastAsia="Arial" w:hAnsi="Arial" w:cs="Arial"/>
          <w:color w:val="000000"/>
          <w:szCs w:val="22"/>
        </w:rPr>
        <w:t xml:space="preserve"> </w:t>
      </w:r>
      <w:r w:rsidR="00F24A02">
        <w:rPr>
          <w:rFonts w:ascii="Arial" w:eastAsia="Arial" w:hAnsi="Arial" w:cs="Arial"/>
          <w:color w:val="000000"/>
          <w:szCs w:val="22"/>
        </w:rPr>
        <w:t xml:space="preserve">GUIDE </w:t>
      </w:r>
      <w:r w:rsidR="00F24A02" w:rsidRPr="00F24A02">
        <w:rPr>
          <w:rFonts w:ascii="Arial" w:eastAsia="Arial" w:hAnsi="Arial" w:cs="Arial"/>
          <w:color w:val="000000"/>
          <w:szCs w:val="22"/>
        </w:rPr>
        <w:t>ON ALTERNATIVE DISPUTE RESOLUTION FOR MOBILE APPLICATION DISPUTES</w:t>
      </w:r>
      <w:r w:rsidR="00F24A02">
        <w:rPr>
          <w:rFonts w:ascii="Arial" w:eastAsia="Arial" w:hAnsi="Arial" w:cs="Arial"/>
          <w:color w:val="000000"/>
          <w:szCs w:val="22"/>
        </w:rPr>
        <w:t xml:space="preserve"> </w:t>
      </w:r>
      <w:r w:rsidR="001F5760">
        <w:rPr>
          <w:rFonts w:ascii="Arial" w:eastAsia="Arial" w:hAnsi="Arial" w:cs="Arial"/>
          <w:color w:val="000000"/>
          <w:szCs w:val="22"/>
        </w:rPr>
        <w:br/>
      </w:r>
    </w:p>
    <w:p w:rsidR="008C3E9C" w:rsidRPr="008C3E9C" w:rsidRDefault="008C3E9C" w:rsidP="008C3E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bookmarkStart w:id="4" w:name="Prepared"/>
      <w:bookmarkEnd w:id="4"/>
      <w:r w:rsidRPr="008C3E9C">
        <w:rPr>
          <w:rFonts w:ascii="Arial" w:eastAsia="Arial" w:hAnsi="Arial" w:cs="Arial"/>
          <w:i/>
          <w:color w:val="000000"/>
          <w:sz w:val="22"/>
          <w:szCs w:val="22"/>
        </w:rPr>
        <w:t>prepared by</w:t>
      </w:r>
      <w:r w:rsidR="004C27D6" w:rsidRPr="004C27D6">
        <w:rPr>
          <w:rFonts w:ascii="Arial" w:eastAsia="Times New Roman" w:hAnsi="Arial" w:cs="Arial"/>
          <w:sz w:val="22"/>
          <w:szCs w:val="22"/>
        </w:rPr>
        <w:t xml:space="preserve"> </w:t>
      </w:r>
      <w:r w:rsidR="003C710A">
        <w:rPr>
          <w:rFonts w:ascii="Arial" w:eastAsia="Arial" w:hAnsi="Arial" w:cs="Arial"/>
          <w:i/>
          <w:color w:val="000000"/>
          <w:sz w:val="22"/>
          <w:szCs w:val="22"/>
        </w:rPr>
        <w:t>the Secretariat</w:t>
      </w:r>
    </w:p>
    <w:p w:rsidR="008C3E9C" w:rsidRPr="008C3E9C" w:rsidRDefault="008C3E9C" w:rsidP="008C3E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C3E9C" w:rsidRPr="008C3E9C" w:rsidRDefault="008C3E9C" w:rsidP="008C3E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C3E9C" w:rsidRPr="008C3E9C" w:rsidRDefault="008C3E9C" w:rsidP="008C3E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C3E9C" w:rsidRPr="008C3E9C" w:rsidRDefault="008C3E9C" w:rsidP="008C3E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7F1540" w:rsidRDefault="007F1540" w:rsidP="007F15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1D0353" w:rsidRPr="00FF42F9" w:rsidRDefault="008C3E9C" w:rsidP="001D0353">
      <w:pPr>
        <w:pStyle w:val="ListParagraph"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Times New Roman" w:hAnsi="Arial" w:cs="Arial"/>
          <w:color w:val="000000"/>
          <w:sz w:val="22"/>
          <w:szCs w:val="22"/>
        </w:rPr>
      </w:pPr>
      <w:r w:rsidRPr="00FF42F9">
        <w:rPr>
          <w:rFonts w:ascii="Arial" w:eastAsia="Times New Roman" w:hAnsi="Arial" w:cs="Arial"/>
          <w:color w:val="000000"/>
          <w:sz w:val="22"/>
          <w:szCs w:val="22"/>
        </w:rPr>
        <w:t xml:space="preserve">The Annex to this document contains </w:t>
      </w:r>
      <w:r w:rsidR="00AC1CAF" w:rsidRPr="00FF42F9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1D0353" w:rsidRPr="00FF42F9">
        <w:rPr>
          <w:rFonts w:ascii="Arial" w:eastAsia="Times New Roman" w:hAnsi="Arial" w:cs="Arial"/>
          <w:color w:val="000000"/>
          <w:sz w:val="22"/>
          <w:szCs w:val="22"/>
        </w:rPr>
        <w:t>n overview</w:t>
      </w:r>
      <w:r w:rsidR="00AC1CAF" w:rsidRPr="00FF42F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A3A97" w:rsidRPr="00FF42F9">
        <w:rPr>
          <w:rFonts w:ascii="Arial" w:eastAsia="Times New Roman" w:hAnsi="Arial" w:cs="Arial"/>
          <w:color w:val="000000"/>
          <w:sz w:val="22"/>
          <w:szCs w:val="22"/>
        </w:rPr>
        <w:t>of</w:t>
      </w:r>
      <w:r w:rsidR="000A756A" w:rsidRPr="00FF42F9">
        <w:rPr>
          <w:rFonts w:ascii="Arial" w:eastAsia="Times New Roman" w:hAnsi="Arial" w:cs="Arial"/>
          <w:color w:val="000000"/>
          <w:sz w:val="22"/>
          <w:szCs w:val="22"/>
        </w:rPr>
        <w:t xml:space="preserve"> the WIPO</w:t>
      </w:r>
      <w:r w:rsidR="008A3A97" w:rsidRPr="00FF42F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C21884" w:rsidRPr="00FF42F9">
        <w:rPr>
          <w:rFonts w:ascii="Arial" w:eastAsia="Times New Roman" w:hAnsi="Arial" w:cs="Arial"/>
          <w:color w:val="000000"/>
          <w:sz w:val="22"/>
          <w:szCs w:val="22"/>
        </w:rPr>
        <w:t xml:space="preserve">Guide </w:t>
      </w:r>
      <w:r w:rsidR="001D0353" w:rsidRPr="00FF42F9">
        <w:rPr>
          <w:rFonts w:ascii="Arial" w:eastAsia="Times New Roman" w:hAnsi="Arial" w:cs="Arial"/>
          <w:color w:val="000000"/>
          <w:sz w:val="22"/>
          <w:szCs w:val="22"/>
        </w:rPr>
        <w:t>o</w:t>
      </w:r>
      <w:r w:rsidR="00C21884" w:rsidRPr="00FF42F9">
        <w:rPr>
          <w:rFonts w:ascii="Arial" w:eastAsia="Times New Roman" w:hAnsi="Arial" w:cs="Arial"/>
          <w:color w:val="000000"/>
          <w:sz w:val="22"/>
          <w:szCs w:val="22"/>
        </w:rPr>
        <w:t xml:space="preserve">n Alternative Dispute Resolution </w:t>
      </w:r>
      <w:r w:rsidR="00914580" w:rsidRPr="00FF42F9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="00C21884" w:rsidRPr="00FF42F9">
        <w:rPr>
          <w:rFonts w:ascii="Arial" w:eastAsia="Times New Roman" w:hAnsi="Arial" w:cs="Arial"/>
          <w:color w:val="000000"/>
          <w:sz w:val="22"/>
          <w:szCs w:val="22"/>
        </w:rPr>
        <w:t>or Mobile Application Disputes</w:t>
      </w:r>
      <w:r w:rsidR="008A3A97" w:rsidRPr="00FF42F9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95368D" w:rsidRPr="00FF42F9">
        <w:rPr>
          <w:rFonts w:ascii="Arial" w:eastAsia="Times New Roman" w:hAnsi="Arial" w:cs="Arial"/>
          <w:color w:val="000000"/>
          <w:sz w:val="22"/>
          <w:szCs w:val="22"/>
        </w:rPr>
        <w:t xml:space="preserve"> undertaken in the context of the Project on </w:t>
      </w:r>
      <w:r w:rsidR="00196C1D" w:rsidRPr="00FF42F9">
        <w:rPr>
          <w:rFonts w:ascii="Arial" w:hAnsi="Arial" w:cs="Arial"/>
          <w:color w:val="000000"/>
          <w:sz w:val="22"/>
          <w:szCs w:val="22"/>
        </w:rPr>
        <w:t>Enhancing the Use of Intellectual Property for Mobile Apps in the Software Sector</w:t>
      </w:r>
      <w:r w:rsidR="00196C1D" w:rsidRPr="00FF42F9" w:rsidDel="00196C1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C56D95" w:rsidRPr="00FF42F9">
        <w:rPr>
          <w:rFonts w:ascii="Arial" w:eastAsia="Times New Roman" w:hAnsi="Arial" w:cs="Arial"/>
          <w:color w:val="000000"/>
          <w:sz w:val="22"/>
          <w:szCs w:val="22"/>
        </w:rPr>
        <w:t>(</w:t>
      </w:r>
      <w:r w:rsidR="007E4052" w:rsidRPr="00FF42F9">
        <w:rPr>
          <w:rFonts w:ascii="Arial" w:eastAsia="Times New Roman" w:hAnsi="Arial" w:cs="Arial"/>
          <w:color w:val="000000"/>
          <w:sz w:val="22"/>
          <w:szCs w:val="22"/>
        </w:rPr>
        <w:t xml:space="preserve">document </w:t>
      </w:r>
      <w:r w:rsidR="00C56D95" w:rsidRPr="00FF42F9">
        <w:rPr>
          <w:rFonts w:ascii="Arial" w:eastAsia="Times New Roman" w:hAnsi="Arial" w:cs="Arial"/>
          <w:color w:val="000000"/>
          <w:sz w:val="22"/>
          <w:szCs w:val="22"/>
        </w:rPr>
        <w:t>CDIP/22/8)</w:t>
      </w:r>
      <w:r w:rsidR="005061E0" w:rsidRPr="00FF42F9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1D0353" w:rsidRDefault="001D0353" w:rsidP="001D0353">
      <w:pPr>
        <w:pStyle w:val="ListParagraph"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Times New Roman" w:hAnsi="Arial" w:cs="Arial"/>
          <w:color w:val="000000"/>
          <w:sz w:val="22"/>
          <w:szCs w:val="22"/>
        </w:rPr>
      </w:pPr>
    </w:p>
    <w:p w:rsidR="00BC383D" w:rsidRPr="00BC383D" w:rsidRDefault="008C3E9C" w:rsidP="00BC383D">
      <w:pPr>
        <w:pStyle w:val="ListParagraph"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Times New Roman" w:hAnsi="Arial" w:cs="Arial"/>
          <w:color w:val="000000"/>
          <w:sz w:val="22"/>
          <w:szCs w:val="22"/>
        </w:rPr>
      </w:pPr>
      <w:r w:rsidRPr="001D0353">
        <w:rPr>
          <w:rFonts w:ascii="Arial" w:eastAsia="Times New Roman" w:hAnsi="Arial" w:cs="Arial"/>
          <w:sz w:val="22"/>
          <w:szCs w:val="22"/>
        </w:rPr>
        <w:t>The</w:t>
      </w:r>
      <w:r w:rsidR="0095368D" w:rsidRPr="001D0353">
        <w:rPr>
          <w:rFonts w:ascii="Arial" w:eastAsia="Times New Roman" w:hAnsi="Arial" w:cs="Arial"/>
          <w:sz w:val="22"/>
          <w:szCs w:val="22"/>
        </w:rPr>
        <w:t xml:space="preserve"> </w:t>
      </w:r>
      <w:r w:rsidR="00C21884" w:rsidRPr="001D0353">
        <w:rPr>
          <w:rFonts w:ascii="Arial" w:eastAsia="Times New Roman" w:hAnsi="Arial" w:cs="Arial"/>
          <w:sz w:val="22"/>
          <w:szCs w:val="22"/>
        </w:rPr>
        <w:t xml:space="preserve">Guide </w:t>
      </w:r>
      <w:r w:rsidRPr="001D0353">
        <w:rPr>
          <w:rFonts w:ascii="Arial" w:eastAsia="Times New Roman" w:hAnsi="Arial" w:cs="Arial"/>
          <w:sz w:val="22"/>
          <w:szCs w:val="22"/>
        </w:rPr>
        <w:t>has be</w:t>
      </w:r>
      <w:bookmarkStart w:id="5" w:name="_GoBack"/>
      <w:bookmarkEnd w:id="5"/>
      <w:r w:rsidRPr="001D0353">
        <w:rPr>
          <w:rFonts w:ascii="Arial" w:eastAsia="Times New Roman" w:hAnsi="Arial" w:cs="Arial"/>
          <w:sz w:val="22"/>
          <w:szCs w:val="22"/>
        </w:rPr>
        <w:t xml:space="preserve">en prepared </w:t>
      </w:r>
      <w:r w:rsidR="008B203D" w:rsidRPr="001D0353">
        <w:rPr>
          <w:rFonts w:ascii="Arial" w:eastAsia="Times New Roman" w:hAnsi="Arial" w:cs="Arial"/>
          <w:sz w:val="22"/>
          <w:szCs w:val="22"/>
        </w:rPr>
        <w:t>by M</w:t>
      </w:r>
      <w:r w:rsidR="00C56D95" w:rsidRPr="001D0353">
        <w:rPr>
          <w:rFonts w:ascii="Arial" w:eastAsia="Times New Roman" w:hAnsi="Arial" w:cs="Arial"/>
          <w:sz w:val="22"/>
          <w:szCs w:val="22"/>
        </w:rPr>
        <w:t xml:space="preserve">r. </w:t>
      </w:r>
      <w:r w:rsidR="00C21884" w:rsidRPr="001D0353">
        <w:rPr>
          <w:rFonts w:ascii="Arial" w:eastAsia="Times New Roman" w:hAnsi="Arial" w:cs="Arial"/>
          <w:sz w:val="22"/>
          <w:szCs w:val="22"/>
        </w:rPr>
        <w:t xml:space="preserve">Chung Nian Lam, </w:t>
      </w:r>
      <w:r w:rsidR="00C56D95" w:rsidRPr="001D0353">
        <w:rPr>
          <w:rFonts w:ascii="Arial" w:eastAsia="Times New Roman" w:hAnsi="Arial" w:cs="Arial"/>
          <w:sz w:val="22"/>
          <w:szCs w:val="22"/>
        </w:rPr>
        <w:t xml:space="preserve">Head of </w:t>
      </w:r>
      <w:r w:rsidR="00C21884" w:rsidRPr="001D0353">
        <w:rPr>
          <w:rFonts w:ascii="Arial" w:eastAsia="Times New Roman" w:hAnsi="Arial" w:cs="Arial"/>
          <w:sz w:val="22"/>
          <w:szCs w:val="22"/>
        </w:rPr>
        <w:t xml:space="preserve">the Intellectual Property, Technology and Data Group at WongPartnership </w:t>
      </w:r>
      <w:r w:rsidR="0040023D" w:rsidRPr="009A0C25">
        <w:rPr>
          <w:rFonts w:ascii="Arial" w:eastAsia="Times New Roman" w:hAnsi="Arial" w:cs="Arial"/>
          <w:color w:val="000000"/>
          <w:sz w:val="22"/>
          <w:szCs w:val="22"/>
        </w:rPr>
        <w:t>Limited Liability Partnership</w:t>
      </w:r>
      <w:r w:rsidR="0040023D">
        <w:rPr>
          <w:rFonts w:ascii="Arial" w:eastAsia="Times New Roman" w:hAnsi="Arial" w:cs="Arial"/>
          <w:color w:val="000000"/>
          <w:sz w:val="22"/>
          <w:szCs w:val="22"/>
        </w:rPr>
        <w:t xml:space="preserve"> (</w:t>
      </w:r>
      <w:r w:rsidR="0040023D" w:rsidRPr="009A0C25">
        <w:rPr>
          <w:rFonts w:ascii="Arial" w:eastAsia="Times New Roman" w:hAnsi="Arial" w:cs="Arial"/>
          <w:sz w:val="22"/>
          <w:szCs w:val="22"/>
        </w:rPr>
        <w:t>LLP</w:t>
      </w:r>
      <w:r w:rsidR="0040023D">
        <w:rPr>
          <w:rFonts w:ascii="Arial" w:eastAsia="Times New Roman" w:hAnsi="Arial" w:cs="Arial"/>
          <w:sz w:val="22"/>
          <w:szCs w:val="22"/>
        </w:rPr>
        <w:t>)</w:t>
      </w:r>
      <w:r w:rsidR="00886145" w:rsidRPr="001D0353">
        <w:rPr>
          <w:rFonts w:ascii="Arial" w:eastAsia="Times New Roman" w:hAnsi="Arial" w:cs="Arial"/>
          <w:sz w:val="22"/>
          <w:szCs w:val="22"/>
        </w:rPr>
        <w:t>, a law firm</w:t>
      </w:r>
      <w:r w:rsidR="00B826AF">
        <w:rPr>
          <w:rFonts w:ascii="Arial" w:eastAsia="Times New Roman" w:hAnsi="Arial" w:cs="Arial"/>
          <w:sz w:val="22"/>
          <w:szCs w:val="22"/>
        </w:rPr>
        <w:t xml:space="preserve"> headquartered in Singapore</w:t>
      </w:r>
      <w:r w:rsidR="00886145" w:rsidRPr="001D0353">
        <w:rPr>
          <w:rFonts w:ascii="Arial" w:eastAsia="Times New Roman" w:hAnsi="Arial" w:cs="Arial"/>
          <w:sz w:val="22"/>
          <w:szCs w:val="22"/>
        </w:rPr>
        <w:t>.</w:t>
      </w:r>
      <w:r w:rsidR="004006B6" w:rsidRPr="001D0353">
        <w:rPr>
          <w:rFonts w:ascii="Arial" w:eastAsia="Times New Roman" w:hAnsi="Arial" w:cs="Arial"/>
          <w:sz w:val="22"/>
          <w:szCs w:val="22"/>
        </w:rPr>
        <w:t xml:space="preserve">  </w:t>
      </w:r>
    </w:p>
    <w:p w:rsidR="00BC383D" w:rsidRPr="00BC383D" w:rsidRDefault="00BC383D" w:rsidP="00BC383D">
      <w:pPr>
        <w:pStyle w:val="ListParagraph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:rsidR="008C3E9C" w:rsidRPr="00BC383D" w:rsidRDefault="008C3E9C" w:rsidP="00BC383D">
      <w:pPr>
        <w:pStyle w:val="ListParagraph"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533" w:firstLine="0"/>
        <w:rPr>
          <w:rFonts w:ascii="Arial" w:eastAsia="Times New Roman" w:hAnsi="Arial" w:cs="Arial"/>
          <w:color w:val="000000"/>
          <w:sz w:val="22"/>
          <w:szCs w:val="22"/>
        </w:rPr>
      </w:pPr>
      <w:r w:rsidRPr="00BC383D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The CDIP is invited to take note of the information contained in the Annex </w:t>
      </w:r>
      <w:r w:rsidRPr="00BC383D">
        <w:rPr>
          <w:rFonts w:ascii="Arial" w:eastAsia="Arial" w:hAnsi="Arial" w:cs="Arial"/>
          <w:i/>
          <w:color w:val="000000"/>
          <w:sz w:val="22"/>
          <w:szCs w:val="22"/>
        </w:rPr>
        <w:t>to the present document.</w:t>
      </w:r>
    </w:p>
    <w:p w:rsidR="008C3E9C" w:rsidRPr="008C3E9C" w:rsidRDefault="008C3E9C" w:rsidP="008C3E9C">
      <w:pPr>
        <w:widowControl w:val="0"/>
        <w:pBdr>
          <w:top w:val="nil"/>
          <w:left w:val="nil"/>
          <w:bottom w:val="nil"/>
          <w:right w:val="nil"/>
          <w:between w:val="nil"/>
        </w:pBdr>
        <w:ind w:left="5534"/>
        <w:rPr>
          <w:rFonts w:ascii="Arial" w:eastAsia="Arial" w:hAnsi="Arial" w:cs="Arial"/>
          <w:color w:val="000000"/>
          <w:sz w:val="22"/>
          <w:szCs w:val="22"/>
        </w:rPr>
      </w:pPr>
    </w:p>
    <w:p w:rsidR="008C3E9C" w:rsidRPr="008C3E9C" w:rsidRDefault="008C3E9C" w:rsidP="008477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C3E9C" w:rsidRPr="008C3E9C" w:rsidRDefault="008C3E9C" w:rsidP="00FE5367">
      <w:pPr>
        <w:widowControl w:val="0"/>
        <w:pBdr>
          <w:top w:val="nil"/>
          <w:left w:val="nil"/>
          <w:bottom w:val="nil"/>
          <w:right w:val="nil"/>
          <w:between w:val="nil"/>
        </w:pBdr>
        <w:ind w:left="5533"/>
        <w:rPr>
          <w:rFonts w:ascii="Arial" w:eastAsia="Arial" w:hAnsi="Arial" w:cs="Arial"/>
          <w:color w:val="000000"/>
          <w:sz w:val="22"/>
          <w:szCs w:val="22"/>
        </w:rPr>
        <w:sectPr w:rsidR="008C3E9C" w:rsidRPr="008C3E9C" w:rsidSect="003C71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326"/>
        </w:sectPr>
      </w:pPr>
      <w:r w:rsidRPr="008C3E9C">
        <w:rPr>
          <w:rFonts w:ascii="Arial" w:eastAsia="Arial" w:hAnsi="Arial" w:cs="Arial"/>
          <w:color w:val="000000"/>
          <w:sz w:val="22"/>
          <w:szCs w:val="22"/>
        </w:rPr>
        <w:t>[Annex follows</w:t>
      </w:r>
      <w:r w:rsidR="00424779" w:rsidRPr="00603F4A">
        <w:rPr>
          <w:rFonts w:ascii="Arial" w:eastAsia="Arial" w:hAnsi="Arial" w:cs="Arial"/>
          <w:color w:val="000000"/>
          <w:sz w:val="22"/>
          <w:szCs w:val="22"/>
        </w:rPr>
        <w:t>]</w:t>
      </w:r>
    </w:p>
    <w:p w:rsidR="00C80664" w:rsidRPr="00C80664" w:rsidRDefault="00FF436A" w:rsidP="00FE536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OVERVIEW OF THE</w:t>
      </w:r>
      <w:r w:rsidR="008934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21884" w:rsidRPr="00C21884">
        <w:rPr>
          <w:rFonts w:ascii="Arial" w:hAnsi="Arial" w:cs="Arial"/>
          <w:b/>
          <w:sz w:val="22"/>
          <w:szCs w:val="22"/>
          <w:u w:val="single"/>
        </w:rPr>
        <w:t>WIPO GUIDE ON</w:t>
      </w:r>
      <w:r w:rsidR="00C2188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21884" w:rsidRPr="00C21884">
        <w:rPr>
          <w:rFonts w:ascii="Arial" w:hAnsi="Arial" w:cs="Arial"/>
          <w:b/>
          <w:sz w:val="22"/>
          <w:szCs w:val="22"/>
          <w:u w:val="single"/>
        </w:rPr>
        <w:t>ALTERNATIVE DISPUTE RESOLUTION</w:t>
      </w:r>
      <w:r w:rsidR="00C2188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21884" w:rsidRPr="00C21884">
        <w:rPr>
          <w:rFonts w:ascii="Arial" w:hAnsi="Arial" w:cs="Arial"/>
          <w:b/>
          <w:sz w:val="22"/>
          <w:szCs w:val="22"/>
          <w:u w:val="single"/>
        </w:rPr>
        <w:t>FOR MOBILE APPLICATION DISPUTES</w:t>
      </w:r>
    </w:p>
    <w:p w:rsidR="00054C98" w:rsidRDefault="00054C98" w:rsidP="00054C9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4C98" w:rsidRDefault="00054C98" w:rsidP="00054C98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054C98">
        <w:rPr>
          <w:rFonts w:ascii="Arial" w:hAnsi="Arial" w:cs="Arial"/>
          <w:sz w:val="22"/>
          <w:szCs w:val="22"/>
          <w:lang w:val="en-GB"/>
        </w:rPr>
        <w:t xml:space="preserve">This </w:t>
      </w:r>
      <w:r w:rsidR="00C21884">
        <w:rPr>
          <w:rFonts w:ascii="Arial" w:hAnsi="Arial" w:cs="Arial"/>
          <w:sz w:val="22"/>
          <w:szCs w:val="22"/>
          <w:lang w:val="en-GB"/>
        </w:rPr>
        <w:t>Guide</w:t>
      </w:r>
      <w:r w:rsidR="00181072">
        <w:rPr>
          <w:rFonts w:ascii="Arial" w:hAnsi="Arial" w:cs="Arial"/>
          <w:sz w:val="22"/>
          <w:szCs w:val="22"/>
          <w:lang w:val="en-GB"/>
        </w:rPr>
        <w:t xml:space="preserve"> builds</w:t>
      </w:r>
      <w:r w:rsidR="00864399">
        <w:rPr>
          <w:rFonts w:ascii="Arial" w:hAnsi="Arial" w:cs="Arial"/>
          <w:sz w:val="22"/>
          <w:szCs w:val="22"/>
          <w:lang w:val="en-GB"/>
        </w:rPr>
        <w:t xml:space="preserve"> upon the earlier work of the C</w:t>
      </w:r>
      <w:r w:rsidR="00181072">
        <w:rPr>
          <w:rFonts w:ascii="Arial" w:hAnsi="Arial" w:cs="Arial"/>
          <w:sz w:val="22"/>
          <w:szCs w:val="22"/>
          <w:lang w:val="en-GB"/>
        </w:rPr>
        <w:t>D</w:t>
      </w:r>
      <w:r w:rsidR="00864399">
        <w:rPr>
          <w:rFonts w:ascii="Arial" w:hAnsi="Arial" w:cs="Arial"/>
          <w:sz w:val="22"/>
          <w:szCs w:val="22"/>
          <w:lang w:val="en-GB"/>
        </w:rPr>
        <w:t>I</w:t>
      </w:r>
      <w:r w:rsidR="00181072">
        <w:rPr>
          <w:rFonts w:ascii="Arial" w:hAnsi="Arial" w:cs="Arial"/>
          <w:sz w:val="22"/>
          <w:szCs w:val="22"/>
          <w:lang w:val="en-GB"/>
        </w:rPr>
        <w:t xml:space="preserve">P in the mobile application sector, recognising its continued economic importance, and relative accessibility for </w:t>
      </w:r>
      <w:r w:rsidR="00794245">
        <w:rPr>
          <w:rFonts w:ascii="Arial" w:hAnsi="Arial" w:cs="Arial"/>
          <w:sz w:val="22"/>
          <w:szCs w:val="22"/>
          <w:lang w:val="en-GB"/>
        </w:rPr>
        <w:t xml:space="preserve">developed and developing economies. </w:t>
      </w:r>
      <w:r w:rsidR="00AA6DBE">
        <w:rPr>
          <w:rFonts w:ascii="Arial" w:hAnsi="Arial" w:cs="Arial"/>
          <w:sz w:val="22"/>
          <w:szCs w:val="22"/>
          <w:lang w:val="en-GB"/>
        </w:rPr>
        <w:t xml:space="preserve"> </w:t>
      </w:r>
      <w:r w:rsidR="00794245">
        <w:rPr>
          <w:rFonts w:ascii="Arial" w:hAnsi="Arial" w:cs="Arial"/>
          <w:sz w:val="22"/>
          <w:szCs w:val="22"/>
          <w:lang w:val="en-GB"/>
        </w:rPr>
        <w:t>S</w:t>
      </w:r>
      <w:r w:rsidR="00181072">
        <w:rPr>
          <w:rFonts w:ascii="Arial" w:hAnsi="Arial" w:cs="Arial"/>
          <w:sz w:val="22"/>
          <w:szCs w:val="22"/>
          <w:lang w:val="en-GB"/>
        </w:rPr>
        <w:t xml:space="preserve">pecifically, </w:t>
      </w:r>
      <w:r w:rsidR="00794245">
        <w:rPr>
          <w:rFonts w:ascii="Arial" w:hAnsi="Arial" w:cs="Arial"/>
          <w:sz w:val="22"/>
          <w:szCs w:val="22"/>
          <w:lang w:val="en-GB"/>
        </w:rPr>
        <w:t>whilst the earlier CD</w:t>
      </w:r>
      <w:r w:rsidR="00AA6DBE">
        <w:rPr>
          <w:rFonts w:ascii="Arial" w:hAnsi="Arial" w:cs="Arial"/>
          <w:sz w:val="22"/>
          <w:szCs w:val="22"/>
          <w:lang w:val="en-GB"/>
        </w:rPr>
        <w:t>I</w:t>
      </w:r>
      <w:r w:rsidR="00794245">
        <w:rPr>
          <w:rFonts w:ascii="Arial" w:hAnsi="Arial" w:cs="Arial"/>
          <w:sz w:val="22"/>
          <w:szCs w:val="22"/>
          <w:lang w:val="en-GB"/>
        </w:rPr>
        <w:t>P initiatives addressed the use of strategic value of intellectual property</w:t>
      </w:r>
      <w:r w:rsidR="004A4741">
        <w:rPr>
          <w:rFonts w:ascii="Arial" w:hAnsi="Arial" w:cs="Arial"/>
          <w:sz w:val="22"/>
          <w:szCs w:val="22"/>
          <w:lang w:val="en-GB"/>
        </w:rPr>
        <w:t xml:space="preserve"> (IP)</w:t>
      </w:r>
      <w:r w:rsidR="00794245">
        <w:rPr>
          <w:rFonts w:ascii="Arial" w:hAnsi="Arial" w:cs="Arial"/>
          <w:sz w:val="22"/>
          <w:szCs w:val="22"/>
          <w:lang w:val="en-GB"/>
        </w:rPr>
        <w:t xml:space="preserve"> rights in this sector, the Guide considers </w:t>
      </w:r>
      <w:r w:rsidR="00181072">
        <w:rPr>
          <w:rFonts w:ascii="Arial" w:hAnsi="Arial" w:cs="Arial"/>
          <w:sz w:val="22"/>
          <w:szCs w:val="22"/>
          <w:lang w:val="en-GB"/>
        </w:rPr>
        <w:t xml:space="preserve">how alternative dispute </w:t>
      </w:r>
      <w:r w:rsidR="00794245">
        <w:rPr>
          <w:rFonts w:ascii="Arial" w:hAnsi="Arial" w:cs="Arial"/>
          <w:sz w:val="22"/>
          <w:szCs w:val="22"/>
          <w:lang w:val="en-GB"/>
        </w:rPr>
        <w:t xml:space="preserve">resolution </w:t>
      </w:r>
      <w:r w:rsidR="00890868">
        <w:rPr>
          <w:rFonts w:ascii="Arial" w:hAnsi="Arial" w:cs="Arial"/>
          <w:sz w:val="22"/>
          <w:szCs w:val="22"/>
          <w:lang w:val="en-GB"/>
        </w:rPr>
        <w:t xml:space="preserve">(ADR) </w:t>
      </w:r>
      <w:r w:rsidR="00896983">
        <w:rPr>
          <w:rFonts w:ascii="Arial" w:hAnsi="Arial" w:cs="Arial"/>
          <w:sz w:val="22"/>
          <w:szCs w:val="22"/>
          <w:lang w:val="en-GB"/>
        </w:rPr>
        <w:t xml:space="preserve">mechanisms are well suited to </w:t>
      </w:r>
      <w:r w:rsidRPr="00054C98">
        <w:rPr>
          <w:rFonts w:ascii="Arial" w:hAnsi="Arial" w:cs="Arial"/>
          <w:sz w:val="22"/>
          <w:szCs w:val="22"/>
          <w:lang w:val="en-GB"/>
        </w:rPr>
        <w:t xml:space="preserve">address </w:t>
      </w:r>
      <w:r w:rsidR="0080764F">
        <w:rPr>
          <w:rFonts w:ascii="Arial" w:hAnsi="Arial" w:cs="Arial"/>
          <w:sz w:val="22"/>
          <w:szCs w:val="22"/>
          <w:lang w:val="en-GB"/>
        </w:rPr>
        <w:t>IP</w:t>
      </w:r>
      <w:r w:rsidR="00896983">
        <w:rPr>
          <w:rFonts w:ascii="Arial" w:hAnsi="Arial" w:cs="Arial"/>
          <w:sz w:val="22"/>
          <w:szCs w:val="22"/>
          <w:lang w:val="en-GB"/>
        </w:rPr>
        <w:t xml:space="preserve"> and related commercial disputes that might arise in the context of mobile applications.</w:t>
      </w:r>
      <w:r w:rsidRPr="00054C98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896983" w:rsidRDefault="00896983" w:rsidP="00054C98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D01D1A" w:rsidRDefault="00602BBB" w:rsidP="0089698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Guide </w:t>
      </w:r>
      <w:r w:rsidR="00D01D1A">
        <w:rPr>
          <w:rFonts w:ascii="Arial" w:hAnsi="Arial" w:cs="Arial"/>
          <w:sz w:val="22"/>
          <w:szCs w:val="22"/>
          <w:lang w:val="en-GB"/>
        </w:rPr>
        <w:t>comprises 11 chapters</w:t>
      </w:r>
      <w:r w:rsidR="00612F4B">
        <w:rPr>
          <w:rFonts w:ascii="Arial" w:hAnsi="Arial" w:cs="Arial"/>
          <w:sz w:val="22"/>
          <w:szCs w:val="22"/>
          <w:lang w:val="en-GB"/>
        </w:rPr>
        <w:t>,</w:t>
      </w:r>
      <w:r w:rsidR="00D01D1A">
        <w:rPr>
          <w:rFonts w:ascii="Arial" w:hAnsi="Arial" w:cs="Arial"/>
          <w:sz w:val="22"/>
          <w:szCs w:val="22"/>
          <w:lang w:val="en-GB"/>
        </w:rPr>
        <w:t xml:space="preserve"> addressing various</w:t>
      </w:r>
      <w:r w:rsidR="00732E7C">
        <w:rPr>
          <w:rFonts w:ascii="Arial" w:hAnsi="Arial" w:cs="Arial"/>
          <w:sz w:val="22"/>
          <w:szCs w:val="22"/>
          <w:lang w:val="en-GB"/>
        </w:rPr>
        <w:t xml:space="preserve"> foundational</w:t>
      </w:r>
      <w:r w:rsidR="00D01D1A">
        <w:rPr>
          <w:rFonts w:ascii="Arial" w:hAnsi="Arial" w:cs="Arial"/>
          <w:sz w:val="22"/>
          <w:szCs w:val="22"/>
          <w:lang w:val="en-GB"/>
        </w:rPr>
        <w:t xml:space="preserve"> themes relating to ADR in the mobile application (MA) context. </w:t>
      </w:r>
    </w:p>
    <w:p w:rsidR="00D01D1A" w:rsidRDefault="00D01D1A" w:rsidP="0089698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13003D" w:rsidRDefault="0013003D" w:rsidP="0089698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Part I</w:t>
      </w:r>
      <w:r w:rsidR="005753EF">
        <w:rPr>
          <w:rFonts w:ascii="Arial" w:hAnsi="Arial" w:cs="Arial"/>
          <w:sz w:val="22"/>
          <w:szCs w:val="22"/>
          <w:lang w:val="en-GB"/>
        </w:rPr>
        <w:t xml:space="preserve"> provides</w:t>
      </w:r>
      <w:r>
        <w:rPr>
          <w:rFonts w:ascii="Arial" w:hAnsi="Arial" w:cs="Arial"/>
          <w:sz w:val="22"/>
          <w:szCs w:val="22"/>
          <w:lang w:val="en-GB"/>
        </w:rPr>
        <w:t xml:space="preserve"> an overview of ADR </w:t>
      </w:r>
      <w:r w:rsidRPr="0013003D">
        <w:rPr>
          <w:rFonts w:ascii="Arial" w:hAnsi="Arial" w:cs="Arial"/>
          <w:sz w:val="22"/>
          <w:szCs w:val="22"/>
        </w:rPr>
        <w:t>options in mobile application disputes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3003D" w:rsidRDefault="0013003D" w:rsidP="00896983">
      <w:pPr>
        <w:spacing w:line="276" w:lineRule="auto"/>
        <w:rPr>
          <w:rFonts w:ascii="Arial" w:hAnsi="Arial" w:cs="Arial"/>
          <w:sz w:val="22"/>
          <w:szCs w:val="22"/>
        </w:rPr>
      </w:pPr>
    </w:p>
    <w:p w:rsidR="00896983" w:rsidRDefault="0013003D" w:rsidP="0089698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</w:t>
      </w:r>
      <w:r w:rsidR="00732E7C">
        <w:rPr>
          <w:rFonts w:ascii="Arial" w:hAnsi="Arial" w:cs="Arial"/>
          <w:sz w:val="22"/>
          <w:szCs w:val="22"/>
          <w:lang w:val="en-GB"/>
        </w:rPr>
        <w:t xml:space="preserve">eaders are </w:t>
      </w:r>
      <w:r w:rsidR="001D14C7">
        <w:rPr>
          <w:rFonts w:ascii="Arial" w:hAnsi="Arial" w:cs="Arial"/>
          <w:sz w:val="22"/>
          <w:szCs w:val="22"/>
          <w:lang w:val="en-GB"/>
        </w:rPr>
        <w:t xml:space="preserve">first </w:t>
      </w:r>
      <w:r w:rsidR="00732E7C">
        <w:rPr>
          <w:rFonts w:ascii="Arial" w:hAnsi="Arial" w:cs="Arial"/>
          <w:sz w:val="22"/>
          <w:szCs w:val="22"/>
          <w:lang w:val="en-GB"/>
        </w:rPr>
        <w:t xml:space="preserve">introduced to </w:t>
      </w:r>
      <w:r w:rsidR="00602BBB">
        <w:rPr>
          <w:rFonts w:ascii="Arial" w:hAnsi="Arial" w:cs="Arial"/>
          <w:sz w:val="22"/>
          <w:szCs w:val="22"/>
          <w:lang w:val="en-GB"/>
        </w:rPr>
        <w:t xml:space="preserve">how </w:t>
      </w:r>
      <w:r w:rsidR="007D4896">
        <w:rPr>
          <w:rFonts w:ascii="Arial" w:hAnsi="Arial" w:cs="Arial"/>
          <w:sz w:val="22"/>
          <w:szCs w:val="22"/>
          <w:lang w:val="en-GB"/>
        </w:rPr>
        <w:t>IP</w:t>
      </w:r>
      <w:r w:rsidR="00602BBB">
        <w:rPr>
          <w:rFonts w:ascii="Arial" w:hAnsi="Arial" w:cs="Arial"/>
          <w:sz w:val="22"/>
          <w:szCs w:val="22"/>
          <w:lang w:val="en-GB"/>
        </w:rPr>
        <w:t xml:space="preserve"> disputes may arise in the context of</w:t>
      </w:r>
      <w:r w:rsidR="002B44E7">
        <w:rPr>
          <w:rFonts w:ascii="Arial" w:hAnsi="Arial" w:cs="Arial"/>
          <w:sz w:val="22"/>
          <w:szCs w:val="22"/>
          <w:lang w:val="en-GB"/>
        </w:rPr>
        <w:t xml:space="preserve"> MAs</w:t>
      </w:r>
      <w:r w:rsidR="00602BBB">
        <w:rPr>
          <w:rFonts w:ascii="Arial" w:hAnsi="Arial" w:cs="Arial"/>
          <w:sz w:val="22"/>
          <w:szCs w:val="22"/>
          <w:lang w:val="en-GB"/>
        </w:rPr>
        <w:t xml:space="preserve">, </w:t>
      </w:r>
      <w:r w:rsidR="001D14C7" w:rsidRPr="00FE5367">
        <w:rPr>
          <w:rFonts w:ascii="Arial" w:hAnsi="Arial" w:cs="Arial"/>
          <w:i/>
          <w:sz w:val="22"/>
          <w:szCs w:val="22"/>
          <w:lang w:val="en-GB"/>
        </w:rPr>
        <w:t>i</w:t>
      </w:r>
      <w:r w:rsidR="007746CC" w:rsidRPr="00FE5367">
        <w:rPr>
          <w:rFonts w:ascii="Arial" w:hAnsi="Arial" w:cs="Arial"/>
          <w:i/>
          <w:sz w:val="22"/>
          <w:szCs w:val="22"/>
          <w:lang w:val="en-GB"/>
        </w:rPr>
        <w:t>.</w:t>
      </w:r>
      <w:r w:rsidR="001D14C7" w:rsidRPr="00FE5367">
        <w:rPr>
          <w:rFonts w:ascii="Arial" w:hAnsi="Arial" w:cs="Arial"/>
          <w:i/>
          <w:sz w:val="22"/>
          <w:szCs w:val="22"/>
          <w:lang w:val="en-GB"/>
        </w:rPr>
        <w:t>e</w:t>
      </w:r>
      <w:r w:rsidR="007746CC">
        <w:rPr>
          <w:rFonts w:ascii="Arial" w:hAnsi="Arial" w:cs="Arial"/>
          <w:sz w:val="22"/>
          <w:szCs w:val="22"/>
          <w:lang w:val="en-GB"/>
        </w:rPr>
        <w:t>.</w:t>
      </w:r>
      <w:r w:rsidR="001D14C7">
        <w:rPr>
          <w:rFonts w:ascii="Arial" w:hAnsi="Arial" w:cs="Arial"/>
          <w:sz w:val="22"/>
          <w:szCs w:val="22"/>
          <w:lang w:val="en-GB"/>
        </w:rPr>
        <w:t xml:space="preserve">, not </w:t>
      </w:r>
      <w:r w:rsidR="00652155">
        <w:rPr>
          <w:rFonts w:ascii="Arial" w:hAnsi="Arial" w:cs="Arial"/>
          <w:sz w:val="22"/>
          <w:szCs w:val="22"/>
          <w:lang w:val="en-GB"/>
        </w:rPr>
        <w:t xml:space="preserve">only </w:t>
      </w:r>
      <w:r w:rsidR="00896983" w:rsidRPr="00896983">
        <w:rPr>
          <w:rFonts w:ascii="Arial" w:hAnsi="Arial" w:cs="Arial"/>
          <w:sz w:val="22"/>
          <w:szCs w:val="22"/>
          <w:lang w:val="en-GB"/>
        </w:rPr>
        <w:t>in relation to the software code comprised in MAs,</w:t>
      </w:r>
      <w:r w:rsidR="00602BBB">
        <w:rPr>
          <w:rFonts w:ascii="Arial" w:hAnsi="Arial" w:cs="Arial"/>
          <w:sz w:val="22"/>
          <w:szCs w:val="22"/>
          <w:lang w:val="en-GB"/>
        </w:rPr>
        <w:t xml:space="preserve"> </w:t>
      </w:r>
      <w:r w:rsidR="00896983" w:rsidRPr="00896983">
        <w:rPr>
          <w:rFonts w:ascii="Arial" w:hAnsi="Arial" w:cs="Arial"/>
          <w:sz w:val="22"/>
          <w:szCs w:val="22"/>
          <w:lang w:val="en-GB"/>
        </w:rPr>
        <w:t>but also in the content of MAs (for example, the media elements or content that may</w:t>
      </w:r>
      <w:r w:rsidR="00652155">
        <w:rPr>
          <w:rFonts w:ascii="Arial" w:hAnsi="Arial" w:cs="Arial"/>
          <w:sz w:val="22"/>
          <w:szCs w:val="22"/>
          <w:lang w:val="en-GB"/>
        </w:rPr>
        <w:t xml:space="preserve"> </w:t>
      </w:r>
      <w:r w:rsidR="00896983" w:rsidRPr="00896983">
        <w:rPr>
          <w:rFonts w:ascii="Arial" w:hAnsi="Arial" w:cs="Arial"/>
          <w:sz w:val="22"/>
          <w:szCs w:val="22"/>
          <w:lang w:val="en-GB"/>
        </w:rPr>
        <w:t xml:space="preserve">be embodied in a MA). </w:t>
      </w:r>
      <w:r w:rsidR="007D4896">
        <w:rPr>
          <w:rFonts w:ascii="Arial" w:hAnsi="Arial" w:cs="Arial"/>
          <w:sz w:val="22"/>
          <w:szCs w:val="22"/>
          <w:lang w:val="en-GB"/>
        </w:rPr>
        <w:t xml:space="preserve"> </w:t>
      </w:r>
      <w:r w:rsidR="00896983" w:rsidRPr="00896983">
        <w:rPr>
          <w:rFonts w:ascii="Arial" w:hAnsi="Arial" w:cs="Arial"/>
          <w:sz w:val="22"/>
          <w:szCs w:val="22"/>
          <w:lang w:val="en-GB"/>
        </w:rPr>
        <w:t xml:space="preserve">As such, </w:t>
      </w:r>
      <w:r w:rsidR="00372051">
        <w:rPr>
          <w:rFonts w:ascii="Arial" w:hAnsi="Arial" w:cs="Arial"/>
          <w:sz w:val="22"/>
          <w:szCs w:val="22"/>
          <w:lang w:val="en-GB"/>
        </w:rPr>
        <w:t xml:space="preserve">software developers, MA publishers, </w:t>
      </w:r>
      <w:r w:rsidR="00D01D1A">
        <w:rPr>
          <w:rFonts w:ascii="Arial" w:hAnsi="Arial" w:cs="Arial"/>
          <w:sz w:val="22"/>
          <w:szCs w:val="22"/>
          <w:lang w:val="en-GB"/>
        </w:rPr>
        <w:t xml:space="preserve">“gig-workers”, </w:t>
      </w:r>
      <w:r w:rsidR="00896983" w:rsidRPr="00896983">
        <w:rPr>
          <w:rFonts w:ascii="Arial" w:hAnsi="Arial" w:cs="Arial"/>
          <w:sz w:val="22"/>
          <w:szCs w:val="22"/>
          <w:lang w:val="en-GB"/>
        </w:rPr>
        <w:t>artists, illustrators, musicians and</w:t>
      </w:r>
      <w:r w:rsidR="00372051">
        <w:rPr>
          <w:rFonts w:ascii="Arial" w:hAnsi="Arial" w:cs="Arial"/>
          <w:sz w:val="22"/>
          <w:szCs w:val="22"/>
          <w:lang w:val="en-GB"/>
        </w:rPr>
        <w:t xml:space="preserve"> </w:t>
      </w:r>
      <w:r w:rsidR="00896983" w:rsidRPr="00896983">
        <w:rPr>
          <w:rFonts w:ascii="Arial" w:hAnsi="Arial" w:cs="Arial"/>
          <w:sz w:val="22"/>
          <w:szCs w:val="22"/>
          <w:lang w:val="en-GB"/>
        </w:rPr>
        <w:t xml:space="preserve">writers </w:t>
      </w:r>
      <w:r w:rsidR="00372051">
        <w:rPr>
          <w:rFonts w:ascii="Arial" w:hAnsi="Arial" w:cs="Arial"/>
          <w:sz w:val="22"/>
          <w:szCs w:val="22"/>
          <w:lang w:val="en-GB"/>
        </w:rPr>
        <w:t xml:space="preserve">would all </w:t>
      </w:r>
      <w:r w:rsidR="00896983" w:rsidRPr="00896983">
        <w:rPr>
          <w:rFonts w:ascii="Arial" w:hAnsi="Arial" w:cs="Arial"/>
          <w:sz w:val="22"/>
          <w:szCs w:val="22"/>
          <w:lang w:val="en-GB"/>
        </w:rPr>
        <w:t xml:space="preserve">be </w:t>
      </w:r>
      <w:r w:rsidR="00372051">
        <w:rPr>
          <w:rFonts w:ascii="Arial" w:hAnsi="Arial" w:cs="Arial"/>
          <w:sz w:val="22"/>
          <w:szCs w:val="22"/>
          <w:lang w:val="en-GB"/>
        </w:rPr>
        <w:t xml:space="preserve">relevant stakeholders having an interest in </w:t>
      </w:r>
      <w:r w:rsidR="00896983" w:rsidRPr="00896983">
        <w:rPr>
          <w:rFonts w:ascii="Arial" w:hAnsi="Arial" w:cs="Arial"/>
          <w:sz w:val="22"/>
          <w:szCs w:val="22"/>
          <w:lang w:val="en-GB"/>
        </w:rPr>
        <w:t>ensur</w:t>
      </w:r>
      <w:r w:rsidR="00372051">
        <w:rPr>
          <w:rFonts w:ascii="Arial" w:hAnsi="Arial" w:cs="Arial"/>
          <w:sz w:val="22"/>
          <w:szCs w:val="22"/>
          <w:lang w:val="en-GB"/>
        </w:rPr>
        <w:t xml:space="preserve">ing </w:t>
      </w:r>
      <w:r w:rsidR="00896983" w:rsidRPr="00896983">
        <w:rPr>
          <w:rFonts w:ascii="Arial" w:hAnsi="Arial" w:cs="Arial"/>
          <w:sz w:val="22"/>
          <w:szCs w:val="22"/>
          <w:lang w:val="en-GB"/>
        </w:rPr>
        <w:t>that their IP rights are protected</w:t>
      </w:r>
      <w:r w:rsidR="00372051">
        <w:rPr>
          <w:rFonts w:ascii="Arial" w:hAnsi="Arial" w:cs="Arial"/>
          <w:sz w:val="22"/>
          <w:szCs w:val="22"/>
          <w:lang w:val="en-GB"/>
        </w:rPr>
        <w:t xml:space="preserve">, and consequently, </w:t>
      </w:r>
      <w:r w:rsidR="00890868">
        <w:rPr>
          <w:rFonts w:ascii="Arial" w:hAnsi="Arial" w:cs="Arial"/>
          <w:sz w:val="22"/>
          <w:szCs w:val="22"/>
          <w:lang w:val="en-GB"/>
        </w:rPr>
        <w:t xml:space="preserve">should have an awareness of ADR procedures as alternatives to traditional litigation as a means of enforcing their IP rights. </w:t>
      </w:r>
    </w:p>
    <w:p w:rsidR="001D14C7" w:rsidRDefault="001D14C7" w:rsidP="0089698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1D14C7" w:rsidRDefault="001D14C7" w:rsidP="0089698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relative </w:t>
      </w:r>
      <w:r w:rsidR="003C3160">
        <w:rPr>
          <w:rFonts w:ascii="Arial" w:hAnsi="Arial" w:cs="Arial"/>
          <w:sz w:val="22"/>
          <w:szCs w:val="22"/>
          <w:lang w:val="en-GB"/>
        </w:rPr>
        <w:t>suitability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1C3158">
        <w:rPr>
          <w:rFonts w:ascii="Arial" w:hAnsi="Arial" w:cs="Arial"/>
          <w:sz w:val="22"/>
          <w:szCs w:val="22"/>
          <w:lang w:val="en-GB"/>
        </w:rPr>
        <w:t xml:space="preserve">and advantages </w:t>
      </w:r>
      <w:r>
        <w:rPr>
          <w:rFonts w:ascii="Arial" w:hAnsi="Arial" w:cs="Arial"/>
          <w:sz w:val="22"/>
          <w:szCs w:val="22"/>
          <w:lang w:val="en-GB"/>
        </w:rPr>
        <w:t xml:space="preserve">of ADR in the context of MAs </w:t>
      </w:r>
      <w:r w:rsidR="003C3160">
        <w:rPr>
          <w:rFonts w:ascii="Arial" w:hAnsi="Arial" w:cs="Arial"/>
          <w:sz w:val="22"/>
          <w:szCs w:val="22"/>
          <w:lang w:val="en-GB"/>
        </w:rPr>
        <w:t xml:space="preserve">is </w:t>
      </w:r>
      <w:r>
        <w:rPr>
          <w:rFonts w:ascii="Arial" w:hAnsi="Arial" w:cs="Arial"/>
          <w:sz w:val="22"/>
          <w:szCs w:val="22"/>
          <w:lang w:val="en-GB"/>
        </w:rPr>
        <w:t>then discussed</w:t>
      </w:r>
      <w:r w:rsidR="007D4896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7D4896">
        <w:rPr>
          <w:rFonts w:ascii="Arial" w:hAnsi="Arial" w:cs="Arial"/>
          <w:sz w:val="22"/>
          <w:szCs w:val="22"/>
          <w:lang w:val="en-GB"/>
        </w:rPr>
        <w:t xml:space="preserve"> F</w:t>
      </w:r>
      <w:r>
        <w:rPr>
          <w:rFonts w:ascii="Arial" w:hAnsi="Arial" w:cs="Arial"/>
          <w:sz w:val="22"/>
          <w:szCs w:val="22"/>
          <w:lang w:val="en-GB"/>
        </w:rPr>
        <w:t xml:space="preserve">or example, the </w:t>
      </w:r>
      <w:r w:rsidR="00796BCD">
        <w:rPr>
          <w:rFonts w:ascii="Arial" w:hAnsi="Arial" w:cs="Arial"/>
          <w:sz w:val="22"/>
          <w:szCs w:val="22"/>
          <w:lang w:val="en-GB"/>
        </w:rPr>
        <w:t xml:space="preserve">consensual nature of ADR allowing for more flexibility in the </w:t>
      </w:r>
      <w:r w:rsidR="0039147F">
        <w:rPr>
          <w:rFonts w:ascii="Arial" w:hAnsi="Arial" w:cs="Arial"/>
          <w:sz w:val="22"/>
          <w:szCs w:val="22"/>
          <w:lang w:val="en-GB"/>
        </w:rPr>
        <w:t xml:space="preserve">procedures to be applied, </w:t>
      </w:r>
      <w:r w:rsidR="004842FB">
        <w:rPr>
          <w:rFonts w:ascii="Arial" w:hAnsi="Arial" w:cs="Arial"/>
          <w:sz w:val="22"/>
          <w:szCs w:val="22"/>
          <w:lang w:val="en-GB"/>
        </w:rPr>
        <w:t xml:space="preserve">access to neutrals with relevant expertise to address technical issues </w:t>
      </w:r>
      <w:r w:rsidR="001C3158">
        <w:rPr>
          <w:rFonts w:ascii="Arial" w:hAnsi="Arial" w:cs="Arial"/>
          <w:sz w:val="22"/>
          <w:szCs w:val="22"/>
          <w:lang w:val="en-GB"/>
        </w:rPr>
        <w:t xml:space="preserve">prevalent in MA disputes, </w:t>
      </w:r>
      <w:r w:rsidR="0039147F">
        <w:rPr>
          <w:rFonts w:ascii="Arial" w:hAnsi="Arial" w:cs="Arial"/>
          <w:sz w:val="22"/>
          <w:szCs w:val="22"/>
          <w:lang w:val="en-GB"/>
        </w:rPr>
        <w:t xml:space="preserve">greater prospects for the commercial relationship between the parties to be preserved, </w:t>
      </w:r>
      <w:r w:rsidR="00945226">
        <w:rPr>
          <w:rFonts w:ascii="Arial" w:hAnsi="Arial" w:cs="Arial"/>
          <w:sz w:val="22"/>
          <w:szCs w:val="22"/>
          <w:lang w:val="en-GB"/>
        </w:rPr>
        <w:t xml:space="preserve">and how </w:t>
      </w:r>
      <w:r>
        <w:rPr>
          <w:rFonts w:ascii="Arial" w:hAnsi="Arial" w:cs="Arial"/>
          <w:sz w:val="22"/>
          <w:szCs w:val="22"/>
          <w:lang w:val="en-GB"/>
        </w:rPr>
        <w:t xml:space="preserve">ADR </w:t>
      </w:r>
      <w:r w:rsidR="00945226">
        <w:rPr>
          <w:rFonts w:ascii="Arial" w:hAnsi="Arial" w:cs="Arial"/>
          <w:sz w:val="22"/>
          <w:szCs w:val="22"/>
          <w:lang w:val="en-GB"/>
        </w:rPr>
        <w:t xml:space="preserve">can </w:t>
      </w:r>
      <w:r>
        <w:rPr>
          <w:rFonts w:ascii="Arial" w:hAnsi="Arial" w:cs="Arial"/>
          <w:sz w:val="22"/>
          <w:szCs w:val="22"/>
          <w:lang w:val="en-GB"/>
        </w:rPr>
        <w:t xml:space="preserve">address multi-jurisdictional disputes </w:t>
      </w:r>
      <w:r w:rsidR="00C0293C">
        <w:rPr>
          <w:rFonts w:ascii="Arial" w:hAnsi="Arial" w:cs="Arial"/>
          <w:sz w:val="22"/>
          <w:szCs w:val="22"/>
          <w:lang w:val="en-GB"/>
        </w:rPr>
        <w:t>in a single proceeding</w:t>
      </w:r>
      <w:r w:rsidR="000C25B8">
        <w:rPr>
          <w:rFonts w:ascii="Arial" w:hAnsi="Arial" w:cs="Arial"/>
          <w:sz w:val="22"/>
          <w:szCs w:val="22"/>
          <w:lang w:val="en-GB"/>
        </w:rPr>
        <w:t xml:space="preserve"> and </w:t>
      </w:r>
      <w:r w:rsidR="00BF38EB">
        <w:rPr>
          <w:rFonts w:ascii="Arial" w:hAnsi="Arial" w:cs="Arial"/>
          <w:sz w:val="22"/>
          <w:szCs w:val="22"/>
          <w:lang w:val="en-GB"/>
        </w:rPr>
        <w:t xml:space="preserve">providing </w:t>
      </w:r>
      <w:r w:rsidR="000C25B8">
        <w:rPr>
          <w:rFonts w:ascii="Arial" w:hAnsi="Arial" w:cs="Arial"/>
          <w:sz w:val="22"/>
          <w:szCs w:val="22"/>
          <w:lang w:val="en-GB"/>
        </w:rPr>
        <w:t>a single outcome</w:t>
      </w:r>
      <w:r w:rsidR="00BF38EB">
        <w:rPr>
          <w:rFonts w:ascii="Arial" w:hAnsi="Arial" w:cs="Arial"/>
          <w:sz w:val="22"/>
          <w:szCs w:val="22"/>
          <w:lang w:val="en-GB"/>
        </w:rPr>
        <w:t>.</w:t>
      </w:r>
      <w:r w:rsidR="00C0293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72051" w:rsidRDefault="00372051" w:rsidP="0089698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990A7D" w:rsidRDefault="007746CC" w:rsidP="0089698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</w:t>
      </w:r>
      <w:r w:rsidR="00F96CD0">
        <w:rPr>
          <w:rFonts w:ascii="Arial" w:hAnsi="Arial" w:cs="Arial"/>
          <w:sz w:val="22"/>
          <w:szCs w:val="22"/>
          <w:lang w:val="en-GB"/>
        </w:rPr>
        <w:t>uidance is provided as to how one may decide between opting for ADR or more traditional litigation processes, taking into account factors</w:t>
      </w:r>
      <w:r w:rsidR="007D4896">
        <w:rPr>
          <w:rFonts w:ascii="Arial" w:hAnsi="Arial" w:cs="Arial"/>
          <w:sz w:val="22"/>
          <w:szCs w:val="22"/>
          <w:lang w:val="en-GB"/>
        </w:rPr>
        <w:t>,</w:t>
      </w:r>
      <w:r w:rsidR="00F96CD0">
        <w:rPr>
          <w:rFonts w:ascii="Arial" w:hAnsi="Arial" w:cs="Arial"/>
          <w:sz w:val="22"/>
          <w:szCs w:val="22"/>
          <w:lang w:val="en-GB"/>
        </w:rPr>
        <w:t xml:space="preserve"> such as whether there is a risk of multiple inconsistent outcomes in cross-border multi-theatre disputes, </w:t>
      </w:r>
      <w:r w:rsidR="006342CE">
        <w:rPr>
          <w:rFonts w:ascii="Arial" w:hAnsi="Arial" w:cs="Arial"/>
          <w:sz w:val="22"/>
          <w:szCs w:val="22"/>
          <w:lang w:val="en-GB"/>
        </w:rPr>
        <w:t>the need for access to neutrals with suitable expertise, whether there might be perceived home ground advantage to any litigants, confidentiality of the proceedings</w:t>
      </w:r>
      <w:r w:rsidR="008D41A7">
        <w:rPr>
          <w:rFonts w:ascii="Arial" w:hAnsi="Arial" w:cs="Arial"/>
          <w:sz w:val="22"/>
          <w:szCs w:val="22"/>
          <w:lang w:val="en-GB"/>
        </w:rPr>
        <w:t xml:space="preserve">, </w:t>
      </w:r>
      <w:r w:rsidR="006342CE">
        <w:rPr>
          <w:rFonts w:ascii="Arial" w:hAnsi="Arial" w:cs="Arial"/>
          <w:sz w:val="22"/>
          <w:szCs w:val="22"/>
          <w:lang w:val="en-GB"/>
        </w:rPr>
        <w:t>enforceability</w:t>
      </w:r>
      <w:r w:rsidR="00F96CD0">
        <w:rPr>
          <w:rFonts w:ascii="Arial" w:hAnsi="Arial" w:cs="Arial"/>
          <w:sz w:val="22"/>
          <w:szCs w:val="22"/>
          <w:lang w:val="en-GB"/>
        </w:rPr>
        <w:t xml:space="preserve"> </w:t>
      </w:r>
      <w:r w:rsidR="008D41A7">
        <w:rPr>
          <w:rFonts w:ascii="Arial" w:hAnsi="Arial" w:cs="Arial"/>
          <w:sz w:val="22"/>
          <w:szCs w:val="22"/>
          <w:lang w:val="en-GB"/>
        </w:rPr>
        <w:t>of the outcomes and resource investments needed.</w:t>
      </w:r>
    </w:p>
    <w:p w:rsidR="008D41A7" w:rsidRDefault="008D41A7" w:rsidP="0089698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8D41A7" w:rsidRDefault="008D41A7" w:rsidP="0089698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common ADR options of mediation and arbitration </w:t>
      </w:r>
      <w:r w:rsidR="00DF043C">
        <w:rPr>
          <w:rFonts w:ascii="Arial" w:hAnsi="Arial" w:cs="Arial"/>
          <w:sz w:val="22"/>
          <w:szCs w:val="22"/>
          <w:lang w:val="en-GB"/>
        </w:rPr>
        <w:t>are then compared and discussed, so as to inform readers as to how these options</w:t>
      </w:r>
      <w:r w:rsidR="00014A45">
        <w:rPr>
          <w:rFonts w:ascii="Arial" w:hAnsi="Arial" w:cs="Arial"/>
          <w:sz w:val="22"/>
          <w:szCs w:val="22"/>
          <w:lang w:val="en-GB"/>
        </w:rPr>
        <w:t xml:space="preserve"> differ and may be more appropriate in particular circumstances. </w:t>
      </w:r>
      <w:r w:rsidR="00DF043C">
        <w:rPr>
          <w:rFonts w:ascii="Arial" w:hAnsi="Arial" w:cs="Arial"/>
          <w:sz w:val="22"/>
          <w:szCs w:val="22"/>
          <w:lang w:val="en-GB"/>
        </w:rPr>
        <w:t xml:space="preserve"> </w:t>
      </w:r>
      <w:r w:rsidR="00014A45">
        <w:rPr>
          <w:rFonts w:ascii="Arial" w:hAnsi="Arial" w:cs="Arial"/>
          <w:sz w:val="22"/>
          <w:szCs w:val="22"/>
          <w:lang w:val="en-GB"/>
        </w:rPr>
        <w:t>Some other options</w:t>
      </w:r>
      <w:r w:rsidR="007D4896">
        <w:rPr>
          <w:rFonts w:ascii="Arial" w:hAnsi="Arial" w:cs="Arial"/>
          <w:sz w:val="22"/>
          <w:szCs w:val="22"/>
          <w:lang w:val="en-GB"/>
        </w:rPr>
        <w:t>,</w:t>
      </w:r>
      <w:r w:rsidR="00014A45">
        <w:rPr>
          <w:rFonts w:ascii="Arial" w:hAnsi="Arial" w:cs="Arial"/>
          <w:sz w:val="22"/>
          <w:szCs w:val="22"/>
          <w:lang w:val="en-GB"/>
        </w:rPr>
        <w:t xml:space="preserve"> such as mediation followed by arbitration (“med-arb”) and mediation during arbitration are also </w:t>
      </w:r>
      <w:r w:rsidR="00B21E2A">
        <w:rPr>
          <w:rFonts w:ascii="Arial" w:hAnsi="Arial" w:cs="Arial"/>
          <w:sz w:val="22"/>
          <w:szCs w:val="22"/>
          <w:lang w:val="en-GB"/>
        </w:rPr>
        <w:t>introduced.</w:t>
      </w:r>
    </w:p>
    <w:p w:rsidR="00B21E2A" w:rsidRDefault="00B21E2A" w:rsidP="0089698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B21E2A" w:rsidRDefault="00B21E2A" w:rsidP="0089698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Guide then introduces the ADR services offered by WIPO as a neutral and cost efficient option for litigants to consider</w:t>
      </w:r>
      <w:r w:rsidR="007D4896">
        <w:rPr>
          <w:rFonts w:ascii="Arial" w:hAnsi="Arial" w:cs="Arial"/>
          <w:sz w:val="22"/>
          <w:szCs w:val="22"/>
          <w:lang w:val="en-GB"/>
        </w:rPr>
        <w:t>.  It also presents</w:t>
      </w:r>
      <w:r>
        <w:rPr>
          <w:rFonts w:ascii="Arial" w:hAnsi="Arial" w:cs="Arial"/>
          <w:sz w:val="22"/>
          <w:szCs w:val="22"/>
          <w:lang w:val="en-GB"/>
        </w:rPr>
        <w:t xml:space="preserve"> the benefits of </w:t>
      </w:r>
      <w:r w:rsidR="0013003D">
        <w:rPr>
          <w:rFonts w:ascii="Arial" w:hAnsi="Arial" w:cs="Arial"/>
          <w:sz w:val="22"/>
          <w:szCs w:val="22"/>
          <w:lang w:val="en-GB"/>
        </w:rPr>
        <w:t>an ADR process being administered by a reputable institution</w:t>
      </w:r>
      <w:r w:rsidR="007D4896">
        <w:rPr>
          <w:rFonts w:ascii="Arial" w:hAnsi="Arial" w:cs="Arial"/>
          <w:sz w:val="22"/>
          <w:szCs w:val="22"/>
          <w:lang w:val="en-GB"/>
        </w:rPr>
        <w:t>,</w:t>
      </w:r>
      <w:r w:rsidR="0013003D">
        <w:rPr>
          <w:rFonts w:ascii="Arial" w:hAnsi="Arial" w:cs="Arial"/>
          <w:sz w:val="22"/>
          <w:szCs w:val="22"/>
          <w:lang w:val="en-GB"/>
        </w:rPr>
        <w:t xml:space="preserve"> such as WIPO’s Arbitration and Mediation Centre, which may include cost effectiveness, technological support, experience and expertise. </w:t>
      </w:r>
    </w:p>
    <w:p w:rsidR="00EB2CFD" w:rsidRPr="00896983" w:rsidRDefault="00EB2CFD" w:rsidP="0089698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870254" w:rsidRDefault="0013003D" w:rsidP="00DF7348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 Part II, </w:t>
      </w:r>
      <w:r w:rsidR="007746CC">
        <w:rPr>
          <w:rFonts w:ascii="Arial" w:hAnsi="Arial" w:cs="Arial"/>
          <w:sz w:val="22"/>
          <w:szCs w:val="22"/>
          <w:lang w:val="en-GB"/>
        </w:rPr>
        <w:t>the Guide provides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DF7348" w:rsidRPr="00DF7348">
        <w:rPr>
          <w:rFonts w:ascii="Arial" w:hAnsi="Arial" w:cs="Arial"/>
          <w:sz w:val="22"/>
          <w:szCs w:val="22"/>
          <w:lang w:val="en-GB"/>
        </w:rPr>
        <w:t>practical considerations</w:t>
      </w:r>
      <w:r w:rsidR="00DF7348">
        <w:rPr>
          <w:rFonts w:ascii="Arial" w:hAnsi="Arial" w:cs="Arial"/>
          <w:sz w:val="22"/>
          <w:szCs w:val="22"/>
          <w:lang w:val="en-GB"/>
        </w:rPr>
        <w:t xml:space="preserve"> </w:t>
      </w:r>
      <w:r w:rsidR="00DF7348" w:rsidRPr="00DF7348">
        <w:rPr>
          <w:rFonts w:ascii="Arial" w:hAnsi="Arial" w:cs="Arial"/>
          <w:sz w:val="22"/>
          <w:szCs w:val="22"/>
          <w:lang w:val="en-GB"/>
        </w:rPr>
        <w:t xml:space="preserve">in </w:t>
      </w:r>
      <w:r w:rsidR="00DF7348">
        <w:rPr>
          <w:rFonts w:ascii="Arial" w:hAnsi="Arial" w:cs="Arial"/>
          <w:sz w:val="22"/>
          <w:szCs w:val="22"/>
          <w:lang w:val="en-GB"/>
        </w:rPr>
        <w:t xml:space="preserve">ADR </w:t>
      </w:r>
      <w:r w:rsidR="00DF7348" w:rsidRPr="00DF7348">
        <w:rPr>
          <w:rFonts w:ascii="Arial" w:hAnsi="Arial" w:cs="Arial"/>
          <w:sz w:val="22"/>
          <w:szCs w:val="22"/>
          <w:lang w:val="en-GB"/>
        </w:rPr>
        <w:t>processes for</w:t>
      </w:r>
      <w:r w:rsidR="00DF7348">
        <w:rPr>
          <w:rFonts w:ascii="Arial" w:hAnsi="Arial" w:cs="Arial"/>
          <w:sz w:val="22"/>
          <w:szCs w:val="22"/>
          <w:lang w:val="en-GB"/>
        </w:rPr>
        <w:t xml:space="preserve"> </w:t>
      </w:r>
      <w:r w:rsidR="00DF7348" w:rsidRPr="00DF7348">
        <w:rPr>
          <w:rFonts w:ascii="Arial" w:hAnsi="Arial" w:cs="Arial"/>
          <w:sz w:val="22"/>
          <w:szCs w:val="22"/>
          <w:lang w:val="en-GB"/>
        </w:rPr>
        <w:t>mobile application disputes</w:t>
      </w:r>
      <w:r w:rsidR="00DF7348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870254" w:rsidRDefault="00870254" w:rsidP="00DF7348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EB2CFD" w:rsidRDefault="00DF7348" w:rsidP="00DF7348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Readers are introduced to what they may expect in the ADR process, </w:t>
      </w:r>
      <w:r w:rsidR="00EB0DB3">
        <w:rPr>
          <w:rFonts w:ascii="Arial" w:hAnsi="Arial" w:cs="Arial"/>
          <w:sz w:val="22"/>
          <w:szCs w:val="22"/>
          <w:lang w:val="en-GB"/>
        </w:rPr>
        <w:t xml:space="preserve">both in terms of threshold legal issues, such as the recognition of ADR outcomes </w:t>
      </w:r>
      <w:r w:rsidR="00291B83">
        <w:rPr>
          <w:rFonts w:ascii="Arial" w:hAnsi="Arial" w:cs="Arial"/>
          <w:sz w:val="22"/>
          <w:szCs w:val="22"/>
          <w:lang w:val="en-GB"/>
        </w:rPr>
        <w:t>and agreements to mediate</w:t>
      </w:r>
      <w:r w:rsidR="002C04F7">
        <w:rPr>
          <w:rFonts w:ascii="Arial" w:hAnsi="Arial" w:cs="Arial"/>
          <w:sz w:val="22"/>
          <w:szCs w:val="22"/>
          <w:lang w:val="en-GB"/>
        </w:rPr>
        <w:t> </w:t>
      </w:r>
      <w:r w:rsidR="00291B83">
        <w:rPr>
          <w:rFonts w:ascii="Arial" w:hAnsi="Arial" w:cs="Arial"/>
          <w:sz w:val="22"/>
          <w:szCs w:val="22"/>
          <w:lang w:val="en-GB"/>
        </w:rPr>
        <w:t>/</w:t>
      </w:r>
      <w:r w:rsidR="002C04F7">
        <w:rPr>
          <w:rFonts w:ascii="Arial" w:hAnsi="Arial" w:cs="Arial"/>
          <w:sz w:val="22"/>
          <w:szCs w:val="22"/>
          <w:lang w:val="en-GB"/>
        </w:rPr>
        <w:t xml:space="preserve"> </w:t>
      </w:r>
      <w:r w:rsidR="00291B83">
        <w:rPr>
          <w:rFonts w:ascii="Arial" w:hAnsi="Arial" w:cs="Arial"/>
          <w:sz w:val="22"/>
          <w:szCs w:val="22"/>
          <w:lang w:val="en-GB"/>
        </w:rPr>
        <w:t xml:space="preserve">arbitrate, and the arbitrability of the subject matter of the dispute, as well as the procedural steps that might typically be expected in mediation and arbitration proceedings. </w:t>
      </w:r>
      <w:r w:rsidR="002C04F7">
        <w:rPr>
          <w:rFonts w:ascii="Arial" w:hAnsi="Arial" w:cs="Arial"/>
          <w:sz w:val="22"/>
          <w:szCs w:val="22"/>
          <w:lang w:val="en-GB"/>
        </w:rPr>
        <w:t xml:space="preserve"> </w:t>
      </w:r>
      <w:r w:rsidR="00870254">
        <w:rPr>
          <w:rFonts w:ascii="Arial" w:hAnsi="Arial" w:cs="Arial"/>
          <w:sz w:val="22"/>
          <w:szCs w:val="22"/>
          <w:lang w:val="en-GB"/>
        </w:rPr>
        <w:t xml:space="preserve">The options for interim relief, expedited arbitration and expert determination are also discussed. </w:t>
      </w:r>
    </w:p>
    <w:p w:rsidR="00291B83" w:rsidRDefault="00291B83" w:rsidP="00DF7348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626412" w:rsidRDefault="00870254" w:rsidP="00870254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Guide then discusses </w:t>
      </w:r>
      <w:r w:rsidRPr="00870254">
        <w:rPr>
          <w:rFonts w:ascii="Arial" w:hAnsi="Arial" w:cs="Arial"/>
          <w:sz w:val="22"/>
          <w:szCs w:val="22"/>
          <w:lang w:val="en-GB"/>
        </w:rPr>
        <w:t>practical issues in international</w:t>
      </w:r>
      <w:r>
        <w:rPr>
          <w:rFonts w:ascii="Arial" w:hAnsi="Arial" w:cs="Arial"/>
          <w:sz w:val="22"/>
          <w:szCs w:val="22"/>
          <w:lang w:val="en-GB"/>
        </w:rPr>
        <w:t xml:space="preserve"> ADR </w:t>
      </w:r>
      <w:r w:rsidRPr="00870254">
        <w:rPr>
          <w:rFonts w:ascii="Arial" w:hAnsi="Arial" w:cs="Arial"/>
          <w:sz w:val="22"/>
          <w:szCs w:val="22"/>
          <w:lang w:val="en-GB"/>
        </w:rPr>
        <w:t>outcomes</w:t>
      </w:r>
      <w:r>
        <w:rPr>
          <w:rFonts w:ascii="Arial" w:hAnsi="Arial" w:cs="Arial"/>
          <w:sz w:val="22"/>
          <w:szCs w:val="22"/>
          <w:lang w:val="en-GB"/>
        </w:rPr>
        <w:t xml:space="preserve">, such as </w:t>
      </w:r>
      <w:r w:rsidR="00626412">
        <w:rPr>
          <w:rFonts w:ascii="Arial" w:hAnsi="Arial" w:cs="Arial"/>
          <w:sz w:val="22"/>
          <w:szCs w:val="22"/>
          <w:lang w:val="en-GB"/>
        </w:rPr>
        <w:t>international frameworks for the recognition</w:t>
      </w:r>
      <w:r w:rsidR="001F21B6">
        <w:rPr>
          <w:rFonts w:ascii="Arial" w:hAnsi="Arial" w:cs="Arial"/>
          <w:sz w:val="22"/>
          <w:szCs w:val="22"/>
          <w:lang w:val="en-GB"/>
        </w:rPr>
        <w:t xml:space="preserve"> </w:t>
      </w:r>
      <w:r w:rsidR="003917EA">
        <w:rPr>
          <w:rFonts w:ascii="Arial" w:hAnsi="Arial" w:cs="Arial"/>
          <w:sz w:val="22"/>
          <w:szCs w:val="22"/>
          <w:lang w:val="en-GB"/>
        </w:rPr>
        <w:t>/</w:t>
      </w:r>
      <w:r w:rsidR="001F21B6">
        <w:rPr>
          <w:rFonts w:ascii="Arial" w:hAnsi="Arial" w:cs="Arial"/>
          <w:sz w:val="22"/>
          <w:szCs w:val="22"/>
          <w:lang w:val="en-GB"/>
        </w:rPr>
        <w:t xml:space="preserve"> </w:t>
      </w:r>
      <w:r w:rsidR="003917EA">
        <w:rPr>
          <w:rFonts w:ascii="Arial" w:hAnsi="Arial" w:cs="Arial"/>
          <w:sz w:val="22"/>
          <w:szCs w:val="22"/>
          <w:lang w:val="en-GB"/>
        </w:rPr>
        <w:t>enforcement</w:t>
      </w:r>
      <w:r w:rsidR="00626412">
        <w:rPr>
          <w:rFonts w:ascii="Arial" w:hAnsi="Arial" w:cs="Arial"/>
          <w:sz w:val="22"/>
          <w:szCs w:val="22"/>
          <w:lang w:val="en-GB"/>
        </w:rPr>
        <w:t xml:space="preserve"> of mediation settlement agreements under the Singapore Convention, and the recognition</w:t>
      </w:r>
      <w:r w:rsidR="001F21B6">
        <w:rPr>
          <w:rFonts w:ascii="Arial" w:hAnsi="Arial" w:cs="Arial"/>
          <w:sz w:val="22"/>
          <w:szCs w:val="22"/>
          <w:lang w:val="en-GB"/>
        </w:rPr>
        <w:t xml:space="preserve"> </w:t>
      </w:r>
      <w:r w:rsidR="003917EA">
        <w:rPr>
          <w:rFonts w:ascii="Arial" w:hAnsi="Arial" w:cs="Arial"/>
          <w:sz w:val="22"/>
          <w:szCs w:val="22"/>
          <w:lang w:val="en-GB"/>
        </w:rPr>
        <w:t>/</w:t>
      </w:r>
      <w:r w:rsidR="001F21B6">
        <w:rPr>
          <w:rFonts w:ascii="Arial" w:hAnsi="Arial" w:cs="Arial"/>
          <w:sz w:val="22"/>
          <w:szCs w:val="22"/>
          <w:lang w:val="en-GB"/>
        </w:rPr>
        <w:t xml:space="preserve"> </w:t>
      </w:r>
      <w:r w:rsidR="003917EA">
        <w:rPr>
          <w:rFonts w:ascii="Arial" w:hAnsi="Arial" w:cs="Arial"/>
          <w:sz w:val="22"/>
          <w:szCs w:val="22"/>
          <w:lang w:val="en-GB"/>
        </w:rPr>
        <w:t>enforcement</w:t>
      </w:r>
      <w:r w:rsidR="00626412">
        <w:rPr>
          <w:rFonts w:ascii="Arial" w:hAnsi="Arial" w:cs="Arial"/>
          <w:sz w:val="22"/>
          <w:szCs w:val="22"/>
          <w:lang w:val="en-GB"/>
        </w:rPr>
        <w:t xml:space="preserve"> of arbitral awards under the New York Convention.</w:t>
      </w:r>
      <w:r w:rsidR="003917EA">
        <w:rPr>
          <w:rFonts w:ascii="Arial" w:hAnsi="Arial" w:cs="Arial"/>
          <w:sz w:val="22"/>
          <w:szCs w:val="22"/>
          <w:lang w:val="en-GB"/>
        </w:rPr>
        <w:t xml:space="preserve"> </w:t>
      </w:r>
      <w:r w:rsidR="001F21B6">
        <w:rPr>
          <w:rFonts w:ascii="Arial" w:hAnsi="Arial" w:cs="Arial"/>
          <w:sz w:val="22"/>
          <w:szCs w:val="22"/>
          <w:lang w:val="en-GB"/>
        </w:rPr>
        <w:t xml:space="preserve"> </w:t>
      </w:r>
      <w:r w:rsidR="003917EA">
        <w:rPr>
          <w:rFonts w:ascii="Arial" w:hAnsi="Arial" w:cs="Arial"/>
          <w:sz w:val="22"/>
          <w:szCs w:val="22"/>
          <w:lang w:val="en-GB"/>
        </w:rPr>
        <w:t>The common preconditions for such recognition</w:t>
      </w:r>
      <w:r w:rsidR="001F21B6">
        <w:rPr>
          <w:rFonts w:ascii="Arial" w:hAnsi="Arial" w:cs="Arial"/>
          <w:sz w:val="22"/>
          <w:szCs w:val="22"/>
          <w:lang w:val="en-GB"/>
        </w:rPr>
        <w:t xml:space="preserve"> </w:t>
      </w:r>
      <w:r w:rsidR="003917EA">
        <w:rPr>
          <w:rFonts w:ascii="Arial" w:hAnsi="Arial" w:cs="Arial"/>
          <w:sz w:val="22"/>
          <w:szCs w:val="22"/>
          <w:lang w:val="en-GB"/>
        </w:rPr>
        <w:t>/</w:t>
      </w:r>
      <w:r w:rsidR="001F21B6">
        <w:rPr>
          <w:rFonts w:ascii="Arial" w:hAnsi="Arial" w:cs="Arial"/>
          <w:sz w:val="22"/>
          <w:szCs w:val="22"/>
          <w:lang w:val="en-GB"/>
        </w:rPr>
        <w:t xml:space="preserve"> </w:t>
      </w:r>
      <w:r w:rsidR="003917EA">
        <w:rPr>
          <w:rFonts w:ascii="Arial" w:hAnsi="Arial" w:cs="Arial"/>
          <w:sz w:val="22"/>
          <w:szCs w:val="22"/>
          <w:lang w:val="en-GB"/>
        </w:rPr>
        <w:t xml:space="preserve">enforcement are also respectively discussed. </w:t>
      </w:r>
    </w:p>
    <w:p w:rsidR="003917EA" w:rsidRDefault="003917EA" w:rsidP="00870254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3917EA" w:rsidRDefault="0009341A" w:rsidP="00870254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the next chapter, other practical issues in ADR are further discussed, specifically, confidentiality in mediations and arbitrations, since this is often an area of significant concern for litigants, a</w:t>
      </w:r>
      <w:r w:rsidR="002F3EC4">
        <w:rPr>
          <w:rFonts w:ascii="Arial" w:hAnsi="Arial" w:cs="Arial"/>
          <w:sz w:val="22"/>
          <w:szCs w:val="22"/>
          <w:lang w:val="en-GB"/>
        </w:rPr>
        <w:t>s well as joinder and consolidation of actions</w:t>
      </w:r>
      <w:r w:rsidR="00D27E0E">
        <w:rPr>
          <w:rFonts w:ascii="Arial" w:hAnsi="Arial" w:cs="Arial"/>
          <w:sz w:val="22"/>
          <w:szCs w:val="22"/>
          <w:lang w:val="en-GB"/>
        </w:rPr>
        <w:t xml:space="preserve"> and </w:t>
      </w:r>
      <w:r w:rsidR="002F3EC4">
        <w:rPr>
          <w:rFonts w:ascii="Arial" w:hAnsi="Arial" w:cs="Arial"/>
          <w:sz w:val="22"/>
          <w:szCs w:val="22"/>
          <w:lang w:val="en-GB"/>
        </w:rPr>
        <w:t>limitation periods</w:t>
      </w:r>
      <w:r w:rsidR="00D27E0E">
        <w:rPr>
          <w:rFonts w:ascii="Arial" w:hAnsi="Arial" w:cs="Arial"/>
          <w:sz w:val="22"/>
          <w:szCs w:val="22"/>
          <w:lang w:val="en-GB"/>
        </w:rPr>
        <w:t>.</w:t>
      </w:r>
    </w:p>
    <w:p w:rsidR="00D27E0E" w:rsidRDefault="00D27E0E" w:rsidP="00870254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D27E0E" w:rsidRDefault="00D27E0E" w:rsidP="00D27E0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Finally, the Guide discusses </w:t>
      </w:r>
      <w:r w:rsidR="00F166FD" w:rsidRPr="00F166FD">
        <w:rPr>
          <w:rFonts w:ascii="Arial" w:hAnsi="Arial" w:cs="Arial"/>
          <w:sz w:val="22"/>
          <w:szCs w:val="22"/>
          <w:lang w:val="en-GB"/>
        </w:rPr>
        <w:t xml:space="preserve">considerations and specific issues </w:t>
      </w:r>
      <w:r w:rsidR="00F166FD">
        <w:rPr>
          <w:rFonts w:ascii="Arial" w:hAnsi="Arial" w:cs="Arial"/>
          <w:sz w:val="22"/>
          <w:szCs w:val="22"/>
          <w:lang w:val="en-GB"/>
        </w:rPr>
        <w:t xml:space="preserve">relating to the </w:t>
      </w:r>
      <w:r w:rsidRPr="00D27E0E">
        <w:rPr>
          <w:rFonts w:ascii="Arial" w:hAnsi="Arial" w:cs="Arial"/>
          <w:sz w:val="22"/>
          <w:szCs w:val="22"/>
          <w:lang w:val="en-GB"/>
        </w:rPr>
        <w:t xml:space="preserve">drafting </w:t>
      </w:r>
      <w:r>
        <w:rPr>
          <w:rFonts w:ascii="Arial" w:hAnsi="Arial" w:cs="Arial"/>
          <w:sz w:val="22"/>
          <w:szCs w:val="22"/>
          <w:lang w:val="en-GB"/>
        </w:rPr>
        <w:t xml:space="preserve">ADR </w:t>
      </w:r>
      <w:r w:rsidRPr="00D27E0E">
        <w:rPr>
          <w:rFonts w:ascii="Arial" w:hAnsi="Arial" w:cs="Arial"/>
          <w:sz w:val="22"/>
          <w:szCs w:val="22"/>
          <w:lang w:val="en-GB"/>
        </w:rPr>
        <w:t>contract clauses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D27E0E">
        <w:rPr>
          <w:rFonts w:ascii="Arial" w:hAnsi="Arial" w:cs="Arial"/>
          <w:sz w:val="22"/>
          <w:szCs w:val="22"/>
          <w:lang w:val="en-GB"/>
        </w:rPr>
        <w:t>and submission agreements</w:t>
      </w:r>
      <w:r w:rsidR="00F166FD">
        <w:rPr>
          <w:rFonts w:ascii="Arial" w:hAnsi="Arial" w:cs="Arial"/>
          <w:sz w:val="22"/>
          <w:szCs w:val="22"/>
          <w:lang w:val="en-GB"/>
        </w:rPr>
        <w:t>, highlighting key concepts</w:t>
      </w:r>
      <w:r w:rsidR="001F21B6">
        <w:rPr>
          <w:rFonts w:ascii="Arial" w:hAnsi="Arial" w:cs="Arial"/>
          <w:sz w:val="22"/>
          <w:szCs w:val="22"/>
          <w:lang w:val="en-GB"/>
        </w:rPr>
        <w:t>,</w:t>
      </w:r>
      <w:r w:rsidR="00F166FD">
        <w:rPr>
          <w:rFonts w:ascii="Arial" w:hAnsi="Arial" w:cs="Arial"/>
          <w:sz w:val="22"/>
          <w:szCs w:val="22"/>
          <w:lang w:val="en-GB"/>
        </w:rPr>
        <w:t xml:space="preserve"> such as separability of ADR agreements, and party autonomy, as well as key elements of </w:t>
      </w:r>
      <w:r w:rsidR="00CD7DFD">
        <w:rPr>
          <w:rFonts w:ascii="Arial" w:hAnsi="Arial" w:cs="Arial"/>
          <w:sz w:val="22"/>
          <w:szCs w:val="22"/>
          <w:lang w:val="en-GB"/>
        </w:rPr>
        <w:t xml:space="preserve">ADR </w:t>
      </w:r>
      <w:r w:rsidR="00F166FD">
        <w:rPr>
          <w:rFonts w:ascii="Arial" w:hAnsi="Arial" w:cs="Arial"/>
          <w:sz w:val="22"/>
          <w:szCs w:val="22"/>
          <w:lang w:val="en-GB"/>
        </w:rPr>
        <w:t xml:space="preserve">agreements to </w:t>
      </w:r>
      <w:r w:rsidR="00CD7DFD">
        <w:rPr>
          <w:rFonts w:ascii="Arial" w:hAnsi="Arial" w:cs="Arial"/>
          <w:sz w:val="22"/>
          <w:szCs w:val="22"/>
          <w:lang w:val="en-GB"/>
        </w:rPr>
        <w:t xml:space="preserve">avoid uncertainty, such as the scope of the ADR agreement, whether it should be </w:t>
      </w:r>
      <w:r w:rsidR="00CD7DFD" w:rsidRPr="00FE5367">
        <w:rPr>
          <w:rFonts w:ascii="Arial" w:hAnsi="Arial" w:cs="Arial"/>
          <w:i/>
          <w:sz w:val="22"/>
          <w:szCs w:val="22"/>
          <w:lang w:val="en-GB"/>
        </w:rPr>
        <w:t>ad hoc</w:t>
      </w:r>
      <w:r w:rsidR="00CD7DFD">
        <w:rPr>
          <w:rFonts w:ascii="Arial" w:hAnsi="Arial" w:cs="Arial"/>
          <w:sz w:val="22"/>
          <w:szCs w:val="22"/>
          <w:lang w:val="en-GB"/>
        </w:rPr>
        <w:t xml:space="preserve"> or institutional, the place or seat, applicable law, appointment of neutral(s), and finality of outcomes. </w:t>
      </w:r>
      <w:r w:rsidR="001F21B6">
        <w:rPr>
          <w:rFonts w:ascii="Arial" w:hAnsi="Arial" w:cs="Arial"/>
          <w:sz w:val="22"/>
          <w:szCs w:val="22"/>
          <w:lang w:val="en-GB"/>
        </w:rPr>
        <w:t xml:space="preserve"> The Guide discusses m</w:t>
      </w:r>
      <w:r w:rsidR="00CD7DFD">
        <w:rPr>
          <w:rFonts w:ascii="Arial" w:hAnsi="Arial" w:cs="Arial"/>
          <w:sz w:val="22"/>
          <w:szCs w:val="22"/>
          <w:lang w:val="en-GB"/>
        </w:rPr>
        <w:t>ulti-tiered ADR clauses, a</w:t>
      </w:r>
      <w:r w:rsidR="003971EC">
        <w:rPr>
          <w:rFonts w:ascii="Arial" w:hAnsi="Arial" w:cs="Arial"/>
          <w:sz w:val="22"/>
          <w:szCs w:val="22"/>
          <w:lang w:val="en-GB"/>
        </w:rPr>
        <w:t xml:space="preserve">s well as the availability of model clauses in multiple languages, and clause generator tools made available by WIPO. </w:t>
      </w:r>
    </w:p>
    <w:p w:rsidR="003971EC" w:rsidRDefault="003971EC" w:rsidP="00D27E0E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:rsidR="00D27E0E" w:rsidRDefault="00C46FE0" w:rsidP="00054C98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Guide concludes with </w:t>
      </w:r>
      <w:r w:rsidR="007C5762">
        <w:rPr>
          <w:rFonts w:ascii="Arial" w:hAnsi="Arial" w:cs="Arial"/>
          <w:sz w:val="22"/>
          <w:szCs w:val="22"/>
          <w:lang w:val="en-GB"/>
        </w:rPr>
        <w:t xml:space="preserve">how </w:t>
      </w:r>
      <w:r w:rsidRPr="00C46FE0">
        <w:rPr>
          <w:rFonts w:ascii="Arial" w:hAnsi="Arial" w:cs="Arial"/>
          <w:sz w:val="22"/>
          <w:szCs w:val="22"/>
          <w:lang w:val="en-GB"/>
        </w:rPr>
        <w:t>the use of smartphones and MAs continues to evolve in scope and</w:t>
      </w:r>
      <w:r w:rsidR="007C5762">
        <w:rPr>
          <w:rFonts w:ascii="Arial" w:hAnsi="Arial" w:cs="Arial"/>
          <w:sz w:val="22"/>
          <w:szCs w:val="22"/>
          <w:lang w:val="en-GB"/>
        </w:rPr>
        <w:t xml:space="preserve"> </w:t>
      </w:r>
      <w:r w:rsidRPr="00C46FE0">
        <w:rPr>
          <w:rFonts w:ascii="Arial" w:hAnsi="Arial" w:cs="Arial"/>
          <w:sz w:val="22"/>
          <w:szCs w:val="22"/>
          <w:lang w:val="en-GB"/>
        </w:rPr>
        <w:t>nature</w:t>
      </w:r>
      <w:r w:rsidR="004708B9">
        <w:rPr>
          <w:rFonts w:ascii="Arial" w:hAnsi="Arial" w:cs="Arial"/>
          <w:sz w:val="22"/>
          <w:szCs w:val="22"/>
          <w:lang w:val="en-GB"/>
        </w:rPr>
        <w:t>.</w:t>
      </w:r>
      <w:r w:rsidRPr="00C46FE0">
        <w:rPr>
          <w:rFonts w:ascii="Arial" w:hAnsi="Arial" w:cs="Arial"/>
          <w:sz w:val="22"/>
          <w:szCs w:val="22"/>
          <w:lang w:val="en-GB"/>
        </w:rPr>
        <w:t xml:space="preserve"> </w:t>
      </w:r>
      <w:r w:rsidR="00907116">
        <w:rPr>
          <w:rFonts w:ascii="Arial" w:hAnsi="Arial" w:cs="Arial"/>
          <w:sz w:val="22"/>
          <w:szCs w:val="22"/>
          <w:lang w:val="en-GB"/>
        </w:rPr>
        <w:t xml:space="preserve"> It highlights that t</w:t>
      </w:r>
      <w:r w:rsidR="007C5762">
        <w:rPr>
          <w:rFonts w:ascii="Arial" w:hAnsi="Arial" w:cs="Arial"/>
          <w:sz w:val="22"/>
          <w:szCs w:val="22"/>
          <w:lang w:val="en-GB"/>
        </w:rPr>
        <w:t xml:space="preserve">he </w:t>
      </w:r>
      <w:r w:rsidRPr="00C46FE0">
        <w:rPr>
          <w:rFonts w:ascii="Arial" w:hAnsi="Arial" w:cs="Arial"/>
          <w:sz w:val="22"/>
          <w:szCs w:val="22"/>
          <w:lang w:val="en-GB"/>
        </w:rPr>
        <w:t>MA sector is expected to continue to feature as one of the fastest growing sectors</w:t>
      </w:r>
      <w:r w:rsidR="00717520">
        <w:rPr>
          <w:rFonts w:ascii="Arial" w:hAnsi="Arial" w:cs="Arial"/>
          <w:sz w:val="22"/>
          <w:szCs w:val="22"/>
          <w:lang w:val="en-GB"/>
        </w:rPr>
        <w:t xml:space="preserve"> </w:t>
      </w:r>
      <w:r w:rsidRPr="00C46FE0">
        <w:rPr>
          <w:rFonts w:ascii="Arial" w:hAnsi="Arial" w:cs="Arial"/>
          <w:sz w:val="22"/>
          <w:szCs w:val="22"/>
          <w:lang w:val="en-GB"/>
        </w:rPr>
        <w:t xml:space="preserve">in the digital economy for years to come, and developing economies will </w:t>
      </w:r>
      <w:r w:rsidR="007C5762">
        <w:rPr>
          <w:rFonts w:ascii="Arial" w:hAnsi="Arial" w:cs="Arial"/>
          <w:sz w:val="22"/>
          <w:szCs w:val="22"/>
          <w:lang w:val="en-GB"/>
        </w:rPr>
        <w:t xml:space="preserve">stand to </w:t>
      </w:r>
      <w:r w:rsidRPr="00C46FE0">
        <w:rPr>
          <w:rFonts w:ascii="Arial" w:hAnsi="Arial" w:cs="Arial"/>
          <w:sz w:val="22"/>
          <w:szCs w:val="22"/>
          <w:lang w:val="en-GB"/>
        </w:rPr>
        <w:t xml:space="preserve">reap a harvest of benefits from progressive digital transformation. </w:t>
      </w:r>
      <w:r w:rsidR="004708B9">
        <w:rPr>
          <w:rFonts w:ascii="Arial" w:hAnsi="Arial" w:cs="Arial"/>
          <w:sz w:val="22"/>
          <w:szCs w:val="22"/>
          <w:lang w:val="en-GB"/>
        </w:rPr>
        <w:t xml:space="preserve"> </w:t>
      </w:r>
      <w:r w:rsidR="00717520">
        <w:rPr>
          <w:rFonts w:ascii="Arial" w:hAnsi="Arial" w:cs="Arial"/>
          <w:sz w:val="22"/>
          <w:szCs w:val="22"/>
          <w:lang w:val="en-GB"/>
        </w:rPr>
        <w:t xml:space="preserve">Correspondingly, MA disputes may </w:t>
      </w:r>
      <w:r w:rsidRPr="00C46FE0">
        <w:rPr>
          <w:rFonts w:ascii="Arial" w:hAnsi="Arial" w:cs="Arial"/>
          <w:sz w:val="22"/>
          <w:szCs w:val="22"/>
          <w:lang w:val="en-GB"/>
        </w:rPr>
        <w:t>become progressively complex and specialized,</w:t>
      </w:r>
      <w:r w:rsidR="00717520">
        <w:rPr>
          <w:rFonts w:ascii="Arial" w:hAnsi="Arial" w:cs="Arial"/>
          <w:sz w:val="22"/>
          <w:szCs w:val="22"/>
          <w:lang w:val="en-GB"/>
        </w:rPr>
        <w:t xml:space="preserve"> and hence the awareness of </w:t>
      </w:r>
      <w:r w:rsidR="0056273E">
        <w:rPr>
          <w:rFonts w:ascii="Arial" w:hAnsi="Arial" w:cs="Arial"/>
          <w:sz w:val="22"/>
          <w:szCs w:val="22"/>
          <w:lang w:val="en-GB"/>
        </w:rPr>
        <w:t>t</w:t>
      </w:r>
      <w:r w:rsidR="0056273E" w:rsidRPr="0056273E">
        <w:rPr>
          <w:rFonts w:ascii="Arial" w:hAnsi="Arial" w:cs="Arial"/>
          <w:sz w:val="22"/>
          <w:szCs w:val="22"/>
          <w:lang w:val="en-GB"/>
        </w:rPr>
        <w:t xml:space="preserve">he suitability and advantages of ADR mechanisms </w:t>
      </w:r>
      <w:r w:rsidR="0056273E">
        <w:rPr>
          <w:rFonts w:ascii="Arial" w:hAnsi="Arial" w:cs="Arial"/>
          <w:sz w:val="22"/>
          <w:szCs w:val="22"/>
          <w:lang w:val="en-GB"/>
        </w:rPr>
        <w:t xml:space="preserve">as </w:t>
      </w:r>
      <w:r w:rsidR="0056273E" w:rsidRPr="0056273E">
        <w:rPr>
          <w:rFonts w:ascii="Arial" w:hAnsi="Arial" w:cs="Arial"/>
          <w:sz w:val="22"/>
          <w:szCs w:val="22"/>
          <w:lang w:val="en-GB"/>
        </w:rPr>
        <w:t>a sophisticated, international and yet flexible alternative to court</w:t>
      </w:r>
      <w:r w:rsidR="0056273E">
        <w:rPr>
          <w:rFonts w:ascii="Arial" w:hAnsi="Arial" w:cs="Arial"/>
          <w:sz w:val="22"/>
          <w:szCs w:val="22"/>
          <w:lang w:val="en-GB"/>
        </w:rPr>
        <w:t xml:space="preserve"> </w:t>
      </w:r>
      <w:r w:rsidR="0056273E" w:rsidRPr="0056273E">
        <w:rPr>
          <w:rFonts w:ascii="Arial" w:hAnsi="Arial" w:cs="Arial"/>
          <w:sz w:val="22"/>
          <w:szCs w:val="22"/>
          <w:lang w:val="en-GB"/>
        </w:rPr>
        <w:t>based litigation</w:t>
      </w:r>
      <w:r w:rsidR="0056273E">
        <w:rPr>
          <w:rFonts w:ascii="Arial" w:hAnsi="Arial" w:cs="Arial"/>
          <w:sz w:val="22"/>
          <w:szCs w:val="22"/>
          <w:lang w:val="en-GB"/>
        </w:rPr>
        <w:t xml:space="preserve"> </w:t>
      </w:r>
      <w:r w:rsidR="0056273E" w:rsidRPr="0056273E">
        <w:rPr>
          <w:rFonts w:ascii="Arial" w:hAnsi="Arial" w:cs="Arial"/>
          <w:sz w:val="22"/>
          <w:szCs w:val="22"/>
          <w:lang w:val="en-GB"/>
        </w:rPr>
        <w:t>will be valuable</w:t>
      </w:r>
      <w:r w:rsidR="0056273E">
        <w:rPr>
          <w:rFonts w:ascii="Arial" w:hAnsi="Arial" w:cs="Arial"/>
          <w:sz w:val="22"/>
          <w:szCs w:val="22"/>
          <w:lang w:val="en-GB"/>
        </w:rPr>
        <w:t>.</w:t>
      </w:r>
    </w:p>
    <w:p w:rsidR="00BC383D" w:rsidRDefault="00BC383D" w:rsidP="00BC383D">
      <w:pPr>
        <w:spacing w:line="360" w:lineRule="auto"/>
        <w:ind w:left="5533"/>
        <w:jc w:val="both"/>
        <w:rPr>
          <w:rFonts w:ascii="Arial" w:hAnsi="Arial" w:cs="Arial"/>
          <w:sz w:val="22"/>
          <w:szCs w:val="22"/>
          <w:lang w:val="en-GB"/>
        </w:rPr>
      </w:pPr>
    </w:p>
    <w:p w:rsidR="000F5E56" w:rsidRPr="0095368D" w:rsidRDefault="004006B6" w:rsidP="00BC383D">
      <w:pPr>
        <w:spacing w:line="360" w:lineRule="auto"/>
        <w:ind w:left="5533"/>
        <w:jc w:val="both"/>
        <w:rPr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[End of Annex and of document]</w:t>
      </w:r>
    </w:p>
    <w:sectPr w:rsidR="000F5E56" w:rsidRPr="0095368D" w:rsidSect="007F154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0" w:right="137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BC" w:rsidRDefault="00DF39BC" w:rsidP="003C710A">
      <w:r>
        <w:separator/>
      </w:r>
    </w:p>
  </w:endnote>
  <w:endnote w:type="continuationSeparator" w:id="0">
    <w:p w:rsidR="00DF39BC" w:rsidRDefault="00DF39BC" w:rsidP="003C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10A" w:rsidRDefault="003C710A" w:rsidP="003C710A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65" w:rsidRDefault="00B24465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80" w:rsidRDefault="009145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10A" w:rsidRDefault="003C710A" w:rsidP="003C710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65" w:rsidRDefault="00B244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65" w:rsidRDefault="00B24465" w:rsidP="008C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BC" w:rsidRDefault="00DF39BC" w:rsidP="003C710A">
      <w:r>
        <w:separator/>
      </w:r>
    </w:p>
  </w:footnote>
  <w:footnote w:type="continuationSeparator" w:id="0">
    <w:p w:rsidR="00DF39BC" w:rsidRDefault="00DF39BC" w:rsidP="003C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10A" w:rsidRPr="00262966" w:rsidRDefault="003C710A" w:rsidP="003C710A">
    <w:pPr>
      <w:tabs>
        <w:tab w:val="center" w:pos="4536"/>
        <w:tab w:val="right" w:pos="9072"/>
      </w:tabs>
      <w:jc w:val="right"/>
    </w:pPr>
    <w:r w:rsidRPr="00262966">
      <w:t>CDIP/20/</w:t>
    </w:r>
    <w:r w:rsidRPr="00262966">
      <w:rPr>
        <w:highlight w:val="yellow"/>
      </w:rPr>
      <w:t>X</w:t>
    </w:r>
  </w:p>
  <w:p w:rsidR="003C710A" w:rsidRDefault="003C710A" w:rsidP="003C710A">
    <w:pPr>
      <w:tabs>
        <w:tab w:val="center" w:pos="4536"/>
        <w:tab w:val="right" w:pos="9072"/>
      </w:tabs>
      <w:jc w:val="right"/>
    </w:pPr>
    <w:r>
      <w:t>Annex</w:t>
    </w:r>
    <w:r w:rsidRPr="00262966">
      <w:t xml:space="preserve">, page </w:t>
    </w:r>
    <w:r w:rsidRPr="00262966">
      <w:fldChar w:fldCharType="begin"/>
    </w:r>
    <w:r w:rsidRPr="00262966">
      <w:instrText xml:space="preserve"> PAGE   \* MERGEFORMAT </w:instrText>
    </w:r>
    <w:r w:rsidRPr="00262966">
      <w:fldChar w:fldCharType="separate"/>
    </w:r>
    <w:r w:rsidR="007746CC">
      <w:rPr>
        <w:noProof/>
      </w:rPr>
      <w:t>2</w:t>
    </w:r>
    <w:r w:rsidRPr="0026296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65" w:rsidRPr="00262966" w:rsidRDefault="00B24465" w:rsidP="008C3E9C">
    <w:pPr>
      <w:tabs>
        <w:tab w:val="center" w:pos="4536"/>
        <w:tab w:val="right" w:pos="9072"/>
      </w:tabs>
      <w:jc w:val="right"/>
    </w:pPr>
    <w:r w:rsidRPr="00262966">
      <w:t>CDIP/20/</w:t>
    </w:r>
    <w:r w:rsidRPr="00262966">
      <w:rPr>
        <w:highlight w:val="yellow"/>
      </w:rPr>
      <w:t>X</w:t>
    </w:r>
  </w:p>
  <w:p w:rsidR="00B24465" w:rsidRDefault="00B24465" w:rsidP="008C3E9C">
    <w:pPr>
      <w:tabs>
        <w:tab w:val="center" w:pos="4536"/>
        <w:tab w:val="right" w:pos="9072"/>
      </w:tabs>
      <w:jc w:val="right"/>
    </w:pPr>
    <w:r>
      <w:t>Annex</w:t>
    </w:r>
    <w:r w:rsidRPr="00262966">
      <w:t xml:space="preserve">, page </w:t>
    </w:r>
    <w:r w:rsidRPr="00262966">
      <w:fldChar w:fldCharType="begin"/>
    </w:r>
    <w:r w:rsidRPr="00262966">
      <w:instrText xml:space="preserve"> PAGE   \* MERGEFORMAT </w:instrText>
    </w:r>
    <w:r w:rsidRPr="00262966">
      <w:fldChar w:fldCharType="separate"/>
    </w:r>
    <w:r w:rsidR="006913B2">
      <w:rPr>
        <w:noProof/>
      </w:rPr>
      <w:t>4</w:t>
    </w:r>
    <w:r w:rsidRPr="00262966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80" w:rsidRDefault="009145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10A" w:rsidRPr="003C710A" w:rsidRDefault="003C710A" w:rsidP="003C710A">
    <w:pPr>
      <w:pStyle w:val="Header"/>
      <w:jc w:val="right"/>
      <w:rPr>
        <w:rFonts w:ascii="Arial" w:hAnsi="Arial" w:cs="Arial"/>
      </w:rPr>
    </w:pPr>
    <w:r w:rsidRPr="003C710A">
      <w:rPr>
        <w:rFonts w:ascii="Arial" w:hAnsi="Arial" w:cs="Arial"/>
      </w:rPr>
      <w:t>C</w:t>
    </w:r>
    <w:r w:rsidR="008D11CA">
      <w:rPr>
        <w:rFonts w:ascii="Arial" w:hAnsi="Arial" w:cs="Arial"/>
      </w:rPr>
      <w:t>DIP/24/INF/5</w:t>
    </w:r>
  </w:p>
  <w:p w:rsidR="003C710A" w:rsidRDefault="003F6146" w:rsidP="003C710A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Annex, page 3</w:t>
    </w:r>
  </w:p>
  <w:p w:rsidR="003F6146" w:rsidRPr="003C710A" w:rsidRDefault="003F6146" w:rsidP="003C710A">
    <w:pPr>
      <w:pStyle w:val="Header"/>
      <w:jc w:val="right"/>
      <w:rPr>
        <w:rFonts w:ascii="Arial" w:hAnsi="Arial" w:cs="Arial"/>
      </w:rPr>
    </w:pPr>
  </w:p>
  <w:p w:rsidR="003C710A" w:rsidRDefault="003C710A" w:rsidP="003C710A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10A" w:rsidRPr="00090EA9" w:rsidRDefault="003C710A" w:rsidP="003C710A">
    <w:pPr>
      <w:pStyle w:val="Header"/>
      <w:jc w:val="right"/>
      <w:rPr>
        <w:rFonts w:ascii="Arial" w:hAnsi="Arial" w:cs="Arial"/>
        <w:sz w:val="22"/>
        <w:szCs w:val="22"/>
      </w:rPr>
    </w:pPr>
    <w:r w:rsidRPr="00090EA9">
      <w:rPr>
        <w:rFonts w:ascii="Arial" w:hAnsi="Arial" w:cs="Arial"/>
        <w:sz w:val="22"/>
        <w:szCs w:val="22"/>
      </w:rPr>
      <w:t>C</w:t>
    </w:r>
    <w:r w:rsidR="003B37EB">
      <w:rPr>
        <w:rFonts w:ascii="Arial" w:hAnsi="Arial" w:cs="Arial"/>
        <w:sz w:val="22"/>
        <w:szCs w:val="22"/>
      </w:rPr>
      <w:t>DIP/2</w:t>
    </w:r>
    <w:r w:rsidR="00B52E22">
      <w:rPr>
        <w:rFonts w:ascii="Arial" w:hAnsi="Arial" w:cs="Arial"/>
        <w:sz w:val="22"/>
        <w:szCs w:val="22"/>
      </w:rPr>
      <w:t>8</w:t>
    </w:r>
    <w:r w:rsidR="003B37EB">
      <w:rPr>
        <w:rFonts w:ascii="Arial" w:hAnsi="Arial" w:cs="Arial"/>
        <w:sz w:val="22"/>
        <w:szCs w:val="22"/>
      </w:rPr>
      <w:t>/INF/</w:t>
    </w:r>
    <w:r w:rsidR="00B52E22">
      <w:rPr>
        <w:rFonts w:ascii="Arial" w:hAnsi="Arial" w:cs="Arial"/>
        <w:sz w:val="22"/>
        <w:szCs w:val="22"/>
      </w:rPr>
      <w:t>7</w:t>
    </w:r>
  </w:p>
  <w:p w:rsidR="003C710A" w:rsidRPr="00090EA9" w:rsidRDefault="003C710A" w:rsidP="003C710A">
    <w:pPr>
      <w:pStyle w:val="Header"/>
      <w:jc w:val="right"/>
      <w:rPr>
        <w:rFonts w:ascii="Arial" w:hAnsi="Arial" w:cs="Arial"/>
        <w:sz w:val="22"/>
        <w:szCs w:val="22"/>
      </w:rPr>
    </w:pPr>
    <w:r w:rsidRPr="00090EA9">
      <w:rPr>
        <w:rFonts w:ascii="Arial" w:hAnsi="Arial" w:cs="Arial"/>
        <w:sz w:val="22"/>
        <w:szCs w:val="22"/>
      </w:rPr>
      <w:t>Annex, page 2</w:t>
    </w:r>
  </w:p>
  <w:p w:rsidR="008B203D" w:rsidRPr="003C710A" w:rsidRDefault="008B203D" w:rsidP="003C710A">
    <w:pPr>
      <w:pStyle w:val="Header"/>
      <w:jc w:val="right"/>
      <w:rPr>
        <w:rFonts w:ascii="Arial" w:hAnsi="Arial" w:cs="Arial"/>
      </w:rPr>
    </w:pPr>
  </w:p>
  <w:p w:rsidR="00B24465" w:rsidRDefault="00B24465" w:rsidP="003C710A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65" w:rsidRPr="00090EA9" w:rsidRDefault="003C710A" w:rsidP="003C710A">
    <w:pPr>
      <w:pStyle w:val="Header"/>
      <w:jc w:val="right"/>
      <w:rPr>
        <w:rFonts w:ascii="Arial" w:hAnsi="Arial" w:cs="Arial"/>
        <w:sz w:val="22"/>
        <w:szCs w:val="22"/>
      </w:rPr>
    </w:pPr>
    <w:r w:rsidRPr="00090EA9">
      <w:rPr>
        <w:rFonts w:ascii="Arial" w:hAnsi="Arial" w:cs="Arial"/>
        <w:sz w:val="22"/>
        <w:szCs w:val="22"/>
      </w:rPr>
      <w:t>C</w:t>
    </w:r>
    <w:r w:rsidR="003B37EB">
      <w:rPr>
        <w:rFonts w:ascii="Arial" w:hAnsi="Arial" w:cs="Arial"/>
        <w:sz w:val="22"/>
        <w:szCs w:val="22"/>
      </w:rPr>
      <w:t>DIP/2</w:t>
    </w:r>
    <w:r w:rsidR="00C95D09">
      <w:rPr>
        <w:rFonts w:ascii="Arial" w:hAnsi="Arial" w:cs="Arial"/>
        <w:sz w:val="22"/>
        <w:szCs w:val="22"/>
      </w:rPr>
      <w:t>8</w:t>
    </w:r>
    <w:r w:rsidR="003B37EB">
      <w:rPr>
        <w:rFonts w:ascii="Arial" w:hAnsi="Arial" w:cs="Arial"/>
        <w:sz w:val="22"/>
        <w:szCs w:val="22"/>
      </w:rPr>
      <w:t>/INF/</w:t>
    </w:r>
    <w:r w:rsidR="00C95D09">
      <w:rPr>
        <w:rFonts w:ascii="Arial" w:hAnsi="Arial" w:cs="Arial"/>
        <w:sz w:val="22"/>
        <w:szCs w:val="22"/>
      </w:rPr>
      <w:t>7</w:t>
    </w:r>
  </w:p>
  <w:p w:rsidR="003C710A" w:rsidRPr="00090EA9" w:rsidRDefault="003C710A" w:rsidP="003C710A">
    <w:pPr>
      <w:pStyle w:val="Header"/>
      <w:jc w:val="right"/>
      <w:rPr>
        <w:rFonts w:ascii="Arial" w:hAnsi="Arial" w:cs="Arial"/>
        <w:sz w:val="22"/>
        <w:szCs w:val="22"/>
      </w:rPr>
    </w:pPr>
    <w:r w:rsidRPr="00090EA9">
      <w:rPr>
        <w:rFonts w:ascii="Arial" w:hAnsi="Arial" w:cs="Arial"/>
        <w:sz w:val="22"/>
        <w:szCs w:val="22"/>
      </w:rPr>
      <w:t>ANNEX</w:t>
    </w:r>
  </w:p>
  <w:p w:rsidR="008B203D" w:rsidRDefault="008B203D" w:rsidP="003C710A">
    <w:pPr>
      <w:pStyle w:val="Header"/>
      <w:jc w:val="right"/>
      <w:rPr>
        <w:rFonts w:ascii="Arial" w:hAnsi="Arial" w:cs="Arial"/>
      </w:rPr>
    </w:pPr>
  </w:p>
  <w:p w:rsidR="008B203D" w:rsidRPr="003C710A" w:rsidRDefault="008B203D" w:rsidP="003C710A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16E0E93"/>
    <w:multiLevelType w:val="hybridMultilevel"/>
    <w:tmpl w:val="2AE4D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6D1310C"/>
    <w:multiLevelType w:val="hybridMultilevel"/>
    <w:tmpl w:val="5F2C9218"/>
    <w:lvl w:ilvl="0" w:tplc="D26AD96A">
      <w:start w:val="2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F7A78F0"/>
    <w:multiLevelType w:val="hybridMultilevel"/>
    <w:tmpl w:val="3988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AE4E61"/>
    <w:multiLevelType w:val="hybridMultilevel"/>
    <w:tmpl w:val="47F8755C"/>
    <w:lvl w:ilvl="0" w:tplc="BAC806D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9C"/>
    <w:rsid w:val="00014A45"/>
    <w:rsid w:val="00054C98"/>
    <w:rsid w:val="00067297"/>
    <w:rsid w:val="000726E8"/>
    <w:rsid w:val="00090EA9"/>
    <w:rsid w:val="0009341A"/>
    <w:rsid w:val="000A22A4"/>
    <w:rsid w:val="000A756A"/>
    <w:rsid w:val="000B6421"/>
    <w:rsid w:val="000C25B8"/>
    <w:rsid w:val="000D41E1"/>
    <w:rsid w:val="000F5E56"/>
    <w:rsid w:val="001249E3"/>
    <w:rsid w:val="0013003D"/>
    <w:rsid w:val="00145725"/>
    <w:rsid w:val="0015082B"/>
    <w:rsid w:val="00181072"/>
    <w:rsid w:val="00182BDC"/>
    <w:rsid w:val="00196C1D"/>
    <w:rsid w:val="001C3158"/>
    <w:rsid w:val="001D0353"/>
    <w:rsid w:val="001D0520"/>
    <w:rsid w:val="001D14C7"/>
    <w:rsid w:val="001F21B6"/>
    <w:rsid w:val="001F5760"/>
    <w:rsid w:val="002846F6"/>
    <w:rsid w:val="00291B83"/>
    <w:rsid w:val="00293942"/>
    <w:rsid w:val="002A02D6"/>
    <w:rsid w:val="002B052E"/>
    <w:rsid w:val="002B44E7"/>
    <w:rsid w:val="002C04F7"/>
    <w:rsid w:val="002F3EC4"/>
    <w:rsid w:val="002F5E2F"/>
    <w:rsid w:val="003216A8"/>
    <w:rsid w:val="0032790A"/>
    <w:rsid w:val="003414BA"/>
    <w:rsid w:val="00356914"/>
    <w:rsid w:val="00372051"/>
    <w:rsid w:val="0039147F"/>
    <w:rsid w:val="003917EA"/>
    <w:rsid w:val="003971EC"/>
    <w:rsid w:val="003B37EB"/>
    <w:rsid w:val="003C3160"/>
    <w:rsid w:val="003C710A"/>
    <w:rsid w:val="003E6531"/>
    <w:rsid w:val="003F6146"/>
    <w:rsid w:val="0040023D"/>
    <w:rsid w:val="004006B6"/>
    <w:rsid w:val="00424779"/>
    <w:rsid w:val="004270B1"/>
    <w:rsid w:val="00427CF8"/>
    <w:rsid w:val="00431118"/>
    <w:rsid w:val="00445085"/>
    <w:rsid w:val="004708B9"/>
    <w:rsid w:val="004842FB"/>
    <w:rsid w:val="00490560"/>
    <w:rsid w:val="004A4741"/>
    <w:rsid w:val="004C27D6"/>
    <w:rsid w:val="004F6155"/>
    <w:rsid w:val="005015DD"/>
    <w:rsid w:val="005061E0"/>
    <w:rsid w:val="0056273E"/>
    <w:rsid w:val="00564140"/>
    <w:rsid w:val="00566992"/>
    <w:rsid w:val="005753EF"/>
    <w:rsid w:val="005D2ECA"/>
    <w:rsid w:val="00602BBB"/>
    <w:rsid w:val="00612F4B"/>
    <w:rsid w:val="00626412"/>
    <w:rsid w:val="006342CE"/>
    <w:rsid w:val="00652155"/>
    <w:rsid w:val="00656F37"/>
    <w:rsid w:val="006634B6"/>
    <w:rsid w:val="006828DD"/>
    <w:rsid w:val="00684D90"/>
    <w:rsid w:val="006913B2"/>
    <w:rsid w:val="00696927"/>
    <w:rsid w:val="006E30A9"/>
    <w:rsid w:val="00717520"/>
    <w:rsid w:val="00732E7C"/>
    <w:rsid w:val="00751BC3"/>
    <w:rsid w:val="007746CC"/>
    <w:rsid w:val="00780FE2"/>
    <w:rsid w:val="00794245"/>
    <w:rsid w:val="00796BCD"/>
    <w:rsid w:val="007B240C"/>
    <w:rsid w:val="007C5762"/>
    <w:rsid w:val="007D4896"/>
    <w:rsid w:val="007D53C7"/>
    <w:rsid w:val="007E4052"/>
    <w:rsid w:val="007E47F1"/>
    <w:rsid w:val="007F1540"/>
    <w:rsid w:val="00804DB7"/>
    <w:rsid w:val="0080764F"/>
    <w:rsid w:val="008349A5"/>
    <w:rsid w:val="008477E4"/>
    <w:rsid w:val="00864399"/>
    <w:rsid w:val="00870254"/>
    <w:rsid w:val="00886145"/>
    <w:rsid w:val="00890868"/>
    <w:rsid w:val="008934A5"/>
    <w:rsid w:val="00896983"/>
    <w:rsid w:val="008A3A97"/>
    <w:rsid w:val="008B203D"/>
    <w:rsid w:val="008C3E9C"/>
    <w:rsid w:val="008D11CA"/>
    <w:rsid w:val="008D41A7"/>
    <w:rsid w:val="008D4E4F"/>
    <w:rsid w:val="00907116"/>
    <w:rsid w:val="00914580"/>
    <w:rsid w:val="009149F1"/>
    <w:rsid w:val="0093773E"/>
    <w:rsid w:val="00940663"/>
    <w:rsid w:val="009434F6"/>
    <w:rsid w:val="00945226"/>
    <w:rsid w:val="0095368D"/>
    <w:rsid w:val="00960E8F"/>
    <w:rsid w:val="00990A7D"/>
    <w:rsid w:val="009B78A2"/>
    <w:rsid w:val="00A45635"/>
    <w:rsid w:val="00A73CED"/>
    <w:rsid w:val="00A8030A"/>
    <w:rsid w:val="00A93B92"/>
    <w:rsid w:val="00AA6DBE"/>
    <w:rsid w:val="00AC1CAF"/>
    <w:rsid w:val="00AD2089"/>
    <w:rsid w:val="00AE38BE"/>
    <w:rsid w:val="00B028E2"/>
    <w:rsid w:val="00B20ED1"/>
    <w:rsid w:val="00B21E2A"/>
    <w:rsid w:val="00B24465"/>
    <w:rsid w:val="00B45747"/>
    <w:rsid w:val="00B52E22"/>
    <w:rsid w:val="00B559FB"/>
    <w:rsid w:val="00B826AF"/>
    <w:rsid w:val="00BC383D"/>
    <w:rsid w:val="00BE1804"/>
    <w:rsid w:val="00BF38EB"/>
    <w:rsid w:val="00C0293C"/>
    <w:rsid w:val="00C21884"/>
    <w:rsid w:val="00C46FE0"/>
    <w:rsid w:val="00C554EC"/>
    <w:rsid w:val="00C56D95"/>
    <w:rsid w:val="00C80664"/>
    <w:rsid w:val="00C86DDA"/>
    <w:rsid w:val="00C95D09"/>
    <w:rsid w:val="00CC4246"/>
    <w:rsid w:val="00CD7DFD"/>
    <w:rsid w:val="00D01D1A"/>
    <w:rsid w:val="00D2265A"/>
    <w:rsid w:val="00D27E0E"/>
    <w:rsid w:val="00D319F8"/>
    <w:rsid w:val="00D81625"/>
    <w:rsid w:val="00D917F7"/>
    <w:rsid w:val="00DF043C"/>
    <w:rsid w:val="00DF39BC"/>
    <w:rsid w:val="00DF7348"/>
    <w:rsid w:val="00E24DBF"/>
    <w:rsid w:val="00E335AF"/>
    <w:rsid w:val="00EB0DB3"/>
    <w:rsid w:val="00EB2CFD"/>
    <w:rsid w:val="00F06463"/>
    <w:rsid w:val="00F166FD"/>
    <w:rsid w:val="00F24A02"/>
    <w:rsid w:val="00F72DAD"/>
    <w:rsid w:val="00F96CD0"/>
    <w:rsid w:val="00FA169F"/>
    <w:rsid w:val="00FE5367"/>
    <w:rsid w:val="00FF1204"/>
    <w:rsid w:val="00FF42F9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1F1DE2B"/>
  <w15:chartTrackingRefBased/>
  <w15:docId w15:val="{608C4431-5130-492E-8E0F-6FFE9AA0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9C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8C3E9C"/>
    <w:pPr>
      <w:widowControl w:val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C3E9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C3E9C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C3E9C"/>
    <w:rPr>
      <w:rFonts w:ascii="Arial" w:hAnsi="Arial" w:cs="Arial"/>
      <w:sz w:val="22"/>
    </w:rPr>
  </w:style>
  <w:style w:type="character" w:styleId="Hyperlink">
    <w:name w:val="Hyperlink"/>
    <w:basedOn w:val="DefaultParagraphFont"/>
    <w:unhideWhenUsed/>
    <w:rsid w:val="004006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6B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40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40663"/>
    <w:rPr>
      <w:rFonts w:ascii="Segoe UI" w:eastAsiaTheme="minorHAns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95368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64CE-8D52-4966-8A18-BE687963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974</Words>
  <Characters>5485</Characters>
  <Application>Microsoft Office Word</Application>
  <DocSecurity>0</DocSecurity>
  <Lines>129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HUBBARD HERRAN Walter</dc:creator>
  <cp:keywords>FOR OFFICIAL USE ONLY</cp:keywords>
  <dc:description/>
  <cp:lastModifiedBy>ESTEVES DOS SANTOS Anabela</cp:lastModifiedBy>
  <cp:revision>46</cp:revision>
  <cp:lastPrinted>2019-10-25T08:52:00Z</cp:lastPrinted>
  <dcterms:created xsi:type="dcterms:W3CDTF">2022-04-29T14:19:00Z</dcterms:created>
  <dcterms:modified xsi:type="dcterms:W3CDTF">2022-05-02T10:52:00Z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b484e1db-1e8a-490e-80cc-32fc162d8c6f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