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2DF" w:rsidRPr="00D57747" w:rsidRDefault="001902DF" w:rsidP="001902DF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 w:rsidRPr="00D57747">
        <w:rPr>
          <w:noProof/>
          <w:sz w:val="28"/>
          <w:szCs w:val="28"/>
          <w:lang w:eastAsia="en-US"/>
        </w:rPr>
        <w:drawing>
          <wp:inline distT="0" distB="0" distL="0" distR="0" wp14:anchorId="75204014" wp14:editId="714727F0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2DF" w:rsidRPr="00D57747" w:rsidRDefault="001902DF" w:rsidP="001902DF">
      <w:pPr>
        <w:jc w:val="right"/>
        <w:rPr>
          <w:rFonts w:ascii="Arial Black" w:hAnsi="Arial Black"/>
          <w:caps/>
          <w:sz w:val="15"/>
          <w:szCs w:val="15"/>
        </w:rPr>
      </w:pPr>
      <w:r w:rsidRPr="00D57747">
        <w:rPr>
          <w:rFonts w:ascii="Arial Black" w:hAnsi="Arial Black"/>
          <w:caps/>
          <w:sz w:val="15"/>
        </w:rPr>
        <w:t>CDIP/28/</w:t>
      </w:r>
      <w:bookmarkStart w:id="0" w:name="Code"/>
      <w:bookmarkEnd w:id="0"/>
      <w:r w:rsidR="00FD53E3" w:rsidRPr="00B84DA8">
        <w:rPr>
          <w:rFonts w:ascii="Arial Black" w:hAnsi="Arial Black"/>
          <w:caps/>
          <w:sz w:val="15"/>
        </w:rPr>
        <w:t>5</w:t>
      </w:r>
    </w:p>
    <w:p w:rsidR="001902DF" w:rsidRPr="00D57747" w:rsidRDefault="001902DF" w:rsidP="001902DF">
      <w:pPr>
        <w:jc w:val="right"/>
        <w:rPr>
          <w:rFonts w:ascii="Arial Black" w:hAnsi="Arial Black"/>
          <w:caps/>
          <w:sz w:val="15"/>
          <w:szCs w:val="15"/>
        </w:rPr>
      </w:pPr>
      <w:r w:rsidRPr="00D57747">
        <w:rPr>
          <w:rFonts w:ascii="Arial Black" w:hAnsi="Arial Black"/>
          <w:caps/>
          <w:sz w:val="15"/>
          <w:szCs w:val="15"/>
        </w:rPr>
        <w:t>ORIGINAL:</w:t>
      </w:r>
      <w:bookmarkStart w:id="1" w:name="Original"/>
      <w:r w:rsidRPr="00D57747">
        <w:rPr>
          <w:rFonts w:ascii="Arial Black" w:hAnsi="Arial Black"/>
          <w:caps/>
          <w:sz w:val="15"/>
          <w:szCs w:val="15"/>
        </w:rPr>
        <w:t xml:space="preserve"> ENGLISH</w:t>
      </w:r>
    </w:p>
    <w:bookmarkEnd w:id="1"/>
    <w:p w:rsidR="001902DF" w:rsidRPr="00D57747" w:rsidRDefault="001902DF" w:rsidP="001902DF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D57747">
        <w:rPr>
          <w:rFonts w:ascii="Arial Black" w:hAnsi="Arial Black"/>
          <w:caps/>
          <w:sz w:val="15"/>
          <w:szCs w:val="15"/>
        </w:rPr>
        <w:t>DATE:</w:t>
      </w:r>
      <w:bookmarkStart w:id="2" w:name="Date"/>
      <w:r w:rsidR="00773AF4" w:rsidRPr="00D57747">
        <w:rPr>
          <w:rFonts w:ascii="Arial Black" w:hAnsi="Arial Black"/>
          <w:caps/>
          <w:sz w:val="15"/>
          <w:szCs w:val="15"/>
        </w:rPr>
        <w:t xml:space="preserve"> </w:t>
      </w:r>
      <w:r w:rsidR="00AC323D">
        <w:rPr>
          <w:rFonts w:ascii="Arial Black" w:hAnsi="Arial Black"/>
          <w:caps/>
          <w:sz w:val="15"/>
          <w:szCs w:val="15"/>
        </w:rPr>
        <w:t>APRIL 5</w:t>
      </w:r>
      <w:r w:rsidRPr="00D57747">
        <w:rPr>
          <w:rFonts w:ascii="Arial Black" w:hAnsi="Arial Black"/>
          <w:caps/>
          <w:sz w:val="15"/>
          <w:szCs w:val="15"/>
        </w:rPr>
        <w:t>, 2022</w:t>
      </w:r>
    </w:p>
    <w:bookmarkEnd w:id="2"/>
    <w:p w:rsidR="001902DF" w:rsidRPr="00D57747" w:rsidRDefault="001902DF" w:rsidP="001902DF">
      <w:pPr>
        <w:pStyle w:val="Heading1"/>
        <w:spacing w:before="0" w:after="480"/>
        <w:rPr>
          <w:sz w:val="28"/>
          <w:szCs w:val="28"/>
        </w:rPr>
      </w:pPr>
      <w:r w:rsidRPr="00D57747">
        <w:rPr>
          <w:bCs w:val="0"/>
          <w:caps w:val="0"/>
          <w:kern w:val="0"/>
          <w:sz w:val="28"/>
          <w:szCs w:val="28"/>
        </w:rPr>
        <w:t>Committee on Development and Intellectual Property (CDIP)</w:t>
      </w:r>
    </w:p>
    <w:p w:rsidR="001902DF" w:rsidRPr="00D57747" w:rsidRDefault="001902DF" w:rsidP="001902DF">
      <w:pPr>
        <w:spacing w:after="720"/>
        <w:outlineLvl w:val="1"/>
        <w:rPr>
          <w:b/>
          <w:sz w:val="24"/>
          <w:szCs w:val="24"/>
        </w:rPr>
      </w:pPr>
      <w:r w:rsidRPr="00D57747">
        <w:rPr>
          <w:b/>
          <w:sz w:val="24"/>
          <w:szCs w:val="24"/>
        </w:rPr>
        <w:t>Twenty-Eighth Session</w:t>
      </w:r>
      <w:r w:rsidRPr="00D57747">
        <w:rPr>
          <w:b/>
          <w:sz w:val="24"/>
          <w:szCs w:val="24"/>
        </w:rPr>
        <w:br/>
        <w:t xml:space="preserve">Geneva, </w:t>
      </w:r>
      <w:r w:rsidRPr="00D57747">
        <w:rPr>
          <w:b/>
          <w:bCs/>
          <w:sz w:val="24"/>
          <w:szCs w:val="24"/>
        </w:rPr>
        <w:t>May 16 to 20, 2022</w:t>
      </w:r>
    </w:p>
    <w:p w:rsidR="001902DF" w:rsidRPr="00D57747" w:rsidRDefault="001902DF" w:rsidP="001902DF">
      <w:pPr>
        <w:spacing w:after="360"/>
        <w:outlineLvl w:val="1"/>
        <w:rPr>
          <w:caps/>
        </w:rPr>
      </w:pPr>
      <w:bookmarkStart w:id="3" w:name="TitleOfDoc"/>
      <w:bookmarkEnd w:id="3"/>
      <w:r w:rsidRPr="00D57747">
        <w:rPr>
          <w:caps/>
        </w:rPr>
        <w:t>strategy for future enhancement of wipo match</w:t>
      </w:r>
    </w:p>
    <w:p w:rsidR="001902DF" w:rsidRPr="00D57747" w:rsidRDefault="0026427C" w:rsidP="001902DF">
      <w:pPr>
        <w:spacing w:after="960"/>
        <w:rPr>
          <w:i/>
        </w:rPr>
      </w:pPr>
      <w:bookmarkStart w:id="4" w:name="Prepared"/>
      <w:bookmarkEnd w:id="4"/>
      <w:r>
        <w:rPr>
          <w:i/>
        </w:rPr>
        <w:t>p</w:t>
      </w:r>
      <w:r w:rsidR="001902DF" w:rsidRPr="00D57747">
        <w:rPr>
          <w:i/>
        </w:rPr>
        <w:t>repared by the Secretariat</w:t>
      </w:r>
    </w:p>
    <w:p w:rsidR="001902DF" w:rsidRPr="00D57747" w:rsidRDefault="002E0D73" w:rsidP="000119C8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 w:rsidRPr="00D57747">
        <w:t xml:space="preserve">While considering the </w:t>
      </w:r>
      <w:r w:rsidR="001902DF" w:rsidRPr="00D57747">
        <w:t>agenda item “Future work”</w:t>
      </w:r>
      <w:r w:rsidRPr="00D57747">
        <w:t>, the 27</w:t>
      </w:r>
      <w:r w:rsidRPr="00D57747">
        <w:rPr>
          <w:vertAlign w:val="superscript"/>
        </w:rPr>
        <w:t>th</w:t>
      </w:r>
      <w:r w:rsidRPr="00D57747">
        <w:t xml:space="preserve"> session of the Committee on Development and Intellectual Property (CDIP), </w:t>
      </w:r>
      <w:r w:rsidR="00A76C12">
        <w:t>decided</w:t>
      </w:r>
      <w:r w:rsidR="00A76C12" w:rsidRPr="00D57747">
        <w:t xml:space="preserve"> </w:t>
      </w:r>
      <w:r w:rsidR="001902DF" w:rsidRPr="00D57747">
        <w:t xml:space="preserve">that the Secretariat </w:t>
      </w:r>
      <w:r w:rsidR="006A486D" w:rsidRPr="00D57747">
        <w:t>should</w:t>
      </w:r>
      <w:r w:rsidR="001902DF" w:rsidRPr="00D57747">
        <w:t xml:space="preserve"> present a document on the </w:t>
      </w:r>
      <w:r w:rsidR="00A76C12">
        <w:t>“</w:t>
      </w:r>
      <w:r w:rsidR="001902DF" w:rsidRPr="00D57747">
        <w:t>Strategy for Future Enhancement of WIPO Match</w:t>
      </w:r>
      <w:r w:rsidR="00A76C12">
        <w:t>”</w:t>
      </w:r>
      <w:r w:rsidR="001902DF" w:rsidRPr="00D57747">
        <w:t xml:space="preserve">. </w:t>
      </w:r>
    </w:p>
    <w:p w:rsidR="001902DF" w:rsidRPr="00D57747" w:rsidRDefault="001902DF" w:rsidP="001902DF">
      <w:pPr>
        <w:pStyle w:val="ListParagraph"/>
        <w:tabs>
          <w:tab w:val="left" w:pos="0"/>
        </w:tabs>
        <w:spacing w:after="220"/>
        <w:ind w:left="0"/>
      </w:pPr>
    </w:p>
    <w:p w:rsidR="00051AF2" w:rsidRPr="00686713" w:rsidRDefault="00C5651A" w:rsidP="00B47B72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contextualSpacing w:val="0"/>
      </w:pPr>
      <w:r>
        <w:t>Accordingly, t</w:t>
      </w:r>
      <w:r w:rsidR="001902DF" w:rsidRPr="00D57747">
        <w:t xml:space="preserve">his </w:t>
      </w:r>
      <w:r w:rsidR="001902DF" w:rsidRPr="00686713">
        <w:t xml:space="preserve">document </w:t>
      </w:r>
      <w:r w:rsidR="003374F3" w:rsidRPr="00686713">
        <w:t xml:space="preserve">contains </w:t>
      </w:r>
      <w:r w:rsidR="006A486D" w:rsidRPr="00686713">
        <w:t>the Secretariat’s proposed strategy</w:t>
      </w:r>
      <w:r w:rsidRPr="00686713">
        <w:t>.  In doing so, the document</w:t>
      </w:r>
      <w:r w:rsidR="00AC31CE" w:rsidRPr="00686713">
        <w:t xml:space="preserve"> details the principles based on which it plans to </w:t>
      </w:r>
      <w:r w:rsidR="00884C43" w:rsidRPr="00686713">
        <w:t xml:space="preserve">introduce </w:t>
      </w:r>
      <w:r w:rsidR="00B47B72">
        <w:t>adjustments</w:t>
      </w:r>
      <w:r w:rsidR="00051AF2" w:rsidRPr="00686713">
        <w:t xml:space="preserve"> to</w:t>
      </w:r>
      <w:r w:rsidR="00F669FE" w:rsidRPr="00686713">
        <w:t xml:space="preserve"> the </w:t>
      </w:r>
      <w:r w:rsidR="00231C05" w:rsidRPr="00686713">
        <w:t>purpose</w:t>
      </w:r>
      <w:r w:rsidR="00686713" w:rsidRPr="00686713">
        <w:t>,</w:t>
      </w:r>
      <w:r w:rsidR="00B05E01" w:rsidRPr="00686713">
        <w:t xml:space="preserve"> </w:t>
      </w:r>
      <w:r w:rsidR="00F669FE" w:rsidRPr="00686713">
        <w:t>objective</w:t>
      </w:r>
      <w:r w:rsidR="00B05E01" w:rsidRPr="00686713">
        <w:t>s</w:t>
      </w:r>
      <w:r w:rsidR="00B47B72">
        <w:t>, and</w:t>
      </w:r>
      <w:r w:rsidR="00B05E01" w:rsidRPr="00686713">
        <w:t xml:space="preserve"> </w:t>
      </w:r>
      <w:r w:rsidR="00B47B72">
        <w:t>functionalities</w:t>
      </w:r>
      <w:r w:rsidR="00B47B72" w:rsidRPr="00686713">
        <w:t xml:space="preserve"> </w:t>
      </w:r>
      <w:r w:rsidR="00F669FE" w:rsidRPr="00686713">
        <w:t>of</w:t>
      </w:r>
      <w:r w:rsidR="00051AF2" w:rsidRPr="00686713">
        <w:t xml:space="preserve"> the current</w:t>
      </w:r>
      <w:r w:rsidR="00F669FE" w:rsidRPr="00686713">
        <w:t xml:space="preserve"> WIPO Match</w:t>
      </w:r>
      <w:r w:rsidR="00051AF2" w:rsidRPr="00686713">
        <w:t xml:space="preserve"> platform.  </w:t>
      </w:r>
    </w:p>
    <w:p w:rsidR="00051AF2" w:rsidRPr="00686713" w:rsidRDefault="00051AF2" w:rsidP="00051AF2">
      <w:pPr>
        <w:pStyle w:val="ListParagraph"/>
        <w:tabs>
          <w:tab w:val="left" w:pos="0"/>
        </w:tabs>
        <w:ind w:left="0"/>
        <w:contextualSpacing w:val="0"/>
      </w:pPr>
    </w:p>
    <w:p w:rsidR="000A64B6" w:rsidRDefault="00051AF2" w:rsidP="00B47B72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contextualSpacing w:val="0"/>
      </w:pPr>
      <w:r w:rsidRPr="00686713">
        <w:t>The t</w:t>
      </w:r>
      <w:r w:rsidR="006A486D" w:rsidRPr="00686713">
        <w:t>echnical</w:t>
      </w:r>
      <w:r w:rsidR="00B05E01" w:rsidRPr="00686713">
        <w:t xml:space="preserve"> </w:t>
      </w:r>
      <w:r w:rsidR="00DA0950" w:rsidRPr="00686713">
        <w:t>improvements</w:t>
      </w:r>
      <w:r w:rsidR="00B05E01" w:rsidRPr="00686713">
        <w:t xml:space="preserve"> to the platform</w:t>
      </w:r>
      <w:r w:rsidR="006A486D" w:rsidRPr="00686713">
        <w:t xml:space="preserve"> a</w:t>
      </w:r>
      <w:r w:rsidR="00EF3702" w:rsidRPr="00686713">
        <w:t>s well as</w:t>
      </w:r>
      <w:r w:rsidR="006A486D" w:rsidRPr="00686713">
        <w:t xml:space="preserve"> </w:t>
      </w:r>
      <w:r w:rsidR="00B05E01" w:rsidRPr="00686713">
        <w:t xml:space="preserve">structural changes to the interface </w:t>
      </w:r>
      <w:r w:rsidR="00686713" w:rsidRPr="00686713">
        <w:t>will be</w:t>
      </w:r>
      <w:r w:rsidR="006A486D" w:rsidRPr="00686713">
        <w:t xml:space="preserve"> undertaken</w:t>
      </w:r>
      <w:r w:rsidRPr="00686713">
        <w:t xml:space="preserve"> based on a detailed project document that will be developed </w:t>
      </w:r>
      <w:r w:rsidR="00B47B72">
        <w:t>in due course</w:t>
      </w:r>
      <w:r w:rsidRPr="00686713">
        <w:t xml:space="preserve">. </w:t>
      </w:r>
    </w:p>
    <w:p w:rsidR="003D04E4" w:rsidRPr="00686713" w:rsidRDefault="003D04E4" w:rsidP="003D04E4">
      <w:pPr>
        <w:pStyle w:val="ListParagraph"/>
        <w:tabs>
          <w:tab w:val="left" w:pos="0"/>
        </w:tabs>
        <w:ind w:left="0"/>
        <w:contextualSpacing w:val="0"/>
      </w:pPr>
    </w:p>
    <w:p w:rsidR="001902DF" w:rsidRDefault="004C0826" w:rsidP="001902DF">
      <w:pPr>
        <w:pStyle w:val="Heading1"/>
        <w:numPr>
          <w:ilvl w:val="0"/>
          <w:numId w:val="8"/>
        </w:numPr>
        <w:spacing w:after="240"/>
        <w:ind w:left="540" w:hanging="540"/>
        <w:rPr>
          <w:b w:val="0"/>
          <w:caps w:val="0"/>
        </w:rPr>
      </w:pPr>
      <w:r w:rsidRPr="00D57747">
        <w:rPr>
          <w:b w:val="0"/>
          <w:caps w:val="0"/>
        </w:rPr>
        <w:t>BACKGROUND</w:t>
      </w:r>
    </w:p>
    <w:p w:rsidR="00CE4675" w:rsidRDefault="001902DF" w:rsidP="00DC7793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 w:rsidRPr="00D57747">
        <w:t xml:space="preserve">The </w:t>
      </w:r>
      <w:r w:rsidR="00DA650B" w:rsidRPr="00D57747">
        <w:t>Development Agenda (DA)</w:t>
      </w:r>
      <w:r w:rsidR="002F63AA" w:rsidRPr="00D57747">
        <w:t xml:space="preserve"> R</w:t>
      </w:r>
      <w:r w:rsidR="00DA650B" w:rsidRPr="00D57747">
        <w:t>ecommendation 9 request</w:t>
      </w:r>
      <w:r w:rsidR="008C4EE3" w:rsidRPr="00D57747">
        <w:t>ed</w:t>
      </w:r>
      <w:r w:rsidR="00DA650B" w:rsidRPr="00D57747">
        <w:t xml:space="preserve"> WIPO “to create, in coordination with Member States, a database to match specific intellectual property</w:t>
      </w:r>
      <w:r w:rsidR="009B74FC">
        <w:t xml:space="preserve"> (IP)</w:t>
      </w:r>
      <w:r w:rsidR="00DC7793">
        <w:t xml:space="preserve"> </w:t>
      </w:r>
      <w:r w:rsidR="00DA650B" w:rsidRPr="00D57747">
        <w:t>related development needs with available resources, thereby expanding the scope of its technical assistance programs, aimed at bridging the digital divide.”</w:t>
      </w:r>
    </w:p>
    <w:p w:rsidR="00AC323D" w:rsidRPr="00D57747" w:rsidRDefault="00AC323D" w:rsidP="00AC323D">
      <w:pPr>
        <w:tabs>
          <w:tab w:val="left" w:pos="0"/>
        </w:tabs>
        <w:spacing w:after="220"/>
      </w:pPr>
    </w:p>
    <w:p w:rsidR="00CE4675" w:rsidRPr="00D57747" w:rsidRDefault="00CE4675" w:rsidP="00DA650B">
      <w:pPr>
        <w:pStyle w:val="ListParagraph"/>
        <w:tabs>
          <w:tab w:val="left" w:pos="0"/>
        </w:tabs>
        <w:spacing w:after="220"/>
        <w:ind w:left="0"/>
      </w:pPr>
    </w:p>
    <w:p w:rsidR="006B08C9" w:rsidRPr="00D57747" w:rsidRDefault="00DA650B" w:rsidP="00B46390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 w:rsidRPr="00D57747">
        <w:lastRenderedPageBreak/>
        <w:t xml:space="preserve">To </w:t>
      </w:r>
      <w:r w:rsidR="00145AE7">
        <w:t>respond to</w:t>
      </w:r>
      <w:r w:rsidR="00145AE7" w:rsidRPr="00D57747">
        <w:t xml:space="preserve"> </w:t>
      </w:r>
      <w:r w:rsidRPr="00D57747">
        <w:t xml:space="preserve">this </w:t>
      </w:r>
      <w:r w:rsidR="008C4EE3" w:rsidRPr="00D57747">
        <w:t>R</w:t>
      </w:r>
      <w:r w:rsidRPr="00D57747">
        <w:t>ecommendation,</w:t>
      </w:r>
      <w:r w:rsidR="006B08C9" w:rsidRPr="00D57747">
        <w:t xml:space="preserve"> </w:t>
      </w:r>
      <w:r w:rsidRPr="00D57747">
        <w:t xml:space="preserve">the Secretariat </w:t>
      </w:r>
      <w:r w:rsidR="000A64B6" w:rsidRPr="00D57747">
        <w:t>proposed a project</w:t>
      </w:r>
      <w:r w:rsidR="00A6118C" w:rsidRPr="00D57747">
        <w:t xml:space="preserve"> </w:t>
      </w:r>
      <w:r w:rsidR="002F63AA" w:rsidRPr="00D57747">
        <w:t>to develop an IP Development Matchmaking Database</w:t>
      </w:r>
      <w:r w:rsidR="00686713">
        <w:t>,</w:t>
      </w:r>
      <w:r w:rsidR="002F63AA" w:rsidRPr="00D57747">
        <w:t xml:space="preserve"> </w:t>
      </w:r>
      <w:r w:rsidR="00145AE7">
        <w:t xml:space="preserve">at the third session of the Committee </w:t>
      </w:r>
      <w:r w:rsidR="002F63AA" w:rsidRPr="00D57747">
        <w:t xml:space="preserve">(Annex IV, </w:t>
      </w:r>
      <w:hyperlink r:id="rId9" w:history="1">
        <w:r w:rsidR="002F63AA" w:rsidRPr="00D57747">
          <w:rPr>
            <w:rStyle w:val="Hyperlink"/>
          </w:rPr>
          <w:t>CDIP/3/INF/2</w:t>
        </w:r>
      </w:hyperlink>
      <w:r w:rsidR="002F63AA" w:rsidRPr="00D57747">
        <w:t xml:space="preserve">).  </w:t>
      </w:r>
      <w:r w:rsidR="00730119">
        <w:t>Following its approval, the Project</w:t>
      </w:r>
      <w:r w:rsidR="0089052A">
        <w:t xml:space="preserve"> established the</w:t>
      </w:r>
      <w:r w:rsidR="00730119">
        <w:t xml:space="preserve"> </w:t>
      </w:r>
      <w:r w:rsidR="00C32F85">
        <w:t>planned</w:t>
      </w:r>
      <w:r w:rsidR="00355F65">
        <w:t xml:space="preserve"> </w:t>
      </w:r>
      <w:r w:rsidR="00E16E3C" w:rsidRPr="00D57747">
        <w:t>D</w:t>
      </w:r>
      <w:r w:rsidR="00A6118C" w:rsidRPr="00D57747">
        <w:t>atabase</w:t>
      </w:r>
      <w:r w:rsidR="00E16E3C" w:rsidRPr="00D57747">
        <w:t>,</w:t>
      </w:r>
      <w:r w:rsidR="00A6118C" w:rsidRPr="00D57747">
        <w:t xml:space="preserve"> which served</w:t>
      </w:r>
      <w:r w:rsidR="00EA6364">
        <w:t xml:space="preserve"> </w:t>
      </w:r>
      <w:r w:rsidR="006B08C9" w:rsidRPr="00D57747">
        <w:t xml:space="preserve">as a repository of information </w:t>
      </w:r>
      <w:r w:rsidR="00A6118C" w:rsidRPr="00D57747">
        <w:t>for</w:t>
      </w:r>
      <w:r w:rsidR="00B46390">
        <w:t xml:space="preserve"> WIPO, Member States, and</w:t>
      </w:r>
      <w:r w:rsidR="00A6118C" w:rsidRPr="00D57747">
        <w:t xml:space="preserve"> </w:t>
      </w:r>
      <w:r w:rsidR="006B08C9" w:rsidRPr="00D57747">
        <w:t>potential donors</w:t>
      </w:r>
      <w:r w:rsidR="00B46390">
        <w:t>.  It also aimed at assisting</w:t>
      </w:r>
      <w:r w:rsidR="006B08C9" w:rsidRPr="00D57747">
        <w:t xml:space="preserve"> in assessing the needs of </w:t>
      </w:r>
      <w:r w:rsidR="00DE147F">
        <w:t>other (</w:t>
      </w:r>
      <w:r w:rsidR="00355F65">
        <w:t>recipient</w:t>
      </w:r>
      <w:r w:rsidR="00DE147F">
        <w:t xml:space="preserve">) </w:t>
      </w:r>
      <w:r w:rsidR="006B08C9" w:rsidRPr="00D57747">
        <w:t>Member States</w:t>
      </w:r>
      <w:r w:rsidR="00B46390">
        <w:t xml:space="preserve"> and in </w:t>
      </w:r>
      <w:r w:rsidR="006B08C9" w:rsidRPr="00D57747">
        <w:t>identify</w:t>
      </w:r>
      <w:r w:rsidR="000D6874" w:rsidRPr="00D57747">
        <w:t>ing</w:t>
      </w:r>
      <w:r w:rsidR="006B08C9" w:rsidRPr="00D57747">
        <w:t xml:space="preserve"> the resources or the means to address those </w:t>
      </w:r>
      <w:r w:rsidR="006B08C9" w:rsidRPr="00B46390">
        <w:t>needs.</w:t>
      </w:r>
      <w:r w:rsidR="006B08C9" w:rsidRPr="00D57747">
        <w:t xml:space="preserve"> </w:t>
      </w:r>
    </w:p>
    <w:p w:rsidR="00AC31CE" w:rsidRPr="00D57747" w:rsidRDefault="00AC31CE" w:rsidP="00AC31CE">
      <w:pPr>
        <w:pStyle w:val="ListParagraph"/>
        <w:tabs>
          <w:tab w:val="left" w:pos="0"/>
        </w:tabs>
        <w:spacing w:after="220"/>
        <w:ind w:left="0"/>
      </w:pPr>
    </w:p>
    <w:p w:rsidR="00777E2E" w:rsidRPr="00D57747" w:rsidRDefault="00686713" w:rsidP="001768C9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 xml:space="preserve">Furthermore, </w:t>
      </w:r>
      <w:r w:rsidR="003D04E4">
        <w:t>in the context of the implementation</w:t>
      </w:r>
      <w:r w:rsidR="001768C9">
        <w:t xml:space="preserve"> and mainstreaming</w:t>
      </w:r>
      <w:r w:rsidR="003D04E4">
        <w:t xml:space="preserve"> of</w:t>
      </w:r>
      <w:r w:rsidR="00777E2E" w:rsidRPr="00D57747">
        <w:t xml:space="preserve"> the DA Project on Enhancing South-South Cooperation on IP and Development among Developing Countries and Least Developed Countries (LDCs)</w:t>
      </w:r>
      <w:r w:rsidR="00810863">
        <w:t>,</w:t>
      </w:r>
      <w:r w:rsidR="00777E2E" w:rsidRPr="00D57747">
        <w:rPr>
          <w:rStyle w:val="FootnoteReference"/>
        </w:rPr>
        <w:footnoteReference w:id="1"/>
      </w:r>
      <w:r w:rsidR="00777E2E" w:rsidRPr="00D57747">
        <w:t xml:space="preserve"> in 2014, </w:t>
      </w:r>
      <w:r w:rsidR="001410D5">
        <w:t xml:space="preserve">the Secretariat </w:t>
      </w:r>
      <w:r w:rsidR="00921FB1" w:rsidRPr="00D57747">
        <w:t>introduce</w:t>
      </w:r>
      <w:r w:rsidR="003D04E4">
        <w:t>d</w:t>
      </w:r>
      <w:r w:rsidR="00921FB1" w:rsidRPr="00D57747">
        <w:t xml:space="preserve"> new functionalities to the</w:t>
      </w:r>
      <w:r w:rsidR="00777E2E" w:rsidRPr="00D57747">
        <w:t xml:space="preserve"> IP Development Matchmaking Database t</w:t>
      </w:r>
      <w:r w:rsidR="001768C9">
        <w:t xml:space="preserve">hat </w:t>
      </w:r>
      <w:r w:rsidR="00777E2E" w:rsidRPr="00D57747">
        <w:t>enable</w:t>
      </w:r>
      <w:r w:rsidR="001768C9">
        <w:t>d</w:t>
      </w:r>
      <w:r w:rsidR="00777E2E" w:rsidRPr="00D57747">
        <w:t xml:space="preserve"> matchmaking</w:t>
      </w:r>
      <w:r w:rsidR="009B74FC">
        <w:t>,</w:t>
      </w:r>
      <w:r w:rsidR="00777E2E" w:rsidRPr="00D57747">
        <w:t xml:space="preserve"> </w:t>
      </w:r>
      <w:r w:rsidR="00884C43" w:rsidRPr="00DC7793">
        <w:rPr>
          <w:i/>
        </w:rPr>
        <w:t>i.e</w:t>
      </w:r>
      <w:r w:rsidR="00884C43">
        <w:t xml:space="preserve">. </w:t>
      </w:r>
      <w:r w:rsidR="009B74FC">
        <w:t>pair</w:t>
      </w:r>
      <w:r w:rsidR="0089052A">
        <w:t>ing</w:t>
      </w:r>
      <w:r w:rsidR="009B74FC">
        <w:t xml:space="preserve"> the</w:t>
      </w:r>
      <w:r w:rsidR="00777E2E" w:rsidRPr="00D57747">
        <w:t xml:space="preserve"> needs </w:t>
      </w:r>
      <w:r w:rsidR="009B74FC">
        <w:t>to</w:t>
      </w:r>
      <w:r w:rsidR="00777E2E" w:rsidRPr="00D57747">
        <w:t xml:space="preserve"> offers of developing countries and LDCs</w:t>
      </w:r>
      <w:r w:rsidR="00884C43">
        <w:t>,</w:t>
      </w:r>
      <w:r w:rsidR="00777E2E" w:rsidRPr="00D57747">
        <w:t xml:space="preserve"> in order to support and assist them in trainings and capacity building activities. </w:t>
      </w:r>
      <w:r w:rsidR="00AC31CE" w:rsidRPr="00D57747">
        <w:t xml:space="preserve"> </w:t>
      </w:r>
      <w:r w:rsidR="00AC31CE" w:rsidRPr="009B74FC">
        <w:t xml:space="preserve">Hence, WIPO Match was </w:t>
      </w:r>
      <w:r w:rsidR="00884C43" w:rsidRPr="009B74FC">
        <w:t xml:space="preserve">adapted to serve as </w:t>
      </w:r>
      <w:r w:rsidR="00AC31CE" w:rsidRPr="009B74FC">
        <w:t>one of the avenues for facilitating South-South cooperation.</w:t>
      </w:r>
      <w:r w:rsidR="00AC31CE" w:rsidRPr="00D57747">
        <w:t xml:space="preserve"> </w:t>
      </w:r>
    </w:p>
    <w:p w:rsidR="00777E2E" w:rsidRPr="00D57747" w:rsidRDefault="00777E2E" w:rsidP="00777E2E">
      <w:pPr>
        <w:pStyle w:val="ListParagraph"/>
        <w:tabs>
          <w:tab w:val="left" w:pos="0"/>
        </w:tabs>
        <w:spacing w:after="220"/>
        <w:ind w:left="0"/>
      </w:pPr>
    </w:p>
    <w:p w:rsidR="00E44191" w:rsidRPr="00D57747" w:rsidRDefault="00A67F45" w:rsidP="001768C9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 w:rsidRPr="00D57747">
        <w:t>To</w:t>
      </w:r>
      <w:r w:rsidR="006B08C9" w:rsidRPr="00D57747">
        <w:t xml:space="preserve"> </w:t>
      </w:r>
      <w:r w:rsidR="00884C43">
        <w:t xml:space="preserve">spur wider </w:t>
      </w:r>
      <w:r w:rsidRPr="00D57747">
        <w:t>cooperation</w:t>
      </w:r>
      <w:r w:rsidR="001768C9">
        <w:t xml:space="preserve"> among</w:t>
      </w:r>
      <w:r w:rsidR="00E16E3C" w:rsidRPr="00D57747">
        <w:t xml:space="preserve"> donors and assistance seekers,</w:t>
      </w:r>
      <w:r w:rsidR="00A6118C" w:rsidRPr="00D57747">
        <w:t xml:space="preserve"> and </w:t>
      </w:r>
      <w:r w:rsidR="00E16E3C" w:rsidRPr="00D57747">
        <w:t xml:space="preserve">to </w:t>
      </w:r>
      <w:r w:rsidR="00A6118C" w:rsidRPr="00D57747">
        <w:t xml:space="preserve">offer </w:t>
      </w:r>
      <w:r w:rsidR="00A1564B" w:rsidRPr="00D57747">
        <w:t xml:space="preserve">more and </w:t>
      </w:r>
      <w:r w:rsidR="00A6118C" w:rsidRPr="00D57747">
        <w:t xml:space="preserve">better </w:t>
      </w:r>
      <w:r w:rsidR="00C32F85">
        <w:t xml:space="preserve">technical </w:t>
      </w:r>
      <w:r w:rsidR="00A6118C" w:rsidRPr="00D57747">
        <w:t>functionalities to the users</w:t>
      </w:r>
      <w:r w:rsidR="00D248F7" w:rsidRPr="00D57747">
        <w:t xml:space="preserve">, </w:t>
      </w:r>
      <w:r w:rsidR="0091111F" w:rsidRPr="00D57747">
        <w:t xml:space="preserve">in 2016, </w:t>
      </w:r>
      <w:r w:rsidR="00D248F7" w:rsidRPr="00D57747">
        <w:t>the IP Development Matchmaking Database was</w:t>
      </w:r>
      <w:r w:rsidR="000D6874" w:rsidRPr="00D57747">
        <w:t xml:space="preserve"> </w:t>
      </w:r>
      <w:r w:rsidR="00A6118C" w:rsidRPr="00D57747">
        <w:t>r</w:t>
      </w:r>
      <w:r w:rsidR="00A1564B" w:rsidRPr="00D57747">
        <w:t>evamped</w:t>
      </w:r>
      <w:r w:rsidR="00A6118C" w:rsidRPr="00D57747">
        <w:t xml:space="preserve"> </w:t>
      </w:r>
      <w:r w:rsidR="002113BE" w:rsidRPr="00D57747">
        <w:t xml:space="preserve">and rebranded </w:t>
      </w:r>
      <w:r w:rsidR="00884C43">
        <w:t xml:space="preserve">as </w:t>
      </w:r>
      <w:r w:rsidR="00A1564B" w:rsidRPr="00D57747">
        <w:t>“</w:t>
      </w:r>
      <w:hyperlink r:id="rId10" w:history="1">
        <w:r w:rsidR="00D248F7" w:rsidRPr="00D57747">
          <w:rPr>
            <w:rStyle w:val="Hyperlink"/>
          </w:rPr>
          <w:t>WIPO Match</w:t>
        </w:r>
      </w:hyperlink>
      <w:r w:rsidR="00A1564B" w:rsidRPr="00D57747">
        <w:t>”</w:t>
      </w:r>
      <w:r w:rsidR="00A6118C" w:rsidRPr="00D57747">
        <w:t xml:space="preserve">.  </w:t>
      </w:r>
      <w:r w:rsidRPr="00D57747">
        <w:t>With that change, t</w:t>
      </w:r>
      <w:r w:rsidR="00D248F7" w:rsidRPr="00D57747">
        <w:t xml:space="preserve">he </w:t>
      </w:r>
      <w:r w:rsidR="00A6118C" w:rsidRPr="00D57747">
        <w:t>platform</w:t>
      </w:r>
      <w:r w:rsidRPr="00D57747">
        <w:t xml:space="preserve"> </w:t>
      </w:r>
      <w:r w:rsidR="00884C43">
        <w:t xml:space="preserve">further </w:t>
      </w:r>
      <w:r w:rsidR="00511198" w:rsidRPr="00D57747">
        <w:t>strengthened</w:t>
      </w:r>
      <w:r w:rsidRPr="00D57747">
        <w:t xml:space="preserve"> its matchmaking function </w:t>
      </w:r>
      <w:r w:rsidR="00511198" w:rsidRPr="00D57747">
        <w:t>by</w:t>
      </w:r>
      <w:r w:rsidRPr="00D57747">
        <w:t xml:space="preserve"> </w:t>
      </w:r>
      <w:r w:rsidR="00D248F7" w:rsidRPr="00D57747">
        <w:t>bring</w:t>
      </w:r>
      <w:r w:rsidR="000D6874" w:rsidRPr="00D57747">
        <w:t>ing</w:t>
      </w:r>
      <w:r w:rsidR="0091111F" w:rsidRPr="00D57747">
        <w:t xml:space="preserve"> together</w:t>
      </w:r>
      <w:r w:rsidR="00511198" w:rsidRPr="00D57747">
        <w:t xml:space="preserve"> IP stakeholders, and in particular </w:t>
      </w:r>
      <w:r w:rsidR="00D248F7" w:rsidRPr="00D57747">
        <w:t xml:space="preserve">technical assistance providers and beneficiaries, to match </w:t>
      </w:r>
      <w:r w:rsidRPr="00D57747">
        <w:t xml:space="preserve">their </w:t>
      </w:r>
      <w:r w:rsidR="00D248F7" w:rsidRPr="00D57747">
        <w:t>specific needs with available resources</w:t>
      </w:r>
      <w:r w:rsidRPr="00D57747">
        <w:t xml:space="preserve">.  </w:t>
      </w:r>
      <w:r w:rsidR="001768C9">
        <w:t xml:space="preserve">The objective of </w:t>
      </w:r>
      <w:r w:rsidR="00511198" w:rsidRPr="00D57747">
        <w:t xml:space="preserve">WIPO Match </w:t>
      </w:r>
      <w:r w:rsidR="001768C9">
        <w:t>was also</w:t>
      </w:r>
      <w:r w:rsidR="00D248F7" w:rsidRPr="00D57747">
        <w:t xml:space="preserve"> to </w:t>
      </w:r>
      <w:r w:rsidR="00511198" w:rsidRPr="00D57747">
        <w:t>boost</w:t>
      </w:r>
      <w:r w:rsidR="00D248F7" w:rsidRPr="00D57747">
        <w:t xml:space="preserve"> the flow and i</w:t>
      </w:r>
      <w:r w:rsidR="002E5E60" w:rsidRPr="00D57747">
        <w:t>mpact of</w:t>
      </w:r>
      <w:r w:rsidR="00A1564B" w:rsidRPr="00D57747">
        <w:t xml:space="preserve"> the</w:t>
      </w:r>
      <w:r w:rsidR="00511198" w:rsidRPr="00D57747">
        <w:t xml:space="preserve"> Organization’s</w:t>
      </w:r>
      <w:r w:rsidR="002E5E60" w:rsidRPr="00D57747">
        <w:t xml:space="preserve"> development assistance</w:t>
      </w:r>
      <w:r w:rsidR="00511198" w:rsidRPr="00D57747">
        <w:t xml:space="preserve"> work</w:t>
      </w:r>
      <w:r w:rsidR="0004425A" w:rsidRPr="00D57747">
        <w:t xml:space="preserve">. </w:t>
      </w:r>
    </w:p>
    <w:p w:rsidR="000A64B6" w:rsidRPr="00D57747" w:rsidRDefault="000A64B6" w:rsidP="000A64B6">
      <w:pPr>
        <w:pStyle w:val="ListParagraph"/>
        <w:tabs>
          <w:tab w:val="left" w:pos="0"/>
        </w:tabs>
        <w:spacing w:after="220"/>
        <w:ind w:left="0"/>
      </w:pPr>
    </w:p>
    <w:p w:rsidR="001164D0" w:rsidRPr="00D57747" w:rsidRDefault="004C0826" w:rsidP="001164D0">
      <w:pPr>
        <w:pStyle w:val="Heading1"/>
        <w:numPr>
          <w:ilvl w:val="0"/>
          <w:numId w:val="8"/>
        </w:numPr>
        <w:spacing w:after="240"/>
        <w:ind w:left="540" w:hanging="540"/>
        <w:rPr>
          <w:b w:val="0"/>
        </w:rPr>
      </w:pPr>
      <w:r w:rsidRPr="00D57747">
        <w:rPr>
          <w:b w:val="0"/>
          <w:caps w:val="0"/>
        </w:rPr>
        <w:t xml:space="preserve">CURRENT </w:t>
      </w:r>
      <w:r w:rsidR="002E5E60" w:rsidRPr="00D57747">
        <w:rPr>
          <w:b w:val="0"/>
        </w:rPr>
        <w:t>context</w:t>
      </w:r>
    </w:p>
    <w:p w:rsidR="00C96293" w:rsidRPr="00C96293" w:rsidRDefault="001164D0" w:rsidP="00C96293">
      <w:pPr>
        <w:pStyle w:val="ListParagraph"/>
        <w:numPr>
          <w:ilvl w:val="0"/>
          <w:numId w:val="19"/>
        </w:numPr>
        <w:rPr>
          <w:u w:val="single"/>
        </w:rPr>
      </w:pPr>
      <w:r w:rsidRPr="00D57747">
        <w:rPr>
          <w:u w:val="single"/>
        </w:rPr>
        <w:t xml:space="preserve">WIPO Match </w:t>
      </w:r>
    </w:p>
    <w:p w:rsidR="001164D0" w:rsidRPr="00D57747" w:rsidRDefault="001164D0" w:rsidP="001164D0">
      <w:pPr>
        <w:pStyle w:val="ListParagraph"/>
      </w:pPr>
    </w:p>
    <w:p w:rsidR="00AD14D1" w:rsidRPr="00D57747" w:rsidRDefault="00AD14D1" w:rsidP="00C74E7E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 w:rsidRPr="00D57747">
        <w:t xml:space="preserve">In 2021, </w:t>
      </w:r>
      <w:r w:rsidR="00511198" w:rsidRPr="00D57747">
        <w:t xml:space="preserve">the </w:t>
      </w:r>
      <w:r w:rsidR="002E5E60" w:rsidRPr="00D57747">
        <w:t>Evaluation Se</w:t>
      </w:r>
      <w:r w:rsidRPr="00D57747">
        <w:t xml:space="preserve">ction </w:t>
      </w:r>
      <w:r w:rsidR="0088419C">
        <w:t xml:space="preserve">of </w:t>
      </w:r>
      <w:r w:rsidR="00511198" w:rsidRPr="00D57747">
        <w:t xml:space="preserve">WIPO’s </w:t>
      </w:r>
      <w:r w:rsidR="0062306D" w:rsidRPr="00D57747">
        <w:t xml:space="preserve">Internal Oversight Division </w:t>
      </w:r>
      <w:r w:rsidRPr="00D57747">
        <w:t xml:space="preserve">undertook a formative </w:t>
      </w:r>
      <w:r w:rsidR="002E5E60" w:rsidRPr="00D57747">
        <w:t>evaluation</w:t>
      </w:r>
      <w:r w:rsidRPr="00D57747">
        <w:rPr>
          <w:rStyle w:val="FootnoteReference"/>
        </w:rPr>
        <w:footnoteReference w:id="2"/>
      </w:r>
      <w:r w:rsidR="00A1564B" w:rsidRPr="00D57747">
        <w:t xml:space="preserve"> of </w:t>
      </w:r>
      <w:r w:rsidR="002E5E60" w:rsidRPr="00D57747">
        <w:t>WIPO Match</w:t>
      </w:r>
      <w:r w:rsidR="00C74E7E">
        <w:t xml:space="preserve"> (hereafter the IOD Evaluation)</w:t>
      </w:r>
      <w:r w:rsidRPr="00D57747">
        <w:t>, with the purpose of finding learning opportunities and program improvement</w:t>
      </w:r>
      <w:r w:rsidR="00A1564B" w:rsidRPr="00D57747">
        <w:t>s</w:t>
      </w:r>
      <w:r w:rsidR="00C71024" w:rsidRPr="00D57747">
        <w:t>, as well as to provide recommendations on developing additional value-added services that complement the ones already provided by the platform</w:t>
      </w:r>
      <w:r w:rsidRPr="00D57747">
        <w:t xml:space="preserve">.  The </w:t>
      </w:r>
      <w:r w:rsidR="00C74E7E">
        <w:t>IOD Evaluation</w:t>
      </w:r>
      <w:r w:rsidR="002E5E60" w:rsidRPr="00D57747">
        <w:t xml:space="preserve"> cover</w:t>
      </w:r>
      <w:r w:rsidRPr="00D57747">
        <w:t xml:space="preserve">ed the period from 2016 to 2020.  </w:t>
      </w:r>
    </w:p>
    <w:p w:rsidR="00AD14D1" w:rsidRPr="00D57747" w:rsidRDefault="00AD14D1" w:rsidP="00AD14D1">
      <w:pPr>
        <w:pStyle w:val="ListParagraph"/>
        <w:tabs>
          <w:tab w:val="left" w:pos="0"/>
        </w:tabs>
        <w:spacing w:after="220"/>
        <w:ind w:left="0"/>
      </w:pPr>
    </w:p>
    <w:p w:rsidR="002E5E60" w:rsidRPr="00D57747" w:rsidRDefault="00AD14D1" w:rsidP="00C74E7E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 w:rsidRPr="00D57747">
        <w:t xml:space="preserve">The </w:t>
      </w:r>
      <w:r w:rsidR="00C74E7E">
        <w:t>IOD Evaluation</w:t>
      </w:r>
      <w:r w:rsidRPr="00D57747">
        <w:t xml:space="preserve"> report identified, among others, the following </w:t>
      </w:r>
      <w:r w:rsidR="00A90709" w:rsidRPr="00D57747">
        <w:t xml:space="preserve">main </w:t>
      </w:r>
      <w:r w:rsidRPr="00D57747">
        <w:t xml:space="preserve">findings: </w:t>
      </w:r>
    </w:p>
    <w:p w:rsidR="00AD14D1" w:rsidRPr="00D57747" w:rsidRDefault="00AD14D1" w:rsidP="00AD14D1">
      <w:pPr>
        <w:pStyle w:val="ListParagraph"/>
        <w:tabs>
          <w:tab w:val="left" w:pos="0"/>
        </w:tabs>
        <w:spacing w:after="220"/>
        <w:ind w:left="0"/>
      </w:pPr>
    </w:p>
    <w:p w:rsidR="003970FC" w:rsidRPr="00D57747" w:rsidRDefault="003970FC" w:rsidP="003970FC">
      <w:pPr>
        <w:pStyle w:val="ListParagraph"/>
        <w:numPr>
          <w:ilvl w:val="0"/>
          <w:numId w:val="17"/>
        </w:numPr>
        <w:tabs>
          <w:tab w:val="left" w:pos="0"/>
        </w:tabs>
        <w:spacing w:after="220"/>
      </w:pPr>
      <w:r w:rsidRPr="00D57747">
        <w:t>The project design used a narrow definition of results that focus exclusively on the number of matches.  Consequently, the project was under-reporting and leaving outside the quality of the network connections, the richness of the network, and the contributions resulting from the commitment, diversity, or visibility of the network.</w:t>
      </w:r>
    </w:p>
    <w:p w:rsidR="00AD14D1" w:rsidRPr="00D57747" w:rsidRDefault="00AD14D1" w:rsidP="009B74FC">
      <w:pPr>
        <w:pStyle w:val="ListParagraph"/>
        <w:numPr>
          <w:ilvl w:val="0"/>
          <w:numId w:val="17"/>
        </w:numPr>
        <w:tabs>
          <w:tab w:val="left" w:pos="0"/>
        </w:tabs>
        <w:spacing w:after="220"/>
      </w:pPr>
      <w:r w:rsidRPr="00D57747">
        <w:t>WIPO Match's value proposition ha</w:t>
      </w:r>
      <w:r w:rsidR="00A67F45" w:rsidRPr="00D57747">
        <w:t>d</w:t>
      </w:r>
      <w:r w:rsidRPr="00D57747">
        <w:t xml:space="preserve"> evolved over time. </w:t>
      </w:r>
      <w:r w:rsidR="00A1564B" w:rsidRPr="00D57747">
        <w:t xml:space="preserve"> </w:t>
      </w:r>
      <w:r w:rsidR="00A67F45" w:rsidRPr="00D57747">
        <w:t>The platform was found to</w:t>
      </w:r>
      <w:r w:rsidRPr="00D57747">
        <w:t xml:space="preserve"> include an amalgam of services and proposals that the project c</w:t>
      </w:r>
      <w:r w:rsidR="00A67F45" w:rsidRPr="00D57747">
        <w:t xml:space="preserve">ould not </w:t>
      </w:r>
      <w:r w:rsidRPr="00D57747">
        <w:t xml:space="preserve">realistically deliver </w:t>
      </w:r>
      <w:r w:rsidR="009B74FC" w:rsidRPr="00D57747">
        <w:t xml:space="preserve">to all platform members </w:t>
      </w:r>
      <w:r w:rsidRPr="00D57747">
        <w:t>with the capacities and resources</w:t>
      </w:r>
      <w:r w:rsidR="00A67F45" w:rsidRPr="00D57747">
        <w:t xml:space="preserve"> it had</w:t>
      </w:r>
      <w:r w:rsidRPr="00D57747">
        <w:t xml:space="preserve">. </w:t>
      </w:r>
      <w:r w:rsidR="00A1564B" w:rsidRPr="00D57747">
        <w:t xml:space="preserve"> </w:t>
      </w:r>
    </w:p>
    <w:p w:rsidR="00AD14D1" w:rsidRDefault="00AD14D1" w:rsidP="009B74FC">
      <w:pPr>
        <w:pStyle w:val="ListParagraph"/>
        <w:numPr>
          <w:ilvl w:val="0"/>
          <w:numId w:val="17"/>
        </w:numPr>
        <w:tabs>
          <w:tab w:val="left" w:pos="0"/>
        </w:tabs>
        <w:spacing w:after="220"/>
      </w:pPr>
      <w:r w:rsidRPr="00D57747">
        <w:t>WIPO Match involve</w:t>
      </w:r>
      <w:r w:rsidR="00A67F45" w:rsidRPr="00D57747">
        <w:t>d</w:t>
      </w:r>
      <w:r w:rsidRPr="00D57747">
        <w:t xml:space="preserve"> the business sector, academia, innovation hubs, government institutions, and multilateral international organizations, national and regional IP</w:t>
      </w:r>
      <w:r w:rsidR="009B74FC">
        <w:t xml:space="preserve"> </w:t>
      </w:r>
      <w:r w:rsidRPr="00D57747">
        <w:t xml:space="preserve">offices. </w:t>
      </w:r>
      <w:r w:rsidR="00A1564B" w:rsidRPr="00D57747">
        <w:t xml:space="preserve"> </w:t>
      </w:r>
      <w:r w:rsidRPr="00D57747">
        <w:t xml:space="preserve">However, the evaluation also found that membership criteria </w:t>
      </w:r>
      <w:r w:rsidR="00A67F45" w:rsidRPr="00D57747">
        <w:t xml:space="preserve">were </w:t>
      </w:r>
      <w:r w:rsidRPr="00D57747">
        <w:t>not clear enough to fully unfold the platform's full potential</w:t>
      </w:r>
      <w:r w:rsidR="00A67F45" w:rsidRPr="00D57747">
        <w:t>.</w:t>
      </w:r>
      <w:r w:rsidRPr="00D57747">
        <w:t xml:space="preserve"> </w:t>
      </w:r>
    </w:p>
    <w:p w:rsidR="00AD14D1" w:rsidRPr="00D57747" w:rsidRDefault="00AD14D1" w:rsidP="003C1592">
      <w:pPr>
        <w:pStyle w:val="ListParagraph"/>
        <w:numPr>
          <w:ilvl w:val="0"/>
          <w:numId w:val="17"/>
        </w:numPr>
        <w:tabs>
          <w:tab w:val="left" w:pos="0"/>
        </w:tabs>
        <w:spacing w:after="220"/>
      </w:pPr>
      <w:r w:rsidRPr="00D57747">
        <w:t xml:space="preserve">The WIPO </w:t>
      </w:r>
      <w:r w:rsidR="00A67F45" w:rsidRPr="00D57747">
        <w:t>Match web platform technology was outdated, and it did</w:t>
      </w:r>
      <w:r w:rsidRPr="00D57747">
        <w:t xml:space="preserve"> not comply with </w:t>
      </w:r>
      <w:r w:rsidR="00A67F45" w:rsidRPr="00D57747">
        <w:t>modern</w:t>
      </w:r>
      <w:r w:rsidRPr="00D57747">
        <w:t xml:space="preserve"> standards.</w:t>
      </w:r>
      <w:r w:rsidR="00A1564B" w:rsidRPr="00D57747">
        <w:t xml:space="preserve"> </w:t>
      </w:r>
      <w:r w:rsidRPr="00D57747">
        <w:t xml:space="preserve"> The existing web platform limit</w:t>
      </w:r>
      <w:r w:rsidR="00A67F45" w:rsidRPr="00D57747">
        <w:t>ed</w:t>
      </w:r>
      <w:r w:rsidRPr="00D57747">
        <w:t xml:space="preserve"> the project team's efficiency, as several tasks need</w:t>
      </w:r>
      <w:r w:rsidR="00A67F45" w:rsidRPr="00D57747">
        <w:t>ed</w:t>
      </w:r>
      <w:r w:rsidRPr="00D57747">
        <w:t xml:space="preserve"> to be done manually. </w:t>
      </w:r>
    </w:p>
    <w:p w:rsidR="00AD14D1" w:rsidRPr="00D57747" w:rsidRDefault="00AD14D1" w:rsidP="00621D89">
      <w:pPr>
        <w:pStyle w:val="ListParagraph"/>
        <w:tabs>
          <w:tab w:val="left" w:pos="0"/>
        </w:tabs>
        <w:spacing w:after="220"/>
        <w:ind w:left="0"/>
      </w:pPr>
    </w:p>
    <w:p w:rsidR="001768C9" w:rsidRPr="001768C9" w:rsidRDefault="001768C9" w:rsidP="0089052A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 w:rsidRPr="00D57747">
        <w:rPr>
          <w:iCs/>
        </w:rPr>
        <w:t>In terms of its functionalities and whether they are fit-for-purpose, based on the feedback collected from the stakeholders</w:t>
      </w:r>
      <w:r w:rsidRPr="00851F61">
        <w:rPr>
          <w:iCs/>
        </w:rPr>
        <w:t xml:space="preserve"> </w:t>
      </w:r>
      <w:r w:rsidRPr="00D57747">
        <w:rPr>
          <w:iCs/>
        </w:rPr>
        <w:t>consulted</w:t>
      </w:r>
      <w:r>
        <w:rPr>
          <w:iCs/>
        </w:rPr>
        <w:t xml:space="preserve"> during the above mentioned </w:t>
      </w:r>
      <w:r w:rsidR="00C74E7E">
        <w:t>IOD Evaluation</w:t>
      </w:r>
      <w:r w:rsidRPr="00D57747">
        <w:rPr>
          <w:iCs/>
        </w:rPr>
        <w:t xml:space="preserve">, </w:t>
      </w:r>
      <w:r>
        <w:rPr>
          <w:iCs/>
        </w:rPr>
        <w:t>it is understood that</w:t>
      </w:r>
      <w:r w:rsidRPr="00D57747">
        <w:rPr>
          <w:iCs/>
        </w:rPr>
        <w:t xml:space="preserve"> to meet the needs of the platform users, WIPO Match needs a more intuitive interface, hosted on a modern user-friendly platform that provides more services and better assignment of responsibilities among its </w:t>
      </w:r>
      <w:r>
        <w:rPr>
          <w:iCs/>
        </w:rPr>
        <w:t xml:space="preserve">members.  </w:t>
      </w:r>
      <w:r w:rsidR="0089052A">
        <w:rPr>
          <w:iCs/>
        </w:rPr>
        <w:t>To</w:t>
      </w:r>
      <w:r w:rsidRPr="00D57747">
        <w:rPr>
          <w:iCs/>
        </w:rPr>
        <w:t xml:space="preserve"> achieve better results, there </w:t>
      </w:r>
      <w:r>
        <w:rPr>
          <w:iCs/>
        </w:rPr>
        <w:t>is</w:t>
      </w:r>
      <w:r w:rsidRPr="00D57747">
        <w:rPr>
          <w:iCs/>
        </w:rPr>
        <w:t xml:space="preserve"> a need for more streamlined resources dedicated to the technical modernization of the platform, as well as its daily administration and overall management.</w:t>
      </w:r>
    </w:p>
    <w:p w:rsidR="001768C9" w:rsidRPr="00D57747" w:rsidRDefault="001768C9" w:rsidP="001768C9">
      <w:pPr>
        <w:pStyle w:val="ListParagraph"/>
        <w:tabs>
          <w:tab w:val="left" w:pos="0"/>
        </w:tabs>
        <w:spacing w:after="220"/>
        <w:ind w:left="0"/>
      </w:pPr>
    </w:p>
    <w:p w:rsidR="002113BE" w:rsidRPr="00D57747" w:rsidRDefault="002113BE" w:rsidP="009B74FC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 w:rsidRPr="00D57747">
        <w:t>In addition, the WIPO Performance Report for 2018/19</w:t>
      </w:r>
      <w:r w:rsidRPr="00D57747">
        <w:rPr>
          <w:rStyle w:val="FootnoteReference"/>
        </w:rPr>
        <w:footnoteReference w:id="3"/>
      </w:r>
      <w:r w:rsidR="001164D0" w:rsidRPr="00D57747">
        <w:t xml:space="preserve"> reported that</w:t>
      </w:r>
      <w:r w:rsidRPr="00D57747">
        <w:t xml:space="preserve">, </w:t>
      </w:r>
      <w:r w:rsidR="0088419C">
        <w:t xml:space="preserve">as </w:t>
      </w:r>
      <w:r w:rsidR="0091111F" w:rsidRPr="00D57747">
        <w:t xml:space="preserve">WIPO Match saw four matches </w:t>
      </w:r>
      <w:r w:rsidRPr="00D57747">
        <w:t>catalyzed during the</w:t>
      </w:r>
      <w:r w:rsidR="00A90709" w:rsidRPr="00D57747">
        <w:t xml:space="preserve"> 2018/19</w:t>
      </w:r>
      <w:r w:rsidRPr="00D57747">
        <w:t xml:space="preserve"> biennium, </w:t>
      </w:r>
      <w:r w:rsidR="001164D0" w:rsidRPr="00D57747">
        <w:t>it fell short of its</w:t>
      </w:r>
      <w:r w:rsidRPr="00D57747">
        <w:t xml:space="preserve"> biennial target</w:t>
      </w:r>
      <w:r w:rsidR="001164D0" w:rsidRPr="00D57747">
        <w:t>.  O</w:t>
      </w:r>
      <w:r w:rsidRPr="00D57747">
        <w:t xml:space="preserve">ne additional </w:t>
      </w:r>
      <w:r w:rsidR="0088419C">
        <w:t xml:space="preserve">matchmaking </w:t>
      </w:r>
      <w:r w:rsidR="0091111F" w:rsidRPr="00D57747">
        <w:t>deal</w:t>
      </w:r>
      <w:r w:rsidRPr="00D57747">
        <w:t xml:space="preserve"> has been catalyzed by the end of 2021, leading to a cumulative total of seven </w:t>
      </w:r>
      <w:r w:rsidR="001164D0" w:rsidRPr="00D57747">
        <w:t>matches generated</w:t>
      </w:r>
      <w:r w:rsidRPr="00D57747">
        <w:t xml:space="preserve"> by the platform over the last three biennia</w:t>
      </w:r>
      <w:r w:rsidR="001164D0" w:rsidRPr="00D57747">
        <w:t xml:space="preserve"> (</w:t>
      </w:r>
      <w:r w:rsidR="001164D0" w:rsidRPr="00DC7793">
        <w:rPr>
          <w:i/>
        </w:rPr>
        <w:t>i.e</w:t>
      </w:r>
      <w:r w:rsidR="001164D0" w:rsidRPr="00D57747">
        <w:t xml:space="preserve">., </w:t>
      </w:r>
      <w:r w:rsidRPr="00D57747">
        <w:t xml:space="preserve">since </w:t>
      </w:r>
      <w:r w:rsidR="0088419C" w:rsidRPr="00D57747">
        <w:t>it’s</w:t>
      </w:r>
      <w:r w:rsidRPr="00D57747">
        <w:t xml:space="preserve"> rebranding</w:t>
      </w:r>
      <w:r w:rsidR="0088419C">
        <w:t xml:space="preserve"> in 2016</w:t>
      </w:r>
      <w:r w:rsidR="001164D0" w:rsidRPr="00D57747">
        <w:t>)</w:t>
      </w:r>
      <w:r w:rsidRPr="00D57747">
        <w:t xml:space="preserve">.  </w:t>
      </w:r>
      <w:r w:rsidR="001164D0" w:rsidRPr="00D57747">
        <w:t xml:space="preserve">In terms of resources, it has been estimated that </w:t>
      </w:r>
      <w:r w:rsidR="001164D0" w:rsidRPr="00D57747">
        <w:rPr>
          <w:iCs/>
        </w:rPr>
        <w:t>from 2016 to 2020, WIPO Match cost</w:t>
      </w:r>
      <w:r w:rsidR="00E44191" w:rsidRPr="00D57747">
        <w:rPr>
          <w:iCs/>
        </w:rPr>
        <w:t xml:space="preserve"> </w:t>
      </w:r>
      <w:r w:rsidR="001164D0" w:rsidRPr="00D57747">
        <w:rPr>
          <w:iCs/>
        </w:rPr>
        <w:t>the Organization 1.41 million Swiss francs</w:t>
      </w:r>
      <w:r w:rsidR="00810863">
        <w:rPr>
          <w:iCs/>
        </w:rPr>
        <w:t>.</w:t>
      </w:r>
      <w:r w:rsidR="001768C9">
        <w:rPr>
          <w:rStyle w:val="FootnoteReference"/>
          <w:iCs/>
        </w:rPr>
        <w:footnoteReference w:id="4"/>
      </w:r>
      <w:r w:rsidR="0088419C">
        <w:rPr>
          <w:iCs/>
        </w:rPr>
        <w:t xml:space="preserve"> </w:t>
      </w:r>
    </w:p>
    <w:p w:rsidR="00A90709" w:rsidRPr="00D57747" w:rsidRDefault="00A90709" w:rsidP="00A90709">
      <w:pPr>
        <w:pStyle w:val="ListParagraph"/>
        <w:tabs>
          <w:tab w:val="left" w:pos="0"/>
        </w:tabs>
        <w:spacing w:after="220"/>
        <w:ind w:left="0"/>
      </w:pPr>
    </w:p>
    <w:p w:rsidR="00A90709" w:rsidRPr="00D57747" w:rsidRDefault="00D06310" w:rsidP="00921FB1">
      <w:pPr>
        <w:pStyle w:val="ListParagraph"/>
        <w:tabs>
          <w:tab w:val="left" w:pos="0"/>
        </w:tabs>
        <w:spacing w:after="220"/>
        <w:ind w:left="0"/>
      </w:pPr>
      <w:r w:rsidRPr="00D57747">
        <w:rPr>
          <w:iCs/>
        </w:rPr>
        <w:t xml:space="preserve">  </w:t>
      </w:r>
    </w:p>
    <w:p w:rsidR="001164D0" w:rsidRDefault="001164D0" w:rsidP="001164D0">
      <w:pPr>
        <w:pStyle w:val="ListParagraph"/>
        <w:numPr>
          <w:ilvl w:val="0"/>
          <w:numId w:val="19"/>
        </w:numPr>
        <w:rPr>
          <w:u w:val="single"/>
        </w:rPr>
      </w:pPr>
      <w:r w:rsidRPr="00D57747">
        <w:rPr>
          <w:u w:val="single"/>
        </w:rPr>
        <w:t>South-South, North-South and Triangular Cooperation at WIPO</w:t>
      </w:r>
    </w:p>
    <w:p w:rsidR="00C96293" w:rsidRDefault="00C96293" w:rsidP="00C96293">
      <w:pPr>
        <w:pStyle w:val="ListParagraph"/>
        <w:rPr>
          <w:u w:val="single"/>
        </w:rPr>
      </w:pPr>
    </w:p>
    <w:p w:rsidR="00B622D7" w:rsidRPr="00D57747" w:rsidRDefault="00B622D7" w:rsidP="00851F61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 w:rsidRPr="00D57747">
        <w:t>South-South, North-South and Triangular cooperation are increasingly recognized as important modalities of international cooperation for development.  In particular, these type</w:t>
      </w:r>
      <w:r w:rsidR="005603A1" w:rsidRPr="00D57747">
        <w:t>s</w:t>
      </w:r>
      <w:r w:rsidRPr="00D57747">
        <w:t xml:space="preserve"> of cooperation mechanisms and initiatives foster and strengthen the self-reliance of developing countries by en</w:t>
      </w:r>
      <w:r w:rsidR="00851F61">
        <w:t>couraging</w:t>
      </w:r>
      <w:r w:rsidRPr="00D57747">
        <w:t xml:space="preserve"> their innovative and creative capacities to find solutions</w:t>
      </w:r>
      <w:r w:rsidR="00E44191" w:rsidRPr="00D57747">
        <w:t>, tools,</w:t>
      </w:r>
      <w:r w:rsidRPr="00D57747">
        <w:t xml:space="preserve"> and the right technologies to their development </w:t>
      </w:r>
      <w:r w:rsidR="005603A1" w:rsidRPr="00D57747">
        <w:t>challenges</w:t>
      </w:r>
      <w:r w:rsidRPr="00D57747">
        <w:t xml:space="preserve"> and formulate requisite strategies to address them. </w:t>
      </w:r>
    </w:p>
    <w:p w:rsidR="00B622D7" w:rsidRPr="00D57747" w:rsidRDefault="00B622D7" w:rsidP="00B622D7">
      <w:pPr>
        <w:pStyle w:val="ListParagraph"/>
        <w:tabs>
          <w:tab w:val="left" w:pos="0"/>
        </w:tabs>
        <w:spacing w:after="220"/>
        <w:ind w:left="0"/>
      </w:pPr>
    </w:p>
    <w:p w:rsidR="00435C24" w:rsidRPr="00D57747" w:rsidRDefault="00435C24" w:rsidP="00626469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 w:rsidRPr="00D57747">
        <w:t>WIPO Match</w:t>
      </w:r>
      <w:r w:rsidR="003970FC" w:rsidRPr="00D57747">
        <w:t xml:space="preserve"> operate</w:t>
      </w:r>
      <w:r w:rsidR="0091111F" w:rsidRPr="00D57747">
        <w:t>s</w:t>
      </w:r>
      <w:r w:rsidR="003970FC" w:rsidRPr="00D57747">
        <w:t xml:space="preserve"> based o</w:t>
      </w:r>
      <w:r w:rsidR="0091111F" w:rsidRPr="00D57747">
        <w:t>n the principles of partnership</w:t>
      </w:r>
      <w:r w:rsidR="003970FC" w:rsidRPr="00D57747">
        <w:t xml:space="preserve"> creation </w:t>
      </w:r>
      <w:r w:rsidR="00A366B7" w:rsidRPr="00D57747">
        <w:t>between donors and seekers</w:t>
      </w:r>
      <w:r w:rsidR="0091111F" w:rsidRPr="00D57747">
        <w:t>,</w:t>
      </w:r>
      <w:r w:rsidR="00A366B7" w:rsidRPr="00D57747">
        <w:t xml:space="preserve"> and the</w:t>
      </w:r>
      <w:r w:rsidRPr="00D57747">
        <w:t xml:space="preserve"> facilitation </w:t>
      </w:r>
      <w:r w:rsidR="00A366B7" w:rsidRPr="00D57747">
        <w:t>of technical assistance</w:t>
      </w:r>
      <w:r w:rsidR="0091111F" w:rsidRPr="00D57747">
        <w:t xml:space="preserve"> and technology transfer</w:t>
      </w:r>
      <w:r w:rsidR="00A366B7" w:rsidRPr="00D57747">
        <w:t>.  Th</w:t>
      </w:r>
      <w:r w:rsidR="003970FC" w:rsidRPr="00D57747">
        <w:t xml:space="preserve">ese principles in fact, are at the core of any </w:t>
      </w:r>
      <w:r w:rsidRPr="00D57747">
        <w:t>South-South</w:t>
      </w:r>
      <w:r w:rsidR="00A366B7" w:rsidRPr="00D57747">
        <w:t>, North-South and</w:t>
      </w:r>
      <w:r w:rsidRPr="00D57747">
        <w:t xml:space="preserve"> Triangular cooperation </w:t>
      </w:r>
      <w:r w:rsidR="00A366B7" w:rsidRPr="00D57747">
        <w:t xml:space="preserve">initiatives. </w:t>
      </w:r>
      <w:r w:rsidRPr="00D57747">
        <w:t xml:space="preserve"> </w:t>
      </w:r>
    </w:p>
    <w:p w:rsidR="00A90709" w:rsidRPr="00D57747" w:rsidRDefault="00A90709" w:rsidP="00A90709">
      <w:pPr>
        <w:pStyle w:val="ListParagraph"/>
        <w:tabs>
          <w:tab w:val="left" w:pos="0"/>
        </w:tabs>
        <w:spacing w:after="220"/>
        <w:ind w:left="0"/>
      </w:pPr>
    </w:p>
    <w:p w:rsidR="001410D5" w:rsidRPr="00051AF2" w:rsidRDefault="00051AF2" w:rsidP="00C74E7E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 w:rsidRPr="00051AF2">
        <w:t>In addition to responding the DA Recommendation 9, the results brought by the platform contribute to achievement of the Sustainable Development Goals (SDGs)</w:t>
      </w:r>
      <w:r w:rsidR="00851F61">
        <w:t xml:space="preserve"> 9 and 17</w:t>
      </w:r>
      <w:r w:rsidRPr="00051AF2">
        <w:t xml:space="preserve">.  </w:t>
      </w:r>
      <w:r w:rsidR="00A90709" w:rsidRPr="00051AF2">
        <w:t xml:space="preserve">As indicated in the </w:t>
      </w:r>
      <w:r w:rsidR="00C74E7E">
        <w:t>IOD Evaluation</w:t>
      </w:r>
      <w:r w:rsidR="00A90709" w:rsidRPr="00051AF2">
        <w:t>, b</w:t>
      </w:r>
      <w:r w:rsidR="001164D0" w:rsidRPr="00051AF2">
        <w:t xml:space="preserve">y the end of March 2021, WIPO Match was one of the very few WIPO business Units reporting and collaborating with the United Nations Office for South-South Cooperation (UNOSSC) and United Nations Department of Economic and Social Affairs (UNDESA). </w:t>
      </w:r>
      <w:r w:rsidR="00A90709" w:rsidRPr="00051AF2">
        <w:t xml:space="preserve"> </w:t>
      </w:r>
      <w:r w:rsidR="001410D5" w:rsidRPr="00051AF2">
        <w:t xml:space="preserve">UNOSSC </w:t>
      </w:r>
      <w:r w:rsidR="000119C8" w:rsidRPr="00051AF2">
        <w:t>consider</w:t>
      </w:r>
      <w:r w:rsidR="00851F61">
        <w:t>ed</w:t>
      </w:r>
      <w:r w:rsidR="001164D0" w:rsidRPr="00051AF2">
        <w:t xml:space="preserve"> the WIPO Match platform relevant to </w:t>
      </w:r>
      <w:r w:rsidR="001410D5" w:rsidRPr="00051AF2">
        <w:t xml:space="preserve">their work and </w:t>
      </w:r>
      <w:r w:rsidR="000119C8" w:rsidRPr="00051AF2">
        <w:t xml:space="preserve">to </w:t>
      </w:r>
      <w:r w:rsidR="001410D5" w:rsidRPr="00051AF2">
        <w:t xml:space="preserve">the South-South Galaxy platform, while UNDESA integrated WIPO Match within their Online Platform of the Technology Facilitation Mechanism to support the 2030 Agenda for Sustainable Development. </w:t>
      </w:r>
      <w:r w:rsidR="000119C8" w:rsidRPr="00051AF2">
        <w:t xml:space="preserve"> </w:t>
      </w:r>
    </w:p>
    <w:p w:rsidR="00A90709" w:rsidRPr="00D57747" w:rsidRDefault="00A90709" w:rsidP="00A90709">
      <w:pPr>
        <w:pStyle w:val="ListParagraph"/>
        <w:tabs>
          <w:tab w:val="left" w:pos="0"/>
        </w:tabs>
        <w:spacing w:after="220"/>
        <w:ind w:left="0"/>
      </w:pPr>
    </w:p>
    <w:p w:rsidR="006C40AB" w:rsidRPr="00D57747" w:rsidRDefault="005603A1" w:rsidP="007E7A1E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 w:rsidRPr="00D57747">
        <w:t xml:space="preserve">Throughout the years, </w:t>
      </w:r>
      <w:r w:rsidR="00B945DC" w:rsidRPr="00D57747">
        <w:t>WIPO</w:t>
      </w:r>
      <w:r w:rsidR="001768C9">
        <w:t xml:space="preserve"> has</w:t>
      </w:r>
      <w:r w:rsidR="00B945DC" w:rsidRPr="00D57747">
        <w:t xml:space="preserve"> continue</w:t>
      </w:r>
      <w:r w:rsidR="0091111F" w:rsidRPr="00D57747">
        <w:t>d</w:t>
      </w:r>
      <w:r w:rsidR="00B945DC" w:rsidRPr="00D57747">
        <w:t xml:space="preserve"> its efforts to </w:t>
      </w:r>
      <w:r w:rsidRPr="00D57747">
        <w:t>encourage</w:t>
      </w:r>
      <w:r w:rsidR="00B945DC" w:rsidRPr="00D57747">
        <w:t xml:space="preserve"> South-South</w:t>
      </w:r>
      <w:r w:rsidR="00B622D7" w:rsidRPr="00D57747">
        <w:t xml:space="preserve"> and Triangular</w:t>
      </w:r>
      <w:r w:rsidR="00B945DC" w:rsidRPr="00D57747">
        <w:t xml:space="preserve"> cooperation amongst its Member States through different projects and activities</w:t>
      </w:r>
      <w:r w:rsidR="0091111F" w:rsidRPr="00D57747">
        <w:t xml:space="preserve">.  </w:t>
      </w:r>
      <w:r w:rsidR="00B622D7" w:rsidRPr="00D57747">
        <w:t xml:space="preserve">Among other reporting mechanisms, it undertakes a periodic </w:t>
      </w:r>
      <w:r w:rsidR="003970FC" w:rsidRPr="00D57747">
        <w:t>mapping exercise that identifies and groups all South-South cooperation activities ongoing in the Organization.</w:t>
      </w:r>
      <w:r w:rsidR="003970FC" w:rsidRPr="00D57747">
        <w:rPr>
          <w:rStyle w:val="FootnoteReference"/>
        </w:rPr>
        <w:footnoteReference w:id="5"/>
      </w:r>
      <w:r w:rsidR="003970FC" w:rsidRPr="00D57747">
        <w:t> </w:t>
      </w:r>
      <w:r w:rsidR="00810863">
        <w:t xml:space="preserve"> </w:t>
      </w:r>
      <w:r w:rsidR="00B945DC" w:rsidRPr="00D57747">
        <w:t xml:space="preserve">In the 2018/19 biennium, some 20 additional countries engaged in South-South Cooperation, showcasing an increase of 18 percent as compared to 2017. </w:t>
      </w:r>
      <w:r w:rsidR="00B622D7" w:rsidRPr="00D57747">
        <w:t xml:space="preserve"> </w:t>
      </w:r>
    </w:p>
    <w:p w:rsidR="006C40AB" w:rsidRPr="00D57747" w:rsidRDefault="006C40AB" w:rsidP="006C40AB">
      <w:pPr>
        <w:pStyle w:val="ListParagraph"/>
      </w:pPr>
    </w:p>
    <w:p w:rsidR="000119C8" w:rsidRDefault="00A366B7" w:rsidP="00851F61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 w:rsidRPr="00D57747">
        <w:t>WIPO’s vision and mission encapsulated within the Organization’s 2022-2026 Medium Term Strategic Plan (MTSP)</w:t>
      </w:r>
      <w:r w:rsidRPr="00D57747">
        <w:rPr>
          <w:rStyle w:val="FootnoteReference"/>
        </w:rPr>
        <w:footnoteReference w:id="6"/>
      </w:r>
      <w:r w:rsidRPr="00D57747">
        <w:t xml:space="preserve"> places special focus on South-South</w:t>
      </w:r>
      <w:r w:rsidR="00E44191" w:rsidRPr="00D57747">
        <w:t xml:space="preserve"> </w:t>
      </w:r>
      <w:r w:rsidRPr="00D57747">
        <w:t xml:space="preserve">and Triangular cooperation initiatives.  </w:t>
      </w:r>
      <w:r w:rsidR="00851F61">
        <w:t>Hence, i</w:t>
      </w:r>
      <w:r w:rsidR="001B46AF" w:rsidRPr="00D57747">
        <w:t xml:space="preserve">n </w:t>
      </w:r>
      <w:r w:rsidRPr="00D57747">
        <w:t xml:space="preserve">revitalizing its approach and expanding support to such initiatives in the field of innovation and IP at the national, regional and global levels, WIPO intends to utilize the </w:t>
      </w:r>
      <w:r w:rsidR="00851F61">
        <w:t>WIPO Match platform as the</w:t>
      </w:r>
      <w:r w:rsidRPr="00D57747">
        <w:t xml:space="preserve"> backbone </w:t>
      </w:r>
      <w:r w:rsidR="00851F61">
        <w:t>platform</w:t>
      </w:r>
      <w:r w:rsidRPr="00D57747">
        <w:t xml:space="preserve"> to </w:t>
      </w:r>
      <w:r w:rsidR="00851F61">
        <w:t xml:space="preserve">increase </w:t>
      </w:r>
      <w:r w:rsidRPr="00D57747">
        <w:t>transparent</w:t>
      </w:r>
      <w:r w:rsidR="00851F61">
        <w:t xml:space="preserve"> exchange of information</w:t>
      </w:r>
      <w:r w:rsidRPr="00D57747">
        <w:t xml:space="preserve"> </w:t>
      </w:r>
      <w:r w:rsidR="001B46AF" w:rsidRPr="00D57747">
        <w:t>among the stakeholders</w:t>
      </w:r>
      <w:r w:rsidR="00851F61">
        <w:t xml:space="preserve"> in the</w:t>
      </w:r>
      <w:r w:rsidR="00851F61" w:rsidRPr="00851F61">
        <w:t xml:space="preserve"> </w:t>
      </w:r>
      <w:r w:rsidR="00851F61" w:rsidRPr="00D57747">
        <w:t>IP ecosystem</w:t>
      </w:r>
      <w:r w:rsidR="001B46AF" w:rsidRPr="00D57747">
        <w:t xml:space="preserve">, </w:t>
      </w:r>
      <w:r w:rsidR="00B622D7" w:rsidRPr="00D57747">
        <w:t>encourage cooperation</w:t>
      </w:r>
      <w:r w:rsidR="00851F61">
        <w:t xml:space="preserve"> amongst them</w:t>
      </w:r>
      <w:r w:rsidR="00B622D7" w:rsidRPr="00D57747">
        <w:t xml:space="preserve">, </w:t>
      </w:r>
      <w:r w:rsidRPr="00D57747">
        <w:t>and facilitate South-South</w:t>
      </w:r>
      <w:r w:rsidR="000066EB" w:rsidRPr="00D57747">
        <w:t>, North-South</w:t>
      </w:r>
      <w:r w:rsidRPr="00D57747">
        <w:t xml:space="preserve"> and Triangular initiatives.</w:t>
      </w:r>
    </w:p>
    <w:p w:rsidR="006C40AB" w:rsidRDefault="00A366B7" w:rsidP="00051AF2">
      <w:pPr>
        <w:pStyle w:val="ListParagraph"/>
        <w:tabs>
          <w:tab w:val="left" w:pos="0"/>
        </w:tabs>
        <w:spacing w:after="220"/>
        <w:ind w:left="0"/>
      </w:pPr>
      <w:r w:rsidRPr="00D57747">
        <w:t xml:space="preserve"> </w:t>
      </w:r>
    </w:p>
    <w:p w:rsidR="00C96293" w:rsidRDefault="004C0826" w:rsidP="00C96293">
      <w:pPr>
        <w:pStyle w:val="Heading1"/>
        <w:numPr>
          <w:ilvl w:val="0"/>
          <w:numId w:val="8"/>
        </w:numPr>
        <w:spacing w:after="240"/>
        <w:ind w:left="540" w:hanging="540"/>
        <w:rPr>
          <w:b w:val="0"/>
          <w:caps w:val="0"/>
        </w:rPr>
      </w:pPr>
      <w:r w:rsidRPr="00D57747">
        <w:rPr>
          <w:b w:val="0"/>
          <w:caps w:val="0"/>
        </w:rPr>
        <w:t>FUTURE ENHANCEMENT</w:t>
      </w:r>
    </w:p>
    <w:p w:rsidR="00C32F85" w:rsidRDefault="006C40AB" w:rsidP="00061E1E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 w:rsidRPr="00D57747">
        <w:t xml:space="preserve">To better utilize the </w:t>
      </w:r>
      <w:r w:rsidR="00B622D7" w:rsidRPr="00D57747">
        <w:t>existing</w:t>
      </w:r>
      <w:r w:rsidRPr="00D57747">
        <w:t xml:space="preserve"> WIPO Match</w:t>
      </w:r>
      <w:r w:rsidR="00B622D7" w:rsidRPr="00D57747">
        <w:t xml:space="preserve"> platform</w:t>
      </w:r>
      <w:r w:rsidRPr="00D57747">
        <w:t xml:space="preserve"> and to </w:t>
      </w:r>
      <w:r w:rsidR="00061E1E">
        <w:t xml:space="preserve">bring </w:t>
      </w:r>
      <w:r w:rsidRPr="00D57747">
        <w:rPr>
          <w:iCs/>
        </w:rPr>
        <w:t xml:space="preserve">South-South, </w:t>
      </w:r>
      <w:r w:rsidR="00CC3048" w:rsidRPr="00CC3048">
        <w:rPr>
          <w:iCs/>
        </w:rPr>
        <w:t>North</w:t>
      </w:r>
      <w:r w:rsidR="00CC3048" w:rsidRPr="00CC3048">
        <w:rPr>
          <w:iCs/>
        </w:rPr>
        <w:noBreakHyphen/>
      </w:r>
      <w:r w:rsidR="00C96293" w:rsidRPr="00CC3048">
        <w:rPr>
          <w:iCs/>
        </w:rPr>
        <w:t>S</w:t>
      </w:r>
      <w:r w:rsidRPr="00CC3048">
        <w:rPr>
          <w:iCs/>
        </w:rPr>
        <w:t>outh and Triangular cooperation activities</w:t>
      </w:r>
      <w:r w:rsidR="00061E1E">
        <w:rPr>
          <w:iCs/>
        </w:rPr>
        <w:t xml:space="preserve"> under sharp focus</w:t>
      </w:r>
      <w:r w:rsidRPr="00CC3048">
        <w:rPr>
          <w:iCs/>
        </w:rPr>
        <w:t xml:space="preserve">, the current platform will be </w:t>
      </w:r>
      <w:r w:rsidR="00C74E7E" w:rsidRPr="00CC3048">
        <w:rPr>
          <w:iCs/>
        </w:rPr>
        <w:t>technically improved</w:t>
      </w:r>
      <w:r w:rsidR="00C74E7E" w:rsidRPr="00D57747">
        <w:rPr>
          <w:iCs/>
        </w:rPr>
        <w:t xml:space="preserve">, </w:t>
      </w:r>
      <w:r w:rsidRPr="00D57747">
        <w:rPr>
          <w:iCs/>
        </w:rPr>
        <w:t xml:space="preserve">restructured, and </w:t>
      </w:r>
      <w:r w:rsidRPr="00C32F85">
        <w:rPr>
          <w:iCs/>
        </w:rPr>
        <w:t>e</w:t>
      </w:r>
      <w:r w:rsidR="00C74E7E" w:rsidRPr="00C32F85">
        <w:rPr>
          <w:iCs/>
        </w:rPr>
        <w:t>xpanded</w:t>
      </w:r>
      <w:r w:rsidRPr="00C32F85">
        <w:rPr>
          <w:iCs/>
        </w:rPr>
        <w:t xml:space="preserve"> </w:t>
      </w:r>
      <w:r w:rsidRPr="00C32F85">
        <w:t xml:space="preserve">to provide more </w:t>
      </w:r>
      <w:r w:rsidR="00C32F85" w:rsidRPr="00C32F85">
        <w:t>tools</w:t>
      </w:r>
      <w:r w:rsidR="00C74E7E" w:rsidRPr="00C32F85">
        <w:t xml:space="preserve">, </w:t>
      </w:r>
      <w:r w:rsidRPr="00C32F85">
        <w:t>services</w:t>
      </w:r>
      <w:r w:rsidR="00F53A2D" w:rsidRPr="00C32F85">
        <w:t xml:space="preserve"> and functionalities</w:t>
      </w:r>
      <w:r w:rsidRPr="00C32F85">
        <w:t xml:space="preserve"> </w:t>
      </w:r>
      <w:r w:rsidR="005603A1" w:rsidRPr="00C32F85">
        <w:t>that would</w:t>
      </w:r>
      <w:r w:rsidRPr="00C32F85">
        <w:t xml:space="preserve"> help </w:t>
      </w:r>
      <w:r w:rsidR="00C74E7E" w:rsidRPr="00C32F85">
        <w:t>deliver better results.</w:t>
      </w:r>
      <w:r w:rsidR="00C32F85" w:rsidRPr="00C32F85">
        <w:t xml:space="preserve">  In addition to seeker-donor collaboration, the platform will include other mechanisms of cooperation, such as South-South, North-South and Triangular cooperation, as well as public-private partnerships, where WIPO’s role as facilitator is more pronounced and the results of such cooperation are better mainstreamed</w:t>
      </w:r>
    </w:p>
    <w:p w:rsidR="00C32F85" w:rsidRDefault="00C32F85" w:rsidP="00C32F85">
      <w:pPr>
        <w:pStyle w:val="ListParagraph"/>
        <w:tabs>
          <w:tab w:val="left" w:pos="0"/>
        </w:tabs>
        <w:spacing w:after="220"/>
        <w:ind w:left="0"/>
      </w:pPr>
    </w:p>
    <w:p w:rsidR="00C32F85" w:rsidRDefault="00C32F85" w:rsidP="00C96293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>The guiding principles of the enhanced platform will be: (</w:t>
      </w:r>
      <w:proofErr w:type="spellStart"/>
      <w:r>
        <w:t>i</w:t>
      </w:r>
      <w:proofErr w:type="spellEnd"/>
      <w:r>
        <w:t>) right-sizing its scope</w:t>
      </w:r>
      <w:r w:rsidR="00C96293">
        <w:t xml:space="preserve">; </w:t>
      </w:r>
      <w:r>
        <w:t>(ii)</w:t>
      </w:r>
      <w:r w:rsidR="00C96293">
        <w:t> </w:t>
      </w:r>
      <w:r>
        <w:t>efficient administration at low running costs; (iii) avoidance of duplication as well as redundancy of information and functions; and (iv)</w:t>
      </w:r>
      <w:r w:rsidR="00C96293">
        <w:t xml:space="preserve"> </w:t>
      </w:r>
      <w:r>
        <w:t xml:space="preserve">reliance on the existing in-house information and databases. </w:t>
      </w:r>
    </w:p>
    <w:p w:rsidR="00851F61" w:rsidRDefault="00851F61" w:rsidP="00851F61">
      <w:pPr>
        <w:pStyle w:val="ListParagraph"/>
        <w:tabs>
          <w:tab w:val="left" w:pos="0"/>
        </w:tabs>
        <w:spacing w:after="220"/>
        <w:ind w:left="0"/>
      </w:pPr>
    </w:p>
    <w:p w:rsidR="00851F61" w:rsidRPr="00D57747" w:rsidRDefault="00061E1E" w:rsidP="00DB60CA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>T</w:t>
      </w:r>
      <w:r w:rsidR="00C32F85">
        <w:t xml:space="preserve">he </w:t>
      </w:r>
      <w:r w:rsidR="00851F61">
        <w:t xml:space="preserve">information </w:t>
      </w:r>
      <w:r w:rsidR="006F3850">
        <w:t>populated</w:t>
      </w:r>
      <w:r w:rsidR="00851F61">
        <w:t xml:space="preserve"> on the platform will be structured by thematic clusters</w:t>
      </w:r>
      <w:r w:rsidR="003C2DF9">
        <w:t xml:space="preserve"> that </w:t>
      </w:r>
      <w:r w:rsidR="00B46390">
        <w:t xml:space="preserve">will focus on areas </w:t>
      </w:r>
      <w:r>
        <w:t>in which</w:t>
      </w:r>
      <w:r w:rsidR="00B46390">
        <w:t xml:space="preserve"> </w:t>
      </w:r>
      <w:r w:rsidR="003C2DF9">
        <w:t xml:space="preserve">WIPO’s </w:t>
      </w:r>
      <w:r w:rsidR="00B46390">
        <w:t xml:space="preserve">focus </w:t>
      </w:r>
      <w:r>
        <w:t xml:space="preserve">and </w:t>
      </w:r>
      <w:r w:rsidR="00DB60CA">
        <w:t>efforts</w:t>
      </w:r>
      <w:r w:rsidR="00113A03">
        <w:t xml:space="preserve"> </w:t>
      </w:r>
      <w:r w:rsidR="003C2DF9">
        <w:t>could be amplified</w:t>
      </w:r>
      <w:r>
        <w:t xml:space="preserve"> </w:t>
      </w:r>
      <w:r w:rsidR="00B46390">
        <w:t>when</w:t>
      </w:r>
      <w:r w:rsidR="006F3850">
        <w:t xml:space="preserve"> providing technical assistance</w:t>
      </w:r>
      <w:r w:rsidR="00851F61">
        <w:t xml:space="preserve">. </w:t>
      </w:r>
      <w:r w:rsidR="006F3850">
        <w:t xml:space="preserve"> </w:t>
      </w:r>
      <w:r w:rsidR="006F3850" w:rsidRPr="006F3850">
        <w:t>For example, food security and agriculture; IP and public health; green innovation; improvement of IP management; creative industries; and others.  Countries will be invited to contribute with their stories and best practices under each of those clusters</w:t>
      </w:r>
      <w:r w:rsidR="006F3850">
        <w:t>, while WIPO will facilitate cooperation initiatives creation and complement with the delivery of technical, human and financial resources</w:t>
      </w:r>
      <w:r w:rsidR="006F3850" w:rsidRPr="006F3850">
        <w:t xml:space="preserve">. </w:t>
      </w:r>
      <w:r w:rsidR="006F3850">
        <w:t xml:space="preserve"> </w:t>
      </w:r>
    </w:p>
    <w:p w:rsidR="000066EB" w:rsidRPr="00D57747" w:rsidRDefault="000066EB" w:rsidP="000066EB">
      <w:pPr>
        <w:pStyle w:val="ListParagraph"/>
      </w:pPr>
    </w:p>
    <w:p w:rsidR="000066EB" w:rsidRPr="00D57747" w:rsidRDefault="000066EB" w:rsidP="00DA0950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 w:rsidRPr="00D57747">
        <w:t xml:space="preserve">By combining </w:t>
      </w:r>
      <w:r w:rsidR="00DA0950" w:rsidRPr="00D57747">
        <w:t xml:space="preserve">together </w:t>
      </w:r>
      <w:r w:rsidRPr="00D57747">
        <w:t>the</w:t>
      </w:r>
      <w:r w:rsidR="00DA0950" w:rsidRPr="00D57747">
        <w:t xml:space="preserve">se </w:t>
      </w:r>
      <w:r w:rsidRPr="00D57747">
        <w:t>two streams</w:t>
      </w:r>
      <w:r w:rsidR="00DA0950" w:rsidRPr="00D57747">
        <w:t xml:space="preserve"> of WIPO’s development cooperation work –  WIPO Match; and South-South, North-South and Triangular cooperation work –</w:t>
      </w:r>
      <w:r w:rsidR="00AC49FE" w:rsidRPr="00D57747">
        <w:t xml:space="preserve"> and</w:t>
      </w:r>
      <w:r w:rsidR="00DA0950" w:rsidRPr="00D57747">
        <w:t xml:space="preserve"> by</w:t>
      </w:r>
      <w:r w:rsidR="00AC49FE" w:rsidRPr="00D57747">
        <w:t xml:space="preserve"> </w:t>
      </w:r>
      <w:r w:rsidR="00DA0950" w:rsidRPr="00D57747">
        <w:t>streamlining resources, WIPO would avoid duplication of work and allocation of resources towards actions that are leading to similar results</w:t>
      </w:r>
      <w:r w:rsidR="00186046" w:rsidRPr="00D57747">
        <w:t>.  Moreover,</w:t>
      </w:r>
      <w:r w:rsidR="00DA0950" w:rsidRPr="00D57747">
        <w:t xml:space="preserve"> once merged and enhanced, </w:t>
      </w:r>
      <w:r w:rsidR="00186046" w:rsidRPr="00D57747">
        <w:t>the new platform will provide the fo</w:t>
      </w:r>
      <w:r w:rsidR="00DA0950" w:rsidRPr="00D57747">
        <w:t xml:space="preserve">llowing: </w:t>
      </w:r>
    </w:p>
    <w:p w:rsidR="00DA0950" w:rsidRPr="00D57747" w:rsidRDefault="00DA0950" w:rsidP="00DA0950">
      <w:pPr>
        <w:pStyle w:val="ListParagraph"/>
      </w:pPr>
    </w:p>
    <w:p w:rsidR="000066EB" w:rsidRPr="00D57747" w:rsidRDefault="000066EB" w:rsidP="000A64B6">
      <w:pPr>
        <w:pStyle w:val="ListParagraph"/>
        <w:numPr>
          <w:ilvl w:val="0"/>
          <w:numId w:val="22"/>
        </w:numPr>
      </w:pPr>
      <w:r w:rsidRPr="00D57747">
        <w:t xml:space="preserve">A more </w:t>
      </w:r>
      <w:r w:rsidR="00E44191" w:rsidRPr="00D57747">
        <w:t>user-friendly</w:t>
      </w:r>
      <w:r w:rsidRPr="00D57747">
        <w:t xml:space="preserve"> platform that will offer the possibility to exchange success stories and experiences in various areas of </w:t>
      </w:r>
      <w:r w:rsidR="00E44191" w:rsidRPr="00D57747">
        <w:t>IP</w:t>
      </w:r>
      <w:r w:rsidRPr="00D57747">
        <w:t xml:space="preserve"> and to</w:t>
      </w:r>
      <w:r w:rsidR="00DA0950" w:rsidRPr="00D57747">
        <w:t xml:space="preserve"> engage with </w:t>
      </w:r>
      <w:r w:rsidR="00186046" w:rsidRPr="00D57747">
        <w:t>peers with the view of creating potential cooperation initiation or partnerships</w:t>
      </w:r>
      <w:r w:rsidR="00DA0950" w:rsidRPr="00D57747">
        <w:t xml:space="preserve">. </w:t>
      </w:r>
    </w:p>
    <w:p w:rsidR="000066EB" w:rsidRPr="00D57747" w:rsidRDefault="000066EB" w:rsidP="000A64B6">
      <w:pPr>
        <w:pStyle w:val="ListParagraph"/>
        <w:numPr>
          <w:ilvl w:val="0"/>
          <w:numId w:val="22"/>
        </w:numPr>
      </w:pPr>
      <w:r w:rsidRPr="00D57747">
        <w:t>A platform that provides consolidated and coordinated information on WIPO’s work in the area of South-South, North-S</w:t>
      </w:r>
      <w:r w:rsidR="00DA0950" w:rsidRPr="00D57747">
        <w:t>outh and Triangular Cooperation.</w:t>
      </w:r>
    </w:p>
    <w:p w:rsidR="000A64B6" w:rsidRPr="00D57747" w:rsidRDefault="000A64B6" w:rsidP="000A64B6">
      <w:pPr>
        <w:pStyle w:val="ListParagraph"/>
        <w:numPr>
          <w:ilvl w:val="0"/>
          <w:numId w:val="22"/>
        </w:numPr>
      </w:pPr>
      <w:r w:rsidRPr="00D57747">
        <w:t xml:space="preserve">An established </w:t>
      </w:r>
      <w:r w:rsidR="00E44191" w:rsidRPr="00D57747">
        <w:t xml:space="preserve">support network </w:t>
      </w:r>
      <w:r w:rsidRPr="00D57747">
        <w:t>for matchmaking</w:t>
      </w:r>
      <w:r w:rsidR="00E44191" w:rsidRPr="00D57747">
        <w:t>s</w:t>
      </w:r>
      <w:r w:rsidRPr="00D57747">
        <w:t xml:space="preserve"> in the field of innovation and IP</w:t>
      </w:r>
      <w:r w:rsidR="00E44191" w:rsidRPr="00D57747">
        <w:t xml:space="preserve"> facilitated by WIPO</w:t>
      </w:r>
      <w:r w:rsidR="00DA0950" w:rsidRPr="00D57747">
        <w:t>.</w:t>
      </w:r>
      <w:r w:rsidRPr="00D57747">
        <w:t xml:space="preserve"> </w:t>
      </w:r>
    </w:p>
    <w:p w:rsidR="000A64B6" w:rsidRPr="00D57747" w:rsidRDefault="000A64B6" w:rsidP="000A64B6">
      <w:pPr>
        <w:pStyle w:val="ListParagraph"/>
        <w:numPr>
          <w:ilvl w:val="0"/>
          <w:numId w:val="22"/>
        </w:numPr>
      </w:pPr>
      <w:r w:rsidRPr="00D57747">
        <w:t>A</w:t>
      </w:r>
      <w:r w:rsidR="00921FB1" w:rsidRPr="00D57747">
        <w:t xml:space="preserve"> fixed</w:t>
      </w:r>
      <w:r w:rsidRPr="00D57747">
        <w:t xml:space="preserve"> mechanism to involve all stakeholders in new initiatives and </w:t>
      </w:r>
      <w:r w:rsidR="00DA0950" w:rsidRPr="00D57747">
        <w:t>partnerships.</w:t>
      </w:r>
      <w:r w:rsidRPr="00D57747">
        <w:t xml:space="preserve"> </w:t>
      </w:r>
    </w:p>
    <w:p w:rsidR="002A0ADA" w:rsidRPr="00D57747" w:rsidRDefault="002A0ADA" w:rsidP="000A64B6">
      <w:pPr>
        <w:pStyle w:val="ListParagraph"/>
        <w:numPr>
          <w:ilvl w:val="0"/>
          <w:numId w:val="22"/>
        </w:numPr>
      </w:pPr>
      <w:r w:rsidRPr="00D57747">
        <w:t xml:space="preserve">A </w:t>
      </w:r>
      <w:r w:rsidR="00E44191" w:rsidRPr="00D57747">
        <w:t>better-defined</w:t>
      </w:r>
      <w:r w:rsidRPr="00D57747">
        <w:t xml:space="preserve"> and </w:t>
      </w:r>
      <w:r w:rsidR="00E44191" w:rsidRPr="00D57747">
        <w:t>strengthened</w:t>
      </w:r>
      <w:r w:rsidRPr="00D57747">
        <w:t xml:space="preserve"> role of WIPO as facilitator of South-South, North-South and Triangular Cooperation. </w:t>
      </w:r>
    </w:p>
    <w:p w:rsidR="000066EB" w:rsidRPr="00D57747" w:rsidRDefault="000A64B6" w:rsidP="000A64B6">
      <w:pPr>
        <w:pStyle w:val="ListParagraph"/>
        <w:numPr>
          <w:ilvl w:val="0"/>
          <w:numId w:val="22"/>
        </w:numPr>
      </w:pPr>
      <w:r w:rsidRPr="00D57747">
        <w:t xml:space="preserve">An </w:t>
      </w:r>
      <w:r w:rsidR="00E44191" w:rsidRPr="00D57747">
        <w:t>improved</w:t>
      </w:r>
      <w:r w:rsidRPr="00D57747">
        <w:t xml:space="preserve"> mechanism for regular update, improvement and reporting on South-Sou</w:t>
      </w:r>
      <w:r w:rsidR="002A0ADA" w:rsidRPr="00D57747">
        <w:t>th, North-South and Triangular c</w:t>
      </w:r>
      <w:r w:rsidRPr="00D57747">
        <w:t>ooperation</w:t>
      </w:r>
      <w:r w:rsidR="002A0ADA" w:rsidRPr="00D57747">
        <w:t xml:space="preserve"> initiatives</w:t>
      </w:r>
      <w:r w:rsidRPr="00D57747">
        <w:t xml:space="preserve">. </w:t>
      </w:r>
    </w:p>
    <w:p w:rsidR="000066EB" w:rsidRPr="00D57747" w:rsidRDefault="000066EB" w:rsidP="000066EB">
      <w:pPr>
        <w:pStyle w:val="ListParagraph"/>
      </w:pPr>
    </w:p>
    <w:p w:rsidR="006F3850" w:rsidRDefault="006F3850" w:rsidP="00C74E7E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 xml:space="preserve">When developing the document detailing the required technical </w:t>
      </w:r>
      <w:r w:rsidRPr="006F3850">
        <w:t xml:space="preserve">improvements </w:t>
      </w:r>
      <w:r>
        <w:t xml:space="preserve">to the </w:t>
      </w:r>
      <w:bookmarkStart w:id="5" w:name="_GoBack"/>
      <w:bookmarkEnd w:id="5"/>
      <w:r>
        <w:t xml:space="preserve">current WIPO Match platform </w:t>
      </w:r>
      <w:r w:rsidRPr="006F3850">
        <w:t xml:space="preserve">as well as </w:t>
      </w:r>
      <w:r>
        <w:t xml:space="preserve">the </w:t>
      </w:r>
      <w:r w:rsidRPr="006F3850">
        <w:t xml:space="preserve">structural enhancements of </w:t>
      </w:r>
      <w:r>
        <w:t>the</w:t>
      </w:r>
      <w:r w:rsidRPr="006F3850">
        <w:t xml:space="preserve"> interface</w:t>
      </w:r>
      <w:r>
        <w:t xml:space="preserve">, WIPO will take into account the principles described in this Strategy, the main findings of the </w:t>
      </w:r>
      <w:r w:rsidR="00C74E7E">
        <w:t>IOD Evaluation</w:t>
      </w:r>
      <w:r>
        <w:t xml:space="preserve"> of WIPO Match described in para. 9, and the comments made by Member States</w:t>
      </w:r>
      <w:r w:rsidR="00445A2E">
        <w:t>.</w:t>
      </w:r>
    </w:p>
    <w:p w:rsidR="00445A2E" w:rsidRDefault="00445A2E" w:rsidP="00445A2E">
      <w:pPr>
        <w:pStyle w:val="ListParagraph"/>
        <w:tabs>
          <w:tab w:val="left" w:pos="0"/>
        </w:tabs>
        <w:spacing w:after="220"/>
        <w:ind w:left="0"/>
      </w:pPr>
    </w:p>
    <w:p w:rsidR="00445A2E" w:rsidRDefault="00445A2E" w:rsidP="00445A2E">
      <w:pPr>
        <w:pStyle w:val="ListParagraph"/>
        <w:numPr>
          <w:ilvl w:val="0"/>
          <w:numId w:val="7"/>
        </w:numPr>
        <w:tabs>
          <w:tab w:val="left" w:pos="0"/>
        </w:tabs>
        <w:spacing w:after="720"/>
        <w:ind w:left="5530" w:firstLine="0"/>
        <w:contextualSpacing w:val="0"/>
      </w:pPr>
      <w:r w:rsidRPr="00D57747">
        <w:rPr>
          <w:i/>
        </w:rPr>
        <w:t xml:space="preserve">The CDIP is invited to </w:t>
      </w:r>
      <w:r w:rsidRPr="00D57747">
        <w:t>consider</w:t>
      </w:r>
      <w:r w:rsidRPr="00D57747">
        <w:rPr>
          <w:i/>
        </w:rPr>
        <w:t xml:space="preserve"> the information contained in the present document.</w:t>
      </w:r>
    </w:p>
    <w:p w:rsidR="00445A2E" w:rsidRPr="00445A2E" w:rsidRDefault="00445A2E" w:rsidP="00445A2E">
      <w:pPr>
        <w:pStyle w:val="ListParagraph"/>
        <w:tabs>
          <w:tab w:val="left" w:pos="0"/>
        </w:tabs>
        <w:spacing w:after="220"/>
        <w:ind w:left="5533"/>
      </w:pPr>
      <w:r w:rsidRPr="00445A2E">
        <w:t>[End of document]</w:t>
      </w:r>
    </w:p>
    <w:sectPr w:rsidR="00445A2E" w:rsidRPr="00445A2E" w:rsidSect="009307F5">
      <w:headerReference w:type="even" r:id="rId11"/>
      <w:headerReference w:type="default" r:id="rId12"/>
      <w:headerReference w:type="first" r:id="rId13"/>
      <w:endnotePr>
        <w:numFmt w:val="decimal"/>
      </w:endnotePr>
      <w:pgSz w:w="11907" w:h="16840" w:code="9"/>
      <w:pgMar w:top="1105" w:right="1134" w:bottom="1418" w:left="1560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5A4" w:rsidRDefault="005515A4" w:rsidP="001902DF">
      <w:r>
        <w:separator/>
      </w:r>
    </w:p>
  </w:endnote>
  <w:endnote w:type="continuationSeparator" w:id="0">
    <w:p w:rsidR="005515A4" w:rsidRDefault="005515A4" w:rsidP="0019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5A4" w:rsidRDefault="005515A4" w:rsidP="001902DF">
      <w:r>
        <w:separator/>
      </w:r>
    </w:p>
  </w:footnote>
  <w:footnote w:type="continuationSeparator" w:id="0">
    <w:p w:rsidR="005515A4" w:rsidRDefault="005515A4" w:rsidP="001902DF">
      <w:r>
        <w:continuationSeparator/>
      </w:r>
    </w:p>
  </w:footnote>
  <w:footnote w:id="1">
    <w:p w:rsidR="00777E2E" w:rsidRDefault="00777E2E">
      <w:pPr>
        <w:pStyle w:val="FootnoteText"/>
      </w:pPr>
      <w:r>
        <w:rPr>
          <w:rStyle w:val="FootnoteReference"/>
        </w:rPr>
        <w:footnoteRef/>
      </w:r>
      <w:r>
        <w:t xml:space="preserve"> More information on the DA Project on </w:t>
      </w:r>
      <w:r w:rsidRPr="00E44191">
        <w:t xml:space="preserve">Enhancing South-South Cooperation on IP and Development among Developing Countries and </w:t>
      </w:r>
      <w:r>
        <w:t xml:space="preserve">LDC is available at: </w:t>
      </w:r>
      <w:hyperlink r:id="rId1" w:history="1">
        <w:r w:rsidRPr="00164A28">
          <w:rPr>
            <w:rStyle w:val="Hyperlink"/>
          </w:rPr>
          <w:t>https://dacatalogue.wipo.int/projects/DA_1_10_11_13_19_25_32_01</w:t>
        </w:r>
      </w:hyperlink>
      <w:r>
        <w:t xml:space="preserve"> </w:t>
      </w:r>
    </w:p>
  </w:footnote>
  <w:footnote w:id="2">
    <w:p w:rsidR="008C4EE3" w:rsidRDefault="008C4EE3">
      <w:pPr>
        <w:pStyle w:val="FootnoteText"/>
      </w:pPr>
      <w:r>
        <w:rPr>
          <w:rStyle w:val="FootnoteReference"/>
        </w:rPr>
        <w:footnoteRef/>
      </w:r>
      <w:r>
        <w:t xml:space="preserve"> The </w:t>
      </w:r>
      <w:r w:rsidR="00C74E7E">
        <w:t xml:space="preserve">IOD </w:t>
      </w:r>
      <w:r>
        <w:t xml:space="preserve">Evaluation Report can be found at: </w:t>
      </w:r>
      <w:hyperlink r:id="rId2" w:history="1">
        <w:r w:rsidRPr="00047FB6">
          <w:rPr>
            <w:rStyle w:val="Hyperlink"/>
          </w:rPr>
          <w:t>https://www.wipo.int/export/sites/www/about-wipo/en/oversight/iaod/evaluation/pdf/210617_report_evaluation_of_wipo_match_for_publication.pdf</w:t>
        </w:r>
      </w:hyperlink>
      <w:r>
        <w:t xml:space="preserve"> </w:t>
      </w:r>
    </w:p>
  </w:footnote>
  <w:footnote w:id="3">
    <w:p w:rsidR="002113BE" w:rsidRDefault="002113BE">
      <w:pPr>
        <w:pStyle w:val="FootnoteText"/>
      </w:pPr>
      <w:r>
        <w:rPr>
          <w:rStyle w:val="FootnoteReference"/>
        </w:rPr>
        <w:footnoteRef/>
      </w:r>
      <w:r>
        <w:t xml:space="preserve"> The WIPO Performance Report (WPR) 2018/19 is available at: </w:t>
      </w:r>
      <w:hyperlink r:id="rId3" w:history="1">
        <w:r w:rsidRPr="00164A28">
          <w:rPr>
            <w:rStyle w:val="Hyperlink"/>
          </w:rPr>
          <w:t>https://www.wipo.int/meetings/en/doc_details.jsp?doc_id=506751</w:t>
        </w:r>
      </w:hyperlink>
      <w:r>
        <w:t xml:space="preserve"> </w:t>
      </w:r>
    </w:p>
  </w:footnote>
  <w:footnote w:id="4">
    <w:p w:rsidR="001768C9" w:rsidRDefault="001768C9">
      <w:pPr>
        <w:pStyle w:val="FootnoteText"/>
      </w:pPr>
      <w:r>
        <w:rPr>
          <w:rStyle w:val="FootnoteReference"/>
        </w:rPr>
        <w:footnoteRef/>
      </w:r>
      <w:r>
        <w:t xml:space="preserve"> Para. 91, Evaluation of WIPO Match, available at: </w:t>
      </w:r>
      <w:hyperlink r:id="rId4" w:history="1">
        <w:r w:rsidRPr="00587F53">
          <w:rPr>
            <w:rStyle w:val="Hyperlink"/>
          </w:rPr>
          <w:t>https://www.wipo.int/export/sites/www/about-wipo/en/oversight/iaod/evaluation/pdf/210617_report_evaluation_of_wipo_match_for_publication.pdf</w:t>
        </w:r>
      </w:hyperlink>
      <w:r>
        <w:t xml:space="preserve"> </w:t>
      </w:r>
    </w:p>
  </w:footnote>
  <w:footnote w:id="5">
    <w:p w:rsidR="003970FC" w:rsidRDefault="003970FC" w:rsidP="003970FC">
      <w:pPr>
        <w:pStyle w:val="FootnoteText"/>
      </w:pPr>
      <w:r>
        <w:rPr>
          <w:rStyle w:val="FootnoteReference"/>
        </w:rPr>
        <w:footnoteRef/>
      </w:r>
      <w:r>
        <w:t xml:space="preserve"> The Mapping o</w:t>
      </w:r>
      <w:r w:rsidRPr="00B945DC">
        <w:t xml:space="preserve">f South-South Activities supported by WIPO </w:t>
      </w:r>
      <w:r>
        <w:t xml:space="preserve">in 2019, is available at: </w:t>
      </w:r>
      <w:hyperlink r:id="rId5" w:history="1">
        <w:r w:rsidRPr="00164A28">
          <w:rPr>
            <w:rStyle w:val="Hyperlink"/>
          </w:rPr>
          <w:t>https://www.wipo.int/export/sites/www/cooperation/en/south_south/docs/mapping_activities_2019.pdf</w:t>
        </w:r>
      </w:hyperlink>
      <w:r>
        <w:t xml:space="preserve"> </w:t>
      </w:r>
    </w:p>
  </w:footnote>
  <w:footnote w:id="6">
    <w:p w:rsidR="00A366B7" w:rsidRDefault="00A366B7">
      <w:pPr>
        <w:pStyle w:val="FootnoteText"/>
      </w:pPr>
      <w:r>
        <w:rPr>
          <w:rStyle w:val="FootnoteReference"/>
        </w:rPr>
        <w:footnoteRef/>
      </w:r>
      <w:r>
        <w:t xml:space="preserve"> The WIPO </w:t>
      </w:r>
      <w:r w:rsidRPr="00A366B7">
        <w:t>Medium-Term Strategic Plan (MTSP) 2022-2026</w:t>
      </w:r>
      <w:r>
        <w:t xml:space="preserve"> is available at: </w:t>
      </w:r>
      <w:hyperlink r:id="rId6" w:history="1">
        <w:r w:rsidRPr="00164A28">
          <w:rPr>
            <w:rStyle w:val="Hyperlink"/>
          </w:rPr>
          <w:t>https://www.wipo.int/meetings/en/doc_details.jsp?doc_id=541373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EE3" w:rsidRPr="002326AB" w:rsidRDefault="008C4EE3" w:rsidP="001B4819">
    <w:pPr>
      <w:jc w:val="right"/>
      <w:rPr>
        <w:caps/>
      </w:rPr>
    </w:pPr>
    <w:r>
      <w:rPr>
        <w:caps/>
      </w:rPr>
      <w:t>CDIP/28/</w:t>
    </w:r>
    <w:r w:rsidR="00FD53E3">
      <w:rPr>
        <w:caps/>
      </w:rPr>
      <w:t>5</w:t>
    </w:r>
  </w:p>
  <w:p w:rsidR="009307F5" w:rsidRDefault="009307F5" w:rsidP="009307F5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449A8">
      <w:rPr>
        <w:noProof/>
      </w:rPr>
      <w:t>4</w:t>
    </w:r>
    <w:r>
      <w:fldChar w:fldCharType="end"/>
    </w:r>
  </w:p>
  <w:p w:rsidR="008C4EE3" w:rsidRDefault="008C4EE3" w:rsidP="004340AB">
    <w:pPr>
      <w:jc w:val="right"/>
    </w:pPr>
  </w:p>
  <w:p w:rsidR="00CE4675" w:rsidRDefault="00CE4675" w:rsidP="004340A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EE3" w:rsidRPr="002326AB" w:rsidRDefault="008C4EE3" w:rsidP="001B4819">
    <w:pPr>
      <w:jc w:val="right"/>
      <w:rPr>
        <w:caps/>
      </w:rPr>
    </w:pPr>
    <w:r>
      <w:rPr>
        <w:caps/>
      </w:rPr>
      <w:t>CDIP/28/</w:t>
    </w:r>
    <w:r w:rsidR="00FD53E3">
      <w:rPr>
        <w:caps/>
      </w:rPr>
      <w:t>5</w:t>
    </w:r>
  </w:p>
  <w:p w:rsidR="009307F5" w:rsidRDefault="009307F5" w:rsidP="009307F5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449A8">
      <w:rPr>
        <w:noProof/>
      </w:rPr>
      <w:t>5</w:t>
    </w:r>
    <w:r>
      <w:fldChar w:fldCharType="end"/>
    </w:r>
  </w:p>
  <w:p w:rsidR="008C4EE3" w:rsidRDefault="008C4EE3" w:rsidP="008C4EE3">
    <w:pPr>
      <w:jc w:val="right"/>
    </w:pPr>
  </w:p>
  <w:p w:rsidR="008C4EE3" w:rsidRDefault="008C4EE3" w:rsidP="008C4EE3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EE3" w:rsidRPr="002326AB" w:rsidRDefault="008C4EE3" w:rsidP="008C4EE3">
    <w:pPr>
      <w:jc w:val="right"/>
      <w:rPr>
        <w:caps/>
      </w:rPr>
    </w:pPr>
  </w:p>
  <w:p w:rsidR="008C4EE3" w:rsidRDefault="008C4E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9570A0D"/>
    <w:multiLevelType w:val="hybridMultilevel"/>
    <w:tmpl w:val="8852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B5A1E"/>
    <w:multiLevelType w:val="hybridMultilevel"/>
    <w:tmpl w:val="0AEE88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A382C"/>
    <w:multiLevelType w:val="hybridMultilevel"/>
    <w:tmpl w:val="0E10EC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53E95"/>
    <w:multiLevelType w:val="hybridMultilevel"/>
    <w:tmpl w:val="5C64C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88A78C8"/>
    <w:multiLevelType w:val="hybridMultilevel"/>
    <w:tmpl w:val="A0148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F3A7C"/>
    <w:multiLevelType w:val="hybridMultilevel"/>
    <w:tmpl w:val="E5EE8C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B41EA"/>
    <w:multiLevelType w:val="hybridMultilevel"/>
    <w:tmpl w:val="DCAE8FD4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110" w:hanging="360"/>
      </w:pPr>
    </w:lvl>
    <w:lvl w:ilvl="2" w:tplc="0409001B">
      <w:start w:val="1"/>
      <w:numFmt w:val="lowerRoman"/>
      <w:lvlText w:val="%3."/>
      <w:lvlJc w:val="right"/>
      <w:pPr>
        <w:ind w:left="7830" w:hanging="180"/>
      </w:pPr>
    </w:lvl>
    <w:lvl w:ilvl="3" w:tplc="0409000F">
      <w:start w:val="1"/>
      <w:numFmt w:val="decimal"/>
      <w:lvlText w:val="%4."/>
      <w:lvlJc w:val="left"/>
      <w:pPr>
        <w:ind w:left="8550" w:hanging="360"/>
      </w:pPr>
    </w:lvl>
    <w:lvl w:ilvl="4" w:tplc="04090019">
      <w:start w:val="1"/>
      <w:numFmt w:val="lowerLetter"/>
      <w:lvlText w:val="%5."/>
      <w:lvlJc w:val="left"/>
      <w:pPr>
        <w:ind w:left="9270" w:hanging="360"/>
      </w:pPr>
    </w:lvl>
    <w:lvl w:ilvl="5" w:tplc="0409001B">
      <w:start w:val="1"/>
      <w:numFmt w:val="lowerRoman"/>
      <w:lvlText w:val="%6."/>
      <w:lvlJc w:val="right"/>
      <w:pPr>
        <w:ind w:left="9990" w:hanging="180"/>
      </w:pPr>
    </w:lvl>
    <w:lvl w:ilvl="6" w:tplc="0409000F">
      <w:start w:val="1"/>
      <w:numFmt w:val="decimal"/>
      <w:lvlText w:val="%7."/>
      <w:lvlJc w:val="left"/>
      <w:pPr>
        <w:ind w:left="10710" w:hanging="360"/>
      </w:pPr>
    </w:lvl>
    <w:lvl w:ilvl="7" w:tplc="04090019">
      <w:start w:val="1"/>
      <w:numFmt w:val="lowerLetter"/>
      <w:lvlText w:val="%8."/>
      <w:lvlJc w:val="left"/>
      <w:pPr>
        <w:ind w:left="11430" w:hanging="360"/>
      </w:pPr>
    </w:lvl>
    <w:lvl w:ilvl="8" w:tplc="0409001B">
      <w:start w:val="1"/>
      <w:numFmt w:val="lowerRoman"/>
      <w:lvlText w:val="%9."/>
      <w:lvlJc w:val="right"/>
      <w:pPr>
        <w:ind w:left="12150" w:hanging="180"/>
      </w:pPr>
    </w:lvl>
  </w:abstractNum>
  <w:abstractNum w:abstractNumId="9" w15:restartNumberingAfterBreak="0">
    <w:nsid w:val="43E5648A"/>
    <w:multiLevelType w:val="hybridMultilevel"/>
    <w:tmpl w:val="E0AA6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1E41B1"/>
    <w:multiLevelType w:val="hybridMultilevel"/>
    <w:tmpl w:val="6FFA4D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26870"/>
    <w:multiLevelType w:val="hybridMultilevel"/>
    <w:tmpl w:val="994C7B98"/>
    <w:lvl w:ilvl="0" w:tplc="F83CBF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046BC"/>
    <w:multiLevelType w:val="hybridMultilevel"/>
    <w:tmpl w:val="BE8A54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AD756E"/>
    <w:multiLevelType w:val="hybridMultilevel"/>
    <w:tmpl w:val="9EBE4F5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7" w15:restartNumberingAfterBreak="0">
    <w:nsid w:val="6CED14FB"/>
    <w:multiLevelType w:val="hybridMultilevel"/>
    <w:tmpl w:val="BA12E572"/>
    <w:lvl w:ilvl="0" w:tplc="DC82E00C">
      <w:start w:val="1"/>
      <w:numFmt w:val="upperRoman"/>
      <w:lvlText w:val="%1."/>
      <w:lvlJc w:val="left"/>
      <w:pPr>
        <w:ind w:left="8724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96F34"/>
    <w:multiLevelType w:val="hybridMultilevel"/>
    <w:tmpl w:val="D5080E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0" w15:restartNumberingAfterBreak="0">
    <w:nsid w:val="7902038C"/>
    <w:multiLevelType w:val="hybridMultilevel"/>
    <w:tmpl w:val="05BC6E0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551EA"/>
    <w:multiLevelType w:val="hybridMultilevel"/>
    <w:tmpl w:val="8416A4A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9409A"/>
    <w:multiLevelType w:val="hybridMultilevel"/>
    <w:tmpl w:val="13945A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9"/>
  </w:num>
  <w:num w:numId="4">
    <w:abstractNumId w:val="16"/>
  </w:num>
  <w:num w:numId="5">
    <w:abstractNumId w:val="0"/>
  </w:num>
  <w:num w:numId="6">
    <w:abstractNumId w:val="14"/>
  </w:num>
  <w:num w:numId="7">
    <w:abstractNumId w:val="3"/>
  </w:num>
  <w:num w:numId="8">
    <w:abstractNumId w:val="17"/>
  </w:num>
  <w:num w:numId="9">
    <w:abstractNumId w:val="11"/>
  </w:num>
  <w:num w:numId="10">
    <w:abstractNumId w:val="18"/>
  </w:num>
  <w:num w:numId="11">
    <w:abstractNumId w:val="1"/>
  </w:num>
  <w:num w:numId="12">
    <w:abstractNumId w:val="15"/>
  </w:num>
  <w:num w:numId="13">
    <w:abstractNumId w:val="2"/>
  </w:num>
  <w:num w:numId="14">
    <w:abstractNumId w:val="22"/>
  </w:num>
  <w:num w:numId="15">
    <w:abstractNumId w:val="21"/>
  </w:num>
  <w:num w:numId="16">
    <w:abstractNumId w:val="6"/>
  </w:num>
  <w:num w:numId="17">
    <w:abstractNumId w:val="4"/>
  </w:num>
  <w:num w:numId="18">
    <w:abstractNumId w:val="7"/>
  </w:num>
  <w:num w:numId="19">
    <w:abstractNumId w:val="9"/>
  </w:num>
  <w:num w:numId="20">
    <w:abstractNumId w:val="20"/>
  </w:num>
  <w:num w:numId="21">
    <w:abstractNumId w:val="13"/>
  </w:num>
  <w:num w:numId="22">
    <w:abstractNumId w:val="1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DF"/>
    <w:rsid w:val="000066EB"/>
    <w:rsid w:val="000119C8"/>
    <w:rsid w:val="0003615C"/>
    <w:rsid w:val="0004425A"/>
    <w:rsid w:val="00050508"/>
    <w:rsid w:val="00051AF2"/>
    <w:rsid w:val="00061E1E"/>
    <w:rsid w:val="000A64B6"/>
    <w:rsid w:val="000B5FD4"/>
    <w:rsid w:val="000D6874"/>
    <w:rsid w:val="000F5E56"/>
    <w:rsid w:val="000F6DCC"/>
    <w:rsid w:val="00113A03"/>
    <w:rsid w:val="001164D0"/>
    <w:rsid w:val="00117A74"/>
    <w:rsid w:val="001206CD"/>
    <w:rsid w:val="001410D5"/>
    <w:rsid w:val="0014366A"/>
    <w:rsid w:val="001444F3"/>
    <w:rsid w:val="00145AE7"/>
    <w:rsid w:val="00146292"/>
    <w:rsid w:val="0014778D"/>
    <w:rsid w:val="0015052D"/>
    <w:rsid w:val="001768C9"/>
    <w:rsid w:val="00186046"/>
    <w:rsid w:val="001902DF"/>
    <w:rsid w:val="001A5F76"/>
    <w:rsid w:val="001B46AF"/>
    <w:rsid w:val="001B4819"/>
    <w:rsid w:val="001C6042"/>
    <w:rsid w:val="001E346A"/>
    <w:rsid w:val="002113BE"/>
    <w:rsid w:val="00231C05"/>
    <w:rsid w:val="0024317D"/>
    <w:rsid w:val="00252F81"/>
    <w:rsid w:val="002638E2"/>
    <w:rsid w:val="0026427C"/>
    <w:rsid w:val="00284F7E"/>
    <w:rsid w:val="002871EF"/>
    <w:rsid w:val="00292B2D"/>
    <w:rsid w:val="002A0ADA"/>
    <w:rsid w:val="002E0D73"/>
    <w:rsid w:val="002E5E60"/>
    <w:rsid w:val="002F63AA"/>
    <w:rsid w:val="00312DCF"/>
    <w:rsid w:val="00317655"/>
    <w:rsid w:val="0032568B"/>
    <w:rsid w:val="00330D94"/>
    <w:rsid w:val="0033669B"/>
    <w:rsid w:val="00336BB9"/>
    <w:rsid w:val="003374F3"/>
    <w:rsid w:val="00355F65"/>
    <w:rsid w:val="00395776"/>
    <w:rsid w:val="003970FC"/>
    <w:rsid w:val="003A35DD"/>
    <w:rsid w:val="003C1592"/>
    <w:rsid w:val="003C2DF9"/>
    <w:rsid w:val="003D04E4"/>
    <w:rsid w:val="003E6531"/>
    <w:rsid w:val="003F7076"/>
    <w:rsid w:val="00431118"/>
    <w:rsid w:val="004340AB"/>
    <w:rsid w:val="00435C24"/>
    <w:rsid w:val="004457D9"/>
    <w:rsid w:val="00445A2E"/>
    <w:rsid w:val="0046707C"/>
    <w:rsid w:val="00487D06"/>
    <w:rsid w:val="004B0229"/>
    <w:rsid w:val="004C0826"/>
    <w:rsid w:val="00511198"/>
    <w:rsid w:val="00516680"/>
    <w:rsid w:val="00532D12"/>
    <w:rsid w:val="0054235C"/>
    <w:rsid w:val="00545000"/>
    <w:rsid w:val="005515A4"/>
    <w:rsid w:val="005603A1"/>
    <w:rsid w:val="005675F0"/>
    <w:rsid w:val="00582959"/>
    <w:rsid w:val="005C2692"/>
    <w:rsid w:val="005C639B"/>
    <w:rsid w:val="005E1FA4"/>
    <w:rsid w:val="00621D89"/>
    <w:rsid w:val="0062306D"/>
    <w:rsid w:val="00626469"/>
    <w:rsid w:val="0067563F"/>
    <w:rsid w:val="00677592"/>
    <w:rsid w:val="0068473A"/>
    <w:rsid w:val="00684E77"/>
    <w:rsid w:val="00686713"/>
    <w:rsid w:val="0068718B"/>
    <w:rsid w:val="006A486D"/>
    <w:rsid w:val="006B08C9"/>
    <w:rsid w:val="006C40AB"/>
    <w:rsid w:val="006D21C7"/>
    <w:rsid w:val="006E2EF8"/>
    <w:rsid w:val="006F3850"/>
    <w:rsid w:val="00701E7F"/>
    <w:rsid w:val="00722CCA"/>
    <w:rsid w:val="00730119"/>
    <w:rsid w:val="00762DA1"/>
    <w:rsid w:val="00773AF4"/>
    <w:rsid w:val="00777E2E"/>
    <w:rsid w:val="00783F09"/>
    <w:rsid w:val="007B240C"/>
    <w:rsid w:val="007D53C7"/>
    <w:rsid w:val="007E7A1E"/>
    <w:rsid w:val="00804DB7"/>
    <w:rsid w:val="0080756A"/>
    <w:rsid w:val="00810863"/>
    <w:rsid w:val="00826D27"/>
    <w:rsid w:val="008517FC"/>
    <w:rsid w:val="00851F61"/>
    <w:rsid w:val="0086456C"/>
    <w:rsid w:val="0088419C"/>
    <w:rsid w:val="00884C43"/>
    <w:rsid w:val="0089052A"/>
    <w:rsid w:val="00893EA6"/>
    <w:rsid w:val="008B2891"/>
    <w:rsid w:val="008C4EE3"/>
    <w:rsid w:val="008F5F67"/>
    <w:rsid w:val="0091111F"/>
    <w:rsid w:val="00921FB1"/>
    <w:rsid w:val="00924109"/>
    <w:rsid w:val="009307F5"/>
    <w:rsid w:val="009362C7"/>
    <w:rsid w:val="009370EF"/>
    <w:rsid w:val="009449A8"/>
    <w:rsid w:val="00952888"/>
    <w:rsid w:val="009B74FC"/>
    <w:rsid w:val="009E7E4B"/>
    <w:rsid w:val="00A1564B"/>
    <w:rsid w:val="00A366B7"/>
    <w:rsid w:val="00A6118C"/>
    <w:rsid w:val="00A67F45"/>
    <w:rsid w:val="00A76C12"/>
    <w:rsid w:val="00A90709"/>
    <w:rsid w:val="00AC31CE"/>
    <w:rsid w:val="00AC323D"/>
    <w:rsid w:val="00AC49FE"/>
    <w:rsid w:val="00AD14D1"/>
    <w:rsid w:val="00AD1C5F"/>
    <w:rsid w:val="00AD3D5E"/>
    <w:rsid w:val="00AE069C"/>
    <w:rsid w:val="00AE5EEC"/>
    <w:rsid w:val="00B03F12"/>
    <w:rsid w:val="00B05E01"/>
    <w:rsid w:val="00B10A7E"/>
    <w:rsid w:val="00B15ADB"/>
    <w:rsid w:val="00B3222B"/>
    <w:rsid w:val="00B46390"/>
    <w:rsid w:val="00B47B72"/>
    <w:rsid w:val="00B622D7"/>
    <w:rsid w:val="00B75E32"/>
    <w:rsid w:val="00B84DA8"/>
    <w:rsid w:val="00B945DC"/>
    <w:rsid w:val="00BC4185"/>
    <w:rsid w:val="00BC4C30"/>
    <w:rsid w:val="00BF73D8"/>
    <w:rsid w:val="00C32F85"/>
    <w:rsid w:val="00C554EC"/>
    <w:rsid w:val="00C5651A"/>
    <w:rsid w:val="00C71024"/>
    <w:rsid w:val="00C74E7E"/>
    <w:rsid w:val="00C77289"/>
    <w:rsid w:val="00C96293"/>
    <w:rsid w:val="00CB7714"/>
    <w:rsid w:val="00CB7738"/>
    <w:rsid w:val="00CC3048"/>
    <w:rsid w:val="00CD06FA"/>
    <w:rsid w:val="00CE4675"/>
    <w:rsid w:val="00D06310"/>
    <w:rsid w:val="00D22A6C"/>
    <w:rsid w:val="00D248F7"/>
    <w:rsid w:val="00D26A01"/>
    <w:rsid w:val="00D27978"/>
    <w:rsid w:val="00D3043C"/>
    <w:rsid w:val="00D3668C"/>
    <w:rsid w:val="00D57747"/>
    <w:rsid w:val="00D71F65"/>
    <w:rsid w:val="00D85436"/>
    <w:rsid w:val="00DA0950"/>
    <w:rsid w:val="00DA650B"/>
    <w:rsid w:val="00DB60CA"/>
    <w:rsid w:val="00DC7793"/>
    <w:rsid w:val="00DE147F"/>
    <w:rsid w:val="00DF1A36"/>
    <w:rsid w:val="00E16E3C"/>
    <w:rsid w:val="00E321C8"/>
    <w:rsid w:val="00E42DD0"/>
    <w:rsid w:val="00E44191"/>
    <w:rsid w:val="00E80B26"/>
    <w:rsid w:val="00EA6364"/>
    <w:rsid w:val="00EF3702"/>
    <w:rsid w:val="00F26065"/>
    <w:rsid w:val="00F53A2D"/>
    <w:rsid w:val="00F669FE"/>
    <w:rsid w:val="00F7379A"/>
    <w:rsid w:val="00F8416E"/>
    <w:rsid w:val="00F959DE"/>
    <w:rsid w:val="00FC3E73"/>
    <w:rsid w:val="00FC62D4"/>
    <w:rsid w:val="00FC788A"/>
    <w:rsid w:val="00FD53E3"/>
    <w:rsid w:val="00FE6196"/>
    <w:rsid w:val="00FE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F50E3D9F-B0C7-49FD-B11D-07B38569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6EB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1902DF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1902DF"/>
    <w:rPr>
      <w:vertAlign w:val="superscript"/>
    </w:rPr>
  </w:style>
  <w:style w:type="character" w:styleId="Hyperlink">
    <w:name w:val="Hyperlink"/>
    <w:basedOn w:val="DefaultParagraphFont"/>
    <w:unhideWhenUsed/>
    <w:rsid w:val="001902DF"/>
    <w:rPr>
      <w:color w:val="0000FF" w:themeColor="hyperlink"/>
      <w:u w:val="single"/>
    </w:rPr>
  </w:style>
  <w:style w:type="table" w:styleId="TableGrid">
    <w:name w:val="Table Grid"/>
    <w:basedOn w:val="TableNormal"/>
    <w:rsid w:val="00190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902DF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1B48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B4819"/>
    <w:rPr>
      <w:rFonts w:ascii="Segoe UI" w:eastAsia="SimSun" w:hAnsi="Segoe UI" w:cs="Segoe UI"/>
      <w:sz w:val="18"/>
      <w:szCs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EF3702"/>
    <w:rPr>
      <w:color w:val="800080" w:themeColor="followedHyperlink"/>
      <w:u w:val="single"/>
    </w:rPr>
  </w:style>
  <w:style w:type="character" w:styleId="LineNumber">
    <w:name w:val="line number"/>
    <w:basedOn w:val="DefaultParagraphFont"/>
    <w:semiHidden/>
    <w:unhideWhenUsed/>
    <w:rsid w:val="000A6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ipo.int/wipo-match/en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n/doc_details.jsp?doc_id=128801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ipo.int/meetings/en/doc_details.jsp?doc_id=506751" TargetMode="External"/><Relationship Id="rId2" Type="http://schemas.openxmlformats.org/officeDocument/2006/relationships/hyperlink" Target="https://www.wipo.int/export/sites/www/about-wipo/en/oversight/iaod/evaluation/pdf/210617_report_evaluation_of_wipo_match_for_publication.pdf" TargetMode="External"/><Relationship Id="rId1" Type="http://schemas.openxmlformats.org/officeDocument/2006/relationships/hyperlink" Target="https://dacatalogue.wipo.int/projects/DA_1_10_11_13_19_25_32_01" TargetMode="External"/><Relationship Id="rId6" Type="http://schemas.openxmlformats.org/officeDocument/2006/relationships/hyperlink" Target="https://www.wipo.int/meetings/en/doc_details.jsp?doc_id=541373" TargetMode="External"/><Relationship Id="rId5" Type="http://schemas.openxmlformats.org/officeDocument/2006/relationships/hyperlink" Target="https://www.wipo.int/export/sites/www/cooperation/en/south_south/docs/mapping_activities_2019.pdf" TargetMode="External"/><Relationship Id="rId4" Type="http://schemas.openxmlformats.org/officeDocument/2006/relationships/hyperlink" Target="https://www.wipo.int/export/sites/www/about-wipo/en/oversight/iaod/evaluation/pdf/210617_report_evaluation_of_wipo_match_for_public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7EF33-16A4-4B97-986C-81EDA14BD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1688</Words>
  <Characters>9927</Characters>
  <Application>Microsoft Office Word</Application>
  <DocSecurity>0</DocSecurity>
  <Lines>181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CERBARI Mihaela</dc:creator>
  <cp:keywords>FOR OFFICIAL USE ONLY</cp:keywords>
  <dc:description/>
  <cp:lastModifiedBy>ESTEVES DOS SANTOS Anabela</cp:lastModifiedBy>
  <cp:revision>18</cp:revision>
  <cp:lastPrinted>2022-03-14T17:52:00Z</cp:lastPrinted>
  <dcterms:created xsi:type="dcterms:W3CDTF">2022-03-14T18:13:00Z</dcterms:created>
  <dcterms:modified xsi:type="dcterms:W3CDTF">2022-04-06T07:26:00Z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1b5f0396-8fe6-4a78-ba5f-70e5c6f78f6e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