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1F5900">
      <w:pPr>
        <w:pBdr>
          <w:bottom w:val="single" w:sz="4" w:space="11" w:color="auto"/>
        </w:pBd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1F5900" w:rsidP="00EB2F76">
      <w:pPr>
        <w:jc w:val="right"/>
        <w:rPr>
          <w:rFonts w:ascii="Arial Black" w:hAnsi="Arial Black"/>
          <w:caps/>
          <w:sz w:val="15"/>
          <w:szCs w:val="15"/>
        </w:rPr>
      </w:pPr>
      <w:r>
        <w:rPr>
          <w:rFonts w:ascii="Arial Black" w:hAnsi="Arial Black"/>
          <w:caps/>
          <w:sz w:val="15"/>
        </w:rPr>
        <w:t>CDIP/2</w:t>
      </w:r>
      <w:r w:rsidR="00DB29C8">
        <w:rPr>
          <w:rFonts w:ascii="Arial Black" w:hAnsi="Arial Black"/>
          <w:caps/>
          <w:sz w:val="15"/>
        </w:rPr>
        <w:t>8</w:t>
      </w:r>
      <w:r w:rsidR="009D504C">
        <w:rPr>
          <w:rFonts w:ascii="Arial Black" w:hAnsi="Arial Black"/>
          <w:caps/>
          <w:sz w:val="15"/>
        </w:rPr>
        <w:t>/</w:t>
      </w:r>
      <w:bookmarkStart w:id="0" w:name="Code"/>
      <w:bookmarkEnd w:id="0"/>
      <w:r w:rsidR="00CA51F7">
        <w:rPr>
          <w:rFonts w:ascii="Arial Black" w:hAnsi="Arial Black"/>
          <w:caps/>
          <w:sz w:val="15"/>
        </w:rPr>
        <w:t>3</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333EAA">
        <w:rPr>
          <w:rFonts w:ascii="Arial Black" w:hAnsi="Arial Black"/>
          <w:caps/>
          <w:sz w:val="15"/>
          <w:szCs w:val="15"/>
        </w:rPr>
        <w:t xml:space="preserve"> </w:t>
      </w:r>
      <w:r w:rsidR="00F47244">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333EAA">
        <w:rPr>
          <w:rFonts w:ascii="Arial Black" w:hAnsi="Arial Black"/>
          <w:caps/>
          <w:sz w:val="15"/>
          <w:szCs w:val="15"/>
        </w:rPr>
        <w:t xml:space="preserve"> </w:t>
      </w:r>
      <w:r w:rsidR="00CE0B44">
        <w:rPr>
          <w:rFonts w:ascii="Arial Black" w:hAnsi="Arial Black"/>
          <w:caps/>
          <w:sz w:val="15"/>
          <w:szCs w:val="15"/>
        </w:rPr>
        <w:t>march 4</w:t>
      </w:r>
      <w:r w:rsidR="007844CF">
        <w:rPr>
          <w:rFonts w:ascii="Arial Black" w:hAnsi="Arial Black"/>
          <w:caps/>
          <w:sz w:val="15"/>
          <w:szCs w:val="15"/>
        </w:rPr>
        <w:t>,</w:t>
      </w:r>
      <w:r w:rsidR="00F47244">
        <w:rPr>
          <w:rFonts w:ascii="Arial Black" w:hAnsi="Arial Black"/>
          <w:caps/>
          <w:sz w:val="15"/>
          <w:szCs w:val="15"/>
        </w:rPr>
        <w:t xml:space="preserve"> 2022</w:t>
      </w:r>
    </w:p>
    <w:bookmarkEnd w:id="2"/>
    <w:p w:rsidR="008B2CC1" w:rsidRPr="00720EFD" w:rsidRDefault="00446147" w:rsidP="00720EFD">
      <w:pPr>
        <w:pStyle w:val="Heading1"/>
        <w:spacing w:before="0" w:after="480"/>
        <w:rPr>
          <w:sz w:val="28"/>
          <w:szCs w:val="28"/>
        </w:rPr>
      </w:pPr>
      <w:r w:rsidRPr="00446147">
        <w:rPr>
          <w:bCs w:val="0"/>
          <w:caps w:val="0"/>
          <w:kern w:val="0"/>
          <w:sz w:val="28"/>
          <w:szCs w:val="28"/>
        </w:rPr>
        <w:t>Committee on Development and Intellectual Property (CDIP)</w:t>
      </w:r>
    </w:p>
    <w:p w:rsidR="00DB29C8" w:rsidRPr="003845C1" w:rsidRDefault="00DB29C8" w:rsidP="00DB29C8">
      <w:pPr>
        <w:spacing w:after="720"/>
        <w:outlineLvl w:val="1"/>
        <w:rPr>
          <w:b/>
          <w:sz w:val="24"/>
          <w:szCs w:val="24"/>
        </w:rPr>
      </w:pPr>
      <w:r>
        <w:rPr>
          <w:b/>
          <w:sz w:val="24"/>
          <w:szCs w:val="24"/>
        </w:rPr>
        <w:t xml:space="preserve">Twenty-Eighth </w:t>
      </w:r>
      <w:r w:rsidRPr="003845C1">
        <w:rPr>
          <w:b/>
          <w:sz w:val="24"/>
          <w:szCs w:val="24"/>
        </w:rPr>
        <w:t>Session</w:t>
      </w:r>
      <w:r w:rsidR="001F5900">
        <w:rPr>
          <w:b/>
          <w:sz w:val="24"/>
          <w:szCs w:val="24"/>
        </w:rPr>
        <w:br/>
        <w:t xml:space="preserve">Geneva, </w:t>
      </w:r>
      <w:r>
        <w:rPr>
          <w:b/>
          <w:bCs/>
          <w:sz w:val="24"/>
          <w:szCs w:val="24"/>
        </w:rPr>
        <w:t>May 16 to 20, 2022</w:t>
      </w:r>
    </w:p>
    <w:p w:rsidR="008B2CC1" w:rsidRPr="008663E2" w:rsidRDefault="00F47244" w:rsidP="00FC46FF">
      <w:pPr>
        <w:spacing w:after="360"/>
        <w:outlineLvl w:val="1"/>
        <w:rPr>
          <w:caps/>
          <w:sz w:val="24"/>
          <w:szCs w:val="24"/>
        </w:rPr>
      </w:pPr>
      <w:bookmarkStart w:id="3" w:name="TitleOfDoc"/>
      <w:bookmarkEnd w:id="3"/>
      <w:r w:rsidRPr="008663E2">
        <w:rPr>
          <w:caps/>
          <w:sz w:val="24"/>
          <w:szCs w:val="24"/>
        </w:rPr>
        <w:t xml:space="preserve">REPORT ON THE INTERNATIONAL CONFERENCE ON </w:t>
      </w:r>
      <w:r w:rsidR="00333EAA" w:rsidRPr="008663E2">
        <w:rPr>
          <w:caps/>
          <w:sz w:val="24"/>
          <w:szCs w:val="24"/>
        </w:rPr>
        <w:t>INTELLECTUAL PROPERTY AND DEVELOPMENT – INNOVATION IN GREEN TECHNOLOGIES FOR SUSTAINABLE DEVELOPMENT (NOVEMBER 22-23, 2021)</w:t>
      </w:r>
    </w:p>
    <w:p w:rsidR="002928D3" w:rsidRPr="00F9165B" w:rsidRDefault="00333EAA" w:rsidP="00FC46FF">
      <w:pPr>
        <w:spacing w:after="960"/>
        <w:rPr>
          <w:i/>
        </w:rPr>
      </w:pPr>
      <w:bookmarkStart w:id="4" w:name="Prepared"/>
      <w:bookmarkEnd w:id="4"/>
      <w:r>
        <w:rPr>
          <w:i/>
        </w:rPr>
        <w:t xml:space="preserve">Prepared by </w:t>
      </w:r>
      <w:r w:rsidR="00F47244">
        <w:rPr>
          <w:i/>
        </w:rPr>
        <w:t>the Secretariat</w:t>
      </w:r>
    </w:p>
    <w:p w:rsidR="00B234AD" w:rsidRDefault="00B234AD" w:rsidP="00B234AD">
      <w:pPr>
        <w:pStyle w:val="ListParagraph"/>
        <w:numPr>
          <w:ilvl w:val="0"/>
          <w:numId w:val="7"/>
        </w:numPr>
        <w:tabs>
          <w:tab w:val="left" w:pos="0"/>
        </w:tabs>
        <w:spacing w:after="220"/>
        <w:ind w:left="0" w:firstLine="0"/>
      </w:pPr>
      <w:r>
        <w:t xml:space="preserve">The Committee on </w:t>
      </w:r>
      <w:r w:rsidRPr="000D4ABD">
        <w:t>Development and Intellectual Property (CDIP), at its 22</w:t>
      </w:r>
      <w:r w:rsidRPr="000D4ABD">
        <w:rPr>
          <w:vertAlign w:val="superscript"/>
        </w:rPr>
        <w:t>nd</w:t>
      </w:r>
      <w:r w:rsidRPr="000D4ABD">
        <w:t xml:space="preserve"> session, took a decision to convene three consecutive one-day biennial</w:t>
      </w:r>
      <w:r>
        <w:t xml:space="preserve"> International Conferences on I</w:t>
      </w:r>
      <w:r w:rsidR="0050050C">
        <w:t xml:space="preserve">ntellectual </w:t>
      </w:r>
      <w:r>
        <w:t>P</w:t>
      </w:r>
      <w:r w:rsidR="0050050C">
        <w:t>roperty (IP)</w:t>
      </w:r>
      <w:r>
        <w:t xml:space="preserve"> and Developmen</w:t>
      </w:r>
      <w:r w:rsidR="000D4ABD">
        <w:t xml:space="preserve">t, </w:t>
      </w:r>
      <w:r>
        <w:t>starting from the 23</w:t>
      </w:r>
      <w:r w:rsidRPr="00B234AD">
        <w:rPr>
          <w:vertAlign w:val="superscript"/>
        </w:rPr>
        <w:t>rd</w:t>
      </w:r>
      <w:r>
        <w:t xml:space="preserve"> session.</w:t>
      </w:r>
      <w:r>
        <w:rPr>
          <w:rStyle w:val="FootnoteReference"/>
        </w:rPr>
        <w:footnoteReference w:id="2"/>
      </w:r>
      <w:r>
        <w:t xml:space="preserve">  The first of such conferences was held on May 20, 2019, on the first day of CDIP/23</w:t>
      </w:r>
      <w:r w:rsidR="004B581F">
        <w:t xml:space="preserve">, </w:t>
      </w:r>
      <w:r w:rsidR="009B3E28">
        <w:t>with</w:t>
      </w:r>
      <w:r w:rsidR="004B581F">
        <w:t xml:space="preserve"> the theme “IP and Development: how to benefit from the IP system”</w:t>
      </w:r>
      <w:r>
        <w:t>.  A factual report was presented to the 24</w:t>
      </w:r>
      <w:r w:rsidRPr="00B234AD">
        <w:rPr>
          <w:vertAlign w:val="superscript"/>
        </w:rPr>
        <w:t>th</w:t>
      </w:r>
      <w:r>
        <w:t xml:space="preserve"> session of the Committee (</w:t>
      </w:r>
      <w:r w:rsidR="000D4ABD">
        <w:t xml:space="preserve">document </w:t>
      </w:r>
      <w:hyperlink r:id="rId9" w:history="1">
        <w:r w:rsidRPr="00B234AD">
          <w:rPr>
            <w:rStyle w:val="Hyperlink"/>
          </w:rPr>
          <w:t>CDIP/24/5</w:t>
        </w:r>
      </w:hyperlink>
      <w:r>
        <w:t>).</w:t>
      </w:r>
    </w:p>
    <w:p w:rsidR="00B234AD" w:rsidRDefault="00B234AD" w:rsidP="00B234AD">
      <w:pPr>
        <w:pStyle w:val="ListParagraph"/>
        <w:tabs>
          <w:tab w:val="left" w:pos="0"/>
        </w:tabs>
        <w:spacing w:after="220"/>
        <w:ind w:left="0"/>
      </w:pPr>
    </w:p>
    <w:p w:rsidR="00E551A9" w:rsidRDefault="004B581F" w:rsidP="00E551A9">
      <w:pPr>
        <w:pStyle w:val="ListParagraph"/>
        <w:numPr>
          <w:ilvl w:val="0"/>
          <w:numId w:val="7"/>
        </w:numPr>
        <w:tabs>
          <w:tab w:val="left" w:pos="0"/>
        </w:tabs>
        <w:ind w:left="0" w:firstLine="0"/>
        <w:contextualSpacing w:val="0"/>
      </w:pPr>
      <w:r>
        <w:t xml:space="preserve">The second International Conference was held on November 22 and 23, 2021, on the first two days of CDIP/27, </w:t>
      </w:r>
      <w:r w:rsidR="009B3E28">
        <w:t>with</w:t>
      </w:r>
      <w:r>
        <w:t xml:space="preserve"> the theme “Innovation in Green Technologies for Sustainable Development”.</w:t>
      </w:r>
      <w:r>
        <w:rPr>
          <w:rStyle w:val="FootnoteReference"/>
        </w:rPr>
        <w:footnoteReference w:id="3"/>
      </w:r>
      <w:r>
        <w:t xml:space="preserve">  This report presents a summary of </w:t>
      </w:r>
      <w:r w:rsidR="00D8615E">
        <w:t>the</w:t>
      </w:r>
      <w:r>
        <w:t xml:space="preserve"> main </w:t>
      </w:r>
      <w:r w:rsidR="000D4ABD">
        <w:t>elements</w:t>
      </w:r>
      <w:r w:rsidR="009B3E28">
        <w:t xml:space="preserve"> of the Conference</w:t>
      </w:r>
      <w:r>
        <w:t>, for information of the Committee.</w:t>
      </w:r>
    </w:p>
    <w:p w:rsidR="00AA049F" w:rsidRDefault="00AA049F" w:rsidP="00AA049F">
      <w:pPr>
        <w:pStyle w:val="ListParagraph"/>
        <w:tabs>
          <w:tab w:val="left" w:pos="0"/>
        </w:tabs>
        <w:ind w:left="0"/>
        <w:contextualSpacing w:val="0"/>
      </w:pPr>
    </w:p>
    <w:p w:rsidR="004B581F" w:rsidRPr="004B581F" w:rsidRDefault="006E0D11" w:rsidP="00AA049F">
      <w:pPr>
        <w:pStyle w:val="Heading1"/>
        <w:numPr>
          <w:ilvl w:val="0"/>
          <w:numId w:val="8"/>
        </w:numPr>
        <w:spacing w:after="240"/>
        <w:ind w:left="540" w:hanging="540"/>
        <w:rPr>
          <w:b w:val="0"/>
        </w:rPr>
      </w:pPr>
      <w:r>
        <w:rPr>
          <w:b w:val="0"/>
        </w:rPr>
        <w:t>ORGANIZATIONAL ASPECTS</w:t>
      </w:r>
    </w:p>
    <w:p w:rsidR="004B581F" w:rsidRDefault="008930F0" w:rsidP="00B234AD">
      <w:pPr>
        <w:pStyle w:val="ListParagraph"/>
        <w:numPr>
          <w:ilvl w:val="0"/>
          <w:numId w:val="7"/>
        </w:numPr>
        <w:tabs>
          <w:tab w:val="left" w:pos="0"/>
        </w:tabs>
        <w:spacing w:after="220"/>
        <w:ind w:left="0" w:firstLine="0"/>
      </w:pPr>
      <w:r>
        <w:t xml:space="preserve">The Conference took place on November 22 and 23, 2021, from noon to 2.30pm CET each day, in hybrid mode (participants and speakers joining </w:t>
      </w:r>
      <w:r w:rsidR="000B2E03">
        <w:t xml:space="preserve">both </w:t>
      </w:r>
      <w:r>
        <w:t>online and in person), due to the restrictions linked to the COVID pandemic.</w:t>
      </w:r>
    </w:p>
    <w:p w:rsidR="008930F0" w:rsidRDefault="008930F0" w:rsidP="008930F0">
      <w:pPr>
        <w:pStyle w:val="ListParagraph"/>
        <w:tabs>
          <w:tab w:val="left" w:pos="0"/>
        </w:tabs>
        <w:spacing w:after="220"/>
        <w:ind w:left="0"/>
      </w:pPr>
    </w:p>
    <w:p w:rsidR="008930F0" w:rsidRDefault="008930F0" w:rsidP="00B234AD">
      <w:pPr>
        <w:pStyle w:val="ListParagraph"/>
        <w:numPr>
          <w:ilvl w:val="0"/>
          <w:numId w:val="7"/>
        </w:numPr>
        <w:tabs>
          <w:tab w:val="left" w:pos="0"/>
        </w:tabs>
        <w:spacing w:after="220"/>
        <w:ind w:left="0" w:firstLine="0"/>
      </w:pPr>
      <w:r>
        <w:t xml:space="preserve">The event was open to participation from Member States representatives, </w:t>
      </w:r>
      <w:r w:rsidR="0050050C">
        <w:t>inter</w:t>
      </w:r>
      <w:r>
        <w:t>governmental organizations (IGOs), non-governmental organizations (NGOs), academics, policy-makers and civil society.  Onsite participation was limited</w:t>
      </w:r>
      <w:r w:rsidR="0050050C">
        <w:t xml:space="preserve"> to </w:t>
      </w:r>
      <w:r w:rsidR="003F620A">
        <w:t xml:space="preserve">WIPO </w:t>
      </w:r>
      <w:r w:rsidR="0050050C">
        <w:t>Member States and Observers;</w:t>
      </w:r>
      <w:r>
        <w:t xml:space="preserve"> the remaining participants joined the meeting via an online platform.</w:t>
      </w:r>
    </w:p>
    <w:p w:rsidR="008930F0" w:rsidRDefault="008930F0" w:rsidP="008930F0">
      <w:pPr>
        <w:pStyle w:val="ListParagraph"/>
      </w:pPr>
    </w:p>
    <w:p w:rsidR="00781827" w:rsidRDefault="008930F0" w:rsidP="00AA049F">
      <w:pPr>
        <w:pStyle w:val="ListParagraph"/>
        <w:numPr>
          <w:ilvl w:val="0"/>
          <w:numId w:val="7"/>
        </w:numPr>
        <w:tabs>
          <w:tab w:val="left" w:pos="0"/>
        </w:tabs>
        <w:ind w:left="0" w:firstLine="0"/>
        <w:contextualSpacing w:val="0"/>
      </w:pPr>
      <w:r>
        <w:t>Interpretation was available, for both online and onsite participants, in English, French, Spanish, Russian, Chinese and Arabic.</w:t>
      </w:r>
    </w:p>
    <w:p w:rsidR="00AA049F" w:rsidRDefault="00AA049F" w:rsidP="00AA049F">
      <w:pPr>
        <w:pStyle w:val="ListParagraph"/>
        <w:tabs>
          <w:tab w:val="left" w:pos="0"/>
        </w:tabs>
        <w:ind w:left="0"/>
        <w:contextualSpacing w:val="0"/>
      </w:pPr>
    </w:p>
    <w:p w:rsidR="004B581F" w:rsidRDefault="004B581F" w:rsidP="00AA049F">
      <w:pPr>
        <w:pStyle w:val="Heading1"/>
        <w:numPr>
          <w:ilvl w:val="0"/>
          <w:numId w:val="8"/>
        </w:numPr>
        <w:spacing w:after="240"/>
        <w:ind w:left="540" w:hanging="540"/>
        <w:rPr>
          <w:b w:val="0"/>
        </w:rPr>
      </w:pPr>
      <w:r>
        <w:rPr>
          <w:b w:val="0"/>
        </w:rPr>
        <w:t>STRUCTURE OF DISCUSSIONS</w:t>
      </w:r>
    </w:p>
    <w:p w:rsidR="00BC4FBA" w:rsidRPr="005A7098" w:rsidRDefault="00890FE4" w:rsidP="00BC4FBA">
      <w:pPr>
        <w:pStyle w:val="ListParagraph"/>
        <w:numPr>
          <w:ilvl w:val="0"/>
          <w:numId w:val="7"/>
        </w:numPr>
        <w:tabs>
          <w:tab w:val="left" w:pos="0"/>
        </w:tabs>
        <w:spacing w:after="220"/>
        <w:ind w:left="0" w:firstLine="0"/>
      </w:pPr>
      <w:r>
        <w:t xml:space="preserve">The Conference </w:t>
      </w:r>
      <w:r w:rsidR="00BC4FBA">
        <w:t>was</w:t>
      </w:r>
      <w:r>
        <w:t xml:space="preserve"> organized along three panels and a concluding dialogue</w:t>
      </w:r>
      <w:r w:rsidR="00BA128F">
        <w:t xml:space="preserve">, </w:t>
      </w:r>
      <w:r w:rsidR="00BC4FBA">
        <w:t>all</w:t>
      </w:r>
      <w:r w:rsidR="00BA128F">
        <w:t xml:space="preserve"> of them followed by a Question</w:t>
      </w:r>
      <w:r w:rsidR="00016391">
        <w:t>s</w:t>
      </w:r>
      <w:r w:rsidR="00BA128F">
        <w:t xml:space="preserve"> and Answer</w:t>
      </w:r>
      <w:r w:rsidR="00016391">
        <w:t>s</w:t>
      </w:r>
      <w:r w:rsidR="00BA128F">
        <w:t xml:space="preserve"> (Q&amp;A) session</w:t>
      </w:r>
      <w:r w:rsidR="00B61324">
        <w:t xml:space="preserve">. </w:t>
      </w:r>
      <w:r w:rsidR="00BC4FBA">
        <w:t xml:space="preserve"> Each of the panels was composed by a main speaker, who made a presentation, and two discussants, who commented on it.  In the concluding dialogue, selected </w:t>
      </w:r>
      <w:r w:rsidR="00BC4FBA" w:rsidRPr="005A4A7D">
        <w:t xml:space="preserve">speakers from the previous panels exchanged views on the main debates held during the Conference, in a </w:t>
      </w:r>
      <w:r w:rsidR="005A7098" w:rsidRPr="005A4A7D">
        <w:t>free and</w:t>
      </w:r>
      <w:r w:rsidR="00BC4FBA" w:rsidRPr="005A4A7D">
        <w:t xml:space="preserve"> dynamic manner.</w:t>
      </w:r>
    </w:p>
    <w:p w:rsidR="00BC4FBA" w:rsidRDefault="00BC4FBA" w:rsidP="00BC4FBA">
      <w:pPr>
        <w:pStyle w:val="ListParagraph"/>
        <w:tabs>
          <w:tab w:val="left" w:pos="0"/>
        </w:tabs>
        <w:spacing w:after="220"/>
        <w:ind w:left="0"/>
      </w:pPr>
    </w:p>
    <w:p w:rsidR="00B61324" w:rsidRDefault="00B61324" w:rsidP="00B61324">
      <w:pPr>
        <w:pStyle w:val="ListParagraph"/>
        <w:numPr>
          <w:ilvl w:val="0"/>
          <w:numId w:val="7"/>
        </w:numPr>
        <w:tabs>
          <w:tab w:val="left" w:pos="0"/>
        </w:tabs>
        <w:spacing w:after="220"/>
        <w:ind w:left="0" w:firstLine="0"/>
      </w:pPr>
      <w:r>
        <w:t>The themes of the three panels were the following:</w:t>
      </w:r>
    </w:p>
    <w:p w:rsidR="00B61324" w:rsidRPr="00CD04C5" w:rsidRDefault="00B61324" w:rsidP="001C193D">
      <w:pPr>
        <w:pStyle w:val="ListParagraph"/>
        <w:numPr>
          <w:ilvl w:val="0"/>
          <w:numId w:val="9"/>
        </w:numPr>
        <w:tabs>
          <w:tab w:val="left" w:pos="0"/>
        </w:tabs>
        <w:spacing w:after="220"/>
        <w:ind w:left="1134"/>
      </w:pPr>
      <w:r w:rsidRPr="00CD04C5">
        <w:t>How can green innovation contribute to achieving sustainable development?</w:t>
      </w:r>
    </w:p>
    <w:p w:rsidR="00B61324" w:rsidRPr="00CD04C5" w:rsidRDefault="00B61324" w:rsidP="001C193D">
      <w:pPr>
        <w:pStyle w:val="ListParagraph"/>
        <w:numPr>
          <w:ilvl w:val="0"/>
          <w:numId w:val="9"/>
        </w:numPr>
        <w:tabs>
          <w:tab w:val="left" w:pos="0"/>
        </w:tabs>
        <w:spacing w:after="220"/>
        <w:ind w:left="1134"/>
      </w:pPr>
      <w:r w:rsidRPr="00CD04C5">
        <w:t>The role of IP in the field of green technology</w:t>
      </w:r>
    </w:p>
    <w:p w:rsidR="00B61324" w:rsidRPr="00CD04C5" w:rsidRDefault="00B61324" w:rsidP="001C193D">
      <w:pPr>
        <w:pStyle w:val="ListParagraph"/>
        <w:numPr>
          <w:ilvl w:val="0"/>
          <w:numId w:val="9"/>
        </w:numPr>
        <w:tabs>
          <w:tab w:val="left" w:pos="0"/>
        </w:tabs>
        <w:spacing w:after="220"/>
        <w:ind w:left="1134"/>
      </w:pPr>
      <w:r w:rsidRPr="00CD04C5">
        <w:t>Green innovation in developing countries: how to address the challenges</w:t>
      </w:r>
    </w:p>
    <w:p w:rsidR="00B61324" w:rsidRDefault="00B61324" w:rsidP="00B61324">
      <w:pPr>
        <w:pStyle w:val="ListParagraph"/>
        <w:tabs>
          <w:tab w:val="left" w:pos="0"/>
        </w:tabs>
        <w:spacing w:after="220"/>
        <w:ind w:left="0"/>
      </w:pPr>
    </w:p>
    <w:p w:rsidR="00781827" w:rsidRDefault="00386B48" w:rsidP="00AA049F">
      <w:pPr>
        <w:pStyle w:val="ListParagraph"/>
        <w:numPr>
          <w:ilvl w:val="0"/>
          <w:numId w:val="7"/>
        </w:numPr>
        <w:tabs>
          <w:tab w:val="left" w:pos="0"/>
        </w:tabs>
        <w:ind w:left="0" w:firstLine="0"/>
        <w:contextualSpacing w:val="0"/>
      </w:pPr>
      <w:r>
        <w:t xml:space="preserve">The first day of the Conference </w:t>
      </w:r>
      <w:r w:rsidR="006975D5">
        <w:t>opened with</w:t>
      </w:r>
      <w:r>
        <w:t xml:space="preserve"> </w:t>
      </w:r>
      <w:r w:rsidR="0079695D">
        <w:t xml:space="preserve">the Welcome Address of </w:t>
      </w:r>
      <w:r>
        <w:t>Mr. Daren Tang, Director General of WIPO</w:t>
      </w:r>
      <w:r w:rsidR="006975D5">
        <w:t xml:space="preserve">.  Panels 1 and 2 </w:t>
      </w:r>
      <w:r w:rsidR="00773846">
        <w:t>followed</w:t>
      </w:r>
      <w:r w:rsidR="0079695D">
        <w:t>.</w:t>
      </w:r>
      <w:r w:rsidR="00BC4FBA">
        <w:t xml:space="preserve">  </w:t>
      </w:r>
      <w:r w:rsidR="0079695D">
        <w:t>The second day started with the Keynote Address, delivered by H.E. Ms. Yasmine Fouad, Minister of Environment of the Arab Republic of Egypt</w:t>
      </w:r>
      <w:r w:rsidR="00773846">
        <w:t xml:space="preserve">.  </w:t>
      </w:r>
      <w:r w:rsidR="0079695D">
        <w:t>This was followed by panel 3 and the concluding dialogue.  The Conference</w:t>
      </w:r>
      <w:r w:rsidR="00E7132B">
        <w:t xml:space="preserve"> </w:t>
      </w:r>
      <w:r w:rsidR="0079695D">
        <w:t>finished with the Closing Remarks delivered by Mr. Hasan Kleib, Deputy Director General, Regional and National Development Sector of WIPO.</w:t>
      </w:r>
    </w:p>
    <w:p w:rsidR="00AA049F" w:rsidRDefault="00AA049F" w:rsidP="00AA049F">
      <w:pPr>
        <w:pStyle w:val="ListParagraph"/>
        <w:tabs>
          <w:tab w:val="left" w:pos="0"/>
        </w:tabs>
        <w:ind w:left="0"/>
        <w:contextualSpacing w:val="0"/>
      </w:pPr>
    </w:p>
    <w:p w:rsidR="00333EAA" w:rsidRDefault="00545839" w:rsidP="00AA049F">
      <w:pPr>
        <w:pStyle w:val="Heading1"/>
        <w:numPr>
          <w:ilvl w:val="0"/>
          <w:numId w:val="8"/>
        </w:numPr>
        <w:spacing w:after="240"/>
        <w:ind w:left="540" w:hanging="540"/>
        <w:rPr>
          <w:b w:val="0"/>
        </w:rPr>
      </w:pPr>
      <w:r w:rsidRPr="00545839">
        <w:rPr>
          <w:b w:val="0"/>
        </w:rPr>
        <w:t>SPEAKERS</w:t>
      </w:r>
      <w:r w:rsidR="00BA128F">
        <w:rPr>
          <w:b w:val="0"/>
        </w:rPr>
        <w:t xml:space="preserve"> AND MODERATORS</w:t>
      </w:r>
    </w:p>
    <w:p w:rsidR="00B61324" w:rsidRDefault="00CD04C5" w:rsidP="00E551A9">
      <w:pPr>
        <w:pStyle w:val="ListParagraph"/>
        <w:numPr>
          <w:ilvl w:val="0"/>
          <w:numId w:val="7"/>
        </w:numPr>
        <w:tabs>
          <w:tab w:val="left" w:pos="0"/>
        </w:tabs>
        <w:spacing w:after="240"/>
        <w:ind w:left="0" w:firstLine="0"/>
      </w:pPr>
      <w:r>
        <w:t>Nine</w:t>
      </w:r>
      <w:r w:rsidR="00B61324">
        <w:t xml:space="preserve"> speakers participated in the Conference.  They represented different geographical regions and professional backgrounds: academia, IGOs, NGOs, and private sector.  Following the decision of the Committee, the Secretariat organized this Conference “on the basis of the principles of balance and fairness, including in the selection of speakers and format.”</w:t>
      </w:r>
      <w:r w:rsidR="001E13F1">
        <w:rPr>
          <w:rStyle w:val="FootnoteReference"/>
        </w:rPr>
        <w:footnoteReference w:id="4"/>
      </w:r>
      <w:r w:rsidR="00B61324">
        <w:t xml:space="preserve">  In particular, the selection of speakers was done taking into account the </w:t>
      </w:r>
      <w:r w:rsidR="00DA704F">
        <w:t>need for</w:t>
      </w:r>
      <w:r w:rsidR="00B61324">
        <w:t xml:space="preserve"> geographical balance, appropriate expertise, and balance in perspective and gender.</w:t>
      </w:r>
      <w:r w:rsidR="00B61324">
        <w:rPr>
          <w:rStyle w:val="FootnoteReference"/>
        </w:rPr>
        <w:footnoteReference w:id="5"/>
      </w:r>
    </w:p>
    <w:p w:rsidR="00CD04C5" w:rsidRDefault="00CD04C5" w:rsidP="00CD04C5">
      <w:pPr>
        <w:pStyle w:val="ListParagraph"/>
        <w:tabs>
          <w:tab w:val="left" w:pos="0"/>
        </w:tabs>
        <w:spacing w:after="220"/>
        <w:ind w:left="0"/>
      </w:pPr>
    </w:p>
    <w:p w:rsidR="00CD04C5" w:rsidRDefault="00CD04C5" w:rsidP="001C193D">
      <w:pPr>
        <w:pStyle w:val="ListParagraph"/>
        <w:numPr>
          <w:ilvl w:val="0"/>
          <w:numId w:val="7"/>
        </w:numPr>
        <w:tabs>
          <w:tab w:val="left" w:pos="0"/>
        </w:tabs>
        <w:spacing w:after="220"/>
        <w:ind w:left="0" w:firstLine="0"/>
      </w:pPr>
      <w:r>
        <w:t>The Conference discussions were moderated by two Geneva-based Ambassadors, one day each.  On the first day, panels 1 and 2 were moderated by H.E. Ms. Tatiana Molcean, Ambassador, Permanent Representative of the Mission of the Republic of Moldova to the United Nations Office and other international organizations in Geneva.  Panel 3 and the concluding dialogue, on the second day, were moderated by H.E. Mr. Salim Baddoura, Ambassador, Permanent Representative of the Mission of the Lebanese Republic to the United Nations Office and other international organizations in Geneva.</w:t>
      </w:r>
    </w:p>
    <w:p w:rsidR="00CD04C5" w:rsidRDefault="00CD04C5" w:rsidP="00CD04C5">
      <w:pPr>
        <w:pStyle w:val="ListParagraph"/>
        <w:tabs>
          <w:tab w:val="left" w:pos="0"/>
        </w:tabs>
        <w:spacing w:after="220"/>
        <w:ind w:left="0"/>
      </w:pPr>
    </w:p>
    <w:p w:rsidR="00932FA6" w:rsidRDefault="00CD04C5" w:rsidP="001C193D">
      <w:pPr>
        <w:pStyle w:val="ListParagraph"/>
        <w:numPr>
          <w:ilvl w:val="0"/>
          <w:numId w:val="7"/>
        </w:numPr>
        <w:tabs>
          <w:tab w:val="left" w:pos="0"/>
        </w:tabs>
        <w:spacing w:after="220"/>
        <w:ind w:left="0" w:firstLine="0"/>
      </w:pPr>
      <w:r>
        <w:t xml:space="preserve">The </w:t>
      </w:r>
      <w:r w:rsidRPr="005A7098">
        <w:t>profile</w:t>
      </w:r>
      <w:r>
        <w:t xml:space="preserve"> of speakers and moderators is available on the </w:t>
      </w:r>
      <w:hyperlink r:id="rId10" w:history="1">
        <w:r w:rsidRPr="005A7098">
          <w:rPr>
            <w:rStyle w:val="Hyperlink"/>
          </w:rPr>
          <w:t>Conference web page</w:t>
        </w:r>
      </w:hyperlink>
      <w:r>
        <w:t>.</w:t>
      </w:r>
    </w:p>
    <w:p w:rsidR="00CD04C5" w:rsidRDefault="00CD04C5" w:rsidP="00CD04C5">
      <w:pPr>
        <w:pStyle w:val="ListParagraph"/>
        <w:tabs>
          <w:tab w:val="left" w:pos="0"/>
        </w:tabs>
        <w:spacing w:after="220"/>
        <w:ind w:left="0"/>
      </w:pPr>
    </w:p>
    <w:p w:rsidR="00545839" w:rsidRDefault="00545839" w:rsidP="00447D06">
      <w:pPr>
        <w:pStyle w:val="Heading1"/>
        <w:keepLines/>
        <w:numPr>
          <w:ilvl w:val="0"/>
          <w:numId w:val="8"/>
        </w:numPr>
        <w:spacing w:after="240"/>
        <w:ind w:left="547" w:hanging="547"/>
      </w:pPr>
      <w:r w:rsidRPr="00545839">
        <w:rPr>
          <w:b w:val="0"/>
        </w:rPr>
        <w:t>PARTICIPANTS</w:t>
      </w:r>
    </w:p>
    <w:p w:rsidR="00545839" w:rsidRDefault="008009D6" w:rsidP="00545839">
      <w:pPr>
        <w:pStyle w:val="ListParagraph"/>
        <w:numPr>
          <w:ilvl w:val="0"/>
          <w:numId w:val="7"/>
        </w:numPr>
        <w:tabs>
          <w:tab w:val="left" w:pos="0"/>
        </w:tabs>
        <w:spacing w:after="220"/>
        <w:ind w:left="0" w:firstLine="0"/>
      </w:pPr>
      <w:r>
        <w:t xml:space="preserve">The event was attended by more than 1,300 participants, most of which </w:t>
      </w:r>
      <w:r w:rsidR="00A40077">
        <w:t>joined</w:t>
      </w:r>
      <w:r>
        <w:t xml:space="preserve"> via the online platform.  </w:t>
      </w:r>
      <w:r w:rsidR="008F52F4">
        <w:t>The audience represented different professional backgrounds, including government officials, academics, IGO and NGO staff, and private sector actors.</w:t>
      </w:r>
    </w:p>
    <w:p w:rsidR="008009D6" w:rsidRDefault="008009D6" w:rsidP="008009D6">
      <w:pPr>
        <w:pStyle w:val="ListParagraph"/>
        <w:tabs>
          <w:tab w:val="left" w:pos="0"/>
        </w:tabs>
        <w:spacing w:after="220"/>
        <w:ind w:left="0"/>
      </w:pPr>
    </w:p>
    <w:p w:rsidR="003B7C8C" w:rsidRPr="003B7C8C" w:rsidRDefault="008009D6" w:rsidP="009B5CC5">
      <w:pPr>
        <w:pStyle w:val="ListParagraph"/>
        <w:numPr>
          <w:ilvl w:val="0"/>
          <w:numId w:val="7"/>
        </w:numPr>
        <w:tabs>
          <w:tab w:val="left" w:pos="0"/>
        </w:tabs>
        <w:spacing w:after="220"/>
        <w:ind w:left="0" w:firstLine="0"/>
      </w:pPr>
      <w:r w:rsidRPr="003B7C8C">
        <w:t>Participants engaged actively during the Conference, sharing views and raising questions via the chat box of the online platform.  These were addressed both in writing by the Secretariat via the chat and or</w:t>
      </w:r>
      <w:r w:rsidR="003B7C8C" w:rsidRPr="003B7C8C">
        <w:t>ally by speakers</w:t>
      </w:r>
      <w:r w:rsidRPr="003B7C8C">
        <w:t>.</w:t>
      </w:r>
      <w:r w:rsidR="003B7C8C" w:rsidRPr="003B7C8C">
        <w:t xml:space="preserve">  The moderators and the Secretariat attempted to </w:t>
      </w:r>
      <w:r w:rsidR="00C0383D" w:rsidRPr="003B7C8C">
        <w:t>maximize the number of questions answer</w:t>
      </w:r>
      <w:r w:rsidR="00C0383D">
        <w:t xml:space="preserve">ed in the short time available, by </w:t>
      </w:r>
      <w:r w:rsidR="003B7C8C" w:rsidRPr="003B7C8C">
        <w:t>m</w:t>
      </w:r>
      <w:r w:rsidR="00C0383D">
        <w:t>erging</w:t>
      </w:r>
      <w:r w:rsidR="003B7C8C" w:rsidRPr="003B7C8C">
        <w:t xml:space="preserve"> </w:t>
      </w:r>
      <w:r w:rsidR="00C0383D">
        <w:t>similar questions into clusters</w:t>
      </w:r>
      <w:r w:rsidR="003B7C8C">
        <w:t>.  Nevertheless, some</w:t>
      </w:r>
      <w:r w:rsidR="003B7C8C" w:rsidRPr="003B7C8C">
        <w:t xml:space="preserve"> remained una</w:t>
      </w:r>
      <w:r w:rsidR="00E10DE2">
        <w:t xml:space="preserve">nswered </w:t>
      </w:r>
      <w:r w:rsidR="003B7C8C">
        <w:t>due to time constraints.</w:t>
      </w:r>
    </w:p>
    <w:p w:rsidR="004B5FC3" w:rsidRDefault="004B5FC3" w:rsidP="004B5FC3">
      <w:pPr>
        <w:pStyle w:val="ListParagraph"/>
        <w:tabs>
          <w:tab w:val="left" w:pos="0"/>
        </w:tabs>
        <w:spacing w:after="220"/>
        <w:ind w:left="0"/>
      </w:pPr>
    </w:p>
    <w:p w:rsidR="00932FA6" w:rsidRDefault="008009D6" w:rsidP="00AA049F">
      <w:pPr>
        <w:pStyle w:val="ListParagraph"/>
        <w:numPr>
          <w:ilvl w:val="0"/>
          <w:numId w:val="7"/>
        </w:numPr>
        <w:tabs>
          <w:tab w:val="left" w:pos="0"/>
        </w:tabs>
        <w:ind w:left="0" w:firstLine="0"/>
        <w:contextualSpacing w:val="0"/>
      </w:pPr>
      <w:r>
        <w:t xml:space="preserve">A satisfaction survey was made available </w:t>
      </w:r>
      <w:r w:rsidR="00C0383D">
        <w:t>for</w:t>
      </w:r>
      <w:r>
        <w:t xml:space="preserve"> all particip</w:t>
      </w:r>
      <w:r w:rsidR="00C0383D">
        <w:t>ants at the end of the event.  A</w:t>
      </w:r>
      <w:r>
        <w:t xml:space="preserve"> summary of the results of the survey </w:t>
      </w:r>
      <w:r w:rsidR="00C0383D">
        <w:t>is</w:t>
      </w:r>
      <w:r>
        <w:t xml:space="preserve"> presented i</w:t>
      </w:r>
      <w:r w:rsidR="000961B2">
        <w:t>n the Annex to this document</w:t>
      </w:r>
      <w:r>
        <w:t>.</w:t>
      </w:r>
    </w:p>
    <w:p w:rsidR="00AA049F" w:rsidRDefault="00AA049F" w:rsidP="00AA049F">
      <w:pPr>
        <w:pStyle w:val="ListParagraph"/>
        <w:tabs>
          <w:tab w:val="left" w:pos="0"/>
        </w:tabs>
        <w:ind w:left="0"/>
        <w:contextualSpacing w:val="0"/>
      </w:pPr>
    </w:p>
    <w:p w:rsidR="00545839" w:rsidRDefault="005A7098" w:rsidP="00AA049F">
      <w:pPr>
        <w:pStyle w:val="Heading1"/>
        <w:numPr>
          <w:ilvl w:val="0"/>
          <w:numId w:val="8"/>
        </w:numPr>
        <w:spacing w:after="240"/>
        <w:ind w:left="547" w:hanging="547"/>
      </w:pPr>
      <w:r>
        <w:rPr>
          <w:b w:val="0"/>
        </w:rPr>
        <w:t>PROMOTION AND COMMUNICATION</w:t>
      </w:r>
    </w:p>
    <w:p w:rsidR="002A29F6" w:rsidRPr="006C4A42" w:rsidRDefault="008009D6" w:rsidP="008009D6">
      <w:pPr>
        <w:pStyle w:val="ListParagraph"/>
        <w:numPr>
          <w:ilvl w:val="0"/>
          <w:numId w:val="7"/>
        </w:numPr>
        <w:tabs>
          <w:tab w:val="left" w:pos="0"/>
        </w:tabs>
        <w:spacing w:after="220"/>
        <w:ind w:left="0" w:firstLine="0"/>
      </w:pPr>
      <w:r w:rsidRPr="006C4A42">
        <w:t xml:space="preserve">Before the event, a </w:t>
      </w:r>
      <w:hyperlink r:id="rId11" w:history="1">
        <w:r w:rsidR="00447D06" w:rsidRPr="006C4A42">
          <w:rPr>
            <w:rStyle w:val="Hyperlink"/>
          </w:rPr>
          <w:t>dedicated web page</w:t>
        </w:r>
      </w:hyperlink>
      <w:r w:rsidRPr="006C4A42">
        <w:t xml:space="preserve"> for the Conference was </w:t>
      </w:r>
      <w:r w:rsidR="006E1336" w:rsidRPr="006C4A42">
        <w:t>launched</w:t>
      </w:r>
      <w:r w:rsidRPr="006C4A42">
        <w:t xml:space="preserve"> in the six UN official languages, pro</w:t>
      </w:r>
      <w:r w:rsidR="000961B2" w:rsidRPr="006C4A42">
        <w:t xml:space="preserve">viding all relevant information, including </w:t>
      </w:r>
      <w:r w:rsidRPr="006C4A42">
        <w:t xml:space="preserve">registration, program, </w:t>
      </w:r>
      <w:r w:rsidR="000961B2" w:rsidRPr="006C4A42">
        <w:t xml:space="preserve">and </w:t>
      </w:r>
      <w:r w:rsidRPr="006C4A42">
        <w:t>speakers’</w:t>
      </w:r>
      <w:r w:rsidR="000961B2" w:rsidRPr="006C4A42">
        <w:t xml:space="preserve"> profiles</w:t>
      </w:r>
      <w:r w:rsidRPr="006C4A42">
        <w:t xml:space="preserve">.  </w:t>
      </w:r>
      <w:r w:rsidR="002A29F6" w:rsidRPr="006C4A42">
        <w:t xml:space="preserve">After the Conference, the slide decks of the speakers’ presentations, as well as </w:t>
      </w:r>
      <w:r w:rsidR="00A40077" w:rsidRPr="006C4A42">
        <w:t xml:space="preserve">the </w:t>
      </w:r>
      <w:r w:rsidR="002A29F6" w:rsidRPr="006C4A42">
        <w:t>link to the video recording of the event, were made available on that web page.</w:t>
      </w:r>
    </w:p>
    <w:p w:rsidR="002A29F6" w:rsidRPr="006C4A42" w:rsidRDefault="002A29F6" w:rsidP="002A29F6">
      <w:pPr>
        <w:pStyle w:val="ListParagraph"/>
        <w:tabs>
          <w:tab w:val="left" w:pos="0"/>
        </w:tabs>
        <w:spacing w:after="220"/>
        <w:ind w:left="0"/>
      </w:pPr>
    </w:p>
    <w:p w:rsidR="003B7C8C" w:rsidRPr="006C4A42" w:rsidRDefault="003B7C8C" w:rsidP="00CD6857">
      <w:pPr>
        <w:pStyle w:val="ListParagraph"/>
        <w:numPr>
          <w:ilvl w:val="0"/>
          <w:numId w:val="7"/>
        </w:numPr>
        <w:tabs>
          <w:tab w:val="left" w:pos="0"/>
        </w:tabs>
        <w:spacing w:after="220"/>
        <w:ind w:left="0" w:firstLine="0"/>
      </w:pPr>
      <w:r w:rsidRPr="006C4A42">
        <w:t>An external communications expert was engaged to produce c</w:t>
      </w:r>
      <w:r w:rsidR="006E1336" w:rsidRPr="006C4A42">
        <w:t xml:space="preserve">ase studies of </w:t>
      </w:r>
      <w:r w:rsidR="008009D6" w:rsidRPr="006C4A42">
        <w:t>sta</w:t>
      </w:r>
      <w:r w:rsidR="002A29F6" w:rsidRPr="006C4A42">
        <w:t xml:space="preserve">rt-ups in the field of green technology </w:t>
      </w:r>
      <w:r w:rsidR="00A40077" w:rsidRPr="006C4A42">
        <w:t>in different parts of the world</w:t>
      </w:r>
      <w:r w:rsidRPr="006C4A42">
        <w:t>.  The case studies highlighted how those companies use</w:t>
      </w:r>
      <w:r w:rsidR="003D4857">
        <w:t>d</w:t>
      </w:r>
      <w:r w:rsidRPr="006C4A42">
        <w:t xml:space="preserve"> IP to leverage their assets, as well as the contribution of their innovative solutions to the achievement of the Sustainable Development </w:t>
      </w:r>
      <w:r w:rsidR="00C0383D">
        <w:t>Goals.  They</w:t>
      </w:r>
      <w:r w:rsidRPr="006C4A42">
        <w:t xml:space="preserve"> were also posted on the </w:t>
      </w:r>
      <w:hyperlink r:id="rId12" w:anchor="casestudies" w:history="1">
        <w:r w:rsidRPr="006C4A42">
          <w:rPr>
            <w:rStyle w:val="Hyperlink"/>
          </w:rPr>
          <w:t>Conference web page</w:t>
        </w:r>
      </w:hyperlink>
      <w:r w:rsidRPr="006C4A42">
        <w:t>.</w:t>
      </w:r>
    </w:p>
    <w:p w:rsidR="008009D6" w:rsidRDefault="008009D6" w:rsidP="008009D6">
      <w:pPr>
        <w:pStyle w:val="ListParagraph"/>
        <w:tabs>
          <w:tab w:val="left" w:pos="0"/>
        </w:tabs>
        <w:spacing w:after="220"/>
        <w:ind w:left="0"/>
      </w:pPr>
    </w:p>
    <w:p w:rsidR="00254918" w:rsidRDefault="002A29F6" w:rsidP="002326AB">
      <w:pPr>
        <w:pStyle w:val="ListParagraph"/>
        <w:numPr>
          <w:ilvl w:val="0"/>
          <w:numId w:val="7"/>
        </w:numPr>
        <w:tabs>
          <w:tab w:val="left" w:pos="0"/>
        </w:tabs>
        <w:spacing w:after="220"/>
        <w:ind w:left="0" w:firstLine="0"/>
      </w:pPr>
      <w:r>
        <w:t xml:space="preserve">In addition, the Conference was promoted by </w:t>
      </w:r>
      <w:r w:rsidRPr="00536DE6">
        <w:t>the Secretariat among</w:t>
      </w:r>
      <w:r w:rsidR="003D4857">
        <w:t>st</w:t>
      </w:r>
      <w:r w:rsidRPr="00536DE6">
        <w:t xml:space="preserve"> a wide audience, using different means: newsletters, mailing lists and flyers, </w:t>
      </w:r>
      <w:r w:rsidR="00B65C89" w:rsidRPr="00536DE6">
        <w:t>and social media.  The event was also announced</w:t>
      </w:r>
      <w:r w:rsidRPr="00536DE6">
        <w:t xml:space="preserve"> in the context of </w:t>
      </w:r>
      <w:r w:rsidR="00254918" w:rsidRPr="00536DE6">
        <w:t>WIPO’s participation in COP26 and other related events held prior to the Conference, such as webinars</w:t>
      </w:r>
      <w:r w:rsidR="00536DE6">
        <w:t xml:space="preserve"> organized by the Organization</w:t>
      </w:r>
      <w:r w:rsidR="00254918" w:rsidRPr="00536DE6">
        <w:t>.</w:t>
      </w:r>
    </w:p>
    <w:p w:rsidR="00581C49" w:rsidRDefault="00581C49" w:rsidP="00581C49">
      <w:pPr>
        <w:pStyle w:val="ListParagraph"/>
      </w:pPr>
    </w:p>
    <w:p w:rsidR="00932FA6" w:rsidRDefault="00581C49" w:rsidP="00447D06">
      <w:pPr>
        <w:pStyle w:val="ListParagraph"/>
        <w:numPr>
          <w:ilvl w:val="0"/>
          <w:numId w:val="7"/>
        </w:numPr>
        <w:tabs>
          <w:tab w:val="left" w:pos="0"/>
        </w:tabs>
        <w:ind w:left="0" w:firstLine="0"/>
        <w:contextualSpacing w:val="0"/>
      </w:pPr>
      <w:r>
        <w:t xml:space="preserve">After the Conference, a news item was published on </w:t>
      </w:r>
      <w:hyperlink r:id="rId13" w:history="1">
        <w:r w:rsidRPr="00581C49">
          <w:rPr>
            <w:rStyle w:val="Hyperlink"/>
          </w:rPr>
          <w:t>WIPO’s web site</w:t>
        </w:r>
      </w:hyperlink>
      <w:r>
        <w:t xml:space="preserve"> and included in the December edition of the Organization’s flagship newsletter </w:t>
      </w:r>
      <w:hyperlink r:id="rId14" w:history="1">
        <w:r w:rsidRPr="00581C49">
          <w:rPr>
            <w:rStyle w:val="Hyperlink"/>
          </w:rPr>
          <w:t>WIPO Wire</w:t>
        </w:r>
      </w:hyperlink>
      <w:r>
        <w:t xml:space="preserve">.  </w:t>
      </w:r>
      <w:r w:rsidR="00C0383D">
        <w:t>The photographs</w:t>
      </w:r>
      <w:r>
        <w:t xml:space="preserve"> taken during the event were published on the </w:t>
      </w:r>
      <w:hyperlink r:id="rId15" w:history="1">
        <w:r w:rsidRPr="00581C49">
          <w:rPr>
            <w:rStyle w:val="Hyperlink"/>
          </w:rPr>
          <w:t>Organization’s flicker account</w:t>
        </w:r>
      </w:hyperlink>
      <w:r>
        <w:t>.</w:t>
      </w:r>
    </w:p>
    <w:p w:rsidR="00447D06" w:rsidRDefault="00447D06" w:rsidP="00447D06">
      <w:pPr>
        <w:pStyle w:val="ListParagraph"/>
        <w:tabs>
          <w:tab w:val="left" w:pos="0"/>
        </w:tabs>
        <w:ind w:left="0"/>
        <w:contextualSpacing w:val="0"/>
      </w:pPr>
    </w:p>
    <w:p w:rsidR="00024D11" w:rsidRDefault="0061236D" w:rsidP="00447D06">
      <w:pPr>
        <w:pStyle w:val="Heading1"/>
        <w:numPr>
          <w:ilvl w:val="0"/>
          <w:numId w:val="8"/>
        </w:numPr>
        <w:spacing w:after="240"/>
        <w:ind w:left="540" w:hanging="540"/>
        <w:rPr>
          <w:b w:val="0"/>
        </w:rPr>
      </w:pPr>
      <w:r>
        <w:rPr>
          <w:b w:val="0"/>
        </w:rPr>
        <w:t>HIGHLIGHTS</w:t>
      </w:r>
      <w:r w:rsidR="009E306E" w:rsidRPr="00D77C6B">
        <w:rPr>
          <w:b w:val="0"/>
        </w:rPr>
        <w:t xml:space="preserve"> OF DISCUSSIONS</w:t>
      </w:r>
    </w:p>
    <w:p w:rsidR="009E306E" w:rsidRDefault="00D77C6B" w:rsidP="00447D06">
      <w:pPr>
        <w:pStyle w:val="ListParagraph"/>
        <w:numPr>
          <w:ilvl w:val="0"/>
          <w:numId w:val="7"/>
        </w:numPr>
        <w:tabs>
          <w:tab w:val="left" w:pos="0"/>
        </w:tabs>
        <w:spacing w:after="220"/>
        <w:ind w:left="0" w:firstLine="0"/>
        <w:contextualSpacing w:val="0"/>
      </w:pPr>
      <w:r>
        <w:t xml:space="preserve">Below </w:t>
      </w:r>
      <w:r w:rsidRPr="00536DE6">
        <w:t xml:space="preserve">is a </w:t>
      </w:r>
      <w:r w:rsidR="00EF6F61" w:rsidRPr="00536DE6">
        <w:t xml:space="preserve">brief </w:t>
      </w:r>
      <w:r w:rsidRPr="00536DE6">
        <w:t xml:space="preserve">summary of the </w:t>
      </w:r>
      <w:r w:rsidR="00536DE6" w:rsidRPr="00536DE6">
        <w:t>highlights of the</w:t>
      </w:r>
      <w:r w:rsidR="008B2369">
        <w:t xml:space="preserve"> Conference discussions</w:t>
      </w:r>
      <w:r w:rsidRPr="00536DE6">
        <w:t>.</w:t>
      </w:r>
    </w:p>
    <w:p w:rsidR="00D77C6B" w:rsidRPr="000C3243" w:rsidRDefault="00D77C6B" w:rsidP="00447D06">
      <w:pPr>
        <w:pStyle w:val="Heading2"/>
        <w:numPr>
          <w:ilvl w:val="0"/>
          <w:numId w:val="11"/>
        </w:numPr>
        <w:spacing w:after="220"/>
        <w:ind w:left="576" w:hanging="288"/>
        <w:rPr>
          <w:u w:val="single"/>
        </w:rPr>
      </w:pPr>
      <w:r w:rsidRPr="000C3243">
        <w:rPr>
          <w:u w:val="single"/>
        </w:rPr>
        <w:t>Panel 1</w:t>
      </w:r>
    </w:p>
    <w:p w:rsidR="009D3FAE" w:rsidRPr="00DA200B" w:rsidRDefault="009D3FAE" w:rsidP="005F2EFE">
      <w:pPr>
        <w:pStyle w:val="ListParagraph"/>
        <w:numPr>
          <w:ilvl w:val="0"/>
          <w:numId w:val="7"/>
        </w:numPr>
        <w:tabs>
          <w:tab w:val="left" w:pos="0"/>
        </w:tabs>
        <w:spacing w:after="220"/>
        <w:ind w:left="0" w:firstLine="0"/>
      </w:pPr>
      <w:r w:rsidRPr="00DA200B">
        <w:t xml:space="preserve">The first panel addressed the overarching question </w:t>
      </w:r>
      <w:r w:rsidR="000F3D73">
        <w:t>behind</w:t>
      </w:r>
      <w:r w:rsidRPr="00DA200B">
        <w:t xml:space="preserve"> the Conference’s theme: how innovative and creative ideas can contribute to finding synergies between the pursuit of development goals and the adoption of green policies.</w:t>
      </w:r>
      <w:r w:rsidR="00EF6F61" w:rsidRPr="00DA200B">
        <w:t xml:space="preserve">  </w:t>
      </w:r>
      <w:r w:rsidRPr="00DA200B">
        <w:t xml:space="preserve">The panel opened with the presentation of Ms. Rose Mwebaza, Director and Advisory Board Secretary of the UNFCC Climate Technology Centre and Network (CTCN).  </w:t>
      </w:r>
      <w:r w:rsidR="006161D2" w:rsidRPr="00DA200B">
        <w:t>Ms. Mwebaza</w:t>
      </w:r>
      <w:r w:rsidR="000C3243" w:rsidRPr="00DA200B">
        <w:t xml:space="preserve"> </w:t>
      </w:r>
      <w:r w:rsidR="000C3243" w:rsidRPr="00EA129F">
        <w:t xml:space="preserve">highlighted that </w:t>
      </w:r>
      <w:r w:rsidR="00EA129F" w:rsidRPr="00EA129F">
        <w:t>we were</w:t>
      </w:r>
      <w:r w:rsidR="000C3243" w:rsidRPr="00EA129F">
        <w:t xml:space="preserve"> facing </w:t>
      </w:r>
      <w:r w:rsidR="003951EB" w:rsidRPr="00EA129F">
        <w:t>an extreme planetary crisis, with e</w:t>
      </w:r>
      <w:r w:rsidR="003951EB" w:rsidRPr="00DA200B">
        <w:t>normous consequences for all spheres of our lives, which ha</w:t>
      </w:r>
      <w:r w:rsidR="00F621DB">
        <w:t>d</w:t>
      </w:r>
      <w:r w:rsidR="003951EB" w:rsidRPr="00DA200B">
        <w:t xml:space="preserve"> been caused by the failures of our systems.  </w:t>
      </w:r>
      <w:r w:rsidR="000F3D73">
        <w:t xml:space="preserve">Innovative solutions </w:t>
      </w:r>
      <w:r w:rsidR="00EA129F">
        <w:t>we</w:t>
      </w:r>
      <w:r w:rsidR="000F3D73">
        <w:t>re</w:t>
      </w:r>
      <w:r w:rsidR="0030420C" w:rsidRPr="00DA200B">
        <w:t xml:space="preserve"> </w:t>
      </w:r>
      <w:r w:rsidR="003951EB" w:rsidRPr="00DA200B">
        <w:t xml:space="preserve">vital </w:t>
      </w:r>
      <w:r w:rsidR="0030420C" w:rsidRPr="00DA200B">
        <w:t>to</w:t>
      </w:r>
      <w:r w:rsidR="003951EB" w:rsidRPr="00DA200B">
        <w:t xml:space="preserve"> transform those systems and reduce pressure on our planet.  Innovation, however,</w:t>
      </w:r>
      <w:r w:rsidR="008E2BD8" w:rsidRPr="00DA200B">
        <w:t xml:space="preserve"> </w:t>
      </w:r>
      <w:r w:rsidR="00EA129F">
        <w:t>was</w:t>
      </w:r>
      <w:r w:rsidR="008E2BD8" w:rsidRPr="00DA200B">
        <w:t xml:space="preserve"> not only dependent on science and technology</w:t>
      </w:r>
      <w:r w:rsidR="003951EB" w:rsidRPr="00DA200B">
        <w:t>,</w:t>
      </w:r>
      <w:r w:rsidR="008E2BD8" w:rsidRPr="00DA200B">
        <w:t xml:space="preserve"> but also</w:t>
      </w:r>
      <w:r w:rsidR="00DA200B" w:rsidRPr="00DA200B">
        <w:t xml:space="preserve"> on</w:t>
      </w:r>
      <w:r w:rsidR="008E2BD8" w:rsidRPr="00DA200B">
        <w:t xml:space="preserve"> </w:t>
      </w:r>
      <w:r w:rsidR="00DA200B" w:rsidRPr="00DA200B">
        <w:t xml:space="preserve">institutional changes.  </w:t>
      </w:r>
      <w:r w:rsidR="008E2BD8" w:rsidRPr="00DA200B">
        <w:t xml:space="preserve">Aside from the </w:t>
      </w:r>
      <w:r w:rsidR="003C2ADB" w:rsidRPr="00DA200B">
        <w:t xml:space="preserve">need to channel </w:t>
      </w:r>
      <w:r w:rsidR="00DA200B" w:rsidRPr="00DA200B">
        <w:t>more capital</w:t>
      </w:r>
      <w:r w:rsidR="003C2ADB" w:rsidRPr="00DA200B">
        <w:t xml:space="preserve"> to innovation, efforts should aim at ensuring a balanced IP system and a more balanced research and development (R&amp;D) sector,</w:t>
      </w:r>
      <w:r w:rsidR="00DA200B" w:rsidRPr="00DA200B">
        <w:t xml:space="preserve"> where developing countries </w:t>
      </w:r>
      <w:r w:rsidR="00B7264E">
        <w:t xml:space="preserve">would </w:t>
      </w:r>
      <w:r w:rsidR="00DA200B" w:rsidRPr="00DA200B">
        <w:t>play</w:t>
      </w:r>
      <w:r w:rsidR="003C2ADB" w:rsidRPr="00DA200B">
        <w:t xml:space="preserve"> a bigger role in leading green innovation.  </w:t>
      </w:r>
      <w:r w:rsidR="00C23722" w:rsidRPr="00DA200B">
        <w:t xml:space="preserve">Ms. Mwebaza </w:t>
      </w:r>
      <w:r w:rsidR="00EA129F">
        <w:t xml:space="preserve">also </w:t>
      </w:r>
      <w:r w:rsidR="00C23722" w:rsidRPr="00DA200B">
        <w:t xml:space="preserve">emphasized </w:t>
      </w:r>
      <w:r w:rsidR="00DE127D" w:rsidRPr="00DA200B">
        <w:t xml:space="preserve">the </w:t>
      </w:r>
      <w:r w:rsidR="00DA200B" w:rsidRPr="00DA200B">
        <w:t>potential o</w:t>
      </w:r>
      <w:r w:rsidR="00DE127D" w:rsidRPr="00DA200B">
        <w:t xml:space="preserve">f innovation in helping to decouple economic growth from </w:t>
      </w:r>
      <w:r w:rsidR="00DA200B" w:rsidRPr="00DA200B">
        <w:t xml:space="preserve">the </w:t>
      </w:r>
      <w:r w:rsidR="00DE127D" w:rsidRPr="00DA200B">
        <w:t>depletion of natural resources.</w:t>
      </w:r>
    </w:p>
    <w:p w:rsidR="00F661C0" w:rsidRDefault="00F661C0" w:rsidP="00F661C0">
      <w:pPr>
        <w:pStyle w:val="ListParagraph"/>
        <w:tabs>
          <w:tab w:val="left" w:pos="0"/>
        </w:tabs>
        <w:spacing w:after="220"/>
        <w:ind w:left="0"/>
      </w:pPr>
    </w:p>
    <w:p w:rsidR="009D3FAE" w:rsidRDefault="009D3FAE" w:rsidP="00243161">
      <w:pPr>
        <w:pStyle w:val="ListParagraph"/>
        <w:numPr>
          <w:ilvl w:val="0"/>
          <w:numId w:val="7"/>
        </w:numPr>
        <w:tabs>
          <w:tab w:val="left" w:pos="0"/>
        </w:tabs>
        <w:spacing w:after="220"/>
        <w:ind w:left="0" w:firstLine="0"/>
      </w:pPr>
      <w:r>
        <w:t xml:space="preserve">The discussants commented </w:t>
      </w:r>
      <w:r w:rsidR="002872B8">
        <w:t>on that</w:t>
      </w:r>
      <w:r>
        <w:t xml:space="preserve"> presentation.  First, Mr. Paul Ekins</w:t>
      </w:r>
      <w:r w:rsidR="00EA4977">
        <w:t>, Professor of Resources and Environmental Policy and Director of the Institute for Sustainable Resources of University College of London,</w:t>
      </w:r>
      <w:r w:rsidR="001A6C73">
        <w:t xml:space="preserve"> </w:t>
      </w:r>
      <w:r w:rsidR="008B2069">
        <w:t xml:space="preserve">drew on the </w:t>
      </w:r>
      <w:r w:rsidR="0026110D">
        <w:t xml:space="preserve">ideas stemming from the work of the </w:t>
      </w:r>
      <w:hyperlink r:id="rId16" w:history="1">
        <w:r w:rsidR="0026110D" w:rsidRPr="0026110D">
          <w:rPr>
            <w:rStyle w:val="Hyperlink"/>
          </w:rPr>
          <w:t>Green Innovation Policy Commission</w:t>
        </w:r>
      </w:hyperlink>
      <w:r w:rsidR="0026110D">
        <w:t>.</w:t>
      </w:r>
      <w:r w:rsidR="0026110D">
        <w:rPr>
          <w:rStyle w:val="FootnoteReference"/>
        </w:rPr>
        <w:footnoteReference w:id="6"/>
      </w:r>
      <w:r w:rsidR="0026110D">
        <w:t xml:space="preserve">  </w:t>
      </w:r>
      <w:r w:rsidR="00923AE3">
        <w:t xml:space="preserve">Mr. Ekins reiterated the essential role of business models and institutions in our efforts to speed up green innovation and get green solutions to market.  The task of making innovation work for sustainable development </w:t>
      </w:r>
      <w:r w:rsidR="00F621DB">
        <w:t>was</w:t>
      </w:r>
      <w:r w:rsidR="00923AE3">
        <w:t xml:space="preserve"> a complex one, where policy recommendations </w:t>
      </w:r>
      <w:r w:rsidR="00F621DB">
        <w:t>we</w:t>
      </w:r>
      <w:r w:rsidR="00923AE3">
        <w:t>re multifaceted: (</w:t>
      </w:r>
      <w:proofErr w:type="spellStart"/>
      <w:r w:rsidR="00923AE3">
        <w:t>i</w:t>
      </w:r>
      <w:proofErr w:type="spellEnd"/>
      <w:r w:rsidR="00923AE3">
        <w:t xml:space="preserve">) create demand for </w:t>
      </w:r>
      <w:r w:rsidR="00543231">
        <w:t>innovative</w:t>
      </w:r>
      <w:r w:rsidR="000F3D73">
        <w:t xml:space="preserve"> green</w:t>
      </w:r>
      <w:r w:rsidR="00543231">
        <w:t xml:space="preserve"> products and services</w:t>
      </w:r>
      <w:r w:rsidR="00923AE3">
        <w:t>;</w:t>
      </w:r>
      <w:r w:rsidR="00543231">
        <w:t xml:space="preserve"> (ii) boos</w:t>
      </w:r>
      <w:r w:rsidR="000F3D73">
        <w:t>t</w:t>
      </w:r>
      <w:r w:rsidR="00543231">
        <w:t xml:space="preserve"> green innovation investments; (iii) align regulations with environmental goals and </w:t>
      </w:r>
      <w:r w:rsidR="000F3D73">
        <w:t>ensure their enforcement</w:t>
      </w:r>
      <w:r w:rsidR="00543231">
        <w:t>; (iv) nurture ecosystems, supporting cross-sectoral collaborations and balance</w:t>
      </w:r>
      <w:r w:rsidR="002B751D">
        <w:t>d</w:t>
      </w:r>
      <w:r w:rsidR="00543231">
        <w:t xml:space="preserve"> R&amp;D; (v) make infrastructure work for a greener economy; and (vi) build new governance mechanisms to foster </w:t>
      </w:r>
      <w:r w:rsidR="000F3D73">
        <w:t xml:space="preserve">a </w:t>
      </w:r>
      <w:r w:rsidR="00543231">
        <w:t xml:space="preserve">green recovery.  Mr. Ekins highlighted a series of gaps identified in different sectors that </w:t>
      </w:r>
      <w:r w:rsidR="00F621DB">
        <w:t>were</w:t>
      </w:r>
      <w:r w:rsidR="00543231">
        <w:t xml:space="preserve"> holding up green innovation, such as the limited demand </w:t>
      </w:r>
      <w:r w:rsidR="000F3D73">
        <w:t xml:space="preserve">for green technologies </w:t>
      </w:r>
      <w:r w:rsidR="00543231">
        <w:t>in the food sector or the unambitious regulation in the construction sector.</w:t>
      </w:r>
    </w:p>
    <w:p w:rsidR="001A6C73" w:rsidRDefault="001A6C73" w:rsidP="001A6C73">
      <w:pPr>
        <w:pStyle w:val="ListParagraph"/>
      </w:pPr>
    </w:p>
    <w:p w:rsidR="00D95566" w:rsidRDefault="009D3FAE" w:rsidP="00D95566">
      <w:pPr>
        <w:pStyle w:val="ListParagraph"/>
        <w:numPr>
          <w:ilvl w:val="0"/>
          <w:numId w:val="7"/>
        </w:numPr>
        <w:tabs>
          <w:tab w:val="left" w:pos="0"/>
        </w:tabs>
        <w:spacing w:after="220"/>
        <w:ind w:left="0" w:firstLine="0"/>
      </w:pPr>
      <w:r>
        <w:t>Mr. Alejandro Ortega</w:t>
      </w:r>
      <w:r w:rsidR="00EA4977">
        <w:t xml:space="preserve">, </w:t>
      </w:r>
      <w:r w:rsidR="007D58E6">
        <w:t>c</w:t>
      </w:r>
      <w:r w:rsidR="00EA4977">
        <w:t>o-founder and Chief Executive Officer of Sibö</w:t>
      </w:r>
      <w:r w:rsidR="004D5047">
        <w:t xml:space="preserve">, </w:t>
      </w:r>
      <w:r w:rsidR="009F7F32">
        <w:t xml:space="preserve">underlined the </w:t>
      </w:r>
      <w:r w:rsidR="0024747E">
        <w:t>barriers</w:t>
      </w:r>
      <w:r w:rsidR="009F7F32">
        <w:t xml:space="preserve"> faced by entrepreneurs in the field of green innovation, drawing on the experience of his own company, which produce</w:t>
      </w:r>
      <w:r w:rsidR="001032FC">
        <w:t>d</w:t>
      </w:r>
      <w:r w:rsidR="009F7F32">
        <w:t xml:space="preserve"> food ingredients from insect components using an innovative method with no </w:t>
      </w:r>
      <w:r w:rsidR="008D0734">
        <w:t>waste and a social supply chain</w:t>
      </w:r>
      <w:r w:rsidR="009F7F32">
        <w:t xml:space="preserve">.  Challenges varied from outdated regulations and lack of flexible policies to lack of capital, limited access to the necessary tools and equipment to develop ideas, expertise as regards the protection of intellectual property, business modeling and other technical </w:t>
      </w:r>
      <w:r w:rsidR="000F3D73">
        <w:t>capacit</w:t>
      </w:r>
      <w:r w:rsidR="00377062">
        <w:t>ies</w:t>
      </w:r>
      <w:r w:rsidR="009F7F32">
        <w:t>.</w:t>
      </w:r>
      <w:r w:rsidR="00C4567E">
        <w:t xml:space="preserve"> </w:t>
      </w:r>
      <w:r w:rsidR="000F3D73">
        <w:t xml:space="preserve"> </w:t>
      </w:r>
      <w:r w:rsidR="00D95566">
        <w:t xml:space="preserve">Efforts should aim at creating and reinforcing bridges between the developed and developing world to overcome those challenges.  They should aim at encouraging green innovation from those peoples who are the most vulnerable to the environmental crisis, in order to harvest innovation for the current needs.  The assistance provided by the </w:t>
      </w:r>
      <w:hyperlink r:id="rId17" w:history="1">
        <w:r w:rsidR="00D95566" w:rsidRPr="002311A5">
          <w:rPr>
            <w:rStyle w:val="Hyperlink"/>
          </w:rPr>
          <w:t>Accelerate 2030</w:t>
        </w:r>
      </w:hyperlink>
      <w:r w:rsidR="00D95566">
        <w:t xml:space="preserve"> program</w:t>
      </w:r>
      <w:r w:rsidR="000F3D73">
        <w:t>, seeking to</w:t>
      </w:r>
      <w:r w:rsidR="00D95566">
        <w:t xml:space="preserve"> scale the innovative solutions of entrepreneurs in developing countries </w:t>
      </w:r>
      <w:r w:rsidR="000F3D73">
        <w:t>contributing to the achievement of</w:t>
      </w:r>
      <w:r w:rsidR="00D95566">
        <w:t xml:space="preserve"> the SDGs</w:t>
      </w:r>
      <w:r w:rsidR="000F3D73">
        <w:t>,</w:t>
      </w:r>
      <w:r w:rsidR="00D95566">
        <w:t xml:space="preserve"> </w:t>
      </w:r>
      <w:r w:rsidR="00F621DB">
        <w:t>was</w:t>
      </w:r>
      <w:r w:rsidR="00D95566">
        <w:t xml:space="preserve"> a good example of those efforts. </w:t>
      </w:r>
    </w:p>
    <w:p w:rsidR="00EA4977" w:rsidRPr="00D77C6B" w:rsidRDefault="00EA4977" w:rsidP="00447D06">
      <w:pPr>
        <w:pStyle w:val="Heading2"/>
        <w:numPr>
          <w:ilvl w:val="0"/>
          <w:numId w:val="11"/>
        </w:numPr>
        <w:spacing w:after="220"/>
        <w:ind w:left="576" w:hanging="288"/>
        <w:rPr>
          <w:u w:val="single"/>
        </w:rPr>
      </w:pPr>
      <w:r>
        <w:rPr>
          <w:u w:val="single"/>
        </w:rPr>
        <w:t>Panel 2</w:t>
      </w:r>
    </w:p>
    <w:p w:rsidR="00EA4977" w:rsidRDefault="00EA4977" w:rsidP="00C822CF">
      <w:pPr>
        <w:pStyle w:val="ListParagraph"/>
        <w:numPr>
          <w:ilvl w:val="0"/>
          <w:numId w:val="7"/>
        </w:numPr>
        <w:tabs>
          <w:tab w:val="left" w:pos="0"/>
        </w:tabs>
        <w:spacing w:after="220"/>
        <w:ind w:left="0" w:firstLine="0"/>
      </w:pPr>
      <w:r>
        <w:t xml:space="preserve">The second panel </w:t>
      </w:r>
      <w:r w:rsidR="00EA129F">
        <w:t>addressed</w:t>
      </w:r>
      <w:r>
        <w:t xml:space="preserve"> the role of different IP rights in the field of green technology.</w:t>
      </w:r>
      <w:r w:rsidR="001274CA">
        <w:t xml:space="preserve">  The speaker, Mr. Mikael Rüdlinger, Inventor and President of the Board of BNL Clean Energy, </w:t>
      </w:r>
      <w:r w:rsidR="00CB5604">
        <w:t>presented the IP-related experience and practice of his company BNL, which develop</w:t>
      </w:r>
      <w:r w:rsidR="00564F93">
        <w:t>ed</w:t>
      </w:r>
      <w:r w:rsidR="00CB5604">
        <w:t xml:space="preserve"> and produce</w:t>
      </w:r>
      <w:r w:rsidR="00564F93">
        <w:t>d</w:t>
      </w:r>
      <w:r w:rsidR="00CB5604">
        <w:t xml:space="preserve"> zero-emission, zero-residue power plants and water treatment technologies.  Owner of more than 400 patents, BNL invest</w:t>
      </w:r>
      <w:r w:rsidR="00F621DB">
        <w:t>ed</w:t>
      </w:r>
      <w:r w:rsidR="00CB5604">
        <w:t xml:space="preserve"> heavily on the protection of intellectual property related to different types of sustainable technologies.  The enforcement of IP rights </w:t>
      </w:r>
      <w:r w:rsidR="00F621DB">
        <w:t>was</w:t>
      </w:r>
      <w:r w:rsidR="00C822CF">
        <w:t xml:space="preserve"> key</w:t>
      </w:r>
      <w:r w:rsidR="00F30478">
        <w:t>;</w:t>
      </w:r>
      <w:r w:rsidR="00C822CF">
        <w:t xml:space="preserve"> companies in the green technology sector seeking grants or subsidies should be required to be in compliance with IP regulations.  </w:t>
      </w:r>
      <w:r w:rsidR="00CB5604">
        <w:t xml:space="preserve">Mr. </w:t>
      </w:r>
      <w:proofErr w:type="spellStart"/>
      <w:r w:rsidR="00CB5604">
        <w:t>Rudlinger</w:t>
      </w:r>
      <w:proofErr w:type="spellEnd"/>
      <w:r w:rsidR="00CB5604">
        <w:t xml:space="preserve"> also stressed the importance of making green innovation accessible to all, which </w:t>
      </w:r>
      <w:proofErr w:type="gramStart"/>
      <w:r w:rsidR="00564F93">
        <w:t>could</w:t>
      </w:r>
      <w:r w:rsidR="00CB5604">
        <w:t xml:space="preserve"> be achieved</w:t>
      </w:r>
      <w:proofErr w:type="gramEnd"/>
      <w:r w:rsidR="00CB5604">
        <w:t xml:space="preserve"> through the development of certified and standardized technologies</w:t>
      </w:r>
      <w:r w:rsidR="00F30478">
        <w:t>,</w:t>
      </w:r>
      <w:r w:rsidR="00CB5604">
        <w:t xml:space="preserve"> as well as the </w:t>
      </w:r>
      <w:r w:rsidR="00F30478">
        <w:t xml:space="preserve">key </w:t>
      </w:r>
      <w:r w:rsidR="00CB5604">
        <w:t xml:space="preserve">role of green securities. </w:t>
      </w:r>
    </w:p>
    <w:p w:rsidR="00EA4977" w:rsidRDefault="00EA4977" w:rsidP="00EA4977">
      <w:pPr>
        <w:pStyle w:val="ListParagraph"/>
        <w:tabs>
          <w:tab w:val="left" w:pos="0"/>
        </w:tabs>
        <w:spacing w:after="220"/>
        <w:ind w:left="0"/>
      </w:pPr>
    </w:p>
    <w:p w:rsidR="00EA4977" w:rsidRDefault="00EA4977" w:rsidP="00EA4977">
      <w:pPr>
        <w:pStyle w:val="ListParagraph"/>
        <w:numPr>
          <w:ilvl w:val="0"/>
          <w:numId w:val="7"/>
        </w:numPr>
        <w:tabs>
          <w:tab w:val="left" w:pos="0"/>
        </w:tabs>
        <w:spacing w:after="220"/>
        <w:ind w:left="0" w:firstLine="0"/>
      </w:pPr>
      <w:r>
        <w:t xml:space="preserve">The discussants commented </w:t>
      </w:r>
      <w:r w:rsidR="002872B8">
        <w:t>on that</w:t>
      </w:r>
      <w:r>
        <w:t xml:space="preserve"> presentation.  First, </w:t>
      </w:r>
      <w:r w:rsidR="001274CA">
        <w:t>Ms. Elisabeth Eppinger, Professor of the Berlin University of Technology and Economics</w:t>
      </w:r>
      <w:r w:rsidR="00C90E1B">
        <w:t xml:space="preserve">, addressed the </w:t>
      </w:r>
      <w:r w:rsidR="00CF0F1E">
        <w:t>topic</w:t>
      </w:r>
      <w:r w:rsidR="00C90E1B">
        <w:t xml:space="preserve"> on the basis of the findings of the research project “</w:t>
      </w:r>
      <w:hyperlink r:id="rId18" w:history="1">
        <w:r w:rsidR="00C90E1B" w:rsidRPr="00F97653">
          <w:rPr>
            <w:rStyle w:val="Hyperlink"/>
          </w:rPr>
          <w:t>IP models to accelerate sustainable transitions</w:t>
        </w:r>
      </w:hyperlink>
      <w:r w:rsidR="00C90E1B">
        <w:t>”</w:t>
      </w:r>
      <w:r w:rsidR="00F97653">
        <w:t xml:space="preserve">, which </w:t>
      </w:r>
      <w:r w:rsidR="0003656D">
        <w:t>sought</w:t>
      </w:r>
      <w:r w:rsidR="00F97653">
        <w:t xml:space="preserve"> to better understand the debates around the use of IP for sustainable growth with</w:t>
      </w:r>
      <w:r w:rsidR="00CF0F1E">
        <w:t xml:space="preserve"> the help of</w:t>
      </w:r>
      <w:r w:rsidR="00F97653">
        <w:t xml:space="preserve"> evidence from the ground.  </w:t>
      </w:r>
      <w:r w:rsidR="00D97EEE">
        <w:t>S</w:t>
      </w:r>
      <w:r w:rsidR="00F621DB">
        <w:t>ome of those findings</w:t>
      </w:r>
      <w:r w:rsidR="00D97EEE">
        <w:t xml:space="preserve"> were the following</w:t>
      </w:r>
      <w:r w:rsidR="00F621DB">
        <w:t>:</w:t>
      </w:r>
      <w:r w:rsidR="00F97653">
        <w:t xml:space="preserve"> actors in the field </w:t>
      </w:r>
      <w:r w:rsidR="00F621DB">
        <w:t>of innovation almost always relied</w:t>
      </w:r>
      <w:r w:rsidR="00F97653">
        <w:t xml:space="preserve"> on collaboration and </w:t>
      </w:r>
      <w:r w:rsidR="00C822CF">
        <w:t xml:space="preserve">on </w:t>
      </w:r>
      <w:r w:rsidR="00F97653">
        <w:t xml:space="preserve">the IP of others in the early stages of the innovation process; different IP models </w:t>
      </w:r>
      <w:r w:rsidR="00F621DB">
        <w:t>we</w:t>
      </w:r>
      <w:r w:rsidR="00F97653">
        <w:t>re used in market diffusion; very few use</w:t>
      </w:r>
      <w:r w:rsidR="00F621DB">
        <w:t>d</w:t>
      </w:r>
      <w:r w:rsidR="00F97653">
        <w:t xml:space="preserve"> and </w:t>
      </w:r>
      <w:r w:rsidR="00F621DB">
        <w:t>thought</w:t>
      </w:r>
      <w:r w:rsidR="00F97653">
        <w:t xml:space="preserve"> of IP as a tool to increase sustainability impact; IP </w:t>
      </w:r>
      <w:r w:rsidR="00F621DB">
        <w:t>was</w:t>
      </w:r>
      <w:r w:rsidR="00F97653">
        <w:t xml:space="preserve"> used to attract investments and acquisitions; and some </w:t>
      </w:r>
      <w:r w:rsidR="00F621DB">
        <w:t>took</w:t>
      </w:r>
      <w:r w:rsidR="00F97653">
        <w:t xml:space="preserve"> a differentiated approach to licensing in developing countries in order to facilitate economic development.  In </w:t>
      </w:r>
      <w:r w:rsidR="00C822CF">
        <w:t xml:space="preserve">general, innovators </w:t>
      </w:r>
      <w:r w:rsidR="00F621DB">
        <w:t>we</w:t>
      </w:r>
      <w:r w:rsidR="00C822CF">
        <w:t>re willing</w:t>
      </w:r>
      <w:r w:rsidR="00F97653">
        <w:t xml:space="preserve"> to share more, but businesses tend</w:t>
      </w:r>
      <w:r w:rsidR="00F621DB">
        <w:t>ed</w:t>
      </w:r>
      <w:r w:rsidR="00F97653">
        <w:t xml:space="preserve"> to focus on developing their products</w:t>
      </w:r>
      <w:r w:rsidR="00863F0F">
        <w:t xml:space="preserve"> and </w:t>
      </w:r>
      <w:r w:rsidR="00BD0C75">
        <w:t>took</w:t>
      </w:r>
      <w:r w:rsidR="00863F0F">
        <w:t xml:space="preserve"> little</w:t>
      </w:r>
      <w:r w:rsidR="00C822CF">
        <w:t xml:space="preserve"> or no</w:t>
      </w:r>
      <w:r w:rsidR="00863F0F">
        <w:t xml:space="preserve"> action on sharing</w:t>
      </w:r>
      <w:r w:rsidR="00F97653">
        <w:t xml:space="preserve">.  Hence, efforts should be made to incentivize them, supporting the infrastructure and intermediaries, and raising awareness about </w:t>
      </w:r>
      <w:r w:rsidR="00C822CF">
        <w:t xml:space="preserve">the benefits of </w:t>
      </w:r>
      <w:r w:rsidR="00F97653">
        <w:t>sustainability impact.</w:t>
      </w:r>
    </w:p>
    <w:p w:rsidR="00EA4977" w:rsidRDefault="00EA4977" w:rsidP="00EA4977">
      <w:pPr>
        <w:pStyle w:val="ListParagraph"/>
      </w:pPr>
    </w:p>
    <w:p w:rsidR="00EA4977" w:rsidRPr="00DC67FB" w:rsidRDefault="00D36DD6" w:rsidP="00EA4977">
      <w:pPr>
        <w:pStyle w:val="ListParagraph"/>
        <w:numPr>
          <w:ilvl w:val="0"/>
          <w:numId w:val="7"/>
        </w:numPr>
        <w:tabs>
          <w:tab w:val="left" w:pos="0"/>
        </w:tabs>
        <w:spacing w:after="220"/>
        <w:ind w:left="0" w:firstLine="0"/>
      </w:pPr>
      <w:r>
        <w:t xml:space="preserve">Mr. </w:t>
      </w:r>
      <w:r w:rsidR="001274CA" w:rsidRPr="00DC67FB">
        <w:t>Rafael Carmona, Chief Technology Officer of Green</w:t>
      </w:r>
      <w:r w:rsidR="004A4A87">
        <w:t xml:space="preserve"> </w:t>
      </w:r>
      <w:r w:rsidR="001274CA" w:rsidRPr="00DC67FB">
        <w:t>Momentum</w:t>
      </w:r>
      <w:r w:rsidR="00DC67FB" w:rsidRPr="00DC67FB">
        <w:t>, a</w:t>
      </w:r>
      <w:r w:rsidR="00C822CF">
        <w:t xml:space="preserve"> Mexican</w:t>
      </w:r>
      <w:r w:rsidR="00DC67FB" w:rsidRPr="00DC67FB">
        <w:t xml:space="preserve"> private company</w:t>
      </w:r>
      <w:r w:rsidR="00C822CF">
        <w:t xml:space="preserve"> </w:t>
      </w:r>
      <w:r w:rsidR="00BD0C75">
        <w:t>supporting</w:t>
      </w:r>
      <w:r w:rsidR="00DC67FB" w:rsidRPr="00DC67FB">
        <w:t xml:space="preserve"> entrepreneurs </w:t>
      </w:r>
      <w:r w:rsidR="004C5ABA">
        <w:t>in the field of</w:t>
      </w:r>
      <w:r w:rsidR="00DC67FB" w:rsidRPr="00DC67FB">
        <w:t xml:space="preserve"> clean technology development, </w:t>
      </w:r>
      <w:r w:rsidR="004C5ABA">
        <w:t xml:space="preserve">provided examples of how </w:t>
      </w:r>
      <w:r w:rsidR="00C822CF">
        <w:t>those entrepreneurs</w:t>
      </w:r>
      <w:r w:rsidR="004C5ABA">
        <w:t xml:space="preserve"> use</w:t>
      </w:r>
      <w:r w:rsidR="00BD0C75">
        <w:t>d</w:t>
      </w:r>
      <w:r w:rsidR="004C5ABA">
        <w:t xml:space="preserve"> IP for their benefit and the challenges they encounter</w:t>
      </w:r>
      <w:r w:rsidR="00BD0C75">
        <w:t>ed</w:t>
      </w:r>
      <w:r w:rsidR="004C5ABA">
        <w:t xml:space="preserve">.  From lack of resources to limited capacity, </w:t>
      </w:r>
      <w:r w:rsidR="00FA2DF5">
        <w:t>multiple barriers prevent</w:t>
      </w:r>
      <w:r w:rsidR="00D97EEE">
        <w:t>ed</w:t>
      </w:r>
      <w:r w:rsidR="00FA2DF5">
        <w:t xml:space="preserve"> </w:t>
      </w:r>
      <w:r w:rsidR="00C822CF">
        <w:t>them</w:t>
      </w:r>
      <w:r w:rsidR="00FA2DF5">
        <w:t xml:space="preserve"> from making the most out of the IP system to protect their innovations.  Some </w:t>
      </w:r>
      <w:r w:rsidR="00D97EEE">
        <w:t>ongoing initiatives</w:t>
      </w:r>
      <w:r w:rsidR="00FA2DF5">
        <w:t xml:space="preserve"> help</w:t>
      </w:r>
      <w:r w:rsidR="00D97EEE">
        <w:t>ed</w:t>
      </w:r>
      <w:r w:rsidR="00FA2DF5">
        <w:t xml:space="preserve"> to incentivize innovation in the field of green technology, such as “Cleantec</w:t>
      </w:r>
      <w:r w:rsidR="00D97EEE">
        <w:t>h Labs” –where entrepreneurs could</w:t>
      </w:r>
      <w:r w:rsidR="00FA2DF5">
        <w:t xml:space="preserve"> access state-of-the-art infrastructure to develop their technology</w:t>
      </w:r>
      <w:r w:rsidR="00C822CF">
        <w:t>–</w:t>
      </w:r>
      <w:r w:rsidR="00FA2DF5">
        <w:t xml:space="preserve">, or the </w:t>
      </w:r>
      <w:r w:rsidR="00C822CF">
        <w:t>“</w:t>
      </w:r>
      <w:r w:rsidR="00FA2DF5">
        <w:t>Energy Sustainable Fund</w:t>
      </w:r>
      <w:r w:rsidR="00C822CF">
        <w:t>”</w:t>
      </w:r>
      <w:r w:rsidR="00D97EEE">
        <w:t xml:space="preserve"> –which financed</w:t>
      </w:r>
      <w:r w:rsidR="00FA2DF5">
        <w:t xml:space="preserve"> </w:t>
      </w:r>
      <w:r w:rsidR="00D97EEE">
        <w:t>R&amp;D in clean technology and aimed</w:t>
      </w:r>
      <w:r w:rsidR="00FA2DF5">
        <w:t xml:space="preserve"> at creating synergies between the academic and private worlds to ensure that green solutions </w:t>
      </w:r>
      <w:r w:rsidR="00D97EEE">
        <w:t>we</w:t>
      </w:r>
      <w:r w:rsidR="00FA2DF5">
        <w:t xml:space="preserve">re brought to market.  Other ideas on how to foster innovation in this field </w:t>
      </w:r>
      <w:r w:rsidR="00D97EEE">
        <w:t>went</w:t>
      </w:r>
      <w:r w:rsidR="00FA2DF5">
        <w:t xml:space="preserve"> from the promotion of an IP culture at an early stage of technology development to awareness raising on the digital services offered by the national IP offices, the reduction of legal barriers for licensing patents, or the strengthening of international cooperation among green technology inventors.</w:t>
      </w:r>
    </w:p>
    <w:p w:rsidR="001274CA" w:rsidRPr="001274CA" w:rsidRDefault="001274CA" w:rsidP="00447D06">
      <w:pPr>
        <w:pStyle w:val="Heading2"/>
        <w:numPr>
          <w:ilvl w:val="0"/>
          <w:numId w:val="11"/>
        </w:numPr>
        <w:spacing w:after="220"/>
        <w:ind w:left="576" w:hanging="288"/>
        <w:rPr>
          <w:u w:val="single"/>
        </w:rPr>
      </w:pPr>
      <w:r w:rsidRPr="001274CA">
        <w:rPr>
          <w:u w:val="single"/>
        </w:rPr>
        <w:t>panel 3</w:t>
      </w:r>
    </w:p>
    <w:p w:rsidR="00EA4977" w:rsidRDefault="00EA4977" w:rsidP="00EA4977">
      <w:pPr>
        <w:pStyle w:val="ListParagraph"/>
        <w:numPr>
          <w:ilvl w:val="0"/>
          <w:numId w:val="7"/>
        </w:numPr>
        <w:tabs>
          <w:tab w:val="left" w:pos="0"/>
        </w:tabs>
        <w:spacing w:after="220"/>
        <w:ind w:left="0" w:firstLine="0"/>
      </w:pPr>
      <w:r>
        <w:t xml:space="preserve"> </w:t>
      </w:r>
      <w:r w:rsidR="006933B2">
        <w:t>P</w:t>
      </w:r>
      <w:r w:rsidR="001274CA">
        <w:t xml:space="preserve">anel 3 explored the challenges faced, particularly by developing countries, in fostering, accessing and using green innovations, as well as policies and other initiatives that </w:t>
      </w:r>
      <w:r w:rsidR="0003656D">
        <w:t>could</w:t>
      </w:r>
      <w:r w:rsidR="001274CA">
        <w:t xml:space="preserve"> be adopted to address them.  The speaker, Mr. Raghunathan, Chief Executive Officer of the Singapore Office of the World Wide Fund for Nature (WWF), </w:t>
      </w:r>
      <w:r w:rsidR="00AA60A5">
        <w:t xml:space="preserve">presented the challenges faced by </w:t>
      </w:r>
      <w:r w:rsidR="006933B2">
        <w:t>ASEAN</w:t>
      </w:r>
      <w:r w:rsidR="00AA60A5">
        <w:t xml:space="preserve"> countries in the area of green innovation, as well as some initiatives that offer</w:t>
      </w:r>
      <w:r w:rsidR="00D97EEE">
        <w:t>ed</w:t>
      </w:r>
      <w:r w:rsidR="00AA60A5">
        <w:t xml:space="preserve"> hope </w:t>
      </w:r>
      <w:r w:rsidR="00BD6744">
        <w:t xml:space="preserve">for the way forward.  </w:t>
      </w:r>
      <w:r w:rsidR="00654F8F">
        <w:t xml:space="preserve">Countries in the region </w:t>
      </w:r>
      <w:r w:rsidR="00D97EEE">
        <w:t>we</w:t>
      </w:r>
      <w:r w:rsidR="00654F8F">
        <w:t xml:space="preserve">re facing multiple and diverse environmental challenges, from food insecurity in Indonesia to loss of biodiversity in Cambodia </w:t>
      </w:r>
      <w:r w:rsidR="00C14469">
        <w:t>and</w:t>
      </w:r>
      <w:r w:rsidR="00654F8F">
        <w:t xml:space="preserve"> risks for populations living below the sea level in Singapore.  Different innovative solutions </w:t>
      </w:r>
      <w:r w:rsidR="00D97EEE">
        <w:t>we</w:t>
      </w:r>
      <w:r w:rsidR="00654F8F">
        <w:t xml:space="preserve">re emerging to address </w:t>
      </w:r>
      <w:r w:rsidR="004B0F9A">
        <w:t>them</w:t>
      </w:r>
      <w:r w:rsidR="00654F8F">
        <w:t xml:space="preserve">.  An example </w:t>
      </w:r>
      <w:r w:rsidR="00D97EEE">
        <w:t>was</w:t>
      </w:r>
      <w:r w:rsidR="00654F8F">
        <w:t xml:space="preserve"> an artific</w:t>
      </w:r>
      <w:r w:rsidR="00D97EEE">
        <w:t>ial intelligence tool that helped</w:t>
      </w:r>
      <w:r w:rsidR="00654F8F">
        <w:t xml:space="preserve"> rangers </w:t>
      </w:r>
      <w:r w:rsidR="00C146A5">
        <w:t xml:space="preserve">to </w:t>
      </w:r>
      <w:r w:rsidR="00654F8F">
        <w:t>monitor the presence of animal</w:t>
      </w:r>
      <w:r w:rsidR="00D97EEE">
        <w:t>s in Cambodian forests, predicted</w:t>
      </w:r>
      <w:r w:rsidR="00654F8F">
        <w:t xml:space="preserve"> their movements and the </w:t>
      </w:r>
      <w:r w:rsidR="00D97EEE">
        <w:t>risk of poaching.  Another wa</w:t>
      </w:r>
      <w:r w:rsidR="00654F8F">
        <w:t>s a pla</w:t>
      </w:r>
      <w:r w:rsidR="00D97EEE">
        <w:t xml:space="preserve">tform in Indonesia that </w:t>
      </w:r>
      <w:r w:rsidR="0003656D">
        <w:t>channeled</w:t>
      </w:r>
      <w:r w:rsidR="00654F8F">
        <w:t xml:space="preserve"> funds from investors to farmers to buy seeds and harvest, helping to ensure the food supply.  More innovative solutions at accessible prices </w:t>
      </w:r>
      <w:r w:rsidR="005B52AD">
        <w:t xml:space="preserve">should be available </w:t>
      </w:r>
      <w:r w:rsidR="00654F8F">
        <w:t>f</w:t>
      </w:r>
      <w:r w:rsidR="00D97EEE">
        <w:t>or people in this area.  There wa</w:t>
      </w:r>
      <w:r w:rsidR="00654F8F">
        <w:t>s a need to identify the inventions that</w:t>
      </w:r>
      <w:r w:rsidR="005B52AD">
        <w:t xml:space="preserve"> respond</w:t>
      </w:r>
      <w:r w:rsidR="00D97EEE">
        <w:t>ed</w:t>
      </w:r>
      <w:r w:rsidR="005B52AD">
        <w:t xml:space="preserve"> to the particular challenges faced and that </w:t>
      </w:r>
      <w:r w:rsidR="00D97EEE">
        <w:t xml:space="preserve">could </w:t>
      </w:r>
      <w:r w:rsidR="005B52AD">
        <w:t xml:space="preserve">really impact the populations at large; enable financing; </w:t>
      </w:r>
      <w:r w:rsidR="008A5043">
        <w:t>encourage</w:t>
      </w:r>
      <w:r w:rsidR="005B52AD">
        <w:t xml:space="preserve"> businesses, innovators and communities </w:t>
      </w:r>
      <w:r w:rsidR="008A5043">
        <w:t xml:space="preserve">to </w:t>
      </w:r>
      <w:r w:rsidR="005B52AD">
        <w:t xml:space="preserve">work together; and put in place policies </w:t>
      </w:r>
      <w:r w:rsidR="008A5043">
        <w:t>for</w:t>
      </w:r>
      <w:r w:rsidR="005B52AD">
        <w:t xml:space="preserve"> faster commercialization of IP.</w:t>
      </w:r>
    </w:p>
    <w:p w:rsidR="00AA60A5" w:rsidRDefault="00AA60A5" w:rsidP="001274CA">
      <w:pPr>
        <w:pStyle w:val="ListParagraph"/>
        <w:tabs>
          <w:tab w:val="left" w:pos="0"/>
        </w:tabs>
        <w:spacing w:after="220"/>
        <w:ind w:left="0"/>
      </w:pPr>
    </w:p>
    <w:p w:rsidR="001274CA" w:rsidRDefault="001274CA" w:rsidP="00355966">
      <w:pPr>
        <w:pStyle w:val="ListParagraph"/>
        <w:numPr>
          <w:ilvl w:val="0"/>
          <w:numId w:val="7"/>
        </w:numPr>
        <w:tabs>
          <w:tab w:val="left" w:pos="0"/>
        </w:tabs>
        <w:spacing w:after="220"/>
        <w:ind w:left="0" w:firstLine="0"/>
      </w:pPr>
      <w:r>
        <w:t xml:space="preserve">The discussants commented </w:t>
      </w:r>
      <w:r w:rsidR="002872B8">
        <w:t xml:space="preserve">on that </w:t>
      </w:r>
      <w:r>
        <w:t xml:space="preserve">presentation.  First, Ms. Amy Dietterich, Director of the Global Challenges Division of WIPO, </w:t>
      </w:r>
      <w:r w:rsidR="002715CE">
        <w:t xml:space="preserve">highlighted that despite the huge market opportunity in the </w:t>
      </w:r>
      <w:r w:rsidR="00D356A8">
        <w:t>clean</w:t>
      </w:r>
      <w:r w:rsidR="002715CE">
        <w:t xml:space="preserve"> technology spac</w:t>
      </w:r>
      <w:r w:rsidR="00D97EEE">
        <w:t>e, 90% of green innovation took</w:t>
      </w:r>
      <w:r w:rsidR="002715CE">
        <w:t xml:space="preserve"> plac</w:t>
      </w:r>
      <w:r w:rsidR="00D97EEE">
        <w:t>e in OECD countries.  There was</w:t>
      </w:r>
      <w:r w:rsidR="0035737A">
        <w:t xml:space="preserve"> hence</w:t>
      </w:r>
      <w:r w:rsidR="00D97EEE">
        <w:t xml:space="preserve"> an urgent need for </w:t>
      </w:r>
      <w:r w:rsidR="002715CE">
        <w:t>initiatives to strengthen domestic innovation ecosystems in developing countries; technology transfer</w:t>
      </w:r>
      <w:proofErr w:type="gramStart"/>
      <w:r w:rsidR="00040152">
        <w:t>;</w:t>
      </w:r>
      <w:proofErr w:type="gramEnd"/>
      <w:r w:rsidR="002715CE">
        <w:t xml:space="preserve"> and licensing and collaborative development agreements.  </w:t>
      </w:r>
      <w:r w:rsidR="00AD03B4">
        <w:t xml:space="preserve">To contribute to that process, </w:t>
      </w:r>
      <w:r w:rsidR="003D5A4A">
        <w:t xml:space="preserve">WIPO GREEN, a platform </w:t>
      </w:r>
      <w:r w:rsidR="00D97EEE">
        <w:t>aiming</w:t>
      </w:r>
      <w:r w:rsidR="003D5A4A">
        <w:t xml:space="preserve"> at accelerating the global tran</w:t>
      </w:r>
      <w:r w:rsidR="00AD03B4">
        <w:t>sition t</w:t>
      </w:r>
      <w:r w:rsidR="00D97EEE">
        <w:t>o greener technologies, connected</w:t>
      </w:r>
      <w:r w:rsidR="00AD03B4">
        <w:t xml:space="preserve"> seekers of innovative solutions to those </w:t>
      </w:r>
      <w:r w:rsidR="0035737A">
        <w:t>producing</w:t>
      </w:r>
      <w:r w:rsidR="00AD03B4">
        <w:t xml:space="preserve"> them</w:t>
      </w:r>
      <w:r w:rsidR="00D356A8">
        <w:t>;</w:t>
      </w:r>
      <w:r w:rsidR="00AD03B4">
        <w:t xml:space="preserve"> </w:t>
      </w:r>
      <w:r w:rsidR="00D97EEE">
        <w:t>offered</w:t>
      </w:r>
      <w:r w:rsidR="00AD03B4">
        <w:t xml:space="preserve"> a network of green technology expert</w:t>
      </w:r>
      <w:r w:rsidR="003178B0">
        <w:t>s;</w:t>
      </w:r>
      <w:r w:rsidR="00AD03B4">
        <w:t xml:space="preserve"> and </w:t>
      </w:r>
      <w:r w:rsidR="008941F3">
        <w:t>provi</w:t>
      </w:r>
      <w:r w:rsidR="00D97EEE">
        <w:t>ded</w:t>
      </w:r>
      <w:r w:rsidR="003178B0">
        <w:t xml:space="preserve"> services and tools for SMEs</w:t>
      </w:r>
      <w:r w:rsidR="008A5043">
        <w:t xml:space="preserve"> in the field</w:t>
      </w:r>
      <w:r w:rsidR="003178B0">
        <w:t xml:space="preserve">, particularly </w:t>
      </w:r>
      <w:r w:rsidR="008941F3">
        <w:t>in developing countries.</w:t>
      </w:r>
      <w:r w:rsidR="003178B0">
        <w:t xml:space="preserve">  </w:t>
      </w:r>
      <w:r w:rsidR="002C20C3">
        <w:t>Lastly, Ms. Dietterich shared her thoughts on how fr</w:t>
      </w:r>
      <w:r w:rsidR="00D97EEE">
        <w:t>ugal, low technology innovation could</w:t>
      </w:r>
      <w:r w:rsidR="00D85E94">
        <w:t xml:space="preserve"> often be as important as cutting-edge high technology; </w:t>
      </w:r>
      <w:r w:rsidR="00D356A8">
        <w:t xml:space="preserve">on </w:t>
      </w:r>
      <w:r w:rsidR="00D85E94">
        <w:t xml:space="preserve">the importance of </w:t>
      </w:r>
      <w:r w:rsidR="008A5043">
        <w:t xml:space="preserve">boosting </w:t>
      </w:r>
      <w:r w:rsidR="00D85E94">
        <w:t xml:space="preserve">demand for green innovative solutions; and </w:t>
      </w:r>
      <w:r w:rsidR="00D356A8">
        <w:t xml:space="preserve">on </w:t>
      </w:r>
      <w:r w:rsidR="00D85E94">
        <w:t xml:space="preserve">the relevance of developing tailored strategies to support innovators and markets in developing countries. </w:t>
      </w:r>
    </w:p>
    <w:p w:rsidR="00C146A5" w:rsidRDefault="00C146A5" w:rsidP="00C146A5">
      <w:pPr>
        <w:pStyle w:val="ListParagraph"/>
        <w:tabs>
          <w:tab w:val="left" w:pos="0"/>
        </w:tabs>
        <w:spacing w:after="220"/>
        <w:ind w:left="0"/>
      </w:pPr>
    </w:p>
    <w:p w:rsidR="001274CA" w:rsidRDefault="001274CA" w:rsidP="00D23470">
      <w:pPr>
        <w:pStyle w:val="ListParagraph"/>
        <w:numPr>
          <w:ilvl w:val="0"/>
          <w:numId w:val="7"/>
        </w:numPr>
        <w:tabs>
          <w:tab w:val="left" w:pos="0"/>
        </w:tabs>
        <w:ind w:left="0" w:firstLine="0"/>
        <w:contextualSpacing w:val="0"/>
      </w:pPr>
      <w:r>
        <w:t xml:space="preserve">Ms. Leena </w:t>
      </w:r>
      <w:proofErr w:type="spellStart"/>
      <w:r>
        <w:t>Pishe</w:t>
      </w:r>
      <w:proofErr w:type="spellEnd"/>
      <w:r>
        <w:t xml:space="preserve"> Thomas, Director of Global Business Inroads (GBI),</w:t>
      </w:r>
      <w:r w:rsidR="00B31C11">
        <w:t xml:space="preserve"> shared the experience of GBI in trying to address the challenges mentioned during the Conference debates, </w:t>
      </w:r>
      <w:r w:rsidR="008A5043">
        <w:t>in particular</w:t>
      </w:r>
      <w:r w:rsidR="00B31C11">
        <w:t xml:space="preserve"> the unbalanced access to green technologies </w:t>
      </w:r>
      <w:r w:rsidR="00FB4984">
        <w:t>in</w:t>
      </w:r>
      <w:r w:rsidR="00B31C11">
        <w:t xml:space="preserve"> the developed and developing world.  Focusing on providing consultancy services on technology and innovation management, GBI </w:t>
      </w:r>
      <w:r w:rsidR="00D97EEE">
        <w:t>sought</w:t>
      </w:r>
      <w:r w:rsidR="00B31C11">
        <w:t xml:space="preserve"> to facilitate clean technology access and deployment in </w:t>
      </w:r>
      <w:r w:rsidR="008A5043">
        <w:t>India</w:t>
      </w:r>
      <w:r w:rsidR="00B31C11">
        <w:t xml:space="preserve">.  Some of the challenges faced by </w:t>
      </w:r>
      <w:r w:rsidR="00D97EEE">
        <w:t>that</w:t>
      </w:r>
      <w:r w:rsidR="00B31C11">
        <w:t xml:space="preserve"> country in its quest for sustainability refer</w:t>
      </w:r>
      <w:r w:rsidR="00D97EEE">
        <w:t>red</w:t>
      </w:r>
      <w:r w:rsidR="00B31C11">
        <w:t xml:space="preserve"> to the </w:t>
      </w:r>
      <w:r w:rsidR="008A5043">
        <w:t>difficulties in defining key indicators;</w:t>
      </w:r>
      <w:r w:rsidR="00B31C11">
        <w:t xml:space="preserve"> financing</w:t>
      </w:r>
      <w:r w:rsidR="008A5043">
        <w:t>;</w:t>
      </w:r>
      <w:r w:rsidR="00B31C11">
        <w:t xml:space="preserve"> monitoring and ownership of the implementation </w:t>
      </w:r>
      <w:r w:rsidR="008A5043">
        <w:t>process</w:t>
      </w:r>
      <w:proofErr w:type="gramStart"/>
      <w:r w:rsidR="008A5043">
        <w:t>;</w:t>
      </w:r>
      <w:proofErr w:type="gramEnd"/>
      <w:r w:rsidR="00B31C11">
        <w:t xml:space="preserve"> and </w:t>
      </w:r>
      <w:r w:rsidR="00C4677B">
        <w:t>measuring progress.  A vast number of projects and program</w:t>
      </w:r>
      <w:r w:rsidR="00D97EEE">
        <w:t>s on green growth, however, had</w:t>
      </w:r>
      <w:r w:rsidR="00C4677B">
        <w:t xml:space="preserve"> emerged and succeeded, leading to a reduction </w:t>
      </w:r>
      <w:r w:rsidR="008A5043">
        <w:t xml:space="preserve">in </w:t>
      </w:r>
      <w:r w:rsidR="00C4677B">
        <w:t xml:space="preserve">emissions and </w:t>
      </w:r>
      <w:r w:rsidR="008A5043">
        <w:t xml:space="preserve">a decrease of </w:t>
      </w:r>
      <w:r w:rsidR="00C4677B">
        <w:t>the country’s dependence on fossi</w:t>
      </w:r>
      <w:r w:rsidR="00D97EEE">
        <w:t>l fuels.  Large investments had</w:t>
      </w:r>
      <w:r w:rsidR="00C4677B">
        <w:t xml:space="preserve"> been channeled to incubators </w:t>
      </w:r>
      <w:r w:rsidR="008A5043">
        <w:t>of</w:t>
      </w:r>
      <w:r w:rsidR="00C4677B">
        <w:t xml:space="preserve"> clean technologie</w:t>
      </w:r>
      <w:r w:rsidR="00D97EEE">
        <w:t xml:space="preserve">s, emphasis </w:t>
      </w:r>
      <w:proofErr w:type="gramStart"/>
      <w:r w:rsidR="00D97EEE">
        <w:t>had</w:t>
      </w:r>
      <w:r w:rsidR="00C4677B">
        <w:t xml:space="preserve"> been put</w:t>
      </w:r>
      <w:proofErr w:type="gramEnd"/>
      <w:r w:rsidR="00C4677B">
        <w:t xml:space="preserve"> on supporting women entrepreneurs, and gove</w:t>
      </w:r>
      <w:r w:rsidR="00D97EEE">
        <w:t>rnments at different levels had</w:t>
      </w:r>
      <w:r w:rsidR="00C4677B">
        <w:t xml:space="preserve"> been proactive and coordinated.</w:t>
      </w:r>
      <w:r w:rsidR="00D97EEE">
        <w:t xml:space="preserve">  The challenge for the future was </w:t>
      </w:r>
      <w:r w:rsidR="00C4677B">
        <w:t>to be able to scale up th</w:t>
      </w:r>
      <w:r w:rsidR="00D97EEE">
        <w:t>o</w:t>
      </w:r>
      <w:r w:rsidR="00C4677B">
        <w:t>se successes to a higher lev</w:t>
      </w:r>
      <w:r w:rsidR="00D97EEE">
        <w:t>el.  Working in networks remained</w:t>
      </w:r>
      <w:r w:rsidR="00C4677B">
        <w:t xml:space="preserve"> key in that process.</w:t>
      </w:r>
    </w:p>
    <w:p w:rsidR="00D23470" w:rsidRDefault="00D23470" w:rsidP="00D23470">
      <w:pPr>
        <w:pStyle w:val="ListParagraph"/>
        <w:tabs>
          <w:tab w:val="left" w:pos="0"/>
        </w:tabs>
        <w:ind w:left="0"/>
        <w:contextualSpacing w:val="0"/>
      </w:pPr>
    </w:p>
    <w:p w:rsidR="00C146A5" w:rsidRDefault="00367774" w:rsidP="00D23470">
      <w:pPr>
        <w:pStyle w:val="Heading1"/>
        <w:numPr>
          <w:ilvl w:val="0"/>
          <w:numId w:val="8"/>
        </w:numPr>
        <w:spacing w:after="240"/>
        <w:ind w:left="288" w:hanging="288"/>
        <w:rPr>
          <w:b w:val="0"/>
        </w:rPr>
      </w:pPr>
      <w:r w:rsidRPr="005A4A7D">
        <w:rPr>
          <w:b w:val="0"/>
          <w:caps w:val="0"/>
        </w:rPr>
        <w:t>CONCLUSION</w:t>
      </w:r>
    </w:p>
    <w:p w:rsidR="007550D1" w:rsidRPr="007550D1" w:rsidRDefault="007550D1" w:rsidP="000403BF">
      <w:pPr>
        <w:pStyle w:val="ListParagraph"/>
        <w:numPr>
          <w:ilvl w:val="0"/>
          <w:numId w:val="7"/>
        </w:numPr>
        <w:tabs>
          <w:tab w:val="left" w:pos="0"/>
        </w:tabs>
        <w:spacing w:after="220"/>
        <w:ind w:left="0" w:firstLine="0"/>
      </w:pPr>
      <w:r w:rsidRPr="007550D1">
        <w:t xml:space="preserve">Overall, the Conference </w:t>
      </w:r>
      <w:r>
        <w:t>can be</w:t>
      </w:r>
      <w:r w:rsidRPr="007550D1">
        <w:t xml:space="preserve"> considered a success</w:t>
      </w:r>
      <w:r w:rsidR="00CD419F">
        <w:t>ful event</w:t>
      </w:r>
      <w:r w:rsidR="000B317A">
        <w:t xml:space="preserve">.  The pertinence </w:t>
      </w:r>
      <w:r w:rsidR="00A37705">
        <w:t xml:space="preserve">and currency </w:t>
      </w:r>
      <w:r w:rsidR="000B317A">
        <w:t xml:space="preserve">of its topic attracted a large </w:t>
      </w:r>
      <w:r w:rsidRPr="007550D1">
        <w:t xml:space="preserve">number </w:t>
      </w:r>
      <w:r w:rsidR="000B317A">
        <w:t xml:space="preserve">of </w:t>
      </w:r>
      <w:r>
        <w:t>divers</w:t>
      </w:r>
      <w:r w:rsidR="000B317A">
        <w:t>e</w:t>
      </w:r>
      <w:r>
        <w:t xml:space="preserve"> </w:t>
      </w:r>
      <w:r w:rsidRPr="007550D1">
        <w:t>participants</w:t>
      </w:r>
      <w:r w:rsidR="000B317A">
        <w:t>. T</w:t>
      </w:r>
      <w:r w:rsidRPr="007550D1">
        <w:t>he level of engagement of the audience, and the feedback received from speakers, moderators, WIPO staff</w:t>
      </w:r>
      <w:r w:rsidR="0035737A">
        <w:t>,</w:t>
      </w:r>
      <w:r w:rsidRPr="007550D1">
        <w:t xml:space="preserve"> and participants who responded the satisfaction survey or who informally shared their views during the event</w:t>
      </w:r>
      <w:r w:rsidR="000B317A">
        <w:t xml:space="preserve"> reaffirmed this view</w:t>
      </w:r>
      <w:r w:rsidRPr="007550D1">
        <w:t xml:space="preserve">.  </w:t>
      </w:r>
      <w:r>
        <w:t>The speakers’ presentations, vid</w:t>
      </w:r>
      <w:r w:rsidR="00D97EEE">
        <w:t>eo recording of the discussions</w:t>
      </w:r>
      <w:r>
        <w:t xml:space="preserve"> and other material available on the </w:t>
      </w:r>
      <w:hyperlink r:id="rId19" w:history="1">
        <w:r w:rsidRPr="007550D1">
          <w:rPr>
            <w:rStyle w:val="Hyperlink"/>
          </w:rPr>
          <w:t>Conference web page</w:t>
        </w:r>
      </w:hyperlink>
      <w:r>
        <w:t>, will hopefully continue to be of benefit for Member States and other interested stakeholders</w:t>
      </w:r>
      <w:r w:rsidR="00CD419F">
        <w:t xml:space="preserve"> in the </w:t>
      </w:r>
      <w:r w:rsidR="000B317A">
        <w:t>future</w:t>
      </w:r>
      <w:r>
        <w:t xml:space="preserve">. </w:t>
      </w:r>
    </w:p>
    <w:p w:rsidR="00C146A5" w:rsidRDefault="00C146A5" w:rsidP="00C4677B">
      <w:pPr>
        <w:pStyle w:val="ListParagraph"/>
        <w:tabs>
          <w:tab w:val="left" w:pos="0"/>
        </w:tabs>
        <w:spacing w:after="220"/>
        <w:ind w:left="0"/>
      </w:pPr>
    </w:p>
    <w:p w:rsidR="00C146A5" w:rsidRDefault="00C146A5" w:rsidP="00C4677B">
      <w:pPr>
        <w:pStyle w:val="ListParagraph"/>
        <w:tabs>
          <w:tab w:val="left" w:pos="0"/>
        </w:tabs>
        <w:spacing w:after="220"/>
        <w:ind w:left="0"/>
      </w:pPr>
    </w:p>
    <w:p w:rsidR="00243161" w:rsidRDefault="00361013" w:rsidP="00D23470">
      <w:pPr>
        <w:pStyle w:val="ListParagraph"/>
        <w:numPr>
          <w:ilvl w:val="0"/>
          <w:numId w:val="7"/>
        </w:numPr>
        <w:tabs>
          <w:tab w:val="left" w:pos="5812"/>
        </w:tabs>
        <w:spacing w:after="220"/>
        <w:ind w:left="5533" w:firstLine="0"/>
        <w:rPr>
          <w:i/>
        </w:rPr>
      </w:pPr>
      <w:r w:rsidRPr="00361013">
        <w:rPr>
          <w:i/>
        </w:rPr>
        <w:t xml:space="preserve">The CDIP </w:t>
      </w:r>
      <w:proofErr w:type="gramStart"/>
      <w:r w:rsidRPr="00361013">
        <w:rPr>
          <w:i/>
        </w:rPr>
        <w:t>is invited</w:t>
      </w:r>
      <w:proofErr w:type="gramEnd"/>
      <w:r w:rsidRPr="00361013">
        <w:rPr>
          <w:i/>
        </w:rPr>
        <w:t xml:space="preserve"> to take note of the information contained in the present document.</w:t>
      </w:r>
    </w:p>
    <w:p w:rsidR="00361013" w:rsidRDefault="00361013" w:rsidP="00361013">
      <w:pPr>
        <w:tabs>
          <w:tab w:val="left" w:pos="5812"/>
        </w:tabs>
        <w:spacing w:after="220"/>
        <w:ind w:left="5812"/>
        <w:rPr>
          <w:i/>
        </w:rPr>
      </w:pPr>
    </w:p>
    <w:p w:rsidR="00D23470" w:rsidRPr="00361013" w:rsidRDefault="00D23470" w:rsidP="00D23470">
      <w:pPr>
        <w:tabs>
          <w:tab w:val="left" w:pos="5812"/>
        </w:tabs>
        <w:spacing w:after="220"/>
        <w:ind w:left="5533"/>
        <w:rPr>
          <w:i/>
        </w:rPr>
      </w:pPr>
      <w:r w:rsidRPr="004A6935">
        <w:t>[Annex follow</w:t>
      </w:r>
      <w:r>
        <w:t>s</w:t>
      </w:r>
      <w:r w:rsidRPr="004A6935">
        <w:t>]</w:t>
      </w:r>
    </w:p>
    <w:p w:rsidR="00333EAA" w:rsidRDefault="0087026F" w:rsidP="002326AB">
      <w:pPr>
        <w:spacing w:after="220"/>
      </w:pPr>
      <w:r>
        <w:br w:type="page"/>
      </w:r>
    </w:p>
    <w:p w:rsidR="00E10208" w:rsidRDefault="00E10208" w:rsidP="002326AB">
      <w:pPr>
        <w:spacing w:after="220"/>
        <w:sectPr w:rsidR="00E10208" w:rsidSect="00F47244">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pPr>
    </w:p>
    <w:p w:rsidR="00C904C7" w:rsidRDefault="00205D30" w:rsidP="002326AB">
      <w:pPr>
        <w:spacing w:after="220"/>
        <w:rPr>
          <w:szCs w:val="22"/>
        </w:rPr>
      </w:pPr>
      <w:r w:rsidRPr="005F11B6">
        <w:rPr>
          <w:szCs w:val="22"/>
        </w:rPr>
        <w:t>ANNEX</w:t>
      </w:r>
      <w:r w:rsidR="004553CE" w:rsidRPr="005F11B6">
        <w:rPr>
          <w:szCs w:val="22"/>
        </w:rPr>
        <w:t>: RESULTS OF SATISFACTION SURVEY</w:t>
      </w:r>
      <w:r w:rsidR="00A73CAA">
        <w:rPr>
          <w:szCs w:val="22"/>
        </w:rPr>
        <w:t>S</w:t>
      </w:r>
    </w:p>
    <w:p w:rsidR="00C904C7" w:rsidRPr="005F11B6" w:rsidRDefault="00C904C7" w:rsidP="00C904C7">
      <w:pPr>
        <w:rPr>
          <w:b/>
          <w:szCs w:val="22"/>
        </w:rPr>
      </w:pPr>
      <w:r w:rsidRPr="005F11B6">
        <w:rPr>
          <w:b/>
          <w:szCs w:val="22"/>
        </w:rPr>
        <w:t xml:space="preserve">DAY </w:t>
      </w:r>
      <w:r w:rsidR="00E149A3">
        <w:rPr>
          <w:b/>
          <w:szCs w:val="22"/>
        </w:rPr>
        <w:t>1</w:t>
      </w:r>
      <w:r w:rsidRPr="005F11B6">
        <w:rPr>
          <w:b/>
          <w:szCs w:val="22"/>
        </w:rPr>
        <w:t xml:space="preserve"> (based on </w:t>
      </w:r>
      <w:r>
        <w:rPr>
          <w:b/>
          <w:szCs w:val="22"/>
        </w:rPr>
        <w:t>352</w:t>
      </w:r>
      <w:r w:rsidRPr="005F11B6">
        <w:rPr>
          <w:b/>
          <w:szCs w:val="22"/>
        </w:rPr>
        <w:t xml:space="preserve"> responses)</w:t>
      </w:r>
    </w:p>
    <w:p w:rsidR="00C904C7" w:rsidRPr="005F11B6" w:rsidRDefault="00C904C7" w:rsidP="002326AB">
      <w:pPr>
        <w:spacing w:after="220"/>
        <w:rPr>
          <w:szCs w:val="22"/>
        </w:rPr>
      </w:pPr>
    </w:p>
    <w:tbl>
      <w:tblPr>
        <w:tblStyle w:val="TableGrid"/>
        <w:tblpPr w:leftFromText="180" w:rightFromText="180" w:vertAnchor="text" w:horzAnchor="margin" w:tblpX="-152" w:tblpY="-72"/>
        <w:tblW w:w="14601" w:type="dxa"/>
        <w:tblLook w:val="04A0" w:firstRow="1" w:lastRow="0" w:firstColumn="1" w:lastColumn="0" w:noHBand="0" w:noVBand="1"/>
        <w:tblCaption w:val="Annex: Results of Satisfaction Surveys"/>
        <w:tblDescription w:val="Day 1 - based on 352 responses"/>
      </w:tblPr>
      <w:tblGrid>
        <w:gridCol w:w="3823"/>
        <w:gridCol w:w="2409"/>
        <w:gridCol w:w="2268"/>
        <w:gridCol w:w="2127"/>
        <w:gridCol w:w="2409"/>
        <w:gridCol w:w="1565"/>
      </w:tblGrid>
      <w:tr w:rsidR="00571495" w:rsidRPr="005F11B6" w:rsidTr="00571495">
        <w:trPr>
          <w:trHeight w:val="420"/>
        </w:trPr>
        <w:tc>
          <w:tcPr>
            <w:tcW w:w="3823" w:type="dxa"/>
            <w:shd w:val="clear" w:color="auto" w:fill="BFBFBF" w:themeFill="background1" w:themeFillShade="BF"/>
            <w:vAlign w:val="center"/>
          </w:tcPr>
          <w:p w:rsidR="00571495" w:rsidRPr="005F11B6" w:rsidRDefault="00571495" w:rsidP="00571495">
            <w:pPr>
              <w:rPr>
                <w:b/>
                <w:sz w:val="20"/>
              </w:rPr>
            </w:pPr>
          </w:p>
        </w:tc>
        <w:tc>
          <w:tcPr>
            <w:tcW w:w="2409" w:type="dxa"/>
            <w:shd w:val="clear" w:color="auto" w:fill="BFBFBF" w:themeFill="background1" w:themeFillShade="BF"/>
            <w:vAlign w:val="center"/>
          </w:tcPr>
          <w:p w:rsidR="00571495" w:rsidRPr="00C904C7" w:rsidRDefault="00571495" w:rsidP="00571495">
            <w:pPr>
              <w:jc w:val="center"/>
              <w:rPr>
                <w:b/>
                <w:sz w:val="20"/>
                <w:lang w:val="fr-CH"/>
              </w:rPr>
            </w:pPr>
            <w:r>
              <w:rPr>
                <w:b/>
                <w:sz w:val="20"/>
              </w:rPr>
              <w:t>Government / IP Office</w:t>
            </w:r>
          </w:p>
        </w:tc>
        <w:tc>
          <w:tcPr>
            <w:tcW w:w="2268" w:type="dxa"/>
            <w:shd w:val="clear" w:color="auto" w:fill="BFBFBF" w:themeFill="background1" w:themeFillShade="BF"/>
            <w:vAlign w:val="center"/>
          </w:tcPr>
          <w:p w:rsidR="00571495" w:rsidRDefault="00571495" w:rsidP="00571495">
            <w:pPr>
              <w:jc w:val="center"/>
              <w:rPr>
                <w:b/>
                <w:sz w:val="20"/>
              </w:rPr>
            </w:pPr>
            <w:r>
              <w:rPr>
                <w:b/>
                <w:sz w:val="20"/>
              </w:rPr>
              <w:t>Academia</w:t>
            </w:r>
          </w:p>
        </w:tc>
        <w:tc>
          <w:tcPr>
            <w:tcW w:w="2127" w:type="dxa"/>
            <w:shd w:val="clear" w:color="auto" w:fill="BFBFBF" w:themeFill="background1" w:themeFillShade="BF"/>
            <w:vAlign w:val="center"/>
          </w:tcPr>
          <w:p w:rsidR="00571495" w:rsidRPr="005F11B6" w:rsidRDefault="00571495" w:rsidP="00571495">
            <w:pPr>
              <w:jc w:val="center"/>
              <w:rPr>
                <w:b/>
                <w:sz w:val="20"/>
              </w:rPr>
            </w:pPr>
            <w:r>
              <w:rPr>
                <w:b/>
                <w:sz w:val="20"/>
              </w:rPr>
              <w:t>IGO / NGO</w:t>
            </w:r>
          </w:p>
        </w:tc>
        <w:tc>
          <w:tcPr>
            <w:tcW w:w="2409" w:type="dxa"/>
            <w:shd w:val="clear" w:color="auto" w:fill="BFBFBF" w:themeFill="background1" w:themeFillShade="BF"/>
            <w:vAlign w:val="center"/>
          </w:tcPr>
          <w:p w:rsidR="00571495" w:rsidRPr="005F11B6" w:rsidRDefault="00571495" w:rsidP="00571495">
            <w:pPr>
              <w:jc w:val="center"/>
              <w:rPr>
                <w:b/>
                <w:sz w:val="20"/>
              </w:rPr>
            </w:pPr>
            <w:r>
              <w:rPr>
                <w:b/>
                <w:sz w:val="20"/>
              </w:rPr>
              <w:t>Private</w:t>
            </w:r>
          </w:p>
        </w:tc>
        <w:tc>
          <w:tcPr>
            <w:tcW w:w="1565" w:type="dxa"/>
            <w:shd w:val="clear" w:color="auto" w:fill="BFBFBF" w:themeFill="background1" w:themeFillShade="BF"/>
            <w:vAlign w:val="center"/>
          </w:tcPr>
          <w:p w:rsidR="00571495" w:rsidRPr="005F11B6" w:rsidRDefault="00571495" w:rsidP="00571495">
            <w:pPr>
              <w:jc w:val="center"/>
              <w:rPr>
                <w:b/>
                <w:sz w:val="20"/>
              </w:rPr>
            </w:pPr>
            <w:r>
              <w:rPr>
                <w:b/>
                <w:sz w:val="20"/>
              </w:rPr>
              <w:t>Other</w:t>
            </w:r>
          </w:p>
        </w:tc>
      </w:tr>
      <w:tr w:rsidR="00571495" w:rsidRPr="005F11B6" w:rsidTr="00571495">
        <w:trPr>
          <w:trHeight w:val="398"/>
        </w:trPr>
        <w:tc>
          <w:tcPr>
            <w:tcW w:w="3823" w:type="dxa"/>
            <w:vAlign w:val="center"/>
          </w:tcPr>
          <w:p w:rsidR="00571495" w:rsidRPr="00C904C7" w:rsidRDefault="00571495" w:rsidP="00571495">
            <w:pPr>
              <w:rPr>
                <w:b/>
                <w:sz w:val="20"/>
              </w:rPr>
            </w:pPr>
            <w:r w:rsidRPr="00C904C7">
              <w:rPr>
                <w:b/>
                <w:sz w:val="20"/>
              </w:rPr>
              <w:t>Business Field</w:t>
            </w:r>
          </w:p>
        </w:tc>
        <w:tc>
          <w:tcPr>
            <w:tcW w:w="2409" w:type="dxa"/>
            <w:tcBorders>
              <w:bottom w:val="single" w:sz="4" w:space="0" w:color="auto"/>
            </w:tcBorders>
            <w:vAlign w:val="center"/>
          </w:tcPr>
          <w:p w:rsidR="00571495" w:rsidRPr="00535E48" w:rsidRDefault="00571495" w:rsidP="00571495">
            <w:pPr>
              <w:jc w:val="center"/>
              <w:rPr>
                <w:sz w:val="20"/>
              </w:rPr>
            </w:pPr>
            <w:r w:rsidRPr="00535E48">
              <w:rPr>
                <w:sz w:val="20"/>
              </w:rPr>
              <w:t>117</w:t>
            </w:r>
          </w:p>
        </w:tc>
        <w:tc>
          <w:tcPr>
            <w:tcW w:w="2268" w:type="dxa"/>
            <w:tcBorders>
              <w:bottom w:val="single" w:sz="4" w:space="0" w:color="auto"/>
            </w:tcBorders>
            <w:vAlign w:val="center"/>
          </w:tcPr>
          <w:p w:rsidR="00571495" w:rsidRPr="00535E48" w:rsidRDefault="00571495" w:rsidP="00571495">
            <w:pPr>
              <w:jc w:val="center"/>
              <w:rPr>
                <w:sz w:val="20"/>
              </w:rPr>
            </w:pPr>
            <w:r w:rsidRPr="00535E48">
              <w:rPr>
                <w:sz w:val="20"/>
              </w:rPr>
              <w:t>104</w:t>
            </w:r>
          </w:p>
        </w:tc>
        <w:tc>
          <w:tcPr>
            <w:tcW w:w="2127" w:type="dxa"/>
            <w:tcBorders>
              <w:bottom w:val="single" w:sz="4" w:space="0" w:color="auto"/>
            </w:tcBorders>
            <w:vAlign w:val="center"/>
          </w:tcPr>
          <w:p w:rsidR="00571495" w:rsidRPr="00535E48" w:rsidRDefault="00571495" w:rsidP="00571495">
            <w:pPr>
              <w:jc w:val="center"/>
              <w:rPr>
                <w:sz w:val="20"/>
              </w:rPr>
            </w:pPr>
            <w:r w:rsidRPr="00535E48">
              <w:rPr>
                <w:sz w:val="20"/>
              </w:rPr>
              <w:t>8</w:t>
            </w:r>
          </w:p>
        </w:tc>
        <w:tc>
          <w:tcPr>
            <w:tcW w:w="2409" w:type="dxa"/>
            <w:tcBorders>
              <w:bottom w:val="single" w:sz="4" w:space="0" w:color="auto"/>
            </w:tcBorders>
            <w:vAlign w:val="center"/>
          </w:tcPr>
          <w:p w:rsidR="00571495" w:rsidRPr="00535E48" w:rsidRDefault="00571495" w:rsidP="00571495">
            <w:pPr>
              <w:jc w:val="center"/>
              <w:rPr>
                <w:sz w:val="20"/>
              </w:rPr>
            </w:pPr>
            <w:r w:rsidRPr="00535E48">
              <w:rPr>
                <w:sz w:val="20"/>
              </w:rPr>
              <w:t>90</w:t>
            </w:r>
          </w:p>
        </w:tc>
        <w:tc>
          <w:tcPr>
            <w:tcW w:w="1565" w:type="dxa"/>
            <w:tcBorders>
              <w:bottom w:val="single" w:sz="4" w:space="0" w:color="auto"/>
            </w:tcBorders>
            <w:vAlign w:val="center"/>
          </w:tcPr>
          <w:p w:rsidR="00571495" w:rsidRPr="00535E48" w:rsidRDefault="00571495" w:rsidP="00571495">
            <w:pPr>
              <w:jc w:val="center"/>
              <w:rPr>
                <w:sz w:val="20"/>
              </w:rPr>
            </w:pPr>
            <w:r w:rsidRPr="00535E48">
              <w:rPr>
                <w:sz w:val="20"/>
              </w:rPr>
              <w:t>30</w:t>
            </w:r>
          </w:p>
        </w:tc>
      </w:tr>
    </w:tbl>
    <w:p w:rsidR="00C904C7" w:rsidRDefault="00C904C7" w:rsidP="00205D30">
      <w:pPr>
        <w:rPr>
          <w:b/>
          <w:szCs w:val="22"/>
        </w:rPr>
      </w:pPr>
    </w:p>
    <w:p w:rsidR="00205D30" w:rsidRPr="005F11B6" w:rsidRDefault="00205D30" w:rsidP="00205D30">
      <w:pPr>
        <w:rPr>
          <w:sz w:val="20"/>
        </w:rPr>
      </w:pPr>
    </w:p>
    <w:tbl>
      <w:tblPr>
        <w:tblStyle w:val="TableGrid"/>
        <w:tblpPr w:leftFromText="180" w:rightFromText="180" w:vertAnchor="text" w:horzAnchor="margin" w:tblpXSpec="center" w:tblpY="-72"/>
        <w:tblW w:w="14737" w:type="dxa"/>
        <w:tblLook w:val="04A0" w:firstRow="1" w:lastRow="0" w:firstColumn="1" w:lastColumn="0" w:noHBand="0" w:noVBand="1"/>
        <w:tblCaption w:val="Annex: Results of Satisfaction Surveys"/>
        <w:tblDescription w:val="Day 1:  based on 352 responses"/>
      </w:tblPr>
      <w:tblGrid>
        <w:gridCol w:w="3955"/>
        <w:gridCol w:w="2435"/>
        <w:gridCol w:w="2160"/>
        <w:gridCol w:w="2160"/>
        <w:gridCol w:w="2340"/>
        <w:gridCol w:w="1687"/>
      </w:tblGrid>
      <w:tr w:rsidR="00205D30" w:rsidRPr="005F11B6" w:rsidTr="002B21F7">
        <w:tc>
          <w:tcPr>
            <w:tcW w:w="3955" w:type="dxa"/>
            <w:shd w:val="clear" w:color="auto" w:fill="BFBFBF" w:themeFill="background1" w:themeFillShade="BF"/>
          </w:tcPr>
          <w:p w:rsidR="00205D30" w:rsidRPr="005F11B6" w:rsidRDefault="00205D30" w:rsidP="00EA4977">
            <w:pPr>
              <w:rPr>
                <w:b/>
                <w:sz w:val="20"/>
              </w:rPr>
            </w:pPr>
          </w:p>
        </w:tc>
        <w:tc>
          <w:tcPr>
            <w:tcW w:w="2435"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Extremely satisfied</w:t>
            </w:r>
          </w:p>
        </w:tc>
        <w:tc>
          <w:tcPr>
            <w:tcW w:w="2160"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Satisfied</w:t>
            </w:r>
          </w:p>
        </w:tc>
        <w:tc>
          <w:tcPr>
            <w:tcW w:w="2160"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Not sure</w:t>
            </w:r>
          </w:p>
        </w:tc>
        <w:tc>
          <w:tcPr>
            <w:tcW w:w="2340"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Partially satisfied</w:t>
            </w:r>
          </w:p>
        </w:tc>
        <w:tc>
          <w:tcPr>
            <w:tcW w:w="1687"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Not at all satisfied</w:t>
            </w:r>
          </w:p>
        </w:tc>
      </w:tr>
      <w:tr w:rsidR="00205D30" w:rsidRPr="005F11B6" w:rsidTr="002B21F7">
        <w:trPr>
          <w:trHeight w:val="534"/>
        </w:trPr>
        <w:tc>
          <w:tcPr>
            <w:tcW w:w="3955" w:type="dxa"/>
          </w:tcPr>
          <w:p w:rsidR="00205D30" w:rsidRPr="005F11B6" w:rsidRDefault="00205D30" w:rsidP="00EA4977">
            <w:pPr>
              <w:rPr>
                <w:sz w:val="20"/>
              </w:rPr>
            </w:pPr>
            <w:r w:rsidRPr="005F11B6">
              <w:rPr>
                <w:sz w:val="20"/>
              </w:rPr>
              <w:t>1. Overall, how satisfied are you with the Conference?</w:t>
            </w:r>
          </w:p>
        </w:tc>
        <w:tc>
          <w:tcPr>
            <w:tcW w:w="2435" w:type="dxa"/>
            <w:tcBorders>
              <w:bottom w:val="single" w:sz="4" w:space="0" w:color="auto"/>
            </w:tcBorders>
            <w:vAlign w:val="center"/>
          </w:tcPr>
          <w:p w:rsidR="00205D30" w:rsidRPr="00535E48" w:rsidRDefault="00571495" w:rsidP="00C904C7">
            <w:pPr>
              <w:jc w:val="center"/>
              <w:rPr>
                <w:sz w:val="20"/>
              </w:rPr>
            </w:pPr>
            <w:r w:rsidRPr="00535E48">
              <w:rPr>
                <w:sz w:val="20"/>
              </w:rPr>
              <w:t>118</w:t>
            </w:r>
          </w:p>
        </w:tc>
        <w:tc>
          <w:tcPr>
            <w:tcW w:w="2160" w:type="dxa"/>
            <w:tcBorders>
              <w:bottom w:val="single" w:sz="4" w:space="0" w:color="auto"/>
            </w:tcBorders>
            <w:vAlign w:val="center"/>
          </w:tcPr>
          <w:p w:rsidR="00205D30" w:rsidRPr="00535E48" w:rsidRDefault="00571495" w:rsidP="00C904C7">
            <w:pPr>
              <w:jc w:val="center"/>
              <w:rPr>
                <w:sz w:val="20"/>
              </w:rPr>
            </w:pPr>
            <w:r w:rsidRPr="00535E48">
              <w:rPr>
                <w:sz w:val="20"/>
              </w:rPr>
              <w:t>219</w:t>
            </w:r>
          </w:p>
        </w:tc>
        <w:tc>
          <w:tcPr>
            <w:tcW w:w="2160" w:type="dxa"/>
            <w:tcBorders>
              <w:bottom w:val="single" w:sz="4" w:space="0" w:color="auto"/>
            </w:tcBorders>
            <w:vAlign w:val="center"/>
          </w:tcPr>
          <w:p w:rsidR="00205D30" w:rsidRPr="00535E48" w:rsidRDefault="00571495" w:rsidP="00C904C7">
            <w:pPr>
              <w:jc w:val="center"/>
              <w:rPr>
                <w:sz w:val="20"/>
              </w:rPr>
            </w:pPr>
            <w:r w:rsidRPr="00535E48">
              <w:rPr>
                <w:sz w:val="20"/>
              </w:rPr>
              <w:t>7</w:t>
            </w:r>
          </w:p>
        </w:tc>
        <w:tc>
          <w:tcPr>
            <w:tcW w:w="2340" w:type="dxa"/>
            <w:tcBorders>
              <w:bottom w:val="single" w:sz="4" w:space="0" w:color="auto"/>
            </w:tcBorders>
            <w:vAlign w:val="center"/>
          </w:tcPr>
          <w:p w:rsidR="00205D30" w:rsidRPr="00535E48" w:rsidRDefault="00571495" w:rsidP="00C904C7">
            <w:pPr>
              <w:jc w:val="center"/>
              <w:rPr>
                <w:sz w:val="20"/>
              </w:rPr>
            </w:pPr>
            <w:r w:rsidRPr="00535E48">
              <w:rPr>
                <w:sz w:val="20"/>
              </w:rPr>
              <w:t>5</w:t>
            </w:r>
          </w:p>
        </w:tc>
        <w:tc>
          <w:tcPr>
            <w:tcW w:w="1687" w:type="dxa"/>
            <w:tcBorders>
              <w:bottom w:val="single" w:sz="4" w:space="0" w:color="auto"/>
            </w:tcBorders>
            <w:vAlign w:val="center"/>
          </w:tcPr>
          <w:p w:rsidR="00205D30" w:rsidRPr="00535E48" w:rsidRDefault="00571495" w:rsidP="00C904C7">
            <w:pPr>
              <w:jc w:val="center"/>
              <w:rPr>
                <w:sz w:val="20"/>
              </w:rPr>
            </w:pPr>
            <w:r w:rsidRPr="00535E48">
              <w:rPr>
                <w:sz w:val="20"/>
              </w:rPr>
              <w:t>0</w:t>
            </w:r>
          </w:p>
        </w:tc>
      </w:tr>
      <w:tr w:rsidR="00205D30" w:rsidRPr="005F11B6" w:rsidTr="002B21F7">
        <w:trPr>
          <w:trHeight w:val="400"/>
        </w:trPr>
        <w:tc>
          <w:tcPr>
            <w:tcW w:w="3955" w:type="dxa"/>
            <w:vMerge w:val="restart"/>
          </w:tcPr>
          <w:p w:rsidR="00205D30" w:rsidRDefault="00205D30" w:rsidP="00EA4977">
            <w:pPr>
              <w:rPr>
                <w:sz w:val="20"/>
              </w:rPr>
            </w:pPr>
            <w:r w:rsidRPr="005F11B6">
              <w:rPr>
                <w:sz w:val="20"/>
              </w:rPr>
              <w:t>2. How would you rate the design of the Co</w:t>
            </w:r>
            <w:r w:rsidR="00571495">
              <w:rPr>
                <w:sz w:val="20"/>
              </w:rPr>
              <w:t>nference based on the following:</w:t>
            </w:r>
          </w:p>
          <w:p w:rsidR="00571495" w:rsidRPr="005F11B6" w:rsidRDefault="00571495" w:rsidP="00EA4977">
            <w:pPr>
              <w:rPr>
                <w:sz w:val="20"/>
              </w:rPr>
            </w:pPr>
          </w:p>
          <w:p w:rsidR="00205D30" w:rsidRPr="005F11B6" w:rsidRDefault="00205D30" w:rsidP="00EA4977">
            <w:pPr>
              <w:rPr>
                <w:sz w:val="20"/>
              </w:rPr>
            </w:pPr>
            <w:r w:rsidRPr="005F11B6">
              <w:rPr>
                <w:sz w:val="20"/>
              </w:rPr>
              <w:t>Aspects of the organization (logistics)</w:t>
            </w:r>
          </w:p>
          <w:p w:rsidR="00205D30" w:rsidRPr="005F11B6" w:rsidRDefault="00205D30" w:rsidP="00EA4977">
            <w:pPr>
              <w:rPr>
                <w:sz w:val="20"/>
              </w:rPr>
            </w:pPr>
          </w:p>
          <w:p w:rsidR="00205D30" w:rsidRPr="005F11B6" w:rsidRDefault="00205D30" w:rsidP="00EA4977">
            <w:pPr>
              <w:rPr>
                <w:sz w:val="20"/>
              </w:rPr>
            </w:pPr>
            <w:r w:rsidRPr="005F11B6">
              <w:rPr>
                <w:sz w:val="20"/>
              </w:rPr>
              <w:t xml:space="preserve">Content / Program of the Conference </w:t>
            </w:r>
          </w:p>
        </w:tc>
        <w:tc>
          <w:tcPr>
            <w:tcW w:w="2435" w:type="dxa"/>
            <w:tcBorders>
              <w:right w:val="nil"/>
            </w:tcBorders>
            <w:shd w:val="clear" w:color="auto" w:fill="BFBFBF" w:themeFill="background1" w:themeFillShade="BF"/>
            <w:vAlign w:val="center"/>
          </w:tcPr>
          <w:p w:rsidR="00205D30" w:rsidRPr="005F11B6" w:rsidRDefault="00205D30" w:rsidP="00C904C7">
            <w:pPr>
              <w:jc w:val="center"/>
              <w:rPr>
                <w:b/>
                <w:sz w:val="20"/>
              </w:rPr>
            </w:pPr>
            <w:r w:rsidRPr="005F11B6">
              <w:rPr>
                <w:b/>
                <w:sz w:val="20"/>
              </w:rPr>
              <w:t>Excellent</w:t>
            </w:r>
          </w:p>
        </w:tc>
        <w:tc>
          <w:tcPr>
            <w:tcW w:w="2160" w:type="dxa"/>
            <w:tcBorders>
              <w:left w:val="nil"/>
              <w:right w:val="nil"/>
            </w:tcBorders>
            <w:shd w:val="clear" w:color="auto" w:fill="BFBFBF" w:themeFill="background1" w:themeFillShade="BF"/>
            <w:vAlign w:val="center"/>
          </w:tcPr>
          <w:p w:rsidR="00205D30" w:rsidRPr="005F11B6" w:rsidRDefault="00205D30" w:rsidP="00C904C7">
            <w:pPr>
              <w:jc w:val="center"/>
              <w:rPr>
                <w:b/>
                <w:sz w:val="20"/>
              </w:rPr>
            </w:pPr>
            <w:r w:rsidRPr="005F11B6">
              <w:rPr>
                <w:b/>
                <w:sz w:val="20"/>
              </w:rPr>
              <w:t>Good</w:t>
            </w:r>
          </w:p>
        </w:tc>
        <w:tc>
          <w:tcPr>
            <w:tcW w:w="2160" w:type="dxa"/>
            <w:tcBorders>
              <w:left w:val="nil"/>
              <w:right w:val="nil"/>
            </w:tcBorders>
            <w:shd w:val="clear" w:color="auto" w:fill="BFBFBF" w:themeFill="background1" w:themeFillShade="BF"/>
            <w:vAlign w:val="center"/>
          </w:tcPr>
          <w:p w:rsidR="00205D30" w:rsidRPr="005F11B6" w:rsidRDefault="00205D30" w:rsidP="00C904C7">
            <w:pPr>
              <w:jc w:val="center"/>
              <w:rPr>
                <w:b/>
                <w:sz w:val="20"/>
              </w:rPr>
            </w:pPr>
            <w:r w:rsidRPr="005F11B6">
              <w:rPr>
                <w:b/>
                <w:sz w:val="20"/>
              </w:rPr>
              <w:t>Average</w:t>
            </w:r>
          </w:p>
        </w:tc>
        <w:tc>
          <w:tcPr>
            <w:tcW w:w="2340" w:type="dxa"/>
            <w:tcBorders>
              <w:left w:val="nil"/>
              <w:right w:val="nil"/>
            </w:tcBorders>
            <w:shd w:val="clear" w:color="auto" w:fill="BFBFBF" w:themeFill="background1" w:themeFillShade="BF"/>
            <w:vAlign w:val="center"/>
          </w:tcPr>
          <w:p w:rsidR="00205D30" w:rsidRPr="005F11B6" w:rsidRDefault="00205D30" w:rsidP="00C904C7">
            <w:pPr>
              <w:jc w:val="center"/>
              <w:rPr>
                <w:b/>
                <w:sz w:val="20"/>
              </w:rPr>
            </w:pPr>
            <w:r w:rsidRPr="005F11B6">
              <w:rPr>
                <w:b/>
                <w:sz w:val="20"/>
              </w:rPr>
              <w:t>Fair</w:t>
            </w:r>
          </w:p>
        </w:tc>
        <w:tc>
          <w:tcPr>
            <w:tcW w:w="1687" w:type="dxa"/>
            <w:tcBorders>
              <w:left w:val="nil"/>
            </w:tcBorders>
            <w:shd w:val="clear" w:color="auto" w:fill="BFBFBF" w:themeFill="background1" w:themeFillShade="BF"/>
            <w:vAlign w:val="center"/>
          </w:tcPr>
          <w:p w:rsidR="00205D30" w:rsidRPr="005F11B6" w:rsidRDefault="00205D30" w:rsidP="00C904C7">
            <w:pPr>
              <w:jc w:val="center"/>
              <w:rPr>
                <w:b/>
                <w:sz w:val="20"/>
              </w:rPr>
            </w:pPr>
            <w:r w:rsidRPr="005F11B6">
              <w:rPr>
                <w:b/>
                <w:sz w:val="20"/>
              </w:rPr>
              <w:t>Poor</w:t>
            </w:r>
          </w:p>
        </w:tc>
      </w:tr>
      <w:tr w:rsidR="00205D30" w:rsidRPr="005F11B6" w:rsidTr="002B21F7">
        <w:trPr>
          <w:trHeight w:val="656"/>
        </w:trPr>
        <w:tc>
          <w:tcPr>
            <w:tcW w:w="3955" w:type="dxa"/>
            <w:vMerge/>
          </w:tcPr>
          <w:p w:rsidR="00205D30" w:rsidRPr="005F11B6" w:rsidRDefault="00205D30" w:rsidP="00EA4977">
            <w:pPr>
              <w:rPr>
                <w:sz w:val="20"/>
              </w:rPr>
            </w:pPr>
          </w:p>
        </w:tc>
        <w:tc>
          <w:tcPr>
            <w:tcW w:w="2435" w:type="dxa"/>
            <w:vAlign w:val="center"/>
          </w:tcPr>
          <w:p w:rsidR="00205D30" w:rsidRPr="00535E48" w:rsidRDefault="00571495" w:rsidP="00C904C7">
            <w:pPr>
              <w:jc w:val="center"/>
              <w:rPr>
                <w:sz w:val="20"/>
              </w:rPr>
            </w:pPr>
            <w:r w:rsidRPr="00535E48">
              <w:rPr>
                <w:sz w:val="20"/>
              </w:rPr>
              <w:t>192</w:t>
            </w:r>
          </w:p>
        </w:tc>
        <w:tc>
          <w:tcPr>
            <w:tcW w:w="2160" w:type="dxa"/>
            <w:vAlign w:val="center"/>
          </w:tcPr>
          <w:p w:rsidR="00205D30" w:rsidRPr="00535E48" w:rsidRDefault="00571495" w:rsidP="00C904C7">
            <w:pPr>
              <w:jc w:val="center"/>
              <w:rPr>
                <w:sz w:val="20"/>
              </w:rPr>
            </w:pPr>
            <w:r w:rsidRPr="00535E48">
              <w:rPr>
                <w:sz w:val="20"/>
              </w:rPr>
              <w:t>146</w:t>
            </w:r>
          </w:p>
        </w:tc>
        <w:tc>
          <w:tcPr>
            <w:tcW w:w="2160" w:type="dxa"/>
            <w:vAlign w:val="center"/>
          </w:tcPr>
          <w:p w:rsidR="00205D30" w:rsidRPr="00535E48" w:rsidRDefault="00571495" w:rsidP="00C904C7">
            <w:pPr>
              <w:jc w:val="center"/>
              <w:rPr>
                <w:sz w:val="20"/>
              </w:rPr>
            </w:pPr>
            <w:r w:rsidRPr="00535E48">
              <w:rPr>
                <w:sz w:val="20"/>
              </w:rPr>
              <w:t>8</w:t>
            </w:r>
          </w:p>
        </w:tc>
        <w:tc>
          <w:tcPr>
            <w:tcW w:w="2340" w:type="dxa"/>
            <w:vAlign w:val="center"/>
          </w:tcPr>
          <w:p w:rsidR="00205D30" w:rsidRPr="00535E48" w:rsidRDefault="00571495" w:rsidP="00C904C7">
            <w:pPr>
              <w:jc w:val="center"/>
              <w:rPr>
                <w:sz w:val="20"/>
              </w:rPr>
            </w:pPr>
            <w:r w:rsidRPr="00535E48">
              <w:rPr>
                <w:sz w:val="20"/>
              </w:rPr>
              <w:t>2</w:t>
            </w:r>
          </w:p>
        </w:tc>
        <w:tc>
          <w:tcPr>
            <w:tcW w:w="1687" w:type="dxa"/>
            <w:vAlign w:val="center"/>
          </w:tcPr>
          <w:p w:rsidR="00205D30" w:rsidRPr="00535E48" w:rsidRDefault="00571495" w:rsidP="00C904C7">
            <w:pPr>
              <w:jc w:val="center"/>
              <w:rPr>
                <w:sz w:val="20"/>
              </w:rPr>
            </w:pPr>
            <w:r w:rsidRPr="00535E48">
              <w:rPr>
                <w:sz w:val="20"/>
              </w:rPr>
              <w:t>0</w:t>
            </w:r>
          </w:p>
        </w:tc>
      </w:tr>
      <w:tr w:rsidR="00205D30" w:rsidRPr="005F11B6" w:rsidTr="002B21F7">
        <w:trPr>
          <w:trHeight w:val="500"/>
        </w:trPr>
        <w:tc>
          <w:tcPr>
            <w:tcW w:w="3955" w:type="dxa"/>
            <w:vMerge/>
          </w:tcPr>
          <w:p w:rsidR="00205D30" w:rsidRPr="005F11B6" w:rsidRDefault="00205D30" w:rsidP="00EA4977">
            <w:pPr>
              <w:rPr>
                <w:sz w:val="20"/>
              </w:rPr>
            </w:pPr>
          </w:p>
        </w:tc>
        <w:tc>
          <w:tcPr>
            <w:tcW w:w="2435" w:type="dxa"/>
            <w:vAlign w:val="center"/>
          </w:tcPr>
          <w:p w:rsidR="00205D30" w:rsidRPr="00535E48" w:rsidRDefault="00571495" w:rsidP="00C904C7">
            <w:pPr>
              <w:jc w:val="center"/>
              <w:rPr>
                <w:sz w:val="20"/>
              </w:rPr>
            </w:pPr>
            <w:r w:rsidRPr="00535E48">
              <w:rPr>
                <w:sz w:val="20"/>
              </w:rPr>
              <w:t>169</w:t>
            </w:r>
          </w:p>
        </w:tc>
        <w:tc>
          <w:tcPr>
            <w:tcW w:w="2160" w:type="dxa"/>
            <w:vAlign w:val="center"/>
          </w:tcPr>
          <w:p w:rsidR="00205D30" w:rsidRPr="00535E48" w:rsidRDefault="00571495" w:rsidP="00C904C7">
            <w:pPr>
              <w:jc w:val="center"/>
              <w:rPr>
                <w:sz w:val="20"/>
              </w:rPr>
            </w:pPr>
            <w:r w:rsidRPr="00535E48">
              <w:rPr>
                <w:sz w:val="20"/>
              </w:rPr>
              <w:t>163</w:t>
            </w:r>
          </w:p>
        </w:tc>
        <w:tc>
          <w:tcPr>
            <w:tcW w:w="2160" w:type="dxa"/>
            <w:vAlign w:val="center"/>
          </w:tcPr>
          <w:p w:rsidR="00205D30" w:rsidRPr="00535E48" w:rsidRDefault="00571495" w:rsidP="00C904C7">
            <w:pPr>
              <w:jc w:val="center"/>
              <w:rPr>
                <w:sz w:val="20"/>
              </w:rPr>
            </w:pPr>
            <w:r w:rsidRPr="00535E48">
              <w:rPr>
                <w:sz w:val="20"/>
              </w:rPr>
              <w:t>14</w:t>
            </w:r>
          </w:p>
        </w:tc>
        <w:tc>
          <w:tcPr>
            <w:tcW w:w="2340" w:type="dxa"/>
            <w:vAlign w:val="center"/>
          </w:tcPr>
          <w:p w:rsidR="00205D30" w:rsidRPr="00535E48" w:rsidRDefault="00571495" w:rsidP="00C904C7">
            <w:pPr>
              <w:jc w:val="center"/>
              <w:rPr>
                <w:sz w:val="20"/>
              </w:rPr>
            </w:pPr>
            <w:r w:rsidRPr="00535E48">
              <w:rPr>
                <w:sz w:val="20"/>
              </w:rPr>
              <w:t>2</w:t>
            </w:r>
          </w:p>
        </w:tc>
        <w:tc>
          <w:tcPr>
            <w:tcW w:w="1687" w:type="dxa"/>
            <w:vAlign w:val="center"/>
          </w:tcPr>
          <w:p w:rsidR="00205D30" w:rsidRPr="00535E48" w:rsidRDefault="00571495" w:rsidP="00C904C7">
            <w:pPr>
              <w:jc w:val="center"/>
              <w:rPr>
                <w:sz w:val="20"/>
              </w:rPr>
            </w:pPr>
            <w:r w:rsidRPr="00535E48">
              <w:rPr>
                <w:sz w:val="20"/>
              </w:rPr>
              <w:t>0</w:t>
            </w:r>
          </w:p>
        </w:tc>
      </w:tr>
      <w:tr w:rsidR="00205D30" w:rsidRPr="005F11B6" w:rsidTr="002B21F7">
        <w:trPr>
          <w:trHeight w:val="389"/>
        </w:trPr>
        <w:tc>
          <w:tcPr>
            <w:tcW w:w="3955" w:type="dxa"/>
            <w:vMerge w:val="restart"/>
          </w:tcPr>
          <w:p w:rsidR="00205D30" w:rsidRDefault="002B21F7" w:rsidP="00EA4977">
            <w:pPr>
              <w:rPr>
                <w:sz w:val="20"/>
              </w:rPr>
            </w:pPr>
            <w:r>
              <w:rPr>
                <w:sz w:val="20"/>
              </w:rPr>
              <w:t>3</w:t>
            </w:r>
            <w:r w:rsidR="00205D30" w:rsidRPr="005F11B6">
              <w:rPr>
                <w:sz w:val="20"/>
              </w:rPr>
              <w:t xml:space="preserve">. Would you recommend other colleagues to attend, if a similar event </w:t>
            </w:r>
            <w:proofErr w:type="gramStart"/>
            <w:r w:rsidR="00205D30" w:rsidRPr="005F11B6">
              <w:rPr>
                <w:sz w:val="20"/>
              </w:rPr>
              <w:t>is organized</w:t>
            </w:r>
            <w:proofErr w:type="gramEnd"/>
            <w:r w:rsidR="00205D30" w:rsidRPr="005F11B6">
              <w:rPr>
                <w:sz w:val="20"/>
              </w:rPr>
              <w:t xml:space="preserve"> in the future? </w:t>
            </w:r>
          </w:p>
          <w:p w:rsidR="00367774" w:rsidRPr="005F11B6" w:rsidRDefault="00367774" w:rsidP="00EA4977">
            <w:pPr>
              <w:rPr>
                <w:sz w:val="20"/>
              </w:rPr>
            </w:pPr>
          </w:p>
        </w:tc>
        <w:tc>
          <w:tcPr>
            <w:tcW w:w="2435"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Extremely likely</w:t>
            </w:r>
          </w:p>
        </w:tc>
        <w:tc>
          <w:tcPr>
            <w:tcW w:w="2160"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Likely</w:t>
            </w:r>
          </w:p>
        </w:tc>
        <w:tc>
          <w:tcPr>
            <w:tcW w:w="2160"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Not Sure</w:t>
            </w:r>
          </w:p>
        </w:tc>
        <w:tc>
          <w:tcPr>
            <w:tcW w:w="2340"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Unlikely</w:t>
            </w:r>
          </w:p>
        </w:tc>
        <w:tc>
          <w:tcPr>
            <w:tcW w:w="1687"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Extremely Unlikely</w:t>
            </w:r>
          </w:p>
        </w:tc>
      </w:tr>
      <w:tr w:rsidR="00205D30" w:rsidRPr="005F11B6" w:rsidTr="002B21F7">
        <w:trPr>
          <w:trHeight w:val="477"/>
        </w:trPr>
        <w:tc>
          <w:tcPr>
            <w:tcW w:w="3955" w:type="dxa"/>
            <w:vMerge/>
          </w:tcPr>
          <w:p w:rsidR="00205D30" w:rsidRPr="005F11B6" w:rsidRDefault="00205D30" w:rsidP="00EA4977">
            <w:pPr>
              <w:rPr>
                <w:sz w:val="20"/>
              </w:rPr>
            </w:pPr>
          </w:p>
        </w:tc>
        <w:tc>
          <w:tcPr>
            <w:tcW w:w="2435" w:type="dxa"/>
            <w:vAlign w:val="center"/>
          </w:tcPr>
          <w:p w:rsidR="00205D30" w:rsidRPr="00535E48" w:rsidRDefault="00571495" w:rsidP="00C904C7">
            <w:pPr>
              <w:jc w:val="center"/>
              <w:rPr>
                <w:sz w:val="20"/>
              </w:rPr>
            </w:pPr>
            <w:r w:rsidRPr="00535E48">
              <w:rPr>
                <w:sz w:val="20"/>
              </w:rPr>
              <w:t>38</w:t>
            </w:r>
          </w:p>
        </w:tc>
        <w:tc>
          <w:tcPr>
            <w:tcW w:w="2160" w:type="dxa"/>
            <w:vAlign w:val="center"/>
          </w:tcPr>
          <w:p w:rsidR="00205D30" w:rsidRPr="00535E48" w:rsidRDefault="00571495" w:rsidP="00C904C7">
            <w:pPr>
              <w:jc w:val="center"/>
              <w:rPr>
                <w:sz w:val="20"/>
              </w:rPr>
            </w:pPr>
            <w:r w:rsidRPr="00535E48">
              <w:rPr>
                <w:sz w:val="20"/>
              </w:rPr>
              <w:t>148</w:t>
            </w:r>
          </w:p>
        </w:tc>
        <w:tc>
          <w:tcPr>
            <w:tcW w:w="2160" w:type="dxa"/>
            <w:vAlign w:val="center"/>
          </w:tcPr>
          <w:p w:rsidR="00205D30" w:rsidRPr="00535E48" w:rsidRDefault="00571495" w:rsidP="00C904C7">
            <w:pPr>
              <w:jc w:val="center"/>
              <w:rPr>
                <w:sz w:val="20"/>
              </w:rPr>
            </w:pPr>
            <w:r w:rsidRPr="00535E48">
              <w:rPr>
                <w:sz w:val="20"/>
              </w:rPr>
              <w:t>6</w:t>
            </w:r>
          </w:p>
        </w:tc>
        <w:tc>
          <w:tcPr>
            <w:tcW w:w="2340" w:type="dxa"/>
            <w:vAlign w:val="center"/>
          </w:tcPr>
          <w:p w:rsidR="00205D30" w:rsidRPr="00535E48" w:rsidRDefault="00571495" w:rsidP="00C904C7">
            <w:pPr>
              <w:jc w:val="center"/>
              <w:rPr>
                <w:sz w:val="20"/>
              </w:rPr>
            </w:pPr>
            <w:r w:rsidRPr="00535E48">
              <w:rPr>
                <w:sz w:val="20"/>
              </w:rPr>
              <w:t>1</w:t>
            </w:r>
          </w:p>
        </w:tc>
        <w:tc>
          <w:tcPr>
            <w:tcW w:w="1687" w:type="dxa"/>
            <w:vAlign w:val="center"/>
          </w:tcPr>
          <w:p w:rsidR="00205D30" w:rsidRPr="00535E48" w:rsidRDefault="00571495" w:rsidP="00C904C7">
            <w:pPr>
              <w:jc w:val="center"/>
              <w:rPr>
                <w:sz w:val="20"/>
              </w:rPr>
            </w:pPr>
            <w:r w:rsidRPr="00535E48">
              <w:rPr>
                <w:sz w:val="20"/>
              </w:rPr>
              <w:t>0</w:t>
            </w:r>
          </w:p>
        </w:tc>
      </w:tr>
      <w:tr w:rsidR="00205D30" w:rsidRPr="005F11B6" w:rsidTr="002B21F7">
        <w:trPr>
          <w:trHeight w:val="318"/>
        </w:trPr>
        <w:tc>
          <w:tcPr>
            <w:tcW w:w="3955" w:type="dxa"/>
            <w:vMerge w:val="restart"/>
          </w:tcPr>
          <w:p w:rsidR="00205D30" w:rsidRPr="005F11B6" w:rsidRDefault="002B21F7" w:rsidP="00EA4977">
            <w:pPr>
              <w:rPr>
                <w:sz w:val="20"/>
              </w:rPr>
            </w:pPr>
            <w:r>
              <w:rPr>
                <w:sz w:val="20"/>
              </w:rPr>
              <w:t>4</w:t>
            </w:r>
            <w:r w:rsidR="00205D30" w:rsidRPr="005F11B6">
              <w:rPr>
                <w:sz w:val="20"/>
              </w:rPr>
              <w:t>. How did you hear about the Conference</w:t>
            </w:r>
          </w:p>
        </w:tc>
        <w:tc>
          <w:tcPr>
            <w:tcW w:w="2435"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WIPO Website</w:t>
            </w:r>
          </w:p>
        </w:tc>
        <w:tc>
          <w:tcPr>
            <w:tcW w:w="2160"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Social Media</w:t>
            </w:r>
          </w:p>
        </w:tc>
        <w:tc>
          <w:tcPr>
            <w:tcW w:w="2160" w:type="dxa"/>
            <w:shd w:val="clear" w:color="auto" w:fill="BFBFBF" w:themeFill="background1" w:themeFillShade="BF"/>
            <w:vAlign w:val="center"/>
          </w:tcPr>
          <w:p w:rsidR="00205D30" w:rsidRPr="005F11B6" w:rsidRDefault="00205D30" w:rsidP="00571495">
            <w:pPr>
              <w:jc w:val="center"/>
              <w:rPr>
                <w:b/>
                <w:sz w:val="20"/>
              </w:rPr>
            </w:pPr>
            <w:r w:rsidRPr="005F11B6">
              <w:rPr>
                <w:b/>
                <w:sz w:val="20"/>
              </w:rPr>
              <w:t>E-mail/</w:t>
            </w:r>
            <w:r w:rsidR="00571495">
              <w:rPr>
                <w:b/>
                <w:sz w:val="20"/>
              </w:rPr>
              <w:t>newsletters</w:t>
            </w:r>
          </w:p>
        </w:tc>
        <w:tc>
          <w:tcPr>
            <w:tcW w:w="2340"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Colleagues</w:t>
            </w:r>
          </w:p>
        </w:tc>
        <w:tc>
          <w:tcPr>
            <w:tcW w:w="1687" w:type="dxa"/>
            <w:shd w:val="clear" w:color="auto" w:fill="BFBFBF" w:themeFill="background1" w:themeFillShade="BF"/>
            <w:vAlign w:val="center"/>
          </w:tcPr>
          <w:p w:rsidR="00205D30" w:rsidRPr="005F11B6" w:rsidRDefault="00205D30" w:rsidP="00C904C7">
            <w:pPr>
              <w:jc w:val="center"/>
              <w:rPr>
                <w:b/>
                <w:sz w:val="20"/>
              </w:rPr>
            </w:pPr>
            <w:r w:rsidRPr="005F11B6">
              <w:rPr>
                <w:b/>
                <w:sz w:val="20"/>
              </w:rPr>
              <w:t>Others</w:t>
            </w:r>
          </w:p>
        </w:tc>
      </w:tr>
      <w:tr w:rsidR="00205D30" w:rsidRPr="005F11B6" w:rsidTr="002B21F7">
        <w:trPr>
          <w:trHeight w:val="597"/>
        </w:trPr>
        <w:tc>
          <w:tcPr>
            <w:tcW w:w="3955" w:type="dxa"/>
            <w:vMerge/>
          </w:tcPr>
          <w:p w:rsidR="00205D30" w:rsidRPr="005F11B6" w:rsidRDefault="00205D30" w:rsidP="00EA4977">
            <w:pPr>
              <w:rPr>
                <w:sz w:val="20"/>
              </w:rPr>
            </w:pPr>
          </w:p>
        </w:tc>
        <w:tc>
          <w:tcPr>
            <w:tcW w:w="2435" w:type="dxa"/>
            <w:vAlign w:val="center"/>
          </w:tcPr>
          <w:p w:rsidR="00205D30" w:rsidRPr="005F11B6" w:rsidRDefault="00571495" w:rsidP="00C904C7">
            <w:pPr>
              <w:jc w:val="center"/>
              <w:rPr>
                <w:sz w:val="20"/>
              </w:rPr>
            </w:pPr>
            <w:r>
              <w:rPr>
                <w:sz w:val="20"/>
              </w:rPr>
              <w:t>76</w:t>
            </w:r>
          </w:p>
        </w:tc>
        <w:tc>
          <w:tcPr>
            <w:tcW w:w="2160" w:type="dxa"/>
            <w:vAlign w:val="center"/>
          </w:tcPr>
          <w:p w:rsidR="00205D30" w:rsidRPr="005F11B6" w:rsidRDefault="00571495" w:rsidP="00C904C7">
            <w:pPr>
              <w:jc w:val="center"/>
              <w:rPr>
                <w:sz w:val="20"/>
              </w:rPr>
            </w:pPr>
            <w:r>
              <w:rPr>
                <w:sz w:val="20"/>
              </w:rPr>
              <w:t>42</w:t>
            </w:r>
          </w:p>
        </w:tc>
        <w:tc>
          <w:tcPr>
            <w:tcW w:w="2160" w:type="dxa"/>
            <w:vAlign w:val="center"/>
          </w:tcPr>
          <w:p w:rsidR="00205D30" w:rsidRPr="005F11B6" w:rsidRDefault="00571495" w:rsidP="00C904C7">
            <w:pPr>
              <w:jc w:val="center"/>
              <w:rPr>
                <w:sz w:val="20"/>
              </w:rPr>
            </w:pPr>
            <w:r>
              <w:rPr>
                <w:sz w:val="20"/>
              </w:rPr>
              <w:t>196</w:t>
            </w:r>
          </w:p>
        </w:tc>
        <w:tc>
          <w:tcPr>
            <w:tcW w:w="2340" w:type="dxa"/>
            <w:vAlign w:val="center"/>
          </w:tcPr>
          <w:p w:rsidR="00205D30" w:rsidRPr="005F11B6" w:rsidRDefault="00571495" w:rsidP="00C904C7">
            <w:pPr>
              <w:jc w:val="center"/>
              <w:rPr>
                <w:sz w:val="20"/>
              </w:rPr>
            </w:pPr>
            <w:r>
              <w:rPr>
                <w:sz w:val="20"/>
              </w:rPr>
              <w:t>24</w:t>
            </w:r>
          </w:p>
        </w:tc>
        <w:tc>
          <w:tcPr>
            <w:tcW w:w="1687" w:type="dxa"/>
            <w:vAlign w:val="center"/>
          </w:tcPr>
          <w:p w:rsidR="00205D30" w:rsidRPr="005F11B6" w:rsidRDefault="00571495" w:rsidP="00C904C7">
            <w:pPr>
              <w:jc w:val="center"/>
              <w:rPr>
                <w:sz w:val="20"/>
              </w:rPr>
            </w:pPr>
            <w:r>
              <w:rPr>
                <w:sz w:val="20"/>
              </w:rPr>
              <w:t>12</w:t>
            </w:r>
          </w:p>
        </w:tc>
      </w:tr>
    </w:tbl>
    <w:p w:rsidR="00205D30" w:rsidRDefault="00205D30" w:rsidP="002326AB">
      <w:pPr>
        <w:spacing w:after="220"/>
      </w:pPr>
    </w:p>
    <w:p w:rsidR="00B65C89" w:rsidRDefault="00B65C89" w:rsidP="002326AB">
      <w:pPr>
        <w:spacing w:after="220"/>
      </w:pPr>
    </w:p>
    <w:p w:rsidR="002B21F7" w:rsidRDefault="002B21F7" w:rsidP="002326AB">
      <w:pPr>
        <w:spacing w:after="220"/>
      </w:pPr>
    </w:p>
    <w:p w:rsidR="002B21F7" w:rsidRDefault="002B21F7" w:rsidP="002326AB">
      <w:pPr>
        <w:spacing w:after="220"/>
      </w:pPr>
    </w:p>
    <w:p w:rsidR="004553CE" w:rsidRDefault="004553CE" w:rsidP="004553CE">
      <w:pPr>
        <w:rPr>
          <w:b/>
          <w:szCs w:val="22"/>
        </w:rPr>
      </w:pPr>
      <w:r w:rsidRPr="005F11B6">
        <w:rPr>
          <w:b/>
          <w:szCs w:val="22"/>
        </w:rPr>
        <w:t>DAY 2 (based on 313 responses)</w:t>
      </w:r>
    </w:p>
    <w:p w:rsidR="00C904C7" w:rsidRDefault="00C904C7" w:rsidP="004553CE">
      <w:pPr>
        <w:rPr>
          <w:b/>
          <w:szCs w:val="22"/>
        </w:rPr>
      </w:pPr>
    </w:p>
    <w:p w:rsidR="00571495" w:rsidRDefault="00571495" w:rsidP="004553CE">
      <w:pPr>
        <w:rPr>
          <w:b/>
          <w:szCs w:val="22"/>
        </w:rPr>
      </w:pPr>
    </w:p>
    <w:tbl>
      <w:tblPr>
        <w:tblStyle w:val="TableGrid"/>
        <w:tblpPr w:leftFromText="180" w:rightFromText="180" w:vertAnchor="text" w:horzAnchor="margin" w:tblpX="-162" w:tblpY="-72"/>
        <w:tblW w:w="14611" w:type="dxa"/>
        <w:tblLook w:val="04A0" w:firstRow="1" w:lastRow="0" w:firstColumn="1" w:lastColumn="0" w:noHBand="0" w:noVBand="1"/>
        <w:tblCaption w:val="Annex: Results of Satisfaction Surveys"/>
        <w:tblDescription w:val="Day 2: based on 313 responses"/>
      </w:tblPr>
      <w:tblGrid>
        <w:gridCol w:w="3970"/>
        <w:gridCol w:w="2409"/>
        <w:gridCol w:w="2131"/>
        <w:gridCol w:w="2127"/>
        <w:gridCol w:w="2409"/>
        <w:gridCol w:w="1565"/>
      </w:tblGrid>
      <w:tr w:rsidR="00571495" w:rsidRPr="00BD21B8" w:rsidTr="002B21F7">
        <w:trPr>
          <w:trHeight w:val="420"/>
        </w:trPr>
        <w:tc>
          <w:tcPr>
            <w:tcW w:w="3970" w:type="dxa"/>
            <w:shd w:val="clear" w:color="auto" w:fill="BFBFBF" w:themeFill="background1" w:themeFillShade="BF"/>
            <w:vAlign w:val="center"/>
          </w:tcPr>
          <w:p w:rsidR="00571495" w:rsidRPr="00BD21B8" w:rsidRDefault="00571495" w:rsidP="002B21F7">
            <w:pPr>
              <w:rPr>
                <w:b/>
                <w:sz w:val="20"/>
              </w:rPr>
            </w:pPr>
          </w:p>
        </w:tc>
        <w:tc>
          <w:tcPr>
            <w:tcW w:w="2409" w:type="dxa"/>
            <w:shd w:val="clear" w:color="auto" w:fill="BFBFBF" w:themeFill="background1" w:themeFillShade="BF"/>
            <w:vAlign w:val="center"/>
          </w:tcPr>
          <w:p w:rsidR="00571495" w:rsidRPr="00BD21B8" w:rsidRDefault="00571495" w:rsidP="002B21F7">
            <w:pPr>
              <w:jc w:val="center"/>
              <w:rPr>
                <w:b/>
                <w:sz w:val="20"/>
                <w:lang w:val="fr-CH"/>
              </w:rPr>
            </w:pPr>
            <w:r w:rsidRPr="00BD21B8">
              <w:rPr>
                <w:b/>
                <w:sz w:val="20"/>
              </w:rPr>
              <w:t>Government / IP Office</w:t>
            </w:r>
          </w:p>
        </w:tc>
        <w:tc>
          <w:tcPr>
            <w:tcW w:w="2131" w:type="dxa"/>
            <w:shd w:val="clear" w:color="auto" w:fill="BFBFBF" w:themeFill="background1" w:themeFillShade="BF"/>
            <w:vAlign w:val="center"/>
          </w:tcPr>
          <w:p w:rsidR="00571495" w:rsidRPr="00BD21B8" w:rsidRDefault="00571495" w:rsidP="002B21F7">
            <w:pPr>
              <w:jc w:val="center"/>
              <w:rPr>
                <w:b/>
                <w:sz w:val="20"/>
              </w:rPr>
            </w:pPr>
            <w:r w:rsidRPr="00BD21B8">
              <w:rPr>
                <w:b/>
                <w:sz w:val="20"/>
              </w:rPr>
              <w:t>Academia</w:t>
            </w:r>
          </w:p>
        </w:tc>
        <w:tc>
          <w:tcPr>
            <w:tcW w:w="2127" w:type="dxa"/>
            <w:shd w:val="clear" w:color="auto" w:fill="BFBFBF" w:themeFill="background1" w:themeFillShade="BF"/>
            <w:vAlign w:val="center"/>
          </w:tcPr>
          <w:p w:rsidR="00571495" w:rsidRPr="00BD21B8" w:rsidRDefault="00571495" w:rsidP="002B21F7">
            <w:pPr>
              <w:jc w:val="center"/>
              <w:rPr>
                <w:b/>
                <w:sz w:val="20"/>
              </w:rPr>
            </w:pPr>
            <w:r w:rsidRPr="00BD21B8">
              <w:rPr>
                <w:b/>
                <w:sz w:val="20"/>
              </w:rPr>
              <w:t>IGO / NGO</w:t>
            </w:r>
          </w:p>
        </w:tc>
        <w:tc>
          <w:tcPr>
            <w:tcW w:w="2409" w:type="dxa"/>
            <w:shd w:val="clear" w:color="auto" w:fill="BFBFBF" w:themeFill="background1" w:themeFillShade="BF"/>
            <w:vAlign w:val="center"/>
          </w:tcPr>
          <w:p w:rsidR="00571495" w:rsidRPr="00BD21B8" w:rsidRDefault="00571495" w:rsidP="002B21F7">
            <w:pPr>
              <w:jc w:val="center"/>
              <w:rPr>
                <w:b/>
                <w:sz w:val="20"/>
              </w:rPr>
            </w:pPr>
            <w:r w:rsidRPr="00BD21B8">
              <w:rPr>
                <w:b/>
                <w:sz w:val="20"/>
              </w:rPr>
              <w:t>Private</w:t>
            </w:r>
          </w:p>
        </w:tc>
        <w:tc>
          <w:tcPr>
            <w:tcW w:w="1565" w:type="dxa"/>
            <w:shd w:val="clear" w:color="auto" w:fill="BFBFBF" w:themeFill="background1" w:themeFillShade="BF"/>
            <w:vAlign w:val="center"/>
          </w:tcPr>
          <w:p w:rsidR="00571495" w:rsidRPr="00BD21B8" w:rsidRDefault="00571495" w:rsidP="002B21F7">
            <w:pPr>
              <w:jc w:val="center"/>
              <w:rPr>
                <w:b/>
                <w:sz w:val="20"/>
              </w:rPr>
            </w:pPr>
            <w:r w:rsidRPr="00BD21B8">
              <w:rPr>
                <w:b/>
                <w:sz w:val="20"/>
              </w:rPr>
              <w:t>Other</w:t>
            </w:r>
          </w:p>
        </w:tc>
      </w:tr>
      <w:tr w:rsidR="00571495" w:rsidRPr="00BD21B8" w:rsidTr="002B21F7">
        <w:trPr>
          <w:trHeight w:val="398"/>
        </w:trPr>
        <w:tc>
          <w:tcPr>
            <w:tcW w:w="3970" w:type="dxa"/>
            <w:vAlign w:val="center"/>
          </w:tcPr>
          <w:p w:rsidR="00571495" w:rsidRPr="00BD21B8" w:rsidRDefault="00571495" w:rsidP="002B21F7">
            <w:pPr>
              <w:rPr>
                <w:b/>
                <w:sz w:val="20"/>
              </w:rPr>
            </w:pPr>
            <w:r w:rsidRPr="00BD21B8">
              <w:rPr>
                <w:b/>
                <w:sz w:val="20"/>
              </w:rPr>
              <w:t>Business Field</w:t>
            </w:r>
          </w:p>
        </w:tc>
        <w:tc>
          <w:tcPr>
            <w:tcW w:w="2409" w:type="dxa"/>
            <w:tcBorders>
              <w:bottom w:val="single" w:sz="4" w:space="0" w:color="auto"/>
            </w:tcBorders>
            <w:vAlign w:val="center"/>
          </w:tcPr>
          <w:p w:rsidR="00571495" w:rsidRPr="00535E48" w:rsidRDefault="00BD21B8" w:rsidP="002B21F7">
            <w:pPr>
              <w:jc w:val="center"/>
              <w:rPr>
                <w:sz w:val="20"/>
              </w:rPr>
            </w:pPr>
            <w:r w:rsidRPr="00535E48">
              <w:rPr>
                <w:sz w:val="20"/>
              </w:rPr>
              <w:t>131</w:t>
            </w:r>
          </w:p>
        </w:tc>
        <w:tc>
          <w:tcPr>
            <w:tcW w:w="2131" w:type="dxa"/>
            <w:tcBorders>
              <w:bottom w:val="single" w:sz="4" w:space="0" w:color="auto"/>
            </w:tcBorders>
            <w:vAlign w:val="center"/>
          </w:tcPr>
          <w:p w:rsidR="00571495" w:rsidRPr="00535E48" w:rsidRDefault="00BD21B8" w:rsidP="002B21F7">
            <w:pPr>
              <w:jc w:val="center"/>
              <w:rPr>
                <w:sz w:val="20"/>
              </w:rPr>
            </w:pPr>
            <w:r w:rsidRPr="00535E48">
              <w:rPr>
                <w:sz w:val="20"/>
              </w:rPr>
              <w:t>91</w:t>
            </w:r>
          </w:p>
        </w:tc>
        <w:tc>
          <w:tcPr>
            <w:tcW w:w="2127" w:type="dxa"/>
            <w:tcBorders>
              <w:bottom w:val="single" w:sz="4" w:space="0" w:color="auto"/>
            </w:tcBorders>
            <w:vAlign w:val="center"/>
          </w:tcPr>
          <w:p w:rsidR="00571495" w:rsidRPr="00535E48" w:rsidRDefault="00BD21B8" w:rsidP="002B21F7">
            <w:pPr>
              <w:jc w:val="center"/>
              <w:rPr>
                <w:sz w:val="20"/>
              </w:rPr>
            </w:pPr>
            <w:r w:rsidRPr="00535E48">
              <w:rPr>
                <w:sz w:val="20"/>
              </w:rPr>
              <w:t>11</w:t>
            </w:r>
          </w:p>
        </w:tc>
        <w:tc>
          <w:tcPr>
            <w:tcW w:w="2409" w:type="dxa"/>
            <w:tcBorders>
              <w:bottom w:val="single" w:sz="4" w:space="0" w:color="auto"/>
            </w:tcBorders>
            <w:vAlign w:val="center"/>
          </w:tcPr>
          <w:p w:rsidR="00571495" w:rsidRPr="00535E48" w:rsidRDefault="00BD21B8" w:rsidP="002B21F7">
            <w:pPr>
              <w:jc w:val="center"/>
              <w:rPr>
                <w:sz w:val="20"/>
              </w:rPr>
            </w:pPr>
            <w:r w:rsidRPr="00535E48">
              <w:rPr>
                <w:sz w:val="20"/>
              </w:rPr>
              <w:t>59</w:t>
            </w:r>
          </w:p>
        </w:tc>
        <w:tc>
          <w:tcPr>
            <w:tcW w:w="1565" w:type="dxa"/>
            <w:tcBorders>
              <w:bottom w:val="single" w:sz="4" w:space="0" w:color="auto"/>
            </w:tcBorders>
            <w:vAlign w:val="center"/>
          </w:tcPr>
          <w:p w:rsidR="00571495" w:rsidRPr="00535E48" w:rsidRDefault="00BD21B8" w:rsidP="002B21F7">
            <w:pPr>
              <w:jc w:val="center"/>
              <w:rPr>
                <w:sz w:val="20"/>
              </w:rPr>
            </w:pPr>
            <w:r w:rsidRPr="00535E48">
              <w:rPr>
                <w:sz w:val="20"/>
              </w:rPr>
              <w:t>20</w:t>
            </w:r>
          </w:p>
        </w:tc>
      </w:tr>
    </w:tbl>
    <w:p w:rsidR="004553CE" w:rsidRPr="00BD21B8" w:rsidRDefault="004553CE" w:rsidP="004553CE">
      <w:pPr>
        <w:rPr>
          <w:sz w:val="20"/>
        </w:rPr>
      </w:pPr>
    </w:p>
    <w:tbl>
      <w:tblPr>
        <w:tblStyle w:val="TableGrid"/>
        <w:tblpPr w:leftFromText="180" w:rightFromText="180" w:vertAnchor="text" w:horzAnchor="margin" w:tblpXSpec="center" w:tblpY="-72"/>
        <w:tblW w:w="14596" w:type="dxa"/>
        <w:tblLook w:val="04A0" w:firstRow="1" w:lastRow="0" w:firstColumn="1" w:lastColumn="0" w:noHBand="0" w:noVBand="1"/>
        <w:tblCaption w:val="Annex: Results of Satisfaction Surveys"/>
        <w:tblDescription w:val="Day 2: based on 313 responses"/>
      </w:tblPr>
      <w:tblGrid>
        <w:gridCol w:w="3955"/>
        <w:gridCol w:w="2435"/>
        <w:gridCol w:w="2160"/>
        <w:gridCol w:w="2160"/>
        <w:gridCol w:w="2340"/>
        <w:gridCol w:w="1546"/>
      </w:tblGrid>
      <w:tr w:rsidR="004553CE" w:rsidRPr="00BD21B8" w:rsidTr="002B21F7">
        <w:tc>
          <w:tcPr>
            <w:tcW w:w="3955" w:type="dxa"/>
            <w:shd w:val="clear" w:color="auto" w:fill="BFBFBF" w:themeFill="background1" w:themeFillShade="BF"/>
          </w:tcPr>
          <w:p w:rsidR="004553CE" w:rsidRPr="00BD21B8" w:rsidRDefault="004553CE" w:rsidP="00EA4977">
            <w:pPr>
              <w:rPr>
                <w:b/>
                <w:sz w:val="20"/>
              </w:rPr>
            </w:pPr>
          </w:p>
        </w:tc>
        <w:tc>
          <w:tcPr>
            <w:tcW w:w="2435"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Extremely satisfied</w:t>
            </w:r>
          </w:p>
        </w:tc>
        <w:tc>
          <w:tcPr>
            <w:tcW w:w="2160"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Satisfied</w:t>
            </w:r>
          </w:p>
        </w:tc>
        <w:tc>
          <w:tcPr>
            <w:tcW w:w="2160"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Not sure</w:t>
            </w:r>
          </w:p>
        </w:tc>
        <w:tc>
          <w:tcPr>
            <w:tcW w:w="2340"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Partially satisfied</w:t>
            </w:r>
          </w:p>
        </w:tc>
        <w:tc>
          <w:tcPr>
            <w:tcW w:w="1546"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Not at all satisfied</w:t>
            </w:r>
          </w:p>
        </w:tc>
      </w:tr>
      <w:tr w:rsidR="004553CE" w:rsidRPr="00BD21B8" w:rsidTr="002B21F7">
        <w:trPr>
          <w:trHeight w:val="534"/>
        </w:trPr>
        <w:tc>
          <w:tcPr>
            <w:tcW w:w="3955" w:type="dxa"/>
          </w:tcPr>
          <w:p w:rsidR="004553CE" w:rsidRPr="00BD21B8" w:rsidRDefault="004553CE" w:rsidP="00EA4977">
            <w:pPr>
              <w:rPr>
                <w:sz w:val="20"/>
              </w:rPr>
            </w:pPr>
            <w:r w:rsidRPr="00BD21B8">
              <w:rPr>
                <w:sz w:val="20"/>
              </w:rPr>
              <w:t>1. Overall, how satisfied are you with the Conference?</w:t>
            </w:r>
          </w:p>
        </w:tc>
        <w:tc>
          <w:tcPr>
            <w:tcW w:w="2435" w:type="dxa"/>
            <w:tcBorders>
              <w:bottom w:val="single" w:sz="4" w:space="0" w:color="auto"/>
            </w:tcBorders>
            <w:vAlign w:val="center"/>
          </w:tcPr>
          <w:p w:rsidR="004553CE" w:rsidRPr="00535E48" w:rsidRDefault="00BD21B8" w:rsidP="00EA4977">
            <w:pPr>
              <w:jc w:val="center"/>
              <w:rPr>
                <w:sz w:val="20"/>
              </w:rPr>
            </w:pPr>
            <w:r w:rsidRPr="00535E48">
              <w:rPr>
                <w:sz w:val="20"/>
              </w:rPr>
              <w:t>155</w:t>
            </w:r>
          </w:p>
        </w:tc>
        <w:tc>
          <w:tcPr>
            <w:tcW w:w="2160" w:type="dxa"/>
            <w:tcBorders>
              <w:bottom w:val="single" w:sz="4" w:space="0" w:color="auto"/>
            </w:tcBorders>
            <w:vAlign w:val="center"/>
          </w:tcPr>
          <w:p w:rsidR="004553CE" w:rsidRPr="00535E48" w:rsidRDefault="00BD21B8" w:rsidP="00EA4977">
            <w:pPr>
              <w:jc w:val="center"/>
              <w:rPr>
                <w:sz w:val="20"/>
              </w:rPr>
            </w:pPr>
            <w:r w:rsidRPr="00535E48">
              <w:rPr>
                <w:sz w:val="20"/>
              </w:rPr>
              <w:t>152</w:t>
            </w:r>
          </w:p>
        </w:tc>
        <w:tc>
          <w:tcPr>
            <w:tcW w:w="2160" w:type="dxa"/>
            <w:tcBorders>
              <w:bottom w:val="single" w:sz="4" w:space="0" w:color="auto"/>
            </w:tcBorders>
            <w:vAlign w:val="center"/>
          </w:tcPr>
          <w:p w:rsidR="004553CE" w:rsidRPr="00535E48" w:rsidRDefault="00BD21B8" w:rsidP="00EA4977">
            <w:pPr>
              <w:jc w:val="center"/>
              <w:rPr>
                <w:sz w:val="20"/>
              </w:rPr>
            </w:pPr>
            <w:r w:rsidRPr="00535E48">
              <w:rPr>
                <w:sz w:val="20"/>
              </w:rPr>
              <w:t>4</w:t>
            </w:r>
          </w:p>
        </w:tc>
        <w:tc>
          <w:tcPr>
            <w:tcW w:w="2340" w:type="dxa"/>
            <w:tcBorders>
              <w:bottom w:val="single" w:sz="4" w:space="0" w:color="auto"/>
            </w:tcBorders>
            <w:vAlign w:val="center"/>
          </w:tcPr>
          <w:p w:rsidR="004553CE" w:rsidRPr="00535E48" w:rsidRDefault="00BD21B8" w:rsidP="00EA4977">
            <w:pPr>
              <w:jc w:val="center"/>
              <w:rPr>
                <w:sz w:val="20"/>
              </w:rPr>
            </w:pPr>
            <w:r w:rsidRPr="00535E48">
              <w:rPr>
                <w:sz w:val="20"/>
              </w:rPr>
              <w:t>0</w:t>
            </w:r>
          </w:p>
        </w:tc>
        <w:tc>
          <w:tcPr>
            <w:tcW w:w="1546" w:type="dxa"/>
            <w:tcBorders>
              <w:bottom w:val="single" w:sz="4" w:space="0" w:color="auto"/>
            </w:tcBorders>
            <w:vAlign w:val="center"/>
          </w:tcPr>
          <w:p w:rsidR="004553CE" w:rsidRPr="00535E48" w:rsidRDefault="00BD21B8" w:rsidP="00EA4977">
            <w:pPr>
              <w:jc w:val="center"/>
              <w:rPr>
                <w:sz w:val="20"/>
              </w:rPr>
            </w:pPr>
            <w:r w:rsidRPr="00535E48">
              <w:rPr>
                <w:sz w:val="20"/>
              </w:rPr>
              <w:t>0</w:t>
            </w:r>
          </w:p>
        </w:tc>
      </w:tr>
      <w:tr w:rsidR="004553CE" w:rsidRPr="00BD21B8" w:rsidTr="002B21F7">
        <w:trPr>
          <w:trHeight w:val="400"/>
        </w:trPr>
        <w:tc>
          <w:tcPr>
            <w:tcW w:w="3955" w:type="dxa"/>
            <w:vMerge w:val="restart"/>
          </w:tcPr>
          <w:p w:rsidR="004553CE" w:rsidRPr="00BD21B8" w:rsidRDefault="004553CE" w:rsidP="00EA4977">
            <w:pPr>
              <w:rPr>
                <w:sz w:val="20"/>
              </w:rPr>
            </w:pPr>
            <w:r w:rsidRPr="00BD21B8">
              <w:rPr>
                <w:sz w:val="20"/>
              </w:rPr>
              <w:t>2. How would you rate the design of the Conference based on the following:</w:t>
            </w:r>
          </w:p>
          <w:p w:rsidR="00BD21B8" w:rsidRPr="00BD21B8" w:rsidRDefault="00BD21B8" w:rsidP="00EA4977">
            <w:pPr>
              <w:rPr>
                <w:sz w:val="20"/>
              </w:rPr>
            </w:pPr>
          </w:p>
          <w:p w:rsidR="004553CE" w:rsidRPr="00BD21B8" w:rsidRDefault="004553CE" w:rsidP="00EA4977">
            <w:pPr>
              <w:rPr>
                <w:sz w:val="20"/>
              </w:rPr>
            </w:pPr>
            <w:r w:rsidRPr="00BD21B8">
              <w:rPr>
                <w:sz w:val="20"/>
              </w:rPr>
              <w:t>Aspects of the organization (logistics)</w:t>
            </w:r>
          </w:p>
          <w:p w:rsidR="004553CE" w:rsidRPr="00BD21B8" w:rsidRDefault="004553CE" w:rsidP="00EA4977">
            <w:pPr>
              <w:rPr>
                <w:sz w:val="20"/>
              </w:rPr>
            </w:pPr>
          </w:p>
          <w:p w:rsidR="004553CE" w:rsidRPr="00BD21B8" w:rsidRDefault="004553CE" w:rsidP="00EA4977">
            <w:pPr>
              <w:rPr>
                <w:sz w:val="20"/>
              </w:rPr>
            </w:pPr>
            <w:r w:rsidRPr="00BD21B8">
              <w:rPr>
                <w:sz w:val="20"/>
              </w:rPr>
              <w:t xml:space="preserve">Content / Program of the Conference </w:t>
            </w:r>
          </w:p>
        </w:tc>
        <w:tc>
          <w:tcPr>
            <w:tcW w:w="2435" w:type="dxa"/>
            <w:tcBorders>
              <w:right w:val="nil"/>
            </w:tcBorders>
            <w:shd w:val="clear" w:color="auto" w:fill="BFBFBF" w:themeFill="background1" w:themeFillShade="BF"/>
            <w:vAlign w:val="center"/>
          </w:tcPr>
          <w:p w:rsidR="004553CE" w:rsidRPr="00BD21B8" w:rsidRDefault="004553CE" w:rsidP="00EA4977">
            <w:pPr>
              <w:jc w:val="center"/>
              <w:rPr>
                <w:b/>
                <w:sz w:val="20"/>
              </w:rPr>
            </w:pPr>
            <w:r w:rsidRPr="00BD21B8">
              <w:rPr>
                <w:b/>
                <w:sz w:val="20"/>
              </w:rPr>
              <w:t>Excellent</w:t>
            </w:r>
          </w:p>
        </w:tc>
        <w:tc>
          <w:tcPr>
            <w:tcW w:w="2160" w:type="dxa"/>
            <w:tcBorders>
              <w:left w:val="nil"/>
              <w:right w:val="nil"/>
            </w:tcBorders>
            <w:shd w:val="clear" w:color="auto" w:fill="BFBFBF" w:themeFill="background1" w:themeFillShade="BF"/>
            <w:vAlign w:val="center"/>
          </w:tcPr>
          <w:p w:rsidR="004553CE" w:rsidRPr="00BD21B8" w:rsidRDefault="004553CE" w:rsidP="00EA4977">
            <w:pPr>
              <w:jc w:val="center"/>
              <w:rPr>
                <w:b/>
                <w:sz w:val="20"/>
              </w:rPr>
            </w:pPr>
            <w:r w:rsidRPr="00BD21B8">
              <w:rPr>
                <w:b/>
                <w:sz w:val="20"/>
              </w:rPr>
              <w:t>Good</w:t>
            </w:r>
          </w:p>
        </w:tc>
        <w:tc>
          <w:tcPr>
            <w:tcW w:w="2160" w:type="dxa"/>
            <w:tcBorders>
              <w:left w:val="nil"/>
              <w:right w:val="nil"/>
            </w:tcBorders>
            <w:shd w:val="clear" w:color="auto" w:fill="BFBFBF" w:themeFill="background1" w:themeFillShade="BF"/>
            <w:vAlign w:val="center"/>
          </w:tcPr>
          <w:p w:rsidR="004553CE" w:rsidRPr="00BD21B8" w:rsidRDefault="004553CE" w:rsidP="00EA4977">
            <w:pPr>
              <w:jc w:val="center"/>
              <w:rPr>
                <w:b/>
                <w:sz w:val="20"/>
              </w:rPr>
            </w:pPr>
            <w:r w:rsidRPr="00BD21B8">
              <w:rPr>
                <w:b/>
                <w:sz w:val="20"/>
              </w:rPr>
              <w:t>Average</w:t>
            </w:r>
          </w:p>
        </w:tc>
        <w:tc>
          <w:tcPr>
            <w:tcW w:w="2340" w:type="dxa"/>
            <w:tcBorders>
              <w:left w:val="nil"/>
              <w:right w:val="nil"/>
            </w:tcBorders>
            <w:shd w:val="clear" w:color="auto" w:fill="BFBFBF" w:themeFill="background1" w:themeFillShade="BF"/>
            <w:vAlign w:val="center"/>
          </w:tcPr>
          <w:p w:rsidR="004553CE" w:rsidRPr="00BD21B8" w:rsidRDefault="004553CE" w:rsidP="00EA4977">
            <w:pPr>
              <w:jc w:val="center"/>
              <w:rPr>
                <w:b/>
                <w:sz w:val="20"/>
              </w:rPr>
            </w:pPr>
            <w:r w:rsidRPr="00BD21B8">
              <w:rPr>
                <w:b/>
                <w:sz w:val="20"/>
              </w:rPr>
              <w:t>Fair</w:t>
            </w:r>
          </w:p>
        </w:tc>
        <w:tc>
          <w:tcPr>
            <w:tcW w:w="1546" w:type="dxa"/>
            <w:tcBorders>
              <w:left w:val="nil"/>
            </w:tcBorders>
            <w:shd w:val="clear" w:color="auto" w:fill="BFBFBF" w:themeFill="background1" w:themeFillShade="BF"/>
            <w:vAlign w:val="center"/>
          </w:tcPr>
          <w:p w:rsidR="004553CE" w:rsidRPr="00BD21B8" w:rsidRDefault="004553CE" w:rsidP="00EA4977">
            <w:pPr>
              <w:jc w:val="center"/>
              <w:rPr>
                <w:b/>
                <w:sz w:val="20"/>
              </w:rPr>
            </w:pPr>
            <w:r w:rsidRPr="00BD21B8">
              <w:rPr>
                <w:b/>
                <w:sz w:val="20"/>
              </w:rPr>
              <w:t>Poor</w:t>
            </w:r>
          </w:p>
        </w:tc>
      </w:tr>
      <w:tr w:rsidR="004553CE" w:rsidRPr="00BD21B8" w:rsidTr="002B21F7">
        <w:trPr>
          <w:trHeight w:val="656"/>
        </w:trPr>
        <w:tc>
          <w:tcPr>
            <w:tcW w:w="3955" w:type="dxa"/>
            <w:vMerge/>
          </w:tcPr>
          <w:p w:rsidR="004553CE" w:rsidRPr="00BD21B8" w:rsidRDefault="004553CE" w:rsidP="00EA4977">
            <w:pPr>
              <w:rPr>
                <w:sz w:val="20"/>
              </w:rPr>
            </w:pPr>
          </w:p>
        </w:tc>
        <w:tc>
          <w:tcPr>
            <w:tcW w:w="2435" w:type="dxa"/>
            <w:vAlign w:val="center"/>
          </w:tcPr>
          <w:p w:rsidR="004553CE" w:rsidRPr="00535E48" w:rsidRDefault="00BD21B8" w:rsidP="00EA4977">
            <w:pPr>
              <w:jc w:val="center"/>
              <w:rPr>
                <w:sz w:val="20"/>
              </w:rPr>
            </w:pPr>
            <w:r w:rsidRPr="00535E48">
              <w:rPr>
                <w:sz w:val="20"/>
              </w:rPr>
              <w:t>204</w:t>
            </w:r>
          </w:p>
        </w:tc>
        <w:tc>
          <w:tcPr>
            <w:tcW w:w="2160" w:type="dxa"/>
            <w:vAlign w:val="center"/>
          </w:tcPr>
          <w:p w:rsidR="004553CE" w:rsidRPr="00535E48" w:rsidRDefault="00BD21B8" w:rsidP="00EA4977">
            <w:pPr>
              <w:jc w:val="center"/>
              <w:rPr>
                <w:sz w:val="20"/>
              </w:rPr>
            </w:pPr>
            <w:r w:rsidRPr="00535E48">
              <w:rPr>
                <w:sz w:val="20"/>
              </w:rPr>
              <w:t>101</w:t>
            </w:r>
          </w:p>
        </w:tc>
        <w:tc>
          <w:tcPr>
            <w:tcW w:w="2160" w:type="dxa"/>
            <w:vAlign w:val="center"/>
          </w:tcPr>
          <w:p w:rsidR="004553CE" w:rsidRPr="00535E48" w:rsidRDefault="004553CE" w:rsidP="00EA4977">
            <w:pPr>
              <w:jc w:val="center"/>
              <w:rPr>
                <w:sz w:val="20"/>
              </w:rPr>
            </w:pPr>
            <w:r w:rsidRPr="00535E48">
              <w:rPr>
                <w:sz w:val="20"/>
              </w:rPr>
              <w:t>4</w:t>
            </w:r>
          </w:p>
        </w:tc>
        <w:tc>
          <w:tcPr>
            <w:tcW w:w="2340" w:type="dxa"/>
            <w:vAlign w:val="center"/>
          </w:tcPr>
          <w:p w:rsidR="004553CE" w:rsidRPr="00535E48" w:rsidRDefault="00BD21B8" w:rsidP="00EA4977">
            <w:pPr>
              <w:jc w:val="center"/>
              <w:rPr>
                <w:sz w:val="20"/>
              </w:rPr>
            </w:pPr>
            <w:r w:rsidRPr="00535E48">
              <w:rPr>
                <w:sz w:val="20"/>
              </w:rPr>
              <w:t>0</w:t>
            </w:r>
          </w:p>
        </w:tc>
        <w:tc>
          <w:tcPr>
            <w:tcW w:w="1546" w:type="dxa"/>
            <w:vAlign w:val="center"/>
          </w:tcPr>
          <w:p w:rsidR="004553CE" w:rsidRPr="00535E48" w:rsidRDefault="00BD21B8" w:rsidP="00EA4977">
            <w:pPr>
              <w:jc w:val="center"/>
              <w:rPr>
                <w:sz w:val="20"/>
              </w:rPr>
            </w:pPr>
            <w:r w:rsidRPr="00535E48">
              <w:rPr>
                <w:sz w:val="20"/>
              </w:rPr>
              <w:t>0</w:t>
            </w:r>
          </w:p>
        </w:tc>
      </w:tr>
      <w:tr w:rsidR="004553CE" w:rsidRPr="00BD21B8" w:rsidTr="002B21F7">
        <w:trPr>
          <w:trHeight w:val="500"/>
        </w:trPr>
        <w:tc>
          <w:tcPr>
            <w:tcW w:w="3955" w:type="dxa"/>
            <w:vMerge/>
          </w:tcPr>
          <w:p w:rsidR="004553CE" w:rsidRPr="00BD21B8" w:rsidRDefault="004553CE" w:rsidP="00EA4977">
            <w:pPr>
              <w:rPr>
                <w:sz w:val="20"/>
              </w:rPr>
            </w:pPr>
          </w:p>
        </w:tc>
        <w:tc>
          <w:tcPr>
            <w:tcW w:w="2435" w:type="dxa"/>
            <w:vAlign w:val="center"/>
          </w:tcPr>
          <w:p w:rsidR="004553CE" w:rsidRPr="00535E48" w:rsidRDefault="00BD21B8" w:rsidP="00EA4977">
            <w:pPr>
              <w:jc w:val="center"/>
              <w:rPr>
                <w:sz w:val="20"/>
              </w:rPr>
            </w:pPr>
            <w:r w:rsidRPr="00535E48">
              <w:rPr>
                <w:sz w:val="20"/>
              </w:rPr>
              <w:t>181</w:t>
            </w:r>
          </w:p>
        </w:tc>
        <w:tc>
          <w:tcPr>
            <w:tcW w:w="2160" w:type="dxa"/>
            <w:vAlign w:val="center"/>
          </w:tcPr>
          <w:p w:rsidR="004553CE" w:rsidRPr="00535E48" w:rsidRDefault="00BD21B8" w:rsidP="00EA4977">
            <w:pPr>
              <w:jc w:val="center"/>
              <w:rPr>
                <w:sz w:val="20"/>
              </w:rPr>
            </w:pPr>
            <w:r w:rsidRPr="00535E48">
              <w:rPr>
                <w:sz w:val="20"/>
              </w:rPr>
              <w:t>123</w:t>
            </w:r>
          </w:p>
        </w:tc>
        <w:tc>
          <w:tcPr>
            <w:tcW w:w="2160" w:type="dxa"/>
            <w:vAlign w:val="center"/>
          </w:tcPr>
          <w:p w:rsidR="004553CE" w:rsidRPr="00535E48" w:rsidRDefault="00BD21B8" w:rsidP="00EA4977">
            <w:pPr>
              <w:jc w:val="center"/>
              <w:rPr>
                <w:sz w:val="20"/>
              </w:rPr>
            </w:pPr>
            <w:r w:rsidRPr="00535E48">
              <w:rPr>
                <w:sz w:val="20"/>
              </w:rPr>
              <w:t>5</w:t>
            </w:r>
          </w:p>
        </w:tc>
        <w:tc>
          <w:tcPr>
            <w:tcW w:w="2340" w:type="dxa"/>
            <w:vAlign w:val="center"/>
          </w:tcPr>
          <w:p w:rsidR="004553CE" w:rsidRPr="00535E48" w:rsidRDefault="00BD21B8" w:rsidP="00EA4977">
            <w:pPr>
              <w:jc w:val="center"/>
              <w:rPr>
                <w:sz w:val="20"/>
              </w:rPr>
            </w:pPr>
            <w:r w:rsidRPr="00535E48">
              <w:rPr>
                <w:sz w:val="20"/>
              </w:rPr>
              <w:t>1</w:t>
            </w:r>
          </w:p>
        </w:tc>
        <w:tc>
          <w:tcPr>
            <w:tcW w:w="1546" w:type="dxa"/>
            <w:vAlign w:val="center"/>
          </w:tcPr>
          <w:p w:rsidR="004553CE" w:rsidRPr="00535E48" w:rsidRDefault="00BD21B8" w:rsidP="00EA4977">
            <w:pPr>
              <w:jc w:val="center"/>
              <w:rPr>
                <w:sz w:val="20"/>
              </w:rPr>
            </w:pPr>
            <w:r w:rsidRPr="00535E48">
              <w:rPr>
                <w:sz w:val="20"/>
              </w:rPr>
              <w:t>0</w:t>
            </w:r>
          </w:p>
        </w:tc>
      </w:tr>
      <w:tr w:rsidR="004553CE" w:rsidRPr="00BD21B8" w:rsidTr="002B21F7">
        <w:trPr>
          <w:trHeight w:val="389"/>
        </w:trPr>
        <w:tc>
          <w:tcPr>
            <w:tcW w:w="3955" w:type="dxa"/>
            <w:vMerge w:val="restart"/>
          </w:tcPr>
          <w:p w:rsidR="004553CE" w:rsidRPr="00BD21B8" w:rsidRDefault="002B21F7" w:rsidP="00EA4977">
            <w:pPr>
              <w:rPr>
                <w:sz w:val="20"/>
              </w:rPr>
            </w:pPr>
            <w:r>
              <w:rPr>
                <w:sz w:val="20"/>
              </w:rPr>
              <w:t>3</w:t>
            </w:r>
            <w:r w:rsidR="004553CE" w:rsidRPr="00BD21B8">
              <w:rPr>
                <w:sz w:val="20"/>
              </w:rPr>
              <w:t>. Would you recommend other colleagues to attend, if a similar event is organ</w:t>
            </w:r>
            <w:bookmarkStart w:id="6" w:name="_GoBack"/>
            <w:bookmarkEnd w:id="6"/>
            <w:r w:rsidR="004553CE" w:rsidRPr="00BD21B8">
              <w:rPr>
                <w:sz w:val="20"/>
              </w:rPr>
              <w:t xml:space="preserve">ized in the future? </w:t>
            </w:r>
          </w:p>
        </w:tc>
        <w:tc>
          <w:tcPr>
            <w:tcW w:w="2435"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Extremely likely</w:t>
            </w:r>
          </w:p>
        </w:tc>
        <w:tc>
          <w:tcPr>
            <w:tcW w:w="2160"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Likely</w:t>
            </w:r>
          </w:p>
        </w:tc>
        <w:tc>
          <w:tcPr>
            <w:tcW w:w="2160"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Not Sure</w:t>
            </w:r>
          </w:p>
        </w:tc>
        <w:tc>
          <w:tcPr>
            <w:tcW w:w="2340"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Unlikely</w:t>
            </w:r>
          </w:p>
        </w:tc>
        <w:tc>
          <w:tcPr>
            <w:tcW w:w="1546"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Extremely Unlikely</w:t>
            </w:r>
          </w:p>
        </w:tc>
      </w:tr>
      <w:tr w:rsidR="004553CE" w:rsidRPr="00BD21B8" w:rsidTr="002B21F7">
        <w:trPr>
          <w:trHeight w:val="477"/>
        </w:trPr>
        <w:tc>
          <w:tcPr>
            <w:tcW w:w="3955" w:type="dxa"/>
            <w:vMerge/>
          </w:tcPr>
          <w:p w:rsidR="004553CE" w:rsidRPr="00BD21B8" w:rsidRDefault="004553CE" w:rsidP="00EA4977">
            <w:pPr>
              <w:rPr>
                <w:sz w:val="20"/>
              </w:rPr>
            </w:pPr>
          </w:p>
        </w:tc>
        <w:tc>
          <w:tcPr>
            <w:tcW w:w="2435" w:type="dxa"/>
            <w:vAlign w:val="center"/>
          </w:tcPr>
          <w:p w:rsidR="004553CE" w:rsidRPr="00535E48" w:rsidRDefault="00BD21B8" w:rsidP="00EA4977">
            <w:pPr>
              <w:jc w:val="center"/>
              <w:rPr>
                <w:sz w:val="20"/>
              </w:rPr>
            </w:pPr>
            <w:r w:rsidRPr="00535E48">
              <w:rPr>
                <w:sz w:val="20"/>
              </w:rPr>
              <w:t>200</w:t>
            </w:r>
          </w:p>
        </w:tc>
        <w:tc>
          <w:tcPr>
            <w:tcW w:w="2160" w:type="dxa"/>
            <w:vAlign w:val="center"/>
          </w:tcPr>
          <w:p w:rsidR="004553CE" w:rsidRPr="00535E48" w:rsidRDefault="00BD21B8" w:rsidP="00EA4977">
            <w:pPr>
              <w:jc w:val="center"/>
              <w:rPr>
                <w:sz w:val="20"/>
              </w:rPr>
            </w:pPr>
            <w:r w:rsidRPr="00535E48">
              <w:rPr>
                <w:sz w:val="20"/>
              </w:rPr>
              <w:t>106</w:t>
            </w:r>
          </w:p>
        </w:tc>
        <w:tc>
          <w:tcPr>
            <w:tcW w:w="2160" w:type="dxa"/>
            <w:vAlign w:val="center"/>
          </w:tcPr>
          <w:p w:rsidR="004553CE" w:rsidRPr="00535E48" w:rsidRDefault="00BD21B8" w:rsidP="00EA4977">
            <w:pPr>
              <w:jc w:val="center"/>
              <w:rPr>
                <w:sz w:val="20"/>
              </w:rPr>
            </w:pPr>
            <w:r w:rsidRPr="00535E48">
              <w:rPr>
                <w:sz w:val="20"/>
              </w:rPr>
              <w:t>4</w:t>
            </w:r>
          </w:p>
        </w:tc>
        <w:tc>
          <w:tcPr>
            <w:tcW w:w="2340" w:type="dxa"/>
            <w:vAlign w:val="center"/>
          </w:tcPr>
          <w:p w:rsidR="004553CE" w:rsidRPr="00535E48" w:rsidRDefault="00BD21B8" w:rsidP="00EA4977">
            <w:pPr>
              <w:jc w:val="center"/>
              <w:rPr>
                <w:sz w:val="20"/>
              </w:rPr>
            </w:pPr>
            <w:r w:rsidRPr="00535E48">
              <w:rPr>
                <w:sz w:val="20"/>
              </w:rPr>
              <w:t>0</w:t>
            </w:r>
          </w:p>
        </w:tc>
        <w:tc>
          <w:tcPr>
            <w:tcW w:w="1546" w:type="dxa"/>
            <w:vAlign w:val="center"/>
          </w:tcPr>
          <w:p w:rsidR="004553CE" w:rsidRPr="00535E48" w:rsidRDefault="00BD21B8" w:rsidP="00EA4977">
            <w:pPr>
              <w:jc w:val="center"/>
              <w:rPr>
                <w:sz w:val="20"/>
              </w:rPr>
            </w:pPr>
            <w:r w:rsidRPr="00535E48">
              <w:rPr>
                <w:sz w:val="20"/>
              </w:rPr>
              <w:t>0</w:t>
            </w:r>
          </w:p>
        </w:tc>
      </w:tr>
      <w:tr w:rsidR="004553CE" w:rsidRPr="00BD21B8" w:rsidTr="002B21F7">
        <w:trPr>
          <w:trHeight w:val="318"/>
        </w:trPr>
        <w:tc>
          <w:tcPr>
            <w:tcW w:w="3955" w:type="dxa"/>
            <w:vMerge w:val="restart"/>
          </w:tcPr>
          <w:p w:rsidR="004553CE" w:rsidRPr="00BD21B8" w:rsidRDefault="002B21F7" w:rsidP="00EA4977">
            <w:pPr>
              <w:rPr>
                <w:sz w:val="20"/>
              </w:rPr>
            </w:pPr>
            <w:r>
              <w:rPr>
                <w:sz w:val="20"/>
              </w:rPr>
              <w:t>4</w:t>
            </w:r>
            <w:r w:rsidR="004553CE" w:rsidRPr="00BD21B8">
              <w:rPr>
                <w:sz w:val="20"/>
              </w:rPr>
              <w:t>. How did you hear about the Conference</w:t>
            </w:r>
          </w:p>
        </w:tc>
        <w:tc>
          <w:tcPr>
            <w:tcW w:w="2435"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WIPO Website</w:t>
            </w:r>
          </w:p>
        </w:tc>
        <w:tc>
          <w:tcPr>
            <w:tcW w:w="2160"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Social Media</w:t>
            </w:r>
          </w:p>
        </w:tc>
        <w:tc>
          <w:tcPr>
            <w:tcW w:w="2160" w:type="dxa"/>
            <w:shd w:val="clear" w:color="auto" w:fill="BFBFBF" w:themeFill="background1" w:themeFillShade="BF"/>
            <w:vAlign w:val="center"/>
          </w:tcPr>
          <w:p w:rsidR="004553CE" w:rsidRPr="00BD21B8" w:rsidRDefault="00BD21B8" w:rsidP="00BD21B8">
            <w:pPr>
              <w:jc w:val="center"/>
              <w:rPr>
                <w:b/>
                <w:sz w:val="20"/>
              </w:rPr>
            </w:pPr>
            <w:r w:rsidRPr="00BD21B8">
              <w:rPr>
                <w:b/>
                <w:sz w:val="20"/>
              </w:rPr>
              <w:t>E-mail/newsletters</w:t>
            </w:r>
          </w:p>
        </w:tc>
        <w:tc>
          <w:tcPr>
            <w:tcW w:w="2340"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Colleagues</w:t>
            </w:r>
          </w:p>
        </w:tc>
        <w:tc>
          <w:tcPr>
            <w:tcW w:w="1546" w:type="dxa"/>
            <w:shd w:val="clear" w:color="auto" w:fill="BFBFBF" w:themeFill="background1" w:themeFillShade="BF"/>
            <w:vAlign w:val="center"/>
          </w:tcPr>
          <w:p w:rsidR="004553CE" w:rsidRPr="00BD21B8" w:rsidRDefault="004553CE" w:rsidP="00EA4977">
            <w:pPr>
              <w:jc w:val="center"/>
              <w:rPr>
                <w:b/>
                <w:sz w:val="20"/>
              </w:rPr>
            </w:pPr>
            <w:r w:rsidRPr="00BD21B8">
              <w:rPr>
                <w:b/>
                <w:sz w:val="20"/>
              </w:rPr>
              <w:t>Others</w:t>
            </w:r>
          </w:p>
        </w:tc>
      </w:tr>
      <w:tr w:rsidR="004553CE" w:rsidRPr="00BD21B8" w:rsidTr="002B21F7">
        <w:trPr>
          <w:trHeight w:val="597"/>
        </w:trPr>
        <w:tc>
          <w:tcPr>
            <w:tcW w:w="3955" w:type="dxa"/>
            <w:vMerge/>
          </w:tcPr>
          <w:p w:rsidR="004553CE" w:rsidRPr="00BD21B8" w:rsidRDefault="004553CE" w:rsidP="00EA4977">
            <w:pPr>
              <w:rPr>
                <w:sz w:val="20"/>
              </w:rPr>
            </w:pPr>
          </w:p>
        </w:tc>
        <w:tc>
          <w:tcPr>
            <w:tcW w:w="2435" w:type="dxa"/>
            <w:vAlign w:val="center"/>
          </w:tcPr>
          <w:p w:rsidR="004553CE" w:rsidRPr="00BD21B8" w:rsidRDefault="00BD21B8" w:rsidP="00EA4977">
            <w:pPr>
              <w:jc w:val="center"/>
              <w:rPr>
                <w:sz w:val="20"/>
              </w:rPr>
            </w:pPr>
            <w:r w:rsidRPr="00BD21B8">
              <w:rPr>
                <w:sz w:val="20"/>
              </w:rPr>
              <w:t>74</w:t>
            </w:r>
          </w:p>
        </w:tc>
        <w:tc>
          <w:tcPr>
            <w:tcW w:w="2160" w:type="dxa"/>
            <w:vAlign w:val="center"/>
          </w:tcPr>
          <w:p w:rsidR="004553CE" w:rsidRPr="00BD21B8" w:rsidRDefault="00BD21B8" w:rsidP="00EA4977">
            <w:pPr>
              <w:jc w:val="center"/>
              <w:rPr>
                <w:sz w:val="20"/>
              </w:rPr>
            </w:pPr>
            <w:r w:rsidRPr="00BD21B8">
              <w:rPr>
                <w:sz w:val="20"/>
              </w:rPr>
              <w:t>21</w:t>
            </w:r>
          </w:p>
        </w:tc>
        <w:tc>
          <w:tcPr>
            <w:tcW w:w="2160" w:type="dxa"/>
            <w:vAlign w:val="center"/>
          </w:tcPr>
          <w:p w:rsidR="004553CE" w:rsidRPr="00BD21B8" w:rsidRDefault="00BD21B8" w:rsidP="00EA4977">
            <w:pPr>
              <w:jc w:val="center"/>
              <w:rPr>
                <w:sz w:val="20"/>
              </w:rPr>
            </w:pPr>
            <w:r w:rsidRPr="00BD21B8">
              <w:rPr>
                <w:sz w:val="20"/>
              </w:rPr>
              <w:t>187</w:t>
            </w:r>
          </w:p>
        </w:tc>
        <w:tc>
          <w:tcPr>
            <w:tcW w:w="2340" w:type="dxa"/>
            <w:vAlign w:val="center"/>
          </w:tcPr>
          <w:p w:rsidR="004553CE" w:rsidRPr="00BD21B8" w:rsidRDefault="00BD21B8" w:rsidP="00EA4977">
            <w:pPr>
              <w:jc w:val="center"/>
              <w:rPr>
                <w:sz w:val="20"/>
              </w:rPr>
            </w:pPr>
            <w:r w:rsidRPr="00BD21B8">
              <w:rPr>
                <w:sz w:val="20"/>
              </w:rPr>
              <w:t>21</w:t>
            </w:r>
          </w:p>
        </w:tc>
        <w:tc>
          <w:tcPr>
            <w:tcW w:w="1546" w:type="dxa"/>
            <w:vAlign w:val="center"/>
          </w:tcPr>
          <w:p w:rsidR="004553CE" w:rsidRPr="00BD21B8" w:rsidRDefault="00BD21B8" w:rsidP="00EA4977">
            <w:pPr>
              <w:jc w:val="center"/>
              <w:rPr>
                <w:sz w:val="20"/>
              </w:rPr>
            </w:pPr>
            <w:r w:rsidRPr="00BD21B8">
              <w:rPr>
                <w:sz w:val="20"/>
              </w:rPr>
              <w:t>9</w:t>
            </w:r>
          </w:p>
        </w:tc>
      </w:tr>
    </w:tbl>
    <w:p w:rsidR="005B4A64" w:rsidRDefault="005B4A64" w:rsidP="004553CE"/>
    <w:p w:rsidR="005B4A64" w:rsidRDefault="005B4A64" w:rsidP="005B4A64">
      <w:pPr>
        <w:ind w:left="9072"/>
      </w:pPr>
      <w:r>
        <w:t>[End of Annex and of document]</w:t>
      </w:r>
    </w:p>
    <w:sectPr w:rsidR="005B4A64" w:rsidSect="00205D30">
      <w:headerReference w:type="default" r:id="rId26"/>
      <w:headerReference w:type="first" r:id="rId27"/>
      <w:endnotePr>
        <w:numFmt w:val="decimal"/>
      </w:endnotePr>
      <w:pgSz w:w="16840" w:h="11907" w:orient="landscape" w:code="9"/>
      <w:pgMar w:top="1560" w:right="1105"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5B" w:rsidRDefault="00402D5B">
      <w:r>
        <w:separator/>
      </w:r>
    </w:p>
  </w:endnote>
  <w:endnote w:type="continuationSeparator" w:id="0">
    <w:p w:rsidR="00402D5B" w:rsidRDefault="00402D5B" w:rsidP="003B38C1">
      <w:r>
        <w:separator/>
      </w:r>
    </w:p>
    <w:p w:rsidR="00402D5B" w:rsidRPr="003B38C1" w:rsidRDefault="00402D5B" w:rsidP="003B38C1">
      <w:pPr>
        <w:spacing w:after="60"/>
        <w:rPr>
          <w:sz w:val="17"/>
        </w:rPr>
      </w:pPr>
      <w:r>
        <w:rPr>
          <w:sz w:val="17"/>
        </w:rPr>
        <w:t>[Endnote continued from previous page]</w:t>
      </w:r>
    </w:p>
  </w:endnote>
  <w:endnote w:type="continuationNotice" w:id="1">
    <w:p w:rsidR="00402D5B" w:rsidRPr="003B38C1" w:rsidRDefault="00402D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91" w:rsidRDefault="00016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91" w:rsidRDefault="00016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91" w:rsidRDefault="0001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5B" w:rsidRDefault="00402D5B">
      <w:r>
        <w:separator/>
      </w:r>
    </w:p>
  </w:footnote>
  <w:footnote w:type="continuationSeparator" w:id="0">
    <w:p w:rsidR="00402D5B" w:rsidRDefault="00402D5B" w:rsidP="008B60B2">
      <w:r>
        <w:separator/>
      </w:r>
    </w:p>
    <w:p w:rsidR="00402D5B" w:rsidRPr="00ED77FB" w:rsidRDefault="00402D5B" w:rsidP="008B60B2">
      <w:pPr>
        <w:spacing w:after="60"/>
        <w:rPr>
          <w:sz w:val="17"/>
          <w:szCs w:val="17"/>
        </w:rPr>
      </w:pPr>
      <w:r w:rsidRPr="00ED77FB">
        <w:rPr>
          <w:sz w:val="17"/>
          <w:szCs w:val="17"/>
        </w:rPr>
        <w:t>[Footnote continued from previous page]</w:t>
      </w:r>
    </w:p>
  </w:footnote>
  <w:footnote w:type="continuationNotice" w:id="1">
    <w:p w:rsidR="00402D5B" w:rsidRPr="00ED77FB" w:rsidRDefault="00402D5B" w:rsidP="008B60B2">
      <w:pPr>
        <w:spacing w:before="60"/>
        <w:jc w:val="right"/>
        <w:rPr>
          <w:sz w:val="17"/>
          <w:szCs w:val="17"/>
        </w:rPr>
      </w:pPr>
      <w:r w:rsidRPr="00ED77FB">
        <w:rPr>
          <w:sz w:val="17"/>
          <w:szCs w:val="17"/>
        </w:rPr>
        <w:t>[Footnote continued on next page]</w:t>
      </w:r>
    </w:p>
  </w:footnote>
  <w:footnote w:id="2">
    <w:p w:rsidR="00EA4977" w:rsidRPr="00B234AD" w:rsidRDefault="00EA4977">
      <w:pPr>
        <w:pStyle w:val="FootnoteText"/>
      </w:pPr>
      <w:r>
        <w:rPr>
          <w:rStyle w:val="FootnoteReference"/>
        </w:rPr>
        <w:footnoteRef/>
      </w:r>
      <w:r>
        <w:t xml:space="preserve"> </w:t>
      </w:r>
      <w:r w:rsidRPr="00B234AD">
        <w:t xml:space="preserve">Paragraph 8.1. of the </w:t>
      </w:r>
      <w:hyperlink r:id="rId1" w:history="1">
        <w:r w:rsidRPr="00B234AD">
          <w:rPr>
            <w:rStyle w:val="Hyperlink"/>
          </w:rPr>
          <w:t>Summary by the Chair of CDIP/22</w:t>
        </w:r>
      </w:hyperlink>
      <w:r w:rsidRPr="00B234AD">
        <w:t>.</w:t>
      </w:r>
    </w:p>
  </w:footnote>
  <w:footnote w:id="3">
    <w:p w:rsidR="00EA4977" w:rsidRPr="00024D11" w:rsidRDefault="00EA4977">
      <w:pPr>
        <w:pStyle w:val="FootnoteText"/>
      </w:pPr>
      <w:r>
        <w:rPr>
          <w:rStyle w:val="FootnoteReference"/>
        </w:rPr>
        <w:footnoteRef/>
      </w:r>
      <w:r>
        <w:t xml:space="preserve"> </w:t>
      </w:r>
      <w:r w:rsidRPr="004B581F">
        <w:t>The theme of the Conference was decided by the Committee at its 24</w:t>
      </w:r>
      <w:r w:rsidRPr="009D09A2">
        <w:rPr>
          <w:vertAlign w:val="superscript"/>
        </w:rPr>
        <w:t>th</w:t>
      </w:r>
      <w:r w:rsidRPr="004B581F">
        <w:t xml:space="preserve"> session (</w:t>
      </w:r>
      <w:r>
        <w:t xml:space="preserve">paragraph 8.5 of the </w:t>
      </w:r>
      <w:hyperlink r:id="rId2" w:history="1">
        <w:r w:rsidRPr="004B581F">
          <w:rPr>
            <w:rStyle w:val="Hyperlink"/>
          </w:rPr>
          <w:t>Summary by the Chair</w:t>
        </w:r>
      </w:hyperlink>
      <w:r w:rsidRPr="004B581F">
        <w:t>).</w:t>
      </w:r>
    </w:p>
  </w:footnote>
  <w:footnote w:id="4">
    <w:p w:rsidR="001E13F1" w:rsidRPr="001E13F1" w:rsidRDefault="001E13F1">
      <w:pPr>
        <w:pStyle w:val="FootnoteText"/>
      </w:pPr>
      <w:r>
        <w:rPr>
          <w:rStyle w:val="FootnoteReference"/>
        </w:rPr>
        <w:footnoteRef/>
      </w:r>
      <w:r>
        <w:t xml:space="preserve"> Para. 8.1 </w:t>
      </w:r>
      <w:proofErr w:type="gramStart"/>
      <w:r>
        <w:t>of</w:t>
      </w:r>
      <w:proofErr w:type="gramEnd"/>
      <w:r>
        <w:t xml:space="preserve"> the </w:t>
      </w:r>
      <w:hyperlink r:id="rId3" w:history="1">
        <w:r w:rsidRPr="001E13F1">
          <w:rPr>
            <w:rStyle w:val="Hyperlink"/>
          </w:rPr>
          <w:t>Summary by the Chair of CDIP/22</w:t>
        </w:r>
      </w:hyperlink>
      <w:r>
        <w:t>.</w:t>
      </w:r>
    </w:p>
  </w:footnote>
  <w:footnote w:id="5">
    <w:p w:rsidR="00EA4977" w:rsidRPr="00B61324" w:rsidRDefault="00EA4977">
      <w:pPr>
        <w:pStyle w:val="FootnoteText"/>
      </w:pPr>
      <w:r>
        <w:rPr>
          <w:rStyle w:val="FootnoteReference"/>
        </w:rPr>
        <w:footnoteRef/>
      </w:r>
      <w:r>
        <w:t xml:space="preserve"> These</w:t>
      </w:r>
      <w:r w:rsidRPr="00B61324">
        <w:t xml:space="preserve"> guidelines were included in the </w:t>
      </w:r>
      <w:r>
        <w:t xml:space="preserve">original </w:t>
      </w:r>
      <w:r w:rsidRPr="00B61324">
        <w:t>proposal of the African Group (</w:t>
      </w:r>
      <w:hyperlink r:id="rId4" w:history="1">
        <w:r w:rsidRPr="00B61324">
          <w:rPr>
            <w:rStyle w:val="Hyperlink"/>
          </w:rPr>
          <w:t>CDIP/20/8</w:t>
        </w:r>
      </w:hyperlink>
      <w:r w:rsidRPr="00B61324">
        <w:t>)</w:t>
      </w:r>
      <w:r>
        <w:t xml:space="preserve"> which led to the Committee’s decision to hold three biennial Conferences. </w:t>
      </w:r>
    </w:p>
  </w:footnote>
  <w:footnote w:id="6">
    <w:p w:rsidR="0026110D" w:rsidRPr="0026110D" w:rsidRDefault="0026110D">
      <w:pPr>
        <w:pStyle w:val="FootnoteText"/>
      </w:pPr>
      <w:r>
        <w:rPr>
          <w:rStyle w:val="FootnoteReference"/>
        </w:rPr>
        <w:footnoteRef/>
      </w:r>
      <w:r>
        <w:t xml:space="preserve"> </w:t>
      </w:r>
      <w:r w:rsidRPr="0026110D">
        <w:t>A commission that brings together business and leading academics in the United Kingdom to identify how pol</w:t>
      </w:r>
      <w:r>
        <w:t>i</w:t>
      </w:r>
      <w:r w:rsidRPr="0026110D">
        <w:t>cy can better support green innovation and reward innovators, entrepreneurs and investors.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91" w:rsidRDefault="00016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77" w:rsidRPr="002326AB" w:rsidRDefault="00EA4977" w:rsidP="00477D6B">
    <w:pPr>
      <w:jc w:val="right"/>
      <w:rPr>
        <w:caps/>
      </w:rPr>
    </w:pPr>
    <w:bookmarkStart w:id="5" w:name="Code2"/>
    <w:bookmarkEnd w:id="5"/>
    <w:r>
      <w:rPr>
        <w:caps/>
      </w:rPr>
      <w:t>CDIP/28/</w:t>
    </w:r>
    <w:r w:rsidR="00CA51F7">
      <w:rPr>
        <w:caps/>
      </w:rPr>
      <w:t>3</w:t>
    </w:r>
  </w:p>
  <w:p w:rsidR="0087026F" w:rsidRDefault="0087026F" w:rsidP="0087026F">
    <w:pPr>
      <w:pStyle w:val="Header"/>
      <w:jc w:val="right"/>
    </w:pPr>
    <w:r>
      <w:t xml:space="preserve">page </w:t>
    </w:r>
    <w:r>
      <w:fldChar w:fldCharType="begin"/>
    </w:r>
    <w:r>
      <w:instrText xml:space="preserve"> PAGE   \* MERGEFORMAT </w:instrText>
    </w:r>
    <w:r>
      <w:fldChar w:fldCharType="separate"/>
    </w:r>
    <w:r w:rsidR="00BC6AFE">
      <w:rPr>
        <w:noProof/>
      </w:rPr>
      <w:t>6</w:t>
    </w:r>
    <w:r>
      <w:fldChar w:fldCharType="end"/>
    </w:r>
  </w:p>
  <w:p w:rsidR="00EA4977" w:rsidRDefault="00EA4977" w:rsidP="00477D6B">
    <w:pPr>
      <w:jc w:val="right"/>
    </w:pPr>
  </w:p>
  <w:p w:rsidR="00EA4977" w:rsidRDefault="00EA497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91" w:rsidRDefault="000163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6F" w:rsidRPr="002326AB" w:rsidRDefault="0087026F" w:rsidP="00477D6B">
    <w:pPr>
      <w:jc w:val="right"/>
      <w:rPr>
        <w:caps/>
      </w:rPr>
    </w:pPr>
    <w:r>
      <w:rPr>
        <w:caps/>
      </w:rPr>
      <w:t>CDIP/28/3</w:t>
    </w:r>
  </w:p>
  <w:p w:rsidR="0087026F" w:rsidRPr="00382EFB" w:rsidRDefault="0087026F" w:rsidP="0087026F">
    <w:pPr>
      <w:jc w:val="right"/>
    </w:pPr>
    <w:r w:rsidRPr="00382EFB">
      <w:t xml:space="preserve">Annex, page </w:t>
    </w:r>
    <w:r>
      <w:t>2</w:t>
    </w:r>
  </w:p>
  <w:p w:rsidR="0087026F" w:rsidRDefault="0087026F" w:rsidP="00477D6B">
    <w:pPr>
      <w:jc w:val="right"/>
    </w:pPr>
  </w:p>
  <w:p w:rsidR="0087026F" w:rsidRDefault="0087026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6F" w:rsidRDefault="0087026F" w:rsidP="0087026F">
    <w:pPr>
      <w:jc w:val="right"/>
      <w:rPr>
        <w:caps/>
      </w:rPr>
    </w:pPr>
    <w:r>
      <w:rPr>
        <w:caps/>
      </w:rPr>
      <w:t>CDIP/28/3</w:t>
    </w:r>
  </w:p>
  <w:p w:rsidR="0087026F" w:rsidRPr="00382EFB" w:rsidRDefault="00367774" w:rsidP="0087026F">
    <w:pPr>
      <w:jc w:val="right"/>
    </w:pPr>
    <w:r>
      <w:t>ANNEX</w:t>
    </w:r>
  </w:p>
  <w:p w:rsidR="0087026F" w:rsidRPr="002326AB" w:rsidRDefault="0087026F" w:rsidP="0087026F">
    <w:pPr>
      <w:jc w:val="right"/>
      <w:rPr>
        <w:caps/>
      </w:rPr>
    </w:pPr>
  </w:p>
  <w:p w:rsidR="0087026F" w:rsidRDefault="00870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E1285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9A60B6"/>
    <w:multiLevelType w:val="hybridMultilevel"/>
    <w:tmpl w:val="9F62F34E"/>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96F34"/>
    <w:multiLevelType w:val="hybridMultilevel"/>
    <w:tmpl w:val="D5080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9"/>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44"/>
    <w:rsid w:val="00016391"/>
    <w:rsid w:val="00024D11"/>
    <w:rsid w:val="0003416B"/>
    <w:rsid w:val="0003656D"/>
    <w:rsid w:val="00040152"/>
    <w:rsid w:val="000433CD"/>
    <w:rsid w:val="00043CAA"/>
    <w:rsid w:val="00056816"/>
    <w:rsid w:val="0007097A"/>
    <w:rsid w:val="0007217A"/>
    <w:rsid w:val="00075432"/>
    <w:rsid w:val="00091484"/>
    <w:rsid w:val="000961B2"/>
    <w:rsid w:val="000968ED"/>
    <w:rsid w:val="000A2618"/>
    <w:rsid w:val="000A3D97"/>
    <w:rsid w:val="000A5FA9"/>
    <w:rsid w:val="000B25F1"/>
    <w:rsid w:val="000B2E03"/>
    <w:rsid w:val="000B317A"/>
    <w:rsid w:val="000C2712"/>
    <w:rsid w:val="000C3243"/>
    <w:rsid w:val="000D4ABD"/>
    <w:rsid w:val="000F304B"/>
    <w:rsid w:val="000F3D73"/>
    <w:rsid w:val="000F5849"/>
    <w:rsid w:val="000F5E56"/>
    <w:rsid w:val="000F74D7"/>
    <w:rsid w:val="001032FC"/>
    <w:rsid w:val="00113D39"/>
    <w:rsid w:val="001274CA"/>
    <w:rsid w:val="00130931"/>
    <w:rsid w:val="001362EE"/>
    <w:rsid w:val="0015137A"/>
    <w:rsid w:val="00161069"/>
    <w:rsid w:val="001647D5"/>
    <w:rsid w:val="00167A31"/>
    <w:rsid w:val="00173C37"/>
    <w:rsid w:val="001832A6"/>
    <w:rsid w:val="00197F31"/>
    <w:rsid w:val="001A6C73"/>
    <w:rsid w:val="001A7246"/>
    <w:rsid w:val="001B2831"/>
    <w:rsid w:val="001B60CB"/>
    <w:rsid w:val="001C193D"/>
    <w:rsid w:val="001D4107"/>
    <w:rsid w:val="001E13F1"/>
    <w:rsid w:val="001F5900"/>
    <w:rsid w:val="00203D24"/>
    <w:rsid w:val="00205D30"/>
    <w:rsid w:val="00211BB5"/>
    <w:rsid w:val="0021217E"/>
    <w:rsid w:val="002311A5"/>
    <w:rsid w:val="002326AB"/>
    <w:rsid w:val="00243161"/>
    <w:rsid w:val="00243430"/>
    <w:rsid w:val="0024747E"/>
    <w:rsid w:val="00254918"/>
    <w:rsid w:val="0026110D"/>
    <w:rsid w:val="002634C4"/>
    <w:rsid w:val="00267B17"/>
    <w:rsid w:val="00271414"/>
    <w:rsid w:val="002715CE"/>
    <w:rsid w:val="002872B8"/>
    <w:rsid w:val="002928D3"/>
    <w:rsid w:val="002A29F6"/>
    <w:rsid w:val="002B21F7"/>
    <w:rsid w:val="002B751D"/>
    <w:rsid w:val="002C20C3"/>
    <w:rsid w:val="002E365B"/>
    <w:rsid w:val="002E679B"/>
    <w:rsid w:val="002E70B0"/>
    <w:rsid w:val="002F1FE6"/>
    <w:rsid w:val="002F4E68"/>
    <w:rsid w:val="002F5518"/>
    <w:rsid w:val="002F7B08"/>
    <w:rsid w:val="0030420C"/>
    <w:rsid w:val="00305C2B"/>
    <w:rsid w:val="0031288B"/>
    <w:rsid w:val="00312F7F"/>
    <w:rsid w:val="003178B0"/>
    <w:rsid w:val="00320CF0"/>
    <w:rsid w:val="00325C54"/>
    <w:rsid w:val="00333EAA"/>
    <w:rsid w:val="003353E3"/>
    <w:rsid w:val="003411F3"/>
    <w:rsid w:val="00341E78"/>
    <w:rsid w:val="0035737A"/>
    <w:rsid w:val="00361013"/>
    <w:rsid w:val="00361450"/>
    <w:rsid w:val="003673CF"/>
    <w:rsid w:val="00367774"/>
    <w:rsid w:val="0036795F"/>
    <w:rsid w:val="00377062"/>
    <w:rsid w:val="003845C1"/>
    <w:rsid w:val="00386B48"/>
    <w:rsid w:val="003951EB"/>
    <w:rsid w:val="003969BD"/>
    <w:rsid w:val="003A6F89"/>
    <w:rsid w:val="003B38C1"/>
    <w:rsid w:val="003B4239"/>
    <w:rsid w:val="003B7C8C"/>
    <w:rsid w:val="003C2ADB"/>
    <w:rsid w:val="003C34E9"/>
    <w:rsid w:val="003D2BD9"/>
    <w:rsid w:val="003D4857"/>
    <w:rsid w:val="003D5A4A"/>
    <w:rsid w:val="003E373D"/>
    <w:rsid w:val="003F620A"/>
    <w:rsid w:val="00402D5B"/>
    <w:rsid w:val="00421AA4"/>
    <w:rsid w:val="00423E3E"/>
    <w:rsid w:val="00427AF4"/>
    <w:rsid w:val="00445738"/>
    <w:rsid w:val="00446147"/>
    <w:rsid w:val="00446D14"/>
    <w:rsid w:val="00447D06"/>
    <w:rsid w:val="004553CE"/>
    <w:rsid w:val="004647DA"/>
    <w:rsid w:val="004710F4"/>
    <w:rsid w:val="00474062"/>
    <w:rsid w:val="00477D6B"/>
    <w:rsid w:val="00491DB1"/>
    <w:rsid w:val="00493C24"/>
    <w:rsid w:val="004A422B"/>
    <w:rsid w:val="004A4A87"/>
    <w:rsid w:val="004B0F9A"/>
    <w:rsid w:val="004B578F"/>
    <w:rsid w:val="004B581F"/>
    <w:rsid w:val="004B5FC3"/>
    <w:rsid w:val="004C0D6A"/>
    <w:rsid w:val="004C0F4F"/>
    <w:rsid w:val="004C5ABA"/>
    <w:rsid w:val="004D28C1"/>
    <w:rsid w:val="004D5047"/>
    <w:rsid w:val="004D7A57"/>
    <w:rsid w:val="004E4731"/>
    <w:rsid w:val="004F24C2"/>
    <w:rsid w:val="004F56BC"/>
    <w:rsid w:val="0050050C"/>
    <w:rsid w:val="005019FF"/>
    <w:rsid w:val="0050713A"/>
    <w:rsid w:val="0053057A"/>
    <w:rsid w:val="00532B71"/>
    <w:rsid w:val="00535E48"/>
    <w:rsid w:val="00536DE6"/>
    <w:rsid w:val="00543231"/>
    <w:rsid w:val="00545839"/>
    <w:rsid w:val="00556076"/>
    <w:rsid w:val="00560A29"/>
    <w:rsid w:val="00563C9E"/>
    <w:rsid w:val="00564F93"/>
    <w:rsid w:val="00571495"/>
    <w:rsid w:val="0057653D"/>
    <w:rsid w:val="00581C49"/>
    <w:rsid w:val="00582007"/>
    <w:rsid w:val="005A2810"/>
    <w:rsid w:val="005A427C"/>
    <w:rsid w:val="005A4A7D"/>
    <w:rsid w:val="005A7098"/>
    <w:rsid w:val="005B4A64"/>
    <w:rsid w:val="005B503E"/>
    <w:rsid w:val="005B52AD"/>
    <w:rsid w:val="005C4046"/>
    <w:rsid w:val="005C6649"/>
    <w:rsid w:val="005D4102"/>
    <w:rsid w:val="005D7BBE"/>
    <w:rsid w:val="005F11B6"/>
    <w:rsid w:val="005F608E"/>
    <w:rsid w:val="00600FE6"/>
    <w:rsid w:val="00605827"/>
    <w:rsid w:val="00611EBA"/>
    <w:rsid w:val="0061236D"/>
    <w:rsid w:val="006161D2"/>
    <w:rsid w:val="00620B9C"/>
    <w:rsid w:val="006221A9"/>
    <w:rsid w:val="006438FD"/>
    <w:rsid w:val="00646050"/>
    <w:rsid w:val="00654C07"/>
    <w:rsid w:val="00654F8F"/>
    <w:rsid w:val="00666C6E"/>
    <w:rsid w:val="006713CA"/>
    <w:rsid w:val="0067644C"/>
    <w:rsid w:val="00676C5C"/>
    <w:rsid w:val="00682C86"/>
    <w:rsid w:val="0069057A"/>
    <w:rsid w:val="006918D5"/>
    <w:rsid w:val="006933B2"/>
    <w:rsid w:val="006975D5"/>
    <w:rsid w:val="006C14AF"/>
    <w:rsid w:val="006C4A42"/>
    <w:rsid w:val="006E0D11"/>
    <w:rsid w:val="006E1336"/>
    <w:rsid w:val="00720EFD"/>
    <w:rsid w:val="00740AFA"/>
    <w:rsid w:val="00750303"/>
    <w:rsid w:val="007538FA"/>
    <w:rsid w:val="007550D1"/>
    <w:rsid w:val="00757F0D"/>
    <w:rsid w:val="0077010F"/>
    <w:rsid w:val="00773846"/>
    <w:rsid w:val="00773F46"/>
    <w:rsid w:val="00774892"/>
    <w:rsid w:val="00775EEE"/>
    <w:rsid w:val="00781827"/>
    <w:rsid w:val="007844CF"/>
    <w:rsid w:val="007854AF"/>
    <w:rsid w:val="00793A7C"/>
    <w:rsid w:val="00795EE0"/>
    <w:rsid w:val="0079695D"/>
    <w:rsid w:val="007A398A"/>
    <w:rsid w:val="007B74F8"/>
    <w:rsid w:val="007D012E"/>
    <w:rsid w:val="007D1613"/>
    <w:rsid w:val="007D1F15"/>
    <w:rsid w:val="007D58E6"/>
    <w:rsid w:val="007E09E2"/>
    <w:rsid w:val="007E4290"/>
    <w:rsid w:val="007E4C0E"/>
    <w:rsid w:val="007E69A3"/>
    <w:rsid w:val="007F4D3D"/>
    <w:rsid w:val="008009D6"/>
    <w:rsid w:val="00804061"/>
    <w:rsid w:val="00806D87"/>
    <w:rsid w:val="008146C5"/>
    <w:rsid w:val="008228AF"/>
    <w:rsid w:val="00824422"/>
    <w:rsid w:val="00841793"/>
    <w:rsid w:val="00850C00"/>
    <w:rsid w:val="008522B8"/>
    <w:rsid w:val="008534EF"/>
    <w:rsid w:val="008621DE"/>
    <w:rsid w:val="00863F0F"/>
    <w:rsid w:val="00865901"/>
    <w:rsid w:val="008663E2"/>
    <w:rsid w:val="0087026F"/>
    <w:rsid w:val="00883883"/>
    <w:rsid w:val="00890504"/>
    <w:rsid w:val="00890FE4"/>
    <w:rsid w:val="008930F0"/>
    <w:rsid w:val="008941F3"/>
    <w:rsid w:val="008A134B"/>
    <w:rsid w:val="008A1FFB"/>
    <w:rsid w:val="008A5043"/>
    <w:rsid w:val="008A5FF9"/>
    <w:rsid w:val="008B2069"/>
    <w:rsid w:val="008B2369"/>
    <w:rsid w:val="008B2CC1"/>
    <w:rsid w:val="008B60B2"/>
    <w:rsid w:val="008B6FFE"/>
    <w:rsid w:val="008D0734"/>
    <w:rsid w:val="008E2BD8"/>
    <w:rsid w:val="008F52F4"/>
    <w:rsid w:val="00902BA9"/>
    <w:rsid w:val="00903059"/>
    <w:rsid w:val="00905E79"/>
    <w:rsid w:val="0090731E"/>
    <w:rsid w:val="00913BC8"/>
    <w:rsid w:val="00916EE2"/>
    <w:rsid w:val="00923AE3"/>
    <w:rsid w:val="00932FA6"/>
    <w:rsid w:val="00941324"/>
    <w:rsid w:val="00947E4D"/>
    <w:rsid w:val="00964348"/>
    <w:rsid w:val="00964D75"/>
    <w:rsid w:val="00966A22"/>
    <w:rsid w:val="0096722F"/>
    <w:rsid w:val="0096787D"/>
    <w:rsid w:val="00980843"/>
    <w:rsid w:val="00986479"/>
    <w:rsid w:val="009B3E28"/>
    <w:rsid w:val="009C3E40"/>
    <w:rsid w:val="009D09A2"/>
    <w:rsid w:val="009D3FAE"/>
    <w:rsid w:val="009D504C"/>
    <w:rsid w:val="009E1624"/>
    <w:rsid w:val="009E194A"/>
    <w:rsid w:val="009E2278"/>
    <w:rsid w:val="009E2791"/>
    <w:rsid w:val="009E306E"/>
    <w:rsid w:val="009E3F6F"/>
    <w:rsid w:val="009E6A7D"/>
    <w:rsid w:val="009F499F"/>
    <w:rsid w:val="009F5023"/>
    <w:rsid w:val="009F7F32"/>
    <w:rsid w:val="00A025A4"/>
    <w:rsid w:val="00A37342"/>
    <w:rsid w:val="00A37705"/>
    <w:rsid w:val="00A40077"/>
    <w:rsid w:val="00A42DAF"/>
    <w:rsid w:val="00A45BD8"/>
    <w:rsid w:val="00A45F5B"/>
    <w:rsid w:val="00A5684A"/>
    <w:rsid w:val="00A73CAA"/>
    <w:rsid w:val="00A741D2"/>
    <w:rsid w:val="00A869B7"/>
    <w:rsid w:val="00A95647"/>
    <w:rsid w:val="00AA049F"/>
    <w:rsid w:val="00AA60A5"/>
    <w:rsid w:val="00AB3672"/>
    <w:rsid w:val="00AB5BB3"/>
    <w:rsid w:val="00AC205C"/>
    <w:rsid w:val="00AD03B4"/>
    <w:rsid w:val="00AF0010"/>
    <w:rsid w:val="00AF0A6B"/>
    <w:rsid w:val="00B05A69"/>
    <w:rsid w:val="00B14AD1"/>
    <w:rsid w:val="00B178BA"/>
    <w:rsid w:val="00B234AD"/>
    <w:rsid w:val="00B2370B"/>
    <w:rsid w:val="00B31C11"/>
    <w:rsid w:val="00B552D5"/>
    <w:rsid w:val="00B61324"/>
    <w:rsid w:val="00B63252"/>
    <w:rsid w:val="00B65C89"/>
    <w:rsid w:val="00B67DB8"/>
    <w:rsid w:val="00B7264E"/>
    <w:rsid w:val="00B75281"/>
    <w:rsid w:val="00B8588A"/>
    <w:rsid w:val="00B90B49"/>
    <w:rsid w:val="00B92F1F"/>
    <w:rsid w:val="00B9734B"/>
    <w:rsid w:val="00BA128F"/>
    <w:rsid w:val="00BA1F44"/>
    <w:rsid w:val="00BA30E2"/>
    <w:rsid w:val="00BC4FBA"/>
    <w:rsid w:val="00BC567D"/>
    <w:rsid w:val="00BC6AFE"/>
    <w:rsid w:val="00BD0C75"/>
    <w:rsid w:val="00BD21B8"/>
    <w:rsid w:val="00BD6744"/>
    <w:rsid w:val="00BF78E9"/>
    <w:rsid w:val="00C0383D"/>
    <w:rsid w:val="00C07EF8"/>
    <w:rsid w:val="00C11BFE"/>
    <w:rsid w:val="00C14469"/>
    <w:rsid w:val="00C146A5"/>
    <w:rsid w:val="00C201D3"/>
    <w:rsid w:val="00C206FE"/>
    <w:rsid w:val="00C23722"/>
    <w:rsid w:val="00C245C6"/>
    <w:rsid w:val="00C32153"/>
    <w:rsid w:val="00C4567E"/>
    <w:rsid w:val="00C4677B"/>
    <w:rsid w:val="00C4692A"/>
    <w:rsid w:val="00C5068F"/>
    <w:rsid w:val="00C53124"/>
    <w:rsid w:val="00C56C2D"/>
    <w:rsid w:val="00C63BAF"/>
    <w:rsid w:val="00C816D1"/>
    <w:rsid w:val="00C822CF"/>
    <w:rsid w:val="00C84A5D"/>
    <w:rsid w:val="00C86B49"/>
    <w:rsid w:val="00C86D74"/>
    <w:rsid w:val="00C904C7"/>
    <w:rsid w:val="00C90E1B"/>
    <w:rsid w:val="00CA1E01"/>
    <w:rsid w:val="00CA21DF"/>
    <w:rsid w:val="00CA51F7"/>
    <w:rsid w:val="00CB5604"/>
    <w:rsid w:val="00CC2294"/>
    <w:rsid w:val="00CD04C5"/>
    <w:rsid w:val="00CD04F1"/>
    <w:rsid w:val="00CD419F"/>
    <w:rsid w:val="00CD44A1"/>
    <w:rsid w:val="00CE0B44"/>
    <w:rsid w:val="00CE1A67"/>
    <w:rsid w:val="00CE1DBF"/>
    <w:rsid w:val="00CF0F1E"/>
    <w:rsid w:val="00CF681A"/>
    <w:rsid w:val="00CF6CC7"/>
    <w:rsid w:val="00D07C78"/>
    <w:rsid w:val="00D23470"/>
    <w:rsid w:val="00D356A8"/>
    <w:rsid w:val="00D36DD6"/>
    <w:rsid w:val="00D45252"/>
    <w:rsid w:val="00D67BFF"/>
    <w:rsid w:val="00D71B4D"/>
    <w:rsid w:val="00D7345C"/>
    <w:rsid w:val="00D77C6B"/>
    <w:rsid w:val="00D85E94"/>
    <w:rsid w:val="00D8615E"/>
    <w:rsid w:val="00D93D55"/>
    <w:rsid w:val="00D94417"/>
    <w:rsid w:val="00D95566"/>
    <w:rsid w:val="00D97501"/>
    <w:rsid w:val="00D97EEE"/>
    <w:rsid w:val="00DA13DB"/>
    <w:rsid w:val="00DA200B"/>
    <w:rsid w:val="00DA704F"/>
    <w:rsid w:val="00DB2361"/>
    <w:rsid w:val="00DB29C8"/>
    <w:rsid w:val="00DB5401"/>
    <w:rsid w:val="00DC67FB"/>
    <w:rsid w:val="00DD0245"/>
    <w:rsid w:val="00DD0F40"/>
    <w:rsid w:val="00DD34A6"/>
    <w:rsid w:val="00DD54A5"/>
    <w:rsid w:val="00DD7B7F"/>
    <w:rsid w:val="00DE127D"/>
    <w:rsid w:val="00DE36A9"/>
    <w:rsid w:val="00DF4A2D"/>
    <w:rsid w:val="00DF7D92"/>
    <w:rsid w:val="00E027E6"/>
    <w:rsid w:val="00E02971"/>
    <w:rsid w:val="00E04F85"/>
    <w:rsid w:val="00E10208"/>
    <w:rsid w:val="00E10DE2"/>
    <w:rsid w:val="00E12E47"/>
    <w:rsid w:val="00E149A3"/>
    <w:rsid w:val="00E14FC7"/>
    <w:rsid w:val="00E15015"/>
    <w:rsid w:val="00E21DAA"/>
    <w:rsid w:val="00E22609"/>
    <w:rsid w:val="00E24AFB"/>
    <w:rsid w:val="00E31D8E"/>
    <w:rsid w:val="00E335FE"/>
    <w:rsid w:val="00E34770"/>
    <w:rsid w:val="00E53DDE"/>
    <w:rsid w:val="00E551A9"/>
    <w:rsid w:val="00E60742"/>
    <w:rsid w:val="00E62A96"/>
    <w:rsid w:val="00E65444"/>
    <w:rsid w:val="00E7132B"/>
    <w:rsid w:val="00E76FB0"/>
    <w:rsid w:val="00E85BEF"/>
    <w:rsid w:val="00E95C92"/>
    <w:rsid w:val="00EA0B54"/>
    <w:rsid w:val="00EA129F"/>
    <w:rsid w:val="00EA4977"/>
    <w:rsid w:val="00EA7D6E"/>
    <w:rsid w:val="00EB2F76"/>
    <w:rsid w:val="00EB316F"/>
    <w:rsid w:val="00EC4E49"/>
    <w:rsid w:val="00ED6EB2"/>
    <w:rsid w:val="00ED77FB"/>
    <w:rsid w:val="00EE45FA"/>
    <w:rsid w:val="00EF6F61"/>
    <w:rsid w:val="00F043DE"/>
    <w:rsid w:val="00F136ED"/>
    <w:rsid w:val="00F30478"/>
    <w:rsid w:val="00F30596"/>
    <w:rsid w:val="00F4560D"/>
    <w:rsid w:val="00F47244"/>
    <w:rsid w:val="00F47BCE"/>
    <w:rsid w:val="00F539BB"/>
    <w:rsid w:val="00F540ED"/>
    <w:rsid w:val="00F61810"/>
    <w:rsid w:val="00F621DB"/>
    <w:rsid w:val="00F66152"/>
    <w:rsid w:val="00F661C0"/>
    <w:rsid w:val="00F73107"/>
    <w:rsid w:val="00F87814"/>
    <w:rsid w:val="00F9165B"/>
    <w:rsid w:val="00F97653"/>
    <w:rsid w:val="00FA2DF5"/>
    <w:rsid w:val="00FB4984"/>
    <w:rsid w:val="00FB7225"/>
    <w:rsid w:val="00FC4220"/>
    <w:rsid w:val="00FC46FF"/>
    <w:rsid w:val="00FC477B"/>
    <w:rsid w:val="00FC482F"/>
    <w:rsid w:val="00FD1C84"/>
    <w:rsid w:val="00FD680D"/>
    <w:rsid w:val="00FE79E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DD39F50-6080-4716-9F81-DDB09DA7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34AD"/>
    <w:pPr>
      <w:ind w:left="720"/>
      <w:contextualSpacing/>
    </w:pPr>
  </w:style>
  <w:style w:type="character" w:styleId="FootnoteReference">
    <w:name w:val="footnote reference"/>
    <w:basedOn w:val="DefaultParagraphFont"/>
    <w:semiHidden/>
    <w:unhideWhenUsed/>
    <w:rsid w:val="00B234AD"/>
    <w:rPr>
      <w:vertAlign w:val="superscript"/>
    </w:rPr>
  </w:style>
  <w:style w:type="character" w:styleId="Hyperlink">
    <w:name w:val="Hyperlink"/>
    <w:basedOn w:val="DefaultParagraphFont"/>
    <w:unhideWhenUsed/>
    <w:rsid w:val="00B234AD"/>
    <w:rPr>
      <w:color w:val="0000FF" w:themeColor="hyperlink"/>
      <w:u w:val="single"/>
    </w:rPr>
  </w:style>
  <w:style w:type="table" w:styleId="TableGrid">
    <w:name w:val="Table Grid"/>
    <w:basedOn w:val="TableNormal"/>
    <w:rsid w:val="00205D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3FAE"/>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D58E6"/>
    <w:rPr>
      <w:b/>
      <w:bCs/>
    </w:rPr>
  </w:style>
  <w:style w:type="character" w:styleId="FollowedHyperlink">
    <w:name w:val="FollowedHyperlink"/>
    <w:basedOn w:val="DefaultParagraphFont"/>
    <w:semiHidden/>
    <w:unhideWhenUsed/>
    <w:rsid w:val="00C90E1B"/>
    <w:rPr>
      <w:color w:val="800080" w:themeColor="followedHyperlink"/>
      <w:u w:val="single"/>
    </w:rPr>
  </w:style>
  <w:style w:type="character" w:styleId="CommentReference">
    <w:name w:val="annotation reference"/>
    <w:basedOn w:val="DefaultParagraphFont"/>
    <w:semiHidden/>
    <w:unhideWhenUsed/>
    <w:rsid w:val="009E6A7D"/>
    <w:rPr>
      <w:sz w:val="16"/>
      <w:szCs w:val="16"/>
    </w:rPr>
  </w:style>
  <w:style w:type="paragraph" w:styleId="CommentSubject">
    <w:name w:val="annotation subject"/>
    <w:basedOn w:val="CommentText"/>
    <w:next w:val="CommentText"/>
    <w:link w:val="CommentSubjectChar"/>
    <w:semiHidden/>
    <w:unhideWhenUsed/>
    <w:rsid w:val="009E6A7D"/>
    <w:rPr>
      <w:b/>
      <w:bCs/>
      <w:sz w:val="20"/>
    </w:rPr>
  </w:style>
  <w:style w:type="character" w:customStyle="1" w:styleId="CommentTextChar">
    <w:name w:val="Comment Text Char"/>
    <w:basedOn w:val="DefaultParagraphFont"/>
    <w:link w:val="CommentText"/>
    <w:semiHidden/>
    <w:rsid w:val="009E6A7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E6A7D"/>
    <w:rPr>
      <w:rFonts w:ascii="Arial" w:eastAsia="SimSun" w:hAnsi="Arial" w:cs="Arial"/>
      <w:b/>
      <w:bCs/>
      <w:sz w:val="18"/>
      <w:lang w:val="en-US" w:eastAsia="zh-CN"/>
    </w:rPr>
  </w:style>
  <w:style w:type="paragraph" w:styleId="Revision">
    <w:name w:val="Revision"/>
    <w:hidden/>
    <w:uiPriority w:val="99"/>
    <w:semiHidden/>
    <w:rsid w:val="009E6A7D"/>
    <w:rPr>
      <w:rFonts w:ascii="Arial" w:eastAsia="SimSun" w:hAnsi="Arial" w:cs="Arial"/>
      <w:sz w:val="22"/>
      <w:lang w:val="en-US" w:eastAsia="zh-CN"/>
    </w:rPr>
  </w:style>
  <w:style w:type="paragraph" w:styleId="BalloonText">
    <w:name w:val="Balloon Text"/>
    <w:basedOn w:val="Normal"/>
    <w:link w:val="BalloonTextChar"/>
    <w:semiHidden/>
    <w:unhideWhenUsed/>
    <w:rsid w:val="009E6A7D"/>
    <w:rPr>
      <w:rFonts w:ascii="Segoe UI" w:hAnsi="Segoe UI" w:cs="Segoe UI"/>
      <w:sz w:val="18"/>
      <w:szCs w:val="18"/>
    </w:rPr>
  </w:style>
  <w:style w:type="character" w:customStyle="1" w:styleId="BalloonTextChar">
    <w:name w:val="Balloon Text Char"/>
    <w:basedOn w:val="DefaultParagraphFont"/>
    <w:link w:val="BalloonText"/>
    <w:semiHidden/>
    <w:rsid w:val="009E6A7D"/>
    <w:rPr>
      <w:rFonts w:ascii="Segoe UI" w:eastAsia="SimSun" w:hAnsi="Segoe UI" w:cs="Segoe UI"/>
      <w:sz w:val="18"/>
      <w:szCs w:val="18"/>
      <w:lang w:val="en-US" w:eastAsia="zh-CN"/>
    </w:rPr>
  </w:style>
  <w:style w:type="character" w:customStyle="1" w:styleId="HeaderChar">
    <w:name w:val="Header Char"/>
    <w:basedOn w:val="DefaultParagraphFont"/>
    <w:link w:val="Header"/>
    <w:semiHidden/>
    <w:rsid w:val="008702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en/agenda/news/2021/news_0018.html" TargetMode="External"/><Relationship Id="rId18" Type="http://schemas.openxmlformats.org/officeDocument/2006/relationships/hyperlink" Target="https://ip4sustainability.or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po.int/meetings/en/2021/ip-development-conference.html" TargetMode="External"/><Relationship Id="rId17" Type="http://schemas.openxmlformats.org/officeDocument/2006/relationships/hyperlink" Target="https://accelerate2030.ne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cl.ac.uk/bartlett/sustainable/research/green-innovation-policy-commission"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2021/ip-development-conference.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lickr.com/photos/wipo/albums/72157720219993555/with/51700668302/"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www.wipo.int/edocs/mdocs/mdocs/en/wipo_ipda_ge_21/wipo_ipda_ge_21_biographies.pdf" TargetMode="External"/><Relationship Id="rId19" Type="http://schemas.openxmlformats.org/officeDocument/2006/relationships/hyperlink" Target="https://www.wipo.int/meetings/en/2021/ip-development-conference.html" TargetMode="External"/><Relationship Id="rId4" Type="http://schemas.openxmlformats.org/officeDocument/2006/relationships/settings" Target="settings.xml"/><Relationship Id="rId9" Type="http://schemas.openxmlformats.org/officeDocument/2006/relationships/hyperlink" Target="https://www.wipo.int/meetings/en/doc_details.jsp?doc_id=452273" TargetMode="External"/><Relationship Id="rId14" Type="http://schemas.openxmlformats.org/officeDocument/2006/relationships/hyperlink" Target="https://mailchi.mp/wipo.int/wipo-wire-new-young-experts-program-draws-1000s-of-applicants-viet-nam-president-visits" TargetMode="External"/><Relationship Id="rId22" Type="http://schemas.openxmlformats.org/officeDocument/2006/relationships/footer" Target="footer1.xm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21755" TargetMode="External"/><Relationship Id="rId2" Type="http://schemas.openxmlformats.org/officeDocument/2006/relationships/hyperlink" Target="https://www.wipo.int/meetings/en/doc_details.jsp?doc_id=461382" TargetMode="External"/><Relationship Id="rId1" Type="http://schemas.openxmlformats.org/officeDocument/2006/relationships/hyperlink" Target="https://www.wipo.int/meetings/en/doc_details.jsp?doc_id=421755" TargetMode="External"/><Relationship Id="rId4" Type="http://schemas.openxmlformats.org/officeDocument/2006/relationships/hyperlink" Target="https://www.wipo.int/meetings/en/doc_details.jsp?doc_id=388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0C98-DDCB-4B0B-8C3A-F8F404DC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3021</Words>
  <Characters>16663</Characters>
  <Application>Microsoft Office Word</Application>
  <DocSecurity>0</DocSecurity>
  <Lines>427</Lines>
  <Paragraphs>179</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dc:title>
  <dc:creator>MARTINEZ LIMÓN Cristina</dc:creator>
  <cp:keywords>FOR OFFICIAL USE ONLY</cp:keywords>
  <cp:lastModifiedBy>ESTEVES DOS SANTOS Anabela</cp:lastModifiedBy>
  <cp:revision>12</cp:revision>
  <cp:lastPrinted>2011-02-15T11:56:00Z</cp:lastPrinted>
  <dcterms:created xsi:type="dcterms:W3CDTF">2022-03-01T08:28:00Z</dcterms:created>
  <dcterms:modified xsi:type="dcterms:W3CDTF">2022-04-11T11:47:00Z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9e8cd21d-71fa-45e9-ae14-0df547e8305a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