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35" w:rsidRDefault="00FD5BC3">
      <w:pPr>
        <w:pStyle w:val="BodyText"/>
        <w:ind w:left="4339"/>
        <w:rPr>
          <w:sz w:val="20"/>
        </w:rPr>
      </w:pPr>
      <w:bookmarkStart w:id="0" w:name="_GoBack"/>
      <w:bookmarkEnd w:id="0"/>
      <w:r>
        <w:rPr>
          <w:noProof/>
          <w:sz w:val="20"/>
          <w:lang w:val="fr-CH" w:eastAsia="fr-CH" w:bidi="ar-SA"/>
        </w:rPr>
        <w:drawing>
          <wp:inline distT="0" distB="0" distL="0" distR="0">
            <wp:extent cx="660839" cy="6600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60839" cy="660082"/>
                    </a:xfrm>
                    <a:prstGeom prst="rect">
                      <a:avLst/>
                    </a:prstGeom>
                  </pic:spPr>
                </pic:pic>
              </a:graphicData>
            </a:graphic>
          </wp:inline>
        </w:drawing>
      </w:r>
    </w:p>
    <w:p w:rsidR="007B3E35" w:rsidRDefault="00FD5BC3">
      <w:pPr>
        <w:spacing w:before="16" w:line="374" w:lineRule="exact"/>
        <w:ind w:left="1181" w:right="1326"/>
        <w:jc w:val="center"/>
        <w:rPr>
          <w:rFonts w:ascii="Cambria"/>
          <w:b/>
          <w:sz w:val="32"/>
        </w:rPr>
      </w:pPr>
      <w:r>
        <w:rPr>
          <w:rFonts w:ascii="Cambria"/>
          <w:b/>
          <w:color w:val="006600"/>
          <w:sz w:val="32"/>
        </w:rPr>
        <w:t>Permanent Mission of Pakistan to the UN</w:t>
      </w:r>
    </w:p>
    <w:p w:rsidR="007B3E35" w:rsidRDefault="00FD5BC3">
      <w:pPr>
        <w:spacing w:line="257" w:lineRule="exact"/>
        <w:ind w:left="1181" w:right="1321"/>
        <w:jc w:val="center"/>
        <w:rPr>
          <w:rFonts w:ascii="Cambria"/>
          <w:b/>
        </w:rPr>
      </w:pPr>
      <w:r>
        <w:rPr>
          <w:noProof/>
          <w:lang w:val="fr-CH" w:eastAsia="fr-CH" w:bidi="ar-SA"/>
        </w:rPr>
        <mc:AlternateContent>
          <mc:Choice Requires="wps">
            <w:drawing>
              <wp:anchor distT="0" distB="0" distL="0" distR="0" simplePos="0" relativeHeight="251657728" behindDoc="1" locked="0" layoutInCell="1" allowOverlap="1">
                <wp:simplePos x="0" y="0"/>
                <wp:positionH relativeFrom="page">
                  <wp:posOffset>716915</wp:posOffset>
                </wp:positionH>
                <wp:positionV relativeFrom="paragraph">
                  <wp:posOffset>176530</wp:posOffset>
                </wp:positionV>
                <wp:extent cx="6128385" cy="26098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260985"/>
                        </a:xfrm>
                        <a:prstGeom prst="rect">
                          <a:avLst/>
                        </a:prstGeom>
                        <a:solidFill>
                          <a:srgbClr val="006600">
                            <a:alpha val="59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B3E35" w:rsidRDefault="00FD5BC3">
                            <w:pPr>
                              <w:spacing w:before="72"/>
                              <w:ind w:left="3470" w:right="3471"/>
                              <w:jc w:val="center"/>
                              <w:rPr>
                                <w:rFonts w:ascii="Cambria"/>
                                <w:b/>
                                <w:sz w:val="26"/>
                              </w:rPr>
                            </w:pPr>
                            <w:r>
                              <w:rPr>
                                <w:rFonts w:ascii="Cambria"/>
                                <w:b/>
                                <w:color w:val="FFFFFF"/>
                                <w:sz w:val="26"/>
                              </w:rPr>
                              <w:t>Statement by</w:t>
                            </w:r>
                            <w:r>
                              <w:rPr>
                                <w:rFonts w:ascii="Cambria"/>
                                <w:b/>
                                <w:color w:val="FFFFFF"/>
                                <w:spacing w:val="-4"/>
                                <w:sz w:val="26"/>
                              </w:rPr>
                              <w:t xml:space="preserve"> </w:t>
                            </w:r>
                            <w:r>
                              <w:rPr>
                                <w:rFonts w:ascii="Cambria"/>
                                <w:b/>
                                <w:color w:val="FFFFFF"/>
                                <w:sz w:val="26"/>
                              </w:rPr>
                              <w:t>Pakistan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45pt;margin-top:13.9pt;width:482.55pt;height:20.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" fillcolor="#060" stroked="f">
                <v:fill opacity="39321f"/>
                <v:textbox inset="0,0,0,0">
                  <w:txbxContent>
                    <w:p w:rsidR="007B3E35" w:rsidRDefault="00FD5BC3">
                      <w:pPr>
                        <w:spacing w:before="72"/>
                        <w:ind w:left="3470" w:right="3471"/>
                        <w:jc w:val="center"/>
                        <w:rPr>
                          <w:rFonts w:ascii="Cambria"/>
                          <w:b/>
                          <w:sz w:val="26"/>
                        </w:rPr>
                      </w:pPr>
                      <w:r>
                        <w:rPr>
                          <w:rFonts w:ascii="Cambria"/>
                          <w:b/>
                          <w:color w:val="FFFFFF"/>
                          <w:sz w:val="26"/>
                        </w:rPr>
                        <w:t>Statement by</w:t>
                      </w:r>
                      <w:r>
                        <w:rPr>
                          <w:rFonts w:ascii="Cambria"/>
                          <w:b/>
                          <w:color w:val="FFFFFF"/>
                          <w:spacing w:val="-4"/>
                          <w:sz w:val="26"/>
                        </w:rPr>
                        <w:t xml:space="preserve"> </w:t>
                      </w:r>
                      <w:r>
                        <w:rPr>
                          <w:rFonts w:ascii="Cambria"/>
                          <w:b/>
                          <w:color w:val="FFFFFF"/>
                          <w:sz w:val="26"/>
                        </w:rPr>
                        <w:t>Pakistan</w:t>
                      </w:r>
                    </w:p>
                  </w:txbxContent>
                </v:textbox>
                <w10:wrap type="topAndBottom" anchorx="page"/>
              </v:shape>
            </w:pict>
          </mc:Fallback>
        </mc:AlternateContent>
      </w:r>
      <w:r>
        <w:rPr>
          <w:rFonts w:ascii="Cambria"/>
          <w:b/>
          <w:color w:val="006600"/>
        </w:rPr>
        <w:t>Geneva</w:t>
      </w:r>
    </w:p>
    <w:p w:rsidR="007B3E35" w:rsidRDefault="007B3E35">
      <w:pPr>
        <w:pStyle w:val="BodyText"/>
        <w:spacing w:before="5"/>
        <w:rPr>
          <w:rFonts w:ascii="Cambria"/>
          <w:b/>
          <w:sz w:val="25"/>
        </w:rPr>
      </w:pPr>
    </w:p>
    <w:p w:rsidR="007B3E35" w:rsidRDefault="00FD5BC3">
      <w:pPr>
        <w:pStyle w:val="Heading1"/>
        <w:spacing w:line="276" w:lineRule="auto"/>
        <w:ind w:right="1326"/>
      </w:pPr>
      <w:r>
        <w:t>Committee on Development and Intellectual Property (CDIP) Twenty-Sixth Session</w:t>
      </w:r>
    </w:p>
    <w:p w:rsidR="007B3E35" w:rsidRDefault="00FD5BC3">
      <w:pPr>
        <w:spacing w:before="1"/>
        <w:ind w:left="1181" w:right="1321"/>
        <w:jc w:val="center"/>
        <w:rPr>
          <w:b/>
          <w:sz w:val="28"/>
        </w:rPr>
      </w:pPr>
      <w:r>
        <w:rPr>
          <w:b/>
          <w:sz w:val="28"/>
        </w:rPr>
        <w:t>Geneva, July 26 - 30, 2021</w:t>
      </w:r>
    </w:p>
    <w:p w:rsidR="007B3E35" w:rsidRDefault="007B3E35">
      <w:pPr>
        <w:pStyle w:val="BodyText"/>
        <w:spacing w:before="4"/>
        <w:rPr>
          <w:b/>
          <w:sz w:val="36"/>
        </w:rPr>
      </w:pPr>
    </w:p>
    <w:p w:rsidR="00800C44" w:rsidRDefault="00800C44">
      <w:pPr>
        <w:pStyle w:val="BodyText"/>
        <w:spacing w:before="4"/>
        <w:rPr>
          <w:b/>
          <w:sz w:val="22"/>
          <w:szCs w:val="22"/>
        </w:rPr>
      </w:pPr>
    </w:p>
    <w:p w:rsidR="00800C44" w:rsidRDefault="00800C44">
      <w:pPr>
        <w:pStyle w:val="BodyText"/>
        <w:spacing w:before="4"/>
        <w:rPr>
          <w:b/>
          <w:sz w:val="22"/>
          <w:szCs w:val="22"/>
        </w:rPr>
      </w:pPr>
    </w:p>
    <w:p w:rsidR="00800C44" w:rsidRDefault="00800C44">
      <w:pPr>
        <w:pStyle w:val="BodyText"/>
        <w:spacing w:before="4"/>
        <w:rPr>
          <w:b/>
          <w:sz w:val="22"/>
          <w:szCs w:val="22"/>
        </w:rPr>
      </w:pPr>
    </w:p>
    <w:p w:rsidR="00800C44" w:rsidRDefault="0068210E">
      <w:pPr>
        <w:pStyle w:val="BodyText"/>
        <w:spacing w:before="4"/>
        <w:rPr>
          <w:b/>
        </w:rPr>
      </w:pPr>
      <w:r>
        <w:rPr>
          <w:b/>
        </w:rPr>
        <w:t>Agenda I</w:t>
      </w:r>
      <w:r w:rsidR="00800C44" w:rsidRPr="00800C44">
        <w:rPr>
          <w:b/>
        </w:rPr>
        <w:t>tem 4 (i)</w:t>
      </w:r>
    </w:p>
    <w:p w:rsidR="00800C44" w:rsidRPr="00977F7C" w:rsidRDefault="00977F7C">
      <w:pPr>
        <w:pStyle w:val="BodyText"/>
        <w:spacing w:before="4"/>
        <w:rPr>
          <w:b/>
        </w:rPr>
      </w:pPr>
      <w:r w:rsidRPr="00977F7C">
        <w:rPr>
          <w:b/>
        </w:rPr>
        <w:t>Document CDIP/26/6 Future Webinars</w:t>
      </w:r>
    </w:p>
    <w:p w:rsidR="00800C44" w:rsidRDefault="00800C44">
      <w:pPr>
        <w:pStyle w:val="BodyText"/>
        <w:spacing w:before="4"/>
        <w:rPr>
          <w:b/>
          <w:sz w:val="36"/>
        </w:rPr>
      </w:pPr>
    </w:p>
    <w:p w:rsidR="008704BA" w:rsidRDefault="008704BA">
      <w:pPr>
        <w:pStyle w:val="BodyText"/>
        <w:spacing w:before="4"/>
        <w:rPr>
          <w:b/>
          <w:sz w:val="36"/>
        </w:rPr>
      </w:pPr>
    </w:p>
    <w:p w:rsidR="007B3E35" w:rsidRDefault="00FD5BC3">
      <w:pPr>
        <w:pStyle w:val="BodyText"/>
        <w:ind w:left="112"/>
      </w:pPr>
      <w:r>
        <w:t>Madam Chair</w:t>
      </w:r>
    </w:p>
    <w:p w:rsidR="007B3E35" w:rsidRDefault="007B3E35">
      <w:pPr>
        <w:pStyle w:val="BodyText"/>
        <w:spacing w:before="3"/>
        <w:rPr>
          <w:sz w:val="36"/>
        </w:rPr>
      </w:pPr>
    </w:p>
    <w:p w:rsidR="007B3E35" w:rsidRDefault="00FD5BC3">
      <w:pPr>
        <w:pStyle w:val="BodyText"/>
        <w:spacing w:before="1" w:line="276" w:lineRule="auto"/>
        <w:ind w:left="112" w:right="248" w:firstLine="720"/>
        <w:jc w:val="both"/>
      </w:pPr>
      <w:r>
        <w:t>Technology transfer is a necessary prerequisite to allow developing countries to develop the necessary capacity to fulfil their obligations, which in turn is  essential for inclusive development. During the current scenario, one of the most critical topics for technical assistance for developing countries and LDCs is “exceptions and limitations to patent rights in Covid-19 context”. My delegation therefore reiterates its proposal  to  organize  a  webinar  series  focused  on technical assistance for exceptions and limitations to patent rights in Covid-19 context, in order to support developing countries and LDCs to achieve broader access to future health products such as</w:t>
      </w:r>
      <w:r>
        <w:rPr>
          <w:spacing w:val="69"/>
        </w:rPr>
        <w:t xml:space="preserve"> </w:t>
      </w:r>
      <w:r>
        <w:t>vaccines.</w:t>
      </w:r>
    </w:p>
    <w:p w:rsidR="007B3E35" w:rsidRDefault="007B3E35">
      <w:pPr>
        <w:pStyle w:val="BodyText"/>
        <w:spacing w:before="3"/>
        <w:rPr>
          <w:sz w:val="32"/>
        </w:rPr>
      </w:pPr>
    </w:p>
    <w:p w:rsidR="007B3E35" w:rsidRDefault="00FD5BC3">
      <w:pPr>
        <w:pStyle w:val="BodyText"/>
        <w:spacing w:line="276" w:lineRule="auto"/>
        <w:ind w:left="112" w:right="249" w:firstLine="720"/>
        <w:jc w:val="both"/>
      </w:pPr>
      <w:r>
        <w:t>While we remain flexible on the modalities of the future webinars, we are of the view that the delivery of this important aspect of technology transfer should not be limited to webinars only.</w:t>
      </w:r>
    </w:p>
    <w:sectPr w:rsidR="007B3E35" w:rsidSect="00FD5BC3">
      <w:headerReference w:type="even" r:id="rId7"/>
      <w:headerReference w:type="default" r:id="rId8"/>
      <w:footerReference w:type="even" r:id="rId9"/>
      <w:footerReference w:type="default" r:id="rId10"/>
      <w:headerReference w:type="first" r:id="rId11"/>
      <w:footerReference w:type="first" r:id="rId12"/>
      <w:pgSz w:w="11910" w:h="16840"/>
      <w:pgMar w:top="300" w:right="1020" w:bottom="280" w:left="10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C3" w:rsidRDefault="00FD5BC3" w:rsidP="00FD5BC3">
      <w:r>
        <w:separator/>
      </w:r>
    </w:p>
  </w:endnote>
  <w:endnote w:type="continuationSeparator" w:id="0">
    <w:p w:rsidR="00FD5BC3" w:rsidRDefault="00FD5BC3" w:rsidP="00FD5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rsidP="00FD5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rsidP="00FD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C3" w:rsidRDefault="00FD5BC3" w:rsidP="00FD5BC3">
      <w:r>
        <w:separator/>
      </w:r>
    </w:p>
  </w:footnote>
  <w:footnote w:type="continuationSeparator" w:id="0">
    <w:p w:rsidR="00FD5BC3" w:rsidRDefault="00FD5BC3" w:rsidP="00FD5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rsidP="00FD5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BC3" w:rsidRDefault="00FD5BC3" w:rsidP="00FD5B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35"/>
    <w:rsid w:val="001400FF"/>
    <w:rsid w:val="0068210E"/>
    <w:rsid w:val="007B3E35"/>
    <w:rsid w:val="00800C44"/>
    <w:rsid w:val="008704BA"/>
    <w:rsid w:val="00956183"/>
    <w:rsid w:val="00977F7C"/>
    <w:rsid w:val="00E90A20"/>
    <w:rsid w:val="00FD5BC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955028E-4516-4A02-AEBE-4724A664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81" w:right="132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5BC3"/>
    <w:pPr>
      <w:tabs>
        <w:tab w:val="center" w:pos="4513"/>
        <w:tab w:val="right" w:pos="9026"/>
      </w:tabs>
    </w:pPr>
  </w:style>
  <w:style w:type="character" w:customStyle="1" w:styleId="HeaderChar">
    <w:name w:val="Header Char"/>
    <w:basedOn w:val="DefaultParagraphFont"/>
    <w:link w:val="Header"/>
    <w:uiPriority w:val="99"/>
    <w:rsid w:val="00FD5BC3"/>
    <w:rPr>
      <w:rFonts w:ascii="Times New Roman" w:eastAsia="Times New Roman" w:hAnsi="Times New Roman" w:cs="Times New Roman"/>
      <w:lang w:bidi="en-US"/>
    </w:rPr>
  </w:style>
  <w:style w:type="paragraph" w:styleId="Footer">
    <w:name w:val="footer"/>
    <w:basedOn w:val="Normal"/>
    <w:link w:val="FooterChar"/>
    <w:uiPriority w:val="99"/>
    <w:unhideWhenUsed/>
    <w:rsid w:val="00FD5BC3"/>
    <w:pPr>
      <w:tabs>
        <w:tab w:val="center" w:pos="4513"/>
        <w:tab w:val="right" w:pos="9026"/>
      </w:tabs>
    </w:pPr>
  </w:style>
  <w:style w:type="character" w:customStyle="1" w:styleId="FooterChar">
    <w:name w:val="Footer Char"/>
    <w:basedOn w:val="DefaultParagraphFont"/>
    <w:link w:val="Footer"/>
    <w:uiPriority w:val="99"/>
    <w:rsid w:val="00FD5BC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165</Words>
  <Characters>928</Characters>
  <Application>Microsoft Office Word</Application>
  <DocSecurity>0</DocSecurity>
  <Lines>30</Lines>
  <Paragraphs>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Kashmir cell</dc:creator>
  <cp:keywords>FOR OFFICIAL USE ONLY</cp:keywords>
  <cp:lastModifiedBy>ESTEVES DOS SANTOS Anabela</cp:lastModifiedBy>
  <cp:revision>10</cp:revision>
  <dcterms:created xsi:type="dcterms:W3CDTF">2021-08-02T15:42:00Z</dcterms:created>
  <dcterms:modified xsi:type="dcterms:W3CDTF">2021-08-03T12:36:00Z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2019</vt:lpwstr>
  </property>
  <property fmtid="{D5CDD505-2E9C-101B-9397-08002B2CF9AE}" pid="4" name="LastSaved">
    <vt:filetime>2021-08-02T00:00:00Z</vt:filetime>
  </property>
  <property fmtid="{D5CDD505-2E9C-101B-9397-08002B2CF9AE}" pid="5" name="TitusGUID">
    <vt:lpwstr>7ac57092-49e3-4378-86ab-892bd5fe91ef</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