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E812" w14:textId="77777777" w:rsidR="008B2CC1" w:rsidRPr="00777A0F" w:rsidRDefault="00B92F1F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777A0F">
        <w:rPr>
          <w:noProof/>
          <w:sz w:val="28"/>
          <w:szCs w:val="28"/>
          <w:lang w:val="fr-CH" w:eastAsia="fr-CH"/>
        </w:rPr>
        <w:drawing>
          <wp:inline distT="0" distB="0" distL="0" distR="0" wp14:anchorId="29ACD9D7" wp14:editId="672DE811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D713" w14:textId="735DDB91" w:rsidR="008B2CC1" w:rsidRPr="005A03AF" w:rsidRDefault="001F5900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5A03AF">
        <w:rPr>
          <w:rFonts w:ascii="Arial Black" w:hAnsi="Arial Black"/>
          <w:caps/>
          <w:sz w:val="15"/>
        </w:rPr>
        <w:t>CDIP/26</w:t>
      </w:r>
      <w:r w:rsidR="009D504C" w:rsidRPr="005A03AF">
        <w:rPr>
          <w:rFonts w:ascii="Arial Black" w:hAnsi="Arial Black"/>
          <w:caps/>
          <w:sz w:val="15"/>
        </w:rPr>
        <w:t>/</w:t>
      </w:r>
      <w:bookmarkStart w:id="1" w:name="Code"/>
      <w:bookmarkEnd w:id="1"/>
      <w:r w:rsidR="00714ADC" w:rsidRPr="005A03AF">
        <w:rPr>
          <w:rFonts w:ascii="Arial Black" w:hAnsi="Arial Black"/>
          <w:caps/>
          <w:sz w:val="15"/>
        </w:rPr>
        <w:t>7</w:t>
      </w:r>
    </w:p>
    <w:p w14:paraId="6A2EDA41" w14:textId="77777777" w:rsidR="008B2CC1" w:rsidRPr="005A03AF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5A03AF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C47FEF" w:rsidRPr="005A03AF">
        <w:rPr>
          <w:rFonts w:ascii="Arial Black" w:hAnsi="Arial Black"/>
          <w:caps/>
          <w:sz w:val="15"/>
          <w:szCs w:val="15"/>
        </w:rPr>
        <w:t>ENGLISH</w:t>
      </w:r>
    </w:p>
    <w:bookmarkEnd w:id="2"/>
    <w:p w14:paraId="2277CE1A" w14:textId="523D3551" w:rsidR="008B2CC1" w:rsidRPr="00777A0F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5A03AF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2E6089" w:rsidRPr="005A03AF">
        <w:rPr>
          <w:rFonts w:ascii="Arial Black" w:hAnsi="Arial Black"/>
          <w:caps/>
          <w:sz w:val="15"/>
          <w:szCs w:val="15"/>
        </w:rPr>
        <w:t xml:space="preserve">MAY </w:t>
      </w:r>
      <w:r w:rsidR="006B73DA">
        <w:rPr>
          <w:rFonts w:ascii="Arial Black" w:hAnsi="Arial Black"/>
          <w:caps/>
          <w:sz w:val="15"/>
          <w:szCs w:val="15"/>
        </w:rPr>
        <w:t>2</w:t>
      </w:r>
      <w:r w:rsidR="001F2E65">
        <w:rPr>
          <w:rFonts w:ascii="Arial Black" w:hAnsi="Arial Black"/>
          <w:caps/>
          <w:sz w:val="15"/>
          <w:szCs w:val="15"/>
        </w:rPr>
        <w:t>5</w:t>
      </w:r>
      <w:r w:rsidR="002E6089" w:rsidRPr="005A03AF">
        <w:rPr>
          <w:rFonts w:ascii="Arial Black" w:hAnsi="Arial Black"/>
          <w:caps/>
          <w:sz w:val="15"/>
          <w:szCs w:val="15"/>
        </w:rPr>
        <w:t>,</w:t>
      </w:r>
      <w:r w:rsidR="00C47FEF" w:rsidRPr="005A03AF">
        <w:rPr>
          <w:rFonts w:ascii="Arial Black" w:hAnsi="Arial Black"/>
          <w:caps/>
          <w:sz w:val="15"/>
          <w:szCs w:val="15"/>
        </w:rPr>
        <w:t xml:space="preserve"> 2021</w:t>
      </w:r>
    </w:p>
    <w:bookmarkEnd w:id="3"/>
    <w:p w14:paraId="692A70CB" w14:textId="77777777" w:rsidR="008B2CC1" w:rsidRPr="00777A0F" w:rsidRDefault="00446147" w:rsidP="00720EFD">
      <w:pPr>
        <w:pStyle w:val="Heading1"/>
        <w:spacing w:before="0" w:after="480"/>
        <w:rPr>
          <w:sz w:val="28"/>
          <w:szCs w:val="28"/>
        </w:rPr>
      </w:pPr>
      <w:r w:rsidRPr="00777A0F">
        <w:rPr>
          <w:bCs w:val="0"/>
          <w:caps w:val="0"/>
          <w:kern w:val="0"/>
          <w:sz w:val="28"/>
          <w:szCs w:val="28"/>
        </w:rPr>
        <w:t>Committee on Development and Intellectual Property (CDIP)</w:t>
      </w:r>
    </w:p>
    <w:p w14:paraId="1C36022D" w14:textId="77777777" w:rsidR="001F5900" w:rsidRPr="00777A0F" w:rsidRDefault="001F5900" w:rsidP="001F5900">
      <w:pPr>
        <w:spacing w:after="720"/>
        <w:outlineLvl w:val="1"/>
        <w:rPr>
          <w:b/>
          <w:sz w:val="24"/>
          <w:szCs w:val="24"/>
        </w:rPr>
      </w:pPr>
      <w:r w:rsidRPr="00777A0F">
        <w:rPr>
          <w:b/>
          <w:sz w:val="24"/>
          <w:szCs w:val="24"/>
        </w:rPr>
        <w:t>Twenty-Sixth Session</w:t>
      </w:r>
      <w:r w:rsidRPr="00777A0F">
        <w:rPr>
          <w:b/>
          <w:sz w:val="24"/>
          <w:szCs w:val="24"/>
        </w:rPr>
        <w:br/>
        <w:t xml:space="preserve">Geneva, </w:t>
      </w:r>
      <w:r w:rsidRPr="00777A0F">
        <w:rPr>
          <w:b/>
          <w:bCs/>
          <w:sz w:val="24"/>
          <w:szCs w:val="24"/>
        </w:rPr>
        <w:t>July 26 to 30, 2021</w:t>
      </w:r>
    </w:p>
    <w:p w14:paraId="5EFE3770" w14:textId="083EE14F" w:rsidR="008B2CC1" w:rsidRPr="00777A0F" w:rsidRDefault="00C47FEF" w:rsidP="001F5900">
      <w:pPr>
        <w:spacing w:after="720"/>
        <w:outlineLvl w:val="1"/>
        <w:rPr>
          <w:caps/>
          <w:sz w:val="24"/>
        </w:rPr>
      </w:pPr>
      <w:bookmarkStart w:id="4" w:name="TitleOfDoc"/>
      <w:bookmarkEnd w:id="4"/>
      <w:r w:rsidRPr="00777A0F">
        <w:rPr>
          <w:caps/>
          <w:sz w:val="24"/>
        </w:rPr>
        <w:t>REPORT ON WOMEN AND IP</w:t>
      </w:r>
      <w:r w:rsidR="00714ADC">
        <w:rPr>
          <w:caps/>
          <w:sz w:val="24"/>
        </w:rPr>
        <w:t>: compilation and sharing of data</w:t>
      </w:r>
    </w:p>
    <w:p w14:paraId="59A19B47" w14:textId="77777777" w:rsidR="002928D3" w:rsidRPr="00777A0F" w:rsidRDefault="00C47FEF" w:rsidP="001D4107">
      <w:pPr>
        <w:spacing w:after="1040"/>
        <w:rPr>
          <w:i/>
        </w:rPr>
      </w:pPr>
      <w:bookmarkStart w:id="5" w:name="Prepared"/>
      <w:bookmarkEnd w:id="5"/>
      <w:r w:rsidRPr="00777A0F">
        <w:rPr>
          <w:i/>
        </w:rPr>
        <w:t>Prepared by the Secretariat</w:t>
      </w:r>
    </w:p>
    <w:p w14:paraId="27CED999" w14:textId="77777777" w:rsidR="00F33856" w:rsidRPr="00777A0F" w:rsidRDefault="00F33856" w:rsidP="00FB29E2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t xml:space="preserve">The Committee on Development and Intellectual Property (CDIP) at its twenty-second session, held from November 19 to 23, 2018, </w:t>
      </w:r>
      <w:r w:rsidR="00205F5A" w:rsidRPr="00777A0F">
        <w:t>while discussing</w:t>
      </w:r>
      <w:r w:rsidRPr="00777A0F">
        <w:t xml:space="preserve"> the topic “Women and IP” under the agenda item </w:t>
      </w:r>
      <w:r w:rsidR="00205F5A" w:rsidRPr="00777A0F">
        <w:t xml:space="preserve">IP and Development, </w:t>
      </w:r>
      <w:r w:rsidR="00887049" w:rsidRPr="00777A0F">
        <w:t>took the following decision</w:t>
      </w:r>
      <w:r w:rsidR="00F82ECF" w:rsidRPr="00777A0F">
        <w:t>:</w:t>
      </w:r>
    </w:p>
    <w:p w14:paraId="457E7E26" w14:textId="4F841A88" w:rsidR="00205F5A" w:rsidRPr="00777A0F" w:rsidRDefault="00205F5A" w:rsidP="00FB29E2">
      <w:pPr>
        <w:pStyle w:val="ListParagraph"/>
        <w:spacing w:after="240"/>
        <w:ind w:left="567"/>
        <w:contextualSpacing w:val="0"/>
        <w:rPr>
          <w:i/>
        </w:rPr>
      </w:pPr>
      <w:r w:rsidRPr="00777A0F">
        <w:rPr>
          <w:i/>
        </w:rPr>
        <w:t xml:space="preserve">“The Committee considered the document CDIP/22/16 Rev. 2 and adopted a proposal by Mexico on “Women and IP” as contained in the Annex to this document. The Annex will be forwarded to the WIPO General Assembly of 2019.” </w:t>
      </w:r>
      <w:r w:rsidRPr="00777A0F">
        <w:t xml:space="preserve">(para. 9 of the </w:t>
      </w:r>
      <w:hyperlink r:id="rId9" w:history="1">
        <w:r w:rsidRPr="00777A0F">
          <w:rPr>
            <w:rStyle w:val="Hyperlink"/>
          </w:rPr>
          <w:t xml:space="preserve">Summary </w:t>
        </w:r>
        <w:r w:rsidR="00520A5F">
          <w:rPr>
            <w:rStyle w:val="Hyperlink"/>
          </w:rPr>
          <w:t>by</w:t>
        </w:r>
        <w:r w:rsidRPr="00777A0F">
          <w:rPr>
            <w:rStyle w:val="Hyperlink"/>
          </w:rPr>
          <w:t xml:space="preserve"> the Chair</w:t>
        </w:r>
      </w:hyperlink>
      <w:r w:rsidRPr="00777A0F">
        <w:t>)</w:t>
      </w:r>
    </w:p>
    <w:p w14:paraId="67FF1963" w14:textId="3567FE15" w:rsidR="00736FEB" w:rsidRPr="00777A0F" w:rsidRDefault="00887049" w:rsidP="00736FE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t xml:space="preserve">The </w:t>
      </w:r>
      <w:r w:rsidR="0056465D" w:rsidRPr="00777A0F">
        <w:t>mentioned P</w:t>
      </w:r>
      <w:r w:rsidRPr="00777A0F">
        <w:t xml:space="preserve">roposal by Mexico, </w:t>
      </w:r>
      <w:r w:rsidR="00FB29E2" w:rsidRPr="00777A0F">
        <w:rPr>
          <w:i/>
        </w:rPr>
        <w:t>inter alia</w:t>
      </w:r>
      <w:r w:rsidRPr="00777A0F">
        <w:t xml:space="preserve">, requested the Secretariat to undertake a series of </w:t>
      </w:r>
      <w:r w:rsidR="0056465D" w:rsidRPr="00777A0F">
        <w:t>actions and decided</w:t>
      </w:r>
      <w:r w:rsidR="002C7D03" w:rsidRPr="00777A0F">
        <w:t xml:space="preserve"> </w:t>
      </w:r>
      <w:r w:rsidRPr="00777A0F">
        <w:rPr>
          <w:i/>
        </w:rPr>
        <w:t>“to revisit the issue of “Women and IP” at its 26th session for the way forward”.</w:t>
      </w:r>
    </w:p>
    <w:p w14:paraId="292DFDD8" w14:textId="5E968A22" w:rsidR="00A578D9" w:rsidRPr="00777A0F" w:rsidRDefault="00205F5A" w:rsidP="00444495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t xml:space="preserve">This </w:t>
      </w:r>
      <w:r w:rsidR="0056465D" w:rsidRPr="00777A0F">
        <w:t>document</w:t>
      </w:r>
      <w:r w:rsidR="00A578D9" w:rsidRPr="00777A0F">
        <w:t xml:space="preserve">, together with document </w:t>
      </w:r>
      <w:r w:rsidR="00397AF2" w:rsidRPr="005A03AF">
        <w:t>CDIP/26</w:t>
      </w:r>
      <w:r w:rsidR="005A3326" w:rsidRPr="005A03AF">
        <w:t>/</w:t>
      </w:r>
      <w:r w:rsidR="00032398">
        <w:t>8</w:t>
      </w:r>
      <w:r w:rsidR="00A578D9" w:rsidRPr="00777A0F">
        <w:t xml:space="preserve">, seeks to facilitate the Committee’s revisiting of the issue of “Women and IP” at the present session.  While </w:t>
      </w:r>
      <w:r w:rsidR="005A3326" w:rsidRPr="00777A0F">
        <w:t>this document responds to requests 1 and 2 of the Proposal by Mexico</w:t>
      </w:r>
      <w:r w:rsidR="00032398">
        <w:t xml:space="preserve"> related to the compilation and sharing of sex-disaggregated data in the field of IP</w:t>
      </w:r>
      <w:r w:rsidR="005A3326" w:rsidRPr="00777A0F">
        <w:t>, d</w:t>
      </w:r>
      <w:r w:rsidR="00A578D9" w:rsidRPr="00777A0F">
        <w:t xml:space="preserve">ocument </w:t>
      </w:r>
      <w:r w:rsidR="00397AF2" w:rsidRPr="005A03AF">
        <w:t>CDIP/26/</w:t>
      </w:r>
      <w:r w:rsidR="00032398">
        <w:t>8</w:t>
      </w:r>
      <w:r w:rsidR="00032398" w:rsidRPr="00777A0F">
        <w:t xml:space="preserve"> </w:t>
      </w:r>
      <w:r w:rsidR="00A578D9" w:rsidRPr="00777A0F">
        <w:t>reports on</w:t>
      </w:r>
      <w:r w:rsidR="0056465D" w:rsidRPr="00777A0F">
        <w:t xml:space="preserve"> the actions taken by the Secretari</w:t>
      </w:r>
      <w:r w:rsidR="002C7D03" w:rsidRPr="00777A0F">
        <w:t xml:space="preserve">at to implement requests 3, 4 and </w:t>
      </w:r>
      <w:r w:rsidR="00A578D9" w:rsidRPr="00777A0F">
        <w:t>5.</w:t>
      </w:r>
      <w:r w:rsidR="004F44B5">
        <w:t xml:space="preserve">  The reporting period covers the years 2019 and 2020.</w:t>
      </w:r>
    </w:p>
    <w:p w14:paraId="647017CA" w14:textId="77777777" w:rsidR="00D54B0F" w:rsidRPr="00777A0F" w:rsidRDefault="00D54B0F" w:rsidP="00D54B0F">
      <w:pPr>
        <w:pStyle w:val="ListParagraph"/>
        <w:keepNext/>
        <w:keepLines/>
        <w:numPr>
          <w:ilvl w:val="0"/>
          <w:numId w:val="23"/>
        </w:numPr>
        <w:spacing w:after="240"/>
        <w:ind w:left="284" w:hanging="284"/>
        <w:contextualSpacing w:val="0"/>
      </w:pPr>
      <w:r w:rsidRPr="00777A0F">
        <w:lastRenderedPageBreak/>
        <w:t>SECRETARIAT’S IMPLEMENTATION OF PROPOSAL BY MEXICO</w:t>
      </w:r>
    </w:p>
    <w:p w14:paraId="2A787ECA" w14:textId="2E7DEFB4" w:rsidR="00D54B0F" w:rsidRPr="00AA25DE" w:rsidRDefault="00D54B0F" w:rsidP="00AA25DE">
      <w:pPr>
        <w:pStyle w:val="ListParagraph"/>
        <w:numPr>
          <w:ilvl w:val="0"/>
          <w:numId w:val="7"/>
        </w:numPr>
        <w:spacing w:after="360"/>
        <w:ind w:left="0" w:firstLine="0"/>
        <w:contextualSpacing w:val="0"/>
      </w:pPr>
      <w:r w:rsidRPr="00777A0F">
        <w:t xml:space="preserve">In the following, a description of the Secretariat’s actions in </w:t>
      </w:r>
      <w:r w:rsidR="00520A5F">
        <w:t xml:space="preserve">the </w:t>
      </w:r>
      <w:r w:rsidRPr="00777A0F">
        <w:t xml:space="preserve">implementation of requests </w:t>
      </w:r>
      <w:r w:rsidR="005A3326" w:rsidRPr="00777A0F">
        <w:t>1 and 2</w:t>
      </w:r>
      <w:r w:rsidRPr="00777A0F">
        <w:t xml:space="preserve"> of the Proposal by Mexico is provided.</w:t>
      </w:r>
    </w:p>
    <w:p w14:paraId="6BA4D064" w14:textId="5F2922E9" w:rsidR="00A578D9" w:rsidRPr="00777A0F" w:rsidRDefault="00A578D9" w:rsidP="00D54B0F">
      <w:pPr>
        <w:pStyle w:val="ListParagraph"/>
        <w:keepNext/>
        <w:keepLines/>
        <w:spacing w:after="240"/>
        <w:ind w:left="567"/>
        <w:contextualSpacing w:val="0"/>
        <w:rPr>
          <w:i/>
        </w:rPr>
      </w:pPr>
      <w:r w:rsidRPr="00777A0F">
        <w:rPr>
          <w:b/>
        </w:rPr>
        <w:t xml:space="preserve">Request </w:t>
      </w:r>
      <w:r w:rsidR="005A3326" w:rsidRPr="00777A0F">
        <w:rPr>
          <w:b/>
        </w:rPr>
        <w:t>1</w:t>
      </w:r>
      <w:r w:rsidRPr="00777A0F">
        <w:t>:</w:t>
      </w:r>
      <w:r w:rsidR="0015572A" w:rsidRPr="00777A0F">
        <w:t xml:space="preserve">  </w:t>
      </w:r>
      <w:r w:rsidR="005A3326" w:rsidRPr="00777A0F">
        <w:rPr>
          <w:i/>
        </w:rPr>
        <w:t>Compile comparable and disaggregated international data on the gender of IP rights owners and creators.</w:t>
      </w:r>
    </w:p>
    <w:p w14:paraId="541E3BC6" w14:textId="441119D5" w:rsidR="00C47988" w:rsidRPr="00777A0F" w:rsidRDefault="005A03AF" w:rsidP="00A8211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</w:rPr>
      </w:pPr>
      <w:r w:rsidRPr="005A03AF">
        <w:rPr>
          <w:rFonts w:eastAsia="Times New Roman"/>
        </w:rPr>
        <w:t>International patent applications do not include information on the gender of the applicant. However, this information is valuable for the IP community, for example</w:t>
      </w:r>
      <w:r w:rsidR="00520A5F">
        <w:rPr>
          <w:rFonts w:eastAsia="Times New Roman"/>
        </w:rPr>
        <w:t>,</w:t>
      </w:r>
      <w:r w:rsidRPr="005A03AF">
        <w:rPr>
          <w:rFonts w:eastAsia="Times New Roman"/>
        </w:rPr>
        <w:t xml:space="preserve"> to detect and understand potential innovation gaps. </w:t>
      </w:r>
      <w:r w:rsidR="004E214B">
        <w:rPr>
          <w:rFonts w:eastAsia="Times New Roman"/>
        </w:rPr>
        <w:t xml:space="preserve"> </w:t>
      </w:r>
      <w:r w:rsidRPr="005A03AF">
        <w:rPr>
          <w:rFonts w:eastAsia="Times New Roman"/>
        </w:rPr>
        <w:t xml:space="preserve">Therefore, since </w:t>
      </w:r>
      <w:r w:rsidR="004E214B">
        <w:rPr>
          <w:rFonts w:eastAsia="Times New Roman"/>
        </w:rPr>
        <w:t>CDIP/22</w:t>
      </w:r>
      <w:r w:rsidRPr="005A03AF">
        <w:rPr>
          <w:rFonts w:eastAsia="Times New Roman"/>
        </w:rPr>
        <w:t>, the Secretariat has continued to work to develop methodologies to further understand the intersection of gender equality and IP and, based on these, to compile comparable international sex-disaggregated data.  This work has been channeled, in particular, through the Department of Economics and Data Analytics (DEDA) in the IP and Innovation Ecosystems Sector (IPIES).  In particular:</w:t>
      </w:r>
      <w:r w:rsidR="00C47988" w:rsidRPr="00777A0F">
        <w:rPr>
          <w:rFonts w:eastAsia="Times New Roman"/>
        </w:rPr>
        <w:t xml:space="preserve"> </w:t>
      </w:r>
    </w:p>
    <w:p w14:paraId="515E7CF6" w14:textId="76FD0F6F" w:rsidR="00B211CD" w:rsidRPr="00777A0F" w:rsidRDefault="00C47988" w:rsidP="00B211CD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</w:rPr>
      </w:pPr>
      <w:r w:rsidRPr="00777A0F">
        <w:rPr>
          <w:rFonts w:eastAsia="Times New Roman"/>
        </w:rPr>
        <w:t xml:space="preserve">The Statistics </w:t>
      </w:r>
      <w:r w:rsidR="00FE125C" w:rsidRPr="00777A0F">
        <w:rPr>
          <w:rFonts w:eastAsia="Times New Roman"/>
        </w:rPr>
        <w:t xml:space="preserve">and Data Analytics </w:t>
      </w:r>
      <w:r w:rsidRPr="00777A0F">
        <w:rPr>
          <w:rFonts w:eastAsia="Times New Roman"/>
        </w:rPr>
        <w:t xml:space="preserve">Division </w:t>
      </w:r>
      <w:r w:rsidR="00707985" w:rsidRPr="00777A0F">
        <w:rPr>
          <w:rFonts w:eastAsia="Times New Roman"/>
        </w:rPr>
        <w:t xml:space="preserve">published </w:t>
      </w:r>
      <w:r w:rsidRPr="00777A0F">
        <w:rPr>
          <w:rFonts w:eastAsia="Times New Roman"/>
        </w:rPr>
        <w:t xml:space="preserve">PCT statistics </w:t>
      </w:r>
      <w:r w:rsidR="005A03AF" w:rsidRPr="005A03AF">
        <w:rPr>
          <w:rFonts w:eastAsia="Times New Roman"/>
        </w:rPr>
        <w:t>disaggregated by sex</w:t>
      </w:r>
      <w:r w:rsidRPr="00777A0F">
        <w:rPr>
          <w:rFonts w:eastAsia="Times New Roman"/>
        </w:rPr>
        <w:t xml:space="preserve"> in its main flagship publications</w:t>
      </w:r>
      <w:r w:rsidR="00222BFD" w:rsidRPr="00777A0F">
        <w:rPr>
          <w:rFonts w:eastAsia="Times New Roman"/>
        </w:rPr>
        <w:t xml:space="preserve"> and web data center during the same period.</w:t>
      </w:r>
      <w:r w:rsidR="00707985" w:rsidRPr="00777A0F">
        <w:rPr>
          <w:rFonts w:eastAsia="Times New Roman"/>
        </w:rPr>
        <w:t xml:space="preserve"> Namely</w:t>
      </w:r>
      <w:r w:rsidR="00222BFD" w:rsidRPr="00777A0F">
        <w:rPr>
          <w:rFonts w:eastAsia="Times New Roman"/>
        </w:rPr>
        <w:t xml:space="preserve">: </w:t>
      </w:r>
    </w:p>
    <w:p w14:paraId="43A10980" w14:textId="2BF42C91" w:rsidR="00222BFD" w:rsidRPr="00777A0F" w:rsidRDefault="00C47988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  <w:rPr>
          <w:rFonts w:eastAsia="Times New Roman"/>
        </w:rPr>
      </w:pPr>
      <w:r w:rsidRPr="00777A0F">
        <w:t xml:space="preserve">PCT yearly review </w:t>
      </w:r>
      <w:r w:rsidR="00707985" w:rsidRPr="00777A0F">
        <w:t>(2019</w:t>
      </w:r>
      <w:r w:rsidR="00222BFD" w:rsidRPr="00777A0F">
        <w:t>)</w:t>
      </w:r>
    </w:p>
    <w:p w14:paraId="622B9950" w14:textId="77777777" w:rsidR="00222BFD" w:rsidRPr="00777A0F" w:rsidRDefault="00222BFD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>PCT yearly review (</w:t>
      </w:r>
      <w:r w:rsidR="00707985" w:rsidRPr="00777A0F">
        <w:t>2020)</w:t>
      </w:r>
    </w:p>
    <w:p w14:paraId="13EA4BF5" w14:textId="77777777" w:rsidR="00222BFD" w:rsidRPr="00777A0F" w:rsidRDefault="00C47988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 xml:space="preserve">World IP Indicators </w:t>
      </w:r>
      <w:r w:rsidR="00707985" w:rsidRPr="00777A0F">
        <w:t>(2018</w:t>
      </w:r>
      <w:r w:rsidR="00222BFD" w:rsidRPr="00777A0F">
        <w:t>)</w:t>
      </w:r>
    </w:p>
    <w:p w14:paraId="035D585A" w14:textId="77777777" w:rsidR="00222BFD" w:rsidRPr="00777A0F" w:rsidRDefault="00222BFD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>World IP Indicators (</w:t>
      </w:r>
      <w:r w:rsidR="00707985" w:rsidRPr="00777A0F">
        <w:t>2019</w:t>
      </w:r>
      <w:r w:rsidRPr="00777A0F">
        <w:t>)</w:t>
      </w:r>
    </w:p>
    <w:p w14:paraId="02032FEF" w14:textId="77777777" w:rsidR="00222BFD" w:rsidRPr="00777A0F" w:rsidRDefault="00222BFD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>World IP Indicators (</w:t>
      </w:r>
      <w:r w:rsidR="00707985" w:rsidRPr="00777A0F">
        <w:t>2020)</w:t>
      </w:r>
    </w:p>
    <w:p w14:paraId="1E57B7F1" w14:textId="3B81BEA4" w:rsidR="00C47988" w:rsidRPr="00777A0F" w:rsidRDefault="00FE125C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 xml:space="preserve">IP Statistics </w:t>
      </w:r>
      <w:r w:rsidR="00222BFD" w:rsidRPr="00777A0F">
        <w:t>Data Center</w:t>
      </w:r>
      <w:r w:rsidR="00340D75" w:rsidRPr="00777A0F">
        <w:t xml:space="preserve"> </w:t>
      </w:r>
      <w:r w:rsidR="00C47988" w:rsidRPr="00777A0F">
        <w:t xml:space="preserve"> </w:t>
      </w:r>
      <w:r w:rsidR="005C0B7E" w:rsidRPr="00777A0F">
        <w:t>(regular updates during the period)</w:t>
      </w:r>
    </w:p>
    <w:p w14:paraId="69E1DDB3" w14:textId="4C328FBB" w:rsidR="00340D75" w:rsidRPr="00777A0F" w:rsidRDefault="00C47988" w:rsidP="002627C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</w:rPr>
      </w:pPr>
      <w:r w:rsidRPr="00777A0F">
        <w:rPr>
          <w:rFonts w:eastAsia="Times New Roman"/>
        </w:rPr>
        <w:t>The Innovation Economy Section continue</w:t>
      </w:r>
      <w:r w:rsidR="00707985" w:rsidRPr="00777A0F">
        <w:rPr>
          <w:rFonts w:eastAsia="Times New Roman"/>
        </w:rPr>
        <w:t>d</w:t>
      </w:r>
      <w:r w:rsidRPr="00777A0F">
        <w:rPr>
          <w:rFonts w:eastAsia="Times New Roman"/>
        </w:rPr>
        <w:t xml:space="preserve"> to </w:t>
      </w:r>
      <w:r w:rsidR="00340D75" w:rsidRPr="00777A0F">
        <w:rPr>
          <w:rFonts w:eastAsia="Times New Roman"/>
        </w:rPr>
        <w:t xml:space="preserve">perform methodological and economic research on gender </w:t>
      </w:r>
      <w:r w:rsidR="005A03AF" w:rsidRPr="005A03AF">
        <w:rPr>
          <w:rFonts w:eastAsia="Times New Roman"/>
        </w:rPr>
        <w:t xml:space="preserve">equality </w:t>
      </w:r>
      <w:r w:rsidR="00340D75" w:rsidRPr="00777A0F">
        <w:rPr>
          <w:rFonts w:eastAsia="Times New Roman"/>
        </w:rPr>
        <w:t xml:space="preserve">and IP.  The research </w:t>
      </w:r>
      <w:r w:rsidR="004E214B">
        <w:rPr>
          <w:rFonts w:eastAsia="Times New Roman"/>
        </w:rPr>
        <w:t>during the reporting</w:t>
      </w:r>
      <w:r w:rsidR="00222BFD" w:rsidRPr="00777A0F">
        <w:rPr>
          <w:rFonts w:eastAsia="Times New Roman"/>
        </w:rPr>
        <w:t xml:space="preserve"> period </w:t>
      </w:r>
      <w:r w:rsidR="00340D75" w:rsidRPr="00777A0F">
        <w:rPr>
          <w:rFonts w:eastAsia="Times New Roman"/>
        </w:rPr>
        <w:t>ha</w:t>
      </w:r>
      <w:r w:rsidR="00707985" w:rsidRPr="00777A0F">
        <w:rPr>
          <w:rFonts w:eastAsia="Times New Roman"/>
        </w:rPr>
        <w:t xml:space="preserve">s had </w:t>
      </w:r>
      <w:r w:rsidR="002627CA" w:rsidRPr="00777A0F">
        <w:rPr>
          <w:rFonts w:eastAsia="Times New Roman"/>
        </w:rPr>
        <w:t>two main axes: (i) f</w:t>
      </w:r>
      <w:r w:rsidR="00340D75" w:rsidRPr="00777A0F">
        <w:t>urther improve gender disambiguation methodologies</w:t>
      </w:r>
      <w:r w:rsidR="00222BFD" w:rsidRPr="00777A0F">
        <w:t>; and,</w:t>
      </w:r>
      <w:r w:rsidR="002627CA" w:rsidRPr="00777A0F">
        <w:t xml:space="preserve"> (ii) improve and e</w:t>
      </w:r>
      <w:r w:rsidR="00340D75" w:rsidRPr="00777A0F">
        <w:t xml:space="preserve">xpand the IP collections and data with </w:t>
      </w:r>
      <w:r w:rsidR="005A03AF" w:rsidRPr="005A03AF">
        <w:t>sex disaggregation</w:t>
      </w:r>
      <w:r w:rsidR="00340D75" w:rsidRPr="00777A0F">
        <w:t>.</w:t>
      </w:r>
    </w:p>
    <w:p w14:paraId="4874F972" w14:textId="5CDA8D6F" w:rsidR="002627CA" w:rsidRPr="00777A0F" w:rsidRDefault="002627CA" w:rsidP="002627C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</w:rPr>
      </w:pPr>
      <w:r w:rsidRPr="00777A0F">
        <w:rPr>
          <w:rFonts w:eastAsia="Times New Roman"/>
        </w:rPr>
        <w:t>During the report</w:t>
      </w:r>
      <w:r w:rsidR="004E214B">
        <w:rPr>
          <w:rFonts w:eastAsia="Times New Roman"/>
        </w:rPr>
        <w:t>ing</w:t>
      </w:r>
      <w:r w:rsidRPr="00777A0F">
        <w:rPr>
          <w:rFonts w:eastAsia="Times New Roman"/>
        </w:rPr>
        <w:t xml:space="preserve"> period, the Innovation Economy Section further improved </w:t>
      </w:r>
      <w:r w:rsidRPr="00777A0F">
        <w:t>gender d</w:t>
      </w:r>
      <w:r w:rsidR="004E214B">
        <w:t>isambiguation methodologies by:</w:t>
      </w:r>
    </w:p>
    <w:p w14:paraId="4A27396A" w14:textId="1739B805" w:rsidR="00FE125C" w:rsidRPr="005B436A" w:rsidRDefault="004E214B" w:rsidP="00781CA5">
      <w:pPr>
        <w:pStyle w:val="ListParagraph"/>
        <w:numPr>
          <w:ilvl w:val="1"/>
          <w:numId w:val="7"/>
        </w:numPr>
        <w:spacing w:after="240"/>
        <w:ind w:left="810" w:hanging="540"/>
        <w:contextualSpacing w:val="0"/>
        <w:rPr>
          <w:rFonts w:eastAsia="Times New Roman"/>
        </w:rPr>
      </w:pPr>
      <w:r>
        <w:t>Creating</w:t>
      </w:r>
      <w:r w:rsidR="00FE125C" w:rsidRPr="00777A0F">
        <w:t xml:space="preserve"> more accessible versions of the World Gender-Name Dictionary (</w:t>
      </w:r>
      <w:r w:rsidR="00710C5A" w:rsidRPr="00777A0F">
        <w:t>WGND</w:t>
      </w:r>
      <w:r w:rsidR="00FE125C" w:rsidRPr="00777A0F">
        <w:t xml:space="preserve">) by publishing it in the </w:t>
      </w:r>
      <w:hyperlink r:id="rId10" w:history="1">
        <w:r w:rsidR="00FE125C" w:rsidRPr="00777A0F">
          <w:rPr>
            <w:rStyle w:val="Hyperlink"/>
          </w:rPr>
          <w:t>Harvard Dataverse</w:t>
        </w:r>
      </w:hyperlink>
      <w:r w:rsidR="00FE125C" w:rsidRPr="00777A0F">
        <w:t xml:space="preserve"> (</w:t>
      </w:r>
      <w:r w:rsidR="00710C5A" w:rsidRPr="00777A0F">
        <w:t>WGND</w:t>
      </w:r>
      <w:r w:rsidR="00FE125C" w:rsidRPr="00777A0F">
        <w:t xml:space="preserve"> 1.0) </w:t>
      </w:r>
      <w:r w:rsidR="00FE125C" w:rsidRPr="005B436A">
        <w:t xml:space="preserve">and in </w:t>
      </w:r>
      <w:hyperlink r:id="rId11" w:history="1">
        <w:r w:rsidR="00FE125C" w:rsidRPr="005B436A">
          <w:rPr>
            <w:rStyle w:val="Hyperlink"/>
          </w:rPr>
          <w:t>GitHub</w:t>
        </w:r>
      </w:hyperlink>
      <w:r w:rsidR="00FE125C" w:rsidRPr="005B436A">
        <w:t xml:space="preserve"> (</w:t>
      </w:r>
      <w:r w:rsidR="00710C5A" w:rsidRPr="005B436A">
        <w:t>WGND</w:t>
      </w:r>
      <w:r w:rsidR="00FE125C" w:rsidRPr="005B436A">
        <w:t xml:space="preserve"> 1.1).  See more on this </w:t>
      </w:r>
      <w:r w:rsidR="00DB319C" w:rsidRPr="005B436A">
        <w:t xml:space="preserve">in paragraph </w:t>
      </w:r>
      <w:r w:rsidR="00DB319C" w:rsidRPr="005B436A">
        <w:fldChar w:fldCharType="begin"/>
      </w:r>
      <w:r w:rsidR="00DB319C" w:rsidRPr="005B436A">
        <w:instrText xml:space="preserve"> REF _Ref71563722 \r \h </w:instrText>
      </w:r>
      <w:r w:rsidR="005B436A">
        <w:instrText xml:space="preserve"> \* MERGEFORMAT </w:instrText>
      </w:r>
      <w:r w:rsidR="00DB319C" w:rsidRPr="005B436A">
        <w:fldChar w:fldCharType="separate"/>
      </w:r>
      <w:r w:rsidR="00433681" w:rsidRPr="005B436A">
        <w:t>10</w:t>
      </w:r>
      <w:r w:rsidR="00DB319C" w:rsidRPr="005B436A">
        <w:fldChar w:fldCharType="end"/>
      </w:r>
      <w:r w:rsidR="00DB319C" w:rsidRPr="005B436A">
        <w:t xml:space="preserve"> </w:t>
      </w:r>
      <w:r w:rsidR="00FE125C" w:rsidRPr="005B436A">
        <w:t>below.</w:t>
      </w:r>
    </w:p>
    <w:p w14:paraId="07E54213" w14:textId="267D3049" w:rsidR="00A61B27" w:rsidRDefault="002627CA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bookmarkStart w:id="6" w:name="_Ref71554050"/>
      <w:r w:rsidRPr="005B436A">
        <w:t xml:space="preserve">Improving the international coverage of the </w:t>
      </w:r>
      <w:r w:rsidR="00710C5A" w:rsidRPr="005B436A">
        <w:t>WGND</w:t>
      </w:r>
      <w:r w:rsidR="00FE125C" w:rsidRPr="005B436A">
        <w:t xml:space="preserve"> by including more sources from new countries (</w:t>
      </w:r>
      <w:r w:rsidR="00710C5A" w:rsidRPr="005B436A">
        <w:t>WGND</w:t>
      </w:r>
      <w:r w:rsidR="00FE125C" w:rsidRPr="005B436A">
        <w:t xml:space="preserve"> 2.0).  </w:t>
      </w:r>
      <w:r w:rsidR="00286A92" w:rsidRPr="005B436A">
        <w:t xml:space="preserve">This new version is published </w:t>
      </w:r>
      <w:r w:rsidR="00520A5F">
        <w:t>on</w:t>
      </w:r>
      <w:r w:rsidR="00286A92" w:rsidRPr="005B436A">
        <w:t xml:space="preserve"> </w:t>
      </w:r>
      <w:hyperlink r:id="rId12" w:history="1">
        <w:r w:rsidR="00286A92" w:rsidRPr="005B436A">
          <w:rPr>
            <w:rStyle w:val="Hyperlink"/>
          </w:rPr>
          <w:t>WIPO website</w:t>
        </w:r>
      </w:hyperlink>
      <w:r w:rsidR="00286A92" w:rsidRPr="005B436A">
        <w:t xml:space="preserve">, </w:t>
      </w:r>
      <w:hyperlink r:id="rId13" w:history="1">
        <w:r w:rsidR="005A03AF" w:rsidRPr="005B436A">
          <w:rPr>
            <w:rStyle w:val="Hyperlink"/>
          </w:rPr>
          <w:t>Harvard Dataverse</w:t>
        </w:r>
      </w:hyperlink>
      <w:r w:rsidR="00286A92" w:rsidRPr="005B436A">
        <w:t xml:space="preserve"> (WGND 2.0)</w:t>
      </w:r>
      <w:r w:rsidR="00520A5F">
        <w:t>,</w:t>
      </w:r>
      <w:r w:rsidR="00286A92" w:rsidRPr="005B436A">
        <w:t xml:space="preserve"> and in </w:t>
      </w:r>
      <w:hyperlink r:id="rId14" w:history="1">
        <w:r w:rsidR="00286A92" w:rsidRPr="005B436A">
          <w:rPr>
            <w:rStyle w:val="Hyperlink"/>
          </w:rPr>
          <w:t>GitHub</w:t>
        </w:r>
      </w:hyperlink>
      <w:r w:rsidR="00286A92" w:rsidRPr="005B436A">
        <w:t xml:space="preserve"> (WGND 2.1). </w:t>
      </w:r>
      <w:bookmarkStart w:id="7" w:name="_Ref71547896"/>
      <w:bookmarkEnd w:id="6"/>
    </w:p>
    <w:p w14:paraId="0F91EC60" w14:textId="7D78370F" w:rsidR="002627CA" w:rsidRPr="00777A0F" w:rsidRDefault="002627CA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 xml:space="preserve">Analyzing the </w:t>
      </w:r>
      <w:r w:rsidR="005C0B7E" w:rsidRPr="00777A0F">
        <w:t xml:space="preserve">robustness </w:t>
      </w:r>
      <w:r w:rsidRPr="00777A0F">
        <w:t xml:space="preserve">of using gender dictionaries for </w:t>
      </w:r>
      <w:r w:rsidR="00FE125C" w:rsidRPr="00777A0F">
        <w:t xml:space="preserve">given names from </w:t>
      </w:r>
      <w:r w:rsidRPr="00777A0F">
        <w:t xml:space="preserve">certain </w:t>
      </w:r>
      <w:r w:rsidR="00FE125C" w:rsidRPr="00777A0F">
        <w:t xml:space="preserve">Asian </w:t>
      </w:r>
      <w:r w:rsidRPr="00777A0F">
        <w:t>languages</w:t>
      </w:r>
      <w:r w:rsidR="00FE125C" w:rsidRPr="00777A0F">
        <w:t xml:space="preserve">.  This analysis indicates the problems of Romanized Chinese and Korean given names.  The main </w:t>
      </w:r>
      <w:r w:rsidR="007F2EBF" w:rsidRPr="00777A0F">
        <w:t xml:space="preserve">implications </w:t>
      </w:r>
      <w:r w:rsidR="00D250A9" w:rsidRPr="00777A0F">
        <w:t>from the analysis are</w:t>
      </w:r>
      <w:r w:rsidR="007F2EBF" w:rsidRPr="00777A0F">
        <w:t xml:space="preserve"> that future gender analysis will benefit from</w:t>
      </w:r>
      <w:r w:rsidR="00D250A9" w:rsidRPr="00777A0F">
        <w:t>: (i</w:t>
      </w:r>
      <w:r w:rsidR="007F2EBF" w:rsidRPr="00777A0F">
        <w:t xml:space="preserve">) </w:t>
      </w:r>
      <w:r w:rsidR="00D250A9" w:rsidRPr="00777A0F">
        <w:t>increas</w:t>
      </w:r>
      <w:r w:rsidR="007F2EBF" w:rsidRPr="00777A0F">
        <w:t>ing</w:t>
      </w:r>
      <w:r w:rsidR="00D250A9" w:rsidRPr="00777A0F">
        <w:t xml:space="preserve"> the coverage of IP data in original Asian characters; and (ii) extend</w:t>
      </w:r>
      <w:r w:rsidR="007F2EBF" w:rsidRPr="00777A0F">
        <w:t>ing</w:t>
      </w:r>
      <w:r w:rsidR="00D250A9" w:rsidRPr="00777A0F">
        <w:t xml:space="preserve"> the coverage of </w:t>
      </w:r>
      <w:r w:rsidR="00FE125C" w:rsidRPr="00777A0F">
        <w:t>Asian names</w:t>
      </w:r>
      <w:r w:rsidR="00D250A9" w:rsidRPr="00777A0F">
        <w:t xml:space="preserve"> </w:t>
      </w:r>
      <w:r w:rsidR="00FE125C" w:rsidRPr="00777A0F">
        <w:t xml:space="preserve">in original characters </w:t>
      </w:r>
      <w:r w:rsidR="00D250A9" w:rsidRPr="00777A0F">
        <w:t>in future version</w:t>
      </w:r>
      <w:r w:rsidR="007F2EBF" w:rsidRPr="00777A0F">
        <w:t>s</w:t>
      </w:r>
      <w:r w:rsidR="00D250A9" w:rsidRPr="00777A0F">
        <w:t xml:space="preserve"> of </w:t>
      </w:r>
      <w:r w:rsidR="007F2EBF" w:rsidRPr="00777A0F">
        <w:t xml:space="preserve">the </w:t>
      </w:r>
      <w:r w:rsidR="00710C5A" w:rsidRPr="00777A0F">
        <w:t>WGND</w:t>
      </w:r>
      <w:r w:rsidR="00D250A9" w:rsidRPr="00777A0F">
        <w:t>.</w:t>
      </w:r>
      <w:bookmarkEnd w:id="7"/>
      <w:r w:rsidR="00D250A9" w:rsidRPr="00777A0F">
        <w:t xml:space="preserve"> </w:t>
      </w:r>
    </w:p>
    <w:p w14:paraId="21D9F445" w14:textId="492E1666" w:rsidR="002627CA" w:rsidRPr="00777A0F" w:rsidRDefault="002627CA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lastRenderedPageBreak/>
        <w:t xml:space="preserve">Analyzing alternative methods </w:t>
      </w:r>
      <w:r w:rsidR="005A03AF" w:rsidRPr="005A03AF">
        <w:t>for gender disambiguation</w:t>
      </w:r>
      <w:r w:rsidRPr="00777A0F">
        <w:t>, such as machine learning imputation</w:t>
      </w:r>
      <w:r w:rsidR="00D250A9" w:rsidRPr="00777A0F">
        <w:t>.  A preliminary exploration was done in collaboration with the Advanced Technology Applications Center (ATAC) in the Infrastructure and Platforms Sector.</w:t>
      </w:r>
    </w:p>
    <w:p w14:paraId="52316903" w14:textId="064E2976" w:rsidR="002627CA" w:rsidRPr="00777A0F" w:rsidRDefault="00C60D1B" w:rsidP="00781CA5">
      <w:pPr>
        <w:pStyle w:val="ListParagraph"/>
        <w:numPr>
          <w:ilvl w:val="1"/>
          <w:numId w:val="7"/>
        </w:numPr>
        <w:spacing w:after="240"/>
        <w:ind w:hanging="522"/>
        <w:contextualSpacing w:val="0"/>
      </w:pPr>
      <w:r w:rsidRPr="00777A0F">
        <w:t xml:space="preserve">Conceiving </w:t>
      </w:r>
      <w:r w:rsidR="002627CA" w:rsidRPr="00777A0F">
        <w:t xml:space="preserve">a gender </w:t>
      </w:r>
      <w:r w:rsidR="005A03AF" w:rsidRPr="005A03AF">
        <w:t xml:space="preserve">parity </w:t>
      </w:r>
      <w:r w:rsidR="002627CA" w:rsidRPr="00777A0F">
        <w:t xml:space="preserve">forecast </w:t>
      </w:r>
      <w:r w:rsidR="005C0B7E" w:rsidRPr="00777A0F">
        <w:t xml:space="preserve">series of </w:t>
      </w:r>
      <w:r w:rsidR="002627CA" w:rsidRPr="00777A0F">
        <w:t>method</w:t>
      </w:r>
      <w:r w:rsidR="005C0B7E" w:rsidRPr="00777A0F">
        <w:t>s</w:t>
      </w:r>
      <w:r w:rsidRPr="00777A0F">
        <w:t>.</w:t>
      </w:r>
      <w:r w:rsidR="002627CA" w:rsidRPr="00777A0F">
        <w:t xml:space="preserve"> </w:t>
      </w:r>
      <w:r w:rsidRPr="00777A0F">
        <w:t xml:space="preserve"> </w:t>
      </w:r>
      <w:r w:rsidR="006010F2">
        <w:t xml:space="preserve">These methods allow to assess different scenarios of when gender </w:t>
      </w:r>
      <w:r w:rsidR="005A03AF" w:rsidRPr="005A03AF">
        <w:t xml:space="preserve">parity </w:t>
      </w:r>
      <w:r w:rsidR="006010F2">
        <w:t xml:space="preserve">can be attained.  </w:t>
      </w:r>
      <w:r w:rsidRPr="00777A0F">
        <w:t xml:space="preserve">The different </w:t>
      </w:r>
      <w:r w:rsidR="006010F2">
        <w:t xml:space="preserve">forecast scenarios </w:t>
      </w:r>
      <w:r w:rsidRPr="00777A0F">
        <w:t xml:space="preserve">can be applied to any new gender disambiguated data.  It has been applied regularly by DEDA to PCT </w:t>
      </w:r>
      <w:r w:rsidR="0038702B" w:rsidRPr="00777A0F">
        <w:t xml:space="preserve">inventors </w:t>
      </w:r>
      <w:r w:rsidRPr="00777A0F">
        <w:t>and</w:t>
      </w:r>
      <w:r w:rsidR="0078216C">
        <w:t xml:space="preserve"> to</w:t>
      </w:r>
      <w:r w:rsidRPr="00777A0F">
        <w:t xml:space="preserve"> </w:t>
      </w:r>
      <w:r w:rsidR="006010F2">
        <w:t xml:space="preserve">the list of </w:t>
      </w:r>
      <w:r w:rsidRPr="00777A0F">
        <w:t xml:space="preserve">WIPO </w:t>
      </w:r>
      <w:r w:rsidR="006010F2">
        <w:t>General A</w:t>
      </w:r>
      <w:r w:rsidR="0038702B" w:rsidRPr="00777A0F">
        <w:t>ssembl</w:t>
      </w:r>
      <w:r w:rsidR="006010F2">
        <w:t>ies delegates</w:t>
      </w:r>
      <w:r w:rsidRPr="00777A0F">
        <w:t xml:space="preserve"> upon request</w:t>
      </w:r>
      <w:r w:rsidR="006010F2">
        <w:t xml:space="preserve"> of </w:t>
      </w:r>
      <w:r w:rsidR="00032398">
        <w:t xml:space="preserve">WIPO’s </w:t>
      </w:r>
      <w:r w:rsidR="006010F2">
        <w:t>Gender and Diversity Specialist</w:t>
      </w:r>
      <w:r w:rsidRPr="00777A0F">
        <w:t xml:space="preserve">. </w:t>
      </w:r>
    </w:p>
    <w:p w14:paraId="7732CB6D" w14:textId="7CB47E6A" w:rsidR="005C0B7E" w:rsidRPr="00777A0F" w:rsidRDefault="002627CA" w:rsidP="002627C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</w:rPr>
      </w:pPr>
      <w:r w:rsidRPr="00777A0F">
        <w:t xml:space="preserve">In the same period, </w:t>
      </w:r>
      <w:r w:rsidR="00B211CD" w:rsidRPr="00777A0F">
        <w:rPr>
          <w:rFonts w:eastAsia="Times New Roman"/>
        </w:rPr>
        <w:t xml:space="preserve">the Innovation Economy Section performed </w:t>
      </w:r>
      <w:r w:rsidRPr="00777A0F">
        <w:t xml:space="preserve">research on </w:t>
      </w:r>
      <w:r w:rsidR="005C0B7E" w:rsidRPr="00777A0F">
        <w:t>improving</w:t>
      </w:r>
      <w:r w:rsidR="00710C5A" w:rsidRPr="00777A0F">
        <w:t xml:space="preserve">, </w:t>
      </w:r>
      <w:r w:rsidR="005C0B7E" w:rsidRPr="00777A0F">
        <w:t>expanding</w:t>
      </w:r>
      <w:r w:rsidR="00520A5F">
        <w:t>,</w:t>
      </w:r>
      <w:r w:rsidR="005C0B7E" w:rsidRPr="00777A0F">
        <w:t xml:space="preserve"> </w:t>
      </w:r>
      <w:r w:rsidR="00710C5A" w:rsidRPr="00777A0F">
        <w:t xml:space="preserve">and analyzing </w:t>
      </w:r>
      <w:r w:rsidR="005C0B7E" w:rsidRPr="00777A0F">
        <w:t xml:space="preserve">the </w:t>
      </w:r>
      <w:r w:rsidR="005A03AF" w:rsidRPr="005A03AF">
        <w:t xml:space="preserve">sex disaggregated </w:t>
      </w:r>
      <w:r w:rsidR="005C0B7E" w:rsidRPr="00777A0F">
        <w:t xml:space="preserve">IP data </w:t>
      </w:r>
      <w:r w:rsidR="00B211CD" w:rsidRPr="00777A0F">
        <w:t>by</w:t>
      </w:r>
      <w:r w:rsidR="005C0B7E" w:rsidRPr="00777A0F">
        <w:t>:</w:t>
      </w:r>
    </w:p>
    <w:p w14:paraId="52458C59" w14:textId="157DD58E" w:rsidR="005C0B7E" w:rsidRPr="00777A0F" w:rsidRDefault="005C0B7E" w:rsidP="00781CA5">
      <w:pPr>
        <w:pStyle w:val="ListParagraph"/>
        <w:numPr>
          <w:ilvl w:val="1"/>
          <w:numId w:val="7"/>
        </w:numPr>
        <w:spacing w:after="240"/>
        <w:ind w:left="720" w:hanging="540"/>
        <w:contextualSpacing w:val="0"/>
        <w:rPr>
          <w:rFonts w:eastAsia="Times New Roman"/>
        </w:rPr>
      </w:pPr>
      <w:r w:rsidRPr="00777A0F">
        <w:t xml:space="preserve">Automating the </w:t>
      </w:r>
      <w:r w:rsidR="008C38E4" w:rsidRPr="00777A0F">
        <w:t xml:space="preserve">PCT inventors’ </w:t>
      </w:r>
      <w:r w:rsidRPr="00777A0F">
        <w:t xml:space="preserve">gender </w:t>
      </w:r>
      <w:r w:rsidR="008C38E4" w:rsidRPr="00777A0F">
        <w:t xml:space="preserve">disambiguation using the </w:t>
      </w:r>
      <w:r w:rsidR="00710C5A" w:rsidRPr="00777A0F">
        <w:t>WGND</w:t>
      </w:r>
      <w:r w:rsidR="00B211CD" w:rsidRPr="00777A0F">
        <w:t>.  A method was</w:t>
      </w:r>
      <w:r w:rsidR="008C38E4" w:rsidRPr="00777A0F">
        <w:t xml:space="preserve"> conceived, </w:t>
      </w:r>
      <w:r w:rsidR="00B211CD" w:rsidRPr="00777A0F">
        <w:t>designed</w:t>
      </w:r>
      <w:r w:rsidR="008C38E4" w:rsidRPr="00777A0F">
        <w:t xml:space="preserve"> and fully implemented </w:t>
      </w:r>
      <w:r w:rsidR="00B211CD" w:rsidRPr="00777A0F">
        <w:t xml:space="preserve">to be applied to </w:t>
      </w:r>
      <w:r w:rsidR="008C38E4" w:rsidRPr="00777A0F">
        <w:t xml:space="preserve">the historical and new </w:t>
      </w:r>
      <w:r w:rsidR="00B211CD" w:rsidRPr="00777A0F">
        <w:t xml:space="preserve">PCT unit-record data based on </w:t>
      </w:r>
      <w:r w:rsidR="00710C5A" w:rsidRPr="00777A0F">
        <w:t>WGND</w:t>
      </w:r>
      <w:r w:rsidR="00B211CD" w:rsidRPr="00777A0F">
        <w:t xml:space="preserve"> 1.0. </w:t>
      </w:r>
      <w:r w:rsidR="00F65A1A" w:rsidRPr="00777A0F">
        <w:t xml:space="preserve"> </w:t>
      </w:r>
    </w:p>
    <w:p w14:paraId="18B22A36" w14:textId="2E7C7019" w:rsidR="005C0B7E" w:rsidRPr="00777A0F" w:rsidRDefault="008C38E4" w:rsidP="00781CA5">
      <w:pPr>
        <w:pStyle w:val="ListParagraph"/>
        <w:numPr>
          <w:ilvl w:val="1"/>
          <w:numId w:val="7"/>
        </w:numPr>
        <w:spacing w:after="240"/>
        <w:ind w:hanging="612"/>
        <w:contextualSpacing w:val="0"/>
        <w:rPr>
          <w:rFonts w:eastAsia="Times New Roman"/>
        </w:rPr>
      </w:pPr>
      <w:r w:rsidRPr="00777A0F">
        <w:t xml:space="preserve">Automating the PCT inventors’ gender disambiguation </w:t>
      </w:r>
      <w:r w:rsidR="005C0B7E" w:rsidRPr="00777A0F">
        <w:t>for non-Romanized inventor’s names</w:t>
      </w:r>
      <w:r w:rsidRPr="00777A0F">
        <w:t xml:space="preserve"> based on complementary original Asian character data</w:t>
      </w:r>
      <w:r w:rsidR="00C1184D" w:rsidRPr="00777A0F">
        <w:t xml:space="preserve">.  </w:t>
      </w:r>
      <w:r w:rsidRPr="00777A0F">
        <w:t>A method was conceived, designed and fully implemented to appl</w:t>
      </w:r>
      <w:r w:rsidR="00C1184D" w:rsidRPr="00777A0F">
        <w:t xml:space="preserve">y the </w:t>
      </w:r>
      <w:r w:rsidR="00710C5A" w:rsidRPr="00777A0F">
        <w:t>WGND</w:t>
      </w:r>
      <w:r w:rsidR="00C1184D" w:rsidRPr="00777A0F">
        <w:t xml:space="preserve"> 1.0</w:t>
      </w:r>
      <w:r w:rsidR="006010F2">
        <w:t xml:space="preserve">.  The method requires </w:t>
      </w:r>
      <w:r w:rsidR="00C1184D" w:rsidRPr="00777A0F">
        <w:t xml:space="preserve">additional data </w:t>
      </w:r>
      <w:r w:rsidR="006010F2">
        <w:t>containing inventor</w:t>
      </w:r>
      <w:r w:rsidR="005A03AF">
        <w:t>s’</w:t>
      </w:r>
      <w:r w:rsidR="006010F2">
        <w:t xml:space="preserve"> names in original Asian characters which </w:t>
      </w:r>
      <w:r w:rsidR="00DB4F53">
        <w:t>are</w:t>
      </w:r>
      <w:r w:rsidR="006010F2">
        <w:t xml:space="preserve"> </w:t>
      </w:r>
      <w:r w:rsidR="00C1184D" w:rsidRPr="00777A0F">
        <w:t>provided regularly by the Operations and Support Section in the PCT Information Systems Division in the Patents and Technology Sector.</w:t>
      </w:r>
      <w:r w:rsidR="004C7274" w:rsidRPr="00777A0F">
        <w:t xml:space="preserve"> </w:t>
      </w:r>
    </w:p>
    <w:p w14:paraId="73B092E4" w14:textId="6A104E0D" w:rsidR="005C0B7E" w:rsidRPr="00777A0F" w:rsidRDefault="00C1184D" w:rsidP="00781CA5">
      <w:pPr>
        <w:pStyle w:val="ListParagraph"/>
        <w:numPr>
          <w:ilvl w:val="1"/>
          <w:numId w:val="7"/>
        </w:numPr>
        <w:spacing w:after="240"/>
        <w:ind w:left="720" w:hanging="540"/>
        <w:contextualSpacing w:val="0"/>
        <w:rPr>
          <w:rFonts w:eastAsia="Times New Roman"/>
        </w:rPr>
      </w:pPr>
      <w:r w:rsidRPr="00777A0F">
        <w:t xml:space="preserve">Expanding the gender disambiguation to </w:t>
      </w:r>
      <w:r w:rsidR="005C0B7E" w:rsidRPr="00777A0F">
        <w:t xml:space="preserve">individual applicants and legal representatives </w:t>
      </w:r>
      <w:r w:rsidRPr="00777A0F">
        <w:t xml:space="preserve">in the PCT collection. </w:t>
      </w:r>
      <w:r w:rsidR="005C0B7E" w:rsidRPr="00777A0F">
        <w:t xml:space="preserve"> </w:t>
      </w:r>
      <w:r w:rsidRPr="00777A0F">
        <w:t>A method was conceived, designed</w:t>
      </w:r>
      <w:r w:rsidR="00520A5F">
        <w:t>,</w:t>
      </w:r>
      <w:r w:rsidRPr="00777A0F">
        <w:t xml:space="preserve"> and fully implemented to be applied to the historical and new PCT unit-record data based on </w:t>
      </w:r>
      <w:r w:rsidR="00710C5A" w:rsidRPr="00777A0F">
        <w:t>WGND</w:t>
      </w:r>
      <w:r w:rsidRPr="00777A0F">
        <w:t xml:space="preserve"> 1.0.</w:t>
      </w:r>
      <w:r w:rsidR="004C7274" w:rsidRPr="00777A0F">
        <w:t xml:space="preserve">  The results from this method are being further analyzed. </w:t>
      </w:r>
    </w:p>
    <w:p w14:paraId="4B65C794" w14:textId="0E5D9E56" w:rsidR="00004C61" w:rsidRPr="00777A0F" w:rsidRDefault="005C0B7E" w:rsidP="00781CA5">
      <w:pPr>
        <w:pStyle w:val="ListParagraph"/>
        <w:numPr>
          <w:ilvl w:val="1"/>
          <w:numId w:val="7"/>
        </w:numPr>
        <w:spacing w:after="240"/>
        <w:ind w:left="720" w:hanging="540"/>
        <w:contextualSpacing w:val="0"/>
        <w:rPr>
          <w:rFonts w:eastAsia="Times New Roman"/>
        </w:rPr>
      </w:pPr>
      <w:r w:rsidRPr="00777A0F">
        <w:t xml:space="preserve">Expanding the gender </w:t>
      </w:r>
      <w:r w:rsidR="00F65A1A" w:rsidRPr="00777A0F">
        <w:t xml:space="preserve">disambiguation </w:t>
      </w:r>
      <w:r w:rsidRPr="00777A0F">
        <w:t>to patent and utility model inventors in national IP collections</w:t>
      </w:r>
      <w:r w:rsidR="001F3578" w:rsidRPr="00777A0F">
        <w:t xml:space="preserve">. </w:t>
      </w:r>
      <w:r w:rsidRPr="00777A0F">
        <w:t xml:space="preserve"> </w:t>
      </w:r>
      <w:r w:rsidR="001F3578" w:rsidRPr="00777A0F">
        <w:t>A method was conceived, designed</w:t>
      </w:r>
      <w:r w:rsidR="00520A5F">
        <w:t>,</w:t>
      </w:r>
      <w:r w:rsidR="001F3578" w:rsidRPr="00777A0F">
        <w:t xml:space="preserve"> and </w:t>
      </w:r>
      <w:r w:rsidR="00004C61" w:rsidRPr="00777A0F">
        <w:t xml:space="preserve">experimentally </w:t>
      </w:r>
      <w:r w:rsidR="001F3578" w:rsidRPr="00777A0F">
        <w:t xml:space="preserve">implemented to be applied to the historical </w:t>
      </w:r>
      <w:r w:rsidR="00004C61" w:rsidRPr="00777A0F">
        <w:t xml:space="preserve">data available in </w:t>
      </w:r>
      <w:r w:rsidRPr="00777A0F">
        <w:t xml:space="preserve">DOCDB/PATSTAT </w:t>
      </w:r>
      <w:r w:rsidR="00004C61" w:rsidRPr="00777A0F">
        <w:t xml:space="preserve">unit-record data using </w:t>
      </w:r>
      <w:r w:rsidR="00710C5A" w:rsidRPr="00777A0F">
        <w:t>WGND</w:t>
      </w:r>
      <w:r w:rsidR="00004C61" w:rsidRPr="00777A0F">
        <w:t xml:space="preserve"> 1.0.  Preliminary results of this research were published in the World IP Indicators series. </w:t>
      </w:r>
    </w:p>
    <w:p w14:paraId="284B92A1" w14:textId="7872EBB0" w:rsidR="005C0B7E" w:rsidRPr="00777A0F" w:rsidRDefault="005C0B7E" w:rsidP="00781CA5">
      <w:pPr>
        <w:pStyle w:val="ListParagraph"/>
        <w:numPr>
          <w:ilvl w:val="1"/>
          <w:numId w:val="7"/>
        </w:numPr>
        <w:spacing w:after="240"/>
        <w:ind w:left="720" w:hanging="540"/>
        <w:contextualSpacing w:val="0"/>
        <w:rPr>
          <w:rFonts w:eastAsia="Times New Roman"/>
        </w:rPr>
      </w:pPr>
      <w:r w:rsidRPr="00777A0F">
        <w:t xml:space="preserve">Analyzing the </w:t>
      </w:r>
      <w:r w:rsidR="00417AB5" w:rsidRPr="00777A0F">
        <w:t xml:space="preserve">potential of </w:t>
      </w:r>
      <w:r w:rsidRPr="00777A0F">
        <w:t xml:space="preserve">gender </w:t>
      </w:r>
      <w:r w:rsidR="00417AB5" w:rsidRPr="00777A0F">
        <w:t xml:space="preserve">disambiguation of </w:t>
      </w:r>
      <w:r w:rsidR="002627CA" w:rsidRPr="00777A0F">
        <w:t xml:space="preserve">Hague </w:t>
      </w:r>
      <w:r w:rsidR="00777A0F">
        <w:t>i</w:t>
      </w:r>
      <w:r w:rsidRPr="00777A0F">
        <w:t xml:space="preserve">ndustrial </w:t>
      </w:r>
      <w:r w:rsidR="00777A0F">
        <w:t>d</w:t>
      </w:r>
      <w:r w:rsidRPr="00777A0F">
        <w:t xml:space="preserve">esign </w:t>
      </w:r>
      <w:r w:rsidR="00417AB5" w:rsidRPr="00777A0F">
        <w:t xml:space="preserve">unit-record data. </w:t>
      </w:r>
      <w:r w:rsidRPr="00777A0F">
        <w:t xml:space="preserve"> </w:t>
      </w:r>
      <w:r w:rsidR="007F2EBF" w:rsidRPr="00777A0F">
        <w:t xml:space="preserve">Data was collected and analyzed for the Hague system applying the </w:t>
      </w:r>
      <w:r w:rsidR="00710C5A" w:rsidRPr="00777A0F">
        <w:t>WGND</w:t>
      </w:r>
      <w:r w:rsidR="007F2EBF" w:rsidRPr="00777A0F">
        <w:t xml:space="preserve"> 1.0. </w:t>
      </w:r>
      <w:r w:rsidR="00710C5A" w:rsidRPr="00777A0F">
        <w:t xml:space="preserve">As </w:t>
      </w:r>
      <w:r w:rsidR="00520A5F">
        <w:t xml:space="preserve">a </w:t>
      </w:r>
      <w:r w:rsidR="00710C5A" w:rsidRPr="00777A0F">
        <w:t xml:space="preserve">preliminary result from this and the following analyses, it was concluded to expand the international coverage of WGND sources (see paragraph </w:t>
      </w:r>
      <w:r w:rsidR="00710C5A" w:rsidRPr="00777A0F">
        <w:fldChar w:fldCharType="begin"/>
      </w:r>
      <w:r w:rsidR="00710C5A" w:rsidRPr="00777A0F">
        <w:instrText xml:space="preserve"> REF _Ref71554050 \r \h </w:instrText>
      </w:r>
      <w:r w:rsidR="00710C5A" w:rsidRPr="00777A0F">
        <w:fldChar w:fldCharType="separate"/>
      </w:r>
      <w:r w:rsidR="00433681">
        <w:t>8.2</w:t>
      </w:r>
      <w:r w:rsidR="00710C5A" w:rsidRPr="00777A0F">
        <w:fldChar w:fldCharType="end"/>
      </w:r>
      <w:r w:rsidR="00710C5A" w:rsidRPr="00777A0F">
        <w:t>).  The same data w</w:t>
      </w:r>
      <w:r w:rsidR="00520A5F">
        <w:t>ere</w:t>
      </w:r>
      <w:r w:rsidR="00710C5A" w:rsidRPr="00777A0F">
        <w:t xml:space="preserve"> reanalyzed using WGND 2.0.  The further analysis of </w:t>
      </w:r>
      <w:r w:rsidR="00777A0F">
        <w:t>t</w:t>
      </w:r>
      <w:r w:rsidR="00710C5A" w:rsidRPr="00777A0F">
        <w:t xml:space="preserve">he Hague System unit-record data indicated two main </w:t>
      </w:r>
      <w:r w:rsidR="00777A0F">
        <w:t xml:space="preserve">constraints: (i) </w:t>
      </w:r>
      <w:r w:rsidR="00710C5A" w:rsidRPr="00777A0F">
        <w:t xml:space="preserve">the entry of new </w:t>
      </w:r>
      <w:r w:rsidR="00777A0F">
        <w:t xml:space="preserve">Hague members at different moments of time </w:t>
      </w:r>
      <w:r w:rsidR="00710C5A" w:rsidRPr="00777A0F">
        <w:t xml:space="preserve">generate large fluctuations in the </w:t>
      </w:r>
      <w:r w:rsidR="00777A0F">
        <w:t xml:space="preserve">sample; and, (ii) several Hague member states do not require the declaration of creators in their design law.  These two constraints limit the </w:t>
      </w:r>
      <w:r w:rsidR="00777A0F" w:rsidRPr="00777A0F">
        <w:t xml:space="preserve">interpretation of global gender </w:t>
      </w:r>
      <w:r w:rsidR="005A03AF" w:rsidRPr="005A03AF">
        <w:t xml:space="preserve">equality </w:t>
      </w:r>
      <w:r w:rsidR="00777A0F" w:rsidRPr="00777A0F">
        <w:t>trend</w:t>
      </w:r>
      <w:r w:rsidR="00777A0F">
        <w:t>s</w:t>
      </w:r>
      <w:r w:rsidR="005A03AF" w:rsidRPr="005A03AF">
        <w:t>, including</w:t>
      </w:r>
      <w:r w:rsidR="00777A0F">
        <w:t xml:space="preserve"> several national ones.  </w:t>
      </w:r>
      <w:r w:rsidR="005A03AF">
        <w:t>During the analysis</w:t>
      </w:r>
      <w:r w:rsidR="00777A0F">
        <w:t xml:space="preserve">, it was decided that further </w:t>
      </w:r>
      <w:r w:rsidR="005A03AF">
        <w:t xml:space="preserve">work </w:t>
      </w:r>
      <w:r w:rsidR="00777A0F">
        <w:t>is required before publishing the results.</w:t>
      </w:r>
    </w:p>
    <w:p w14:paraId="1A607BFE" w14:textId="0DB6E757" w:rsidR="00C60D43" w:rsidRPr="00777A0F" w:rsidRDefault="00777A0F" w:rsidP="00781CA5">
      <w:pPr>
        <w:pStyle w:val="ListParagraph"/>
        <w:numPr>
          <w:ilvl w:val="1"/>
          <w:numId w:val="7"/>
        </w:numPr>
        <w:spacing w:after="240"/>
        <w:ind w:left="720" w:hanging="540"/>
        <w:contextualSpacing w:val="0"/>
      </w:pPr>
      <w:r w:rsidRPr="00777A0F">
        <w:t xml:space="preserve">Analyzing the potential of gender disambiguation of </w:t>
      </w:r>
      <w:r>
        <w:t xml:space="preserve">Madrid trademark </w:t>
      </w:r>
      <w:r w:rsidRPr="00777A0F">
        <w:t xml:space="preserve">unit-record data.  </w:t>
      </w:r>
      <w:r w:rsidR="00CE60A0">
        <w:t>As for Hague, d</w:t>
      </w:r>
      <w:r w:rsidRPr="00777A0F">
        <w:t xml:space="preserve">ata was collected and analyzed for the </w:t>
      </w:r>
      <w:r w:rsidR="00CE60A0">
        <w:t xml:space="preserve">Madrid </w:t>
      </w:r>
      <w:r w:rsidRPr="00777A0F">
        <w:t>system applying the WGND 1.0</w:t>
      </w:r>
      <w:r w:rsidR="00CE60A0">
        <w:t xml:space="preserve"> and 2.0. </w:t>
      </w:r>
      <w:r w:rsidR="00C51DDB">
        <w:t xml:space="preserve"> </w:t>
      </w:r>
      <w:r w:rsidRPr="00777A0F">
        <w:t xml:space="preserve">The analysis of </w:t>
      </w:r>
      <w:r>
        <w:t>t</w:t>
      </w:r>
      <w:r w:rsidRPr="00777A0F">
        <w:t xml:space="preserve">he </w:t>
      </w:r>
      <w:r w:rsidR="00CE60A0">
        <w:t xml:space="preserve">Madrid </w:t>
      </w:r>
      <w:r w:rsidRPr="00777A0F">
        <w:t xml:space="preserve">System unit-record data indicated </w:t>
      </w:r>
      <w:r w:rsidR="00CE60A0">
        <w:t>one main limitation</w:t>
      </w:r>
      <w:r w:rsidR="005A03AF">
        <w:t>: t</w:t>
      </w:r>
      <w:r w:rsidR="00CE60A0">
        <w:t>rademark data only captures information from applicants</w:t>
      </w:r>
      <w:r w:rsidR="00EE06A6">
        <w:t xml:space="preserve">, which can be </w:t>
      </w:r>
      <w:r w:rsidR="00C60D43">
        <w:t xml:space="preserve">physical and </w:t>
      </w:r>
      <w:r w:rsidR="0078216C">
        <w:t xml:space="preserve">non-physical persons.  Only the gender of physical persons (i.e. individual trademark applicants) can be disambiguated using gender </w:t>
      </w:r>
      <w:r w:rsidR="00C60D43">
        <w:t>dictionaries</w:t>
      </w:r>
      <w:r w:rsidR="0078216C">
        <w:t xml:space="preserve">.  </w:t>
      </w:r>
      <w:r w:rsidR="00C60D43">
        <w:t xml:space="preserve">The gender analysis of individual applicants offers an incomplete characterization of gender </w:t>
      </w:r>
      <w:r w:rsidR="005A03AF">
        <w:t xml:space="preserve">parity </w:t>
      </w:r>
      <w:r w:rsidR="00C60D43">
        <w:t xml:space="preserve">of the Madrid System.  However, it may be a potential characterization of smaller entities </w:t>
      </w:r>
      <w:r w:rsidR="00C60D43">
        <w:lastRenderedPageBreak/>
        <w:t>using this system, such as entrepreneurs, micro or small enterprises.  This latter interpretation requires further analysis before publishing the results.</w:t>
      </w:r>
    </w:p>
    <w:p w14:paraId="498F31CB" w14:textId="7DC3D5CA" w:rsidR="00AA19E9" w:rsidRPr="00777A0F" w:rsidRDefault="00A578D9" w:rsidP="00122EA7">
      <w:pPr>
        <w:pStyle w:val="ListParagraph"/>
        <w:spacing w:before="240" w:after="240"/>
        <w:ind w:left="567"/>
        <w:contextualSpacing w:val="0"/>
        <w:rPr>
          <w:i/>
        </w:rPr>
      </w:pPr>
      <w:r w:rsidRPr="00777A0F">
        <w:rPr>
          <w:b/>
        </w:rPr>
        <w:t xml:space="preserve">Request </w:t>
      </w:r>
      <w:r w:rsidR="005A3326" w:rsidRPr="00777A0F">
        <w:rPr>
          <w:b/>
        </w:rPr>
        <w:t>2</w:t>
      </w:r>
      <w:r w:rsidRPr="00777A0F">
        <w:rPr>
          <w:b/>
        </w:rPr>
        <w:t>:</w:t>
      </w:r>
      <w:r w:rsidR="0015572A" w:rsidRPr="00777A0F">
        <w:rPr>
          <w:b/>
        </w:rPr>
        <w:t xml:space="preserve"> </w:t>
      </w:r>
      <w:r w:rsidR="005A3326" w:rsidRPr="00777A0F">
        <w:rPr>
          <w:i/>
        </w:rPr>
        <w:t>Share methods and procedures for the collection of sex-disaggregated data, the use of indicators, the monitoring and evaluation methodologies, and the economic analysis of gender gaps related to IP.</w:t>
      </w:r>
    </w:p>
    <w:p w14:paraId="56C157D4" w14:textId="67C73438" w:rsidR="00C97F97" w:rsidRPr="00777A0F" w:rsidRDefault="00707985" w:rsidP="0069601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bookmarkStart w:id="8" w:name="_Ref71563722"/>
      <w:r w:rsidRPr="00777A0F">
        <w:t>During the same period</w:t>
      </w:r>
      <w:r w:rsidR="00063651" w:rsidRPr="00777A0F">
        <w:t>, t</w:t>
      </w:r>
      <w:r w:rsidR="00340D75" w:rsidRPr="00DB319C">
        <w:rPr>
          <w:rFonts w:eastAsia="Times New Roman"/>
        </w:rPr>
        <w:t xml:space="preserve">he Secretariat </w:t>
      </w:r>
      <w:r w:rsidR="00F51B0F" w:rsidRPr="00DB319C">
        <w:rPr>
          <w:rFonts w:eastAsia="Times New Roman"/>
        </w:rPr>
        <w:t xml:space="preserve">has </w:t>
      </w:r>
      <w:r w:rsidR="00F51B0F" w:rsidRPr="00777A0F">
        <w:t xml:space="preserve">undertaken several initiatives to share the analyses and methodologies of </w:t>
      </w:r>
      <w:r w:rsidR="00D4567A">
        <w:t>w</w:t>
      </w:r>
      <w:r w:rsidR="00D4567A" w:rsidRPr="00777A0F">
        <w:t xml:space="preserve">omen </w:t>
      </w:r>
      <w:r w:rsidR="00F51B0F" w:rsidRPr="00777A0F">
        <w:t>and IP</w:t>
      </w:r>
      <w:r w:rsidR="00520A5F">
        <w:t>-</w:t>
      </w:r>
      <w:r w:rsidR="00F51B0F" w:rsidRPr="00777A0F">
        <w:t xml:space="preserve">related topics. </w:t>
      </w:r>
      <w:r w:rsidR="00C51DDB">
        <w:t xml:space="preserve"> </w:t>
      </w:r>
      <w:r w:rsidR="00F51B0F" w:rsidRPr="00777A0F">
        <w:t>In particular</w:t>
      </w:r>
      <w:r w:rsidR="00C97F97" w:rsidRPr="00777A0F">
        <w:t>, t</w:t>
      </w:r>
      <w:r w:rsidR="00F51B0F" w:rsidRPr="00DB319C">
        <w:rPr>
          <w:rFonts w:eastAsia="Times New Roman"/>
        </w:rPr>
        <w:t xml:space="preserve">he Innovation Economy Section </w:t>
      </w:r>
      <w:r w:rsidR="00C97F97" w:rsidRPr="00DB319C">
        <w:rPr>
          <w:rFonts w:eastAsia="Times New Roman"/>
        </w:rPr>
        <w:t xml:space="preserve">explored several ways to share </w:t>
      </w:r>
      <w:r w:rsidR="00F51B0F" w:rsidRPr="00DB319C">
        <w:rPr>
          <w:rFonts w:eastAsia="Times New Roman"/>
        </w:rPr>
        <w:t xml:space="preserve">publicly the first version of the gender disambiguation methodology (based on </w:t>
      </w:r>
      <w:r w:rsidR="00710C5A" w:rsidRPr="00DB319C">
        <w:rPr>
          <w:rFonts w:eastAsia="Times New Roman"/>
        </w:rPr>
        <w:t>WGND</w:t>
      </w:r>
      <w:r w:rsidR="00F51B0F" w:rsidRPr="00DB319C">
        <w:rPr>
          <w:rFonts w:eastAsia="Times New Roman"/>
        </w:rPr>
        <w:t xml:space="preserve"> 1.0)</w:t>
      </w:r>
      <w:r w:rsidR="00C97F97" w:rsidRPr="00DB319C">
        <w:rPr>
          <w:rFonts w:eastAsia="Times New Roman"/>
        </w:rPr>
        <w:t>, such as:</w:t>
      </w:r>
      <w:bookmarkEnd w:id="8"/>
    </w:p>
    <w:p w14:paraId="77A7F8D7" w14:textId="096B45B9" w:rsidR="00C97F97" w:rsidRPr="00777A0F" w:rsidRDefault="00C97F97" w:rsidP="00DB319C">
      <w:pPr>
        <w:pStyle w:val="ListParagraph"/>
        <w:numPr>
          <w:ilvl w:val="1"/>
          <w:numId w:val="7"/>
        </w:numPr>
        <w:spacing w:after="240"/>
        <w:ind w:left="900" w:hanging="612"/>
        <w:contextualSpacing w:val="0"/>
      </w:pPr>
      <w:r w:rsidRPr="00777A0F">
        <w:rPr>
          <w:rFonts w:eastAsia="Times New Roman"/>
        </w:rPr>
        <w:t xml:space="preserve">Direct contact with academic networks, UN </w:t>
      </w:r>
      <w:r w:rsidR="005A03AF" w:rsidRPr="005A03AF">
        <w:rPr>
          <w:rFonts w:eastAsia="Times New Roman"/>
        </w:rPr>
        <w:t xml:space="preserve">entities </w:t>
      </w:r>
      <w:r w:rsidRPr="00777A0F">
        <w:rPr>
          <w:rFonts w:eastAsia="Times New Roman"/>
        </w:rPr>
        <w:t xml:space="preserve">(such as UN Women and UNESCO), and </w:t>
      </w:r>
      <w:r w:rsidR="00520A5F">
        <w:rPr>
          <w:rFonts w:eastAsia="Times New Roman"/>
        </w:rPr>
        <w:t xml:space="preserve">the </w:t>
      </w:r>
      <w:r w:rsidRPr="00777A0F">
        <w:rPr>
          <w:rFonts w:eastAsia="Times New Roman"/>
        </w:rPr>
        <w:t>interested public from private companies</w:t>
      </w:r>
      <w:r w:rsidR="00D4567A">
        <w:rPr>
          <w:rFonts w:eastAsia="Times New Roman"/>
        </w:rPr>
        <w:t>.</w:t>
      </w:r>
      <w:r w:rsidRPr="00777A0F">
        <w:rPr>
          <w:rFonts w:eastAsia="Times New Roman"/>
        </w:rPr>
        <w:t xml:space="preserve"> </w:t>
      </w:r>
    </w:p>
    <w:p w14:paraId="6CEB4985" w14:textId="623100BE" w:rsidR="00D335E7" w:rsidRPr="00777A0F" w:rsidRDefault="00C97F97" w:rsidP="00DB319C">
      <w:pPr>
        <w:pStyle w:val="ListParagraph"/>
        <w:numPr>
          <w:ilvl w:val="1"/>
          <w:numId w:val="7"/>
        </w:numPr>
        <w:spacing w:after="240"/>
        <w:ind w:left="900" w:hanging="612"/>
        <w:contextualSpacing w:val="0"/>
      </w:pPr>
      <w:r w:rsidRPr="00DB319C">
        <w:rPr>
          <w:rFonts w:eastAsia="Times New Roman"/>
        </w:rPr>
        <w:t>Using</w:t>
      </w:r>
      <w:r w:rsidRPr="00777A0F">
        <w:t xml:space="preserve"> the Harvard Dataverse </w:t>
      </w:r>
      <w:r w:rsidRPr="00777A0F">
        <w:rPr>
          <w:bCs/>
        </w:rPr>
        <w:t>Repository, which is a free data repository open to all researchers from any discipline, both inside and outside of the Harvard community (</w:t>
      </w:r>
      <w:hyperlink r:id="rId15" w:history="1">
        <w:r w:rsidR="00C369A1">
          <w:rPr>
            <w:rStyle w:val="Hyperlink"/>
            <w:bCs/>
          </w:rPr>
          <w:t>Dataverse Repository</w:t>
        </w:r>
      </w:hyperlink>
      <w:r w:rsidRPr="00777A0F">
        <w:rPr>
          <w:bCs/>
        </w:rPr>
        <w:t>).</w:t>
      </w:r>
    </w:p>
    <w:p w14:paraId="287BF698" w14:textId="6F11CF1B" w:rsidR="00C97F97" w:rsidRPr="00777A0F" w:rsidRDefault="00C97F97" w:rsidP="00DB319C">
      <w:pPr>
        <w:pStyle w:val="ListParagraph"/>
        <w:numPr>
          <w:ilvl w:val="1"/>
          <w:numId w:val="7"/>
        </w:numPr>
        <w:spacing w:after="240"/>
        <w:ind w:left="900" w:hanging="612"/>
        <w:contextualSpacing w:val="0"/>
      </w:pPr>
      <w:r w:rsidRPr="00DB319C">
        <w:rPr>
          <w:rFonts w:eastAsia="Times New Roman"/>
        </w:rPr>
        <w:t>Us</w:t>
      </w:r>
      <w:r w:rsidR="00D335E7" w:rsidRPr="00DB319C">
        <w:rPr>
          <w:rFonts w:eastAsia="Times New Roman"/>
        </w:rPr>
        <w:t>ing</w:t>
      </w:r>
      <w:r w:rsidR="00D335E7" w:rsidRPr="00777A0F">
        <w:rPr>
          <w:bCs/>
        </w:rPr>
        <w:t xml:space="preserve"> a </w:t>
      </w:r>
      <w:r w:rsidRPr="00777A0F">
        <w:rPr>
          <w:bCs/>
        </w:rPr>
        <w:t xml:space="preserve">GitHub </w:t>
      </w:r>
      <w:r w:rsidR="00C369A1">
        <w:rPr>
          <w:bCs/>
        </w:rPr>
        <w:t>R</w:t>
      </w:r>
      <w:r w:rsidRPr="00777A0F">
        <w:rPr>
          <w:bCs/>
        </w:rPr>
        <w:t xml:space="preserve">epository to share the </w:t>
      </w:r>
      <w:r w:rsidR="00710C5A" w:rsidRPr="00777A0F">
        <w:rPr>
          <w:bCs/>
        </w:rPr>
        <w:t>WGND</w:t>
      </w:r>
      <w:r w:rsidRPr="00777A0F">
        <w:rPr>
          <w:bCs/>
        </w:rPr>
        <w:t xml:space="preserve"> data with a wider audience and build tools upon (</w:t>
      </w:r>
      <w:hyperlink r:id="rId16" w:history="1">
        <w:r w:rsidR="00C369A1">
          <w:rPr>
            <w:rStyle w:val="Hyperlink"/>
            <w:bCs/>
          </w:rPr>
          <w:t>GitHub Repository</w:t>
        </w:r>
      </w:hyperlink>
      <w:r w:rsidRPr="00777A0F">
        <w:rPr>
          <w:bCs/>
        </w:rPr>
        <w:t>).</w:t>
      </w:r>
    </w:p>
    <w:p w14:paraId="6A62A2CF" w14:textId="0D99E042" w:rsidR="00F51B0F" w:rsidRPr="00777A0F" w:rsidRDefault="00C97F97" w:rsidP="005D6B1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rPr>
          <w:rFonts w:eastAsia="Times New Roman"/>
        </w:rPr>
        <w:t xml:space="preserve">From the </w:t>
      </w:r>
      <w:r w:rsidR="00A10EAF" w:rsidRPr="00777A0F">
        <w:rPr>
          <w:rFonts w:eastAsia="Times New Roman"/>
        </w:rPr>
        <w:t xml:space="preserve">above </w:t>
      </w:r>
      <w:r w:rsidRPr="00777A0F">
        <w:rPr>
          <w:rFonts w:eastAsia="Times New Roman"/>
        </w:rPr>
        <w:t>sharing experience,</w:t>
      </w:r>
      <w:r w:rsidR="00A10EAF" w:rsidRPr="00777A0F">
        <w:rPr>
          <w:rFonts w:eastAsia="Times New Roman"/>
        </w:rPr>
        <w:t xml:space="preserve"> the Secretariat notes that these channels work quite well for a technical audience</w:t>
      </w:r>
      <w:r w:rsidR="00DB319C">
        <w:rPr>
          <w:rFonts w:eastAsia="Times New Roman"/>
        </w:rPr>
        <w:t>,</w:t>
      </w:r>
      <w:r w:rsidR="00A10EAF" w:rsidRPr="00777A0F">
        <w:rPr>
          <w:rFonts w:eastAsia="Times New Roman"/>
        </w:rPr>
        <w:t xml:space="preserve"> </w:t>
      </w:r>
      <w:r w:rsidR="009E1D93" w:rsidRPr="00777A0F">
        <w:rPr>
          <w:rFonts w:eastAsia="Times New Roman"/>
        </w:rPr>
        <w:t xml:space="preserve">but have some limits to reach a more general one.  In particular, the </w:t>
      </w:r>
      <w:r w:rsidR="00A10EAF" w:rsidRPr="00777A0F">
        <w:rPr>
          <w:rFonts w:eastAsia="Times New Roman"/>
        </w:rPr>
        <w:t xml:space="preserve">direct sharing channel had an impact in </w:t>
      </w:r>
      <w:r w:rsidR="00F51B0F" w:rsidRPr="00777A0F">
        <w:rPr>
          <w:rFonts w:eastAsia="Times New Roman"/>
        </w:rPr>
        <w:t xml:space="preserve">several IP offices </w:t>
      </w:r>
      <w:r w:rsidR="00A10EAF" w:rsidRPr="00777A0F">
        <w:rPr>
          <w:rFonts w:eastAsia="Times New Roman"/>
        </w:rPr>
        <w:t xml:space="preserve">(such as the US Patent and Trademark Office and the Canadian IP </w:t>
      </w:r>
      <w:r w:rsidR="00DB319C">
        <w:rPr>
          <w:rFonts w:eastAsia="Times New Roman"/>
        </w:rPr>
        <w:t>O</w:t>
      </w:r>
      <w:r w:rsidR="00A10EAF" w:rsidRPr="00777A0F">
        <w:rPr>
          <w:rFonts w:eastAsia="Times New Roman"/>
        </w:rPr>
        <w:t xml:space="preserve">ffice, among others) </w:t>
      </w:r>
      <w:r w:rsidR="00F51B0F" w:rsidRPr="00777A0F">
        <w:rPr>
          <w:rFonts w:eastAsia="Times New Roman"/>
        </w:rPr>
        <w:t>and scholars</w:t>
      </w:r>
      <w:r w:rsidR="00A10EAF" w:rsidRPr="00777A0F">
        <w:rPr>
          <w:rFonts w:eastAsia="Times New Roman"/>
        </w:rPr>
        <w:t xml:space="preserve">, but </w:t>
      </w:r>
      <w:r w:rsidR="00F51B0F" w:rsidRPr="00777A0F">
        <w:rPr>
          <w:rFonts w:eastAsia="Times New Roman"/>
        </w:rPr>
        <w:t xml:space="preserve">most of these were based in developed countries. </w:t>
      </w:r>
      <w:r w:rsidRPr="00777A0F">
        <w:rPr>
          <w:rFonts w:eastAsia="Times New Roman"/>
        </w:rPr>
        <w:t xml:space="preserve"> </w:t>
      </w:r>
      <w:r w:rsidR="00A10EAF" w:rsidRPr="00777A0F">
        <w:rPr>
          <w:rFonts w:eastAsia="Times New Roman"/>
        </w:rPr>
        <w:t>T</w:t>
      </w:r>
      <w:r w:rsidRPr="00777A0F">
        <w:rPr>
          <w:rFonts w:eastAsia="Times New Roman"/>
        </w:rPr>
        <w:t xml:space="preserve">he experience of the digital sharing </w:t>
      </w:r>
      <w:r w:rsidR="00D335E7" w:rsidRPr="00777A0F">
        <w:rPr>
          <w:rFonts w:eastAsia="Times New Roman"/>
        </w:rPr>
        <w:t xml:space="preserve">suggests that the </w:t>
      </w:r>
      <w:r w:rsidR="005A03AF" w:rsidRPr="005A03AF">
        <w:rPr>
          <w:rFonts w:eastAsia="Times New Roman"/>
        </w:rPr>
        <w:t xml:space="preserve">dissemination </w:t>
      </w:r>
      <w:r w:rsidR="00D335E7" w:rsidRPr="00777A0F">
        <w:rPr>
          <w:rFonts w:eastAsia="Times New Roman"/>
        </w:rPr>
        <w:t>is much wider</w:t>
      </w:r>
      <w:r w:rsidR="00A10EAF" w:rsidRPr="00777A0F">
        <w:rPr>
          <w:rFonts w:eastAsia="Times New Roman"/>
        </w:rPr>
        <w:t xml:space="preserve">, with more than </w:t>
      </w:r>
      <w:r w:rsidR="001A153E">
        <w:rPr>
          <w:rFonts w:eastAsia="Times New Roman"/>
        </w:rPr>
        <w:t xml:space="preserve">1,400 downloads </w:t>
      </w:r>
      <w:r w:rsidR="007A74E8">
        <w:rPr>
          <w:rFonts w:eastAsia="Times New Roman"/>
        </w:rPr>
        <w:t>o</w:t>
      </w:r>
      <w:r w:rsidR="007A74E8" w:rsidRPr="00777A0F">
        <w:rPr>
          <w:rFonts w:eastAsia="Times New Roman"/>
        </w:rPr>
        <w:t xml:space="preserve">n </w:t>
      </w:r>
      <w:r w:rsidR="00D335E7" w:rsidRPr="00777A0F">
        <w:rPr>
          <w:rFonts w:eastAsia="Times New Roman"/>
        </w:rPr>
        <w:t>WIPO</w:t>
      </w:r>
      <w:r w:rsidR="007A74E8">
        <w:rPr>
          <w:rFonts w:eastAsia="Times New Roman"/>
        </w:rPr>
        <w:t>’s</w:t>
      </w:r>
      <w:r w:rsidR="00D335E7" w:rsidRPr="00777A0F">
        <w:rPr>
          <w:rFonts w:eastAsia="Times New Roman"/>
        </w:rPr>
        <w:t xml:space="preserve"> website and </w:t>
      </w:r>
      <w:r w:rsidR="00EB5150" w:rsidRPr="00EB5150">
        <w:rPr>
          <w:rFonts w:eastAsia="Times New Roman"/>
        </w:rPr>
        <w:t>1,353</w:t>
      </w:r>
      <w:r w:rsidR="00A10EAF" w:rsidRPr="00777A0F">
        <w:rPr>
          <w:rFonts w:eastAsia="Times New Roman"/>
        </w:rPr>
        <w:t xml:space="preserve"> downloads in the </w:t>
      </w:r>
      <w:r w:rsidR="00D335E7" w:rsidRPr="00777A0F">
        <w:rPr>
          <w:rFonts w:eastAsia="Times New Roman"/>
        </w:rPr>
        <w:t>Harvard Dataverse</w:t>
      </w:r>
      <w:r w:rsidR="00A10EAF" w:rsidRPr="00777A0F">
        <w:rPr>
          <w:rFonts w:eastAsia="Times New Roman"/>
        </w:rPr>
        <w:t>.</w:t>
      </w:r>
      <w:r w:rsidR="009E1D93" w:rsidRPr="00777A0F">
        <w:rPr>
          <w:rStyle w:val="FootnoteReference"/>
          <w:rFonts w:eastAsia="Times New Roman"/>
        </w:rPr>
        <w:footnoteReference w:id="2"/>
      </w:r>
      <w:r w:rsidR="00A10EAF" w:rsidRPr="00777A0F">
        <w:rPr>
          <w:rFonts w:eastAsia="Times New Roman"/>
        </w:rPr>
        <w:t xml:space="preserve"> </w:t>
      </w:r>
      <w:r w:rsidR="00D335E7" w:rsidRPr="00777A0F">
        <w:rPr>
          <w:rFonts w:eastAsia="Times New Roman"/>
        </w:rPr>
        <w:t xml:space="preserve">  </w:t>
      </w:r>
    </w:p>
    <w:p w14:paraId="5628CD4C" w14:textId="6BD5164F" w:rsidR="003E09C1" w:rsidRPr="00777A0F" w:rsidRDefault="00F51B0F" w:rsidP="009E6CF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rPr>
          <w:rFonts w:eastAsia="Times New Roman"/>
        </w:rPr>
        <w:t xml:space="preserve">In order </w:t>
      </w:r>
      <w:r w:rsidR="00A0096C" w:rsidRPr="00777A0F">
        <w:rPr>
          <w:rFonts w:eastAsia="Times New Roman"/>
        </w:rPr>
        <w:t xml:space="preserve">to </w:t>
      </w:r>
      <w:r w:rsidRPr="00777A0F">
        <w:rPr>
          <w:rFonts w:eastAsia="Times New Roman"/>
        </w:rPr>
        <w:t xml:space="preserve">support a wider </w:t>
      </w:r>
      <w:r w:rsidR="00402673" w:rsidRPr="00777A0F">
        <w:rPr>
          <w:rFonts w:eastAsia="Times New Roman"/>
        </w:rPr>
        <w:t xml:space="preserve">and faster </w:t>
      </w:r>
      <w:r w:rsidR="00A0096C" w:rsidRPr="00777A0F">
        <w:rPr>
          <w:rFonts w:eastAsia="Times New Roman"/>
        </w:rPr>
        <w:t xml:space="preserve">diffusion of the </w:t>
      </w:r>
      <w:r w:rsidR="00402673" w:rsidRPr="00777A0F">
        <w:rPr>
          <w:rFonts w:eastAsia="Times New Roman"/>
        </w:rPr>
        <w:t xml:space="preserve">gender </w:t>
      </w:r>
      <w:r w:rsidR="00A0096C" w:rsidRPr="00777A0F">
        <w:rPr>
          <w:rFonts w:eastAsia="Times New Roman"/>
        </w:rPr>
        <w:t>m</w:t>
      </w:r>
      <w:r w:rsidR="00402673" w:rsidRPr="00777A0F">
        <w:rPr>
          <w:rFonts w:eastAsia="Times New Roman"/>
        </w:rPr>
        <w:t>ethodologies and analyses</w:t>
      </w:r>
      <w:r w:rsidR="00A0096C" w:rsidRPr="00777A0F">
        <w:rPr>
          <w:rFonts w:eastAsia="Times New Roman"/>
        </w:rPr>
        <w:t xml:space="preserve">, </w:t>
      </w:r>
      <w:r w:rsidR="00402673" w:rsidRPr="00777A0F">
        <w:rPr>
          <w:rFonts w:eastAsia="Times New Roman"/>
        </w:rPr>
        <w:t xml:space="preserve">the Innovation Economy Section </w:t>
      </w:r>
      <w:r w:rsidR="00A0096C" w:rsidRPr="00777A0F">
        <w:rPr>
          <w:rFonts w:eastAsia="Times New Roman"/>
        </w:rPr>
        <w:t xml:space="preserve">has prepared </w:t>
      </w:r>
      <w:r w:rsidR="00C47988" w:rsidRPr="00777A0F">
        <w:t xml:space="preserve">a </w:t>
      </w:r>
      <w:r w:rsidR="00A0096C" w:rsidRPr="00777A0F">
        <w:t xml:space="preserve">new </w:t>
      </w:r>
      <w:r w:rsidR="00A0096C" w:rsidRPr="00777A0F">
        <w:rPr>
          <w:i/>
        </w:rPr>
        <w:t>Guidelines</w:t>
      </w:r>
      <w:r w:rsidR="00A0096C" w:rsidRPr="00777A0F">
        <w:t xml:space="preserve"> draft document focusing on how to measure gender in IP.  Th</w:t>
      </w:r>
      <w:r w:rsidR="007A74E8">
        <w:t>ese</w:t>
      </w:r>
      <w:r w:rsidR="00A0096C" w:rsidRPr="00777A0F">
        <w:t xml:space="preserve"> guideline</w:t>
      </w:r>
      <w:r w:rsidR="007A74E8">
        <w:t>s</w:t>
      </w:r>
      <w:r w:rsidR="00A0096C" w:rsidRPr="00777A0F">
        <w:t xml:space="preserve"> share the basics of IP data gender disambiguation and related gender indicators.</w:t>
      </w:r>
    </w:p>
    <w:p w14:paraId="4BD7CA44" w14:textId="2BB56B41" w:rsidR="003E09C1" w:rsidRPr="00777A0F" w:rsidRDefault="003E09C1" w:rsidP="003E09C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5B436A">
        <w:rPr>
          <w:rFonts w:eastAsia="Times New Roman"/>
        </w:rPr>
        <w:t xml:space="preserve">In complement to these guidelines, the Innovation Economy Section </w:t>
      </w:r>
      <w:r w:rsidR="006010F2" w:rsidRPr="005B436A">
        <w:rPr>
          <w:rFonts w:eastAsia="Times New Roman"/>
        </w:rPr>
        <w:t xml:space="preserve">created </w:t>
      </w:r>
      <w:r w:rsidRPr="005B436A">
        <w:rPr>
          <w:rFonts w:eastAsia="Times New Roman"/>
        </w:rPr>
        <w:t xml:space="preserve">a series of </w:t>
      </w:r>
      <w:r w:rsidRPr="005B436A">
        <w:t xml:space="preserve">dedicated web contents on </w:t>
      </w:r>
      <w:hyperlink r:id="rId17" w:history="1">
        <w:r w:rsidRPr="005B436A">
          <w:rPr>
            <w:rStyle w:val="Hyperlink"/>
          </w:rPr>
          <w:t>“Innovation, Creativity and Gender”</w:t>
        </w:r>
      </w:hyperlink>
      <w:r w:rsidRPr="005B436A">
        <w:t xml:space="preserve"> explaining the Secretariat’s economic and methodological research to a more general audience.</w:t>
      </w:r>
      <w:r w:rsidR="005B436A" w:rsidRPr="005B436A">
        <w:rPr>
          <w:rStyle w:val="FootnoteReference"/>
        </w:rPr>
        <w:footnoteReference w:id="3"/>
      </w:r>
      <w:r w:rsidRPr="005B436A">
        <w:t xml:space="preserve">  The preliminary feedback indicates that this could be used not only to promote WIPO’s work on</w:t>
      </w:r>
      <w:r w:rsidRPr="00777A0F">
        <w:t xml:space="preserve"> the topic but also to highlight work produced by other national IP offices – such as those from the US, UK, Canada or Chile – and other partners, such as UN Women or UNESCO.  The targeted audience </w:t>
      </w:r>
      <w:r w:rsidR="00EC6743">
        <w:t>is</w:t>
      </w:r>
      <w:r w:rsidRPr="00777A0F">
        <w:t xml:space="preserve">, among others, government officials from Member States and international government agencies, worldwide scholars and students, and anyone interested in the topic. </w:t>
      </w:r>
    </w:p>
    <w:p w14:paraId="07A97E61" w14:textId="3B332DF9" w:rsidR="00D54B0F" w:rsidRPr="00777A0F" w:rsidRDefault="00210088" w:rsidP="00F45A34">
      <w:pPr>
        <w:pStyle w:val="ListParagraph"/>
        <w:keepNext/>
        <w:keepLines/>
        <w:numPr>
          <w:ilvl w:val="0"/>
          <w:numId w:val="23"/>
        </w:numPr>
        <w:spacing w:after="240"/>
        <w:ind w:left="284" w:hanging="284"/>
        <w:contextualSpacing w:val="0"/>
        <w:rPr>
          <w:szCs w:val="22"/>
        </w:rPr>
      </w:pPr>
      <w:r w:rsidRPr="00777A0F">
        <w:br w:type="page"/>
      </w:r>
      <w:r w:rsidR="002D4888" w:rsidRPr="00777A0F">
        <w:rPr>
          <w:szCs w:val="22"/>
        </w:rPr>
        <w:lastRenderedPageBreak/>
        <w:t>THE WAY FORWARD</w:t>
      </w:r>
    </w:p>
    <w:p w14:paraId="655157AA" w14:textId="032B3CB4" w:rsidR="00A10EAF" w:rsidRPr="00777A0F" w:rsidRDefault="00210088" w:rsidP="005A332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t>In the Secretariat’s experience during the report</w:t>
      </w:r>
      <w:r w:rsidR="00D4567A">
        <w:t>ing</w:t>
      </w:r>
      <w:r w:rsidRPr="00777A0F">
        <w:t xml:space="preserve"> period, there </w:t>
      </w:r>
      <w:r w:rsidR="00D4567A">
        <w:t xml:space="preserve">are </w:t>
      </w:r>
      <w:r w:rsidRPr="00777A0F">
        <w:t>a series of concrete steps to be taken into consideration.</w:t>
      </w:r>
    </w:p>
    <w:p w14:paraId="51AC39C3" w14:textId="354C0A08" w:rsidR="00E22F4A" w:rsidRPr="005B436A" w:rsidRDefault="00A10EAF" w:rsidP="00C11E3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777A0F">
        <w:rPr>
          <w:rFonts w:eastAsia="Times New Roman"/>
        </w:rPr>
        <w:t xml:space="preserve">First, </w:t>
      </w:r>
      <w:r w:rsidR="00210088" w:rsidRPr="00777A0F">
        <w:rPr>
          <w:rFonts w:eastAsia="Times New Roman"/>
        </w:rPr>
        <w:t>the Secretariat needs to further ease the access to gender</w:t>
      </w:r>
      <w:r w:rsidR="00E22F4A">
        <w:rPr>
          <w:rFonts w:eastAsia="Times New Roman"/>
        </w:rPr>
        <w:t>-</w:t>
      </w:r>
      <w:r w:rsidR="00210088" w:rsidRPr="00777A0F">
        <w:rPr>
          <w:rFonts w:eastAsia="Times New Roman"/>
        </w:rPr>
        <w:t>related methodological content to a less technical audience.  This will permit the diffusion of the methodologies to a wider set of Member States and generate local capacity to produce analyses</w:t>
      </w:r>
      <w:r w:rsidR="00E22F4A" w:rsidRPr="00E22F4A">
        <w:rPr>
          <w:rFonts w:eastAsia="Times New Roman"/>
        </w:rPr>
        <w:t xml:space="preserve"> that are gender-responsive and sex-disaggregated</w:t>
      </w:r>
      <w:r w:rsidR="00C11E3A">
        <w:rPr>
          <w:rFonts w:eastAsia="Times New Roman"/>
        </w:rPr>
        <w:t xml:space="preserve">.  </w:t>
      </w:r>
      <w:r w:rsidR="00E22F4A" w:rsidRPr="00C11E3A">
        <w:rPr>
          <w:rFonts w:eastAsia="Times New Roman"/>
        </w:rPr>
        <w:t xml:space="preserve">These dissemination efforts will include the publication of research papers and web articles on </w:t>
      </w:r>
      <w:r w:rsidR="00E22F4A" w:rsidRPr="00777A0F">
        <w:t>“Innovation, Creativity and Gender</w:t>
      </w:r>
      <w:r w:rsidR="00E22F4A">
        <w:t>”</w:t>
      </w:r>
      <w:r w:rsidR="00E22F4A" w:rsidRPr="00C11E3A">
        <w:rPr>
          <w:rFonts w:eastAsia="Times New Roman"/>
        </w:rPr>
        <w:t>, and the organization of tailored capacity building workshops and information sharing sessions.  The latter within the framework of the sharing sessions promoted by the CDIP decision on “Women in IP”.</w:t>
      </w:r>
    </w:p>
    <w:p w14:paraId="1D4EF36E" w14:textId="19FBC434" w:rsidR="002B1C81" w:rsidRDefault="005B436A" w:rsidP="00781CA5">
      <w:pPr>
        <w:pStyle w:val="ListParagraph"/>
        <w:numPr>
          <w:ilvl w:val="0"/>
          <w:numId w:val="7"/>
        </w:numPr>
        <w:spacing w:after="480"/>
        <w:ind w:left="0" w:firstLine="0"/>
        <w:contextualSpacing w:val="0"/>
      </w:pPr>
      <w:r w:rsidRPr="0001519F">
        <w:rPr>
          <w:rFonts w:eastAsia="Times New Roman"/>
        </w:rPr>
        <w:t>Second</w:t>
      </w:r>
      <w:r>
        <w:t xml:space="preserve">, the Secretariat will continue to produce research on methodologies extending and analyzing </w:t>
      </w:r>
      <w:r w:rsidRPr="0091343D">
        <w:t>comparable and disaggregated international data on the gender of IP rights owners and creators</w:t>
      </w:r>
      <w:r>
        <w:t>.</w:t>
      </w:r>
      <w:r w:rsidR="00A50571">
        <w:t xml:space="preserve">  </w:t>
      </w:r>
      <w:r w:rsidR="00A50571">
        <w:rPr>
          <w:color w:val="000000"/>
        </w:rPr>
        <w:t>In particular, those aiming at extending the analysis to other forms of IP, such as utility models, industrial designs</w:t>
      </w:r>
      <w:r w:rsidR="00EC6743">
        <w:rPr>
          <w:color w:val="000000"/>
        </w:rPr>
        <w:t>,</w:t>
      </w:r>
      <w:r w:rsidR="00A50571">
        <w:rPr>
          <w:color w:val="000000"/>
        </w:rPr>
        <w:t xml:space="preserve"> or trademarks.</w:t>
      </w:r>
    </w:p>
    <w:p w14:paraId="2770B3C2" w14:textId="3AB140D9" w:rsidR="00923028" w:rsidRPr="00AA25DE" w:rsidRDefault="00923028" w:rsidP="00781CA5">
      <w:pPr>
        <w:pStyle w:val="ListParagraph"/>
        <w:numPr>
          <w:ilvl w:val="0"/>
          <w:numId w:val="7"/>
        </w:numPr>
        <w:spacing w:after="480"/>
        <w:ind w:left="5530" w:firstLine="0"/>
        <w:contextualSpacing w:val="0"/>
        <w:rPr>
          <w:i/>
          <w:szCs w:val="22"/>
        </w:rPr>
      </w:pPr>
      <w:r w:rsidRPr="00AA25DE">
        <w:rPr>
          <w:i/>
          <w:szCs w:val="22"/>
        </w:rPr>
        <w:t xml:space="preserve">The Committee is invited to </w:t>
      </w:r>
      <w:r w:rsidR="00582585" w:rsidRPr="00AA25DE">
        <w:rPr>
          <w:i/>
          <w:szCs w:val="22"/>
        </w:rPr>
        <w:t>take note of</w:t>
      </w:r>
      <w:r w:rsidR="00916218" w:rsidRPr="00AA25DE">
        <w:rPr>
          <w:i/>
          <w:szCs w:val="22"/>
        </w:rPr>
        <w:t xml:space="preserve"> </w:t>
      </w:r>
      <w:r w:rsidRPr="00AA25DE">
        <w:rPr>
          <w:i/>
          <w:szCs w:val="22"/>
        </w:rPr>
        <w:t>th</w:t>
      </w:r>
      <w:r w:rsidR="002B1C81" w:rsidRPr="00AA25DE">
        <w:rPr>
          <w:i/>
          <w:szCs w:val="22"/>
        </w:rPr>
        <w:t>e information contained in th</w:t>
      </w:r>
      <w:r w:rsidRPr="00AA25DE">
        <w:rPr>
          <w:i/>
          <w:szCs w:val="22"/>
        </w:rPr>
        <w:t>is document.</w:t>
      </w:r>
    </w:p>
    <w:p w14:paraId="3B11520C" w14:textId="142D985C" w:rsidR="00A15A5E" w:rsidRPr="00045573" w:rsidRDefault="00A15A5E" w:rsidP="00AA25DE">
      <w:pPr>
        <w:spacing w:after="240"/>
        <w:ind w:left="5533"/>
        <w:rPr>
          <w:szCs w:val="22"/>
        </w:rPr>
      </w:pPr>
      <w:r w:rsidRPr="00045573">
        <w:rPr>
          <w:szCs w:val="22"/>
        </w:rPr>
        <w:t>[End of document]</w:t>
      </w:r>
    </w:p>
    <w:sectPr w:rsidR="00A15A5E" w:rsidRPr="00045573" w:rsidSect="00C47FEF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596E" w14:textId="77777777" w:rsidR="009B66EB" w:rsidRDefault="009B66EB">
      <w:r>
        <w:separator/>
      </w:r>
    </w:p>
  </w:endnote>
  <w:endnote w:type="continuationSeparator" w:id="0">
    <w:p w14:paraId="0CDC1B85" w14:textId="77777777" w:rsidR="009B66EB" w:rsidRDefault="009B66EB" w:rsidP="003B38C1">
      <w:r>
        <w:separator/>
      </w:r>
    </w:p>
    <w:p w14:paraId="731887B8" w14:textId="77777777" w:rsidR="009B66EB" w:rsidRPr="003B38C1" w:rsidRDefault="009B66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DEA8DCE" w14:textId="77777777" w:rsidR="009B66EB" w:rsidRPr="003B38C1" w:rsidRDefault="009B66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AD75" w14:textId="77777777" w:rsidR="009B66EB" w:rsidRDefault="009B66EB">
      <w:r>
        <w:separator/>
      </w:r>
    </w:p>
  </w:footnote>
  <w:footnote w:type="continuationSeparator" w:id="0">
    <w:p w14:paraId="459EEF08" w14:textId="77777777" w:rsidR="009B66EB" w:rsidRDefault="009B66EB" w:rsidP="008B60B2">
      <w:r>
        <w:separator/>
      </w:r>
    </w:p>
    <w:p w14:paraId="7D44E8A9" w14:textId="77777777" w:rsidR="009B66EB" w:rsidRPr="00ED77FB" w:rsidRDefault="009B66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75475E6" w14:textId="77777777" w:rsidR="009B66EB" w:rsidRPr="00ED77FB" w:rsidRDefault="009B66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5AE71D1" w14:textId="42B53CAC" w:rsidR="009E1D93" w:rsidRDefault="009E1D93">
      <w:pPr>
        <w:pStyle w:val="FootnoteText"/>
      </w:pPr>
      <w:r>
        <w:rPr>
          <w:rStyle w:val="FootnoteReference"/>
        </w:rPr>
        <w:footnoteRef/>
      </w:r>
      <w:r>
        <w:t xml:space="preserve"> To date, i</w:t>
      </w:r>
      <w:r w:rsidRPr="009E1D93">
        <w:t>t is too soon to assess the GitHub engagements</w:t>
      </w:r>
      <w:r>
        <w:t xml:space="preserve">. </w:t>
      </w:r>
    </w:p>
  </w:footnote>
  <w:footnote w:id="3">
    <w:p w14:paraId="0B93EACA" w14:textId="56EA1F4F" w:rsidR="005B436A" w:rsidRDefault="005B4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D3288">
        <w:t>At the time of drafting the current document, the contents were</w:t>
      </w:r>
      <w:r>
        <w:t xml:space="preserve"> in the process of being added to WIPO’s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AAE4" w14:textId="0375AF9B" w:rsidR="00E400F9" w:rsidRPr="002326AB" w:rsidRDefault="00E400F9" w:rsidP="00477D6B">
    <w:pPr>
      <w:jc w:val="right"/>
      <w:rPr>
        <w:caps/>
      </w:rPr>
    </w:pPr>
    <w:bookmarkStart w:id="9" w:name="Code2"/>
    <w:bookmarkEnd w:id="9"/>
    <w:r>
      <w:rPr>
        <w:caps/>
      </w:rPr>
      <w:t>C</w:t>
    </w:r>
    <w:r w:rsidR="00AA25DE">
      <w:rPr>
        <w:caps/>
      </w:rPr>
      <w:t>DIP/26/7</w:t>
    </w:r>
  </w:p>
  <w:p w14:paraId="0B5CDFEC" w14:textId="53E7D3E7" w:rsidR="00E400F9" w:rsidRDefault="00E400F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D3186">
      <w:rPr>
        <w:noProof/>
      </w:rPr>
      <w:t>5</w:t>
    </w:r>
    <w:r>
      <w:fldChar w:fldCharType="end"/>
    </w:r>
  </w:p>
  <w:p w14:paraId="05071437" w14:textId="77777777" w:rsidR="00E400F9" w:rsidRDefault="00E400F9" w:rsidP="00477D6B">
    <w:pPr>
      <w:jc w:val="right"/>
    </w:pPr>
  </w:p>
  <w:p w14:paraId="7B9F2D49" w14:textId="77777777" w:rsidR="00E400F9" w:rsidRDefault="00E400F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9B48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57E1A"/>
    <w:multiLevelType w:val="hybridMultilevel"/>
    <w:tmpl w:val="0896BDD8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C960281"/>
    <w:multiLevelType w:val="hybridMultilevel"/>
    <w:tmpl w:val="27C61C70"/>
    <w:lvl w:ilvl="0" w:tplc="998C37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5146"/>
    <w:multiLevelType w:val="hybridMultilevel"/>
    <w:tmpl w:val="46885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E43334"/>
    <w:multiLevelType w:val="hybridMultilevel"/>
    <w:tmpl w:val="05249234"/>
    <w:lvl w:ilvl="0" w:tplc="2E76A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4ECB"/>
    <w:multiLevelType w:val="hybridMultilevel"/>
    <w:tmpl w:val="F36C1ACC"/>
    <w:lvl w:ilvl="0" w:tplc="FE48A6B6">
      <w:start w:val="1"/>
      <w:numFmt w:val="lowerRoman"/>
      <w:lvlText w:val="(%1)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E660C8"/>
    <w:multiLevelType w:val="hybridMultilevel"/>
    <w:tmpl w:val="EAC09060"/>
    <w:lvl w:ilvl="0" w:tplc="560C80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909AC"/>
    <w:multiLevelType w:val="hybridMultilevel"/>
    <w:tmpl w:val="99968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04BE"/>
    <w:multiLevelType w:val="hybridMultilevel"/>
    <w:tmpl w:val="5DC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BA8"/>
    <w:multiLevelType w:val="hybridMultilevel"/>
    <w:tmpl w:val="9AE6FFB2"/>
    <w:lvl w:ilvl="0" w:tplc="211E00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82483"/>
    <w:multiLevelType w:val="hybridMultilevel"/>
    <w:tmpl w:val="A8DEB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44E5"/>
    <w:multiLevelType w:val="hybridMultilevel"/>
    <w:tmpl w:val="9E6AF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43759E"/>
    <w:multiLevelType w:val="hybridMultilevel"/>
    <w:tmpl w:val="0A5CAA82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D422F8"/>
    <w:multiLevelType w:val="hybridMultilevel"/>
    <w:tmpl w:val="743A6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3C16"/>
    <w:multiLevelType w:val="hybridMultilevel"/>
    <w:tmpl w:val="917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69B2"/>
    <w:multiLevelType w:val="hybridMultilevel"/>
    <w:tmpl w:val="DD4420F0"/>
    <w:lvl w:ilvl="0" w:tplc="282A56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5036"/>
    <w:multiLevelType w:val="hybridMultilevel"/>
    <w:tmpl w:val="E3446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05A4"/>
    <w:multiLevelType w:val="hybridMultilevel"/>
    <w:tmpl w:val="A9FA8F7A"/>
    <w:lvl w:ilvl="0" w:tplc="9EB88EB0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80630"/>
    <w:multiLevelType w:val="hybridMultilevel"/>
    <w:tmpl w:val="6C1AB942"/>
    <w:lvl w:ilvl="0" w:tplc="CCCA0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4664F"/>
    <w:multiLevelType w:val="hybridMultilevel"/>
    <w:tmpl w:val="E6B431FA"/>
    <w:lvl w:ilvl="0" w:tplc="BA9A245C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6E65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A794D"/>
    <w:multiLevelType w:val="hybridMultilevel"/>
    <w:tmpl w:val="9898ABEA"/>
    <w:lvl w:ilvl="0" w:tplc="A06E2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889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C9B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0E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A58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A51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20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3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12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41253A1"/>
    <w:multiLevelType w:val="hybridMultilevel"/>
    <w:tmpl w:val="27542018"/>
    <w:lvl w:ilvl="0" w:tplc="AEE2C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623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8CF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858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F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CB0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20C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49F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41C552E"/>
    <w:multiLevelType w:val="hybridMultilevel"/>
    <w:tmpl w:val="FCA62DF4"/>
    <w:lvl w:ilvl="0" w:tplc="5A82C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6457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E6A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87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40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5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207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4AE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2D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B4047F7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04EE7"/>
    <w:multiLevelType w:val="hybridMultilevel"/>
    <w:tmpl w:val="F8A0DBEA"/>
    <w:lvl w:ilvl="0" w:tplc="8D8C9D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708F3"/>
    <w:multiLevelType w:val="hybridMultilevel"/>
    <w:tmpl w:val="979CC580"/>
    <w:lvl w:ilvl="0" w:tplc="9DFE81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7700A"/>
    <w:multiLevelType w:val="hybridMultilevel"/>
    <w:tmpl w:val="DB18D186"/>
    <w:lvl w:ilvl="0" w:tplc="D2EC1F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A7DD5"/>
    <w:multiLevelType w:val="hybridMultilevel"/>
    <w:tmpl w:val="401E4DFA"/>
    <w:lvl w:ilvl="0" w:tplc="6128C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4A61"/>
    <w:multiLevelType w:val="hybridMultilevel"/>
    <w:tmpl w:val="116CC526"/>
    <w:lvl w:ilvl="0" w:tplc="FBE064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A12AC"/>
    <w:multiLevelType w:val="hybridMultilevel"/>
    <w:tmpl w:val="43C2E3A4"/>
    <w:lvl w:ilvl="0" w:tplc="FFBEC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3"/>
  </w:num>
  <w:num w:numId="5">
    <w:abstractNumId w:val="3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24"/>
  </w:num>
  <w:num w:numId="11">
    <w:abstractNumId w:val="15"/>
  </w:num>
  <w:num w:numId="12">
    <w:abstractNumId w:val="36"/>
  </w:num>
  <w:num w:numId="13">
    <w:abstractNumId w:val="22"/>
  </w:num>
  <w:num w:numId="14">
    <w:abstractNumId w:val="20"/>
  </w:num>
  <w:num w:numId="15">
    <w:abstractNumId w:val="32"/>
  </w:num>
  <w:num w:numId="16">
    <w:abstractNumId w:val="29"/>
  </w:num>
  <w:num w:numId="17">
    <w:abstractNumId w:val="27"/>
  </w:num>
  <w:num w:numId="18">
    <w:abstractNumId w:val="28"/>
  </w:num>
  <w:num w:numId="19">
    <w:abstractNumId w:val="4"/>
  </w:num>
  <w:num w:numId="20">
    <w:abstractNumId w:val="26"/>
  </w:num>
  <w:num w:numId="21">
    <w:abstractNumId w:val="30"/>
  </w:num>
  <w:num w:numId="22">
    <w:abstractNumId w:val="25"/>
  </w:num>
  <w:num w:numId="23">
    <w:abstractNumId w:val="33"/>
  </w:num>
  <w:num w:numId="24">
    <w:abstractNumId w:val="19"/>
  </w:num>
  <w:num w:numId="25">
    <w:abstractNumId w:val="14"/>
  </w:num>
  <w:num w:numId="26">
    <w:abstractNumId w:val="7"/>
  </w:num>
  <w:num w:numId="27">
    <w:abstractNumId w:val="34"/>
  </w:num>
  <w:num w:numId="28">
    <w:abstractNumId w:val="25"/>
  </w:num>
  <w:num w:numId="29">
    <w:abstractNumId w:val="21"/>
  </w:num>
  <w:num w:numId="30">
    <w:abstractNumId w:val="11"/>
  </w:num>
  <w:num w:numId="31">
    <w:abstractNumId w:val="8"/>
  </w:num>
  <w:num w:numId="32">
    <w:abstractNumId w:val="31"/>
  </w:num>
  <w:num w:numId="33">
    <w:abstractNumId w:val="1"/>
  </w:num>
  <w:num w:numId="34">
    <w:abstractNumId w:val="12"/>
  </w:num>
  <w:num w:numId="35">
    <w:abstractNumId w:val="35"/>
  </w:num>
  <w:num w:numId="36">
    <w:abstractNumId w:val="18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F"/>
    <w:rsid w:val="00002283"/>
    <w:rsid w:val="00004C61"/>
    <w:rsid w:val="00027456"/>
    <w:rsid w:val="00032398"/>
    <w:rsid w:val="000335D5"/>
    <w:rsid w:val="00043CAA"/>
    <w:rsid w:val="00045573"/>
    <w:rsid w:val="00056816"/>
    <w:rsid w:val="00063651"/>
    <w:rsid w:val="00075432"/>
    <w:rsid w:val="000754CF"/>
    <w:rsid w:val="00081928"/>
    <w:rsid w:val="00082E01"/>
    <w:rsid w:val="00093CEE"/>
    <w:rsid w:val="000968ED"/>
    <w:rsid w:val="00097C80"/>
    <w:rsid w:val="000A3D97"/>
    <w:rsid w:val="000C67C1"/>
    <w:rsid w:val="000D0AA8"/>
    <w:rsid w:val="000D3798"/>
    <w:rsid w:val="000E5846"/>
    <w:rsid w:val="000F5E56"/>
    <w:rsid w:val="00112576"/>
    <w:rsid w:val="001206B9"/>
    <w:rsid w:val="00122EA7"/>
    <w:rsid w:val="001236FF"/>
    <w:rsid w:val="00131A7F"/>
    <w:rsid w:val="001362EE"/>
    <w:rsid w:val="00154B0F"/>
    <w:rsid w:val="0015572A"/>
    <w:rsid w:val="00160846"/>
    <w:rsid w:val="001647D5"/>
    <w:rsid w:val="00177D31"/>
    <w:rsid w:val="00183167"/>
    <w:rsid w:val="001832A6"/>
    <w:rsid w:val="0019473C"/>
    <w:rsid w:val="00194C1D"/>
    <w:rsid w:val="0019676E"/>
    <w:rsid w:val="001A153E"/>
    <w:rsid w:val="001A2F50"/>
    <w:rsid w:val="001A6CC9"/>
    <w:rsid w:val="001B1638"/>
    <w:rsid w:val="001B407D"/>
    <w:rsid w:val="001C5AAB"/>
    <w:rsid w:val="001D3186"/>
    <w:rsid w:val="001D4107"/>
    <w:rsid w:val="001E6EFE"/>
    <w:rsid w:val="001F272F"/>
    <w:rsid w:val="001F2E65"/>
    <w:rsid w:val="001F3578"/>
    <w:rsid w:val="001F5900"/>
    <w:rsid w:val="00203D24"/>
    <w:rsid w:val="00205F5A"/>
    <w:rsid w:val="00210088"/>
    <w:rsid w:val="0021050E"/>
    <w:rsid w:val="0021217E"/>
    <w:rsid w:val="00222BFD"/>
    <w:rsid w:val="00225EC2"/>
    <w:rsid w:val="002326AB"/>
    <w:rsid w:val="0024324E"/>
    <w:rsid w:val="00243430"/>
    <w:rsid w:val="002614A8"/>
    <w:rsid w:val="002627CA"/>
    <w:rsid w:val="002634C4"/>
    <w:rsid w:val="00265402"/>
    <w:rsid w:val="00286A92"/>
    <w:rsid w:val="002928D3"/>
    <w:rsid w:val="002A4621"/>
    <w:rsid w:val="002A750B"/>
    <w:rsid w:val="002B1C81"/>
    <w:rsid w:val="002B527F"/>
    <w:rsid w:val="002C7D03"/>
    <w:rsid w:val="002D45CE"/>
    <w:rsid w:val="002D4888"/>
    <w:rsid w:val="002E2557"/>
    <w:rsid w:val="002E6089"/>
    <w:rsid w:val="002E7560"/>
    <w:rsid w:val="002F1FE6"/>
    <w:rsid w:val="002F4E68"/>
    <w:rsid w:val="002F74FA"/>
    <w:rsid w:val="00302128"/>
    <w:rsid w:val="003104FC"/>
    <w:rsid w:val="00312F7F"/>
    <w:rsid w:val="00320741"/>
    <w:rsid w:val="00331937"/>
    <w:rsid w:val="00337F41"/>
    <w:rsid w:val="00340D75"/>
    <w:rsid w:val="00354578"/>
    <w:rsid w:val="00361450"/>
    <w:rsid w:val="00362265"/>
    <w:rsid w:val="003673CF"/>
    <w:rsid w:val="00372811"/>
    <w:rsid w:val="00380995"/>
    <w:rsid w:val="00381719"/>
    <w:rsid w:val="00383EA0"/>
    <w:rsid w:val="003845C1"/>
    <w:rsid w:val="0038702B"/>
    <w:rsid w:val="00387D25"/>
    <w:rsid w:val="00390D5A"/>
    <w:rsid w:val="00397AF2"/>
    <w:rsid w:val="003A0917"/>
    <w:rsid w:val="003A6F89"/>
    <w:rsid w:val="003B38C1"/>
    <w:rsid w:val="003B5F82"/>
    <w:rsid w:val="003C34E9"/>
    <w:rsid w:val="003C56BD"/>
    <w:rsid w:val="003E09C1"/>
    <w:rsid w:val="003E2897"/>
    <w:rsid w:val="00401C6F"/>
    <w:rsid w:val="00402673"/>
    <w:rsid w:val="00404CD3"/>
    <w:rsid w:val="004061BE"/>
    <w:rsid w:val="00417AB5"/>
    <w:rsid w:val="00423E3E"/>
    <w:rsid w:val="0042488E"/>
    <w:rsid w:val="00427AF4"/>
    <w:rsid w:val="00427E40"/>
    <w:rsid w:val="00433681"/>
    <w:rsid w:val="00440516"/>
    <w:rsid w:val="00446147"/>
    <w:rsid w:val="00455E80"/>
    <w:rsid w:val="004640E7"/>
    <w:rsid w:val="004647DA"/>
    <w:rsid w:val="0047192A"/>
    <w:rsid w:val="00474062"/>
    <w:rsid w:val="00477D6B"/>
    <w:rsid w:val="00492B28"/>
    <w:rsid w:val="00493C24"/>
    <w:rsid w:val="004A6B0A"/>
    <w:rsid w:val="004B3C59"/>
    <w:rsid w:val="004B7692"/>
    <w:rsid w:val="004B7A9C"/>
    <w:rsid w:val="004C3996"/>
    <w:rsid w:val="004C5427"/>
    <w:rsid w:val="004C6BBC"/>
    <w:rsid w:val="004C7274"/>
    <w:rsid w:val="004E214B"/>
    <w:rsid w:val="004E3DDE"/>
    <w:rsid w:val="004E5F0E"/>
    <w:rsid w:val="004E73A7"/>
    <w:rsid w:val="004F44B5"/>
    <w:rsid w:val="004F4757"/>
    <w:rsid w:val="005019FF"/>
    <w:rsid w:val="00503387"/>
    <w:rsid w:val="00505341"/>
    <w:rsid w:val="00520A5F"/>
    <w:rsid w:val="005218F5"/>
    <w:rsid w:val="005225F7"/>
    <w:rsid w:val="0053057A"/>
    <w:rsid w:val="005426FF"/>
    <w:rsid w:val="00546659"/>
    <w:rsid w:val="00554638"/>
    <w:rsid w:val="00556076"/>
    <w:rsid w:val="005575E9"/>
    <w:rsid w:val="00560A29"/>
    <w:rsid w:val="0056231F"/>
    <w:rsid w:val="0056465D"/>
    <w:rsid w:val="00581F39"/>
    <w:rsid w:val="00582585"/>
    <w:rsid w:val="005918DC"/>
    <w:rsid w:val="0059205D"/>
    <w:rsid w:val="0059583E"/>
    <w:rsid w:val="00595EDA"/>
    <w:rsid w:val="005A03AF"/>
    <w:rsid w:val="005A3326"/>
    <w:rsid w:val="005B436A"/>
    <w:rsid w:val="005C0921"/>
    <w:rsid w:val="005C0B7E"/>
    <w:rsid w:val="005C6649"/>
    <w:rsid w:val="005D00B4"/>
    <w:rsid w:val="005D1D5C"/>
    <w:rsid w:val="005D3288"/>
    <w:rsid w:val="005E473E"/>
    <w:rsid w:val="005E6B89"/>
    <w:rsid w:val="005F00C6"/>
    <w:rsid w:val="005F3796"/>
    <w:rsid w:val="006010F2"/>
    <w:rsid w:val="00605827"/>
    <w:rsid w:val="00623C7A"/>
    <w:rsid w:val="00635DC0"/>
    <w:rsid w:val="00637943"/>
    <w:rsid w:val="00645D1C"/>
    <w:rsid w:val="00646050"/>
    <w:rsid w:val="0066150F"/>
    <w:rsid w:val="00663254"/>
    <w:rsid w:val="00664AC9"/>
    <w:rsid w:val="006713CA"/>
    <w:rsid w:val="00676C5C"/>
    <w:rsid w:val="00690282"/>
    <w:rsid w:val="006A17B9"/>
    <w:rsid w:val="006A388B"/>
    <w:rsid w:val="006A49BE"/>
    <w:rsid w:val="006A5EEC"/>
    <w:rsid w:val="006B73DA"/>
    <w:rsid w:val="006C152A"/>
    <w:rsid w:val="006D0FB9"/>
    <w:rsid w:val="006D425A"/>
    <w:rsid w:val="006F6A26"/>
    <w:rsid w:val="00707985"/>
    <w:rsid w:val="00710C5A"/>
    <w:rsid w:val="00714ADC"/>
    <w:rsid w:val="00715779"/>
    <w:rsid w:val="00720212"/>
    <w:rsid w:val="00720EFD"/>
    <w:rsid w:val="00736FEB"/>
    <w:rsid w:val="007601C9"/>
    <w:rsid w:val="007603D5"/>
    <w:rsid w:val="007663A8"/>
    <w:rsid w:val="00773E16"/>
    <w:rsid w:val="00774EBF"/>
    <w:rsid w:val="00777A0F"/>
    <w:rsid w:val="00781CA5"/>
    <w:rsid w:val="0078216C"/>
    <w:rsid w:val="007854AF"/>
    <w:rsid w:val="00793A7C"/>
    <w:rsid w:val="00796C39"/>
    <w:rsid w:val="007A398A"/>
    <w:rsid w:val="007A74E8"/>
    <w:rsid w:val="007D1613"/>
    <w:rsid w:val="007D1F15"/>
    <w:rsid w:val="007D68DF"/>
    <w:rsid w:val="007E2F63"/>
    <w:rsid w:val="007E4C0E"/>
    <w:rsid w:val="007E60FB"/>
    <w:rsid w:val="007F1D80"/>
    <w:rsid w:val="007F2EBF"/>
    <w:rsid w:val="008105DF"/>
    <w:rsid w:val="0084758B"/>
    <w:rsid w:val="00863E38"/>
    <w:rsid w:val="00872791"/>
    <w:rsid w:val="008824DF"/>
    <w:rsid w:val="00884701"/>
    <w:rsid w:val="00884D54"/>
    <w:rsid w:val="00887049"/>
    <w:rsid w:val="0089646C"/>
    <w:rsid w:val="008A134B"/>
    <w:rsid w:val="008B2709"/>
    <w:rsid w:val="008B2CC1"/>
    <w:rsid w:val="008B60B2"/>
    <w:rsid w:val="008C38E4"/>
    <w:rsid w:val="008D1833"/>
    <w:rsid w:val="0090731E"/>
    <w:rsid w:val="00907D5B"/>
    <w:rsid w:val="00913EE5"/>
    <w:rsid w:val="00916218"/>
    <w:rsid w:val="00916EE2"/>
    <w:rsid w:val="00923028"/>
    <w:rsid w:val="00955172"/>
    <w:rsid w:val="009570BE"/>
    <w:rsid w:val="009645F5"/>
    <w:rsid w:val="00966A22"/>
    <w:rsid w:val="0096722F"/>
    <w:rsid w:val="00967918"/>
    <w:rsid w:val="00972728"/>
    <w:rsid w:val="0098018F"/>
    <w:rsid w:val="00980843"/>
    <w:rsid w:val="00980EC4"/>
    <w:rsid w:val="009A6C8A"/>
    <w:rsid w:val="009B064B"/>
    <w:rsid w:val="009B66EB"/>
    <w:rsid w:val="009D3F8B"/>
    <w:rsid w:val="009D504C"/>
    <w:rsid w:val="009E1D93"/>
    <w:rsid w:val="009E2791"/>
    <w:rsid w:val="009E3F6F"/>
    <w:rsid w:val="009E5D3A"/>
    <w:rsid w:val="009F499F"/>
    <w:rsid w:val="00A0096C"/>
    <w:rsid w:val="00A10EAF"/>
    <w:rsid w:val="00A119C5"/>
    <w:rsid w:val="00A15A5E"/>
    <w:rsid w:val="00A21E51"/>
    <w:rsid w:val="00A23C0D"/>
    <w:rsid w:val="00A309B6"/>
    <w:rsid w:val="00A309F6"/>
    <w:rsid w:val="00A37342"/>
    <w:rsid w:val="00A42DAF"/>
    <w:rsid w:val="00A45BD8"/>
    <w:rsid w:val="00A50571"/>
    <w:rsid w:val="00A578D9"/>
    <w:rsid w:val="00A60463"/>
    <w:rsid w:val="00A61B27"/>
    <w:rsid w:val="00A73DC2"/>
    <w:rsid w:val="00A7579B"/>
    <w:rsid w:val="00A869B7"/>
    <w:rsid w:val="00AA19E9"/>
    <w:rsid w:val="00AA25DE"/>
    <w:rsid w:val="00AB2A69"/>
    <w:rsid w:val="00AB2F3E"/>
    <w:rsid w:val="00AB7B70"/>
    <w:rsid w:val="00AC205C"/>
    <w:rsid w:val="00AC6728"/>
    <w:rsid w:val="00AF0A6B"/>
    <w:rsid w:val="00B042C5"/>
    <w:rsid w:val="00B05A69"/>
    <w:rsid w:val="00B1738D"/>
    <w:rsid w:val="00B211CD"/>
    <w:rsid w:val="00B27155"/>
    <w:rsid w:val="00B302FA"/>
    <w:rsid w:val="00B37EF9"/>
    <w:rsid w:val="00B449E7"/>
    <w:rsid w:val="00B60ECE"/>
    <w:rsid w:val="00B70BE2"/>
    <w:rsid w:val="00B70F54"/>
    <w:rsid w:val="00B71A5A"/>
    <w:rsid w:val="00B7232B"/>
    <w:rsid w:val="00B7352F"/>
    <w:rsid w:val="00B75281"/>
    <w:rsid w:val="00B82E46"/>
    <w:rsid w:val="00B86089"/>
    <w:rsid w:val="00B865BD"/>
    <w:rsid w:val="00B92F1F"/>
    <w:rsid w:val="00B9734B"/>
    <w:rsid w:val="00BA060B"/>
    <w:rsid w:val="00BA30E2"/>
    <w:rsid w:val="00BA6420"/>
    <w:rsid w:val="00BB79F3"/>
    <w:rsid w:val="00BC22C0"/>
    <w:rsid w:val="00BD2036"/>
    <w:rsid w:val="00BD2CC6"/>
    <w:rsid w:val="00C10138"/>
    <w:rsid w:val="00C1184D"/>
    <w:rsid w:val="00C11BFE"/>
    <w:rsid w:val="00C11E3A"/>
    <w:rsid w:val="00C134A5"/>
    <w:rsid w:val="00C17806"/>
    <w:rsid w:val="00C20F2B"/>
    <w:rsid w:val="00C221BC"/>
    <w:rsid w:val="00C340F6"/>
    <w:rsid w:val="00C369A1"/>
    <w:rsid w:val="00C442F3"/>
    <w:rsid w:val="00C47988"/>
    <w:rsid w:val="00C47FEF"/>
    <w:rsid w:val="00C5068F"/>
    <w:rsid w:val="00C519B7"/>
    <w:rsid w:val="00C51DDB"/>
    <w:rsid w:val="00C60D1B"/>
    <w:rsid w:val="00C60D43"/>
    <w:rsid w:val="00C6249B"/>
    <w:rsid w:val="00C739BC"/>
    <w:rsid w:val="00C86D74"/>
    <w:rsid w:val="00C900A0"/>
    <w:rsid w:val="00C912DF"/>
    <w:rsid w:val="00C97F97"/>
    <w:rsid w:val="00CA0E31"/>
    <w:rsid w:val="00CA3651"/>
    <w:rsid w:val="00CA6E53"/>
    <w:rsid w:val="00CD04F1"/>
    <w:rsid w:val="00CD6E0D"/>
    <w:rsid w:val="00CE14D9"/>
    <w:rsid w:val="00CE60A0"/>
    <w:rsid w:val="00CE7A82"/>
    <w:rsid w:val="00CF681A"/>
    <w:rsid w:val="00D07C78"/>
    <w:rsid w:val="00D11A01"/>
    <w:rsid w:val="00D12FA7"/>
    <w:rsid w:val="00D23EA1"/>
    <w:rsid w:val="00D250A9"/>
    <w:rsid w:val="00D335E7"/>
    <w:rsid w:val="00D35414"/>
    <w:rsid w:val="00D45252"/>
    <w:rsid w:val="00D4567A"/>
    <w:rsid w:val="00D54B0F"/>
    <w:rsid w:val="00D61015"/>
    <w:rsid w:val="00D666D9"/>
    <w:rsid w:val="00D71B4D"/>
    <w:rsid w:val="00D93D55"/>
    <w:rsid w:val="00D95735"/>
    <w:rsid w:val="00D957B3"/>
    <w:rsid w:val="00DA36B0"/>
    <w:rsid w:val="00DB319C"/>
    <w:rsid w:val="00DB4F53"/>
    <w:rsid w:val="00DD7B7F"/>
    <w:rsid w:val="00DF3207"/>
    <w:rsid w:val="00DF69E9"/>
    <w:rsid w:val="00E15015"/>
    <w:rsid w:val="00E22F4A"/>
    <w:rsid w:val="00E24AD8"/>
    <w:rsid w:val="00E26451"/>
    <w:rsid w:val="00E33113"/>
    <w:rsid w:val="00E335FE"/>
    <w:rsid w:val="00E400F9"/>
    <w:rsid w:val="00E42F97"/>
    <w:rsid w:val="00E649D6"/>
    <w:rsid w:val="00E8471A"/>
    <w:rsid w:val="00E923DD"/>
    <w:rsid w:val="00E966D8"/>
    <w:rsid w:val="00EA3B89"/>
    <w:rsid w:val="00EA7D6E"/>
    <w:rsid w:val="00EB2F76"/>
    <w:rsid w:val="00EB5150"/>
    <w:rsid w:val="00EB7955"/>
    <w:rsid w:val="00EC4E49"/>
    <w:rsid w:val="00EC6743"/>
    <w:rsid w:val="00ED77FB"/>
    <w:rsid w:val="00EE06A6"/>
    <w:rsid w:val="00EE4503"/>
    <w:rsid w:val="00EE45FA"/>
    <w:rsid w:val="00EE4AEE"/>
    <w:rsid w:val="00EF370C"/>
    <w:rsid w:val="00EF6C9B"/>
    <w:rsid w:val="00F043DE"/>
    <w:rsid w:val="00F10DE7"/>
    <w:rsid w:val="00F15D75"/>
    <w:rsid w:val="00F2127C"/>
    <w:rsid w:val="00F22EA9"/>
    <w:rsid w:val="00F33856"/>
    <w:rsid w:val="00F51B0F"/>
    <w:rsid w:val="00F5356B"/>
    <w:rsid w:val="00F538F1"/>
    <w:rsid w:val="00F65A1A"/>
    <w:rsid w:val="00F66152"/>
    <w:rsid w:val="00F6712F"/>
    <w:rsid w:val="00F70A0A"/>
    <w:rsid w:val="00F71346"/>
    <w:rsid w:val="00F747CE"/>
    <w:rsid w:val="00F749ED"/>
    <w:rsid w:val="00F82ECF"/>
    <w:rsid w:val="00F86BB2"/>
    <w:rsid w:val="00F8742B"/>
    <w:rsid w:val="00F9165B"/>
    <w:rsid w:val="00F91EE5"/>
    <w:rsid w:val="00F93591"/>
    <w:rsid w:val="00F97227"/>
    <w:rsid w:val="00FA2A42"/>
    <w:rsid w:val="00FA31F6"/>
    <w:rsid w:val="00FB29E2"/>
    <w:rsid w:val="00FC3197"/>
    <w:rsid w:val="00FC482F"/>
    <w:rsid w:val="00FD680D"/>
    <w:rsid w:val="00FD7487"/>
    <w:rsid w:val="00FE125C"/>
    <w:rsid w:val="00FF0F4B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FEDCC"/>
  <w15:docId w15:val="{9416228D-D711-4526-94A0-C847816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22B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22B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33856"/>
    <w:pPr>
      <w:ind w:left="720"/>
      <w:contextualSpacing/>
    </w:pPr>
  </w:style>
  <w:style w:type="character" w:styleId="Hyperlink">
    <w:name w:val="Hyperlink"/>
    <w:basedOn w:val="DefaultParagraphFont"/>
    <w:unhideWhenUsed/>
    <w:rsid w:val="00F338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F5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42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4C542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A19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9E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9E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A19E9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A1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9E9"/>
    <w:rPr>
      <w:rFonts w:ascii="Segoe UI" w:eastAsia="SimSun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C6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222BFD"/>
    <w:rPr>
      <w:rFonts w:asciiTheme="majorHAnsi" w:eastAsiaTheme="majorEastAsia" w:hAnsiTheme="majorHAnsi" w:cstheme="majorBidi"/>
      <w:color w:val="365F91" w:themeColor="accent1" w:themeShade="BF"/>
      <w:sz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222BFD"/>
    <w:rPr>
      <w:rFonts w:asciiTheme="majorHAnsi" w:eastAsiaTheme="majorEastAsia" w:hAnsiTheme="majorHAnsi" w:cstheme="majorBidi"/>
      <w:color w:val="243F60" w:themeColor="accent1" w:themeShade="7F"/>
      <w:sz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C97F9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D33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ataverse.harvard.edu/dataverse/WGN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publications/en/series/index.jsp?id=138&amp;sort=code" TargetMode="External"/><Relationship Id="rId17" Type="http://schemas.openxmlformats.org/officeDocument/2006/relationships/hyperlink" Target="https://www.wipo.int/econ_stat/en/econom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IES-platform/r4r_gender.g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IES-platform/r4r_gender/blob/main/wgnd/README.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7910/DVN/YPRQH8" TargetMode="External"/><Relationship Id="rId10" Type="http://schemas.openxmlformats.org/officeDocument/2006/relationships/hyperlink" Target="https://dataverse.harvard.edu/dataverse/WG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21755" TargetMode="External"/><Relationship Id="rId14" Type="http://schemas.openxmlformats.org/officeDocument/2006/relationships/hyperlink" Target="https://github.com/IES-platform/r4r_gender/blob/main/wgnd/README.m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15E3-9E66-4D3B-9ABB-21EAC0A2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1787</Words>
  <Characters>9957</Characters>
  <Application>Microsoft Office Word</Application>
  <DocSecurity>0</DocSecurity>
  <Lines>164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MARTINEZ LIMÓN Cristina</dc:creator>
  <cp:keywords>FOR OFFICIAL USE ONLY</cp:keywords>
  <cp:lastModifiedBy>ESTEVES DOS SANTOS Anabela</cp:lastModifiedBy>
  <cp:revision>4</cp:revision>
  <cp:lastPrinted>2011-02-15T11:56:00Z</cp:lastPrinted>
  <dcterms:created xsi:type="dcterms:W3CDTF">2021-05-25T17:23:00Z</dcterms:created>
  <dcterms:modified xsi:type="dcterms:W3CDTF">2021-05-25T17:40:00Z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ab712709-4e02-472d-a3e1-b0816ed75e7e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