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C3E9C" w:rsidRPr="009F5287" w:rsidTr="008C3E9C">
        <w:tc>
          <w:tcPr>
            <w:tcW w:w="4513" w:type="dxa"/>
            <w:tcBorders>
              <w:bottom w:val="single" w:sz="4" w:space="0" w:color="auto"/>
            </w:tcBorders>
            <w:tcMar>
              <w:bottom w:w="170" w:type="dxa"/>
            </w:tcMar>
          </w:tcPr>
          <w:p w:rsidR="008C3E9C" w:rsidRPr="009F5287" w:rsidRDefault="008C3E9C" w:rsidP="008C3E9C">
            <w:pPr>
              <w:rPr>
                <w:rFonts w:eastAsia="SimSun"/>
                <w:szCs w:val="20"/>
                <w:lang w:eastAsia="zh-CN"/>
              </w:rPr>
            </w:pPr>
          </w:p>
        </w:tc>
        <w:tc>
          <w:tcPr>
            <w:tcW w:w="4337" w:type="dxa"/>
            <w:tcBorders>
              <w:bottom w:val="single" w:sz="4" w:space="0" w:color="auto"/>
            </w:tcBorders>
            <w:tcMar>
              <w:left w:w="0" w:type="dxa"/>
              <w:right w:w="0" w:type="dxa"/>
            </w:tcMar>
          </w:tcPr>
          <w:p w:rsidR="008C3E9C" w:rsidRPr="009F5287" w:rsidRDefault="008C3E9C" w:rsidP="008C3E9C">
            <w:pPr>
              <w:rPr>
                <w:rFonts w:eastAsia="SimSun"/>
                <w:szCs w:val="20"/>
                <w:lang w:eastAsia="zh-CN"/>
              </w:rPr>
            </w:pPr>
            <w:r w:rsidRPr="009F5287">
              <w:rPr>
                <w:rFonts w:eastAsia="SimSun"/>
                <w:noProof/>
                <w:szCs w:val="20"/>
              </w:rPr>
              <w:drawing>
                <wp:inline distT="0" distB="0" distL="0" distR="0" wp14:anchorId="0083BA09" wp14:editId="58848FAF">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C3E9C" w:rsidRPr="009F5287" w:rsidRDefault="008C3E9C" w:rsidP="008C3E9C">
            <w:pPr>
              <w:jc w:val="right"/>
              <w:rPr>
                <w:rFonts w:eastAsia="SimSun"/>
                <w:szCs w:val="20"/>
                <w:lang w:eastAsia="zh-CN"/>
              </w:rPr>
            </w:pPr>
            <w:r w:rsidRPr="009F5287">
              <w:rPr>
                <w:rFonts w:eastAsia="SimSun"/>
                <w:b/>
                <w:sz w:val="40"/>
                <w:szCs w:val="40"/>
                <w:lang w:eastAsia="zh-CN"/>
              </w:rPr>
              <w:t>E</w:t>
            </w:r>
          </w:p>
        </w:tc>
      </w:tr>
      <w:tr w:rsidR="008C3E9C" w:rsidRPr="00354881" w:rsidTr="008C3E9C">
        <w:trPr>
          <w:trHeight w:hRule="exact" w:val="340"/>
        </w:trPr>
        <w:tc>
          <w:tcPr>
            <w:tcW w:w="9356" w:type="dxa"/>
            <w:gridSpan w:val="3"/>
            <w:tcBorders>
              <w:top w:val="single" w:sz="4" w:space="0" w:color="auto"/>
            </w:tcBorders>
            <w:tcMar>
              <w:top w:w="170" w:type="dxa"/>
              <w:left w:w="0" w:type="dxa"/>
              <w:right w:w="0" w:type="dxa"/>
            </w:tcMar>
            <w:vAlign w:val="bottom"/>
          </w:tcPr>
          <w:p w:rsidR="008C3E9C" w:rsidRPr="00354881" w:rsidRDefault="008C3E9C" w:rsidP="0095368D">
            <w:pPr>
              <w:jc w:val="right"/>
              <w:rPr>
                <w:rFonts w:ascii="Arial Black" w:eastAsia="SimSun" w:hAnsi="Arial Black"/>
                <w:caps/>
                <w:sz w:val="15"/>
                <w:szCs w:val="20"/>
                <w:lang w:eastAsia="zh-CN"/>
              </w:rPr>
            </w:pPr>
            <w:r w:rsidRPr="00354881">
              <w:rPr>
                <w:rFonts w:ascii="Arial Black" w:eastAsia="SimSun" w:hAnsi="Arial Black"/>
                <w:caps/>
                <w:sz w:val="15"/>
                <w:szCs w:val="20"/>
                <w:lang w:eastAsia="zh-CN"/>
              </w:rPr>
              <w:t>CDIP/</w:t>
            </w:r>
            <w:bookmarkStart w:id="0" w:name="Code"/>
            <w:bookmarkEnd w:id="0"/>
            <w:r w:rsidR="004C27D6">
              <w:rPr>
                <w:rFonts w:ascii="Arial Black" w:eastAsia="SimSun" w:hAnsi="Arial Black"/>
                <w:caps/>
                <w:sz w:val="15"/>
                <w:szCs w:val="20"/>
                <w:lang w:eastAsia="zh-CN"/>
              </w:rPr>
              <w:t>24</w:t>
            </w:r>
            <w:r w:rsidRPr="00354881">
              <w:rPr>
                <w:rFonts w:ascii="Arial Black" w:eastAsia="SimSun" w:hAnsi="Arial Black"/>
                <w:caps/>
                <w:sz w:val="15"/>
                <w:szCs w:val="20"/>
                <w:lang w:eastAsia="zh-CN"/>
              </w:rPr>
              <w:t>/INF/</w:t>
            </w:r>
            <w:r w:rsidR="0095368D">
              <w:rPr>
                <w:rFonts w:ascii="Arial Black" w:eastAsia="SimSun" w:hAnsi="Arial Black"/>
                <w:caps/>
                <w:sz w:val="15"/>
                <w:szCs w:val="20"/>
                <w:lang w:eastAsia="zh-CN"/>
              </w:rPr>
              <w:t>5</w:t>
            </w:r>
            <w:r w:rsidRPr="00354881">
              <w:rPr>
                <w:rFonts w:ascii="Arial Black" w:eastAsia="SimSun" w:hAnsi="Arial Black"/>
                <w:caps/>
                <w:sz w:val="15"/>
                <w:szCs w:val="20"/>
                <w:lang w:eastAsia="zh-CN"/>
              </w:rPr>
              <w:t xml:space="preserve">    </w:t>
            </w:r>
          </w:p>
        </w:tc>
      </w:tr>
      <w:tr w:rsidR="008C3E9C" w:rsidRPr="00354881" w:rsidTr="008C3E9C">
        <w:trPr>
          <w:trHeight w:hRule="exact" w:val="170"/>
        </w:trPr>
        <w:tc>
          <w:tcPr>
            <w:tcW w:w="9356" w:type="dxa"/>
            <w:gridSpan w:val="3"/>
            <w:noWrap/>
            <w:tcMar>
              <w:left w:w="0" w:type="dxa"/>
              <w:right w:w="0" w:type="dxa"/>
            </w:tcMar>
            <w:vAlign w:val="bottom"/>
          </w:tcPr>
          <w:p w:rsidR="008C3E9C" w:rsidRPr="00354881" w:rsidRDefault="008C3E9C" w:rsidP="008C3E9C">
            <w:pPr>
              <w:jc w:val="right"/>
              <w:rPr>
                <w:rFonts w:ascii="Arial Black" w:eastAsia="SimSun" w:hAnsi="Arial Black"/>
                <w:caps/>
                <w:sz w:val="15"/>
                <w:szCs w:val="20"/>
                <w:lang w:eastAsia="zh-CN"/>
              </w:rPr>
            </w:pPr>
            <w:r w:rsidRPr="00354881">
              <w:rPr>
                <w:rFonts w:ascii="Arial Black" w:eastAsia="SimSun" w:hAnsi="Arial Black"/>
                <w:caps/>
                <w:sz w:val="15"/>
                <w:szCs w:val="20"/>
                <w:lang w:eastAsia="zh-CN"/>
              </w:rPr>
              <w:t xml:space="preserve">ORIGINAL:  </w:t>
            </w:r>
            <w:bookmarkStart w:id="1" w:name="Original"/>
            <w:bookmarkEnd w:id="1"/>
            <w:r w:rsidRPr="00354881">
              <w:rPr>
                <w:rFonts w:ascii="Arial Black" w:eastAsia="SimSun" w:hAnsi="Arial Black"/>
                <w:caps/>
                <w:sz w:val="15"/>
                <w:szCs w:val="20"/>
                <w:lang w:eastAsia="zh-CN"/>
              </w:rPr>
              <w:t>English</w:t>
            </w:r>
          </w:p>
        </w:tc>
      </w:tr>
      <w:tr w:rsidR="008C3E9C" w:rsidRPr="00354881" w:rsidTr="008C3E9C">
        <w:trPr>
          <w:trHeight w:hRule="exact" w:val="198"/>
        </w:trPr>
        <w:tc>
          <w:tcPr>
            <w:tcW w:w="9356" w:type="dxa"/>
            <w:gridSpan w:val="3"/>
            <w:tcMar>
              <w:left w:w="0" w:type="dxa"/>
              <w:right w:w="0" w:type="dxa"/>
            </w:tcMar>
            <w:vAlign w:val="bottom"/>
          </w:tcPr>
          <w:p w:rsidR="008C3E9C" w:rsidRPr="00354881" w:rsidRDefault="008C3E9C" w:rsidP="0095368D">
            <w:pPr>
              <w:jc w:val="right"/>
              <w:rPr>
                <w:rFonts w:ascii="Arial Black" w:eastAsia="SimSun" w:hAnsi="Arial Black"/>
                <w:caps/>
                <w:sz w:val="15"/>
                <w:szCs w:val="20"/>
                <w:lang w:eastAsia="zh-CN"/>
              </w:rPr>
            </w:pPr>
            <w:r w:rsidRPr="00354881">
              <w:rPr>
                <w:rFonts w:ascii="Arial Black" w:eastAsia="SimSun" w:hAnsi="Arial Black"/>
                <w:caps/>
                <w:sz w:val="15"/>
                <w:szCs w:val="20"/>
                <w:lang w:eastAsia="zh-CN"/>
              </w:rPr>
              <w:t xml:space="preserve">DATE:  </w:t>
            </w:r>
            <w:r w:rsidR="0095368D">
              <w:rPr>
                <w:rFonts w:ascii="Arial Black" w:eastAsia="SimSun" w:hAnsi="Arial Black"/>
                <w:caps/>
                <w:sz w:val="15"/>
                <w:szCs w:val="20"/>
                <w:lang w:eastAsia="zh-CN"/>
              </w:rPr>
              <w:t>october</w:t>
            </w:r>
            <w:r w:rsidRPr="00354881">
              <w:rPr>
                <w:rFonts w:ascii="Arial Black" w:eastAsia="SimSun" w:hAnsi="Arial Black"/>
                <w:caps/>
                <w:sz w:val="15"/>
                <w:szCs w:val="20"/>
                <w:lang w:eastAsia="zh-CN"/>
              </w:rPr>
              <w:t xml:space="preserve"> </w:t>
            </w:r>
            <w:r w:rsidR="0095368D">
              <w:rPr>
                <w:rFonts w:ascii="Arial Black" w:eastAsia="SimSun" w:hAnsi="Arial Black"/>
                <w:caps/>
                <w:sz w:val="15"/>
                <w:szCs w:val="20"/>
                <w:lang w:eastAsia="zh-CN"/>
              </w:rPr>
              <w:t>21</w:t>
            </w:r>
            <w:r w:rsidRPr="00354881">
              <w:rPr>
                <w:rFonts w:ascii="Arial Black" w:eastAsia="SimSun" w:hAnsi="Arial Black"/>
                <w:caps/>
                <w:sz w:val="15"/>
                <w:szCs w:val="20"/>
                <w:lang w:eastAsia="zh-CN"/>
              </w:rPr>
              <w:t xml:space="preserve">, 2019 </w:t>
            </w:r>
            <w:bookmarkStart w:id="2" w:name="Date"/>
            <w:bookmarkEnd w:id="2"/>
          </w:p>
        </w:tc>
      </w:tr>
    </w:tbl>
    <w:p w:rsidR="008C3E9C" w:rsidRDefault="008C3E9C" w:rsidP="008C3E9C">
      <w:pPr>
        <w:rPr>
          <w:rFonts w:ascii="Arial" w:eastAsia="SimSun" w:hAnsi="Arial" w:cs="Arial"/>
          <w:b/>
          <w:sz w:val="28"/>
          <w:szCs w:val="28"/>
          <w:lang w:eastAsia="zh-CN"/>
        </w:rPr>
      </w:pPr>
    </w:p>
    <w:p w:rsidR="008C3E9C" w:rsidRDefault="008C3E9C" w:rsidP="008C3E9C">
      <w:pPr>
        <w:rPr>
          <w:rFonts w:ascii="Arial" w:eastAsia="SimSun" w:hAnsi="Arial" w:cs="Arial"/>
          <w:b/>
          <w:sz w:val="28"/>
          <w:szCs w:val="28"/>
          <w:lang w:eastAsia="zh-CN"/>
        </w:rPr>
      </w:pPr>
    </w:p>
    <w:p w:rsidR="008C3E9C" w:rsidRDefault="008C3E9C" w:rsidP="008C3E9C">
      <w:pPr>
        <w:rPr>
          <w:rFonts w:ascii="Arial" w:eastAsia="SimSun" w:hAnsi="Arial" w:cs="Arial"/>
          <w:b/>
          <w:sz w:val="28"/>
          <w:szCs w:val="28"/>
          <w:lang w:eastAsia="zh-CN"/>
        </w:rPr>
      </w:pPr>
    </w:p>
    <w:p w:rsidR="008C3E9C" w:rsidRDefault="008C3E9C" w:rsidP="008C3E9C">
      <w:pPr>
        <w:rPr>
          <w:rFonts w:ascii="Arial" w:eastAsia="SimSun" w:hAnsi="Arial" w:cs="Arial"/>
          <w:b/>
          <w:sz w:val="28"/>
          <w:szCs w:val="28"/>
          <w:lang w:eastAsia="zh-CN"/>
        </w:rPr>
      </w:pPr>
    </w:p>
    <w:p w:rsidR="003C710A" w:rsidRDefault="003C710A" w:rsidP="008C3E9C">
      <w:pPr>
        <w:rPr>
          <w:rFonts w:ascii="Arial" w:eastAsia="SimSun" w:hAnsi="Arial" w:cs="Arial"/>
          <w:b/>
          <w:sz w:val="28"/>
          <w:szCs w:val="28"/>
          <w:lang w:eastAsia="zh-CN"/>
        </w:rPr>
      </w:pPr>
    </w:p>
    <w:p w:rsidR="008C3E9C" w:rsidRPr="008C3E9C" w:rsidRDefault="008C3E9C" w:rsidP="008C3E9C">
      <w:pPr>
        <w:rPr>
          <w:rFonts w:ascii="Arial" w:eastAsia="SimSun" w:hAnsi="Arial" w:cs="Arial"/>
          <w:b/>
          <w:sz w:val="28"/>
          <w:szCs w:val="28"/>
          <w:lang w:eastAsia="zh-CN"/>
        </w:rPr>
      </w:pPr>
      <w:r w:rsidRPr="008C3E9C">
        <w:rPr>
          <w:rFonts w:ascii="Arial" w:eastAsia="SimSun" w:hAnsi="Arial" w:cs="Arial"/>
          <w:b/>
          <w:sz w:val="28"/>
          <w:szCs w:val="28"/>
          <w:lang w:eastAsia="zh-CN"/>
        </w:rPr>
        <w:t>Committee on Development and Intellectual Property (CDIP)</w:t>
      </w:r>
    </w:p>
    <w:p w:rsidR="008C3E9C" w:rsidRPr="008C3E9C" w:rsidRDefault="008C3E9C" w:rsidP="008C3E9C">
      <w:pPr>
        <w:rPr>
          <w:rFonts w:ascii="Arial" w:eastAsia="SimSun" w:hAnsi="Arial" w:cs="Arial"/>
          <w:sz w:val="22"/>
          <w:szCs w:val="20"/>
          <w:lang w:eastAsia="zh-CN"/>
        </w:rPr>
      </w:pPr>
    </w:p>
    <w:p w:rsidR="003C710A" w:rsidRPr="008C3E9C" w:rsidRDefault="003C710A" w:rsidP="008C3E9C">
      <w:pPr>
        <w:rPr>
          <w:rFonts w:ascii="Arial" w:eastAsia="SimSun" w:hAnsi="Arial" w:cs="Arial"/>
          <w:sz w:val="22"/>
          <w:szCs w:val="20"/>
          <w:lang w:eastAsia="zh-CN"/>
        </w:rPr>
      </w:pPr>
    </w:p>
    <w:p w:rsidR="008C3E9C" w:rsidRPr="008C3E9C" w:rsidRDefault="008C3E9C" w:rsidP="008C3E9C">
      <w:pPr>
        <w:rPr>
          <w:rFonts w:ascii="Arial" w:eastAsia="SimSun" w:hAnsi="Arial" w:cs="Arial"/>
          <w:b/>
          <w:lang w:eastAsia="zh-CN"/>
        </w:rPr>
      </w:pPr>
      <w:r w:rsidRPr="008C3E9C">
        <w:rPr>
          <w:rFonts w:ascii="Arial" w:eastAsia="SimSun" w:hAnsi="Arial" w:cs="Arial"/>
          <w:b/>
          <w:lang w:eastAsia="zh-CN"/>
        </w:rPr>
        <w:t>Twenty-</w:t>
      </w:r>
      <w:r>
        <w:rPr>
          <w:rFonts w:ascii="Arial" w:eastAsia="SimSun" w:hAnsi="Arial" w:cs="Arial"/>
          <w:b/>
          <w:lang w:eastAsia="zh-CN"/>
        </w:rPr>
        <w:t>Fourth</w:t>
      </w:r>
      <w:r w:rsidRPr="008C3E9C">
        <w:rPr>
          <w:rFonts w:ascii="Arial" w:eastAsia="SimSun" w:hAnsi="Arial" w:cs="Arial"/>
          <w:b/>
          <w:lang w:eastAsia="zh-CN"/>
        </w:rPr>
        <w:t xml:space="preserve"> Session</w:t>
      </w:r>
    </w:p>
    <w:p w:rsidR="008C3E9C" w:rsidRPr="008C3E9C" w:rsidRDefault="008C3E9C" w:rsidP="008C3E9C">
      <w:pPr>
        <w:rPr>
          <w:rFonts w:ascii="Arial" w:eastAsia="SimSun" w:hAnsi="Arial" w:cs="Arial"/>
          <w:b/>
          <w:lang w:eastAsia="zh-CN"/>
        </w:rPr>
      </w:pPr>
      <w:r w:rsidRPr="008C3E9C">
        <w:rPr>
          <w:rFonts w:ascii="Arial" w:eastAsia="SimSun" w:hAnsi="Arial" w:cs="Arial"/>
          <w:b/>
          <w:lang w:eastAsia="zh-CN"/>
        </w:rPr>
        <w:t xml:space="preserve">Geneva, </w:t>
      </w:r>
      <w:r>
        <w:rPr>
          <w:rFonts w:ascii="Arial" w:eastAsia="SimSun" w:hAnsi="Arial" w:cs="Arial"/>
          <w:b/>
          <w:lang w:eastAsia="zh-CN"/>
        </w:rPr>
        <w:t>November</w:t>
      </w:r>
      <w:r w:rsidRPr="008C3E9C">
        <w:rPr>
          <w:rFonts w:ascii="Arial" w:eastAsia="SimSun" w:hAnsi="Arial" w:cs="Arial"/>
          <w:b/>
          <w:lang w:eastAsia="zh-CN"/>
        </w:rPr>
        <w:t xml:space="preserve"> </w:t>
      </w:r>
      <w:r>
        <w:rPr>
          <w:rFonts w:ascii="Arial" w:eastAsia="SimSun" w:hAnsi="Arial" w:cs="Arial"/>
          <w:b/>
          <w:lang w:eastAsia="zh-CN"/>
        </w:rPr>
        <w:t>18</w:t>
      </w:r>
      <w:r w:rsidRPr="008C3E9C">
        <w:rPr>
          <w:rFonts w:ascii="Arial" w:eastAsia="SimSun" w:hAnsi="Arial" w:cs="Arial"/>
          <w:b/>
          <w:lang w:eastAsia="zh-CN"/>
        </w:rPr>
        <w:t xml:space="preserve"> to </w:t>
      </w:r>
      <w:r>
        <w:rPr>
          <w:rFonts w:ascii="Arial" w:eastAsia="SimSun" w:hAnsi="Arial" w:cs="Arial"/>
          <w:b/>
          <w:lang w:eastAsia="zh-CN"/>
        </w:rPr>
        <w:t>22</w:t>
      </w:r>
      <w:r w:rsidRPr="008C3E9C">
        <w:rPr>
          <w:rFonts w:ascii="Arial" w:eastAsia="SimSun" w:hAnsi="Arial" w:cs="Arial"/>
          <w:b/>
          <w:lang w:eastAsia="zh-CN"/>
        </w:rPr>
        <w:t>, 2019</w:t>
      </w:r>
    </w:p>
    <w:p w:rsidR="008C3E9C" w:rsidRPr="008C3E9C" w:rsidRDefault="008C3E9C" w:rsidP="008C3E9C">
      <w:pPr>
        <w:rPr>
          <w:rFonts w:ascii="Arial" w:eastAsia="SimSun" w:hAnsi="Arial" w:cs="Arial"/>
          <w:sz w:val="22"/>
          <w:szCs w:val="20"/>
          <w:lang w:eastAsia="zh-CN"/>
        </w:rPr>
      </w:pPr>
    </w:p>
    <w:p w:rsidR="008C3E9C" w:rsidRDefault="008C3E9C" w:rsidP="008C3E9C">
      <w:pPr>
        <w:rPr>
          <w:rFonts w:ascii="Arial" w:eastAsia="SimSun" w:hAnsi="Arial" w:cs="Arial"/>
          <w:sz w:val="22"/>
          <w:szCs w:val="20"/>
          <w:lang w:eastAsia="zh-CN"/>
        </w:rPr>
      </w:pPr>
    </w:p>
    <w:p w:rsidR="008B203D" w:rsidRPr="008C3E9C" w:rsidRDefault="008B203D" w:rsidP="008C3E9C">
      <w:pPr>
        <w:rPr>
          <w:rFonts w:ascii="Arial" w:eastAsia="SimSun" w:hAnsi="Arial" w:cs="Arial"/>
          <w:sz w:val="22"/>
          <w:szCs w:val="20"/>
          <w:lang w:eastAsia="zh-CN"/>
        </w:rPr>
      </w:pPr>
    </w:p>
    <w:p w:rsidR="008C3E9C" w:rsidRPr="0095368D" w:rsidRDefault="008C3E9C" w:rsidP="008C3E9C">
      <w:pPr>
        <w:widowControl w:val="0"/>
        <w:pBdr>
          <w:top w:val="nil"/>
          <w:left w:val="nil"/>
          <w:bottom w:val="nil"/>
          <w:right w:val="nil"/>
          <w:between w:val="nil"/>
        </w:pBdr>
        <w:rPr>
          <w:rFonts w:ascii="Arial" w:eastAsia="Arial" w:hAnsi="Arial" w:cs="Arial"/>
          <w:color w:val="000000"/>
          <w:szCs w:val="22"/>
        </w:rPr>
      </w:pPr>
      <w:bookmarkStart w:id="3" w:name="TitleOfDoc"/>
      <w:bookmarkEnd w:id="3"/>
      <w:r w:rsidRPr="008C3E9C">
        <w:rPr>
          <w:rFonts w:ascii="Arial" w:eastAsia="Arial" w:hAnsi="Arial" w:cs="Arial"/>
          <w:color w:val="000000"/>
          <w:szCs w:val="22"/>
        </w:rPr>
        <w:t>SUMMARY OF</w:t>
      </w:r>
      <w:r w:rsidR="00C80664">
        <w:rPr>
          <w:rFonts w:ascii="Arial" w:eastAsia="Arial" w:hAnsi="Arial" w:cs="Arial"/>
          <w:color w:val="000000"/>
          <w:szCs w:val="22"/>
        </w:rPr>
        <w:t xml:space="preserve"> </w:t>
      </w:r>
      <w:r w:rsidR="002A02D6">
        <w:rPr>
          <w:rFonts w:ascii="Arial" w:eastAsia="Arial" w:hAnsi="Arial" w:cs="Arial"/>
          <w:color w:val="000000"/>
          <w:szCs w:val="22"/>
        </w:rPr>
        <w:t>A</w:t>
      </w:r>
      <w:r w:rsidR="00C80664" w:rsidRPr="008C3E9C">
        <w:rPr>
          <w:rFonts w:ascii="Arial" w:eastAsia="Arial" w:hAnsi="Arial" w:cs="Arial"/>
          <w:color w:val="000000"/>
          <w:szCs w:val="22"/>
        </w:rPr>
        <w:t xml:space="preserve"> </w:t>
      </w:r>
      <w:r w:rsidR="00C80664" w:rsidRPr="00C80664">
        <w:rPr>
          <w:rFonts w:ascii="Arial" w:eastAsia="Arial" w:hAnsi="Arial" w:cs="Arial"/>
          <w:color w:val="000000"/>
          <w:szCs w:val="22"/>
        </w:rPr>
        <w:t>SCOPING STUDY ON</w:t>
      </w:r>
      <w:r w:rsidR="00C80664" w:rsidRPr="00C80664">
        <w:rPr>
          <w:rFonts w:ascii="Arial" w:eastAsia="Arial" w:hAnsi="Arial" w:cs="Arial"/>
          <w:color w:val="000000"/>
          <w:szCs w:val="22"/>
          <w:lang w:val="en-GB"/>
        </w:rPr>
        <w:t xml:space="preserve"> AVAILABILITY AND USE OF INTELLECTUAL PROPERTY TOOLS TO PROTECT MOBILE APPLICATIONS IN THE THREE BENEFICIARY COUNTRIES NAMELY, </w:t>
      </w:r>
      <w:r w:rsidR="00C80664" w:rsidRPr="00C80664">
        <w:rPr>
          <w:rFonts w:ascii="Arial" w:eastAsia="Arial" w:hAnsi="Arial" w:cs="Arial"/>
          <w:color w:val="000000"/>
          <w:szCs w:val="22"/>
        </w:rPr>
        <w:t>KENYA, TRINIDAD AND TOBAGO AND THE PHILIPPINES</w:t>
      </w:r>
    </w:p>
    <w:p w:rsidR="008C3E9C" w:rsidRDefault="008C3E9C" w:rsidP="008C3E9C">
      <w:pPr>
        <w:widowControl w:val="0"/>
        <w:pBdr>
          <w:top w:val="nil"/>
          <w:left w:val="nil"/>
          <w:bottom w:val="nil"/>
          <w:right w:val="nil"/>
          <w:between w:val="nil"/>
        </w:pBdr>
        <w:rPr>
          <w:rFonts w:ascii="Arial" w:eastAsia="Arial" w:hAnsi="Arial" w:cs="Arial"/>
          <w:color w:val="000000"/>
          <w:sz w:val="22"/>
          <w:szCs w:val="22"/>
        </w:rPr>
      </w:pPr>
    </w:p>
    <w:p w:rsidR="0095368D" w:rsidRPr="008C3E9C" w:rsidRDefault="0095368D" w:rsidP="008C3E9C">
      <w:pPr>
        <w:widowControl w:val="0"/>
        <w:pBdr>
          <w:top w:val="nil"/>
          <w:left w:val="nil"/>
          <w:bottom w:val="nil"/>
          <w:right w:val="nil"/>
          <w:between w:val="nil"/>
        </w:pBdr>
        <w:rPr>
          <w:rFonts w:ascii="Arial" w:eastAsia="Arial" w:hAnsi="Arial" w:cs="Arial"/>
          <w:color w:val="000000"/>
          <w:sz w:val="22"/>
          <w:szCs w:val="22"/>
        </w:rPr>
      </w:pPr>
    </w:p>
    <w:p w:rsidR="008C3E9C" w:rsidRPr="008C3E9C" w:rsidRDefault="008C3E9C" w:rsidP="008C3E9C">
      <w:pPr>
        <w:widowControl w:val="0"/>
        <w:pBdr>
          <w:top w:val="nil"/>
          <w:left w:val="nil"/>
          <w:bottom w:val="nil"/>
          <w:right w:val="nil"/>
          <w:between w:val="nil"/>
        </w:pBdr>
        <w:rPr>
          <w:rFonts w:ascii="Arial" w:eastAsia="Arial" w:hAnsi="Arial" w:cs="Arial"/>
          <w:i/>
          <w:color w:val="000000"/>
          <w:sz w:val="22"/>
          <w:szCs w:val="22"/>
        </w:rPr>
      </w:pPr>
      <w:bookmarkStart w:id="4" w:name="Prepared"/>
      <w:bookmarkEnd w:id="4"/>
      <w:proofErr w:type="gramStart"/>
      <w:r w:rsidRPr="008C3E9C">
        <w:rPr>
          <w:rFonts w:ascii="Arial" w:eastAsia="Arial" w:hAnsi="Arial" w:cs="Arial"/>
          <w:i/>
          <w:color w:val="000000"/>
          <w:sz w:val="22"/>
          <w:szCs w:val="22"/>
        </w:rPr>
        <w:t>prepared</w:t>
      </w:r>
      <w:proofErr w:type="gramEnd"/>
      <w:r w:rsidRPr="008C3E9C">
        <w:rPr>
          <w:rFonts w:ascii="Arial" w:eastAsia="Arial" w:hAnsi="Arial" w:cs="Arial"/>
          <w:i/>
          <w:color w:val="000000"/>
          <w:sz w:val="22"/>
          <w:szCs w:val="22"/>
        </w:rPr>
        <w:t xml:space="preserve"> by</w:t>
      </w:r>
      <w:r w:rsidR="004C27D6" w:rsidRPr="004C27D6">
        <w:rPr>
          <w:rFonts w:ascii="Arial" w:eastAsia="Times New Roman" w:hAnsi="Arial" w:cs="Arial"/>
          <w:sz w:val="22"/>
          <w:szCs w:val="22"/>
        </w:rPr>
        <w:t xml:space="preserve"> </w:t>
      </w:r>
      <w:r w:rsidR="003C710A">
        <w:rPr>
          <w:rFonts w:ascii="Arial" w:eastAsia="Arial" w:hAnsi="Arial" w:cs="Arial"/>
          <w:i/>
          <w:color w:val="000000"/>
          <w:sz w:val="22"/>
          <w:szCs w:val="22"/>
        </w:rPr>
        <w:t>the Secretariat</w:t>
      </w:r>
    </w:p>
    <w:p w:rsidR="008C3E9C" w:rsidRPr="008C3E9C" w:rsidRDefault="008C3E9C" w:rsidP="008C3E9C">
      <w:pPr>
        <w:widowControl w:val="0"/>
        <w:pBdr>
          <w:top w:val="nil"/>
          <w:left w:val="nil"/>
          <w:bottom w:val="nil"/>
          <w:right w:val="nil"/>
          <w:between w:val="nil"/>
        </w:pBdr>
        <w:rPr>
          <w:rFonts w:ascii="Arial" w:eastAsia="Arial" w:hAnsi="Arial" w:cs="Arial"/>
          <w:color w:val="000000"/>
          <w:sz w:val="22"/>
          <w:szCs w:val="22"/>
        </w:rPr>
      </w:pPr>
    </w:p>
    <w:p w:rsidR="008C3E9C" w:rsidRPr="008C3E9C" w:rsidRDefault="008C3E9C" w:rsidP="008C3E9C">
      <w:pPr>
        <w:widowControl w:val="0"/>
        <w:pBdr>
          <w:top w:val="nil"/>
          <w:left w:val="nil"/>
          <w:bottom w:val="nil"/>
          <w:right w:val="nil"/>
          <w:between w:val="nil"/>
        </w:pBdr>
        <w:rPr>
          <w:rFonts w:ascii="Arial" w:eastAsia="Arial" w:hAnsi="Arial" w:cs="Arial"/>
          <w:color w:val="000000"/>
          <w:sz w:val="22"/>
          <w:szCs w:val="22"/>
        </w:rPr>
      </w:pPr>
    </w:p>
    <w:p w:rsidR="008C3E9C" w:rsidRPr="008C3E9C" w:rsidRDefault="008C3E9C" w:rsidP="008C3E9C">
      <w:pPr>
        <w:widowControl w:val="0"/>
        <w:pBdr>
          <w:top w:val="nil"/>
          <w:left w:val="nil"/>
          <w:bottom w:val="nil"/>
          <w:right w:val="nil"/>
          <w:between w:val="nil"/>
        </w:pBdr>
        <w:rPr>
          <w:rFonts w:ascii="Arial" w:eastAsia="Arial" w:hAnsi="Arial" w:cs="Arial"/>
          <w:color w:val="000000"/>
          <w:sz w:val="22"/>
          <w:szCs w:val="22"/>
        </w:rPr>
      </w:pPr>
    </w:p>
    <w:p w:rsidR="008C3E9C" w:rsidRPr="008C3E9C" w:rsidRDefault="008C3E9C" w:rsidP="008C3E9C">
      <w:pPr>
        <w:widowControl w:val="0"/>
        <w:pBdr>
          <w:top w:val="nil"/>
          <w:left w:val="nil"/>
          <w:bottom w:val="nil"/>
          <w:right w:val="nil"/>
          <w:between w:val="nil"/>
        </w:pBdr>
        <w:rPr>
          <w:rFonts w:ascii="Arial" w:eastAsia="Arial" w:hAnsi="Arial" w:cs="Arial"/>
          <w:color w:val="000000"/>
          <w:sz w:val="22"/>
          <w:szCs w:val="22"/>
        </w:rPr>
      </w:pPr>
    </w:p>
    <w:p w:rsidR="007F1540" w:rsidRDefault="007F1540" w:rsidP="007F1540">
      <w:pPr>
        <w:widowControl w:val="0"/>
        <w:pBdr>
          <w:top w:val="nil"/>
          <w:left w:val="nil"/>
          <w:bottom w:val="nil"/>
          <w:right w:val="nil"/>
          <w:between w:val="nil"/>
        </w:pBdr>
        <w:rPr>
          <w:rFonts w:ascii="Arial" w:eastAsia="Times New Roman" w:hAnsi="Arial" w:cs="Arial"/>
          <w:color w:val="000000"/>
          <w:sz w:val="22"/>
          <w:szCs w:val="22"/>
        </w:rPr>
      </w:pPr>
    </w:p>
    <w:p w:rsidR="005061E0" w:rsidRDefault="008C3E9C" w:rsidP="005061E0">
      <w:pPr>
        <w:pStyle w:val="ListParagraph"/>
        <w:keepLines/>
        <w:widowControl w:val="0"/>
        <w:numPr>
          <w:ilvl w:val="0"/>
          <w:numId w:val="10"/>
        </w:numPr>
        <w:pBdr>
          <w:top w:val="nil"/>
          <w:left w:val="nil"/>
          <w:bottom w:val="nil"/>
          <w:right w:val="nil"/>
          <w:between w:val="nil"/>
        </w:pBdr>
        <w:ind w:left="0" w:firstLine="0"/>
        <w:rPr>
          <w:rFonts w:ascii="Arial" w:eastAsia="Times New Roman" w:hAnsi="Arial" w:cs="Arial"/>
          <w:color w:val="000000"/>
          <w:sz w:val="22"/>
          <w:szCs w:val="22"/>
        </w:rPr>
      </w:pPr>
      <w:r w:rsidRPr="005061E0">
        <w:rPr>
          <w:rFonts w:ascii="Arial" w:eastAsia="Times New Roman" w:hAnsi="Arial" w:cs="Arial"/>
          <w:color w:val="000000"/>
          <w:sz w:val="22"/>
          <w:szCs w:val="22"/>
        </w:rPr>
        <w:t xml:space="preserve">The Annex to this document contains </w:t>
      </w:r>
      <w:r w:rsidR="008B203D" w:rsidRPr="005061E0">
        <w:rPr>
          <w:rFonts w:ascii="Arial" w:eastAsia="Times New Roman" w:hAnsi="Arial" w:cs="Arial"/>
          <w:color w:val="000000"/>
          <w:sz w:val="22"/>
          <w:szCs w:val="22"/>
        </w:rPr>
        <w:t>a</w:t>
      </w:r>
      <w:r w:rsidRPr="005061E0">
        <w:rPr>
          <w:rFonts w:ascii="Arial" w:eastAsia="Times New Roman" w:hAnsi="Arial" w:cs="Arial"/>
          <w:color w:val="000000"/>
          <w:sz w:val="22"/>
          <w:szCs w:val="22"/>
        </w:rPr>
        <w:t xml:space="preserve"> </w:t>
      </w:r>
      <w:r w:rsidR="008A3A97" w:rsidRPr="005061E0">
        <w:rPr>
          <w:rFonts w:ascii="Arial" w:eastAsia="Times New Roman" w:hAnsi="Arial" w:cs="Arial"/>
          <w:color w:val="000000"/>
          <w:sz w:val="22"/>
          <w:szCs w:val="22"/>
        </w:rPr>
        <w:t>summary of a</w:t>
      </w:r>
      <w:r w:rsidR="003B37EB" w:rsidRPr="005061E0">
        <w:rPr>
          <w:rFonts w:ascii="Arial" w:eastAsia="Times New Roman" w:hAnsi="Arial" w:cs="Arial"/>
          <w:color w:val="000000"/>
          <w:sz w:val="22"/>
          <w:szCs w:val="22"/>
        </w:rPr>
        <w:t xml:space="preserve"> </w:t>
      </w:r>
      <w:r w:rsidR="008A3A97" w:rsidRPr="005061E0">
        <w:rPr>
          <w:rFonts w:ascii="Arial" w:eastAsia="Times New Roman" w:hAnsi="Arial" w:cs="Arial"/>
          <w:color w:val="000000"/>
          <w:sz w:val="22"/>
          <w:szCs w:val="22"/>
        </w:rPr>
        <w:t>Scoping Study on</w:t>
      </w:r>
      <w:r w:rsidR="008A3A97" w:rsidRPr="005061E0">
        <w:rPr>
          <w:rFonts w:ascii="Arial" w:eastAsia="Times New Roman" w:hAnsi="Arial" w:cs="Arial"/>
          <w:color w:val="000000"/>
          <w:sz w:val="22"/>
          <w:szCs w:val="22"/>
          <w:lang w:val="en-GB"/>
        </w:rPr>
        <w:t xml:space="preserve"> Availability and Use of Intellectual Property Tools to Protect Mobile Applications in the three Beneficiary Countries namely, </w:t>
      </w:r>
      <w:r w:rsidR="008A3A97" w:rsidRPr="005061E0">
        <w:rPr>
          <w:rFonts w:ascii="Arial" w:eastAsia="Times New Roman" w:hAnsi="Arial" w:cs="Arial"/>
          <w:color w:val="000000"/>
          <w:sz w:val="22"/>
          <w:szCs w:val="22"/>
        </w:rPr>
        <w:t>Kenya, Trinidad and Tobago and the Philippines,</w:t>
      </w:r>
      <w:r w:rsidR="0095368D" w:rsidRPr="005061E0">
        <w:rPr>
          <w:rFonts w:ascii="Arial" w:eastAsia="Times New Roman" w:hAnsi="Arial" w:cs="Arial"/>
          <w:color w:val="000000"/>
          <w:sz w:val="22"/>
          <w:szCs w:val="22"/>
        </w:rPr>
        <w:t xml:space="preserve"> undertaken in the context of the Project on Enhancing the Use of Intellectual Property in the Software Sector </w:t>
      </w:r>
      <w:r w:rsidR="00C56D95" w:rsidRPr="005061E0">
        <w:rPr>
          <w:rFonts w:ascii="Arial" w:eastAsia="Times New Roman" w:hAnsi="Arial" w:cs="Arial"/>
          <w:color w:val="000000"/>
          <w:sz w:val="22"/>
          <w:szCs w:val="22"/>
        </w:rPr>
        <w:t>(CDIP/22/8)</w:t>
      </w:r>
      <w:r w:rsidR="005061E0">
        <w:rPr>
          <w:rFonts w:ascii="Arial" w:eastAsia="Times New Roman" w:hAnsi="Arial" w:cs="Arial"/>
          <w:color w:val="000000"/>
          <w:sz w:val="22"/>
          <w:szCs w:val="22"/>
        </w:rPr>
        <w:t>.</w:t>
      </w:r>
    </w:p>
    <w:p w:rsidR="004006B6" w:rsidRPr="005061E0" w:rsidRDefault="008C3E9C" w:rsidP="005061E0">
      <w:pPr>
        <w:pStyle w:val="ListParagraph"/>
        <w:keepNext/>
        <w:widowControl w:val="0"/>
        <w:pBdr>
          <w:top w:val="nil"/>
          <w:left w:val="nil"/>
          <w:bottom w:val="nil"/>
          <w:right w:val="nil"/>
          <w:between w:val="nil"/>
        </w:pBdr>
        <w:ind w:left="0"/>
        <w:rPr>
          <w:rFonts w:ascii="Arial" w:eastAsia="Times New Roman" w:hAnsi="Arial" w:cs="Arial"/>
          <w:sz w:val="22"/>
          <w:szCs w:val="22"/>
        </w:rPr>
      </w:pPr>
      <w:r w:rsidRPr="005061E0">
        <w:rPr>
          <w:rFonts w:ascii="Arial" w:eastAsia="Times New Roman" w:hAnsi="Arial" w:cs="Arial"/>
          <w:sz w:val="22"/>
          <w:szCs w:val="22"/>
        </w:rPr>
        <w:t>The</w:t>
      </w:r>
      <w:r w:rsidR="0095368D" w:rsidRPr="005061E0">
        <w:rPr>
          <w:rFonts w:ascii="Arial" w:eastAsia="Times New Roman" w:hAnsi="Arial" w:cs="Arial"/>
          <w:sz w:val="22"/>
          <w:szCs w:val="22"/>
        </w:rPr>
        <w:t xml:space="preserve"> Scoping S</w:t>
      </w:r>
      <w:r w:rsidRPr="005061E0">
        <w:rPr>
          <w:rFonts w:ascii="Arial" w:eastAsia="Times New Roman" w:hAnsi="Arial" w:cs="Arial"/>
          <w:sz w:val="22"/>
          <w:szCs w:val="22"/>
        </w:rPr>
        <w:t xml:space="preserve">tudy </w:t>
      </w:r>
      <w:proofErr w:type="gramStart"/>
      <w:r w:rsidRPr="005061E0">
        <w:rPr>
          <w:rFonts w:ascii="Arial" w:eastAsia="Times New Roman" w:hAnsi="Arial" w:cs="Arial"/>
          <w:sz w:val="22"/>
          <w:szCs w:val="22"/>
        </w:rPr>
        <w:t>has been prepared</w:t>
      </w:r>
      <w:proofErr w:type="gramEnd"/>
      <w:r w:rsidRPr="005061E0">
        <w:rPr>
          <w:rFonts w:ascii="Arial" w:eastAsia="Times New Roman" w:hAnsi="Arial" w:cs="Arial"/>
          <w:sz w:val="22"/>
          <w:szCs w:val="22"/>
        </w:rPr>
        <w:t xml:space="preserve"> </w:t>
      </w:r>
      <w:r w:rsidR="008B203D" w:rsidRPr="005061E0">
        <w:rPr>
          <w:rFonts w:ascii="Arial" w:eastAsia="Times New Roman" w:hAnsi="Arial" w:cs="Arial"/>
          <w:sz w:val="22"/>
          <w:szCs w:val="22"/>
        </w:rPr>
        <w:t>by M</w:t>
      </w:r>
      <w:r w:rsidR="00C56D95" w:rsidRPr="005061E0">
        <w:rPr>
          <w:rFonts w:ascii="Arial" w:eastAsia="Times New Roman" w:hAnsi="Arial" w:cs="Arial"/>
          <w:sz w:val="22"/>
          <w:szCs w:val="22"/>
        </w:rPr>
        <w:t xml:space="preserve">r. Noam </w:t>
      </w:r>
      <w:proofErr w:type="spellStart"/>
      <w:r w:rsidR="00C56D95" w:rsidRPr="005061E0">
        <w:rPr>
          <w:rFonts w:ascii="Arial" w:eastAsia="Times New Roman" w:hAnsi="Arial" w:cs="Arial"/>
          <w:sz w:val="22"/>
          <w:szCs w:val="22"/>
        </w:rPr>
        <w:t>Shemtov</w:t>
      </w:r>
      <w:proofErr w:type="spellEnd"/>
      <w:r w:rsidR="008B203D" w:rsidRPr="005061E0">
        <w:rPr>
          <w:rFonts w:ascii="Arial" w:eastAsia="Times New Roman" w:hAnsi="Arial" w:cs="Arial"/>
          <w:sz w:val="22"/>
          <w:szCs w:val="22"/>
        </w:rPr>
        <w:t>,</w:t>
      </w:r>
      <w:r w:rsidR="00C56D95" w:rsidRPr="005061E0">
        <w:rPr>
          <w:rFonts w:ascii="Arial" w:eastAsia="Times New Roman" w:hAnsi="Arial" w:cs="Arial"/>
          <w:sz w:val="22"/>
          <w:szCs w:val="22"/>
        </w:rPr>
        <w:t xml:space="preserve"> Deputy Head of the Centre for Commercial Law Studies,</w:t>
      </w:r>
      <w:r w:rsidR="003C710A" w:rsidRPr="005061E0">
        <w:rPr>
          <w:rFonts w:ascii="Arial" w:eastAsia="Times New Roman" w:hAnsi="Arial" w:cs="Arial"/>
          <w:sz w:val="22"/>
          <w:szCs w:val="22"/>
        </w:rPr>
        <w:t xml:space="preserve"> at</w:t>
      </w:r>
      <w:r w:rsidR="00C56D95" w:rsidRPr="005061E0">
        <w:rPr>
          <w:rFonts w:ascii="Arial" w:eastAsia="Times New Roman" w:hAnsi="Arial" w:cs="Arial"/>
          <w:sz w:val="22"/>
          <w:szCs w:val="22"/>
        </w:rPr>
        <w:t xml:space="preserve"> Queen Mary, University of London</w:t>
      </w:r>
      <w:r w:rsidR="00B24465" w:rsidRPr="005061E0">
        <w:rPr>
          <w:rFonts w:ascii="Arial" w:eastAsia="Times New Roman" w:hAnsi="Arial" w:cs="Arial"/>
          <w:sz w:val="22"/>
          <w:szCs w:val="22"/>
        </w:rPr>
        <w:t>.</w:t>
      </w:r>
      <w:r w:rsidR="004006B6" w:rsidRPr="005061E0">
        <w:rPr>
          <w:rFonts w:ascii="Arial" w:eastAsia="Times New Roman" w:hAnsi="Arial" w:cs="Arial"/>
          <w:sz w:val="22"/>
          <w:szCs w:val="22"/>
        </w:rPr>
        <w:t xml:space="preserve">  The full </w:t>
      </w:r>
      <w:r w:rsidR="0095368D" w:rsidRPr="005061E0">
        <w:rPr>
          <w:rFonts w:ascii="Arial" w:eastAsia="Times New Roman" w:hAnsi="Arial" w:cs="Arial"/>
          <w:sz w:val="22"/>
          <w:szCs w:val="22"/>
        </w:rPr>
        <w:t>Scoping S</w:t>
      </w:r>
      <w:r w:rsidR="004006B6" w:rsidRPr="005061E0">
        <w:rPr>
          <w:rFonts w:ascii="Arial" w:eastAsia="Times New Roman" w:hAnsi="Arial" w:cs="Arial"/>
          <w:sz w:val="22"/>
          <w:szCs w:val="22"/>
        </w:rPr>
        <w:t xml:space="preserve">tudy and the peer review are available </w:t>
      </w:r>
      <w:proofErr w:type="gramStart"/>
      <w:r w:rsidR="004006B6" w:rsidRPr="005061E0">
        <w:rPr>
          <w:rFonts w:ascii="Arial" w:eastAsia="Times New Roman" w:hAnsi="Arial" w:cs="Arial"/>
          <w:sz w:val="22"/>
          <w:szCs w:val="22"/>
        </w:rPr>
        <w:t>at:</w:t>
      </w:r>
      <w:proofErr w:type="gramEnd"/>
      <w:r w:rsidR="000726E8">
        <w:rPr>
          <w:rFonts w:ascii="Arial" w:eastAsia="Times New Roman" w:hAnsi="Arial" w:cs="Arial"/>
          <w:sz w:val="22"/>
          <w:szCs w:val="22"/>
        </w:rPr>
        <w:t xml:space="preserve"> </w:t>
      </w:r>
      <w:hyperlink r:id="rId9" w:history="1">
        <w:r w:rsidR="005061E0" w:rsidRPr="005061E0">
          <w:rPr>
            <w:rStyle w:val="Hyperlink"/>
            <w:rFonts w:ascii="Arial" w:hAnsi="Arial" w:cs="Arial"/>
            <w:spacing w:val="-6"/>
            <w:sz w:val="22"/>
            <w:szCs w:val="22"/>
          </w:rPr>
          <w:t>https://www.wipo.int/ip-</w:t>
        </w:r>
        <w:bookmarkStart w:id="5" w:name="_GoBack"/>
        <w:bookmarkEnd w:id="5"/>
        <w:r w:rsidR="005061E0" w:rsidRPr="005061E0">
          <w:rPr>
            <w:rStyle w:val="Hyperlink"/>
            <w:rFonts w:ascii="Arial" w:hAnsi="Arial" w:cs="Arial"/>
            <w:spacing w:val="-6"/>
            <w:sz w:val="22"/>
            <w:szCs w:val="22"/>
          </w:rPr>
          <w:t>development/en/agenda/work_undertaken.html</w:t>
        </w:r>
      </w:hyperlink>
      <w:r w:rsidR="005061E0">
        <w:rPr>
          <w:rFonts w:ascii="Arial" w:hAnsi="Arial" w:cs="Arial"/>
          <w:spacing w:val="-6"/>
          <w:sz w:val="22"/>
          <w:szCs w:val="22"/>
        </w:rPr>
        <w:t>.</w:t>
      </w:r>
    </w:p>
    <w:p w:rsidR="008C3E9C" w:rsidRPr="008C3E9C" w:rsidRDefault="008C3E9C" w:rsidP="008C3E9C">
      <w:pPr>
        <w:widowControl w:val="0"/>
        <w:pBdr>
          <w:top w:val="nil"/>
          <w:left w:val="nil"/>
          <w:bottom w:val="nil"/>
          <w:right w:val="nil"/>
          <w:between w:val="nil"/>
        </w:pBdr>
        <w:rPr>
          <w:rFonts w:ascii="Arial" w:eastAsia="Times New Roman" w:hAnsi="Arial" w:cs="Arial"/>
          <w:color w:val="000000"/>
          <w:sz w:val="22"/>
          <w:szCs w:val="22"/>
        </w:rPr>
      </w:pPr>
    </w:p>
    <w:p w:rsidR="008C3E9C" w:rsidRPr="008C3E9C" w:rsidRDefault="008C3E9C" w:rsidP="007F1540">
      <w:pPr>
        <w:widowControl w:val="0"/>
        <w:pBdr>
          <w:top w:val="nil"/>
          <w:left w:val="nil"/>
          <w:bottom w:val="nil"/>
          <w:right w:val="nil"/>
          <w:between w:val="nil"/>
        </w:pBdr>
        <w:tabs>
          <w:tab w:val="left" w:pos="567"/>
        </w:tabs>
        <w:ind w:left="4500"/>
        <w:rPr>
          <w:rFonts w:ascii="Arial" w:eastAsia="Arial" w:hAnsi="Arial" w:cs="Arial"/>
          <w:i/>
          <w:color w:val="000000"/>
          <w:sz w:val="22"/>
          <w:szCs w:val="22"/>
        </w:rPr>
      </w:pPr>
      <w:r w:rsidRPr="008C3E9C">
        <w:rPr>
          <w:rFonts w:ascii="Arial" w:eastAsia="Arial" w:hAnsi="Arial" w:cs="Arial"/>
          <w:i/>
          <w:iCs/>
          <w:color w:val="000000"/>
          <w:sz w:val="22"/>
          <w:szCs w:val="22"/>
        </w:rPr>
        <w:t>2.</w:t>
      </w:r>
      <w:r w:rsidRPr="008C3E9C">
        <w:rPr>
          <w:rFonts w:ascii="Arial" w:eastAsia="Arial" w:hAnsi="Arial" w:cs="Arial"/>
          <w:i/>
          <w:iCs/>
          <w:color w:val="000000"/>
          <w:sz w:val="22"/>
          <w:szCs w:val="22"/>
        </w:rPr>
        <w:tab/>
        <w:t xml:space="preserve">The CDIP </w:t>
      </w:r>
      <w:proofErr w:type="gramStart"/>
      <w:r w:rsidRPr="008C3E9C">
        <w:rPr>
          <w:rFonts w:ascii="Arial" w:eastAsia="Arial" w:hAnsi="Arial" w:cs="Arial"/>
          <w:i/>
          <w:iCs/>
          <w:color w:val="000000"/>
          <w:sz w:val="22"/>
          <w:szCs w:val="22"/>
        </w:rPr>
        <w:t>is invited</w:t>
      </w:r>
      <w:proofErr w:type="gramEnd"/>
      <w:r w:rsidRPr="008C3E9C">
        <w:rPr>
          <w:rFonts w:ascii="Arial" w:eastAsia="Arial" w:hAnsi="Arial" w:cs="Arial"/>
          <w:i/>
          <w:iCs/>
          <w:color w:val="000000"/>
          <w:sz w:val="22"/>
          <w:szCs w:val="22"/>
        </w:rPr>
        <w:t xml:space="preserve"> to take note of the information contained in the Annex </w:t>
      </w:r>
      <w:r w:rsidRPr="008C3E9C">
        <w:rPr>
          <w:rFonts w:ascii="Arial" w:eastAsia="Arial" w:hAnsi="Arial" w:cs="Arial"/>
          <w:i/>
          <w:color w:val="000000"/>
          <w:sz w:val="22"/>
          <w:szCs w:val="22"/>
        </w:rPr>
        <w:t>to the present document.</w:t>
      </w:r>
    </w:p>
    <w:p w:rsidR="008C3E9C" w:rsidRPr="008C3E9C" w:rsidRDefault="008C3E9C" w:rsidP="008C3E9C">
      <w:pPr>
        <w:widowControl w:val="0"/>
        <w:pBdr>
          <w:top w:val="nil"/>
          <w:left w:val="nil"/>
          <w:bottom w:val="nil"/>
          <w:right w:val="nil"/>
          <w:between w:val="nil"/>
        </w:pBdr>
        <w:ind w:left="5534"/>
        <w:rPr>
          <w:rFonts w:ascii="Arial" w:eastAsia="Arial" w:hAnsi="Arial" w:cs="Arial"/>
          <w:color w:val="000000"/>
          <w:sz w:val="22"/>
          <w:szCs w:val="22"/>
        </w:rPr>
      </w:pPr>
    </w:p>
    <w:p w:rsidR="008C3E9C" w:rsidRPr="008C3E9C" w:rsidRDefault="008C3E9C" w:rsidP="008477E4">
      <w:pPr>
        <w:widowControl w:val="0"/>
        <w:pBdr>
          <w:top w:val="nil"/>
          <w:left w:val="nil"/>
          <w:bottom w:val="nil"/>
          <w:right w:val="nil"/>
          <w:between w:val="nil"/>
        </w:pBdr>
        <w:rPr>
          <w:rFonts w:ascii="Arial" w:eastAsia="Arial" w:hAnsi="Arial" w:cs="Arial"/>
          <w:color w:val="000000"/>
          <w:sz w:val="22"/>
          <w:szCs w:val="22"/>
        </w:rPr>
      </w:pPr>
    </w:p>
    <w:p w:rsidR="008C3E9C" w:rsidRPr="008C3E9C" w:rsidRDefault="008C3E9C" w:rsidP="008C3E9C">
      <w:pPr>
        <w:widowControl w:val="0"/>
        <w:pBdr>
          <w:top w:val="nil"/>
          <w:left w:val="nil"/>
          <w:bottom w:val="nil"/>
          <w:right w:val="nil"/>
          <w:between w:val="nil"/>
        </w:pBdr>
        <w:ind w:left="5580"/>
        <w:rPr>
          <w:rFonts w:ascii="Arial" w:eastAsia="Arial" w:hAnsi="Arial" w:cs="Arial"/>
          <w:color w:val="000000"/>
          <w:sz w:val="22"/>
          <w:szCs w:val="22"/>
        </w:rPr>
        <w:sectPr w:rsidR="008C3E9C" w:rsidRPr="008C3E9C" w:rsidSect="003C710A">
          <w:headerReference w:type="even" r:id="rId10"/>
          <w:headerReference w:type="default" r:id="rId11"/>
          <w:footerReference w:type="even" r:id="rId12"/>
          <w:footerReference w:type="default" r:id="rId13"/>
          <w:endnotePr>
            <w:numFmt w:val="decimal"/>
          </w:endnotePr>
          <w:pgSz w:w="11907" w:h="16840" w:code="9"/>
          <w:pgMar w:top="567" w:right="1134" w:bottom="1418" w:left="1418" w:header="510" w:footer="1021" w:gutter="0"/>
          <w:cols w:space="720"/>
          <w:titlePg/>
          <w:docGrid w:linePitch="326"/>
        </w:sectPr>
      </w:pPr>
      <w:r w:rsidRPr="008C3E9C">
        <w:rPr>
          <w:rFonts w:ascii="Arial" w:eastAsia="Arial" w:hAnsi="Arial" w:cs="Arial"/>
          <w:color w:val="000000"/>
          <w:sz w:val="22"/>
          <w:szCs w:val="22"/>
        </w:rPr>
        <w:t>[Annex follows]</w:t>
      </w:r>
    </w:p>
    <w:p w:rsidR="00C80664" w:rsidRPr="00C80664" w:rsidRDefault="0095368D" w:rsidP="00C80664">
      <w:pPr>
        <w:spacing w:line="360" w:lineRule="auto"/>
        <w:rPr>
          <w:rFonts w:ascii="Arial" w:hAnsi="Arial" w:cs="Arial"/>
          <w:b/>
          <w:sz w:val="22"/>
          <w:szCs w:val="22"/>
          <w:u w:val="single"/>
        </w:rPr>
      </w:pPr>
      <w:r w:rsidRPr="0095368D">
        <w:rPr>
          <w:rFonts w:ascii="Arial" w:hAnsi="Arial" w:cs="Arial"/>
          <w:b/>
          <w:sz w:val="22"/>
          <w:szCs w:val="22"/>
          <w:u w:val="single"/>
        </w:rPr>
        <w:lastRenderedPageBreak/>
        <w:t xml:space="preserve">Executive Summary:  </w:t>
      </w:r>
      <w:r w:rsidR="00C80664" w:rsidRPr="00C80664">
        <w:rPr>
          <w:rFonts w:ascii="Arial" w:hAnsi="Arial" w:cs="Arial"/>
          <w:b/>
          <w:sz w:val="22"/>
          <w:szCs w:val="22"/>
          <w:u w:val="single"/>
        </w:rPr>
        <w:t>Scoping Study on</w:t>
      </w:r>
      <w:r w:rsidR="00C80664" w:rsidRPr="00C80664">
        <w:rPr>
          <w:rFonts w:ascii="Arial" w:hAnsi="Arial" w:cs="Arial"/>
          <w:b/>
          <w:sz w:val="22"/>
          <w:szCs w:val="22"/>
          <w:u w:val="single"/>
          <w:lang w:val="en-GB"/>
        </w:rPr>
        <w:t xml:space="preserve"> Availability and Use of Intellectual Property Tools to Protect Mobile Applications in the three Beneficiary Countries namely, </w:t>
      </w:r>
      <w:r w:rsidR="00C80664" w:rsidRPr="00C80664">
        <w:rPr>
          <w:rFonts w:ascii="Arial" w:hAnsi="Arial" w:cs="Arial"/>
          <w:b/>
          <w:sz w:val="22"/>
          <w:szCs w:val="22"/>
          <w:u w:val="single"/>
        </w:rPr>
        <w:t>Kenya, Trinidad and Tobago and the Philippines</w:t>
      </w:r>
    </w:p>
    <w:p w:rsidR="00054C98" w:rsidRDefault="00054C98" w:rsidP="00054C98">
      <w:pPr>
        <w:spacing w:line="360" w:lineRule="auto"/>
        <w:jc w:val="both"/>
        <w:rPr>
          <w:rFonts w:ascii="Arial" w:hAnsi="Arial" w:cs="Arial"/>
          <w:sz w:val="22"/>
          <w:szCs w:val="22"/>
        </w:rPr>
      </w:pPr>
    </w:p>
    <w:p w:rsidR="00054C98" w:rsidRPr="00054C98" w:rsidRDefault="00054C98" w:rsidP="00054C98">
      <w:pPr>
        <w:spacing w:line="276" w:lineRule="auto"/>
        <w:rPr>
          <w:rFonts w:ascii="Arial" w:hAnsi="Arial" w:cs="Arial"/>
          <w:sz w:val="22"/>
          <w:szCs w:val="22"/>
          <w:lang w:val="en-GB"/>
        </w:rPr>
      </w:pPr>
      <w:r w:rsidRPr="00054C98">
        <w:rPr>
          <w:rFonts w:ascii="Arial" w:hAnsi="Arial" w:cs="Arial"/>
          <w:sz w:val="22"/>
          <w:szCs w:val="22"/>
          <w:lang w:val="en-GB"/>
        </w:rPr>
        <w:t>This study primarily addresses a sector within the creative industries that has seen exponential growth in the last decade or so: the mobile application sector. It does so particularly in relation to the project’s three participating countries: Kenya, Trinidad and Tobago, and the Philippines (hereinafter ‘beneficiary countries’)</w:t>
      </w:r>
      <w:r>
        <w:rPr>
          <w:rFonts w:ascii="Arial" w:hAnsi="Arial" w:cs="Arial"/>
          <w:sz w:val="22"/>
          <w:szCs w:val="22"/>
          <w:lang w:val="en-GB"/>
        </w:rPr>
        <w:t>.</w:t>
      </w:r>
    </w:p>
    <w:p w:rsidR="00054C98" w:rsidRDefault="00054C98" w:rsidP="00054C98">
      <w:pPr>
        <w:spacing w:line="276" w:lineRule="auto"/>
        <w:rPr>
          <w:rFonts w:ascii="Arial" w:hAnsi="Arial" w:cs="Arial"/>
          <w:sz w:val="22"/>
          <w:szCs w:val="22"/>
          <w:lang w:val="en-GB"/>
        </w:rPr>
      </w:pPr>
    </w:p>
    <w:p w:rsidR="00054C98" w:rsidRPr="00054C98" w:rsidRDefault="00054C98" w:rsidP="00054C98">
      <w:pPr>
        <w:spacing w:line="276" w:lineRule="auto"/>
        <w:rPr>
          <w:rFonts w:ascii="Arial" w:hAnsi="Arial" w:cs="Arial"/>
          <w:sz w:val="22"/>
          <w:szCs w:val="22"/>
          <w:lang w:val="en-GB"/>
        </w:rPr>
      </w:pPr>
      <w:r w:rsidRPr="00054C98">
        <w:rPr>
          <w:rFonts w:ascii="Arial" w:hAnsi="Arial" w:cs="Arial"/>
          <w:sz w:val="22"/>
          <w:szCs w:val="22"/>
          <w:lang w:val="en-GB"/>
        </w:rPr>
        <w:t xml:space="preserve">The study surveys </w:t>
      </w:r>
      <w:r w:rsidRPr="00054C98">
        <w:rPr>
          <w:rFonts w:ascii="Arial" w:hAnsi="Arial" w:cs="Arial"/>
          <w:sz w:val="22"/>
          <w:szCs w:val="22"/>
        </w:rPr>
        <w:t>the size and characteristics of the mobile application sector in the three beneficiary countries</w:t>
      </w:r>
      <w:r w:rsidRPr="00054C98">
        <w:rPr>
          <w:rFonts w:ascii="Arial" w:hAnsi="Arial" w:cs="Arial"/>
          <w:sz w:val="22"/>
          <w:szCs w:val="22"/>
          <w:lang w:val="en-GB"/>
        </w:rPr>
        <w:t xml:space="preserve"> and the intellectual property ecosystem as well as intellectual property-related legal and regulatory landscape within which this sector operates; it also examines some relevant key non – IP legal considerations in the present context. The study is conducted with the aim to assist in tailoring and </w:t>
      </w:r>
      <w:proofErr w:type="gramStart"/>
      <w:r w:rsidRPr="00054C98">
        <w:rPr>
          <w:rFonts w:ascii="Arial" w:hAnsi="Arial" w:cs="Arial"/>
          <w:sz w:val="22"/>
          <w:szCs w:val="22"/>
          <w:lang w:val="en-GB"/>
        </w:rPr>
        <w:t>fine tuning</w:t>
      </w:r>
      <w:proofErr w:type="gramEnd"/>
      <w:r w:rsidRPr="00054C98">
        <w:rPr>
          <w:rFonts w:ascii="Arial" w:hAnsi="Arial" w:cs="Arial"/>
          <w:sz w:val="22"/>
          <w:szCs w:val="22"/>
          <w:lang w:val="en-GB"/>
        </w:rPr>
        <w:t xml:space="preserve"> some of the project’s deliverables to the specific circumstances of each beneficiary country.   </w:t>
      </w:r>
    </w:p>
    <w:p w:rsidR="00054C98" w:rsidRPr="00054C98" w:rsidRDefault="00054C98" w:rsidP="00054C98">
      <w:pPr>
        <w:spacing w:line="276" w:lineRule="auto"/>
        <w:ind w:left="3402" w:firstLine="567"/>
        <w:rPr>
          <w:rFonts w:ascii="Arial" w:hAnsi="Arial" w:cs="Arial"/>
          <w:sz w:val="22"/>
          <w:szCs w:val="22"/>
          <w:lang w:val="en-GB"/>
        </w:rPr>
      </w:pPr>
    </w:p>
    <w:p w:rsidR="00054C98" w:rsidRPr="00054C98" w:rsidRDefault="00054C98" w:rsidP="00054C98">
      <w:pPr>
        <w:spacing w:line="276" w:lineRule="auto"/>
        <w:rPr>
          <w:rFonts w:ascii="Arial" w:hAnsi="Arial" w:cs="Arial"/>
          <w:sz w:val="22"/>
          <w:szCs w:val="22"/>
          <w:lang w:val="en-GB"/>
        </w:rPr>
      </w:pPr>
      <w:r w:rsidRPr="00054C98">
        <w:rPr>
          <w:rFonts w:ascii="Arial" w:hAnsi="Arial" w:cs="Arial"/>
          <w:sz w:val="22"/>
          <w:szCs w:val="22"/>
          <w:lang w:val="en-GB"/>
        </w:rPr>
        <w:t xml:space="preserve">This study addresses the issues below, providing as accurate as possible a picture, based, inter alia, on the information provided by the beneficiary countries. Where such information could not obtained in full, the study clarifies that this is the case. We consider that on occasion, lack of available and accessible information may be an issue that the relevant beneficiary country may seek to address. </w:t>
      </w:r>
    </w:p>
    <w:p w:rsidR="00054C98" w:rsidRPr="00054C98" w:rsidRDefault="00054C98" w:rsidP="00054C98">
      <w:pPr>
        <w:spacing w:line="276" w:lineRule="auto"/>
        <w:ind w:left="3402" w:firstLine="567"/>
        <w:rPr>
          <w:rFonts w:ascii="Arial" w:hAnsi="Arial" w:cs="Arial"/>
          <w:sz w:val="22"/>
          <w:szCs w:val="22"/>
          <w:lang w:val="en-GB"/>
        </w:rPr>
      </w:pPr>
    </w:p>
    <w:p w:rsidR="00054C98" w:rsidRPr="00054C98" w:rsidRDefault="00054C98" w:rsidP="00054C98">
      <w:pPr>
        <w:spacing w:line="276" w:lineRule="auto"/>
        <w:rPr>
          <w:rFonts w:ascii="Arial" w:hAnsi="Arial" w:cs="Arial"/>
          <w:sz w:val="22"/>
          <w:szCs w:val="22"/>
          <w:lang w:val="en-GB"/>
        </w:rPr>
      </w:pPr>
      <w:r w:rsidRPr="00054C98">
        <w:rPr>
          <w:rFonts w:ascii="Arial" w:hAnsi="Arial" w:cs="Arial"/>
          <w:sz w:val="22"/>
          <w:szCs w:val="22"/>
          <w:lang w:val="en-GB"/>
        </w:rPr>
        <w:t xml:space="preserve">Part 1 canvasses </w:t>
      </w:r>
      <w:r w:rsidRPr="00054C98">
        <w:rPr>
          <w:rFonts w:ascii="Arial" w:hAnsi="Arial" w:cs="Arial"/>
          <w:sz w:val="22"/>
          <w:szCs w:val="22"/>
        </w:rPr>
        <w:t>the size and characteristics of the mobile application sector in the three beneficiary countries</w:t>
      </w:r>
      <w:r w:rsidRPr="00054C98">
        <w:rPr>
          <w:rFonts w:ascii="Arial" w:hAnsi="Arial" w:cs="Arial"/>
          <w:sz w:val="22"/>
          <w:szCs w:val="22"/>
          <w:lang w:val="en-GB"/>
        </w:rPr>
        <w:t xml:space="preserve">, inter </w:t>
      </w:r>
      <w:proofErr w:type="gramStart"/>
      <w:r w:rsidRPr="00054C98">
        <w:rPr>
          <w:rFonts w:ascii="Arial" w:hAnsi="Arial" w:cs="Arial"/>
          <w:sz w:val="22"/>
          <w:szCs w:val="22"/>
          <w:lang w:val="en-GB"/>
        </w:rPr>
        <w:t>alia,</w:t>
      </w:r>
      <w:proofErr w:type="gramEnd"/>
      <w:r w:rsidRPr="00054C98">
        <w:rPr>
          <w:rFonts w:ascii="Arial" w:hAnsi="Arial" w:cs="Arial"/>
          <w:sz w:val="22"/>
          <w:szCs w:val="22"/>
          <w:lang w:val="en-GB"/>
        </w:rPr>
        <w:t xml:space="preserve"> by reference to the sector’s market size and volume as well as education opportunities and research initiative available in the beneficiary countries in relation to this sector. It </w:t>
      </w:r>
      <w:proofErr w:type="gramStart"/>
      <w:r w:rsidRPr="00054C98">
        <w:rPr>
          <w:rFonts w:ascii="Arial" w:hAnsi="Arial" w:cs="Arial"/>
          <w:sz w:val="22"/>
          <w:szCs w:val="22"/>
          <w:lang w:val="en-GB"/>
        </w:rPr>
        <w:t>is established</w:t>
      </w:r>
      <w:proofErr w:type="gramEnd"/>
      <w:r w:rsidRPr="00054C98">
        <w:rPr>
          <w:rFonts w:ascii="Arial" w:hAnsi="Arial" w:cs="Arial"/>
          <w:sz w:val="22"/>
          <w:szCs w:val="22"/>
          <w:lang w:val="en-GB"/>
        </w:rPr>
        <w:t xml:space="preserve"> that the sector’s general direction of travel suggests both actual growth and growth potential in all beneficially countries.</w:t>
      </w:r>
    </w:p>
    <w:p w:rsidR="00054C98" w:rsidRPr="00054C98" w:rsidRDefault="00054C98" w:rsidP="00054C98">
      <w:pPr>
        <w:spacing w:line="276" w:lineRule="auto"/>
        <w:ind w:left="3402" w:firstLine="567"/>
        <w:rPr>
          <w:rFonts w:ascii="Arial" w:hAnsi="Arial" w:cs="Arial"/>
          <w:sz w:val="22"/>
          <w:szCs w:val="22"/>
          <w:lang w:val="en-GB"/>
        </w:rPr>
      </w:pPr>
    </w:p>
    <w:p w:rsidR="00054C98" w:rsidRPr="00054C98" w:rsidRDefault="00054C98" w:rsidP="00054C98">
      <w:pPr>
        <w:spacing w:line="276" w:lineRule="auto"/>
        <w:rPr>
          <w:rFonts w:ascii="Arial" w:hAnsi="Arial" w:cs="Arial"/>
          <w:sz w:val="22"/>
          <w:szCs w:val="22"/>
        </w:rPr>
      </w:pPr>
      <w:r w:rsidRPr="00054C98">
        <w:rPr>
          <w:rFonts w:ascii="Arial" w:hAnsi="Arial" w:cs="Arial"/>
          <w:sz w:val="22"/>
          <w:szCs w:val="22"/>
          <w:lang w:val="en-GB"/>
        </w:rPr>
        <w:t xml:space="preserve">Part 2 discusses in some details the </w:t>
      </w:r>
      <w:bookmarkStart w:id="6" w:name="_Toc429958238"/>
      <w:r w:rsidRPr="00054C98">
        <w:rPr>
          <w:rFonts w:ascii="Arial" w:hAnsi="Arial" w:cs="Arial"/>
          <w:sz w:val="22"/>
          <w:szCs w:val="22"/>
        </w:rPr>
        <w:t xml:space="preserve">availability and use of intellectual property tools for protecting mobile applications in </w:t>
      </w:r>
      <w:proofErr w:type="gramStart"/>
      <w:r w:rsidRPr="00054C98">
        <w:rPr>
          <w:rFonts w:ascii="Arial" w:hAnsi="Arial" w:cs="Arial"/>
          <w:sz w:val="22"/>
          <w:szCs w:val="22"/>
        </w:rPr>
        <w:t>general,</w:t>
      </w:r>
      <w:proofErr w:type="gramEnd"/>
      <w:r w:rsidRPr="00054C98">
        <w:rPr>
          <w:rFonts w:ascii="Arial" w:hAnsi="Arial" w:cs="Arial"/>
          <w:sz w:val="22"/>
          <w:szCs w:val="22"/>
        </w:rPr>
        <w:t xml:space="preserve"> and in the beneficiary countries</w:t>
      </w:r>
      <w:bookmarkEnd w:id="6"/>
      <w:r w:rsidRPr="00054C98">
        <w:rPr>
          <w:rFonts w:ascii="Arial" w:hAnsi="Arial" w:cs="Arial"/>
          <w:sz w:val="22"/>
          <w:szCs w:val="22"/>
        </w:rPr>
        <w:t xml:space="preserve"> in particular. It establishes that the most common intellectual property vehicle for protection in the mobile app sector is copyright, with </w:t>
      </w:r>
      <w:proofErr w:type="gramStart"/>
      <w:r w:rsidRPr="00054C98">
        <w:rPr>
          <w:rFonts w:ascii="Arial" w:hAnsi="Arial" w:cs="Arial"/>
          <w:sz w:val="22"/>
          <w:szCs w:val="22"/>
        </w:rPr>
        <w:t>trade-marks</w:t>
      </w:r>
      <w:proofErr w:type="gramEnd"/>
      <w:r w:rsidRPr="00054C98">
        <w:rPr>
          <w:rFonts w:ascii="Arial" w:hAnsi="Arial" w:cs="Arial"/>
          <w:sz w:val="22"/>
          <w:szCs w:val="22"/>
        </w:rPr>
        <w:t xml:space="preserve">, industrial designs, patents utility models and trade secrets also capable of providing valuable protection in various instances.  </w:t>
      </w:r>
    </w:p>
    <w:p w:rsidR="00054C98" w:rsidRPr="00054C98" w:rsidRDefault="00054C98" w:rsidP="00054C98">
      <w:pPr>
        <w:spacing w:line="276" w:lineRule="auto"/>
        <w:ind w:left="3402" w:firstLine="567"/>
        <w:rPr>
          <w:rFonts w:ascii="Arial" w:hAnsi="Arial" w:cs="Arial"/>
          <w:sz w:val="22"/>
          <w:szCs w:val="22"/>
          <w:lang w:val="en-GB"/>
        </w:rPr>
      </w:pPr>
    </w:p>
    <w:p w:rsidR="00054C98" w:rsidRPr="00054C98" w:rsidRDefault="00054C98" w:rsidP="00054C98">
      <w:pPr>
        <w:spacing w:line="276" w:lineRule="auto"/>
        <w:rPr>
          <w:rFonts w:ascii="Arial" w:hAnsi="Arial" w:cs="Arial"/>
          <w:sz w:val="22"/>
          <w:szCs w:val="22"/>
        </w:rPr>
      </w:pPr>
      <w:r w:rsidRPr="00054C98">
        <w:rPr>
          <w:rFonts w:ascii="Arial" w:hAnsi="Arial" w:cs="Arial"/>
          <w:sz w:val="22"/>
          <w:szCs w:val="22"/>
          <w:lang w:val="en-GB"/>
        </w:rPr>
        <w:t xml:space="preserve">Part 3 does not focus on the mobile app sector, but instead examines the software industry as a whole </w:t>
      </w:r>
      <w:proofErr w:type="gramStart"/>
      <w:r w:rsidRPr="00054C98">
        <w:rPr>
          <w:rFonts w:ascii="Arial" w:hAnsi="Arial" w:cs="Arial"/>
          <w:sz w:val="22"/>
          <w:szCs w:val="22"/>
          <w:lang w:val="en-GB"/>
        </w:rPr>
        <w:t>in regard to</w:t>
      </w:r>
      <w:proofErr w:type="gramEnd"/>
      <w:r w:rsidRPr="00054C98">
        <w:rPr>
          <w:rFonts w:ascii="Arial" w:hAnsi="Arial" w:cs="Arial"/>
          <w:sz w:val="22"/>
          <w:szCs w:val="22"/>
          <w:lang w:val="en-GB"/>
        </w:rPr>
        <w:t xml:space="preserve"> the availability of intellectual property backed funding, particularly in relation to SMEs. This examination is not limited to the position in the beneficiary countries and </w:t>
      </w:r>
      <w:proofErr w:type="gramStart"/>
      <w:r w:rsidRPr="00054C98">
        <w:rPr>
          <w:rFonts w:ascii="Arial" w:hAnsi="Arial" w:cs="Arial"/>
          <w:sz w:val="22"/>
          <w:szCs w:val="22"/>
          <w:lang w:val="en-GB"/>
        </w:rPr>
        <w:t>is conducted</w:t>
      </w:r>
      <w:proofErr w:type="gramEnd"/>
      <w:r w:rsidRPr="00054C98">
        <w:rPr>
          <w:rFonts w:ascii="Arial" w:hAnsi="Arial" w:cs="Arial"/>
          <w:sz w:val="22"/>
          <w:szCs w:val="22"/>
          <w:lang w:val="en-GB"/>
        </w:rPr>
        <w:t xml:space="preserve"> on a global level. This part concludes by identifying what </w:t>
      </w:r>
      <w:proofErr w:type="gramStart"/>
      <w:r w:rsidRPr="00054C98">
        <w:rPr>
          <w:rFonts w:ascii="Arial" w:hAnsi="Arial" w:cs="Arial"/>
          <w:sz w:val="22"/>
          <w:szCs w:val="22"/>
          <w:lang w:val="en-GB"/>
        </w:rPr>
        <w:t>may be regarded</w:t>
      </w:r>
      <w:proofErr w:type="gramEnd"/>
      <w:r w:rsidRPr="00054C98">
        <w:rPr>
          <w:rFonts w:ascii="Arial" w:hAnsi="Arial" w:cs="Arial"/>
          <w:sz w:val="22"/>
          <w:szCs w:val="22"/>
          <w:lang w:val="en-GB"/>
        </w:rPr>
        <w:t xml:space="preserve"> as the present key barriers to a widely regarded suboptimal exploitation of IP assets as a basis for raising funding.  </w:t>
      </w:r>
    </w:p>
    <w:p w:rsidR="00054C98" w:rsidRPr="00054C98" w:rsidRDefault="00054C98" w:rsidP="00054C98">
      <w:pPr>
        <w:spacing w:line="276" w:lineRule="auto"/>
        <w:ind w:left="3402" w:firstLine="567"/>
        <w:rPr>
          <w:rFonts w:ascii="Arial" w:hAnsi="Arial" w:cs="Arial"/>
          <w:sz w:val="22"/>
          <w:szCs w:val="22"/>
          <w:lang w:val="en-GB"/>
        </w:rPr>
      </w:pPr>
    </w:p>
    <w:p w:rsidR="00054C98" w:rsidRPr="00054C98" w:rsidRDefault="00054C98" w:rsidP="00054C98">
      <w:pPr>
        <w:spacing w:line="276" w:lineRule="auto"/>
        <w:rPr>
          <w:rFonts w:ascii="Arial" w:hAnsi="Arial" w:cs="Arial"/>
          <w:sz w:val="22"/>
          <w:szCs w:val="22"/>
          <w:lang w:val="en-GB"/>
        </w:rPr>
      </w:pPr>
      <w:r w:rsidRPr="00054C98">
        <w:rPr>
          <w:rFonts w:ascii="Arial" w:hAnsi="Arial" w:cs="Arial"/>
          <w:sz w:val="22"/>
          <w:szCs w:val="22"/>
          <w:lang w:val="en-GB"/>
        </w:rPr>
        <w:t xml:space="preserve">Part 4 surveys </w:t>
      </w:r>
      <w:bookmarkStart w:id="7" w:name="_Toc429958285"/>
      <w:r w:rsidRPr="00054C98">
        <w:rPr>
          <w:rFonts w:ascii="Arial" w:hAnsi="Arial" w:cs="Arial"/>
          <w:sz w:val="22"/>
          <w:szCs w:val="22"/>
        </w:rPr>
        <w:t xml:space="preserve">the software industry’s collaborations with research institutions and ICT hubs in the beneficiary countries, and the role that intellectual property law plays in this context. </w:t>
      </w:r>
      <w:bookmarkEnd w:id="7"/>
      <w:r w:rsidRPr="00054C98">
        <w:rPr>
          <w:rFonts w:ascii="Arial" w:hAnsi="Arial" w:cs="Arial"/>
          <w:sz w:val="22"/>
          <w:szCs w:val="22"/>
        </w:rPr>
        <w:t xml:space="preserve">It discusses some key initiatives in this context in regards to all beneficiary countries, some of </w:t>
      </w:r>
      <w:r w:rsidRPr="00054C98">
        <w:rPr>
          <w:rFonts w:ascii="Arial" w:hAnsi="Arial" w:cs="Arial"/>
          <w:sz w:val="22"/>
          <w:szCs w:val="22"/>
        </w:rPr>
        <w:lastRenderedPageBreak/>
        <w:t xml:space="preserve">which might serve as role models to additional subsequent collaborations in the mobile app sector. </w:t>
      </w:r>
    </w:p>
    <w:p w:rsidR="00054C98" w:rsidRPr="00054C98" w:rsidRDefault="00054C98" w:rsidP="00054C98">
      <w:pPr>
        <w:spacing w:line="276" w:lineRule="auto"/>
        <w:ind w:left="3402" w:firstLine="567"/>
        <w:rPr>
          <w:rFonts w:ascii="Arial" w:hAnsi="Arial" w:cs="Arial"/>
          <w:sz w:val="22"/>
          <w:szCs w:val="22"/>
          <w:lang w:val="en-GB"/>
        </w:rPr>
      </w:pPr>
    </w:p>
    <w:p w:rsidR="00054C98" w:rsidRPr="00054C98" w:rsidRDefault="00054C98" w:rsidP="00054C98">
      <w:pPr>
        <w:spacing w:line="276" w:lineRule="auto"/>
        <w:rPr>
          <w:rFonts w:ascii="Arial" w:hAnsi="Arial" w:cs="Arial"/>
          <w:sz w:val="22"/>
          <w:szCs w:val="22"/>
          <w:lang w:val="en-GB"/>
        </w:rPr>
      </w:pPr>
      <w:r w:rsidRPr="00054C98">
        <w:rPr>
          <w:rFonts w:ascii="Arial" w:hAnsi="Arial" w:cs="Arial"/>
          <w:sz w:val="22"/>
          <w:szCs w:val="22"/>
          <w:lang w:val="en-GB"/>
        </w:rPr>
        <w:t xml:space="preserve">Part 5 seeks to expand on the areas discussed under Part 3, by </w:t>
      </w:r>
      <w:bookmarkStart w:id="8" w:name="_Toc429958295"/>
      <w:r w:rsidRPr="00054C98">
        <w:rPr>
          <w:rFonts w:ascii="Arial" w:hAnsi="Arial" w:cs="Arial"/>
          <w:sz w:val="22"/>
          <w:szCs w:val="22"/>
        </w:rPr>
        <w:t>examining the availability of local and foreign IP-based funding and collaboration mechanisms in this context for the software sector in the beneficiary countries</w:t>
      </w:r>
      <w:bookmarkEnd w:id="8"/>
      <w:r w:rsidRPr="00054C98">
        <w:rPr>
          <w:rFonts w:ascii="Arial" w:hAnsi="Arial" w:cs="Arial"/>
          <w:sz w:val="22"/>
          <w:szCs w:val="22"/>
          <w:lang w:val="en-GB"/>
        </w:rPr>
        <w:t>. Somewhat surprisingly in light of the global picture in this context, it establishes that mechanisms that support IP-backed finance may benefit from further development in all beneficiary countries.</w:t>
      </w:r>
    </w:p>
    <w:p w:rsidR="00054C98" w:rsidRPr="00054C98" w:rsidRDefault="00054C98" w:rsidP="00054C98">
      <w:pPr>
        <w:spacing w:line="276" w:lineRule="auto"/>
        <w:ind w:left="3402" w:firstLine="567"/>
        <w:rPr>
          <w:rFonts w:ascii="Arial" w:hAnsi="Arial" w:cs="Arial"/>
          <w:sz w:val="22"/>
          <w:szCs w:val="22"/>
        </w:rPr>
      </w:pPr>
    </w:p>
    <w:p w:rsidR="00054C98" w:rsidRPr="00054C98" w:rsidRDefault="00054C98" w:rsidP="00054C98">
      <w:pPr>
        <w:spacing w:line="276" w:lineRule="auto"/>
        <w:rPr>
          <w:rFonts w:ascii="Arial" w:hAnsi="Arial" w:cs="Arial"/>
          <w:sz w:val="22"/>
          <w:szCs w:val="22"/>
        </w:rPr>
      </w:pPr>
      <w:r w:rsidRPr="00054C98">
        <w:rPr>
          <w:rFonts w:ascii="Arial" w:hAnsi="Arial" w:cs="Arial"/>
          <w:sz w:val="22"/>
          <w:szCs w:val="22"/>
        </w:rPr>
        <w:t xml:space="preserve">Part 6 </w:t>
      </w:r>
      <w:bookmarkStart w:id="9" w:name="_Toc429958301"/>
      <w:r w:rsidRPr="00054C98">
        <w:rPr>
          <w:rFonts w:ascii="Arial" w:hAnsi="Arial" w:cs="Arial"/>
          <w:sz w:val="22"/>
          <w:szCs w:val="22"/>
        </w:rPr>
        <w:t>canvasses recent and on-going studies and/or initiatives pertaining to the mobile application economy with a view to determine whether synergies with the project</w:t>
      </w:r>
      <w:bookmarkEnd w:id="9"/>
      <w:r w:rsidRPr="00054C98">
        <w:rPr>
          <w:rFonts w:ascii="Arial" w:hAnsi="Arial" w:cs="Arial"/>
          <w:sz w:val="22"/>
          <w:szCs w:val="22"/>
        </w:rPr>
        <w:t xml:space="preserve"> may be established. Relevant initiatives in all three regions </w:t>
      </w:r>
      <w:proofErr w:type="gramStart"/>
      <w:r w:rsidRPr="00054C98">
        <w:rPr>
          <w:rFonts w:ascii="Arial" w:hAnsi="Arial" w:cs="Arial"/>
          <w:sz w:val="22"/>
          <w:szCs w:val="22"/>
        </w:rPr>
        <w:t>were thus identified</w:t>
      </w:r>
      <w:proofErr w:type="gramEnd"/>
      <w:r w:rsidRPr="00054C98">
        <w:rPr>
          <w:rFonts w:ascii="Arial" w:hAnsi="Arial" w:cs="Arial"/>
          <w:sz w:val="22"/>
          <w:szCs w:val="22"/>
        </w:rPr>
        <w:t xml:space="preserve">, in relation to which synergies with the present project may be sought and further developed. </w:t>
      </w:r>
    </w:p>
    <w:p w:rsidR="00054C98" w:rsidRPr="00054C98" w:rsidRDefault="00054C98" w:rsidP="00054C98">
      <w:pPr>
        <w:spacing w:line="276" w:lineRule="auto"/>
        <w:ind w:left="3402" w:firstLine="567"/>
        <w:rPr>
          <w:rFonts w:ascii="Arial" w:hAnsi="Arial" w:cs="Arial"/>
          <w:sz w:val="22"/>
          <w:szCs w:val="22"/>
        </w:rPr>
      </w:pPr>
    </w:p>
    <w:p w:rsidR="00054C98" w:rsidRPr="00054C98" w:rsidRDefault="00054C98" w:rsidP="00054C98">
      <w:pPr>
        <w:spacing w:line="276" w:lineRule="auto"/>
        <w:rPr>
          <w:rFonts w:ascii="Arial" w:hAnsi="Arial" w:cs="Arial"/>
          <w:sz w:val="22"/>
          <w:szCs w:val="22"/>
        </w:rPr>
      </w:pPr>
      <w:r w:rsidRPr="00054C98">
        <w:rPr>
          <w:rFonts w:ascii="Arial" w:hAnsi="Arial" w:cs="Arial"/>
          <w:sz w:val="22"/>
          <w:szCs w:val="22"/>
        </w:rPr>
        <w:t xml:space="preserve">Part 7 examines the IPR enforcement regime in the beneficiary countries, as providing workable mechanisms to ensure that IPRs are respected in an effective, timely, and accessible manner is seen as key to the success of a country’s intellectual property system as a whole. The examination </w:t>
      </w:r>
      <w:proofErr w:type="gramStart"/>
      <w:r w:rsidRPr="00054C98">
        <w:rPr>
          <w:rFonts w:ascii="Arial" w:hAnsi="Arial" w:cs="Arial"/>
          <w:sz w:val="22"/>
          <w:szCs w:val="22"/>
        </w:rPr>
        <w:t>is conducted</w:t>
      </w:r>
      <w:proofErr w:type="gramEnd"/>
      <w:r w:rsidRPr="00054C98">
        <w:rPr>
          <w:rFonts w:ascii="Arial" w:hAnsi="Arial" w:cs="Arial"/>
          <w:sz w:val="22"/>
          <w:szCs w:val="22"/>
        </w:rPr>
        <w:t xml:space="preserve"> with a view </w:t>
      </w:r>
      <w:bookmarkStart w:id="10" w:name="_Toc429958308"/>
      <w:r w:rsidRPr="00054C98">
        <w:rPr>
          <w:rFonts w:ascii="Arial" w:hAnsi="Arial" w:cs="Arial"/>
          <w:sz w:val="22"/>
          <w:szCs w:val="22"/>
        </w:rPr>
        <w:t>to flesh out some of the local software sector’s challenges and needs for enhancing the use of intellectual property in support of the mobile application</w:t>
      </w:r>
      <w:bookmarkEnd w:id="10"/>
      <w:r w:rsidRPr="00054C98">
        <w:rPr>
          <w:rFonts w:ascii="Arial" w:hAnsi="Arial" w:cs="Arial"/>
          <w:sz w:val="22"/>
          <w:szCs w:val="22"/>
        </w:rPr>
        <w:t xml:space="preserve"> sector.</w:t>
      </w:r>
    </w:p>
    <w:p w:rsidR="00054C98" w:rsidRPr="00054C98" w:rsidRDefault="00054C98" w:rsidP="00054C98">
      <w:pPr>
        <w:spacing w:line="276" w:lineRule="auto"/>
        <w:ind w:left="3402" w:firstLine="567"/>
        <w:rPr>
          <w:rFonts w:ascii="Arial" w:hAnsi="Arial" w:cs="Arial"/>
          <w:sz w:val="22"/>
          <w:szCs w:val="22"/>
          <w:lang w:val="en-GB"/>
        </w:rPr>
      </w:pPr>
    </w:p>
    <w:p w:rsidR="00054C98" w:rsidRPr="00054C98" w:rsidRDefault="00054C98" w:rsidP="00054C98">
      <w:pPr>
        <w:spacing w:line="276" w:lineRule="auto"/>
        <w:rPr>
          <w:rFonts w:ascii="Arial" w:hAnsi="Arial" w:cs="Arial"/>
          <w:sz w:val="22"/>
          <w:szCs w:val="22"/>
        </w:rPr>
      </w:pPr>
      <w:r w:rsidRPr="00054C98">
        <w:rPr>
          <w:rFonts w:ascii="Arial" w:hAnsi="Arial" w:cs="Arial"/>
          <w:sz w:val="22"/>
          <w:szCs w:val="22"/>
          <w:lang w:val="en-GB"/>
        </w:rPr>
        <w:t xml:space="preserve">Finally, Part 8 </w:t>
      </w:r>
      <w:bookmarkStart w:id="11" w:name="_Toc429958313"/>
      <w:r w:rsidRPr="00054C98">
        <w:rPr>
          <w:rFonts w:ascii="Arial" w:hAnsi="Arial" w:cs="Arial"/>
          <w:sz w:val="22"/>
          <w:szCs w:val="22"/>
        </w:rPr>
        <w:t>provides for recommended activities in order to implement the project and achieve expected results</w:t>
      </w:r>
      <w:bookmarkEnd w:id="11"/>
      <w:r w:rsidRPr="00054C98">
        <w:rPr>
          <w:rFonts w:ascii="Arial" w:hAnsi="Arial" w:cs="Arial"/>
          <w:sz w:val="22"/>
          <w:szCs w:val="22"/>
        </w:rPr>
        <w:t xml:space="preserve">; these </w:t>
      </w:r>
      <w:proofErr w:type="gramStart"/>
      <w:r w:rsidRPr="00054C98">
        <w:rPr>
          <w:rFonts w:ascii="Arial" w:hAnsi="Arial" w:cs="Arial"/>
          <w:sz w:val="22"/>
          <w:szCs w:val="22"/>
        </w:rPr>
        <w:t>are stipulated</w:t>
      </w:r>
      <w:proofErr w:type="gramEnd"/>
      <w:r w:rsidRPr="00054C98">
        <w:rPr>
          <w:rFonts w:ascii="Arial" w:hAnsi="Arial" w:cs="Arial"/>
          <w:sz w:val="22"/>
          <w:szCs w:val="22"/>
        </w:rPr>
        <w:t xml:space="preserve"> below. The viability and utility of the activities enumerated below is to </w:t>
      </w:r>
      <w:proofErr w:type="gramStart"/>
      <w:r w:rsidRPr="00054C98">
        <w:rPr>
          <w:rFonts w:ascii="Arial" w:hAnsi="Arial" w:cs="Arial"/>
          <w:sz w:val="22"/>
          <w:szCs w:val="22"/>
        </w:rPr>
        <w:t>be confirmed</w:t>
      </w:r>
      <w:proofErr w:type="gramEnd"/>
      <w:r w:rsidRPr="00054C98">
        <w:rPr>
          <w:rFonts w:ascii="Arial" w:hAnsi="Arial" w:cs="Arial"/>
          <w:sz w:val="22"/>
          <w:szCs w:val="22"/>
        </w:rPr>
        <w:t xml:space="preserve"> in consultation with the beneficiary countries. </w:t>
      </w:r>
    </w:p>
    <w:p w:rsidR="00054C98" w:rsidRPr="00054C98" w:rsidRDefault="00054C98" w:rsidP="00054C98">
      <w:pPr>
        <w:spacing w:line="276" w:lineRule="auto"/>
        <w:ind w:left="3402" w:firstLine="567"/>
        <w:rPr>
          <w:rFonts w:ascii="Arial" w:hAnsi="Arial" w:cs="Arial"/>
          <w:sz w:val="22"/>
          <w:szCs w:val="22"/>
        </w:rPr>
      </w:pP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Publication and translation of planned WIPO publication on IP and Mobile Applications;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Typology of various IP rights relevant to protect mobile applications, including where applicable copyright, patent, utility model, trademark, design and trade secrets;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Training module on the role of IP  in the development and commercialization of mobile applications (including on accessing third party information and using third party protected subject matter, as well as on how IP can be used as a means to raise capital and secure investments)s;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Training module on key contracts in the mobile applications sector, including End User License and App Developer Agreements;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 xml:space="preserve">Training modules on mediation and arbitration in the software sector to be developed in cooperation with WIPO’s Arbitration and Mediation </w:t>
      </w:r>
      <w:proofErr w:type="spellStart"/>
      <w:r w:rsidRPr="00054C98">
        <w:rPr>
          <w:rFonts w:ascii="Arial" w:hAnsi="Arial" w:cs="Arial"/>
          <w:bCs/>
          <w:sz w:val="22"/>
          <w:szCs w:val="22"/>
          <w:lang w:val="en-GB"/>
        </w:rPr>
        <w:t>Center</w:t>
      </w:r>
      <w:proofErr w:type="spellEnd"/>
      <w:r w:rsidRPr="00054C98">
        <w:rPr>
          <w:rFonts w:ascii="Arial" w:hAnsi="Arial" w:cs="Arial"/>
          <w:bCs/>
          <w:sz w:val="22"/>
          <w:szCs w:val="22"/>
          <w:lang w:val="en-GB"/>
        </w:rPr>
        <w:t xml:space="preserve"> (one for mobile applications developers and entrepreneurs and a more advanced course for lawyers and government officials);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Interactive dialogue between software sector stakeholders and financial institutions, venture capitalists and other investors in the three beneficiary countries;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Connecting ICT hubs in the three beneficiary countries by video conference to foster the exchange of knowledge and experience among software sector stakeholders on the use of IP, including collaborations with universities and other research institutions, commercial partnerships, IP success stories, challenges and solutions;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lastRenderedPageBreak/>
        <w:t>Basic IP awareness material targeting computer science students at secondary schools, universities and other research institutions in beneficiary countries;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Mentoring program connecting experienced business leaders and specialized lawyers volunteering to assist software start-ups in the beneficiary countries;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Developing IP toolbox for use in the project beneficiary countries and to be replicated in other interested countries, including through a WIPO Academy distance learning course for software sector professionals;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Online platform to foster international exchanges of IP knowledge and good practices in the software sector;</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Two workshops in each of the beneficiary countries (first workshop to launch the project with local stakeholders; second workshop to validate final deliverables);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Two coordination meetings with national focal points from the three beneficiary countries at WIPO Headquarters in Geneva (first meeting following completion of the scoping study; second meeting to complete and validate final deliverables);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bCs/>
          <w:sz w:val="22"/>
          <w:szCs w:val="22"/>
          <w:lang w:val="en-GB"/>
        </w:rPr>
        <w:t>Video conferences with project beneficiaries whenever requested to further the above activities and deliverables.</w:t>
      </w:r>
    </w:p>
    <w:p w:rsidR="00054C98" w:rsidRPr="00054C98" w:rsidRDefault="00054C98" w:rsidP="00054C98">
      <w:pPr>
        <w:numPr>
          <w:ilvl w:val="0"/>
          <w:numId w:val="7"/>
        </w:numPr>
        <w:spacing w:line="276" w:lineRule="auto"/>
        <w:rPr>
          <w:rFonts w:ascii="Arial" w:hAnsi="Arial" w:cs="Arial"/>
          <w:bCs/>
          <w:sz w:val="22"/>
          <w:szCs w:val="22"/>
          <w:lang w:val="en-GB"/>
        </w:rPr>
      </w:pPr>
      <w:r w:rsidRPr="00054C98">
        <w:rPr>
          <w:rFonts w:ascii="Arial" w:hAnsi="Arial" w:cs="Arial"/>
          <w:sz w:val="22"/>
          <w:szCs w:val="22"/>
          <w:lang w:val="en-GB"/>
        </w:rPr>
        <w:t>Workshops on IP enforcement</w:t>
      </w:r>
    </w:p>
    <w:p w:rsidR="00054C98" w:rsidRPr="00054C98" w:rsidRDefault="00054C98" w:rsidP="00054C98">
      <w:pPr>
        <w:spacing w:line="360" w:lineRule="auto"/>
        <w:ind w:firstLine="360"/>
        <w:jc w:val="both"/>
        <w:rPr>
          <w:rFonts w:ascii="Arial" w:hAnsi="Arial" w:cs="Arial"/>
          <w:sz w:val="22"/>
          <w:szCs w:val="22"/>
          <w:lang w:val="en-GB"/>
        </w:rPr>
      </w:pPr>
      <w:r w:rsidRPr="00054C98">
        <w:rPr>
          <w:rFonts w:ascii="Arial" w:hAnsi="Arial" w:cs="Arial"/>
          <w:sz w:val="22"/>
          <w:szCs w:val="22"/>
          <w:lang w:val="en-GB"/>
        </w:rPr>
        <w:t xml:space="preserve">[Addressing, </w:t>
      </w:r>
      <w:r w:rsidRPr="00054C98">
        <w:rPr>
          <w:rFonts w:ascii="Arial" w:hAnsi="Arial" w:cs="Arial"/>
          <w:i/>
          <w:sz w:val="22"/>
          <w:szCs w:val="22"/>
          <w:lang w:val="en-GB"/>
        </w:rPr>
        <w:t>inter alia</w:t>
      </w:r>
      <w:r w:rsidRPr="00054C98">
        <w:rPr>
          <w:rFonts w:ascii="Arial" w:hAnsi="Arial" w:cs="Arial"/>
          <w:sz w:val="22"/>
          <w:szCs w:val="22"/>
          <w:lang w:val="en-GB"/>
        </w:rPr>
        <w:t>, developers, entrepreneurs as well as government officials]</w:t>
      </w:r>
    </w:p>
    <w:p w:rsidR="00054C98" w:rsidRDefault="00054C98" w:rsidP="00054C98">
      <w:pPr>
        <w:spacing w:line="360" w:lineRule="auto"/>
        <w:ind w:left="3402" w:firstLine="567"/>
        <w:jc w:val="both"/>
        <w:rPr>
          <w:rFonts w:ascii="Arial" w:hAnsi="Arial" w:cs="Arial"/>
          <w:sz w:val="22"/>
          <w:szCs w:val="22"/>
          <w:lang w:val="en-GB"/>
        </w:rPr>
      </w:pPr>
    </w:p>
    <w:p w:rsidR="00054C98" w:rsidRDefault="00054C98" w:rsidP="00054C98">
      <w:pPr>
        <w:spacing w:line="360" w:lineRule="auto"/>
        <w:ind w:left="3402" w:firstLine="567"/>
        <w:jc w:val="both"/>
        <w:rPr>
          <w:rFonts w:ascii="Arial" w:hAnsi="Arial" w:cs="Arial"/>
          <w:sz w:val="22"/>
          <w:szCs w:val="22"/>
          <w:lang w:val="en-GB"/>
        </w:rPr>
      </w:pPr>
    </w:p>
    <w:p w:rsidR="000F5E56" w:rsidRPr="0095368D" w:rsidRDefault="00054C98" w:rsidP="00054C98">
      <w:pPr>
        <w:spacing w:line="360" w:lineRule="auto"/>
        <w:ind w:left="3402" w:firstLine="567"/>
        <w:jc w:val="both"/>
        <w:rPr>
          <w:lang w:val="en-GB"/>
        </w:rPr>
      </w:pPr>
      <w:r w:rsidRPr="00054C98">
        <w:rPr>
          <w:rFonts w:ascii="Arial" w:hAnsi="Arial" w:cs="Arial"/>
          <w:sz w:val="22"/>
          <w:szCs w:val="22"/>
          <w:lang w:val="en-GB"/>
        </w:rPr>
        <w:t xml:space="preserve"> </w:t>
      </w:r>
      <w:r w:rsidR="004006B6">
        <w:rPr>
          <w:rFonts w:ascii="Arial" w:hAnsi="Arial" w:cs="Arial"/>
          <w:sz w:val="22"/>
          <w:szCs w:val="22"/>
          <w:lang w:val="en-GB"/>
        </w:rPr>
        <w:t>[End of Annex and of document]</w:t>
      </w:r>
    </w:p>
    <w:sectPr w:rsidR="000F5E56" w:rsidRPr="0095368D" w:rsidSect="007F1540">
      <w:headerReference w:type="even" r:id="rId14"/>
      <w:headerReference w:type="default" r:id="rId15"/>
      <w:footerReference w:type="even" r:id="rId16"/>
      <w:footerReference w:type="default" r:id="rId17"/>
      <w:headerReference w:type="first" r:id="rId18"/>
      <w:footerReference w:type="first" r:id="rId19"/>
      <w:pgSz w:w="11900" w:h="16840"/>
      <w:pgMar w:top="1440" w:right="13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BC" w:rsidRDefault="00DF39BC" w:rsidP="003C710A">
      <w:r>
        <w:separator/>
      </w:r>
    </w:p>
  </w:endnote>
  <w:endnote w:type="continuationSeparator" w:id="0">
    <w:p w:rsidR="00DF39BC" w:rsidRDefault="00DF39BC" w:rsidP="003C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0A" w:rsidRDefault="003C710A" w:rsidP="003C710A">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65" w:rsidRDefault="00B24465">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0A" w:rsidRDefault="003C710A" w:rsidP="003C71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65" w:rsidRDefault="00B244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65" w:rsidRDefault="00B24465" w:rsidP="008C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BC" w:rsidRDefault="00DF39BC" w:rsidP="003C710A">
      <w:r>
        <w:separator/>
      </w:r>
    </w:p>
  </w:footnote>
  <w:footnote w:type="continuationSeparator" w:id="0">
    <w:p w:rsidR="00DF39BC" w:rsidRDefault="00DF39BC" w:rsidP="003C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0A" w:rsidRPr="00262966" w:rsidRDefault="003C710A" w:rsidP="003C710A">
    <w:pPr>
      <w:tabs>
        <w:tab w:val="center" w:pos="4536"/>
        <w:tab w:val="right" w:pos="9072"/>
      </w:tabs>
      <w:jc w:val="right"/>
    </w:pPr>
    <w:r w:rsidRPr="00262966">
      <w:t>CDIP/20/</w:t>
    </w:r>
    <w:r w:rsidRPr="00262966">
      <w:rPr>
        <w:highlight w:val="yellow"/>
      </w:rPr>
      <w:t>X</w:t>
    </w:r>
  </w:p>
  <w:p w:rsidR="003C710A" w:rsidRDefault="003C710A" w:rsidP="003C710A">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sidR="006913B2">
      <w:rPr>
        <w:noProof/>
      </w:rPr>
      <w:t>4</w:t>
    </w:r>
    <w:r w:rsidRPr="0026296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65" w:rsidRPr="00262966" w:rsidRDefault="00B24465" w:rsidP="008C3E9C">
    <w:pPr>
      <w:tabs>
        <w:tab w:val="center" w:pos="4536"/>
        <w:tab w:val="right" w:pos="9072"/>
      </w:tabs>
      <w:jc w:val="right"/>
    </w:pPr>
    <w:r w:rsidRPr="00262966">
      <w:t>CDIP/20/</w:t>
    </w:r>
    <w:r w:rsidRPr="00262966">
      <w:rPr>
        <w:highlight w:val="yellow"/>
      </w:rPr>
      <w:t>X</w:t>
    </w:r>
  </w:p>
  <w:p w:rsidR="00B24465" w:rsidRDefault="00B24465" w:rsidP="008C3E9C">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sidR="006913B2">
      <w:rPr>
        <w:noProof/>
      </w:rPr>
      <w:t>4</w:t>
    </w:r>
    <w:r w:rsidRPr="00262966">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0A" w:rsidRPr="003C710A" w:rsidRDefault="003C710A" w:rsidP="003C710A">
    <w:pPr>
      <w:pStyle w:val="Header"/>
      <w:jc w:val="right"/>
      <w:rPr>
        <w:rFonts w:ascii="Arial" w:hAnsi="Arial" w:cs="Arial"/>
      </w:rPr>
    </w:pPr>
    <w:r w:rsidRPr="003C710A">
      <w:rPr>
        <w:rFonts w:ascii="Arial" w:hAnsi="Arial" w:cs="Arial"/>
      </w:rPr>
      <w:t>C</w:t>
    </w:r>
    <w:r w:rsidR="008D11CA">
      <w:rPr>
        <w:rFonts w:ascii="Arial" w:hAnsi="Arial" w:cs="Arial"/>
      </w:rPr>
      <w:t>DIP/24/INF/5</w:t>
    </w:r>
  </w:p>
  <w:p w:rsidR="003C710A" w:rsidRDefault="003F6146" w:rsidP="003C710A">
    <w:pPr>
      <w:pStyle w:val="Header"/>
      <w:jc w:val="right"/>
      <w:rPr>
        <w:rFonts w:ascii="Arial" w:hAnsi="Arial" w:cs="Arial"/>
      </w:rPr>
    </w:pPr>
    <w:r>
      <w:rPr>
        <w:rFonts w:ascii="Arial" w:hAnsi="Arial" w:cs="Arial"/>
      </w:rPr>
      <w:t>Annex, page 3</w:t>
    </w:r>
  </w:p>
  <w:p w:rsidR="003F6146" w:rsidRPr="003C710A" w:rsidRDefault="003F6146" w:rsidP="003C710A">
    <w:pPr>
      <w:pStyle w:val="Header"/>
      <w:jc w:val="right"/>
      <w:rPr>
        <w:rFonts w:ascii="Arial" w:hAnsi="Arial" w:cs="Arial"/>
      </w:rPr>
    </w:pPr>
  </w:p>
  <w:p w:rsidR="003C710A" w:rsidRDefault="003C710A" w:rsidP="003C710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0A" w:rsidRPr="00090EA9" w:rsidRDefault="003C710A" w:rsidP="003C710A">
    <w:pPr>
      <w:pStyle w:val="Header"/>
      <w:jc w:val="right"/>
      <w:rPr>
        <w:rFonts w:ascii="Arial" w:hAnsi="Arial" w:cs="Arial"/>
        <w:sz w:val="22"/>
        <w:szCs w:val="22"/>
      </w:rPr>
    </w:pPr>
    <w:r w:rsidRPr="00090EA9">
      <w:rPr>
        <w:rFonts w:ascii="Arial" w:hAnsi="Arial" w:cs="Arial"/>
        <w:sz w:val="22"/>
        <w:szCs w:val="22"/>
      </w:rPr>
      <w:t>C</w:t>
    </w:r>
    <w:r w:rsidR="003B37EB">
      <w:rPr>
        <w:rFonts w:ascii="Arial" w:hAnsi="Arial" w:cs="Arial"/>
        <w:sz w:val="22"/>
        <w:szCs w:val="22"/>
      </w:rPr>
      <w:t>DIP/24/INF/5</w:t>
    </w:r>
  </w:p>
  <w:p w:rsidR="003C710A" w:rsidRPr="00090EA9" w:rsidRDefault="003C710A" w:rsidP="003C710A">
    <w:pPr>
      <w:pStyle w:val="Header"/>
      <w:jc w:val="right"/>
      <w:rPr>
        <w:rFonts w:ascii="Arial" w:hAnsi="Arial" w:cs="Arial"/>
        <w:sz w:val="22"/>
        <w:szCs w:val="22"/>
      </w:rPr>
    </w:pPr>
    <w:r w:rsidRPr="00090EA9">
      <w:rPr>
        <w:rFonts w:ascii="Arial" w:hAnsi="Arial" w:cs="Arial"/>
        <w:sz w:val="22"/>
        <w:szCs w:val="22"/>
      </w:rPr>
      <w:t>Annex, page 2</w:t>
    </w:r>
  </w:p>
  <w:p w:rsidR="008B203D" w:rsidRPr="003C710A" w:rsidRDefault="008B203D" w:rsidP="003C710A">
    <w:pPr>
      <w:pStyle w:val="Header"/>
      <w:jc w:val="right"/>
      <w:rPr>
        <w:rFonts w:ascii="Arial" w:hAnsi="Arial" w:cs="Arial"/>
      </w:rPr>
    </w:pPr>
  </w:p>
  <w:p w:rsidR="00B24465" w:rsidRDefault="00B24465" w:rsidP="003C710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65" w:rsidRPr="00090EA9" w:rsidRDefault="003C710A" w:rsidP="003C710A">
    <w:pPr>
      <w:pStyle w:val="Header"/>
      <w:jc w:val="right"/>
      <w:rPr>
        <w:rFonts w:ascii="Arial" w:hAnsi="Arial" w:cs="Arial"/>
        <w:sz w:val="22"/>
        <w:szCs w:val="22"/>
      </w:rPr>
    </w:pPr>
    <w:r w:rsidRPr="00090EA9">
      <w:rPr>
        <w:rFonts w:ascii="Arial" w:hAnsi="Arial" w:cs="Arial"/>
        <w:sz w:val="22"/>
        <w:szCs w:val="22"/>
      </w:rPr>
      <w:t>C</w:t>
    </w:r>
    <w:r w:rsidR="003B37EB">
      <w:rPr>
        <w:rFonts w:ascii="Arial" w:hAnsi="Arial" w:cs="Arial"/>
        <w:sz w:val="22"/>
        <w:szCs w:val="22"/>
      </w:rPr>
      <w:t>DIP/24/INF/5</w:t>
    </w:r>
  </w:p>
  <w:p w:rsidR="003C710A" w:rsidRPr="00090EA9" w:rsidRDefault="003C710A" w:rsidP="003C710A">
    <w:pPr>
      <w:pStyle w:val="Header"/>
      <w:jc w:val="right"/>
      <w:rPr>
        <w:rFonts w:ascii="Arial" w:hAnsi="Arial" w:cs="Arial"/>
        <w:sz w:val="22"/>
        <w:szCs w:val="22"/>
      </w:rPr>
    </w:pPr>
    <w:r w:rsidRPr="00090EA9">
      <w:rPr>
        <w:rFonts w:ascii="Arial" w:hAnsi="Arial" w:cs="Arial"/>
        <w:sz w:val="22"/>
        <w:szCs w:val="22"/>
      </w:rPr>
      <w:t>ANNEX</w:t>
    </w:r>
  </w:p>
  <w:p w:rsidR="008B203D" w:rsidRDefault="008B203D" w:rsidP="003C710A">
    <w:pPr>
      <w:pStyle w:val="Header"/>
      <w:jc w:val="right"/>
      <w:rPr>
        <w:rFonts w:ascii="Arial" w:hAnsi="Arial" w:cs="Arial"/>
      </w:rPr>
    </w:pPr>
  </w:p>
  <w:p w:rsidR="008B203D" w:rsidRPr="003C710A" w:rsidRDefault="008B203D" w:rsidP="003C710A">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6E0E93"/>
    <w:multiLevelType w:val="hybridMultilevel"/>
    <w:tmpl w:val="9EBE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6D1310C"/>
    <w:multiLevelType w:val="hybridMultilevel"/>
    <w:tmpl w:val="5F2C9218"/>
    <w:lvl w:ilvl="0" w:tplc="D26AD96A">
      <w:start w:val="2"/>
      <w:numFmt w:val="bullet"/>
      <w:lvlText w:val="-"/>
      <w:lvlJc w:val="left"/>
      <w:pPr>
        <w:ind w:left="927" w:hanging="360"/>
      </w:pPr>
      <w:rPr>
        <w:rFonts w:ascii="Arial" w:eastAsia="SimSu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F7A78F0"/>
    <w:multiLevelType w:val="hybridMultilevel"/>
    <w:tmpl w:val="398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AE4E61"/>
    <w:multiLevelType w:val="hybridMultilevel"/>
    <w:tmpl w:val="47F8755C"/>
    <w:lvl w:ilvl="0" w:tplc="BAC806D4">
      <w:start w:val="1"/>
      <w:numFmt w:val="decimal"/>
      <w:lvlText w:val="%1."/>
      <w:lvlJc w:val="left"/>
      <w:pPr>
        <w:ind w:left="930" w:hanging="57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9"/>
  </w:num>
  <w:num w:numId="4">
    <w:abstractNumId w:val="8"/>
  </w:num>
  <w:num w:numId="5">
    <w:abstractNumId w:val="0"/>
  </w:num>
  <w:num w:numId="6">
    <w:abstractNumId w:val="7"/>
  </w:num>
  <w:num w:numId="7">
    <w:abstractNumId w:val="4"/>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9C"/>
    <w:rsid w:val="00054C98"/>
    <w:rsid w:val="00067297"/>
    <w:rsid w:val="000726E8"/>
    <w:rsid w:val="00090EA9"/>
    <w:rsid w:val="000B6421"/>
    <w:rsid w:val="000D41E1"/>
    <w:rsid w:val="000F5E56"/>
    <w:rsid w:val="001249E3"/>
    <w:rsid w:val="00182BDC"/>
    <w:rsid w:val="001D0520"/>
    <w:rsid w:val="002846F6"/>
    <w:rsid w:val="00293942"/>
    <w:rsid w:val="002A02D6"/>
    <w:rsid w:val="002B052E"/>
    <w:rsid w:val="002F5E2F"/>
    <w:rsid w:val="003216A8"/>
    <w:rsid w:val="003414BA"/>
    <w:rsid w:val="00356914"/>
    <w:rsid w:val="003B37EB"/>
    <w:rsid w:val="003C710A"/>
    <w:rsid w:val="003E6531"/>
    <w:rsid w:val="003F6146"/>
    <w:rsid w:val="004006B6"/>
    <w:rsid w:val="004270B1"/>
    <w:rsid w:val="00427CF8"/>
    <w:rsid w:val="00431118"/>
    <w:rsid w:val="00445085"/>
    <w:rsid w:val="00490560"/>
    <w:rsid w:val="004C27D6"/>
    <w:rsid w:val="005015DD"/>
    <w:rsid w:val="005061E0"/>
    <w:rsid w:val="005D2ECA"/>
    <w:rsid w:val="006634B6"/>
    <w:rsid w:val="006913B2"/>
    <w:rsid w:val="00696927"/>
    <w:rsid w:val="00751BC3"/>
    <w:rsid w:val="00780FE2"/>
    <w:rsid w:val="007B240C"/>
    <w:rsid w:val="007D53C7"/>
    <w:rsid w:val="007F1540"/>
    <w:rsid w:val="00804DB7"/>
    <w:rsid w:val="008349A5"/>
    <w:rsid w:val="008477E4"/>
    <w:rsid w:val="008A3A97"/>
    <w:rsid w:val="008B203D"/>
    <w:rsid w:val="008C3E9C"/>
    <w:rsid w:val="008D11CA"/>
    <w:rsid w:val="009149F1"/>
    <w:rsid w:val="0093773E"/>
    <w:rsid w:val="00940663"/>
    <w:rsid w:val="009434F6"/>
    <w:rsid w:val="0095368D"/>
    <w:rsid w:val="00A45635"/>
    <w:rsid w:val="00A73CED"/>
    <w:rsid w:val="00AE38BE"/>
    <w:rsid w:val="00B20ED1"/>
    <w:rsid w:val="00B24465"/>
    <w:rsid w:val="00B559FB"/>
    <w:rsid w:val="00BE1804"/>
    <w:rsid w:val="00C554EC"/>
    <w:rsid w:val="00C56D95"/>
    <w:rsid w:val="00C80664"/>
    <w:rsid w:val="00C86DDA"/>
    <w:rsid w:val="00D917F7"/>
    <w:rsid w:val="00DF39BC"/>
    <w:rsid w:val="00E24DBF"/>
    <w:rsid w:val="00E335AF"/>
    <w:rsid w:val="00F06463"/>
    <w:rsid w:val="00F72DAD"/>
    <w:rsid w:val="00FA169F"/>
    <w:rsid w:val="00F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608C4431-5130-492E-8E0F-6FFE9AA0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E9C"/>
    <w:rPr>
      <w:rFonts w:asciiTheme="minorHAnsi" w:eastAsiaTheme="minorHAnsi" w:hAnsiTheme="minorHAnsi" w:cstheme="minorBidi"/>
      <w:sz w:val="24"/>
      <w:szCs w:val="24"/>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Title">
    <w:name w:val="Title"/>
    <w:basedOn w:val="Normal"/>
    <w:next w:val="Normal"/>
    <w:link w:val="TitleChar"/>
    <w:uiPriority w:val="10"/>
    <w:qFormat/>
    <w:rsid w:val="008C3E9C"/>
    <w:pPr>
      <w:widowControl w:val="0"/>
      <w:contextualSpacing/>
      <w:jc w:val="center"/>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8C3E9C"/>
    <w:rPr>
      <w:rFonts w:asciiTheme="majorHAnsi" w:eastAsiaTheme="majorEastAsia" w:hAnsiTheme="majorHAnsi" w:cstheme="majorBidi"/>
      <w:spacing w:val="-10"/>
      <w:kern w:val="28"/>
      <w:sz w:val="56"/>
      <w:szCs w:val="56"/>
      <w:lang w:val="en-GB"/>
    </w:rPr>
  </w:style>
  <w:style w:type="character" w:customStyle="1" w:styleId="HeaderChar">
    <w:name w:val="Header Char"/>
    <w:basedOn w:val="DefaultParagraphFont"/>
    <w:link w:val="Header"/>
    <w:uiPriority w:val="99"/>
    <w:rsid w:val="008C3E9C"/>
    <w:rPr>
      <w:rFonts w:ascii="Arial" w:hAnsi="Arial" w:cs="Arial"/>
      <w:sz w:val="22"/>
    </w:rPr>
  </w:style>
  <w:style w:type="character" w:customStyle="1" w:styleId="FooterChar">
    <w:name w:val="Footer Char"/>
    <w:basedOn w:val="DefaultParagraphFont"/>
    <w:link w:val="Footer"/>
    <w:uiPriority w:val="99"/>
    <w:rsid w:val="008C3E9C"/>
    <w:rPr>
      <w:rFonts w:ascii="Arial" w:hAnsi="Arial" w:cs="Arial"/>
      <w:sz w:val="22"/>
    </w:rPr>
  </w:style>
  <w:style w:type="character" w:styleId="Hyperlink">
    <w:name w:val="Hyperlink"/>
    <w:basedOn w:val="DefaultParagraphFont"/>
    <w:unhideWhenUsed/>
    <w:rsid w:val="004006B6"/>
    <w:rPr>
      <w:color w:val="0000FF" w:themeColor="hyperlink"/>
      <w:u w:val="single"/>
    </w:rPr>
  </w:style>
  <w:style w:type="paragraph" w:styleId="ListParagraph">
    <w:name w:val="List Paragraph"/>
    <w:basedOn w:val="Normal"/>
    <w:uiPriority w:val="34"/>
    <w:qFormat/>
    <w:rsid w:val="004006B6"/>
    <w:pPr>
      <w:ind w:left="720"/>
      <w:contextualSpacing/>
    </w:pPr>
  </w:style>
  <w:style w:type="paragraph" w:styleId="BalloonText">
    <w:name w:val="Balloon Text"/>
    <w:basedOn w:val="Normal"/>
    <w:link w:val="BalloonTextChar"/>
    <w:semiHidden/>
    <w:unhideWhenUsed/>
    <w:rsid w:val="00940663"/>
    <w:rPr>
      <w:rFonts w:ascii="Segoe UI" w:hAnsi="Segoe UI" w:cs="Segoe UI"/>
      <w:sz w:val="18"/>
      <w:szCs w:val="18"/>
    </w:rPr>
  </w:style>
  <w:style w:type="character" w:customStyle="1" w:styleId="BalloonTextChar">
    <w:name w:val="Balloon Text Char"/>
    <w:basedOn w:val="DefaultParagraphFont"/>
    <w:link w:val="BalloonText"/>
    <w:semiHidden/>
    <w:rsid w:val="00940663"/>
    <w:rPr>
      <w:rFonts w:ascii="Segoe UI" w:eastAsiaTheme="minorHAnsi" w:hAnsi="Segoe UI" w:cs="Segoe UI"/>
      <w:sz w:val="18"/>
      <w:szCs w:val="18"/>
    </w:rPr>
  </w:style>
  <w:style w:type="character" w:styleId="FollowedHyperlink">
    <w:name w:val="FollowedHyperlink"/>
    <w:basedOn w:val="DefaultParagraphFont"/>
    <w:semiHidden/>
    <w:unhideWhenUsed/>
    <w:rsid w:val="00953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wipo.int/ip-development/en/agenda/work_undertaken.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92468-257B-45B1-9E0F-B764BB16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1266</Words>
  <Characters>7392</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HUBBARD HERRAN Walter</dc:creator>
  <cp:keywords>FOR OFFICIAL USE ONLY</cp:keywords>
  <dc:description/>
  <cp:lastModifiedBy>CERBARI Mihaela</cp:lastModifiedBy>
  <cp:revision>36</cp:revision>
  <cp:lastPrinted>2019-10-25T08:52:00Z</cp:lastPrinted>
  <dcterms:created xsi:type="dcterms:W3CDTF">2019-10-21T13:53:00Z</dcterms:created>
  <dcterms:modified xsi:type="dcterms:W3CDTF">2019-10-25T13:07:00Z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b484e1db-1e8a-490e-80cc-32fc162d8c6f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