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77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A7723C" w:rsidRPr="001B7F8B" w:rsidTr="00DB4BBF">
        <w:trPr>
          <w:trHeight w:hRule="exact" w:val="357"/>
        </w:trPr>
        <w:tc>
          <w:tcPr>
            <w:tcW w:w="9356" w:type="dxa"/>
            <w:gridSpan w:val="3"/>
            <w:tcBorders>
              <w:top w:val="single" w:sz="4" w:space="0" w:color="auto"/>
            </w:tcBorders>
            <w:tcMar>
              <w:top w:w="170" w:type="dxa"/>
              <w:left w:w="0" w:type="dxa"/>
              <w:right w:w="0" w:type="dxa"/>
            </w:tcMar>
            <w:vAlign w:val="bottom"/>
          </w:tcPr>
          <w:p w:rsidR="00A7723C" w:rsidRPr="001B7F8B" w:rsidRDefault="00A7723C" w:rsidP="00DB4BBF">
            <w:pPr>
              <w:jc w:val="right"/>
              <w:rPr>
                <w:rFonts w:ascii="Arial Black" w:hAnsi="Arial Black"/>
                <w:caps/>
                <w:sz w:val="15"/>
              </w:rPr>
            </w:pPr>
            <w:r w:rsidRPr="001B7F8B">
              <w:rPr>
                <w:rFonts w:ascii="Arial Black" w:hAnsi="Arial Black"/>
                <w:caps/>
                <w:sz w:val="15"/>
              </w:rPr>
              <w:t>CDIP/24/</w:t>
            </w:r>
            <w:bookmarkStart w:id="0" w:name="Code"/>
            <w:bookmarkEnd w:id="0"/>
            <w:r w:rsidRPr="001B7F8B">
              <w:rPr>
                <w:rFonts w:ascii="Arial Black" w:hAnsi="Arial Black"/>
                <w:caps/>
                <w:sz w:val="15"/>
              </w:rPr>
              <w:t>3</w:t>
            </w:r>
          </w:p>
        </w:tc>
      </w:tr>
      <w:tr w:rsidR="00A7723C" w:rsidRPr="001B7F8B" w:rsidTr="00DB4BBF">
        <w:trPr>
          <w:trHeight w:hRule="exact" w:val="170"/>
        </w:trPr>
        <w:tc>
          <w:tcPr>
            <w:tcW w:w="9356" w:type="dxa"/>
            <w:gridSpan w:val="3"/>
            <w:noWrap/>
            <w:tcMar>
              <w:left w:w="0" w:type="dxa"/>
              <w:right w:w="0" w:type="dxa"/>
            </w:tcMar>
            <w:vAlign w:val="bottom"/>
          </w:tcPr>
          <w:p w:rsidR="00A7723C" w:rsidRPr="001B7F8B" w:rsidRDefault="00A7723C" w:rsidP="00DB4BBF">
            <w:pPr>
              <w:jc w:val="right"/>
              <w:rPr>
                <w:rFonts w:ascii="Arial Black" w:hAnsi="Arial Black"/>
                <w:caps/>
                <w:sz w:val="15"/>
              </w:rPr>
            </w:pPr>
            <w:r w:rsidRPr="001B7F8B">
              <w:rPr>
                <w:rFonts w:ascii="Arial Black" w:hAnsi="Arial Black"/>
                <w:caps/>
                <w:sz w:val="15"/>
              </w:rPr>
              <w:t xml:space="preserve">ORIGINAL:  </w:t>
            </w:r>
            <w:bookmarkStart w:id="1" w:name="Original"/>
            <w:bookmarkEnd w:id="1"/>
            <w:r w:rsidRPr="001B7F8B">
              <w:rPr>
                <w:rFonts w:ascii="Arial Black" w:hAnsi="Arial Black"/>
                <w:caps/>
                <w:sz w:val="15"/>
              </w:rPr>
              <w:t xml:space="preserve">ENGLISH </w:t>
            </w:r>
          </w:p>
        </w:tc>
      </w:tr>
      <w:tr w:rsidR="00A7723C" w:rsidRPr="001B7F8B" w:rsidTr="00DB4BBF">
        <w:trPr>
          <w:trHeight w:hRule="exact" w:val="198"/>
        </w:trPr>
        <w:tc>
          <w:tcPr>
            <w:tcW w:w="9356" w:type="dxa"/>
            <w:gridSpan w:val="3"/>
            <w:tcMar>
              <w:left w:w="0" w:type="dxa"/>
              <w:right w:w="0" w:type="dxa"/>
            </w:tcMar>
            <w:vAlign w:val="bottom"/>
          </w:tcPr>
          <w:p w:rsidR="00A7723C" w:rsidRPr="00127900" w:rsidRDefault="00A7723C" w:rsidP="00970CD8">
            <w:pPr>
              <w:jc w:val="right"/>
              <w:rPr>
                <w:rFonts w:ascii="Arial Black" w:hAnsi="Arial Black"/>
                <w:caps/>
                <w:sz w:val="15"/>
              </w:rPr>
            </w:pPr>
            <w:r w:rsidRPr="00127900">
              <w:rPr>
                <w:rFonts w:ascii="Arial Black" w:hAnsi="Arial Black"/>
                <w:caps/>
                <w:sz w:val="15"/>
              </w:rPr>
              <w:t xml:space="preserve">DATE:  </w:t>
            </w:r>
            <w:bookmarkStart w:id="2" w:name="Date"/>
            <w:bookmarkEnd w:id="2"/>
            <w:r w:rsidR="00294228">
              <w:rPr>
                <w:rFonts w:ascii="Arial Black" w:hAnsi="Arial Black"/>
                <w:caps/>
                <w:sz w:val="15"/>
              </w:rPr>
              <w:t>september</w:t>
            </w:r>
            <w:r w:rsidR="00C4022C">
              <w:rPr>
                <w:rFonts w:ascii="Arial Black" w:hAnsi="Arial Black"/>
                <w:caps/>
                <w:sz w:val="15"/>
              </w:rPr>
              <w:t xml:space="preserve"> 1</w:t>
            </w:r>
            <w:r w:rsidRPr="00127900">
              <w:rPr>
                <w:rFonts w:ascii="Arial Black" w:hAnsi="Arial Black"/>
                <w:caps/>
                <w:sz w:val="15"/>
              </w:rPr>
              <w:t xml:space="preserve">, 2019 </w:t>
            </w:r>
          </w:p>
        </w:tc>
      </w:tr>
    </w:tbl>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Pr>
        <w:rPr>
          <w:b/>
          <w:sz w:val="28"/>
          <w:szCs w:val="28"/>
        </w:rPr>
      </w:pPr>
      <w:r w:rsidRPr="001B7F8B">
        <w:rPr>
          <w:b/>
          <w:sz w:val="28"/>
          <w:szCs w:val="28"/>
        </w:rPr>
        <w:t>Committee on Development and Intellectual Property (CDIP)</w:t>
      </w:r>
    </w:p>
    <w:p w:rsidR="00A7723C" w:rsidRPr="001B7F8B" w:rsidRDefault="00A7723C" w:rsidP="00A7723C"/>
    <w:p w:rsidR="00A7723C" w:rsidRPr="001B7F8B" w:rsidRDefault="00A7723C" w:rsidP="00A7723C"/>
    <w:p w:rsidR="00A7723C" w:rsidRPr="001B7F8B" w:rsidRDefault="00A7723C" w:rsidP="00A7723C">
      <w:pPr>
        <w:outlineLvl w:val="0"/>
        <w:rPr>
          <w:b/>
          <w:sz w:val="24"/>
          <w:szCs w:val="24"/>
        </w:rPr>
      </w:pPr>
      <w:r w:rsidRPr="001B7F8B">
        <w:rPr>
          <w:b/>
          <w:sz w:val="24"/>
          <w:szCs w:val="24"/>
        </w:rPr>
        <w:t>Twenty-Fourth Session</w:t>
      </w:r>
    </w:p>
    <w:p w:rsidR="00A7723C" w:rsidRPr="001B7F8B" w:rsidRDefault="00A7723C" w:rsidP="00A7723C">
      <w:pPr>
        <w:outlineLvl w:val="0"/>
        <w:rPr>
          <w:b/>
          <w:sz w:val="24"/>
          <w:szCs w:val="24"/>
        </w:rPr>
      </w:pPr>
      <w:r w:rsidRPr="001B7F8B">
        <w:rPr>
          <w:b/>
          <w:sz w:val="24"/>
          <w:szCs w:val="24"/>
        </w:rPr>
        <w:t>Geneva, November 18 to 22, 2019</w:t>
      </w:r>
    </w:p>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Pr>
        <w:rPr>
          <w:caps/>
          <w:sz w:val="24"/>
        </w:rPr>
      </w:pPr>
      <w:bookmarkStart w:id="3" w:name="TitleOfDoc"/>
      <w:bookmarkEnd w:id="3"/>
      <w:r w:rsidRPr="001B7F8B">
        <w:rPr>
          <w:caps/>
          <w:sz w:val="24"/>
        </w:rPr>
        <w:t>COMPLETION REPORT OF THE PROJECT ON THE USE OF INFORMATION IN THE PUBLIC DOMAIN FOR ECONOMIC DEV</w:t>
      </w:r>
      <w:r w:rsidR="0052752D">
        <w:rPr>
          <w:caps/>
          <w:sz w:val="24"/>
        </w:rPr>
        <w:t>E</w:t>
      </w:r>
      <w:r w:rsidRPr="001B7F8B">
        <w:rPr>
          <w:caps/>
          <w:sz w:val="24"/>
        </w:rPr>
        <w:t xml:space="preserve">LOPMENT </w:t>
      </w:r>
    </w:p>
    <w:p w:rsidR="00A7723C" w:rsidRPr="001B7F8B" w:rsidRDefault="00A7723C" w:rsidP="00A7723C"/>
    <w:p w:rsidR="00A7723C" w:rsidRDefault="00A7723C" w:rsidP="00A7723C">
      <w:bookmarkStart w:id="4" w:name="Prepared"/>
      <w:bookmarkEnd w:id="4"/>
      <w:r w:rsidRPr="001B7F8B">
        <w:rPr>
          <w:i/>
        </w:rPr>
        <w:t xml:space="preserve">prepared by the Secretariat </w:t>
      </w:r>
    </w:p>
    <w:p w:rsidR="00A7723C" w:rsidRDefault="00A7723C" w:rsidP="00A7723C"/>
    <w:p w:rsidR="00A7723C" w:rsidRDefault="00A7723C" w:rsidP="00A7723C"/>
    <w:p w:rsidR="00A7723C" w:rsidRDefault="00A7723C" w:rsidP="00A7723C"/>
    <w:p w:rsidR="00A7723C" w:rsidRDefault="00A7723C" w:rsidP="00A7723C"/>
    <w:p w:rsidR="00A7723C" w:rsidRDefault="00A7723C" w:rsidP="00A7723C"/>
    <w:p w:rsidR="00A7723C" w:rsidRPr="0010241A" w:rsidRDefault="00A7723C" w:rsidP="00A7723C">
      <w:pPr>
        <w:numPr>
          <w:ilvl w:val="0"/>
          <w:numId w:val="23"/>
        </w:numPr>
        <w:ind w:left="0" w:firstLine="0"/>
      </w:pPr>
      <w:r>
        <w:t xml:space="preserve">The Annex to the present document contains the completion report of the Development Agenda (DA) project on Use of Information in the Public Domain for Economic Development.  The report covers the entire period of the project implementation, i.e </w:t>
      </w:r>
      <w:r w:rsidRPr="0010241A">
        <w:t>from October 2016 to June 2019.</w:t>
      </w:r>
    </w:p>
    <w:p w:rsidR="00A7723C" w:rsidRDefault="00A7723C" w:rsidP="00A7723C"/>
    <w:p w:rsidR="00A7723C" w:rsidRDefault="00A7723C" w:rsidP="00A7723C">
      <w:pPr>
        <w:ind w:left="5670"/>
      </w:pPr>
      <w:r>
        <w:t>2.</w:t>
      </w:r>
      <w:r>
        <w:tab/>
      </w:r>
      <w:r>
        <w:rPr>
          <w:i/>
        </w:rPr>
        <w:t>The CDIP is invited to take note of the information contained in the Annex to the present document.</w:t>
      </w:r>
    </w:p>
    <w:p w:rsidR="00A7723C" w:rsidRDefault="00A7723C" w:rsidP="00A7723C">
      <w:pPr>
        <w:ind w:left="5670"/>
      </w:pPr>
    </w:p>
    <w:p w:rsidR="00A7723C" w:rsidRDefault="00A7723C" w:rsidP="00A7723C">
      <w:pPr>
        <w:ind w:left="5670"/>
      </w:pPr>
    </w:p>
    <w:p w:rsidR="00A7723C" w:rsidRDefault="00A7723C" w:rsidP="00A7723C">
      <w:pPr>
        <w:ind w:left="5670"/>
      </w:pPr>
    </w:p>
    <w:p w:rsidR="00A7723C" w:rsidRDefault="00A7723C" w:rsidP="00A7723C">
      <w:pPr>
        <w:ind w:left="5670"/>
      </w:pPr>
      <w:r>
        <w:t>[Annex follows]</w:t>
      </w:r>
    </w:p>
    <w:p w:rsidR="00CB202B" w:rsidRDefault="00CB202B"/>
    <w:p w:rsidR="00CB202B" w:rsidRDefault="00CB202B"/>
    <w:p w:rsidR="00B92770" w:rsidRDefault="00B92770">
      <w:pPr>
        <w:sectPr w:rsidR="00B92770" w:rsidSect="00C4022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2" w:right="1138" w:bottom="1411" w:left="1411" w:header="504" w:footer="1022" w:gutter="0"/>
          <w:pgNumType w:start="0"/>
          <w:cols w:space="720"/>
          <w:titlePg/>
          <w:docGrid w:linePitch="299"/>
        </w:sectPr>
      </w:pPr>
    </w:p>
    <w:p w:rsidR="002928D3" w:rsidRDefault="002928D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80BCE" w:rsidRPr="00A80BCE" w:rsidTr="00497B7D">
        <w:trPr>
          <w:trHeight w:val="432"/>
        </w:trPr>
        <w:tc>
          <w:tcPr>
            <w:tcW w:w="9288" w:type="dxa"/>
            <w:gridSpan w:val="2"/>
            <w:shd w:val="clear" w:color="auto" w:fill="auto"/>
            <w:vAlign w:val="center"/>
          </w:tcPr>
          <w:p w:rsidR="00A80BCE" w:rsidRPr="00A80BCE" w:rsidRDefault="00A80BCE" w:rsidP="00A80BCE">
            <w:pPr>
              <w:rPr>
                <w:bCs/>
                <w:iCs/>
              </w:rPr>
            </w:pPr>
            <w:r w:rsidRPr="00A80BCE">
              <w:rPr>
                <w:bCs/>
                <w:iCs/>
              </w:rPr>
              <w:br w:type="page"/>
              <w:t>PROJECT SUMMARY</w:t>
            </w:r>
          </w:p>
        </w:tc>
      </w:tr>
      <w:tr w:rsidR="00A80BCE" w:rsidRPr="00A80BCE" w:rsidTr="00497B7D">
        <w:trPr>
          <w:trHeight w:val="496"/>
        </w:trPr>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Project Code</w:t>
            </w:r>
          </w:p>
        </w:tc>
        <w:tc>
          <w:tcPr>
            <w:tcW w:w="6912" w:type="dxa"/>
            <w:shd w:val="clear" w:color="auto" w:fill="auto"/>
            <w:vAlign w:val="center"/>
          </w:tcPr>
          <w:p w:rsidR="00A80BCE" w:rsidRDefault="00A80BCE" w:rsidP="00A80BCE">
            <w:pPr>
              <w:rPr>
                <w:iCs/>
              </w:rPr>
            </w:pPr>
          </w:p>
          <w:p w:rsidR="00A80BCE" w:rsidRDefault="00A80BCE" w:rsidP="00A80BCE">
            <w:pPr>
              <w:rPr>
                <w:iCs/>
              </w:rPr>
            </w:pPr>
            <w:r w:rsidRPr="00A80BCE">
              <w:rPr>
                <w:iCs/>
              </w:rPr>
              <w:t>DA_16_20_03</w:t>
            </w:r>
          </w:p>
          <w:p w:rsidR="00A80BCE" w:rsidRPr="00A80BCE" w:rsidRDefault="00A80BCE" w:rsidP="00A80BCE">
            <w:pPr>
              <w:rPr>
                <w:i/>
              </w:rPr>
            </w:pPr>
          </w:p>
        </w:tc>
      </w:tr>
      <w:tr w:rsidR="00A80BCE" w:rsidRPr="00A80BCE" w:rsidTr="00497B7D">
        <w:trPr>
          <w:trHeight w:val="404"/>
        </w:trPr>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Title</w:t>
            </w:r>
          </w:p>
          <w:p w:rsidR="00A80BCE" w:rsidRPr="00A80BCE" w:rsidRDefault="00A80BCE" w:rsidP="00A80BCE"/>
        </w:tc>
        <w:tc>
          <w:tcPr>
            <w:tcW w:w="6912" w:type="dxa"/>
            <w:shd w:val="clear" w:color="auto" w:fill="auto"/>
            <w:vAlign w:val="center"/>
          </w:tcPr>
          <w:p w:rsidR="00A80BCE" w:rsidRPr="00A80BCE" w:rsidRDefault="00A80BCE" w:rsidP="00A80BCE">
            <w:pPr>
              <w:rPr>
                <w:i/>
              </w:rPr>
            </w:pPr>
            <w:r w:rsidRPr="00A80BCE">
              <w:t>Use of Information in the Public Domain for Economic Development</w:t>
            </w:r>
          </w:p>
        </w:tc>
      </w:tr>
      <w:tr w:rsidR="00A80BCE" w:rsidRPr="00A80BCE" w:rsidTr="00497B7D">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smartTag w:uri="urn:schemas-microsoft-com:office:smarttags" w:element="PersonName">
              <w:r w:rsidRPr="00A80BCE">
                <w:rPr>
                  <w:bCs/>
                  <w:u w:val="single"/>
                </w:rPr>
                <w:t>Development Agenda</w:t>
              </w:r>
            </w:smartTag>
            <w:r w:rsidRPr="00A80BCE">
              <w:rPr>
                <w:bCs/>
                <w:u w:val="single"/>
              </w:rPr>
              <w:t xml:space="preserve"> Recommendations</w:t>
            </w:r>
          </w:p>
          <w:p w:rsidR="00A80BCE" w:rsidRPr="00A80BCE" w:rsidRDefault="00A80BCE" w:rsidP="00A80BCE"/>
        </w:tc>
        <w:tc>
          <w:tcPr>
            <w:tcW w:w="6912" w:type="dxa"/>
            <w:shd w:val="clear" w:color="auto" w:fill="auto"/>
            <w:vAlign w:val="center"/>
          </w:tcPr>
          <w:p w:rsidR="00A80BCE" w:rsidRPr="00A80BCE" w:rsidRDefault="00A80BCE" w:rsidP="00A80BCE">
            <w:pPr>
              <w:rPr>
                <w:i/>
                <w:lang w:val="en"/>
              </w:rPr>
            </w:pPr>
          </w:p>
          <w:p w:rsidR="00A80BCE" w:rsidRPr="00A80BCE" w:rsidRDefault="00A80BCE" w:rsidP="00A80BCE">
            <w:pPr>
              <w:rPr>
                <w:lang w:val="en"/>
              </w:rPr>
            </w:pPr>
            <w:r w:rsidRPr="00A80BCE">
              <w:rPr>
                <w:i/>
                <w:lang w:val="en"/>
              </w:rPr>
              <w:t>Recommendation 16:</w:t>
            </w:r>
            <w:r w:rsidRPr="00A80BCE">
              <w:rPr>
                <w:lang w:val="en"/>
              </w:rPr>
              <w:t xml:space="preserve">  </w:t>
            </w:r>
            <w:r w:rsidRPr="00A80BCE">
              <w:t>Consider the preservation of the public domain within WIPO’s normative processes and deepen the analysis of the implications and benefits of a rich and accessible public domain.</w:t>
            </w:r>
          </w:p>
          <w:p w:rsidR="00A80BCE" w:rsidRPr="00A80BCE" w:rsidRDefault="00A80BCE" w:rsidP="00A80BCE">
            <w:pPr>
              <w:rPr>
                <w:lang w:val="en"/>
              </w:rPr>
            </w:pPr>
          </w:p>
          <w:p w:rsidR="00A80BCE" w:rsidRPr="00A80BCE" w:rsidRDefault="00A80BCE" w:rsidP="00A80BCE">
            <w:r w:rsidRPr="00A80BCE">
              <w:rPr>
                <w:i/>
                <w:lang w:val="en"/>
              </w:rPr>
              <w:t>Recommendation 20:</w:t>
            </w:r>
            <w:r w:rsidRPr="00A80BCE">
              <w:rPr>
                <w:lang w:val="en"/>
              </w:rPr>
              <w:t xml:space="preserve">  </w:t>
            </w:r>
            <w:r w:rsidRPr="00A80BCE">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A80BCE" w:rsidRPr="00A80BCE" w:rsidRDefault="00A80BCE" w:rsidP="00A80BCE"/>
        </w:tc>
      </w:tr>
      <w:tr w:rsidR="00A80BCE" w:rsidRPr="00A80BCE" w:rsidTr="00497B7D">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Project Budget</w:t>
            </w:r>
          </w:p>
          <w:p w:rsidR="00A80BCE" w:rsidRPr="00A80BCE" w:rsidRDefault="00A80BCE" w:rsidP="00A80BCE"/>
        </w:tc>
        <w:tc>
          <w:tcPr>
            <w:tcW w:w="6912" w:type="dxa"/>
            <w:shd w:val="clear" w:color="auto" w:fill="auto"/>
          </w:tcPr>
          <w:p w:rsidR="00A80BCE" w:rsidRPr="00A80BCE" w:rsidRDefault="00A80BCE" w:rsidP="00A80BCE">
            <w:pPr>
              <w:rPr>
                <w:lang w:val="it-IT"/>
              </w:rPr>
            </w:pPr>
          </w:p>
          <w:p w:rsidR="00A80BCE" w:rsidRPr="00A80BCE" w:rsidRDefault="00A80BCE" w:rsidP="00A80BCE">
            <w:pPr>
              <w:rPr>
                <w:lang w:val="it-IT"/>
              </w:rPr>
            </w:pPr>
            <w:r w:rsidRPr="00A80BCE">
              <w:rPr>
                <w:lang w:val="it-IT"/>
              </w:rPr>
              <w:t>Non-personnel costs:  300,000 Swiss francs (2016-2017) and 200,000 Swiss francs (2018-2019)*</w:t>
            </w:r>
          </w:p>
          <w:p w:rsidR="00A80BCE" w:rsidRPr="00A80BCE" w:rsidRDefault="00A80BCE" w:rsidP="00A80BCE">
            <w:pPr>
              <w:rPr>
                <w:lang w:val="it-IT"/>
              </w:rPr>
            </w:pPr>
          </w:p>
          <w:p w:rsidR="00A80BCE" w:rsidRPr="00A80BCE" w:rsidRDefault="00A80BCE" w:rsidP="00A80BCE">
            <w:pPr>
              <w:rPr>
                <w:lang w:val="it-IT"/>
              </w:rPr>
            </w:pPr>
            <w:r w:rsidRPr="00A80BCE">
              <w:rPr>
                <w:lang w:val="it-IT"/>
              </w:rPr>
              <w:t>Personnel costs:  150,000 Swiss francs (2016-2017) and 150,000 Swiss francs (2018-2019)*</w:t>
            </w:r>
          </w:p>
          <w:p w:rsidR="00A80BCE" w:rsidRPr="00A80BCE" w:rsidRDefault="00A80BCE" w:rsidP="00A80BCE">
            <w:pPr>
              <w:rPr>
                <w:lang w:val="it-IT"/>
              </w:rPr>
            </w:pPr>
          </w:p>
          <w:p w:rsidR="00A80BCE" w:rsidRPr="00A80BCE" w:rsidRDefault="00A80BCE" w:rsidP="00A80BCE">
            <w:pPr>
              <w:rPr>
                <w:lang w:val="it-IT"/>
              </w:rPr>
            </w:pPr>
            <w:r w:rsidRPr="00A80BCE">
              <w:rPr>
                <w:lang w:val="it-IT"/>
              </w:rPr>
              <w:t xml:space="preserve">*50,000 Swiss francs </w:t>
            </w:r>
            <w:r w:rsidR="00767CDC">
              <w:rPr>
                <w:lang w:val="it-IT"/>
              </w:rPr>
              <w:t xml:space="preserve">re-allocated </w:t>
            </w:r>
            <w:r w:rsidRPr="00A80BCE">
              <w:rPr>
                <w:lang w:val="it-IT"/>
              </w:rPr>
              <w:t xml:space="preserve">from Non-personnel to Personnel in 2018-2019 and six-month extension in implementation period, as approved by Member States at the </w:t>
            </w:r>
            <w:r w:rsidR="00767CDC">
              <w:rPr>
                <w:lang w:val="it-IT"/>
              </w:rPr>
              <w:t>CDIP/22</w:t>
            </w:r>
            <w:r w:rsidRPr="00A80BCE">
              <w:rPr>
                <w:iCs/>
              </w:rPr>
              <w:t>.</w:t>
            </w:r>
          </w:p>
          <w:p w:rsidR="00A80BCE" w:rsidRPr="00A80BCE" w:rsidRDefault="00A80BCE" w:rsidP="00A80BCE">
            <w:pPr>
              <w:rPr>
                <w:lang w:val="it-IT"/>
              </w:rPr>
            </w:pPr>
          </w:p>
        </w:tc>
      </w:tr>
      <w:tr w:rsidR="00A80BCE" w:rsidRPr="00A80BCE" w:rsidTr="00497B7D">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Project Duration</w:t>
            </w:r>
          </w:p>
          <w:p w:rsidR="00A80BCE" w:rsidRPr="00A80BCE" w:rsidRDefault="00A80BCE" w:rsidP="00A80BCE"/>
        </w:tc>
        <w:tc>
          <w:tcPr>
            <w:tcW w:w="6912" w:type="dxa"/>
            <w:shd w:val="clear" w:color="auto" w:fill="auto"/>
          </w:tcPr>
          <w:p w:rsidR="00A80BCE" w:rsidRPr="00A80BCE" w:rsidRDefault="00A80BCE" w:rsidP="00A80BCE"/>
          <w:p w:rsidR="00A80BCE" w:rsidRPr="00A80BCE" w:rsidRDefault="00A80BCE" w:rsidP="00A80BCE">
            <w:r w:rsidRPr="00A80BCE">
              <w:t>36 months</w:t>
            </w:r>
          </w:p>
        </w:tc>
      </w:tr>
      <w:tr w:rsidR="00A80BCE" w:rsidRPr="00A80BCE" w:rsidTr="00497B7D">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Key WIPO Sectors Involved and Links to WIPO Programs</w:t>
            </w:r>
          </w:p>
        </w:tc>
        <w:tc>
          <w:tcPr>
            <w:tcW w:w="6912" w:type="dxa"/>
            <w:shd w:val="clear" w:color="auto" w:fill="auto"/>
          </w:tcPr>
          <w:p w:rsidR="00A80BCE" w:rsidRPr="00A80BCE" w:rsidRDefault="00A80BCE" w:rsidP="00A80BCE"/>
          <w:p w:rsidR="00A80BCE" w:rsidRPr="00A80BCE" w:rsidRDefault="00A80BCE" w:rsidP="00A80BCE">
            <w:r w:rsidRPr="00A80BCE">
              <w:t>Links to Programs 1, 9, 10, 14.</w:t>
            </w:r>
          </w:p>
        </w:tc>
      </w:tr>
      <w:tr w:rsidR="00A80BCE" w:rsidRPr="00A80BCE" w:rsidTr="00497B7D">
        <w:trPr>
          <w:trHeight w:val="2664"/>
        </w:trPr>
        <w:tc>
          <w:tcPr>
            <w:tcW w:w="2376" w:type="dxa"/>
            <w:shd w:val="clear" w:color="auto" w:fill="auto"/>
          </w:tcPr>
          <w:p w:rsidR="00A80BCE" w:rsidRDefault="00A80BCE" w:rsidP="00A80BCE">
            <w:pPr>
              <w:rPr>
                <w:bCs/>
                <w:u w:val="single"/>
              </w:rPr>
            </w:pPr>
          </w:p>
          <w:p w:rsidR="00A80BCE" w:rsidRPr="00A80BCE" w:rsidRDefault="00A80BCE" w:rsidP="00A80BCE">
            <w:pPr>
              <w:rPr>
                <w:bCs/>
                <w:u w:val="single"/>
              </w:rPr>
            </w:pPr>
            <w:r w:rsidRPr="00A80BCE">
              <w:rPr>
                <w:bCs/>
                <w:u w:val="single"/>
              </w:rPr>
              <w:t>Brief Description of Project</w:t>
            </w:r>
          </w:p>
        </w:tc>
        <w:tc>
          <w:tcPr>
            <w:tcW w:w="6912" w:type="dxa"/>
            <w:shd w:val="clear" w:color="auto" w:fill="auto"/>
          </w:tcPr>
          <w:p w:rsidR="00A80BCE" w:rsidRPr="00A80BCE" w:rsidRDefault="00A80BCE" w:rsidP="00A80BCE">
            <w:pPr>
              <w:rPr>
                <w:iCs/>
              </w:rPr>
            </w:pPr>
          </w:p>
          <w:p w:rsidR="00A80BCE" w:rsidRPr="00A80BCE" w:rsidRDefault="00A80BCE" w:rsidP="00A80BCE">
            <w:pPr>
              <w:rPr>
                <w:iCs/>
              </w:rPr>
            </w:pPr>
            <w:r w:rsidRPr="00A80BCE">
              <w:rPr>
                <w:iCs/>
              </w:rPr>
              <w:t>The project built on ongoing program activities to establish and develop Technology and Innovation Support Centers (TISCs),</w:t>
            </w:r>
            <w:r w:rsidR="003556D5">
              <w:rPr>
                <w:iCs/>
              </w:rPr>
              <w:t xml:space="preserve"> </w:t>
            </w:r>
            <w:r w:rsidRPr="00A80BCE">
              <w:rPr>
                <w:iCs/>
              </w:rPr>
              <w:t xml:space="preserve"> findings from previously established studies on Intellectual Property and the Public Domain (patent component), </w:t>
            </w:r>
            <w:r w:rsidR="003556D5">
              <w:rPr>
                <w:iCs/>
              </w:rPr>
              <w:t xml:space="preserve">and </w:t>
            </w:r>
            <w:r w:rsidRPr="00A80BCE">
              <w:rPr>
                <w:iCs/>
              </w:rPr>
              <w:t xml:space="preserve">the existing legal status portal developed within the framework of the Development Agenda </w:t>
            </w:r>
            <w:r w:rsidR="003556D5">
              <w:rPr>
                <w:iCs/>
              </w:rPr>
              <w:t>P</w:t>
            </w:r>
            <w:r w:rsidRPr="00A80BCE">
              <w:rPr>
                <w:iCs/>
              </w:rPr>
              <w:t>roject on Patent Legal Status Data.</w:t>
            </w:r>
          </w:p>
          <w:p w:rsidR="00A80BCE" w:rsidRPr="00A80BCE" w:rsidRDefault="00A80BCE" w:rsidP="00A80BCE">
            <w:pPr>
              <w:rPr>
                <w:iCs/>
              </w:rPr>
            </w:pPr>
          </w:p>
          <w:p w:rsidR="00A80BCE" w:rsidRPr="001C3580" w:rsidRDefault="00A80BCE" w:rsidP="001C3580">
            <w:r w:rsidRPr="00A80BCE">
              <w:rPr>
                <w:iCs/>
              </w:rPr>
              <w:t>More specifically, the project aimed to supplement existing TISC services by adding new services and tools to those currently provided</w:t>
            </w:r>
            <w:r w:rsidRPr="00A80BCE">
              <w:rPr>
                <w:bCs/>
              </w:rPr>
              <w:t xml:space="preserve"> and which are of real-life practical benefit particularly to individual innovators and enterprises in developing and least developed countries (LDCs)</w:t>
            </w:r>
            <w:r w:rsidRPr="00A80BCE">
              <w:rPr>
                <w:iCs/>
              </w:rPr>
              <w:t xml:space="preserve">, allowing them to not only identify inventions in the public domain, but also to support inventors, researchers and entrepreneurs in using this information to generate </w:t>
            </w:r>
            <w:r w:rsidRPr="00A80BCE">
              <w:rPr>
                <w:iCs/>
              </w:rPr>
              <w:lastRenderedPageBreak/>
              <w:t>new research outputs and products</w:t>
            </w:r>
            <w:r w:rsidR="0042441C">
              <w:rPr>
                <w:iCs/>
              </w:rPr>
              <w:t>,</w:t>
            </w:r>
            <w:r w:rsidRPr="00A80BCE">
              <w:rPr>
                <w:iCs/>
              </w:rPr>
              <w:t xml:space="preserve">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w:t>
            </w:r>
          </w:p>
        </w:tc>
      </w:tr>
    </w:tbl>
    <w:p w:rsidR="00695F3E" w:rsidRDefault="00695F3E"/>
    <w:p w:rsidR="00CB202B" w:rsidRDefault="00CB202B"/>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69"/>
      </w:tblGrid>
      <w:tr w:rsidR="00A80BCE" w:rsidRPr="00944ED0" w:rsidTr="00C74687">
        <w:trPr>
          <w:trHeight w:val="484"/>
        </w:trPr>
        <w:tc>
          <w:tcPr>
            <w:tcW w:w="2376" w:type="dxa"/>
            <w:shd w:val="clear" w:color="auto" w:fill="auto"/>
          </w:tcPr>
          <w:p w:rsidR="00A80BCE" w:rsidRPr="00944ED0" w:rsidRDefault="00A80BCE" w:rsidP="00497B7D">
            <w:pPr>
              <w:pStyle w:val="Heading3"/>
            </w:pPr>
            <w:r w:rsidRPr="00944ED0">
              <w:t>Project Manager</w:t>
            </w:r>
            <w:r>
              <w:t>s</w:t>
            </w:r>
          </w:p>
        </w:tc>
        <w:tc>
          <w:tcPr>
            <w:tcW w:w="7069" w:type="dxa"/>
          </w:tcPr>
          <w:p w:rsidR="00A80BCE" w:rsidRDefault="00A80BCE" w:rsidP="00497B7D">
            <w:pPr>
              <w:rPr>
                <w:iCs/>
              </w:rPr>
            </w:pPr>
          </w:p>
          <w:p w:rsidR="00A80BCE" w:rsidRDefault="00A80BCE" w:rsidP="00497B7D">
            <w:pPr>
              <w:rPr>
                <w:iCs/>
              </w:rPr>
            </w:pPr>
            <w:r>
              <w:rPr>
                <w:iCs/>
              </w:rPr>
              <w:t xml:space="preserve">Mr. </w:t>
            </w:r>
            <w:r w:rsidRPr="004A6935">
              <w:rPr>
                <w:iCs/>
              </w:rPr>
              <w:t>Alejandro Roca Campaña and Mr. Andrew Czajkowski</w:t>
            </w:r>
          </w:p>
          <w:p w:rsidR="00A80BCE" w:rsidRPr="00944ED0" w:rsidRDefault="00A80BCE" w:rsidP="00497B7D">
            <w:pPr>
              <w:rPr>
                <w:iCs/>
              </w:rPr>
            </w:pPr>
          </w:p>
        </w:tc>
      </w:tr>
      <w:tr w:rsidR="00A80BCE" w:rsidRPr="00944ED0" w:rsidTr="00C74687">
        <w:trPr>
          <w:trHeight w:val="1165"/>
        </w:trPr>
        <w:tc>
          <w:tcPr>
            <w:tcW w:w="2376" w:type="dxa"/>
            <w:shd w:val="clear" w:color="auto" w:fill="auto"/>
          </w:tcPr>
          <w:p w:rsidR="00A80BCE" w:rsidRDefault="00A80BCE" w:rsidP="00497B7D">
            <w:pPr>
              <w:pStyle w:val="Heading3"/>
            </w:pPr>
            <w:r w:rsidRPr="00944ED0">
              <w:t>Links to Expected Result</w:t>
            </w:r>
            <w:r>
              <w:t xml:space="preserve">s in the Program and Budget </w:t>
            </w:r>
          </w:p>
          <w:p w:rsidR="00A80BCE" w:rsidRPr="00705E35" w:rsidDel="00196374" w:rsidRDefault="00A80BCE" w:rsidP="00497B7D"/>
        </w:tc>
        <w:tc>
          <w:tcPr>
            <w:tcW w:w="7069" w:type="dxa"/>
          </w:tcPr>
          <w:p w:rsidR="00A80BCE" w:rsidRDefault="00A80BCE" w:rsidP="00497B7D">
            <w:pPr>
              <w:rPr>
                <w:iCs/>
              </w:rPr>
            </w:pPr>
          </w:p>
          <w:p w:rsidR="00A80BCE" w:rsidRPr="004A6935" w:rsidRDefault="00A80BCE" w:rsidP="00497B7D">
            <w:pPr>
              <w:rPr>
                <w:iCs/>
              </w:rPr>
            </w:pPr>
            <w:r w:rsidRPr="004A6935">
              <w:rPr>
                <w:iCs/>
              </w:rPr>
              <w:t>III.2 (Program 9) Enhanced human resource capacities able to deal with the broad range of requirements for the effective use of IP for development in developing countries, LDCs and countries with economies in transition.</w:t>
            </w:r>
          </w:p>
          <w:p w:rsidR="00A80BCE" w:rsidRPr="004A6935" w:rsidRDefault="00A80BCE" w:rsidP="00497B7D">
            <w:pPr>
              <w:rPr>
                <w:iCs/>
              </w:rPr>
            </w:pPr>
          </w:p>
          <w:p w:rsidR="00A80BCE" w:rsidRPr="004A6935" w:rsidRDefault="00A80BCE" w:rsidP="00497B7D">
            <w:pPr>
              <w:rPr>
                <w:iCs/>
              </w:rPr>
            </w:pPr>
            <w:r w:rsidRPr="004A6935">
              <w:rPr>
                <w:iCs/>
              </w:rPr>
              <w:t>IV.2 (Programs 9 and 14) Enhanced access to, and use of, IP information by IP institutions and the public to promote innovation and creativity.</w:t>
            </w:r>
          </w:p>
          <w:p w:rsidR="00A80BCE" w:rsidRPr="006E759D" w:rsidDel="00196374" w:rsidRDefault="00A80BCE" w:rsidP="00497B7D">
            <w:pPr>
              <w:rPr>
                <w:b/>
                <w:iCs/>
              </w:rPr>
            </w:pPr>
          </w:p>
        </w:tc>
      </w:tr>
      <w:tr w:rsidR="00A80BCE" w:rsidRPr="00944ED0" w:rsidTr="00C74687">
        <w:trPr>
          <w:trHeight w:val="1735"/>
        </w:trPr>
        <w:tc>
          <w:tcPr>
            <w:tcW w:w="2376" w:type="dxa"/>
            <w:shd w:val="clear" w:color="auto" w:fill="auto"/>
          </w:tcPr>
          <w:p w:rsidR="00A80BCE" w:rsidRDefault="00A80BCE" w:rsidP="00497B7D">
            <w:pPr>
              <w:rPr>
                <w:bCs/>
                <w:szCs w:val="26"/>
                <w:u w:val="single"/>
              </w:rPr>
            </w:pPr>
          </w:p>
          <w:p w:rsidR="00A80BCE" w:rsidRPr="00944ED0" w:rsidRDefault="00A80BCE" w:rsidP="00497B7D">
            <w:r w:rsidRPr="008A4F6C">
              <w:rPr>
                <w:bCs/>
                <w:szCs w:val="26"/>
                <w:u w:val="single"/>
              </w:rPr>
              <w:t xml:space="preserve">Summary overview of Project implementation </w:t>
            </w:r>
          </w:p>
        </w:tc>
        <w:tc>
          <w:tcPr>
            <w:tcW w:w="7069" w:type="dxa"/>
          </w:tcPr>
          <w:p w:rsidR="00A80BCE" w:rsidRDefault="00A80BCE" w:rsidP="00497B7D">
            <w:pPr>
              <w:autoSpaceDE w:val="0"/>
              <w:autoSpaceDN w:val="0"/>
              <w:adjustRightInd w:val="0"/>
              <w:rPr>
                <w:bCs/>
                <w:iCs/>
                <w:szCs w:val="22"/>
                <w:lang w:bidi="th-TH"/>
              </w:rPr>
            </w:pPr>
          </w:p>
          <w:p w:rsidR="00A80BCE" w:rsidRDefault="00F869F0" w:rsidP="00497B7D">
            <w:pPr>
              <w:autoSpaceDE w:val="0"/>
              <w:autoSpaceDN w:val="0"/>
              <w:adjustRightInd w:val="0"/>
              <w:rPr>
                <w:bCs/>
                <w:iCs/>
                <w:szCs w:val="22"/>
                <w:lang w:bidi="th-TH"/>
              </w:rPr>
            </w:pPr>
            <w:r>
              <w:rPr>
                <w:bCs/>
                <w:iCs/>
                <w:szCs w:val="22"/>
                <w:lang w:bidi="th-TH"/>
              </w:rPr>
              <w:t>I</w:t>
            </w:r>
            <w:r w:rsidR="00327523">
              <w:rPr>
                <w:bCs/>
                <w:iCs/>
                <w:szCs w:val="22"/>
                <w:lang w:bidi="th-TH"/>
              </w:rPr>
              <w:t>mplementation</w:t>
            </w:r>
            <w:r w:rsidR="00A80BCE">
              <w:rPr>
                <w:bCs/>
                <w:iCs/>
                <w:szCs w:val="22"/>
                <w:lang w:bidi="th-TH"/>
              </w:rPr>
              <w:t xml:space="preserve"> </w:t>
            </w:r>
            <w:r w:rsidR="00327523">
              <w:rPr>
                <w:bCs/>
                <w:iCs/>
                <w:szCs w:val="22"/>
                <w:lang w:bidi="th-TH"/>
              </w:rPr>
              <w:t xml:space="preserve">started </w:t>
            </w:r>
            <w:r w:rsidR="00A80BCE">
              <w:rPr>
                <w:bCs/>
                <w:iCs/>
                <w:szCs w:val="22"/>
                <w:lang w:bidi="th-TH"/>
              </w:rPr>
              <w:t>in October 2016</w:t>
            </w:r>
            <w:r w:rsidR="00327523">
              <w:rPr>
                <w:bCs/>
                <w:iCs/>
                <w:szCs w:val="22"/>
                <w:lang w:bidi="th-TH"/>
              </w:rPr>
              <w:t xml:space="preserve"> following recruitment of a project coordinator</w:t>
            </w:r>
            <w:r w:rsidR="00A80BCE">
              <w:rPr>
                <w:bCs/>
                <w:iCs/>
                <w:szCs w:val="22"/>
                <w:lang w:bidi="th-TH"/>
              </w:rPr>
              <w:t xml:space="preserve">.  </w:t>
            </w:r>
            <w:r w:rsidR="00327523">
              <w:rPr>
                <w:bCs/>
                <w:iCs/>
                <w:szCs w:val="22"/>
                <w:lang w:bidi="th-TH"/>
              </w:rPr>
              <w:t>T</w:t>
            </w:r>
            <w:r w:rsidR="00A80BCE">
              <w:rPr>
                <w:bCs/>
                <w:iCs/>
                <w:szCs w:val="22"/>
                <w:lang w:bidi="th-TH"/>
              </w:rPr>
              <w:t xml:space="preserve">he </w:t>
            </w:r>
            <w:r w:rsidR="00300C8E">
              <w:rPr>
                <w:bCs/>
                <w:iCs/>
                <w:szCs w:val="22"/>
                <w:lang w:bidi="th-TH"/>
              </w:rPr>
              <w:t xml:space="preserve">project delivered the </w:t>
            </w:r>
            <w:r w:rsidR="00A80BCE">
              <w:rPr>
                <w:bCs/>
                <w:iCs/>
                <w:szCs w:val="22"/>
                <w:lang w:bidi="th-TH"/>
              </w:rPr>
              <w:t>following outputs:</w:t>
            </w:r>
          </w:p>
          <w:p w:rsidR="00A80BCE" w:rsidRDefault="00A80BCE" w:rsidP="00497B7D">
            <w:pPr>
              <w:autoSpaceDE w:val="0"/>
              <w:autoSpaceDN w:val="0"/>
              <w:adjustRightInd w:val="0"/>
              <w:rPr>
                <w:bCs/>
                <w:iCs/>
                <w:szCs w:val="22"/>
                <w:lang w:bidi="th-TH"/>
              </w:rPr>
            </w:pPr>
          </w:p>
          <w:p w:rsidR="00A80BCE" w:rsidRDefault="00A80BCE" w:rsidP="00497B7D">
            <w:pPr>
              <w:autoSpaceDE w:val="0"/>
              <w:autoSpaceDN w:val="0"/>
              <w:adjustRightInd w:val="0"/>
              <w:rPr>
                <w:iCs/>
                <w:szCs w:val="22"/>
              </w:rPr>
            </w:pPr>
            <w:r>
              <w:rPr>
                <w:bCs/>
                <w:iCs/>
                <w:szCs w:val="22"/>
                <w:lang w:bidi="th-TH"/>
              </w:rPr>
              <w:t xml:space="preserve">1. </w:t>
            </w:r>
            <w:r w:rsidRPr="00D75B1B">
              <w:rPr>
                <w:iCs/>
                <w:szCs w:val="22"/>
              </w:rPr>
              <w:t>Practical guides on the identification and use of inventions in</w:t>
            </w:r>
            <w:r>
              <w:rPr>
                <w:iCs/>
                <w:szCs w:val="22"/>
              </w:rPr>
              <w:t xml:space="preserve"> the public domain: </w:t>
            </w:r>
          </w:p>
          <w:p w:rsidR="00A80BCE" w:rsidRPr="00D75B1B" w:rsidRDefault="00A80BCE" w:rsidP="00497B7D">
            <w:pPr>
              <w:autoSpaceDE w:val="0"/>
              <w:autoSpaceDN w:val="0"/>
              <w:adjustRightInd w:val="0"/>
              <w:rPr>
                <w:iCs/>
                <w:szCs w:val="22"/>
              </w:rPr>
            </w:pPr>
          </w:p>
          <w:p w:rsidR="00A80BCE" w:rsidRDefault="00A80BCE" w:rsidP="00497B7D">
            <w:pPr>
              <w:rPr>
                <w:iCs/>
                <w:szCs w:val="22"/>
              </w:rPr>
            </w:pPr>
            <w:r w:rsidRPr="00D75B1B">
              <w:rPr>
                <w:iCs/>
                <w:szCs w:val="22"/>
              </w:rPr>
              <w:t xml:space="preserve">Two guides </w:t>
            </w:r>
            <w:r>
              <w:rPr>
                <w:iCs/>
                <w:szCs w:val="22"/>
              </w:rPr>
              <w:t xml:space="preserve">were </w:t>
            </w:r>
            <w:r w:rsidR="00D0351E">
              <w:rPr>
                <w:iCs/>
                <w:szCs w:val="22"/>
              </w:rPr>
              <w:t>developed</w:t>
            </w:r>
            <w:r w:rsidR="008875E1">
              <w:rPr>
                <w:iCs/>
                <w:szCs w:val="22"/>
              </w:rPr>
              <w:t xml:space="preserve"> - </w:t>
            </w:r>
            <w:r w:rsidRPr="00D75B1B">
              <w:rPr>
                <w:iCs/>
                <w:szCs w:val="22"/>
              </w:rPr>
              <w:t xml:space="preserve">one on identifying and the other on using inventions </w:t>
            </w:r>
            <w:r>
              <w:rPr>
                <w:iCs/>
                <w:szCs w:val="22"/>
              </w:rPr>
              <w:t>in the public domain</w:t>
            </w:r>
            <w:r w:rsidRPr="00D75B1B">
              <w:rPr>
                <w:iCs/>
                <w:szCs w:val="22"/>
              </w:rPr>
              <w:t xml:space="preserve">. </w:t>
            </w:r>
            <w:r>
              <w:rPr>
                <w:iCs/>
                <w:szCs w:val="22"/>
              </w:rPr>
              <w:t xml:space="preserve"> </w:t>
            </w:r>
          </w:p>
          <w:p w:rsidR="00675287" w:rsidRDefault="00675287" w:rsidP="00497B7D">
            <w:pPr>
              <w:rPr>
                <w:iCs/>
                <w:szCs w:val="22"/>
              </w:rPr>
            </w:pPr>
          </w:p>
          <w:p w:rsidR="00A80BCE" w:rsidRDefault="00A80BCE" w:rsidP="00497B7D">
            <w:pPr>
              <w:rPr>
                <w:iCs/>
                <w:szCs w:val="22"/>
              </w:rPr>
            </w:pPr>
            <w:r>
              <w:rPr>
                <w:iCs/>
                <w:szCs w:val="22"/>
              </w:rPr>
              <w:t xml:space="preserve">The </w:t>
            </w:r>
            <w:r w:rsidRPr="00D75B1B">
              <w:rPr>
                <w:iCs/>
                <w:szCs w:val="22"/>
              </w:rPr>
              <w:t>guide on identif</w:t>
            </w:r>
            <w:r>
              <w:rPr>
                <w:iCs/>
                <w:szCs w:val="22"/>
              </w:rPr>
              <w:t xml:space="preserve">ying </w:t>
            </w:r>
            <w:r w:rsidRPr="00D75B1B">
              <w:rPr>
                <w:iCs/>
                <w:szCs w:val="22"/>
              </w:rPr>
              <w:t>inventions in the public domain examine</w:t>
            </w:r>
            <w:r>
              <w:rPr>
                <w:iCs/>
                <w:szCs w:val="22"/>
              </w:rPr>
              <w:t>s</w:t>
            </w:r>
            <w:r w:rsidRPr="00D75B1B">
              <w:rPr>
                <w:iCs/>
                <w:szCs w:val="22"/>
              </w:rPr>
              <w:t xml:space="preserve"> the following topics:</w:t>
            </w:r>
          </w:p>
          <w:p w:rsidR="00A80BCE" w:rsidRDefault="00A80BCE" w:rsidP="00497B7D">
            <w:pPr>
              <w:rPr>
                <w:iCs/>
                <w:szCs w:val="22"/>
              </w:rPr>
            </w:pPr>
          </w:p>
          <w:p w:rsidR="00A80BCE" w:rsidRDefault="00A80BCE" w:rsidP="00A80BCE">
            <w:pPr>
              <w:numPr>
                <w:ilvl w:val="0"/>
                <w:numId w:val="24"/>
              </w:numPr>
              <w:rPr>
                <w:iCs/>
                <w:szCs w:val="22"/>
              </w:rPr>
            </w:pPr>
            <w:r w:rsidRPr="00941523">
              <w:rPr>
                <w:iCs/>
                <w:szCs w:val="22"/>
              </w:rPr>
              <w:t>Relationship between patents and the public domain;</w:t>
            </w:r>
          </w:p>
          <w:p w:rsidR="00A80BCE" w:rsidRDefault="00A80BCE" w:rsidP="00A80BCE">
            <w:pPr>
              <w:numPr>
                <w:ilvl w:val="0"/>
                <w:numId w:val="24"/>
              </w:numPr>
              <w:rPr>
                <w:iCs/>
                <w:szCs w:val="22"/>
              </w:rPr>
            </w:pPr>
            <w:r w:rsidRPr="00941523">
              <w:rPr>
                <w:iCs/>
                <w:szCs w:val="22"/>
              </w:rPr>
              <w:t>Identifying technology information needs;</w:t>
            </w:r>
          </w:p>
          <w:p w:rsidR="00A80BCE" w:rsidRDefault="00A80BCE" w:rsidP="00A80BCE">
            <w:pPr>
              <w:numPr>
                <w:ilvl w:val="0"/>
                <w:numId w:val="24"/>
              </w:numPr>
              <w:rPr>
                <w:iCs/>
                <w:szCs w:val="22"/>
              </w:rPr>
            </w:pPr>
            <w:r w:rsidRPr="00941523">
              <w:rPr>
                <w:iCs/>
                <w:szCs w:val="22"/>
              </w:rPr>
              <w:t>Finding sources of information required to identify inventions in the public domain, in particular patent databases and patent registers;</w:t>
            </w:r>
          </w:p>
          <w:p w:rsidR="00A80BCE" w:rsidRDefault="00A80BCE" w:rsidP="00A80BCE">
            <w:pPr>
              <w:numPr>
                <w:ilvl w:val="0"/>
                <w:numId w:val="24"/>
              </w:numPr>
              <w:rPr>
                <w:iCs/>
                <w:szCs w:val="22"/>
              </w:rPr>
            </w:pPr>
            <w:r>
              <w:rPr>
                <w:iCs/>
                <w:szCs w:val="22"/>
              </w:rPr>
              <w:t>R</w:t>
            </w:r>
            <w:r w:rsidRPr="00941523">
              <w:rPr>
                <w:iCs/>
                <w:szCs w:val="22"/>
              </w:rPr>
              <w:t>eading legal status information;</w:t>
            </w:r>
          </w:p>
          <w:p w:rsidR="00A80BCE" w:rsidRDefault="00A80BCE" w:rsidP="00A80BCE">
            <w:pPr>
              <w:numPr>
                <w:ilvl w:val="0"/>
                <w:numId w:val="24"/>
              </w:numPr>
              <w:rPr>
                <w:iCs/>
                <w:szCs w:val="22"/>
              </w:rPr>
            </w:pPr>
            <w:r w:rsidRPr="00941523">
              <w:rPr>
                <w:iCs/>
                <w:szCs w:val="22"/>
              </w:rPr>
              <w:t>Carrying out freedom to operate searches;  and</w:t>
            </w:r>
          </w:p>
          <w:p w:rsidR="00A80BCE" w:rsidRPr="00941523" w:rsidRDefault="00A80BCE" w:rsidP="00A80BCE">
            <w:pPr>
              <w:numPr>
                <w:ilvl w:val="0"/>
                <w:numId w:val="24"/>
              </w:numPr>
              <w:rPr>
                <w:iCs/>
                <w:szCs w:val="22"/>
              </w:rPr>
            </w:pPr>
            <w:r w:rsidRPr="00941523">
              <w:rPr>
                <w:iCs/>
                <w:szCs w:val="22"/>
              </w:rPr>
              <w:t>Understanding the limitations of freedom to operate searches and managing associated risks.</w:t>
            </w:r>
          </w:p>
          <w:p w:rsidR="00A80BCE" w:rsidRDefault="00A80BCE" w:rsidP="00497B7D">
            <w:pPr>
              <w:rPr>
                <w:iCs/>
                <w:szCs w:val="22"/>
              </w:rPr>
            </w:pPr>
          </w:p>
          <w:p w:rsidR="00A80BCE" w:rsidRDefault="00A80BCE" w:rsidP="00497B7D">
            <w:pPr>
              <w:rPr>
                <w:iCs/>
                <w:szCs w:val="22"/>
              </w:rPr>
            </w:pPr>
            <w:r w:rsidRPr="00D75B1B">
              <w:rPr>
                <w:iCs/>
                <w:szCs w:val="22"/>
              </w:rPr>
              <w:t xml:space="preserve">The guide on </w:t>
            </w:r>
            <w:r>
              <w:rPr>
                <w:iCs/>
                <w:szCs w:val="22"/>
              </w:rPr>
              <w:t xml:space="preserve">using </w:t>
            </w:r>
            <w:r w:rsidRPr="00D75B1B">
              <w:rPr>
                <w:iCs/>
                <w:szCs w:val="22"/>
              </w:rPr>
              <w:t>inventions in the public domain examine</w:t>
            </w:r>
            <w:r>
              <w:rPr>
                <w:iCs/>
                <w:szCs w:val="22"/>
              </w:rPr>
              <w:t>s</w:t>
            </w:r>
            <w:r w:rsidRPr="00D75B1B">
              <w:rPr>
                <w:iCs/>
                <w:szCs w:val="22"/>
              </w:rPr>
              <w:t xml:space="preserve"> the following topics:</w:t>
            </w:r>
          </w:p>
          <w:p w:rsidR="00A80BCE" w:rsidRDefault="00A80BCE" w:rsidP="00497B7D">
            <w:pPr>
              <w:rPr>
                <w:iCs/>
                <w:szCs w:val="22"/>
              </w:rPr>
            </w:pPr>
          </w:p>
          <w:p w:rsidR="00A80BCE" w:rsidRDefault="00A80BCE" w:rsidP="00A80BCE">
            <w:pPr>
              <w:numPr>
                <w:ilvl w:val="0"/>
                <w:numId w:val="24"/>
              </w:numPr>
              <w:rPr>
                <w:iCs/>
                <w:szCs w:val="22"/>
              </w:rPr>
            </w:pPr>
            <w:r w:rsidRPr="00941523">
              <w:rPr>
                <w:iCs/>
                <w:szCs w:val="22"/>
              </w:rPr>
              <w:t>Relationship between patents and the public domain;</w:t>
            </w:r>
          </w:p>
          <w:p w:rsidR="00A80BCE" w:rsidRDefault="00A80BCE" w:rsidP="00A80BCE">
            <w:pPr>
              <w:numPr>
                <w:ilvl w:val="0"/>
                <w:numId w:val="24"/>
              </w:numPr>
              <w:rPr>
                <w:iCs/>
                <w:szCs w:val="22"/>
              </w:rPr>
            </w:pPr>
            <w:r w:rsidRPr="00941523">
              <w:rPr>
                <w:iCs/>
                <w:szCs w:val="22"/>
              </w:rPr>
              <w:t>Relationship between inventions and know-how;</w:t>
            </w:r>
          </w:p>
          <w:p w:rsidR="00A80BCE" w:rsidRDefault="00A80BCE" w:rsidP="00A80BCE">
            <w:pPr>
              <w:numPr>
                <w:ilvl w:val="0"/>
                <w:numId w:val="24"/>
              </w:numPr>
              <w:rPr>
                <w:iCs/>
                <w:szCs w:val="22"/>
              </w:rPr>
            </w:pPr>
            <w:r w:rsidRPr="00941523">
              <w:rPr>
                <w:iCs/>
                <w:szCs w:val="22"/>
              </w:rPr>
              <w:t>Steps in the product development process;</w:t>
            </w:r>
          </w:p>
          <w:p w:rsidR="00A80BCE" w:rsidRDefault="00A80BCE" w:rsidP="00A80BCE">
            <w:pPr>
              <w:numPr>
                <w:ilvl w:val="0"/>
                <w:numId w:val="24"/>
              </w:numPr>
              <w:rPr>
                <w:iCs/>
                <w:szCs w:val="22"/>
              </w:rPr>
            </w:pPr>
            <w:r w:rsidRPr="00941523">
              <w:rPr>
                <w:iCs/>
                <w:szCs w:val="22"/>
              </w:rPr>
              <w:lastRenderedPageBreak/>
              <w:t>Specifying technology requirements;</w:t>
            </w:r>
          </w:p>
          <w:p w:rsidR="00A80BCE" w:rsidRDefault="00A80BCE" w:rsidP="00A80BCE">
            <w:pPr>
              <w:numPr>
                <w:ilvl w:val="0"/>
                <w:numId w:val="24"/>
              </w:numPr>
              <w:rPr>
                <w:iCs/>
                <w:szCs w:val="22"/>
              </w:rPr>
            </w:pPr>
            <w:r w:rsidRPr="00941523">
              <w:rPr>
                <w:iCs/>
                <w:szCs w:val="22"/>
              </w:rPr>
              <w:t>Identifying existing technology resources;</w:t>
            </w:r>
          </w:p>
          <w:p w:rsidR="00A80BCE" w:rsidRDefault="00A80BCE" w:rsidP="00A80BCE">
            <w:pPr>
              <w:numPr>
                <w:ilvl w:val="0"/>
                <w:numId w:val="24"/>
              </w:numPr>
              <w:rPr>
                <w:iCs/>
                <w:szCs w:val="22"/>
              </w:rPr>
            </w:pPr>
            <w:r w:rsidRPr="00941523">
              <w:rPr>
                <w:iCs/>
                <w:szCs w:val="22"/>
              </w:rPr>
              <w:t>Integrating new technologies into research and product design;</w:t>
            </w:r>
          </w:p>
          <w:p w:rsidR="00A80BCE" w:rsidRPr="00941523" w:rsidRDefault="00A80BCE" w:rsidP="00A80BCE">
            <w:pPr>
              <w:numPr>
                <w:ilvl w:val="0"/>
                <w:numId w:val="24"/>
              </w:numPr>
              <w:rPr>
                <w:iCs/>
                <w:szCs w:val="22"/>
              </w:rPr>
            </w:pPr>
            <w:r w:rsidRPr="00941523">
              <w:rPr>
                <w:iCs/>
                <w:szCs w:val="22"/>
              </w:rPr>
              <w:t>Understanding limitations of inventions in the public domain and deciding when technology licensing may be necessary.</w:t>
            </w:r>
          </w:p>
          <w:p w:rsidR="00A80BCE" w:rsidRDefault="00A80BCE" w:rsidP="00497B7D">
            <w:pPr>
              <w:rPr>
                <w:iCs/>
                <w:szCs w:val="22"/>
              </w:rPr>
            </w:pPr>
          </w:p>
          <w:p w:rsidR="00D62FA3" w:rsidRDefault="00A80BCE" w:rsidP="00497B7D">
            <w:pPr>
              <w:rPr>
                <w:bCs/>
              </w:rPr>
            </w:pPr>
            <w:r>
              <w:rPr>
                <w:iCs/>
                <w:szCs w:val="22"/>
              </w:rPr>
              <w:t xml:space="preserve">In line with the delivery strategy, two lead experts and five associate subject matter experts were selected </w:t>
            </w:r>
            <w:r>
              <w:rPr>
                <w:bCs/>
              </w:rPr>
              <w:t xml:space="preserve">to </w:t>
            </w:r>
            <w:r w:rsidRPr="008A5329">
              <w:rPr>
                <w:bCs/>
              </w:rPr>
              <w:t>draft the guides</w:t>
            </w:r>
            <w:r>
              <w:rPr>
                <w:bCs/>
              </w:rPr>
              <w:t>.  After identification of the lead experts responsible for the overall development of the guides</w:t>
            </w:r>
            <w:r w:rsidR="0024172F">
              <w:rPr>
                <w:bCs/>
              </w:rPr>
              <w:t>,</w:t>
            </w:r>
            <w:r>
              <w:rPr>
                <w:bCs/>
              </w:rPr>
              <w:t xml:space="preserve"> including associated training materials, associate experts were recruited to provide inputs on selected topics.  </w:t>
            </w:r>
          </w:p>
          <w:p w:rsidR="00D62FA3" w:rsidRDefault="00D62FA3" w:rsidP="00497B7D">
            <w:pPr>
              <w:rPr>
                <w:bCs/>
              </w:rPr>
            </w:pPr>
          </w:p>
          <w:p w:rsidR="00A80BCE" w:rsidRDefault="00A80BCE" w:rsidP="00497B7D">
            <w:pPr>
              <w:rPr>
                <w:bCs/>
              </w:rPr>
            </w:pPr>
            <w:r>
              <w:rPr>
                <w:bCs/>
              </w:rPr>
              <w:t xml:space="preserve">Efforts were made in the selection process to ensure geographical distribution (Chile, Greece, India, Kenya, and United States of America).   </w:t>
            </w:r>
          </w:p>
          <w:p w:rsidR="00A80BCE" w:rsidRDefault="00A80BCE" w:rsidP="00497B7D">
            <w:pPr>
              <w:rPr>
                <w:bCs/>
              </w:rPr>
            </w:pPr>
          </w:p>
          <w:p w:rsidR="00A80BCE" w:rsidRDefault="00A80BCE" w:rsidP="00497B7D">
            <w:pPr>
              <w:rPr>
                <w:bCs/>
              </w:rPr>
            </w:pPr>
            <w:r>
              <w:rPr>
                <w:bCs/>
              </w:rPr>
              <w:t xml:space="preserve">The first </w:t>
            </w:r>
            <w:r w:rsidRPr="004A6935">
              <w:rPr>
                <w:bCs/>
              </w:rPr>
              <w:t>draft</w:t>
            </w:r>
            <w:r w:rsidR="003D4688">
              <w:rPr>
                <w:bCs/>
              </w:rPr>
              <w:t>s</w:t>
            </w:r>
            <w:r w:rsidRPr="004A6935">
              <w:rPr>
                <w:bCs/>
              </w:rPr>
              <w:t xml:space="preserve"> were </w:t>
            </w:r>
            <w:r w:rsidR="00F869F0">
              <w:rPr>
                <w:bCs/>
              </w:rPr>
              <w:t xml:space="preserve">completed </w:t>
            </w:r>
            <w:r w:rsidR="003D4688">
              <w:rPr>
                <w:bCs/>
              </w:rPr>
              <w:t xml:space="preserve">in </w:t>
            </w:r>
            <w:r>
              <w:rPr>
                <w:bCs/>
              </w:rPr>
              <w:t xml:space="preserve">February </w:t>
            </w:r>
            <w:r w:rsidRPr="004A6935">
              <w:rPr>
                <w:bCs/>
              </w:rPr>
              <w:t xml:space="preserve">2017 and further revised and consolidated by the lead experts </w:t>
            </w:r>
            <w:r w:rsidR="00F869F0">
              <w:rPr>
                <w:bCs/>
              </w:rPr>
              <w:t xml:space="preserve">by </w:t>
            </w:r>
            <w:r w:rsidRPr="004A6935">
              <w:rPr>
                <w:bCs/>
              </w:rPr>
              <w:t xml:space="preserve">June 2017. </w:t>
            </w:r>
            <w:r>
              <w:rPr>
                <w:bCs/>
              </w:rPr>
              <w:t xml:space="preserve"> </w:t>
            </w:r>
            <w:r w:rsidR="0024172F">
              <w:rPr>
                <w:bCs/>
              </w:rPr>
              <w:t>T</w:t>
            </w:r>
            <w:r>
              <w:rPr>
                <w:bCs/>
              </w:rPr>
              <w:t xml:space="preserve">he guides include background information and practical guidance </w:t>
            </w:r>
            <w:r w:rsidR="0023373C">
              <w:rPr>
                <w:bCs/>
              </w:rPr>
              <w:t xml:space="preserve">with </w:t>
            </w:r>
            <w:r>
              <w:rPr>
                <w:bCs/>
              </w:rPr>
              <w:t xml:space="preserve">examples from different countries on the use of specific approaches and tools for identifying and using inventions in the public domain.    </w:t>
            </w:r>
          </w:p>
          <w:p w:rsidR="00A80BCE" w:rsidRDefault="00A80BCE" w:rsidP="00497B7D">
            <w:pPr>
              <w:rPr>
                <w:bCs/>
              </w:rPr>
            </w:pPr>
          </w:p>
          <w:p w:rsidR="00A80BCE" w:rsidRDefault="00A80BCE" w:rsidP="00497B7D">
            <w:pPr>
              <w:rPr>
                <w:lang w:val="en-GB"/>
              </w:rPr>
            </w:pPr>
            <w:r>
              <w:rPr>
                <w:bCs/>
              </w:rPr>
              <w:t xml:space="preserve">The </w:t>
            </w:r>
            <w:r w:rsidR="003C5807">
              <w:rPr>
                <w:bCs/>
              </w:rPr>
              <w:t xml:space="preserve">draft guides were then </w:t>
            </w:r>
            <w:r>
              <w:rPr>
                <w:bCs/>
              </w:rPr>
              <w:t>pilot</w:t>
            </w:r>
            <w:r w:rsidR="003C5807">
              <w:rPr>
                <w:bCs/>
              </w:rPr>
              <w:t xml:space="preserve">ed </w:t>
            </w:r>
            <w:r>
              <w:rPr>
                <w:bCs/>
              </w:rPr>
              <w:t xml:space="preserve">in selected TISCs to ensure they meet the needs of and are </w:t>
            </w:r>
            <w:r>
              <w:rPr>
                <w:lang w:val="en-GB"/>
              </w:rPr>
              <w:t>adapted to TISC staff in developing countries and countries in transition.  The following countries were selected to participate in the pilot</w:t>
            </w:r>
            <w:r w:rsidR="00800BFC">
              <w:rPr>
                <w:lang w:val="en-GB"/>
              </w:rPr>
              <w:t xml:space="preserve"> process </w:t>
            </w:r>
            <w:r>
              <w:rPr>
                <w:lang w:val="en-GB"/>
              </w:rPr>
              <w:t xml:space="preserve">based on considerations of </w:t>
            </w:r>
            <w:r>
              <w:rPr>
                <w:iCs/>
                <w:szCs w:val="22"/>
              </w:rPr>
              <w:t>geographical, social and economic diversity</w:t>
            </w:r>
            <w:r w:rsidR="00800BFC">
              <w:rPr>
                <w:iCs/>
                <w:szCs w:val="22"/>
              </w:rPr>
              <w:t>,</w:t>
            </w:r>
            <w:r>
              <w:rPr>
                <w:iCs/>
                <w:szCs w:val="22"/>
              </w:rPr>
              <w:t xml:space="preserve"> and their capacity to support additional services:  </w:t>
            </w:r>
            <w:r w:rsidRPr="00C835E9">
              <w:rPr>
                <w:lang w:val="en-GB"/>
              </w:rPr>
              <w:t xml:space="preserve">Kenya and South Africa (Africa region), Morocco (Arab countries), Malaysia and the Philippines (Asia and the Pacific region), </w:t>
            </w:r>
            <w:r>
              <w:rPr>
                <w:lang w:val="en-GB"/>
              </w:rPr>
              <w:t xml:space="preserve">Argentina, </w:t>
            </w:r>
            <w:r w:rsidRPr="00C835E9">
              <w:rPr>
                <w:lang w:val="en-GB"/>
              </w:rPr>
              <w:t>Colombia and Cuba (Latin America and the Caribbean region), and the Russian Federation (Transition and Developed Countries).</w:t>
            </w:r>
          </w:p>
          <w:p w:rsidR="00A80BCE" w:rsidRDefault="00A80BCE" w:rsidP="00497B7D">
            <w:pPr>
              <w:rPr>
                <w:lang w:val="en-GB"/>
              </w:rPr>
            </w:pPr>
          </w:p>
          <w:p w:rsidR="00A80BCE" w:rsidRDefault="00A80BCE" w:rsidP="00497B7D">
            <w:pPr>
              <w:rPr>
                <w:lang w:val="en-GB"/>
              </w:rPr>
            </w:pPr>
            <w:r>
              <w:rPr>
                <w:lang w:val="en-GB"/>
              </w:rPr>
              <w:t xml:space="preserve">Seven </w:t>
            </w:r>
            <w:r w:rsidR="00F807AD">
              <w:rPr>
                <w:lang w:val="en-GB"/>
              </w:rPr>
              <w:t xml:space="preserve">country </w:t>
            </w:r>
            <w:r>
              <w:rPr>
                <w:lang w:val="en-GB"/>
              </w:rPr>
              <w:t xml:space="preserve">experts were selected to lead the process in the </w:t>
            </w:r>
            <w:r w:rsidR="00F807AD">
              <w:rPr>
                <w:lang w:val="en-GB"/>
              </w:rPr>
              <w:t xml:space="preserve">pilot </w:t>
            </w:r>
            <w:r>
              <w:rPr>
                <w:lang w:val="en-GB"/>
              </w:rPr>
              <w:t xml:space="preserve">countries and tasked with documenting and </w:t>
            </w:r>
            <w:r w:rsidRPr="005C4B29">
              <w:rPr>
                <w:lang w:val="en-GB"/>
              </w:rPr>
              <w:t>evaluat</w:t>
            </w:r>
            <w:r>
              <w:rPr>
                <w:lang w:val="en-GB"/>
              </w:rPr>
              <w:t>ing</w:t>
            </w:r>
            <w:r w:rsidRPr="005C4B29">
              <w:rPr>
                <w:lang w:val="en-GB"/>
              </w:rPr>
              <w:t xml:space="preserve"> the TISCs’ experiences</w:t>
            </w:r>
            <w:r w:rsidR="00CD719E">
              <w:rPr>
                <w:lang w:val="en-GB"/>
              </w:rPr>
              <w:t xml:space="preserve"> using a </w:t>
            </w:r>
            <w:r w:rsidRPr="005C4B29">
              <w:rPr>
                <w:lang w:val="en-GB"/>
              </w:rPr>
              <w:t xml:space="preserve">methodology based on the Kirkpatrick four-level training evaluation model </w:t>
            </w:r>
            <w:r w:rsidR="00940032">
              <w:rPr>
                <w:lang w:val="en-GB"/>
              </w:rPr>
              <w:t>(</w:t>
            </w:r>
            <w:r w:rsidR="00435E6D">
              <w:rPr>
                <w:lang w:val="en-GB"/>
              </w:rPr>
              <w:t xml:space="preserve">assessing </w:t>
            </w:r>
            <w:r w:rsidRPr="005C4B29">
              <w:rPr>
                <w:lang w:val="en-GB"/>
              </w:rPr>
              <w:t>efficiency, effectiveness, relevance and impact</w:t>
            </w:r>
            <w:r w:rsidR="00940032">
              <w:rPr>
                <w:lang w:val="en-GB"/>
              </w:rPr>
              <w:t>)</w:t>
            </w:r>
            <w:r w:rsidRPr="005C4B29">
              <w:rPr>
                <w:lang w:val="en-GB"/>
              </w:rPr>
              <w:t>.</w:t>
            </w:r>
          </w:p>
          <w:p w:rsidR="00A80BCE" w:rsidRDefault="00A80BCE" w:rsidP="00497B7D">
            <w:pPr>
              <w:rPr>
                <w:lang w:val="en-GB"/>
              </w:rPr>
            </w:pPr>
          </w:p>
          <w:p w:rsidR="00A80BCE" w:rsidRDefault="00A80BCE" w:rsidP="00497B7D">
            <w:pPr>
              <w:pStyle w:val="NormalWeb"/>
              <w:spacing w:before="0" w:beforeAutospacing="0" w:after="0" w:afterAutospacing="0"/>
              <w:rPr>
                <w:rFonts w:ascii="Arial" w:hAnsi="Arial" w:cs="Arial"/>
                <w:sz w:val="22"/>
                <w:szCs w:val="20"/>
                <w:lang w:val="en-GB" w:eastAsia="en-US"/>
              </w:rPr>
            </w:pPr>
            <w:r w:rsidRPr="005C4B29">
              <w:rPr>
                <w:rFonts w:ascii="Arial" w:hAnsi="Arial" w:cs="Arial"/>
                <w:sz w:val="22"/>
                <w:szCs w:val="20"/>
                <w:lang w:val="en-GB" w:eastAsia="en-US"/>
              </w:rPr>
              <w:t xml:space="preserve">The </w:t>
            </w:r>
            <w:r w:rsidR="0015744D">
              <w:rPr>
                <w:rFonts w:ascii="Arial" w:hAnsi="Arial" w:cs="Arial"/>
                <w:sz w:val="22"/>
                <w:szCs w:val="20"/>
                <w:lang w:val="en-GB" w:eastAsia="en-US"/>
              </w:rPr>
              <w:t xml:space="preserve">six-month </w:t>
            </w:r>
            <w:r w:rsidRPr="005C4B29">
              <w:rPr>
                <w:rFonts w:ascii="Arial" w:hAnsi="Arial" w:cs="Arial"/>
                <w:sz w:val="22"/>
                <w:szCs w:val="20"/>
                <w:lang w:val="en-GB" w:eastAsia="en-US"/>
              </w:rPr>
              <w:t xml:space="preserve">pilot process </w:t>
            </w:r>
            <w:r>
              <w:rPr>
                <w:rFonts w:ascii="Arial" w:hAnsi="Arial" w:cs="Arial"/>
                <w:sz w:val="22"/>
                <w:szCs w:val="20"/>
                <w:lang w:val="en-GB" w:eastAsia="en-US"/>
              </w:rPr>
              <w:t xml:space="preserve">was initiated with a meeting of experts in Geneva on July 25 and 26, 2017, which brought together the lead experts and the country experts to develop and harmonize effective approaches to the pilot process in each of the selected countries.  The </w:t>
            </w:r>
            <w:r w:rsidR="00891B3F">
              <w:rPr>
                <w:rFonts w:ascii="Arial" w:hAnsi="Arial" w:cs="Arial"/>
                <w:sz w:val="22"/>
                <w:szCs w:val="20"/>
                <w:lang w:val="en-GB" w:eastAsia="en-US"/>
              </w:rPr>
              <w:t xml:space="preserve">pilot </w:t>
            </w:r>
            <w:r w:rsidR="002F5D98">
              <w:rPr>
                <w:rFonts w:ascii="Arial" w:hAnsi="Arial" w:cs="Arial"/>
                <w:sz w:val="22"/>
                <w:szCs w:val="20"/>
                <w:lang w:val="en-GB" w:eastAsia="en-US"/>
              </w:rPr>
              <w:t xml:space="preserve">process </w:t>
            </w:r>
            <w:r w:rsidRPr="005C4B29">
              <w:rPr>
                <w:rFonts w:ascii="Arial" w:hAnsi="Arial" w:cs="Arial"/>
                <w:sz w:val="22"/>
                <w:szCs w:val="20"/>
                <w:lang w:val="en-GB" w:eastAsia="en-US"/>
              </w:rPr>
              <w:t xml:space="preserve">resulted in a number of recommendations on how to </w:t>
            </w:r>
            <w:r w:rsidR="001B1EC6">
              <w:rPr>
                <w:rFonts w:ascii="Arial" w:hAnsi="Arial" w:cs="Arial"/>
                <w:sz w:val="22"/>
                <w:szCs w:val="20"/>
                <w:lang w:val="en-GB" w:eastAsia="en-US"/>
              </w:rPr>
              <w:t xml:space="preserve">further </w:t>
            </w:r>
            <w:r w:rsidRPr="005C4B29">
              <w:rPr>
                <w:rFonts w:ascii="Arial" w:hAnsi="Arial" w:cs="Arial"/>
                <w:sz w:val="22"/>
                <w:szCs w:val="20"/>
                <w:lang w:val="en-GB" w:eastAsia="en-US"/>
              </w:rPr>
              <w:t>re</w:t>
            </w:r>
            <w:r>
              <w:rPr>
                <w:rFonts w:ascii="Arial" w:hAnsi="Arial" w:cs="Arial"/>
                <w:sz w:val="22"/>
                <w:szCs w:val="20"/>
                <w:lang w:val="en-GB" w:eastAsia="en-US"/>
              </w:rPr>
              <w:t xml:space="preserve">fine </w:t>
            </w:r>
            <w:r w:rsidRPr="005C4B29">
              <w:rPr>
                <w:rFonts w:ascii="Arial" w:hAnsi="Arial" w:cs="Arial"/>
                <w:sz w:val="22"/>
                <w:szCs w:val="20"/>
                <w:lang w:val="en-GB" w:eastAsia="en-US"/>
              </w:rPr>
              <w:t xml:space="preserve">the </w:t>
            </w:r>
            <w:r>
              <w:rPr>
                <w:rFonts w:ascii="Arial" w:hAnsi="Arial" w:cs="Arial"/>
                <w:sz w:val="22"/>
                <w:szCs w:val="20"/>
                <w:lang w:val="en-GB" w:eastAsia="en-US"/>
              </w:rPr>
              <w:t>g</w:t>
            </w:r>
            <w:r w:rsidRPr="005C4B29">
              <w:rPr>
                <w:rFonts w:ascii="Arial" w:hAnsi="Arial" w:cs="Arial"/>
                <w:sz w:val="22"/>
                <w:szCs w:val="20"/>
                <w:lang w:val="en-GB" w:eastAsia="en-US"/>
              </w:rPr>
              <w:t>uides</w:t>
            </w:r>
            <w:r w:rsidR="00D24D32">
              <w:rPr>
                <w:rFonts w:ascii="Arial" w:hAnsi="Arial" w:cs="Arial"/>
                <w:sz w:val="22"/>
                <w:szCs w:val="20"/>
                <w:lang w:val="en-GB" w:eastAsia="en-US"/>
              </w:rPr>
              <w:t xml:space="preserve">, which </w:t>
            </w:r>
            <w:r>
              <w:rPr>
                <w:rFonts w:ascii="Arial" w:hAnsi="Arial" w:cs="Arial"/>
                <w:sz w:val="22"/>
                <w:szCs w:val="20"/>
                <w:lang w:val="en-GB" w:eastAsia="en-US"/>
              </w:rPr>
              <w:t xml:space="preserve">were </w:t>
            </w:r>
            <w:r w:rsidR="002F5D98">
              <w:rPr>
                <w:rFonts w:ascii="Arial" w:hAnsi="Arial" w:cs="Arial"/>
                <w:sz w:val="22"/>
                <w:szCs w:val="20"/>
                <w:lang w:val="en-GB" w:eastAsia="en-US"/>
              </w:rPr>
              <w:t xml:space="preserve">integrated </w:t>
            </w:r>
            <w:r w:rsidRPr="005C4B29">
              <w:rPr>
                <w:rFonts w:ascii="Arial" w:hAnsi="Arial" w:cs="Arial"/>
                <w:sz w:val="22"/>
                <w:szCs w:val="20"/>
                <w:lang w:val="en-GB" w:eastAsia="en-US"/>
              </w:rPr>
              <w:t>into revised drafts</w:t>
            </w:r>
            <w:r w:rsidR="001B1EC6">
              <w:rPr>
                <w:rFonts w:ascii="Arial" w:hAnsi="Arial" w:cs="Arial"/>
                <w:sz w:val="22"/>
                <w:szCs w:val="20"/>
                <w:lang w:val="en-GB" w:eastAsia="en-US"/>
              </w:rPr>
              <w:t xml:space="preserve"> by the lead experts</w:t>
            </w:r>
            <w:r w:rsidRPr="005C4B29">
              <w:rPr>
                <w:rFonts w:ascii="Arial" w:hAnsi="Arial" w:cs="Arial"/>
                <w:sz w:val="22"/>
                <w:szCs w:val="20"/>
                <w:lang w:val="en-GB" w:eastAsia="en-US"/>
              </w:rPr>
              <w:t>.</w:t>
            </w:r>
            <w:r>
              <w:rPr>
                <w:rFonts w:ascii="Arial" w:hAnsi="Arial" w:cs="Arial"/>
                <w:sz w:val="22"/>
                <w:szCs w:val="20"/>
                <w:lang w:val="en-GB" w:eastAsia="en-US"/>
              </w:rPr>
              <w:t xml:space="preserve">  In particular, more practical guidance</w:t>
            </w:r>
            <w:r w:rsidR="00332063">
              <w:rPr>
                <w:rFonts w:ascii="Arial" w:hAnsi="Arial" w:cs="Arial"/>
                <w:sz w:val="22"/>
                <w:szCs w:val="20"/>
                <w:lang w:val="en-GB" w:eastAsia="en-US"/>
              </w:rPr>
              <w:t>,</w:t>
            </w:r>
            <w:r>
              <w:rPr>
                <w:rFonts w:ascii="Arial" w:hAnsi="Arial" w:cs="Arial"/>
                <w:sz w:val="22"/>
                <w:szCs w:val="20"/>
                <w:lang w:val="en-GB" w:eastAsia="en-US"/>
              </w:rPr>
              <w:t xml:space="preserve"> tools </w:t>
            </w:r>
            <w:r w:rsidR="00332063">
              <w:rPr>
                <w:rFonts w:ascii="Arial" w:hAnsi="Arial" w:cs="Arial"/>
                <w:sz w:val="22"/>
                <w:szCs w:val="20"/>
                <w:lang w:val="en-GB" w:eastAsia="en-US"/>
              </w:rPr>
              <w:t xml:space="preserve">and examples </w:t>
            </w:r>
            <w:r>
              <w:rPr>
                <w:rFonts w:ascii="Arial" w:hAnsi="Arial" w:cs="Arial"/>
                <w:sz w:val="22"/>
                <w:szCs w:val="20"/>
                <w:lang w:val="en-GB" w:eastAsia="en-US"/>
              </w:rPr>
              <w:t xml:space="preserve">were </w:t>
            </w:r>
            <w:r w:rsidR="00332063">
              <w:rPr>
                <w:rFonts w:ascii="Arial" w:hAnsi="Arial" w:cs="Arial"/>
                <w:sz w:val="22"/>
                <w:szCs w:val="20"/>
                <w:lang w:val="en-GB" w:eastAsia="en-US"/>
              </w:rPr>
              <w:t>included</w:t>
            </w:r>
            <w:r>
              <w:rPr>
                <w:rFonts w:ascii="Arial" w:hAnsi="Arial" w:cs="Arial"/>
                <w:sz w:val="22"/>
                <w:szCs w:val="20"/>
                <w:lang w:val="en-GB" w:eastAsia="en-US"/>
              </w:rPr>
              <w:t xml:space="preserve"> to </w:t>
            </w:r>
            <w:r w:rsidR="00332063">
              <w:rPr>
                <w:rFonts w:ascii="Arial" w:hAnsi="Arial" w:cs="Arial"/>
                <w:sz w:val="22"/>
                <w:szCs w:val="20"/>
                <w:lang w:val="en-GB" w:eastAsia="en-US"/>
              </w:rPr>
              <w:t xml:space="preserve">help </w:t>
            </w:r>
            <w:r>
              <w:rPr>
                <w:rFonts w:ascii="Arial" w:hAnsi="Arial" w:cs="Arial"/>
                <w:sz w:val="22"/>
                <w:szCs w:val="20"/>
                <w:lang w:val="en-GB" w:eastAsia="en-US"/>
              </w:rPr>
              <w:t xml:space="preserve">illustrate selected topics.  </w:t>
            </w:r>
          </w:p>
          <w:p w:rsidR="00A80BCE" w:rsidRDefault="00A80BCE" w:rsidP="00497B7D">
            <w:pPr>
              <w:pStyle w:val="NormalWeb"/>
              <w:spacing w:before="0" w:beforeAutospacing="0" w:after="0" w:afterAutospacing="0"/>
              <w:rPr>
                <w:rFonts w:ascii="Arial" w:hAnsi="Arial" w:cs="Arial"/>
                <w:sz w:val="22"/>
                <w:szCs w:val="20"/>
                <w:lang w:val="en-GB" w:eastAsia="en-US"/>
              </w:rPr>
            </w:pPr>
          </w:p>
          <w:p w:rsidR="00A80BCE" w:rsidRPr="00F23BCE" w:rsidRDefault="00A80BCE" w:rsidP="00497B7D">
            <w:pPr>
              <w:pStyle w:val="NormalWeb"/>
              <w:spacing w:before="0" w:beforeAutospacing="0" w:after="0" w:afterAutospacing="0"/>
              <w:rPr>
                <w:iCs/>
                <w:lang w:val="en-US"/>
              </w:rPr>
            </w:pPr>
            <w:r w:rsidRPr="00BC41FA">
              <w:rPr>
                <w:rFonts w:ascii="Arial" w:hAnsi="Arial" w:cs="Arial"/>
                <w:sz w:val="22"/>
                <w:szCs w:val="20"/>
                <w:lang w:val="en-GB" w:eastAsia="en-US"/>
              </w:rPr>
              <w:t>The final draft</w:t>
            </w:r>
            <w:r w:rsidR="00771884">
              <w:rPr>
                <w:rFonts w:ascii="Arial" w:hAnsi="Arial" w:cs="Arial"/>
                <w:sz w:val="22"/>
                <w:szCs w:val="20"/>
                <w:lang w:val="en-GB" w:eastAsia="en-US"/>
              </w:rPr>
              <w:t>s</w:t>
            </w:r>
            <w:r w:rsidRPr="00BC41FA">
              <w:rPr>
                <w:rFonts w:ascii="Arial" w:hAnsi="Arial" w:cs="Arial"/>
                <w:sz w:val="22"/>
                <w:szCs w:val="20"/>
                <w:lang w:val="en-GB" w:eastAsia="en-US"/>
              </w:rPr>
              <w:t xml:space="preserve"> </w:t>
            </w:r>
            <w:r w:rsidR="00771884">
              <w:rPr>
                <w:rFonts w:ascii="Arial" w:hAnsi="Arial" w:cs="Arial"/>
                <w:sz w:val="22"/>
                <w:szCs w:val="20"/>
                <w:lang w:val="en-GB" w:eastAsia="en-US"/>
              </w:rPr>
              <w:t xml:space="preserve">were </w:t>
            </w:r>
            <w:r>
              <w:rPr>
                <w:rFonts w:ascii="Arial" w:hAnsi="Arial" w:cs="Arial"/>
                <w:sz w:val="22"/>
                <w:szCs w:val="20"/>
                <w:lang w:val="en-GB" w:eastAsia="en-US"/>
              </w:rPr>
              <w:t xml:space="preserve">completed </w:t>
            </w:r>
            <w:r w:rsidR="00771884">
              <w:rPr>
                <w:rFonts w:ascii="Arial" w:hAnsi="Arial" w:cs="Arial"/>
                <w:sz w:val="22"/>
                <w:szCs w:val="20"/>
                <w:lang w:val="en-GB" w:eastAsia="en-US"/>
              </w:rPr>
              <w:t xml:space="preserve">between </w:t>
            </w:r>
            <w:r>
              <w:rPr>
                <w:rFonts w:ascii="Arial" w:hAnsi="Arial" w:cs="Arial"/>
                <w:sz w:val="22"/>
                <w:szCs w:val="20"/>
                <w:lang w:val="en-GB" w:eastAsia="en-US"/>
              </w:rPr>
              <w:t xml:space="preserve">June </w:t>
            </w:r>
            <w:r w:rsidR="00771884">
              <w:rPr>
                <w:rFonts w:ascii="Arial" w:hAnsi="Arial" w:cs="Arial"/>
                <w:sz w:val="22"/>
                <w:szCs w:val="20"/>
                <w:lang w:val="en-GB" w:eastAsia="en-US"/>
              </w:rPr>
              <w:t>(</w:t>
            </w:r>
            <w:r w:rsidR="00C85E00">
              <w:rPr>
                <w:rFonts w:ascii="Arial" w:hAnsi="Arial" w:cs="Arial"/>
                <w:sz w:val="22"/>
                <w:szCs w:val="20"/>
                <w:lang w:val="en-GB" w:eastAsia="en-US"/>
              </w:rPr>
              <w:t>g</w:t>
            </w:r>
            <w:r w:rsidR="00771884">
              <w:rPr>
                <w:rFonts w:ascii="Arial" w:hAnsi="Arial" w:cs="Arial"/>
                <w:sz w:val="22"/>
                <w:szCs w:val="20"/>
                <w:lang w:val="en-GB" w:eastAsia="en-US"/>
              </w:rPr>
              <w:t xml:space="preserve">uide 1) and </w:t>
            </w:r>
            <w:r>
              <w:rPr>
                <w:rFonts w:ascii="Arial" w:hAnsi="Arial" w:cs="Arial"/>
                <w:sz w:val="22"/>
                <w:szCs w:val="20"/>
                <w:lang w:val="en-GB" w:eastAsia="en-US"/>
              </w:rPr>
              <w:t>October 2018</w:t>
            </w:r>
            <w:r w:rsidR="00771884">
              <w:rPr>
                <w:rFonts w:ascii="Arial" w:hAnsi="Arial" w:cs="Arial"/>
                <w:sz w:val="22"/>
                <w:szCs w:val="20"/>
                <w:lang w:val="en-GB" w:eastAsia="en-US"/>
              </w:rPr>
              <w:t xml:space="preserve"> (</w:t>
            </w:r>
            <w:r w:rsidR="00C85E00">
              <w:rPr>
                <w:rFonts w:ascii="Arial" w:hAnsi="Arial" w:cs="Arial"/>
                <w:sz w:val="22"/>
                <w:szCs w:val="20"/>
                <w:lang w:val="en-GB" w:eastAsia="en-US"/>
              </w:rPr>
              <w:t>g</w:t>
            </w:r>
            <w:r w:rsidR="00771884">
              <w:rPr>
                <w:rFonts w:ascii="Arial" w:hAnsi="Arial" w:cs="Arial"/>
                <w:sz w:val="22"/>
                <w:szCs w:val="20"/>
                <w:lang w:val="en-GB" w:eastAsia="en-US"/>
              </w:rPr>
              <w:t>uide 2)</w:t>
            </w:r>
            <w:r w:rsidRPr="00BC41FA">
              <w:rPr>
                <w:rFonts w:ascii="Arial" w:hAnsi="Arial" w:cs="Arial"/>
                <w:sz w:val="22"/>
                <w:szCs w:val="20"/>
                <w:lang w:val="en-GB" w:eastAsia="en-US"/>
              </w:rPr>
              <w:t xml:space="preserve">. </w:t>
            </w:r>
            <w:r>
              <w:rPr>
                <w:rFonts w:ascii="Arial" w:hAnsi="Arial" w:cs="Arial"/>
                <w:sz w:val="22"/>
                <w:szCs w:val="20"/>
                <w:lang w:val="en-GB" w:eastAsia="en-US"/>
              </w:rPr>
              <w:t xml:space="preserve"> In line with WIPO</w:t>
            </w:r>
            <w:r w:rsidR="00CC71ED">
              <w:rPr>
                <w:rFonts w:ascii="Arial" w:hAnsi="Arial" w:cs="Arial"/>
                <w:sz w:val="22"/>
                <w:szCs w:val="20"/>
                <w:lang w:val="en-GB" w:eastAsia="en-US"/>
              </w:rPr>
              <w:t>’s</w:t>
            </w:r>
            <w:r>
              <w:rPr>
                <w:rFonts w:ascii="Arial" w:hAnsi="Arial" w:cs="Arial"/>
                <w:sz w:val="22"/>
                <w:szCs w:val="20"/>
                <w:lang w:val="en-GB" w:eastAsia="en-US"/>
              </w:rPr>
              <w:t xml:space="preserve"> Publications Policy applicable to new publications, </w:t>
            </w:r>
            <w:r w:rsidR="00497EF1">
              <w:rPr>
                <w:rFonts w:ascii="Arial" w:hAnsi="Arial" w:cs="Arial"/>
                <w:sz w:val="22"/>
                <w:szCs w:val="20"/>
                <w:lang w:val="en-GB" w:eastAsia="en-US"/>
              </w:rPr>
              <w:t xml:space="preserve">internal approval was sought </w:t>
            </w:r>
            <w:r>
              <w:rPr>
                <w:rFonts w:ascii="Arial" w:hAnsi="Arial" w:cs="Arial"/>
                <w:sz w:val="22"/>
                <w:szCs w:val="20"/>
                <w:lang w:val="en-GB" w:eastAsia="en-US"/>
              </w:rPr>
              <w:t>for issuing the guides as WIPO publications with professional editorial and design input to maximize their uptake and impact.  In compliance with the policy, the final drafts were peer review</w:t>
            </w:r>
            <w:r w:rsidR="00497EF1">
              <w:rPr>
                <w:rFonts w:ascii="Arial" w:hAnsi="Arial" w:cs="Arial"/>
                <w:sz w:val="22"/>
                <w:szCs w:val="20"/>
                <w:lang w:val="en-GB" w:eastAsia="en-US"/>
              </w:rPr>
              <w:t>ed</w:t>
            </w:r>
            <w:r>
              <w:rPr>
                <w:rFonts w:ascii="Arial" w:hAnsi="Arial" w:cs="Arial"/>
                <w:sz w:val="22"/>
                <w:szCs w:val="20"/>
                <w:lang w:val="en-GB" w:eastAsia="en-US"/>
              </w:rPr>
              <w:t xml:space="preserve"> by internal and external experts and </w:t>
            </w:r>
            <w:r>
              <w:rPr>
                <w:rFonts w:ascii="Arial" w:hAnsi="Arial" w:cs="Arial"/>
                <w:sz w:val="22"/>
                <w:szCs w:val="20"/>
                <w:lang w:val="en-GB" w:eastAsia="en-US"/>
              </w:rPr>
              <w:lastRenderedPageBreak/>
              <w:t xml:space="preserve">further fine-tuned by the lead experts to integrate the recommendations from the peer reviewers.  The final versions were submitted for professional editing and design, a process overseen by the WIPO Publications and Design Section.  The professional editing of the first guide was completed in June 2019, and the professional editing of the second guide is estimated to be completed in July 2019.  </w:t>
            </w:r>
            <w:r w:rsidRPr="00F23BCE">
              <w:rPr>
                <w:rFonts w:ascii="Arial" w:hAnsi="Arial" w:cs="Arial"/>
                <w:sz w:val="22"/>
                <w:szCs w:val="20"/>
                <w:lang w:val="en-GB" w:eastAsia="en-US"/>
              </w:rPr>
              <w:t>Translation</w:t>
            </w:r>
            <w:r>
              <w:rPr>
                <w:rFonts w:ascii="Arial" w:hAnsi="Arial" w:cs="Arial"/>
                <w:sz w:val="22"/>
                <w:szCs w:val="20"/>
                <w:lang w:val="en-GB" w:eastAsia="en-US"/>
              </w:rPr>
              <w:t xml:space="preserve"> of the guides</w:t>
            </w:r>
            <w:r w:rsidRPr="00F23BCE">
              <w:rPr>
                <w:rFonts w:ascii="Arial" w:hAnsi="Arial" w:cs="Arial"/>
                <w:sz w:val="22"/>
                <w:szCs w:val="20"/>
                <w:lang w:val="en-GB" w:eastAsia="en-US"/>
              </w:rPr>
              <w:t xml:space="preserve"> will be the final step in the process.</w:t>
            </w:r>
            <w:r w:rsidRPr="00F23BCE">
              <w:rPr>
                <w:iCs/>
                <w:lang w:val="en-US"/>
              </w:rPr>
              <w:t xml:space="preserve">  </w:t>
            </w:r>
          </w:p>
          <w:p w:rsidR="00D62FA3" w:rsidRDefault="00D62FA3" w:rsidP="00497B7D">
            <w:pPr>
              <w:autoSpaceDE w:val="0"/>
              <w:autoSpaceDN w:val="0"/>
              <w:adjustRightInd w:val="0"/>
              <w:rPr>
                <w:bCs/>
                <w:iCs/>
                <w:szCs w:val="22"/>
                <w:lang w:bidi="th-TH"/>
              </w:rPr>
            </w:pPr>
          </w:p>
          <w:p w:rsidR="00A80BCE" w:rsidRPr="00BB10DD" w:rsidRDefault="00A80BCE" w:rsidP="00497B7D">
            <w:pPr>
              <w:autoSpaceDE w:val="0"/>
              <w:autoSpaceDN w:val="0"/>
              <w:adjustRightInd w:val="0"/>
              <w:rPr>
                <w:iCs/>
                <w:szCs w:val="22"/>
              </w:rPr>
            </w:pPr>
            <w:r>
              <w:rPr>
                <w:bCs/>
                <w:iCs/>
                <w:szCs w:val="22"/>
                <w:lang w:bidi="th-TH"/>
              </w:rPr>
              <w:t xml:space="preserve">2. </w:t>
            </w:r>
            <w:r w:rsidRPr="00BB10DD">
              <w:rPr>
                <w:iCs/>
                <w:lang w:val="en-GB"/>
              </w:rPr>
              <w:t>New and enhanced training materials for TISCs based on the guides</w:t>
            </w:r>
            <w:r>
              <w:rPr>
                <w:iCs/>
                <w:lang w:val="en-GB"/>
              </w:rPr>
              <w:t>, and creation of a network of experts:</w:t>
            </w:r>
          </w:p>
          <w:p w:rsidR="00A80BCE" w:rsidRDefault="00A80BCE" w:rsidP="00497B7D">
            <w:pPr>
              <w:pStyle w:val="NormalWeb"/>
              <w:spacing w:before="0" w:beforeAutospacing="0" w:after="0" w:afterAutospacing="0"/>
              <w:rPr>
                <w:rFonts w:ascii="Arial" w:hAnsi="Arial" w:cs="Arial"/>
                <w:sz w:val="22"/>
                <w:szCs w:val="20"/>
                <w:lang w:val="en-US" w:eastAsia="en-US"/>
              </w:rPr>
            </w:pPr>
          </w:p>
          <w:p w:rsidR="00A80BCE" w:rsidRDefault="009644F3" w:rsidP="00497B7D">
            <w:pPr>
              <w:rPr>
                <w:iCs/>
                <w:lang w:val="en-GB"/>
              </w:rPr>
            </w:pPr>
            <w:r>
              <w:rPr>
                <w:iCs/>
                <w:lang w:val="en-GB"/>
              </w:rPr>
              <w:t>T</w:t>
            </w:r>
            <w:r w:rsidR="00A80BCE">
              <w:rPr>
                <w:iCs/>
                <w:lang w:val="en-GB"/>
              </w:rPr>
              <w:t xml:space="preserve">raining </w:t>
            </w:r>
            <w:r>
              <w:rPr>
                <w:iCs/>
                <w:lang w:val="en-GB"/>
              </w:rPr>
              <w:t xml:space="preserve">of </w:t>
            </w:r>
            <w:r w:rsidR="00A80BCE">
              <w:rPr>
                <w:iCs/>
                <w:lang w:val="en-GB"/>
              </w:rPr>
              <w:t>selected TISC</w:t>
            </w:r>
            <w:r>
              <w:rPr>
                <w:iCs/>
                <w:lang w:val="en-GB"/>
              </w:rPr>
              <w:t>s</w:t>
            </w:r>
            <w:r w:rsidR="00A80BCE">
              <w:rPr>
                <w:iCs/>
                <w:lang w:val="en-GB"/>
              </w:rPr>
              <w:t xml:space="preserve"> on the guides </w:t>
            </w:r>
            <w:r w:rsidR="00A40F56">
              <w:rPr>
                <w:iCs/>
                <w:lang w:val="en-GB"/>
              </w:rPr>
              <w:t xml:space="preserve">started </w:t>
            </w:r>
            <w:r w:rsidR="00A80BCE">
              <w:rPr>
                <w:iCs/>
                <w:lang w:val="en-GB"/>
              </w:rPr>
              <w:t>in the last quarter of 2018, using the training materials developed by the lead experts.  Nine workshops were organized between November 2018 and June 2019 focusing initially on the pilot countries – Argentina, Colombia, Kenya, Malaysia, Morocco, the Philippines, the Russian Federation, and South Africa –, in addition to India.  The workshops provided an opportunity to test and further fine-tune the training materials.  Wherever possible, the lead experts provided the training on the guides with the support of the associate and country experts, with the objective to create a network of experts who would be able to continue providing support to TISC</w:t>
            </w:r>
            <w:r w:rsidR="00257BB5">
              <w:rPr>
                <w:iCs/>
                <w:lang w:val="en-GB"/>
              </w:rPr>
              <w:t>s</w:t>
            </w:r>
            <w:r w:rsidR="00A80BCE">
              <w:rPr>
                <w:iCs/>
                <w:lang w:val="en-GB"/>
              </w:rPr>
              <w:t xml:space="preserve"> in using the guides after the project has ended.  Evaluation forms were collected at the end of </w:t>
            </w:r>
            <w:r w:rsidR="00B974A6">
              <w:rPr>
                <w:iCs/>
                <w:lang w:val="en-GB"/>
              </w:rPr>
              <w:t xml:space="preserve">the </w:t>
            </w:r>
            <w:r w:rsidR="00A80BCE">
              <w:rPr>
                <w:iCs/>
                <w:lang w:val="en-GB"/>
              </w:rPr>
              <w:t>workshop</w:t>
            </w:r>
            <w:r w:rsidR="00B974A6">
              <w:rPr>
                <w:iCs/>
                <w:lang w:val="en-GB"/>
              </w:rPr>
              <w:t>s</w:t>
            </w:r>
            <w:r w:rsidR="00A80BCE">
              <w:rPr>
                <w:iCs/>
                <w:lang w:val="en-GB"/>
              </w:rPr>
              <w:t xml:space="preserve">, and the training materials were </w:t>
            </w:r>
            <w:r w:rsidR="00B974A6">
              <w:rPr>
                <w:iCs/>
                <w:lang w:val="en-GB"/>
              </w:rPr>
              <w:t xml:space="preserve">further </w:t>
            </w:r>
            <w:r w:rsidR="00A80BCE">
              <w:rPr>
                <w:iCs/>
                <w:lang w:val="en-GB"/>
              </w:rPr>
              <w:t xml:space="preserve">adapted </w:t>
            </w:r>
            <w:r w:rsidR="00B974A6">
              <w:rPr>
                <w:iCs/>
                <w:lang w:val="en-GB"/>
              </w:rPr>
              <w:t xml:space="preserve">in light of </w:t>
            </w:r>
            <w:r w:rsidR="00A80BCE">
              <w:rPr>
                <w:iCs/>
                <w:lang w:val="en-GB"/>
              </w:rPr>
              <w:t>th</w:t>
            </w:r>
            <w:r w:rsidR="0052094B">
              <w:rPr>
                <w:iCs/>
                <w:lang w:val="en-GB"/>
              </w:rPr>
              <w:t>e</w:t>
            </w:r>
            <w:r w:rsidR="0013476C">
              <w:rPr>
                <w:iCs/>
                <w:lang w:val="en-GB"/>
              </w:rPr>
              <w:t xml:space="preserve"> </w:t>
            </w:r>
            <w:r w:rsidR="00A80BCE">
              <w:rPr>
                <w:iCs/>
                <w:lang w:val="en-GB"/>
              </w:rPr>
              <w:t>feedback</w:t>
            </w:r>
            <w:r w:rsidR="0052094B">
              <w:rPr>
                <w:iCs/>
                <w:lang w:val="en-GB"/>
              </w:rPr>
              <w:t xml:space="preserve"> received</w:t>
            </w:r>
            <w:r w:rsidR="00A80BCE">
              <w:rPr>
                <w:iCs/>
                <w:lang w:val="en-GB"/>
              </w:rPr>
              <w:t>.</w:t>
            </w:r>
          </w:p>
          <w:p w:rsidR="00A80BCE" w:rsidRDefault="00A80BCE" w:rsidP="00497B7D">
            <w:pPr>
              <w:rPr>
                <w:iCs/>
                <w:lang w:val="en-GB"/>
              </w:rPr>
            </w:pPr>
          </w:p>
          <w:p w:rsidR="00A80BCE" w:rsidRDefault="00A80BCE" w:rsidP="00497B7D">
            <w:pPr>
              <w:rPr>
                <w:iCs/>
                <w:lang w:val="en-GB"/>
              </w:rPr>
            </w:pPr>
            <w:r>
              <w:rPr>
                <w:iCs/>
                <w:lang w:val="en-GB"/>
              </w:rPr>
              <w:t xml:space="preserve">3. Improved legal status portal with a more user-friendly interface and expanded content: </w:t>
            </w:r>
          </w:p>
          <w:p w:rsidR="00A80BCE" w:rsidRDefault="00A80BCE" w:rsidP="00497B7D">
            <w:pPr>
              <w:rPr>
                <w:iCs/>
                <w:lang w:val="en-GB"/>
              </w:rPr>
            </w:pPr>
          </w:p>
          <w:p w:rsidR="00A80BCE" w:rsidRDefault="00F06B01" w:rsidP="00497B7D">
            <w:pPr>
              <w:rPr>
                <w:bCs/>
                <w:iCs/>
                <w:szCs w:val="22"/>
                <w:lang w:bidi="th-TH"/>
              </w:rPr>
            </w:pPr>
            <w:r>
              <w:rPr>
                <w:bCs/>
                <w:iCs/>
                <w:szCs w:val="22"/>
                <w:lang w:bidi="th-TH"/>
              </w:rPr>
              <w:t>T</w:t>
            </w:r>
            <w:r w:rsidR="00A80BCE">
              <w:rPr>
                <w:bCs/>
                <w:iCs/>
                <w:szCs w:val="22"/>
                <w:lang w:bidi="th-TH"/>
              </w:rPr>
              <w:t xml:space="preserve">o identify the main needs of the patent information user community as the main users of the legal status portal – hereinafter referred to as “the Portal” –, a communication expert was </w:t>
            </w:r>
            <w:r>
              <w:rPr>
                <w:bCs/>
                <w:iCs/>
                <w:szCs w:val="22"/>
                <w:lang w:bidi="th-TH"/>
              </w:rPr>
              <w:t xml:space="preserve">recruited </w:t>
            </w:r>
            <w:r w:rsidR="00A80BCE">
              <w:rPr>
                <w:bCs/>
                <w:iCs/>
                <w:szCs w:val="22"/>
                <w:lang w:bidi="th-TH"/>
              </w:rPr>
              <w:t>to carry out a detailed needs and gap analysis</w:t>
            </w:r>
            <w:r w:rsidR="00AF2011">
              <w:rPr>
                <w:bCs/>
                <w:iCs/>
                <w:szCs w:val="22"/>
                <w:lang w:bidi="th-TH"/>
              </w:rPr>
              <w:t xml:space="preserve">, including </w:t>
            </w:r>
            <w:r w:rsidR="00A80BCE">
              <w:rPr>
                <w:bCs/>
                <w:iCs/>
                <w:szCs w:val="22"/>
                <w:lang w:bidi="th-TH"/>
              </w:rPr>
              <w:t>collecti</w:t>
            </w:r>
            <w:r w:rsidR="00DE56FC">
              <w:rPr>
                <w:bCs/>
                <w:iCs/>
                <w:szCs w:val="22"/>
                <w:lang w:bidi="th-TH"/>
              </w:rPr>
              <w:t xml:space="preserve">ng </w:t>
            </w:r>
            <w:r w:rsidR="00A80BCE">
              <w:rPr>
                <w:bCs/>
                <w:iCs/>
                <w:szCs w:val="22"/>
                <w:lang w:bidi="th-TH"/>
              </w:rPr>
              <w:t xml:space="preserve">feedback from users of the Portal through a survey and </w:t>
            </w:r>
            <w:r w:rsidR="009808B7">
              <w:rPr>
                <w:bCs/>
                <w:iCs/>
                <w:szCs w:val="22"/>
                <w:lang w:bidi="th-TH"/>
              </w:rPr>
              <w:t xml:space="preserve">targeted </w:t>
            </w:r>
            <w:r w:rsidR="00A80BCE">
              <w:rPr>
                <w:bCs/>
                <w:iCs/>
                <w:szCs w:val="22"/>
                <w:lang w:bidi="th-TH"/>
              </w:rPr>
              <w:t>interviews.  The contractor reviewed over 200 responses from 20 countries,</w:t>
            </w:r>
            <w:r w:rsidR="00DE56FC">
              <w:rPr>
                <w:bCs/>
                <w:iCs/>
                <w:szCs w:val="22"/>
                <w:lang w:bidi="th-TH"/>
              </w:rPr>
              <w:t xml:space="preserve"> and made a </w:t>
            </w:r>
            <w:r w:rsidR="00A80BCE">
              <w:rPr>
                <w:bCs/>
                <w:iCs/>
                <w:szCs w:val="22"/>
                <w:lang w:bidi="th-TH"/>
              </w:rPr>
              <w:t>number of recommendations on how to improve the Portal</w:t>
            </w:r>
            <w:r w:rsidR="00DE56FC">
              <w:rPr>
                <w:bCs/>
                <w:iCs/>
                <w:szCs w:val="22"/>
                <w:lang w:bidi="th-TH"/>
              </w:rPr>
              <w:t xml:space="preserve"> on this basis</w:t>
            </w:r>
            <w:r w:rsidR="00A80BCE">
              <w:rPr>
                <w:bCs/>
                <w:iCs/>
                <w:szCs w:val="22"/>
                <w:lang w:bidi="th-TH"/>
              </w:rPr>
              <w:t>.  In parallel, procedures to recruit a contractor to develop the</w:t>
            </w:r>
            <w:r w:rsidR="00542192">
              <w:rPr>
                <w:bCs/>
                <w:iCs/>
                <w:szCs w:val="22"/>
                <w:lang w:bidi="th-TH"/>
              </w:rPr>
              <w:t xml:space="preserve"> new interface </w:t>
            </w:r>
            <w:r w:rsidR="00A80BCE">
              <w:rPr>
                <w:bCs/>
                <w:iCs/>
                <w:szCs w:val="22"/>
                <w:lang w:bidi="th-TH"/>
              </w:rPr>
              <w:t xml:space="preserve">were finalized in September 2016.    </w:t>
            </w:r>
          </w:p>
          <w:p w:rsidR="00A80BCE" w:rsidRDefault="00A80BCE" w:rsidP="00497B7D">
            <w:pPr>
              <w:rPr>
                <w:bCs/>
                <w:iCs/>
                <w:szCs w:val="22"/>
                <w:lang w:bidi="th-TH"/>
              </w:rPr>
            </w:pPr>
          </w:p>
          <w:p w:rsidR="00A80BCE" w:rsidRDefault="00622ACE" w:rsidP="00497B7D">
            <w:pPr>
              <w:rPr>
                <w:bCs/>
              </w:rPr>
            </w:pPr>
            <w:r>
              <w:rPr>
                <w:bCs/>
              </w:rPr>
              <w:t>T</w:t>
            </w:r>
            <w:r w:rsidR="00A80BCE" w:rsidRPr="004A6935">
              <w:rPr>
                <w:bCs/>
              </w:rPr>
              <w:t>aking into account the need to develop a more user-friendly</w:t>
            </w:r>
            <w:r w:rsidR="00A80BCE">
              <w:rPr>
                <w:bCs/>
              </w:rPr>
              <w:t xml:space="preserve"> interface</w:t>
            </w:r>
            <w:r w:rsidR="00A80BCE" w:rsidRPr="004A6935">
              <w:rPr>
                <w:bCs/>
              </w:rPr>
              <w:t xml:space="preserve"> and advanced search functionalities</w:t>
            </w:r>
            <w:r>
              <w:rPr>
                <w:bCs/>
              </w:rPr>
              <w:t>, various technical solutions were explored</w:t>
            </w:r>
            <w:r w:rsidR="00A80BCE" w:rsidRPr="004A6935">
              <w:rPr>
                <w:bCs/>
              </w:rPr>
              <w:t xml:space="preserve">. </w:t>
            </w:r>
            <w:r w:rsidR="00A80BCE">
              <w:rPr>
                <w:bCs/>
              </w:rPr>
              <w:t xml:space="preserve"> Consultations were held with </w:t>
            </w:r>
            <w:r>
              <w:rPr>
                <w:bCs/>
              </w:rPr>
              <w:t xml:space="preserve">a range of </w:t>
            </w:r>
            <w:r w:rsidR="00A80BCE" w:rsidRPr="004A6935">
              <w:rPr>
                <w:bCs/>
              </w:rPr>
              <w:t>stakeholders</w:t>
            </w:r>
            <w:r w:rsidR="00A80BCE">
              <w:rPr>
                <w:bCs/>
              </w:rPr>
              <w:t xml:space="preserve"> including </w:t>
            </w:r>
            <w:r w:rsidR="00A80BCE" w:rsidRPr="004A6935">
              <w:rPr>
                <w:bCs/>
              </w:rPr>
              <w:t xml:space="preserve">the United Nations Geospatial Information Section (UNGIS) </w:t>
            </w:r>
            <w:r w:rsidR="00A80BCE">
              <w:rPr>
                <w:bCs/>
              </w:rPr>
              <w:t xml:space="preserve">and the Office of the Legal Counsel </w:t>
            </w:r>
            <w:r w:rsidR="00C431C0">
              <w:rPr>
                <w:bCs/>
              </w:rPr>
              <w:t xml:space="preserve">on </w:t>
            </w:r>
            <w:r w:rsidR="00A80BCE" w:rsidRPr="004A6935">
              <w:rPr>
                <w:bCs/>
              </w:rPr>
              <w:t xml:space="preserve">the use of official international boundary data for the development of </w:t>
            </w:r>
            <w:r w:rsidR="00A80BCE">
              <w:rPr>
                <w:bCs/>
              </w:rPr>
              <w:t>the</w:t>
            </w:r>
            <w:r w:rsidR="00A80BCE" w:rsidRPr="004A6935">
              <w:rPr>
                <w:bCs/>
              </w:rPr>
              <w:t xml:space="preserve"> new map, </w:t>
            </w:r>
            <w:r w:rsidR="00A80BCE">
              <w:rPr>
                <w:bCs/>
              </w:rPr>
              <w:t>and the WIPO Communications Division</w:t>
            </w:r>
            <w:r w:rsidR="00A80BCE" w:rsidRPr="004A6935">
              <w:rPr>
                <w:bCs/>
              </w:rPr>
              <w:t xml:space="preserve"> </w:t>
            </w:r>
            <w:r w:rsidR="00A80BCE">
              <w:rPr>
                <w:bCs/>
              </w:rPr>
              <w:t xml:space="preserve">and </w:t>
            </w:r>
            <w:r w:rsidR="00A80BCE" w:rsidRPr="004A6935">
              <w:rPr>
                <w:bCs/>
              </w:rPr>
              <w:t xml:space="preserve">Information and Communication Technology Department </w:t>
            </w:r>
            <w:r w:rsidR="00C431C0">
              <w:rPr>
                <w:bCs/>
              </w:rPr>
              <w:t xml:space="preserve">on </w:t>
            </w:r>
            <w:r w:rsidR="00A80BCE" w:rsidRPr="004A6935">
              <w:rPr>
                <w:bCs/>
              </w:rPr>
              <w:t xml:space="preserve">technical implementation options including possible map visualization software in line with </w:t>
            </w:r>
            <w:r w:rsidR="00A80BCE">
              <w:rPr>
                <w:bCs/>
              </w:rPr>
              <w:t>organizational policies.  Th</w:t>
            </w:r>
            <w:r w:rsidR="00AB12C1">
              <w:rPr>
                <w:bCs/>
              </w:rPr>
              <w:t xml:space="preserve">is </w:t>
            </w:r>
            <w:r w:rsidR="00A80BCE">
              <w:rPr>
                <w:bCs/>
              </w:rPr>
              <w:t xml:space="preserve">resulted in the signature of an agreement </w:t>
            </w:r>
            <w:r w:rsidR="00C61201">
              <w:rPr>
                <w:bCs/>
              </w:rPr>
              <w:t xml:space="preserve">with </w:t>
            </w:r>
            <w:r w:rsidR="00A80BCE">
              <w:rPr>
                <w:bCs/>
              </w:rPr>
              <w:t xml:space="preserve">UNGIS on the use of international boundary data and in the identification of a cost-effective solution for </w:t>
            </w:r>
            <w:r w:rsidR="00C61201">
              <w:rPr>
                <w:bCs/>
              </w:rPr>
              <w:t xml:space="preserve">developing </w:t>
            </w:r>
            <w:r w:rsidR="00A80BCE">
              <w:rPr>
                <w:bCs/>
              </w:rPr>
              <w:t xml:space="preserve">the new interface using a cloud-based software widely used among </w:t>
            </w:r>
            <w:r w:rsidR="00BF558F">
              <w:rPr>
                <w:bCs/>
              </w:rPr>
              <w:t xml:space="preserve">other </w:t>
            </w:r>
            <w:r w:rsidR="00A80BCE">
              <w:rPr>
                <w:bCs/>
              </w:rPr>
              <w:t>UN organizations.</w:t>
            </w:r>
          </w:p>
          <w:p w:rsidR="00A80BCE" w:rsidRDefault="00A80BCE" w:rsidP="00497B7D">
            <w:pPr>
              <w:rPr>
                <w:bCs/>
              </w:rPr>
            </w:pPr>
          </w:p>
          <w:p w:rsidR="00A80BCE" w:rsidRDefault="00A80BCE" w:rsidP="00497B7D">
            <w:pPr>
              <w:rPr>
                <w:rStyle w:val="null1"/>
              </w:rPr>
            </w:pPr>
            <w:r>
              <w:rPr>
                <w:bCs/>
              </w:rPr>
              <w:lastRenderedPageBreak/>
              <w:t>In parallel</w:t>
            </w:r>
            <w:r w:rsidRPr="004A6935">
              <w:rPr>
                <w:bCs/>
              </w:rPr>
              <w:t>, a</w:t>
            </w:r>
            <w:r>
              <w:rPr>
                <w:bCs/>
              </w:rPr>
              <w:t xml:space="preserve"> patent information </w:t>
            </w:r>
            <w:r w:rsidRPr="004A6935">
              <w:rPr>
                <w:bCs/>
              </w:rPr>
              <w:t xml:space="preserve">expert was hired in 2017 to </w:t>
            </w:r>
            <w:r>
              <w:rPr>
                <w:bCs/>
              </w:rPr>
              <w:t xml:space="preserve">review existing </w:t>
            </w:r>
            <w:r w:rsidRPr="004A6935">
              <w:rPr>
                <w:bCs/>
              </w:rPr>
              <w:t xml:space="preserve">information on the Portal </w:t>
            </w:r>
            <w:r w:rsidR="008462BA">
              <w:rPr>
                <w:bCs/>
              </w:rPr>
              <w:t xml:space="preserve">and update </w:t>
            </w:r>
            <w:r w:rsidR="00435F3C">
              <w:rPr>
                <w:bCs/>
              </w:rPr>
              <w:t xml:space="preserve">it </w:t>
            </w:r>
            <w:r>
              <w:rPr>
                <w:bCs/>
              </w:rPr>
              <w:t>where necessary.  The expert updated data for over 160 jurisdictions and develop</w:t>
            </w:r>
            <w:r w:rsidR="00B229F9">
              <w:rPr>
                <w:bCs/>
              </w:rPr>
              <w:t>ed</w:t>
            </w:r>
            <w:r>
              <w:rPr>
                <w:bCs/>
              </w:rPr>
              <w:t xml:space="preserve"> detailed help files for each jurisdiction included </w:t>
            </w:r>
            <w:r w:rsidR="00CE4AAD">
              <w:rPr>
                <w:bCs/>
              </w:rPr>
              <w:t>o</w:t>
            </w:r>
            <w:r>
              <w:rPr>
                <w:bCs/>
              </w:rPr>
              <w:t>n the Portal to further support users in identifying what legal-status related information may be available online</w:t>
            </w:r>
            <w:r w:rsidR="00CE4AAD">
              <w:rPr>
                <w:bCs/>
              </w:rPr>
              <w:t xml:space="preserve">, with additional information on </w:t>
            </w:r>
            <w:r>
              <w:t>patent protection particularities</w:t>
            </w:r>
            <w:r w:rsidR="00CE4AAD">
              <w:t xml:space="preserve"> and search tips</w:t>
            </w:r>
            <w:r>
              <w:rPr>
                <w:rStyle w:val="null1"/>
              </w:rPr>
              <w:t xml:space="preserve">.  </w:t>
            </w:r>
          </w:p>
          <w:p w:rsidR="00D62FA3" w:rsidRDefault="00D62FA3" w:rsidP="00497B7D">
            <w:pPr>
              <w:rPr>
                <w:rStyle w:val="null1"/>
              </w:rPr>
            </w:pPr>
          </w:p>
          <w:p w:rsidR="00A80BCE" w:rsidRDefault="002808D7" w:rsidP="00497B7D">
            <w:pPr>
              <w:rPr>
                <w:rStyle w:val="null1"/>
              </w:rPr>
            </w:pPr>
            <w:r>
              <w:rPr>
                <w:rStyle w:val="null1"/>
              </w:rPr>
              <w:t>N</w:t>
            </w:r>
            <w:r w:rsidR="00A80BCE">
              <w:rPr>
                <w:rStyle w:val="null1"/>
              </w:rPr>
              <w:t xml:space="preserve">ew functionalities were </w:t>
            </w:r>
            <w:r>
              <w:rPr>
                <w:rStyle w:val="null1"/>
              </w:rPr>
              <w:t xml:space="preserve">also </w:t>
            </w:r>
            <w:r w:rsidR="00A80BCE">
              <w:rPr>
                <w:rStyle w:val="null1"/>
              </w:rPr>
              <w:t>added such as the possibility to combin</w:t>
            </w:r>
            <w:r w:rsidR="00554921">
              <w:rPr>
                <w:rStyle w:val="null1"/>
              </w:rPr>
              <w:t xml:space="preserve">e </w:t>
            </w:r>
            <w:r w:rsidR="00A80BCE">
              <w:rPr>
                <w:rStyle w:val="null1"/>
              </w:rPr>
              <w:t xml:space="preserve">search criteria, </w:t>
            </w:r>
            <w:r w:rsidR="001A6E83">
              <w:rPr>
                <w:rStyle w:val="null1"/>
              </w:rPr>
              <w:t xml:space="preserve">view information separately on a </w:t>
            </w:r>
            <w:r w:rsidR="00A80BCE">
              <w:rPr>
                <w:rStyle w:val="null1"/>
              </w:rPr>
              <w:t xml:space="preserve">map </w:t>
            </w:r>
            <w:r w:rsidR="00024D41">
              <w:rPr>
                <w:rStyle w:val="null1"/>
              </w:rPr>
              <w:t>and</w:t>
            </w:r>
            <w:r w:rsidR="001A6E83">
              <w:rPr>
                <w:rStyle w:val="null1"/>
              </w:rPr>
              <w:t xml:space="preserve"> table</w:t>
            </w:r>
            <w:r w:rsidR="00A80BCE">
              <w:rPr>
                <w:rStyle w:val="null1"/>
              </w:rPr>
              <w:t xml:space="preserve">, and </w:t>
            </w:r>
            <w:r w:rsidR="001A6E83">
              <w:rPr>
                <w:rStyle w:val="null1"/>
              </w:rPr>
              <w:t xml:space="preserve">identify </w:t>
            </w:r>
            <w:r w:rsidR="00A80BCE">
              <w:rPr>
                <w:rStyle w:val="null1"/>
              </w:rPr>
              <w:t xml:space="preserve">jurisdictions that are member of a regional organization issuing patents or a regional patent information collection.  </w:t>
            </w:r>
            <w:r w:rsidR="00554921">
              <w:rPr>
                <w:rStyle w:val="null1"/>
              </w:rPr>
              <w:t>N</w:t>
            </w:r>
            <w:r w:rsidR="00A80BCE">
              <w:rPr>
                <w:rStyle w:val="null1"/>
              </w:rPr>
              <w:t xml:space="preserve">ew search fields were also added, including patent registers that can be searched </w:t>
            </w:r>
            <w:r>
              <w:rPr>
                <w:rStyle w:val="null1"/>
              </w:rPr>
              <w:t xml:space="preserve">online </w:t>
            </w:r>
            <w:r w:rsidR="0077034E">
              <w:rPr>
                <w:rStyle w:val="null1"/>
              </w:rPr>
              <w:t xml:space="preserve">by </w:t>
            </w:r>
            <w:r w:rsidR="00A80BCE">
              <w:rPr>
                <w:rStyle w:val="null1"/>
              </w:rPr>
              <w:t xml:space="preserve">applicant </w:t>
            </w:r>
            <w:r w:rsidR="0077034E">
              <w:rPr>
                <w:rStyle w:val="null1"/>
              </w:rPr>
              <w:t xml:space="preserve">name </w:t>
            </w:r>
            <w:r w:rsidR="00A80BCE">
              <w:rPr>
                <w:rStyle w:val="null1"/>
              </w:rPr>
              <w:t xml:space="preserve">or priority data, and online registers that provide information </w:t>
            </w:r>
            <w:r w:rsidR="00A94018">
              <w:rPr>
                <w:rStyle w:val="null1"/>
              </w:rPr>
              <w:t xml:space="preserve">on </w:t>
            </w:r>
            <w:r w:rsidR="00A80BCE">
              <w:rPr>
                <w:rStyle w:val="null1"/>
              </w:rPr>
              <w:t xml:space="preserve">patent term extension instruments, Supplementary Protection Certificates, and regional patents with effect in their jurisdiction. </w:t>
            </w:r>
          </w:p>
          <w:p w:rsidR="00A80BCE" w:rsidRDefault="00A80BCE" w:rsidP="00497B7D">
            <w:pPr>
              <w:rPr>
                <w:rStyle w:val="null1"/>
              </w:rPr>
            </w:pPr>
          </w:p>
          <w:p w:rsidR="00A80BCE" w:rsidRDefault="00A80BCE" w:rsidP="00497B7D">
            <w:pPr>
              <w:rPr>
                <w:bCs/>
              </w:rPr>
            </w:pPr>
            <w:r>
              <w:rPr>
                <w:bCs/>
              </w:rPr>
              <w:t>During this process, information w</w:t>
            </w:r>
            <w:r w:rsidR="00E04169">
              <w:rPr>
                <w:bCs/>
              </w:rPr>
              <w:t>as</w:t>
            </w:r>
            <w:r>
              <w:rPr>
                <w:bCs/>
              </w:rPr>
              <w:t xml:space="preserve"> updated for over 200 jurisdictions, representing a 25% increase in the number of jurisdictions and patent information collections for which data is available in the new version.</w:t>
            </w:r>
          </w:p>
          <w:p w:rsidR="00A80BCE" w:rsidRDefault="00A80BCE" w:rsidP="00497B7D">
            <w:pPr>
              <w:rPr>
                <w:bCs/>
              </w:rPr>
            </w:pPr>
          </w:p>
          <w:p w:rsidR="00A80BCE" w:rsidRDefault="00A80BCE" w:rsidP="00497B7D">
            <w:pPr>
              <w:rPr>
                <w:bCs/>
              </w:rPr>
            </w:pPr>
            <w:r>
              <w:rPr>
                <w:bCs/>
              </w:rPr>
              <w:t>In redesigning the Portal, efforts were also made to improve the Portal’s accessibility for visually impaired users in line with WIPO’s efforts to improve the accessibility of its services and platforms</w:t>
            </w:r>
            <w:r w:rsidR="00DD7C95">
              <w:rPr>
                <w:bCs/>
              </w:rPr>
              <w:t xml:space="preserve">, and </w:t>
            </w:r>
            <w:r>
              <w:rPr>
                <w:bCs/>
              </w:rPr>
              <w:t xml:space="preserve">the help files </w:t>
            </w:r>
            <w:r w:rsidR="00DD7C95">
              <w:rPr>
                <w:bCs/>
              </w:rPr>
              <w:t xml:space="preserve">were made </w:t>
            </w:r>
            <w:r>
              <w:rPr>
                <w:bCs/>
              </w:rPr>
              <w:t xml:space="preserve">available in an accessible format. </w:t>
            </w:r>
          </w:p>
          <w:p w:rsidR="00A80BCE" w:rsidRDefault="00A80BCE" w:rsidP="00497B7D">
            <w:pPr>
              <w:rPr>
                <w:iCs/>
                <w:szCs w:val="22"/>
              </w:rPr>
            </w:pPr>
          </w:p>
          <w:p w:rsidR="00A80BCE" w:rsidRDefault="00A80BCE" w:rsidP="00497B7D">
            <w:pPr>
              <w:rPr>
                <w:bCs/>
              </w:rPr>
            </w:pPr>
            <w:r>
              <w:rPr>
                <w:bCs/>
              </w:rPr>
              <w:t xml:space="preserve">To validate the information collected by the expert, each help file was </w:t>
            </w:r>
            <w:r w:rsidR="004B3CC3">
              <w:rPr>
                <w:bCs/>
              </w:rPr>
              <w:t xml:space="preserve">also </w:t>
            </w:r>
            <w:r>
              <w:rPr>
                <w:bCs/>
              </w:rPr>
              <w:t xml:space="preserve">sent to the relevant IP authority via </w:t>
            </w:r>
            <w:r w:rsidR="00A8175A">
              <w:rPr>
                <w:bCs/>
              </w:rPr>
              <w:t xml:space="preserve">an </w:t>
            </w:r>
            <w:r>
              <w:rPr>
                <w:bCs/>
              </w:rPr>
              <w:t xml:space="preserve">official circular.  52 responses </w:t>
            </w:r>
            <w:r w:rsidR="00815041">
              <w:rPr>
                <w:bCs/>
              </w:rPr>
              <w:t xml:space="preserve">were received </w:t>
            </w:r>
            <w:r>
              <w:rPr>
                <w:bCs/>
              </w:rPr>
              <w:t>during th</w:t>
            </w:r>
            <w:r w:rsidR="00830EB7">
              <w:rPr>
                <w:bCs/>
              </w:rPr>
              <w:t>is</w:t>
            </w:r>
            <w:r>
              <w:rPr>
                <w:bCs/>
              </w:rPr>
              <w:t xml:space="preserve"> process (July</w:t>
            </w:r>
            <w:r w:rsidR="00F02407">
              <w:rPr>
                <w:bCs/>
              </w:rPr>
              <w:t>-</w:t>
            </w:r>
            <w:r>
              <w:rPr>
                <w:bCs/>
              </w:rPr>
              <w:t xml:space="preserve">September 2018).  A contact form was also added to the new interface to allow users to </w:t>
            </w:r>
            <w:r w:rsidR="00815041">
              <w:rPr>
                <w:bCs/>
              </w:rPr>
              <w:t xml:space="preserve">inform the Secretariat of </w:t>
            </w:r>
            <w:r>
              <w:rPr>
                <w:bCs/>
              </w:rPr>
              <w:t xml:space="preserve">any </w:t>
            </w:r>
            <w:r w:rsidR="00830EB7">
              <w:rPr>
                <w:bCs/>
              </w:rPr>
              <w:t xml:space="preserve">future </w:t>
            </w:r>
            <w:r>
              <w:rPr>
                <w:bCs/>
              </w:rPr>
              <w:t xml:space="preserve">changes to the information </w:t>
            </w:r>
            <w:r w:rsidR="00076511">
              <w:rPr>
                <w:bCs/>
              </w:rPr>
              <w:t xml:space="preserve">on </w:t>
            </w:r>
            <w:r>
              <w:rPr>
                <w:bCs/>
              </w:rPr>
              <w:t>the Portal.</w:t>
            </w:r>
          </w:p>
          <w:p w:rsidR="00A80BCE" w:rsidRDefault="00A80BCE" w:rsidP="00497B7D">
            <w:pPr>
              <w:rPr>
                <w:bCs/>
              </w:rPr>
            </w:pPr>
          </w:p>
          <w:p w:rsidR="00A80BCE" w:rsidRDefault="000F5EE5" w:rsidP="00497B7D">
            <w:r>
              <w:t>T</w:t>
            </w:r>
            <w:r w:rsidR="00A80BCE">
              <w:t>o highlight the new interface</w:t>
            </w:r>
            <w:r>
              <w:t xml:space="preserve"> and </w:t>
            </w:r>
            <w:r w:rsidR="00A80BCE">
              <w:t xml:space="preserve">features of the Portal, a short tutorial video was developed with the support of a video expert.  </w:t>
            </w:r>
          </w:p>
          <w:p w:rsidR="00A80BCE" w:rsidRDefault="00A80BCE" w:rsidP="00497B7D"/>
          <w:p w:rsidR="00A80BCE" w:rsidRPr="00D75B1B" w:rsidRDefault="00A80BCE" w:rsidP="00497B7D">
            <w:pPr>
              <w:rPr>
                <w:iCs/>
                <w:szCs w:val="22"/>
              </w:rPr>
            </w:pPr>
            <w:r>
              <w:t xml:space="preserve">The Portal was launched </w:t>
            </w:r>
            <w:r w:rsidR="00925E16">
              <w:t xml:space="preserve">at </w:t>
            </w:r>
            <w:r>
              <w:t xml:space="preserve">a side event </w:t>
            </w:r>
            <w:r w:rsidR="00891430">
              <w:t>during CDIP/22</w:t>
            </w:r>
            <w:r>
              <w:t>.</w:t>
            </w:r>
          </w:p>
          <w:p w:rsidR="00A80BCE" w:rsidRPr="00944ED0" w:rsidRDefault="00A80BCE" w:rsidP="00497B7D"/>
        </w:tc>
      </w:tr>
      <w:tr w:rsidR="00A80BCE" w:rsidRPr="00944ED0" w:rsidTr="00C74687">
        <w:trPr>
          <w:trHeight w:val="1212"/>
        </w:trPr>
        <w:tc>
          <w:tcPr>
            <w:tcW w:w="2376" w:type="dxa"/>
            <w:shd w:val="clear" w:color="auto" w:fill="auto"/>
          </w:tcPr>
          <w:p w:rsidR="00A80BCE" w:rsidRDefault="00A80BCE" w:rsidP="00497B7D">
            <w:pPr>
              <w:pStyle w:val="Heading3"/>
            </w:pPr>
            <w:r>
              <w:lastRenderedPageBreak/>
              <w:t>Results/impact of project and Key lessons</w:t>
            </w:r>
          </w:p>
        </w:tc>
        <w:tc>
          <w:tcPr>
            <w:tcW w:w="7069" w:type="dxa"/>
            <w:vAlign w:val="center"/>
          </w:tcPr>
          <w:p w:rsidR="00A80BCE" w:rsidRDefault="00A80BCE" w:rsidP="00497B7D">
            <w:pPr>
              <w:rPr>
                <w:szCs w:val="22"/>
              </w:rPr>
            </w:pPr>
          </w:p>
          <w:p w:rsidR="00A80BCE" w:rsidRDefault="00A80BCE" w:rsidP="00497B7D">
            <w:pPr>
              <w:rPr>
                <w:szCs w:val="22"/>
              </w:rPr>
            </w:pPr>
            <w:r>
              <w:rPr>
                <w:szCs w:val="22"/>
              </w:rPr>
              <w:t xml:space="preserve">Results/impact: </w:t>
            </w:r>
          </w:p>
          <w:p w:rsidR="00A80BCE" w:rsidRDefault="00A80BCE" w:rsidP="00497B7D">
            <w:pPr>
              <w:rPr>
                <w:szCs w:val="22"/>
              </w:rPr>
            </w:pPr>
          </w:p>
          <w:p w:rsidR="00A80BCE" w:rsidRDefault="00A80BCE" w:rsidP="00497B7D">
            <w:pPr>
              <w:rPr>
                <w:szCs w:val="22"/>
              </w:rPr>
            </w:pPr>
            <w:r>
              <w:rPr>
                <w:szCs w:val="22"/>
              </w:rPr>
              <w:t>Feedback gathered from TISC</w:t>
            </w:r>
            <w:r w:rsidR="00D3706D">
              <w:rPr>
                <w:szCs w:val="22"/>
              </w:rPr>
              <w:t>s</w:t>
            </w:r>
            <w:r>
              <w:rPr>
                <w:szCs w:val="22"/>
              </w:rPr>
              <w:t xml:space="preserve"> during the pilot</w:t>
            </w:r>
            <w:r w:rsidR="00522214">
              <w:rPr>
                <w:szCs w:val="22"/>
              </w:rPr>
              <w:t xml:space="preserve"> process </w:t>
            </w:r>
            <w:r>
              <w:rPr>
                <w:szCs w:val="22"/>
              </w:rPr>
              <w:t xml:space="preserve">and surveys </w:t>
            </w:r>
            <w:r w:rsidR="00522214">
              <w:rPr>
                <w:szCs w:val="22"/>
              </w:rPr>
              <w:t xml:space="preserve">collected </w:t>
            </w:r>
            <w:r>
              <w:rPr>
                <w:szCs w:val="22"/>
              </w:rPr>
              <w:t xml:space="preserve">at the end of the practical workshops provide strong evidence of the important added value of the new resources developed under the project for TISCs. </w:t>
            </w:r>
            <w:r w:rsidR="006459DD">
              <w:rPr>
                <w:szCs w:val="22"/>
              </w:rPr>
              <w:t xml:space="preserve"> </w:t>
            </w:r>
            <w:r>
              <w:rPr>
                <w:szCs w:val="22"/>
              </w:rPr>
              <w:t xml:space="preserve">In particular, feedback </w:t>
            </w:r>
            <w:r w:rsidR="005544DE">
              <w:rPr>
                <w:szCs w:val="22"/>
              </w:rPr>
              <w:t xml:space="preserve">gathered </w:t>
            </w:r>
            <w:r>
              <w:rPr>
                <w:szCs w:val="22"/>
              </w:rPr>
              <w:t xml:space="preserve">confirms that the workshops </w:t>
            </w:r>
            <w:r w:rsidR="00135FAA">
              <w:rPr>
                <w:szCs w:val="22"/>
              </w:rPr>
              <w:t xml:space="preserve">were </w:t>
            </w:r>
            <w:r>
              <w:rPr>
                <w:szCs w:val="22"/>
              </w:rPr>
              <w:t xml:space="preserve">successful in building knowledge and skills </w:t>
            </w:r>
            <w:r w:rsidR="00C44407">
              <w:rPr>
                <w:szCs w:val="22"/>
              </w:rPr>
              <w:t>i</w:t>
            </w:r>
            <w:r>
              <w:rPr>
                <w:szCs w:val="22"/>
              </w:rPr>
              <w:t>n identifying and using inventions in the public domain</w:t>
            </w:r>
            <w:r w:rsidR="00DC6D6D">
              <w:rPr>
                <w:szCs w:val="22"/>
              </w:rPr>
              <w:t xml:space="preserve"> (</w:t>
            </w:r>
            <w:r>
              <w:rPr>
                <w:szCs w:val="22"/>
              </w:rPr>
              <w:t xml:space="preserve">99.6% of participants, on average, </w:t>
            </w:r>
            <w:r w:rsidR="00DC6D6D">
              <w:rPr>
                <w:szCs w:val="22"/>
              </w:rPr>
              <w:t xml:space="preserve">confirmed this), and </w:t>
            </w:r>
            <w:r>
              <w:rPr>
                <w:szCs w:val="22"/>
              </w:rPr>
              <w:t>98% report</w:t>
            </w:r>
            <w:r w:rsidR="00DC6D6D">
              <w:rPr>
                <w:szCs w:val="22"/>
              </w:rPr>
              <w:t>ed</w:t>
            </w:r>
            <w:r>
              <w:rPr>
                <w:szCs w:val="22"/>
              </w:rPr>
              <w:t xml:space="preserve"> that the guides will be useful </w:t>
            </w:r>
            <w:r w:rsidR="005B00CE">
              <w:rPr>
                <w:szCs w:val="22"/>
              </w:rPr>
              <w:t>for</w:t>
            </w:r>
            <w:r w:rsidR="006459DD">
              <w:rPr>
                <w:szCs w:val="22"/>
              </w:rPr>
              <w:t xml:space="preserve"> </w:t>
            </w:r>
            <w:r>
              <w:rPr>
                <w:szCs w:val="22"/>
              </w:rPr>
              <w:t>their daily work.</w:t>
            </w:r>
          </w:p>
          <w:p w:rsidR="00A80BCE" w:rsidRDefault="00A80BCE" w:rsidP="00497B7D">
            <w:pPr>
              <w:rPr>
                <w:szCs w:val="22"/>
              </w:rPr>
            </w:pPr>
          </w:p>
          <w:p w:rsidR="00A80BCE" w:rsidRDefault="00A80BCE" w:rsidP="00497B7D">
            <w:pPr>
              <w:rPr>
                <w:iCs/>
              </w:rPr>
            </w:pPr>
            <w:r>
              <w:rPr>
                <w:szCs w:val="22"/>
              </w:rPr>
              <w:t xml:space="preserve">In order however to fully integrate the teachings of the guides into the TISCs’ activities and </w:t>
            </w:r>
            <w:r w:rsidR="00F86FF0">
              <w:rPr>
                <w:szCs w:val="22"/>
              </w:rPr>
              <w:t xml:space="preserve">for </w:t>
            </w:r>
            <w:r>
              <w:rPr>
                <w:szCs w:val="22"/>
              </w:rPr>
              <w:t xml:space="preserve">TISCs to build new services </w:t>
            </w:r>
            <w:r w:rsidR="00F86FF0">
              <w:rPr>
                <w:szCs w:val="22"/>
              </w:rPr>
              <w:t xml:space="preserve">in this area </w:t>
            </w:r>
            <w:r>
              <w:rPr>
                <w:szCs w:val="22"/>
              </w:rPr>
              <w:t xml:space="preserve">using the guides as support tools, additional support will be needed.  In this regard, the </w:t>
            </w:r>
            <w:r>
              <w:rPr>
                <w:iCs/>
              </w:rPr>
              <w:t xml:space="preserve">establishment of a pool of experts </w:t>
            </w:r>
            <w:r w:rsidRPr="004A6935">
              <w:rPr>
                <w:iCs/>
              </w:rPr>
              <w:t xml:space="preserve">who will be able to act as resource persons </w:t>
            </w:r>
            <w:r w:rsidR="005C129B">
              <w:rPr>
                <w:iCs/>
              </w:rPr>
              <w:t>to</w:t>
            </w:r>
            <w:r w:rsidRPr="004A6935">
              <w:rPr>
                <w:iCs/>
              </w:rPr>
              <w:t xml:space="preserve"> support TISCs in the use of the guides and in develop</w:t>
            </w:r>
            <w:r>
              <w:rPr>
                <w:iCs/>
              </w:rPr>
              <w:t xml:space="preserve">ing </w:t>
            </w:r>
            <w:r w:rsidRPr="004A6935">
              <w:rPr>
                <w:iCs/>
              </w:rPr>
              <w:t xml:space="preserve">their services </w:t>
            </w:r>
            <w:r>
              <w:rPr>
                <w:iCs/>
              </w:rPr>
              <w:t xml:space="preserve">will be an important resource to build on and further expand. </w:t>
            </w:r>
          </w:p>
          <w:p w:rsidR="00A80BCE" w:rsidRDefault="00A80BCE" w:rsidP="00497B7D">
            <w:pPr>
              <w:rPr>
                <w:iCs/>
              </w:rPr>
            </w:pPr>
          </w:p>
          <w:p w:rsidR="00A80BCE" w:rsidRDefault="00A80BCE" w:rsidP="00497B7D">
            <w:pPr>
              <w:rPr>
                <w:iCs/>
              </w:rPr>
            </w:pPr>
            <w:r>
              <w:rPr>
                <w:iCs/>
              </w:rPr>
              <w:t>The high number of visits to the Portal following its launch (1,880 user sessions and 4,571 downloads of the help files between November and December 2018) also suggest</w:t>
            </w:r>
            <w:r w:rsidR="00AB50F1">
              <w:rPr>
                <w:iCs/>
              </w:rPr>
              <w:t>s</w:t>
            </w:r>
            <w:r>
              <w:rPr>
                <w:iCs/>
              </w:rPr>
              <w:t xml:space="preserve"> that the Portal is a useful resource.  </w:t>
            </w:r>
          </w:p>
          <w:p w:rsidR="00A80BCE" w:rsidRDefault="00A80BCE" w:rsidP="00497B7D">
            <w:pPr>
              <w:rPr>
                <w:iCs/>
              </w:rPr>
            </w:pPr>
          </w:p>
          <w:p w:rsidR="00A80BCE" w:rsidRDefault="00522214" w:rsidP="00497B7D">
            <w:pPr>
              <w:rPr>
                <w:szCs w:val="22"/>
              </w:rPr>
            </w:pPr>
            <w:r>
              <w:rPr>
                <w:szCs w:val="22"/>
              </w:rPr>
              <w:t>Key l</w:t>
            </w:r>
            <w:r w:rsidR="00A80BCE">
              <w:rPr>
                <w:szCs w:val="22"/>
              </w:rPr>
              <w:t>essons:</w:t>
            </w:r>
          </w:p>
          <w:p w:rsidR="00A80BCE" w:rsidRDefault="00A80BCE" w:rsidP="00497B7D">
            <w:pPr>
              <w:rPr>
                <w:szCs w:val="22"/>
              </w:rPr>
            </w:pPr>
          </w:p>
          <w:p w:rsidR="00A80BCE" w:rsidRDefault="00A80BCE" w:rsidP="00497B7D">
            <w:pPr>
              <w:rPr>
                <w:iCs/>
              </w:rPr>
            </w:pPr>
            <w:r>
              <w:rPr>
                <w:szCs w:val="22"/>
              </w:rPr>
              <w:t xml:space="preserve">As reported in progress report </w:t>
            </w:r>
            <w:r>
              <w:rPr>
                <w:iCs/>
              </w:rPr>
              <w:t>CDIP/22/2 Annex II, the collaborative drafting process of the guides was supported by defining clearly, from the start, the specific contribution expected from each expert.  With inputs from five associate experts, the role of the lead experts was crucial in compiling and editing inputs from experts with different backgrounds and writing styles.  It became clear that the ability to synthesize and organize the information to create a good flow between the sections was a critical element to ensure success.</w:t>
            </w:r>
          </w:p>
          <w:p w:rsidR="00A80BCE" w:rsidRDefault="00A80BCE" w:rsidP="00497B7D">
            <w:pPr>
              <w:rPr>
                <w:iCs/>
              </w:rPr>
            </w:pPr>
          </w:p>
          <w:p w:rsidR="00A80BCE" w:rsidRDefault="00A80BCE" w:rsidP="00497B7D">
            <w:pPr>
              <w:rPr>
                <w:iCs/>
              </w:rPr>
            </w:pPr>
            <w:r>
              <w:rPr>
                <w:iCs/>
              </w:rPr>
              <w:t xml:space="preserve">The involvement of the lead experts in the publication process during the professional editing by an external editor </w:t>
            </w:r>
            <w:r w:rsidR="000B64BE">
              <w:rPr>
                <w:iCs/>
              </w:rPr>
              <w:t>a</w:t>
            </w:r>
            <w:r>
              <w:rPr>
                <w:iCs/>
              </w:rPr>
              <w:t xml:space="preserve">lso proved to be very important to ensure that while on one hand the content </w:t>
            </w:r>
            <w:r w:rsidR="00C5256A">
              <w:rPr>
                <w:iCs/>
              </w:rPr>
              <w:t xml:space="preserve">is </w:t>
            </w:r>
            <w:r>
              <w:rPr>
                <w:iCs/>
              </w:rPr>
              <w:t>simplified for improved readability, the IP-related terminology remain</w:t>
            </w:r>
            <w:r w:rsidR="00C5256A">
              <w:rPr>
                <w:iCs/>
              </w:rPr>
              <w:t>s</w:t>
            </w:r>
            <w:r>
              <w:rPr>
                <w:iCs/>
              </w:rPr>
              <w:t xml:space="preserve"> accurate.  Taking into account this time-consuming yet important process to ensure quality, this stage should be included in the project plan with appropriate resources earmarked for it.</w:t>
            </w:r>
          </w:p>
          <w:p w:rsidR="00A80BCE" w:rsidRDefault="00A80BCE" w:rsidP="00497B7D">
            <w:pPr>
              <w:rPr>
                <w:iCs/>
              </w:rPr>
            </w:pPr>
          </w:p>
          <w:p w:rsidR="00A80BCE" w:rsidRDefault="00A80BCE" w:rsidP="009A4FFB">
            <w:pPr>
              <w:rPr>
                <w:iCs/>
              </w:rPr>
            </w:pPr>
            <w:r>
              <w:rPr>
                <w:iCs/>
              </w:rPr>
              <w:t>The piloting of the guides in selected TISC</w:t>
            </w:r>
            <w:r w:rsidR="00262EAF">
              <w:rPr>
                <w:iCs/>
              </w:rPr>
              <w:t>s</w:t>
            </w:r>
            <w:r>
              <w:rPr>
                <w:iCs/>
              </w:rPr>
              <w:t xml:space="preserve"> also proved to be a</w:t>
            </w:r>
            <w:r w:rsidR="00B83DC2">
              <w:rPr>
                <w:iCs/>
              </w:rPr>
              <w:t>n</w:t>
            </w:r>
            <w:r>
              <w:rPr>
                <w:iCs/>
              </w:rPr>
              <w:t xml:space="preserve"> important </w:t>
            </w:r>
            <w:r w:rsidR="00907074">
              <w:rPr>
                <w:iCs/>
              </w:rPr>
              <w:t xml:space="preserve">step </w:t>
            </w:r>
            <w:r w:rsidR="000F193F">
              <w:rPr>
                <w:iCs/>
              </w:rPr>
              <w:t xml:space="preserve">in </w:t>
            </w:r>
            <w:r>
              <w:rPr>
                <w:iCs/>
              </w:rPr>
              <w:t>validat</w:t>
            </w:r>
            <w:r w:rsidR="000F193F">
              <w:rPr>
                <w:iCs/>
              </w:rPr>
              <w:t>ing</w:t>
            </w:r>
            <w:r>
              <w:rPr>
                <w:iCs/>
              </w:rPr>
              <w:t xml:space="preserve"> the content and teaching value of the guides.  Feedback from this exercise was very useful not only in highlighting the importance of these new tools for TISCs, but also in helping fine-tune the content.  </w:t>
            </w:r>
          </w:p>
          <w:p w:rsidR="001C3580" w:rsidRPr="005A233D" w:rsidRDefault="001C3580" w:rsidP="009A4FFB">
            <w:pPr>
              <w:rPr>
                <w:iCs/>
              </w:rPr>
            </w:pPr>
          </w:p>
        </w:tc>
      </w:tr>
      <w:tr w:rsidR="00A80BCE" w:rsidRPr="00944ED0" w:rsidTr="00C74687">
        <w:trPr>
          <w:trHeight w:val="713"/>
        </w:trPr>
        <w:tc>
          <w:tcPr>
            <w:tcW w:w="2376" w:type="dxa"/>
            <w:shd w:val="clear" w:color="auto" w:fill="auto"/>
          </w:tcPr>
          <w:p w:rsidR="00A80BCE" w:rsidRPr="00944ED0" w:rsidRDefault="00A80BCE" w:rsidP="00497B7D">
            <w:pPr>
              <w:pStyle w:val="Heading3"/>
            </w:pPr>
            <w:r w:rsidRPr="00944ED0">
              <w:lastRenderedPageBreak/>
              <w:t>Risks and Mitigation</w:t>
            </w:r>
          </w:p>
        </w:tc>
        <w:tc>
          <w:tcPr>
            <w:tcW w:w="7069" w:type="dxa"/>
          </w:tcPr>
          <w:p w:rsidR="00A80BCE" w:rsidRDefault="00A80BCE" w:rsidP="00497B7D">
            <w:pPr>
              <w:rPr>
                <w:i/>
                <w:iCs/>
                <w:szCs w:val="22"/>
              </w:rPr>
            </w:pPr>
          </w:p>
          <w:p w:rsidR="00A80BCE" w:rsidRDefault="00A80BCE" w:rsidP="00497B7D">
            <w:pPr>
              <w:rPr>
                <w:iCs/>
              </w:rPr>
            </w:pPr>
            <w:r>
              <w:rPr>
                <w:iCs/>
                <w:szCs w:val="22"/>
              </w:rPr>
              <w:t>The project document identified as a risk the insufficient c</w:t>
            </w:r>
            <w:r w:rsidRPr="00D75B1B">
              <w:rPr>
                <w:szCs w:val="22"/>
              </w:rPr>
              <w:t>apacity by TISC staff to understand and effectively use the information contained in the practical guides</w:t>
            </w:r>
            <w:r>
              <w:rPr>
                <w:szCs w:val="22"/>
              </w:rPr>
              <w:t xml:space="preserve">. </w:t>
            </w:r>
            <w:r w:rsidR="00CE0BAA">
              <w:rPr>
                <w:szCs w:val="22"/>
              </w:rPr>
              <w:t xml:space="preserve"> </w:t>
            </w:r>
            <w:r>
              <w:rPr>
                <w:szCs w:val="22"/>
              </w:rPr>
              <w:t xml:space="preserve">To mitigate this risk, efforts were made to ensure that the guides would be adapted to the </w:t>
            </w:r>
            <w:r w:rsidR="005166EF">
              <w:rPr>
                <w:szCs w:val="22"/>
              </w:rPr>
              <w:t xml:space="preserve">needs and </w:t>
            </w:r>
            <w:r w:rsidRPr="00D75B1B">
              <w:rPr>
                <w:szCs w:val="22"/>
              </w:rPr>
              <w:t>assessed capabilities of TISC staff</w:t>
            </w:r>
            <w:r>
              <w:rPr>
                <w:szCs w:val="22"/>
              </w:rPr>
              <w:t xml:space="preserve">.  </w:t>
            </w:r>
            <w:r w:rsidR="005166EF">
              <w:rPr>
                <w:szCs w:val="22"/>
              </w:rPr>
              <w:t>P</w:t>
            </w:r>
            <w:r>
              <w:rPr>
                <w:szCs w:val="22"/>
              </w:rPr>
              <w:t xml:space="preserve">iloting of the guides in nine national TISC networks helped ensure </w:t>
            </w:r>
            <w:r w:rsidR="005166EF">
              <w:rPr>
                <w:szCs w:val="22"/>
              </w:rPr>
              <w:t>this</w:t>
            </w:r>
            <w:r>
              <w:rPr>
                <w:szCs w:val="22"/>
              </w:rPr>
              <w:t xml:space="preserve">.  </w:t>
            </w:r>
            <w:r>
              <w:rPr>
                <w:iCs/>
              </w:rPr>
              <w:t xml:space="preserve">Feedback gathered was taken into account </w:t>
            </w:r>
            <w:r w:rsidR="00AC1DB3">
              <w:rPr>
                <w:iCs/>
              </w:rPr>
              <w:t xml:space="preserve">in </w:t>
            </w:r>
            <w:r>
              <w:rPr>
                <w:iCs/>
              </w:rPr>
              <w:t xml:space="preserve">the revision process and integrated into the </w:t>
            </w:r>
            <w:r w:rsidR="005166EF">
              <w:rPr>
                <w:iCs/>
              </w:rPr>
              <w:t>guides</w:t>
            </w:r>
            <w:r>
              <w:rPr>
                <w:iCs/>
              </w:rPr>
              <w:t>.</w:t>
            </w:r>
          </w:p>
          <w:p w:rsidR="00A80BCE" w:rsidRDefault="00A80BCE" w:rsidP="00497B7D">
            <w:pPr>
              <w:rPr>
                <w:iCs/>
              </w:rPr>
            </w:pPr>
          </w:p>
          <w:p w:rsidR="00A80BCE" w:rsidRDefault="008B1314" w:rsidP="00497B7D">
            <w:pPr>
              <w:rPr>
                <w:szCs w:val="22"/>
              </w:rPr>
            </w:pPr>
            <w:r>
              <w:rPr>
                <w:szCs w:val="22"/>
              </w:rPr>
              <w:t>T</w:t>
            </w:r>
            <w:r w:rsidR="00A80BCE">
              <w:rPr>
                <w:szCs w:val="22"/>
              </w:rPr>
              <w:t>he establishment of a roster of experts to further support TISCs in us</w:t>
            </w:r>
            <w:r w:rsidR="00F8406E">
              <w:rPr>
                <w:szCs w:val="22"/>
              </w:rPr>
              <w:t>ing</w:t>
            </w:r>
            <w:r w:rsidR="00A80BCE">
              <w:rPr>
                <w:szCs w:val="22"/>
              </w:rPr>
              <w:t xml:space="preserve"> the guides after the project has ended will </w:t>
            </w:r>
            <w:r>
              <w:rPr>
                <w:szCs w:val="22"/>
              </w:rPr>
              <w:t xml:space="preserve">also </w:t>
            </w:r>
            <w:r w:rsidR="00A80BCE">
              <w:rPr>
                <w:szCs w:val="22"/>
              </w:rPr>
              <w:t xml:space="preserve">be an additional means to mitigate this risk.  In this regard, efforts were made to involve </w:t>
            </w:r>
            <w:r w:rsidR="007743F2">
              <w:rPr>
                <w:szCs w:val="22"/>
              </w:rPr>
              <w:t xml:space="preserve">all the experts, including </w:t>
            </w:r>
            <w:r w:rsidR="00A80BCE">
              <w:rPr>
                <w:szCs w:val="22"/>
              </w:rPr>
              <w:t>the associate and country experts</w:t>
            </w:r>
            <w:r w:rsidR="007743F2">
              <w:rPr>
                <w:szCs w:val="22"/>
              </w:rPr>
              <w:t>,</w:t>
            </w:r>
            <w:r w:rsidR="00A80BCE">
              <w:rPr>
                <w:szCs w:val="22"/>
              </w:rPr>
              <w:t xml:space="preserve"> in the workshops</w:t>
            </w:r>
            <w:r w:rsidR="007D09CB">
              <w:rPr>
                <w:szCs w:val="22"/>
              </w:rPr>
              <w:t>.</w:t>
            </w:r>
            <w:r w:rsidR="00A80BCE">
              <w:rPr>
                <w:szCs w:val="22"/>
              </w:rPr>
              <w:t xml:space="preserve">  </w:t>
            </w:r>
          </w:p>
          <w:p w:rsidR="00A80BCE" w:rsidRDefault="00A80BCE" w:rsidP="00497B7D">
            <w:pPr>
              <w:rPr>
                <w:szCs w:val="22"/>
              </w:rPr>
            </w:pPr>
          </w:p>
          <w:p w:rsidR="00A80BCE" w:rsidRDefault="00A80BCE" w:rsidP="00497B7D">
            <w:pPr>
              <w:rPr>
                <w:iCs/>
              </w:rPr>
            </w:pPr>
            <w:r>
              <w:rPr>
                <w:iCs/>
              </w:rPr>
              <w:t>Another risk that was faced</w:t>
            </w:r>
            <w:r w:rsidR="006F1160">
              <w:rPr>
                <w:iCs/>
              </w:rPr>
              <w:t xml:space="preserve"> </w:t>
            </w:r>
            <w:r>
              <w:rPr>
                <w:iCs/>
              </w:rPr>
              <w:t>during the workshops was the diversity in the profile of TISC participants</w:t>
            </w:r>
            <w:r w:rsidR="00445605">
              <w:rPr>
                <w:iCs/>
              </w:rPr>
              <w:t>,</w:t>
            </w:r>
            <w:r>
              <w:rPr>
                <w:iCs/>
              </w:rPr>
              <w:t xml:space="preserve"> as a substantial number of th</w:t>
            </w:r>
            <w:r w:rsidR="00D0300A">
              <w:rPr>
                <w:iCs/>
              </w:rPr>
              <w:t xml:space="preserve">e participants </w:t>
            </w:r>
            <w:r>
              <w:rPr>
                <w:iCs/>
              </w:rPr>
              <w:t xml:space="preserve">had not </w:t>
            </w:r>
            <w:r w:rsidR="00D0300A">
              <w:rPr>
                <w:iCs/>
              </w:rPr>
              <w:t xml:space="preserve">attended </w:t>
            </w:r>
            <w:r>
              <w:rPr>
                <w:iCs/>
              </w:rPr>
              <w:t xml:space="preserve">previous TISC trainings.  As indicated in the project document, it is expected that the guides will supplement existing TISC services by building on existing knowledge and services, and it is therefore assumed that </w:t>
            </w:r>
            <w:r w:rsidR="00BC1C15">
              <w:rPr>
                <w:iCs/>
              </w:rPr>
              <w:t xml:space="preserve">users </w:t>
            </w:r>
            <w:r>
              <w:rPr>
                <w:iCs/>
              </w:rPr>
              <w:t xml:space="preserve">of the guides already possess a sound knowledge of patent information and search techniques.  </w:t>
            </w:r>
            <w:r w:rsidR="005C1921">
              <w:rPr>
                <w:iCs/>
              </w:rPr>
              <w:t xml:space="preserve">While </w:t>
            </w:r>
            <w:r>
              <w:rPr>
                <w:iCs/>
              </w:rPr>
              <w:t>efforts were made to introduce basic concepts before presenting the guides</w:t>
            </w:r>
            <w:r w:rsidR="005C1921">
              <w:rPr>
                <w:iCs/>
              </w:rPr>
              <w:t xml:space="preserve"> during the workshops</w:t>
            </w:r>
            <w:r>
              <w:rPr>
                <w:iCs/>
              </w:rPr>
              <w:t xml:space="preserve"> and to adapt teaching materials </w:t>
            </w:r>
            <w:r w:rsidR="005C1921">
              <w:rPr>
                <w:iCs/>
              </w:rPr>
              <w:t>accordingly, i</w:t>
            </w:r>
            <w:r>
              <w:rPr>
                <w:iCs/>
              </w:rPr>
              <w:t xml:space="preserve">t should be noted that this may have led to differences in </w:t>
            </w:r>
            <w:r w:rsidR="00445605">
              <w:rPr>
                <w:iCs/>
              </w:rPr>
              <w:t xml:space="preserve">participants’ </w:t>
            </w:r>
            <w:r>
              <w:rPr>
                <w:iCs/>
              </w:rPr>
              <w:t xml:space="preserve">expectations and in their ability to assimilate the teachings of the guides. </w:t>
            </w:r>
          </w:p>
          <w:p w:rsidR="00A80BCE" w:rsidRPr="005A233D" w:rsidRDefault="00A80BCE" w:rsidP="00497B7D">
            <w:pPr>
              <w:ind w:left="360"/>
              <w:rPr>
                <w:iCs/>
              </w:rPr>
            </w:pPr>
          </w:p>
        </w:tc>
      </w:tr>
      <w:tr w:rsidR="00A80BCE" w:rsidRPr="00944ED0" w:rsidTr="00C74687">
        <w:trPr>
          <w:trHeight w:val="848"/>
        </w:trPr>
        <w:tc>
          <w:tcPr>
            <w:tcW w:w="2376" w:type="dxa"/>
            <w:shd w:val="clear" w:color="auto" w:fill="auto"/>
          </w:tcPr>
          <w:p w:rsidR="00A80BCE" w:rsidRPr="00944ED0" w:rsidRDefault="00A80BCE" w:rsidP="00497B7D">
            <w:pPr>
              <w:pStyle w:val="Heading3"/>
            </w:pPr>
            <w:r w:rsidRPr="00944ED0">
              <w:t xml:space="preserve">Project Implementation Rate </w:t>
            </w:r>
          </w:p>
        </w:tc>
        <w:tc>
          <w:tcPr>
            <w:tcW w:w="7069" w:type="dxa"/>
          </w:tcPr>
          <w:p w:rsidR="00A80BCE" w:rsidRDefault="00A80BCE" w:rsidP="00497B7D">
            <w:pPr>
              <w:rPr>
                <w:iCs/>
              </w:rPr>
            </w:pPr>
          </w:p>
          <w:p w:rsidR="00281FAE" w:rsidRDefault="00281FAE" w:rsidP="00497B7D">
            <w:pPr>
              <w:rPr>
                <w:iCs/>
              </w:rPr>
            </w:pPr>
            <w:r>
              <w:rPr>
                <w:iCs/>
              </w:rPr>
              <w:t>The budget utilization rate as per end of July 2019 is: 94%</w:t>
            </w:r>
          </w:p>
          <w:p w:rsidR="00A80BCE" w:rsidRPr="005A233D" w:rsidRDefault="00A80BCE">
            <w:pPr>
              <w:rPr>
                <w:iCs/>
              </w:rPr>
            </w:pPr>
          </w:p>
        </w:tc>
      </w:tr>
      <w:tr w:rsidR="00A80BCE" w:rsidRPr="00944ED0" w:rsidTr="00C74687">
        <w:trPr>
          <w:trHeight w:val="848"/>
        </w:trPr>
        <w:tc>
          <w:tcPr>
            <w:tcW w:w="2376" w:type="dxa"/>
            <w:shd w:val="clear" w:color="auto" w:fill="auto"/>
          </w:tcPr>
          <w:p w:rsidR="00A80BCE" w:rsidRPr="00944ED0" w:rsidRDefault="00A80BCE" w:rsidP="00497B7D">
            <w:pPr>
              <w:pStyle w:val="Heading3"/>
            </w:pPr>
            <w:r w:rsidRPr="00944ED0">
              <w:t>Previous Reports</w:t>
            </w:r>
            <w:r>
              <w:t>/documents</w:t>
            </w:r>
          </w:p>
        </w:tc>
        <w:tc>
          <w:tcPr>
            <w:tcW w:w="7069" w:type="dxa"/>
          </w:tcPr>
          <w:p w:rsidR="00A80BCE" w:rsidRDefault="00A80BCE" w:rsidP="00497B7D">
            <w:pPr>
              <w:rPr>
                <w:iCs/>
              </w:rPr>
            </w:pPr>
          </w:p>
          <w:p w:rsidR="00A80BCE" w:rsidRPr="005A233D" w:rsidRDefault="00A80BCE" w:rsidP="00497B7D">
            <w:pPr>
              <w:rPr>
                <w:iCs/>
              </w:rPr>
            </w:pPr>
            <w:r>
              <w:rPr>
                <w:iCs/>
              </w:rPr>
              <w:t>CDIP/18/2 Annex V; CDIP/20/2 Annex V; CDIP/22/2 Annex II.</w:t>
            </w:r>
          </w:p>
        </w:tc>
      </w:tr>
      <w:tr w:rsidR="00A80BCE" w:rsidRPr="00944ED0" w:rsidTr="00C74687">
        <w:trPr>
          <w:trHeight w:val="848"/>
        </w:trPr>
        <w:tc>
          <w:tcPr>
            <w:tcW w:w="2376" w:type="dxa"/>
            <w:shd w:val="clear" w:color="auto" w:fill="auto"/>
          </w:tcPr>
          <w:p w:rsidR="00A80BCE" w:rsidRPr="00944ED0" w:rsidRDefault="00A80BCE" w:rsidP="00497B7D">
            <w:pPr>
              <w:pStyle w:val="Heading3"/>
            </w:pPr>
            <w:r>
              <w:lastRenderedPageBreak/>
              <w:t>Follow-up</w:t>
            </w:r>
          </w:p>
        </w:tc>
        <w:tc>
          <w:tcPr>
            <w:tcW w:w="7069" w:type="dxa"/>
          </w:tcPr>
          <w:p w:rsidR="00A80BCE" w:rsidRDefault="00A80BCE" w:rsidP="00497B7D">
            <w:pPr>
              <w:rPr>
                <w:iCs/>
              </w:rPr>
            </w:pPr>
          </w:p>
          <w:p w:rsidR="00A80BCE" w:rsidRDefault="00A80BCE" w:rsidP="00497B7D">
            <w:pPr>
              <w:rPr>
                <w:szCs w:val="22"/>
              </w:rPr>
            </w:pPr>
            <w:r>
              <w:rPr>
                <w:szCs w:val="22"/>
              </w:rPr>
              <w:t xml:space="preserve">In order to ensure the project’s sustainability in the long-term and in particular, that the new tools developed under the Project be fully integrated into TISC services, it is recommended to fully mainstream project results into the 2020-21 biennium of Program 14.  </w:t>
            </w:r>
            <w:r w:rsidR="008334A7">
              <w:rPr>
                <w:szCs w:val="22"/>
              </w:rPr>
              <w:t>T</w:t>
            </w:r>
            <w:r>
              <w:rPr>
                <w:szCs w:val="22"/>
              </w:rPr>
              <w:t>o expand the number of national TISC networks using the guides and the Portal, further practical training will be needed as evidenced by the feedback gathered during the validation workshops.  This w</w:t>
            </w:r>
            <w:r w:rsidR="00990363">
              <w:rPr>
                <w:szCs w:val="22"/>
              </w:rPr>
              <w:t>ill</w:t>
            </w:r>
            <w:r>
              <w:rPr>
                <w:szCs w:val="22"/>
              </w:rPr>
              <w:t xml:space="preserve"> entail developing more </w:t>
            </w:r>
            <w:r w:rsidR="008334A7">
              <w:rPr>
                <w:szCs w:val="22"/>
              </w:rPr>
              <w:t xml:space="preserve">practical </w:t>
            </w:r>
            <w:r>
              <w:rPr>
                <w:szCs w:val="22"/>
              </w:rPr>
              <w:t xml:space="preserve">training programs and tools, including building on </w:t>
            </w:r>
            <w:r w:rsidR="001377AA">
              <w:rPr>
                <w:szCs w:val="22"/>
              </w:rPr>
              <w:t xml:space="preserve">existing </w:t>
            </w:r>
            <w:r>
              <w:rPr>
                <w:szCs w:val="22"/>
              </w:rPr>
              <w:t xml:space="preserve">TISC platforms to further disseminate the teachings of the guides.  </w:t>
            </w:r>
            <w:r w:rsidR="00D602C1">
              <w:rPr>
                <w:szCs w:val="22"/>
              </w:rPr>
              <w:t xml:space="preserve">To expand the training to other TISCs, necessary resources to support such trainings and to integrate these into the TISC program’s work plan will need to be earmarked. </w:t>
            </w:r>
          </w:p>
          <w:p w:rsidR="00D602C1" w:rsidRDefault="00D602C1" w:rsidP="00497B7D">
            <w:pPr>
              <w:rPr>
                <w:szCs w:val="22"/>
              </w:rPr>
            </w:pPr>
          </w:p>
          <w:p w:rsidR="00A80BCE" w:rsidRPr="004A6935" w:rsidRDefault="00A80BCE" w:rsidP="00497B7D">
            <w:pPr>
              <w:rPr>
                <w:bCs/>
              </w:rPr>
            </w:pPr>
            <w:r>
              <w:rPr>
                <w:iCs/>
              </w:rPr>
              <w:t xml:space="preserve">To make sure that the information on the Portal remains up-to-date and that the cloud-based solution remains operational and appropriate in line with business and users’ needs, regular monitoring and maintenance of the Portal will need to be ensured after the project has ended, and appropriate resources also earmarked for this purpose.  Future developments in this regard will also need to take into account other developments in platforms and tools in the framework of the TISC program, as well as other areas, e.g. standards. </w:t>
            </w:r>
            <w:r>
              <w:rPr>
                <w:bCs/>
              </w:rPr>
              <w:t xml:space="preserve">  </w:t>
            </w:r>
            <w:r w:rsidRPr="004A6935">
              <w:rPr>
                <w:bCs/>
              </w:rPr>
              <w:t xml:space="preserve"> </w:t>
            </w:r>
          </w:p>
          <w:p w:rsidR="00A80BCE" w:rsidRPr="005A233D" w:rsidRDefault="00A80BCE" w:rsidP="00497B7D">
            <w:pPr>
              <w:rPr>
                <w:iCs/>
              </w:rPr>
            </w:pPr>
          </w:p>
        </w:tc>
      </w:tr>
      <w:tr w:rsidR="00CB202B" w:rsidRPr="00996E2C" w:rsidTr="004D7FE9">
        <w:tblPrEx>
          <w:tblLook w:val="04A0" w:firstRow="1" w:lastRow="0" w:firstColumn="1" w:lastColumn="0" w:noHBand="0" w:noVBand="1"/>
        </w:tblPrEx>
        <w:trPr>
          <w:trHeight w:val="264"/>
        </w:trPr>
        <w:tc>
          <w:tcPr>
            <w:tcW w:w="9445" w:type="dxa"/>
            <w:gridSpan w:val="2"/>
            <w:shd w:val="clear" w:color="auto" w:fill="auto"/>
          </w:tcPr>
          <w:p w:rsidR="00CB202B" w:rsidRDefault="00CB202B" w:rsidP="00DD5195">
            <w:r>
              <w:br w:type="page"/>
            </w:r>
          </w:p>
          <w:p w:rsidR="00CB202B" w:rsidRPr="00996E2C" w:rsidRDefault="00CB202B" w:rsidP="00DD5195">
            <w:pPr>
              <w:rPr>
                <w:b/>
              </w:rPr>
            </w:pPr>
            <w:r w:rsidRPr="00996E2C">
              <w:rPr>
                <w:b/>
              </w:rPr>
              <w:t>PROJECT SELF-EVALUATION</w:t>
            </w:r>
          </w:p>
        </w:tc>
      </w:tr>
    </w:tbl>
    <w:p w:rsidR="00CB202B" w:rsidRPr="00944ED0" w:rsidRDefault="00CB202B" w:rsidP="00CB202B"/>
    <w:p w:rsidR="00CB202B" w:rsidRPr="00944ED0" w:rsidRDefault="00CB202B" w:rsidP="00CB202B">
      <w:r w:rsidRPr="00944ED0">
        <w:t>Key to Traffic Light System (TLS)</w:t>
      </w:r>
    </w:p>
    <w:p w:rsidR="00CB202B" w:rsidRPr="00944ED0" w:rsidRDefault="00CB202B" w:rsidP="00CB202B"/>
    <w:tbl>
      <w:tblPr>
        <w:tblW w:w="938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
        <w:gridCol w:w="1416"/>
        <w:gridCol w:w="960"/>
        <w:gridCol w:w="717"/>
        <w:gridCol w:w="1797"/>
        <w:gridCol w:w="180"/>
        <w:gridCol w:w="1715"/>
        <w:gridCol w:w="1687"/>
        <w:gridCol w:w="876"/>
      </w:tblGrid>
      <w:tr w:rsidR="00CB202B" w:rsidRPr="00C04BA6" w:rsidTr="001347EF">
        <w:trPr>
          <w:gridBefore w:val="1"/>
          <w:wBefore w:w="34" w:type="dxa"/>
          <w:trHeight w:val="469"/>
        </w:trPr>
        <w:tc>
          <w:tcPr>
            <w:tcW w:w="1416" w:type="dxa"/>
            <w:shd w:val="clear" w:color="auto" w:fill="auto"/>
            <w:vAlign w:val="center"/>
          </w:tcPr>
          <w:p w:rsidR="00CB202B" w:rsidRPr="00C04BA6" w:rsidRDefault="00CB202B" w:rsidP="00DD5195">
            <w:r w:rsidRPr="00C04BA6">
              <w:t>****</w:t>
            </w:r>
          </w:p>
        </w:tc>
        <w:tc>
          <w:tcPr>
            <w:tcW w:w="1677" w:type="dxa"/>
            <w:gridSpan w:val="2"/>
            <w:shd w:val="clear" w:color="auto" w:fill="auto"/>
            <w:vAlign w:val="center"/>
          </w:tcPr>
          <w:p w:rsidR="00CB202B" w:rsidRPr="00C04BA6" w:rsidRDefault="00CB202B" w:rsidP="00DD5195">
            <w:r w:rsidRPr="00C04BA6">
              <w:t>***</w:t>
            </w:r>
          </w:p>
        </w:tc>
        <w:tc>
          <w:tcPr>
            <w:tcW w:w="1797" w:type="dxa"/>
            <w:shd w:val="clear" w:color="auto" w:fill="auto"/>
            <w:vAlign w:val="center"/>
          </w:tcPr>
          <w:p w:rsidR="00CB202B" w:rsidRPr="00C04BA6" w:rsidRDefault="00CB202B" w:rsidP="00DD5195">
            <w:r w:rsidRPr="00C04BA6">
              <w:t>**</w:t>
            </w:r>
          </w:p>
        </w:tc>
        <w:tc>
          <w:tcPr>
            <w:tcW w:w="1895" w:type="dxa"/>
            <w:gridSpan w:val="2"/>
            <w:shd w:val="clear" w:color="auto" w:fill="auto"/>
            <w:vAlign w:val="center"/>
          </w:tcPr>
          <w:p w:rsidR="00CB202B" w:rsidRPr="00C04BA6" w:rsidRDefault="00CB202B" w:rsidP="00DD5195">
            <w:r w:rsidRPr="00C04BA6">
              <w:t>NP</w:t>
            </w:r>
          </w:p>
        </w:tc>
        <w:tc>
          <w:tcPr>
            <w:tcW w:w="2563" w:type="dxa"/>
            <w:gridSpan w:val="2"/>
            <w:shd w:val="clear" w:color="auto" w:fill="auto"/>
            <w:vAlign w:val="center"/>
          </w:tcPr>
          <w:p w:rsidR="00CB202B" w:rsidRPr="00C04BA6" w:rsidRDefault="00CB202B" w:rsidP="00DD5195">
            <w:r w:rsidRPr="00C04BA6">
              <w:t>NA</w:t>
            </w:r>
          </w:p>
        </w:tc>
      </w:tr>
      <w:tr w:rsidR="00CB202B" w:rsidRPr="00C04BA6" w:rsidTr="001347EF">
        <w:trPr>
          <w:gridBefore w:val="1"/>
          <w:wBefore w:w="34" w:type="dxa"/>
        </w:trPr>
        <w:tc>
          <w:tcPr>
            <w:tcW w:w="1416" w:type="dxa"/>
            <w:shd w:val="clear" w:color="auto" w:fill="auto"/>
          </w:tcPr>
          <w:p w:rsidR="00CB202B" w:rsidRPr="00C04BA6" w:rsidRDefault="00CB202B" w:rsidP="00DD5195">
            <w:r w:rsidRPr="00C04BA6">
              <w:t>Fully achieved</w:t>
            </w:r>
          </w:p>
        </w:tc>
        <w:tc>
          <w:tcPr>
            <w:tcW w:w="1677" w:type="dxa"/>
            <w:gridSpan w:val="2"/>
            <w:shd w:val="clear" w:color="auto" w:fill="auto"/>
          </w:tcPr>
          <w:p w:rsidR="00CB202B" w:rsidRPr="00C04BA6" w:rsidRDefault="00CB202B" w:rsidP="00DD5195">
            <w:r w:rsidRPr="00C04BA6">
              <w:t>Strong progress</w:t>
            </w:r>
          </w:p>
        </w:tc>
        <w:tc>
          <w:tcPr>
            <w:tcW w:w="1797" w:type="dxa"/>
            <w:shd w:val="clear" w:color="auto" w:fill="auto"/>
          </w:tcPr>
          <w:p w:rsidR="00CB202B" w:rsidRPr="00C04BA6" w:rsidRDefault="00CB202B" w:rsidP="00DD5195">
            <w:r w:rsidRPr="00C04BA6">
              <w:t>Some progress</w:t>
            </w:r>
          </w:p>
        </w:tc>
        <w:tc>
          <w:tcPr>
            <w:tcW w:w="1895" w:type="dxa"/>
            <w:gridSpan w:val="2"/>
            <w:shd w:val="clear" w:color="auto" w:fill="auto"/>
          </w:tcPr>
          <w:p w:rsidR="00CB202B" w:rsidRPr="00C04BA6" w:rsidRDefault="00CB202B" w:rsidP="00DD5195">
            <w:r w:rsidRPr="00C04BA6">
              <w:t>No progress</w:t>
            </w:r>
          </w:p>
        </w:tc>
        <w:tc>
          <w:tcPr>
            <w:tcW w:w="2563" w:type="dxa"/>
            <w:gridSpan w:val="2"/>
            <w:shd w:val="clear" w:color="auto" w:fill="auto"/>
          </w:tcPr>
          <w:p w:rsidR="00CB202B" w:rsidRPr="00C04BA6" w:rsidRDefault="00CB202B" w:rsidP="00DD5195">
            <w:r w:rsidRPr="00C04BA6">
              <w:t>Not yet assessed/discontinued</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0" w:type="dxa"/>
            <w:gridSpan w:val="3"/>
            <w:tcBorders>
              <w:top w:val="single" w:sz="2" w:space="0" w:color="000000"/>
              <w:left w:val="single" w:sz="2" w:space="0" w:color="000000"/>
              <w:bottom w:val="single" w:sz="2" w:space="0" w:color="000000"/>
              <w:right w:val="single" w:sz="2" w:space="0" w:color="000000"/>
            </w:tcBorders>
            <w:shd w:val="clear" w:color="auto" w:fill="auto"/>
          </w:tcPr>
          <w:p w:rsidR="00CB202B" w:rsidRDefault="00CB202B" w:rsidP="00DD5195">
            <w:pPr>
              <w:rPr>
                <w:rStyle w:val="Heading3Char"/>
              </w:rPr>
            </w:pPr>
          </w:p>
          <w:p w:rsidR="00CB202B" w:rsidRPr="00EE1981" w:rsidRDefault="00CB202B" w:rsidP="00695F3E">
            <w:pPr>
              <w:rPr>
                <w:b/>
              </w:rPr>
            </w:pPr>
            <w:r w:rsidRPr="00695F3E">
              <w:rPr>
                <w:rStyle w:val="Heading3Char"/>
                <w:b/>
              </w:rPr>
              <w:t>Project Outputs</w:t>
            </w:r>
            <w:r w:rsidR="00695F3E" w:rsidRPr="00695F3E">
              <w:rPr>
                <w:rStyle w:val="FootnoteReference"/>
                <w:b/>
                <w:bCs/>
                <w:szCs w:val="26"/>
                <w:u w:val="single"/>
              </w:rPr>
              <w:footnoteReference w:id="2"/>
            </w:r>
            <w:r w:rsidRPr="00695F3E">
              <w:rPr>
                <w:b/>
              </w:rPr>
              <w:t xml:space="preserve"> </w:t>
            </w:r>
            <w:r w:rsidRPr="00695F3E">
              <w:rPr>
                <w:b/>
              </w:rPr>
              <w:br/>
              <w:t>(Expected result)</w:t>
            </w:r>
          </w:p>
        </w:tc>
        <w:tc>
          <w:tcPr>
            <w:tcW w:w="269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CB202B" w:rsidRDefault="00CB202B" w:rsidP="00DD5195">
            <w:pPr>
              <w:rPr>
                <w:rStyle w:val="Heading3Char"/>
              </w:rPr>
            </w:pPr>
          </w:p>
          <w:p w:rsidR="00CB202B" w:rsidRPr="00EE1981" w:rsidRDefault="00CB202B" w:rsidP="00DD5195">
            <w:pPr>
              <w:rPr>
                <w:b/>
              </w:rPr>
            </w:pPr>
            <w:r w:rsidRPr="00EE1981">
              <w:rPr>
                <w:rStyle w:val="Heading3Char"/>
                <w:b/>
              </w:rPr>
              <w:t>Indicators of Successful Completion</w:t>
            </w:r>
            <w:r w:rsidRPr="00EE1981">
              <w:rPr>
                <w:b/>
              </w:rPr>
              <w:br/>
              <w:t>(Output Indicators)</w:t>
            </w:r>
          </w:p>
          <w:p w:rsidR="00CB202B" w:rsidRPr="00944ED0" w:rsidRDefault="00CB202B" w:rsidP="00DD5195"/>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Pr="00EE1981" w:rsidRDefault="00CB202B" w:rsidP="00DD5195">
            <w:pPr>
              <w:pStyle w:val="Heading3"/>
              <w:rPr>
                <w:b/>
              </w:rPr>
            </w:pPr>
            <w:r w:rsidRPr="00EE1981">
              <w:rPr>
                <w:b/>
              </w:rPr>
              <w:t>Performance Data</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EE1981" w:rsidRDefault="00CB202B" w:rsidP="00DD5195">
            <w:pPr>
              <w:pStyle w:val="Heading3"/>
              <w:rPr>
                <w:b/>
              </w:rPr>
            </w:pPr>
            <w:r w:rsidRPr="00EE1981">
              <w:rPr>
                <w:b/>
              </w:rPr>
              <w:t>TLS</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2" w:space="0" w:color="000000"/>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1. Guides on the identification and use of inventions in the public domain</w:t>
            </w:r>
          </w:p>
          <w:p w:rsidR="00CB202B" w:rsidRPr="00944ED0" w:rsidRDefault="00CB202B" w:rsidP="00DD5195">
            <w:pPr>
              <w:rPr>
                <w:bCs/>
              </w:rPr>
            </w:pPr>
          </w:p>
        </w:tc>
        <w:tc>
          <w:tcPr>
            <w:tcW w:w="2694" w:type="dxa"/>
            <w:gridSpan w:val="3"/>
            <w:tcBorders>
              <w:top w:val="single" w:sz="2"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t>Delivery of first finalized draft of the guides by end 2016.</w:t>
            </w:r>
          </w:p>
          <w:p w:rsidR="00CB202B" w:rsidRPr="00944ED0" w:rsidRDefault="00CB202B" w:rsidP="00DD5195"/>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Default="00CB202B" w:rsidP="00DD5195">
            <w:r>
              <w:t>Consolidated d</w:t>
            </w:r>
            <w:r w:rsidRPr="004A6935">
              <w:t>raft</w:t>
            </w:r>
            <w:r w:rsidR="00E57D9F">
              <w:t>s</w:t>
            </w:r>
            <w:r w:rsidRPr="004A6935">
              <w:t xml:space="preserve"> delivered </w:t>
            </w:r>
            <w:r>
              <w:t xml:space="preserve">in </w:t>
            </w:r>
            <w:r w:rsidRPr="004A6935">
              <w:t xml:space="preserve">June 2017.  </w:t>
            </w:r>
            <w:r>
              <w:t>F</w:t>
            </w:r>
            <w:r w:rsidRPr="004A6935">
              <w:t xml:space="preserve">inal </w:t>
            </w:r>
            <w:r>
              <w:t>draft</w:t>
            </w:r>
            <w:r w:rsidR="00E57D9F">
              <w:t>s</w:t>
            </w:r>
            <w:r>
              <w:t xml:space="preserve"> integrating feedback from pilot</w:t>
            </w:r>
            <w:r w:rsidR="00EF6945">
              <w:t xml:space="preserve"> process</w:t>
            </w:r>
            <w:r>
              <w:t xml:space="preserve"> delivered in July 2018 (Guide 1) and October 2018 (Guide 2).  Peer reviewed versions submitted for professional editing in January 2019 (Guide 1) and May 2019 (Guide 2).  Final versions </w:t>
            </w:r>
            <w:r w:rsidR="00EF6945">
              <w:t xml:space="preserve">(edited and </w:t>
            </w:r>
            <w:r>
              <w:t>design</w:t>
            </w:r>
            <w:r w:rsidR="00EF6945">
              <w:t>ed)</w:t>
            </w:r>
            <w:r>
              <w:t xml:space="preserve"> to be completed by September 2019.</w:t>
            </w:r>
          </w:p>
          <w:p w:rsidR="00CB202B" w:rsidRPr="00944ED0" w:rsidRDefault="00CB202B" w:rsidP="00DD5195"/>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 xml:space="preserve">2. Documentation of experiences and best practices in the </w:t>
            </w:r>
            <w:r w:rsidRPr="004A6935">
              <w:rPr>
                <w:szCs w:val="22"/>
              </w:rPr>
              <w:lastRenderedPageBreak/>
              <w:t>identification and use of inventions in the public domain</w:t>
            </w:r>
          </w:p>
          <w:p w:rsidR="00CB202B" w:rsidRPr="00944ED0" w:rsidRDefault="00CB202B" w:rsidP="00DD5195">
            <w:pPr>
              <w:rPr>
                <w:bCs/>
              </w:rPr>
            </w:pPr>
          </w:p>
        </w:tc>
        <w:tc>
          <w:tcPr>
            <w:tcW w:w="2694" w:type="dxa"/>
            <w:gridSpan w:val="3"/>
            <w:tcBorders>
              <w:top w:val="single" w:sz="6"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lastRenderedPageBreak/>
              <w:t xml:space="preserve">Delivery of documentation from pilot </w:t>
            </w:r>
            <w:r w:rsidRPr="004A6935">
              <w:rPr>
                <w:szCs w:val="22"/>
              </w:rPr>
              <w:lastRenderedPageBreak/>
              <w:t>projects by the end of 2017.</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Pr="004A6935" w:rsidRDefault="00CB202B" w:rsidP="00D5709C">
            <w:r>
              <w:lastRenderedPageBreak/>
              <w:t>P</w:t>
            </w:r>
            <w:r w:rsidRPr="004A6935">
              <w:t>ilot</w:t>
            </w:r>
            <w:r>
              <w:t xml:space="preserve">ing of guides completed and reports documenting the </w:t>
            </w:r>
            <w:r w:rsidR="00D5709C">
              <w:t xml:space="preserve">pilot </w:t>
            </w:r>
            <w:r w:rsidR="00D5709C">
              <w:lastRenderedPageBreak/>
              <w:t xml:space="preserve">countries’ </w:t>
            </w:r>
            <w:r>
              <w:t xml:space="preserve">experiences delivered in December 2017. </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lastRenderedPageBreak/>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3. Roster of core experts</w:t>
            </w:r>
          </w:p>
          <w:p w:rsidR="00CB202B" w:rsidRPr="004A6935" w:rsidRDefault="00CB202B" w:rsidP="00DD5195">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t>Roster with at least two core experts per region established by end 2016.</w:t>
            </w:r>
          </w:p>
          <w:p w:rsidR="00CB202B" w:rsidRPr="004A6935" w:rsidRDefault="00CB202B" w:rsidP="00DD5195">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Pr="004A6935" w:rsidRDefault="00CB202B" w:rsidP="00DD5195">
            <w:pPr>
              <w:rPr>
                <w:iCs/>
              </w:rPr>
            </w:pPr>
            <w:r>
              <w:rPr>
                <w:iCs/>
              </w:rPr>
              <w:t>E</w:t>
            </w:r>
            <w:r w:rsidRPr="004A6935">
              <w:rPr>
                <w:iCs/>
              </w:rPr>
              <w:t xml:space="preserve">xperts involved in the </w:t>
            </w:r>
            <w:r w:rsidR="00E57D9F">
              <w:rPr>
                <w:iCs/>
              </w:rPr>
              <w:t xml:space="preserve">drafting </w:t>
            </w:r>
            <w:r w:rsidRPr="004A6935">
              <w:rPr>
                <w:iCs/>
              </w:rPr>
              <w:t>of the guides</w:t>
            </w:r>
            <w:r>
              <w:rPr>
                <w:iCs/>
              </w:rPr>
              <w:t>, in the pilot</w:t>
            </w:r>
            <w:r w:rsidR="00E57D9F">
              <w:rPr>
                <w:iCs/>
              </w:rPr>
              <w:t xml:space="preserve"> process</w:t>
            </w:r>
            <w:r>
              <w:rPr>
                <w:iCs/>
              </w:rPr>
              <w:t>, and in the workshops available to act as resource persons to support TISCs in the use of the guides.</w:t>
            </w:r>
          </w:p>
          <w:p w:rsidR="00CB202B" w:rsidRPr="004A6935" w:rsidRDefault="00CB202B" w:rsidP="00DD5195"/>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4. Training materials</w:t>
            </w:r>
          </w:p>
          <w:p w:rsidR="00CB202B" w:rsidRPr="004A6935" w:rsidRDefault="00CB202B" w:rsidP="00DD5195">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t>At least two presentations established based on the guides on the identification and use of inventions in the public domain by mid-2017.</w:t>
            </w:r>
          </w:p>
          <w:p w:rsidR="00CB202B" w:rsidRPr="004A6935" w:rsidRDefault="00CB202B" w:rsidP="00DD5195">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Default="00CB202B" w:rsidP="00DD5195">
            <w:r>
              <w:t xml:space="preserve">Presentations and </w:t>
            </w:r>
            <w:r w:rsidRPr="004A6935">
              <w:t>materials</w:t>
            </w:r>
            <w:r w:rsidR="00B10F42">
              <w:t xml:space="preserve"> </w:t>
            </w:r>
            <w:r>
              <w:t xml:space="preserve">delivered and fine-tuned </w:t>
            </w:r>
            <w:r w:rsidR="00B8446E">
              <w:t xml:space="preserve">based </w:t>
            </w:r>
            <w:r>
              <w:t>on feedback gathered during the workshops.</w:t>
            </w:r>
          </w:p>
          <w:p w:rsidR="00CB202B" w:rsidRPr="004A6935" w:rsidRDefault="00CB202B" w:rsidP="00DD5195"/>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5. Improved legal status portal</w:t>
            </w:r>
          </w:p>
          <w:p w:rsidR="00CB202B" w:rsidRPr="004A6935" w:rsidRDefault="00CB202B" w:rsidP="00DD5195">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t>New interface developed by mid-2016.  New help pages added by mid-2017.  New form added by end 2017.</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Default="00CF6D5D" w:rsidP="00DD5195">
            <w:pPr>
              <w:rPr>
                <w:bCs/>
              </w:rPr>
            </w:pPr>
            <w:r>
              <w:rPr>
                <w:bCs/>
              </w:rPr>
              <w:t>P</w:t>
            </w:r>
            <w:r w:rsidR="00CB202B">
              <w:rPr>
                <w:bCs/>
              </w:rPr>
              <w:t>ortal with n</w:t>
            </w:r>
            <w:r w:rsidR="00CB202B" w:rsidRPr="004A6935">
              <w:rPr>
                <w:bCs/>
              </w:rPr>
              <w:t xml:space="preserve">ew </w:t>
            </w:r>
            <w:r w:rsidR="00CB202B">
              <w:rPr>
                <w:bCs/>
              </w:rPr>
              <w:t xml:space="preserve">user </w:t>
            </w:r>
            <w:r w:rsidR="00CB202B" w:rsidRPr="004A6935">
              <w:rPr>
                <w:bCs/>
              </w:rPr>
              <w:t xml:space="preserve">interface </w:t>
            </w:r>
            <w:r w:rsidR="00CB202B">
              <w:rPr>
                <w:bCs/>
              </w:rPr>
              <w:t xml:space="preserve">and </w:t>
            </w:r>
            <w:r w:rsidR="00CB202B" w:rsidRPr="004A6935">
              <w:rPr>
                <w:bCs/>
              </w:rPr>
              <w:t>updated</w:t>
            </w:r>
            <w:r w:rsidR="002C4159">
              <w:rPr>
                <w:bCs/>
              </w:rPr>
              <w:t>/</w:t>
            </w:r>
            <w:r w:rsidR="00CB202B">
              <w:rPr>
                <w:bCs/>
              </w:rPr>
              <w:t>new</w:t>
            </w:r>
            <w:r w:rsidR="00CB202B" w:rsidRPr="004A6935">
              <w:rPr>
                <w:bCs/>
              </w:rPr>
              <w:t xml:space="preserve"> content and functionalities</w:t>
            </w:r>
            <w:r>
              <w:rPr>
                <w:bCs/>
              </w:rPr>
              <w:t>,</w:t>
            </w:r>
            <w:r w:rsidR="00CB202B" w:rsidRPr="004A6935">
              <w:rPr>
                <w:bCs/>
              </w:rPr>
              <w:t xml:space="preserve"> including help </w:t>
            </w:r>
            <w:r w:rsidR="00CB202B">
              <w:rPr>
                <w:bCs/>
              </w:rPr>
              <w:t>files, feedback form, and tutorial video</w:t>
            </w:r>
            <w:r>
              <w:rPr>
                <w:bCs/>
              </w:rPr>
              <w:t>,</w:t>
            </w:r>
            <w:r w:rsidR="00CB202B" w:rsidRPr="004A6935">
              <w:rPr>
                <w:bCs/>
              </w:rPr>
              <w:t xml:space="preserve"> completed</w:t>
            </w:r>
            <w:r w:rsidR="00FC3AB0">
              <w:rPr>
                <w:bCs/>
              </w:rPr>
              <w:t>.</w:t>
            </w:r>
            <w:r w:rsidR="00CB202B" w:rsidRPr="004A6935">
              <w:rPr>
                <w:bCs/>
              </w:rPr>
              <w:t xml:space="preserve"> </w:t>
            </w:r>
            <w:r w:rsidR="00FC3AB0">
              <w:rPr>
                <w:bCs/>
              </w:rPr>
              <w:t>L</w:t>
            </w:r>
            <w:r w:rsidR="00CB202B">
              <w:rPr>
                <w:bCs/>
              </w:rPr>
              <w:t>aunched at CDIP/22</w:t>
            </w:r>
            <w:r w:rsidR="00CB202B" w:rsidRPr="004A6935">
              <w:rPr>
                <w:bCs/>
              </w:rPr>
              <w:t>.</w:t>
            </w:r>
            <w:r w:rsidR="00CB202B">
              <w:rPr>
                <w:bCs/>
              </w:rPr>
              <w:t xml:space="preserve"> </w:t>
            </w:r>
          </w:p>
          <w:p w:rsidR="00CB202B" w:rsidRPr="004A6935" w:rsidRDefault="00CB202B" w:rsidP="00DD5195"/>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4" w:space="0" w:color="auto"/>
              <w:right w:val="single" w:sz="6" w:space="0" w:color="000000"/>
            </w:tcBorders>
            <w:shd w:val="clear" w:color="auto" w:fill="auto"/>
          </w:tcPr>
          <w:p w:rsidR="00CB202B" w:rsidRPr="004A6935" w:rsidRDefault="00CB202B" w:rsidP="00DD5195">
            <w:pPr>
              <w:rPr>
                <w:szCs w:val="22"/>
              </w:rPr>
            </w:pPr>
            <w:r w:rsidRPr="004A6935">
              <w:rPr>
                <w:szCs w:val="22"/>
              </w:rPr>
              <w:t xml:space="preserve">6. Guides on the identification and use of inventions in the public domain </w:t>
            </w:r>
            <w:r>
              <w:rPr>
                <w:szCs w:val="22"/>
              </w:rPr>
              <w:t>in the      six official languages (see CDIP/18/11)</w:t>
            </w:r>
          </w:p>
          <w:p w:rsidR="00CB202B" w:rsidRPr="004A6935" w:rsidRDefault="00CB202B" w:rsidP="00DD5195">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shd w:val="clear" w:color="auto" w:fill="auto"/>
          </w:tcPr>
          <w:p w:rsidR="00CB202B" w:rsidRPr="004A6935" w:rsidRDefault="00CB202B" w:rsidP="00DD5195">
            <w:pPr>
              <w:rPr>
                <w:szCs w:val="22"/>
              </w:rPr>
            </w:pPr>
            <w:r w:rsidRPr="004A6935">
              <w:rPr>
                <w:szCs w:val="22"/>
              </w:rPr>
              <w:t>Delivery of the translated guides by mid-2018.</w:t>
            </w:r>
          </w:p>
          <w:p w:rsidR="00CB202B" w:rsidRPr="004A6935" w:rsidRDefault="00CB202B" w:rsidP="00DD5195">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Default="00CB202B" w:rsidP="00DD5195">
            <w:r>
              <w:t>Translation of the guides to be initiated once professional editing and design is completed.  Chinese and Spanish translations in the pipeline, to be followed by French, Russian and Arabic.</w:t>
            </w:r>
          </w:p>
          <w:p w:rsidR="00CB202B" w:rsidRPr="004A6935" w:rsidRDefault="00CB202B" w:rsidP="00DD5195"/>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r w:rsidR="00CB202B" w:rsidRPr="00944ED0" w:rsidTr="00134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410" w:type="dxa"/>
            <w:gridSpan w:val="3"/>
            <w:tcBorders>
              <w:top w:val="single" w:sz="4" w:space="0" w:color="auto"/>
              <w:left w:val="single" w:sz="2" w:space="0" w:color="000000"/>
              <w:bottom w:val="single" w:sz="2" w:space="0" w:color="000000"/>
              <w:right w:val="single" w:sz="6" w:space="0" w:color="000000"/>
            </w:tcBorders>
            <w:shd w:val="clear" w:color="auto" w:fill="auto"/>
          </w:tcPr>
          <w:p w:rsidR="00CB202B" w:rsidRPr="004A6935" w:rsidRDefault="00CB202B" w:rsidP="00DD5195">
            <w:pPr>
              <w:rPr>
                <w:szCs w:val="22"/>
              </w:rPr>
            </w:pPr>
            <w:r w:rsidRPr="004A6935">
              <w:rPr>
                <w:szCs w:val="22"/>
              </w:rPr>
              <w:t>7. Skills to administer and provide services related to inventions in the public domain</w:t>
            </w:r>
          </w:p>
          <w:p w:rsidR="00CB202B" w:rsidRPr="004A6935" w:rsidRDefault="00CB202B" w:rsidP="00DD5195">
            <w:pPr>
              <w:rPr>
                <w:szCs w:val="22"/>
              </w:rPr>
            </w:pPr>
          </w:p>
        </w:tc>
        <w:tc>
          <w:tcPr>
            <w:tcW w:w="2694" w:type="dxa"/>
            <w:gridSpan w:val="3"/>
            <w:tcBorders>
              <w:top w:val="single" w:sz="6" w:space="0" w:color="000000"/>
              <w:left w:val="single" w:sz="6" w:space="0" w:color="000000"/>
              <w:bottom w:val="single" w:sz="2" w:space="0" w:color="000000"/>
              <w:right w:val="single" w:sz="2" w:space="0" w:color="000000"/>
            </w:tcBorders>
            <w:shd w:val="clear" w:color="auto" w:fill="auto"/>
          </w:tcPr>
          <w:p w:rsidR="00CB202B" w:rsidRPr="004A6935" w:rsidRDefault="00CB202B" w:rsidP="00DD5195">
            <w:pPr>
              <w:rPr>
                <w:szCs w:val="22"/>
              </w:rPr>
            </w:pPr>
            <w:r w:rsidRPr="004A6935">
              <w:rPr>
                <w:szCs w:val="22"/>
              </w:rPr>
              <w:t>Surveys completed at workshops by end 2018 indicating that the project has developed skills in administering and/or providing services related to inventions in the public domain.</w:t>
            </w:r>
          </w:p>
          <w:p w:rsidR="00CB202B" w:rsidRPr="004A6935" w:rsidRDefault="00CB202B" w:rsidP="00DD5195">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B202B" w:rsidRPr="004A6935" w:rsidRDefault="00CB202B" w:rsidP="00F51387">
            <w:r>
              <w:t>Provision of technical assistance to selected TISC</w:t>
            </w:r>
            <w:r w:rsidR="00254519">
              <w:t>s</w:t>
            </w:r>
            <w:r>
              <w:t xml:space="preserve"> </w:t>
            </w:r>
            <w:r w:rsidR="00254519">
              <w:t xml:space="preserve">initiated </w:t>
            </w:r>
            <w:r>
              <w:t xml:space="preserve">in the second half of 2018 and completed </w:t>
            </w:r>
            <w:r w:rsidR="00254519">
              <w:t xml:space="preserve">in </w:t>
            </w:r>
            <w:r>
              <w:t>June 2019.  99.6% of the participants reported that the workshops were successful in building their knowledge and skills.</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CB202B" w:rsidRPr="00944ED0" w:rsidRDefault="00CB202B" w:rsidP="00DD5195">
            <w:r>
              <w:t>****</w:t>
            </w:r>
          </w:p>
        </w:tc>
      </w:tr>
    </w:tbl>
    <w:p w:rsidR="00CB202B" w:rsidRDefault="00CB202B" w:rsidP="00CB202B">
      <w:pPr>
        <w:ind w:left="-180"/>
      </w:pPr>
    </w:p>
    <w:p w:rsidR="005165E7" w:rsidRPr="00944ED0" w:rsidRDefault="005165E7" w:rsidP="00CB202B">
      <w:pPr>
        <w:ind w:left="-18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CB202B" w:rsidRPr="00944ED0" w:rsidTr="00DD5195">
        <w:trPr>
          <w:trHeight w:val="616"/>
        </w:trPr>
        <w:tc>
          <w:tcPr>
            <w:tcW w:w="2410" w:type="dxa"/>
            <w:shd w:val="clear" w:color="auto" w:fill="auto"/>
          </w:tcPr>
          <w:p w:rsidR="00CB202B" w:rsidRPr="00944ED0" w:rsidRDefault="00CB202B" w:rsidP="00DD5195">
            <w:pPr>
              <w:pStyle w:val="Heading3"/>
            </w:pPr>
            <w:r w:rsidRPr="009227FA">
              <w:t>Project Objectives</w:t>
            </w:r>
          </w:p>
        </w:tc>
        <w:tc>
          <w:tcPr>
            <w:tcW w:w="2694" w:type="dxa"/>
            <w:shd w:val="clear" w:color="auto" w:fill="auto"/>
          </w:tcPr>
          <w:p w:rsidR="00CB202B" w:rsidRDefault="00CB202B" w:rsidP="00DD5195">
            <w:pPr>
              <w:autoSpaceDE w:val="0"/>
              <w:autoSpaceDN w:val="0"/>
              <w:adjustRightInd w:val="0"/>
              <w:rPr>
                <w:bCs/>
                <w:szCs w:val="22"/>
                <w:u w:val="single"/>
              </w:rPr>
            </w:pPr>
          </w:p>
          <w:p w:rsidR="00CB202B" w:rsidRPr="00F80FF6" w:rsidRDefault="00CB202B" w:rsidP="00DD5195">
            <w:pPr>
              <w:autoSpaceDE w:val="0"/>
              <w:autoSpaceDN w:val="0"/>
              <w:adjustRightInd w:val="0"/>
              <w:rPr>
                <w:bCs/>
                <w:szCs w:val="22"/>
                <w:u w:val="single"/>
              </w:rPr>
            </w:pPr>
            <w:r w:rsidRPr="00F80FF6">
              <w:rPr>
                <w:bCs/>
                <w:szCs w:val="22"/>
                <w:u w:val="single"/>
              </w:rPr>
              <w:t>Indicators of Success in Achieving Project Objective</w:t>
            </w:r>
          </w:p>
          <w:p w:rsidR="00CB202B" w:rsidRPr="005D3B8B" w:rsidRDefault="00CB202B" w:rsidP="005D3B8B">
            <w:pPr>
              <w:autoSpaceDE w:val="0"/>
              <w:autoSpaceDN w:val="0"/>
              <w:adjustRightInd w:val="0"/>
              <w:rPr>
                <w:bCs/>
                <w:szCs w:val="22"/>
                <w:u w:val="single"/>
              </w:rPr>
            </w:pPr>
            <w:r w:rsidRPr="00F80FF6">
              <w:rPr>
                <w:bCs/>
                <w:szCs w:val="22"/>
                <w:u w:val="single"/>
              </w:rPr>
              <w:t>(Outcome Indicators)</w:t>
            </w:r>
          </w:p>
        </w:tc>
        <w:tc>
          <w:tcPr>
            <w:tcW w:w="3402" w:type="dxa"/>
            <w:shd w:val="clear" w:color="auto" w:fill="auto"/>
          </w:tcPr>
          <w:p w:rsidR="00CB202B" w:rsidRPr="00944ED0" w:rsidRDefault="00CB202B" w:rsidP="00DD5195">
            <w:pPr>
              <w:pStyle w:val="Heading3"/>
            </w:pPr>
            <w:r w:rsidRPr="00F80FF6">
              <w:rPr>
                <w:bCs w:val="0"/>
                <w:szCs w:val="22"/>
              </w:rPr>
              <w:t>Performance Data</w:t>
            </w:r>
          </w:p>
        </w:tc>
        <w:tc>
          <w:tcPr>
            <w:tcW w:w="850" w:type="dxa"/>
            <w:shd w:val="clear" w:color="auto" w:fill="auto"/>
          </w:tcPr>
          <w:p w:rsidR="00CB202B" w:rsidRPr="00944ED0" w:rsidRDefault="00CB202B" w:rsidP="00DD5195">
            <w:pPr>
              <w:pStyle w:val="Heading3"/>
            </w:pPr>
            <w:r w:rsidRPr="00F80FF6">
              <w:rPr>
                <w:bCs w:val="0"/>
                <w:szCs w:val="22"/>
              </w:rPr>
              <w:t>TLS</w:t>
            </w:r>
          </w:p>
        </w:tc>
      </w:tr>
      <w:tr w:rsidR="00CB202B" w:rsidRPr="00944ED0" w:rsidTr="00DD5195">
        <w:trPr>
          <w:trHeight w:val="509"/>
        </w:trPr>
        <w:tc>
          <w:tcPr>
            <w:tcW w:w="2410" w:type="dxa"/>
            <w:shd w:val="clear" w:color="auto" w:fill="auto"/>
          </w:tcPr>
          <w:p w:rsidR="00CB202B" w:rsidRPr="004A6935" w:rsidRDefault="00CB202B" w:rsidP="00DD5195">
            <w:pPr>
              <w:rPr>
                <w:bCs/>
                <w:szCs w:val="22"/>
              </w:rPr>
            </w:pPr>
            <w:r w:rsidRPr="004A6935">
              <w:rPr>
                <w:bCs/>
                <w:szCs w:val="22"/>
              </w:rPr>
              <w:t xml:space="preserve">1. Facilitate access to knowledge and technology for developing countries </w:t>
            </w:r>
            <w:r w:rsidRPr="004A6935">
              <w:rPr>
                <w:bCs/>
                <w:szCs w:val="22"/>
              </w:rPr>
              <w:lastRenderedPageBreak/>
              <w:t>and LDCs and to assist interested member states in identifying and making use of subject matter that is in or has fallen into the public domain within their jurisdictions</w:t>
            </w:r>
          </w:p>
          <w:p w:rsidR="00CB202B" w:rsidRDefault="00CB202B" w:rsidP="00DD5195">
            <w:pPr>
              <w:rPr>
                <w:bCs/>
              </w:rPr>
            </w:pPr>
          </w:p>
          <w:p w:rsidR="00CB202B" w:rsidRPr="00F80FF6" w:rsidRDefault="00CB202B" w:rsidP="00DD5195">
            <w:pPr>
              <w:autoSpaceDE w:val="0"/>
              <w:autoSpaceDN w:val="0"/>
              <w:adjustRightInd w:val="0"/>
              <w:rPr>
                <w:bCs/>
              </w:rPr>
            </w:pPr>
          </w:p>
        </w:tc>
        <w:tc>
          <w:tcPr>
            <w:tcW w:w="2694" w:type="dxa"/>
            <w:shd w:val="clear" w:color="auto" w:fill="auto"/>
          </w:tcPr>
          <w:p w:rsidR="00CB202B" w:rsidRPr="004A6935" w:rsidRDefault="00CB202B" w:rsidP="00DD5195">
            <w:pPr>
              <w:rPr>
                <w:szCs w:val="22"/>
              </w:rPr>
            </w:pPr>
            <w:r w:rsidRPr="004A6935">
              <w:rPr>
                <w:szCs w:val="22"/>
              </w:rPr>
              <w:lastRenderedPageBreak/>
              <w:t xml:space="preserve">TISC services for identifying inventions in the public domain established by at least </w:t>
            </w:r>
            <w:r w:rsidRPr="004A6935">
              <w:rPr>
                <w:szCs w:val="22"/>
              </w:rPr>
              <w:lastRenderedPageBreak/>
              <w:t>six TISCs across different national TISC networks.</w:t>
            </w:r>
          </w:p>
          <w:p w:rsidR="00CB202B" w:rsidRPr="004A6935" w:rsidRDefault="00CB202B" w:rsidP="00DD5195">
            <w:pPr>
              <w:rPr>
                <w:szCs w:val="22"/>
              </w:rPr>
            </w:pPr>
          </w:p>
          <w:p w:rsidR="00CB202B" w:rsidRDefault="00CB202B" w:rsidP="00DD5195">
            <w:pPr>
              <w:rPr>
                <w:szCs w:val="22"/>
              </w:rPr>
            </w:pPr>
            <w:r w:rsidRPr="004A6935">
              <w:rPr>
                <w:szCs w:val="22"/>
              </w:rPr>
              <w:t>TISC services for supporting the use of inventions in the public domain established by at least four TISCs across different national TISC networks.</w:t>
            </w:r>
          </w:p>
          <w:p w:rsidR="00C9075D" w:rsidRDefault="00C9075D" w:rsidP="00DD5195">
            <w:pPr>
              <w:rPr>
                <w:szCs w:val="22"/>
              </w:rPr>
            </w:pPr>
          </w:p>
          <w:p w:rsidR="00CB202B" w:rsidRDefault="00CB202B" w:rsidP="00DD5195">
            <w:pPr>
              <w:rPr>
                <w:szCs w:val="22"/>
              </w:rPr>
            </w:pPr>
            <w:r w:rsidRPr="004A6935">
              <w:rPr>
                <w:szCs w:val="22"/>
              </w:rPr>
              <w:t>Increase</w:t>
            </w:r>
            <w:r>
              <w:rPr>
                <w:szCs w:val="22"/>
              </w:rPr>
              <w:t>d</w:t>
            </w:r>
            <w:r w:rsidRPr="004A6935">
              <w:rPr>
                <w:szCs w:val="22"/>
              </w:rPr>
              <w:t xml:space="preserve"> number of users across TISCs networks identifying and using information in the public domain.</w:t>
            </w:r>
          </w:p>
          <w:p w:rsidR="001C3580" w:rsidRPr="00944ED0" w:rsidRDefault="001C3580" w:rsidP="00DD5195"/>
        </w:tc>
        <w:tc>
          <w:tcPr>
            <w:tcW w:w="3402" w:type="dxa"/>
            <w:shd w:val="clear" w:color="auto" w:fill="auto"/>
          </w:tcPr>
          <w:p w:rsidR="00CB202B" w:rsidRDefault="00CB202B" w:rsidP="00DD5195">
            <w:r>
              <w:lastRenderedPageBreak/>
              <w:t xml:space="preserve">Nine TISC networks received training on the guides with the objective to support the development of their knowledge </w:t>
            </w:r>
            <w:r>
              <w:lastRenderedPageBreak/>
              <w:t xml:space="preserve">and skills in identifying and using inventions in the public domain using the approaches and tools taught in the guides. </w:t>
            </w:r>
          </w:p>
          <w:p w:rsidR="00CB202B" w:rsidRDefault="00CB202B" w:rsidP="00DD5195"/>
          <w:p w:rsidR="00C9075D" w:rsidRDefault="006565EB" w:rsidP="00DD5195">
            <w:r>
              <w:t>A</w:t>
            </w:r>
            <w:r w:rsidR="00CB202B">
              <w:t xml:space="preserve">dditional training </w:t>
            </w:r>
            <w:r>
              <w:t xml:space="preserve">and support </w:t>
            </w:r>
            <w:r w:rsidR="00CB202B">
              <w:t>will be needed for TISC</w:t>
            </w:r>
            <w:r>
              <w:t>s</w:t>
            </w:r>
            <w:r w:rsidR="00CB202B">
              <w:t xml:space="preserve"> to fully assimilate and integrate the knowledge and skills acquired</w:t>
            </w:r>
          </w:p>
          <w:p w:rsidR="00CB202B" w:rsidRPr="00944ED0" w:rsidRDefault="00CB202B" w:rsidP="004934B9">
            <w:r>
              <w:t xml:space="preserve">during the workshops </w:t>
            </w:r>
            <w:r w:rsidR="006565EB">
              <w:t xml:space="preserve">and </w:t>
            </w:r>
            <w:r>
              <w:t>to develop new TISC services in this area.</w:t>
            </w:r>
          </w:p>
        </w:tc>
        <w:tc>
          <w:tcPr>
            <w:tcW w:w="850" w:type="dxa"/>
            <w:shd w:val="clear" w:color="auto" w:fill="auto"/>
          </w:tcPr>
          <w:p w:rsidR="00CB202B" w:rsidRPr="00944ED0" w:rsidRDefault="00CB202B" w:rsidP="00DD5195">
            <w:r>
              <w:lastRenderedPageBreak/>
              <w:t>***</w:t>
            </w:r>
          </w:p>
        </w:tc>
      </w:tr>
    </w:tbl>
    <w:p w:rsidR="006D20ED" w:rsidRDefault="006D20ED"/>
    <w:p w:rsidR="000A1F76" w:rsidRDefault="000A1F76"/>
    <w:p w:rsidR="006D20ED" w:rsidRDefault="006D20ED" w:rsidP="006D20ED">
      <w:pPr>
        <w:jc w:val="right"/>
      </w:pPr>
      <w:bookmarkStart w:id="5" w:name="_GoBack"/>
      <w:bookmarkEnd w:id="5"/>
      <w:r>
        <w:t>[End of Annex and of document]</w:t>
      </w:r>
    </w:p>
    <w:sectPr w:rsidR="006D20ED" w:rsidSect="00E06F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5E" w:rsidRDefault="0016775E">
      <w:r>
        <w:separator/>
      </w:r>
    </w:p>
  </w:endnote>
  <w:endnote w:type="continuationSeparator" w:id="0">
    <w:p w:rsidR="0016775E" w:rsidRDefault="0016775E" w:rsidP="003B38C1">
      <w:r>
        <w:separator/>
      </w:r>
    </w:p>
    <w:p w:rsidR="0016775E" w:rsidRPr="003B38C1" w:rsidRDefault="0016775E" w:rsidP="003B38C1">
      <w:pPr>
        <w:spacing w:after="60"/>
        <w:rPr>
          <w:sz w:val="17"/>
        </w:rPr>
      </w:pPr>
      <w:r>
        <w:rPr>
          <w:sz w:val="17"/>
        </w:rPr>
        <w:t>[Endnote continued from previous page]</w:t>
      </w:r>
    </w:p>
  </w:endnote>
  <w:endnote w:type="continuationNotice" w:id="1">
    <w:p w:rsidR="0016775E" w:rsidRPr="003B38C1" w:rsidRDefault="001677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8" w:rsidRDefault="00CA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8" w:rsidRDefault="00CA2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8" w:rsidRDefault="00CA2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rsidP="00C402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5E" w:rsidRDefault="0016775E">
      <w:r>
        <w:separator/>
      </w:r>
    </w:p>
  </w:footnote>
  <w:footnote w:type="continuationSeparator" w:id="0">
    <w:p w:rsidR="0016775E" w:rsidRDefault="0016775E" w:rsidP="008B60B2">
      <w:r>
        <w:separator/>
      </w:r>
    </w:p>
    <w:p w:rsidR="0016775E" w:rsidRPr="00ED77FB" w:rsidRDefault="0016775E" w:rsidP="008B60B2">
      <w:pPr>
        <w:spacing w:after="60"/>
        <w:rPr>
          <w:sz w:val="17"/>
          <w:szCs w:val="17"/>
        </w:rPr>
      </w:pPr>
      <w:r w:rsidRPr="00ED77FB">
        <w:rPr>
          <w:sz w:val="17"/>
          <w:szCs w:val="17"/>
        </w:rPr>
        <w:t>[Footnote continued from previous page]</w:t>
      </w:r>
    </w:p>
  </w:footnote>
  <w:footnote w:type="continuationNotice" w:id="1">
    <w:p w:rsidR="0016775E" w:rsidRPr="00ED77FB" w:rsidRDefault="0016775E" w:rsidP="008B60B2">
      <w:pPr>
        <w:spacing w:before="60"/>
        <w:jc w:val="right"/>
        <w:rPr>
          <w:sz w:val="17"/>
          <w:szCs w:val="17"/>
        </w:rPr>
      </w:pPr>
      <w:r w:rsidRPr="00ED77FB">
        <w:rPr>
          <w:sz w:val="17"/>
          <w:szCs w:val="17"/>
        </w:rPr>
        <w:t>[Footnote continued on next page]</w:t>
      </w:r>
    </w:p>
  </w:footnote>
  <w:footnote w:id="2">
    <w:p w:rsidR="00695F3E" w:rsidRPr="00695F3E" w:rsidRDefault="00695F3E" w:rsidP="00695F3E">
      <w:pPr>
        <w:pStyle w:val="FootnoteText"/>
      </w:pPr>
      <w:r>
        <w:rPr>
          <w:rStyle w:val="FootnoteReference"/>
        </w:rPr>
        <w:footnoteRef/>
      </w:r>
      <w:r>
        <w:t xml:space="preserve"> </w:t>
      </w:r>
      <w:r w:rsidRPr="00695F3E">
        <w:t>As per the original Project Document, CDIP/16/4 Rev., Annex,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rsidP="00C4022C">
    <w:pPr>
      <w:jc w:val="right"/>
    </w:pPr>
    <w:r>
      <w:t>CDIP/24/3</w:t>
    </w:r>
  </w:p>
  <w:p w:rsidR="00C4022C" w:rsidRDefault="00C4022C" w:rsidP="00C4022C">
    <w:pPr>
      <w:jc w:val="right"/>
      <w:rPr>
        <w:noProof/>
      </w:rPr>
    </w:pPr>
    <w:r>
      <w:rPr>
        <w:rStyle w:val="PageNumber"/>
      </w:rPr>
      <w:t>Annex, page</w:t>
    </w:r>
    <w:r>
      <w:t xml:space="preserve"> </w:t>
    </w:r>
    <w:sdt>
      <w:sdtPr>
        <w:id w:val="-18005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5B2B">
          <w:rPr>
            <w:noProof/>
          </w:rPr>
          <w:t>11</w:t>
        </w:r>
        <w:r>
          <w:rPr>
            <w:noProof/>
          </w:rPr>
          <w:fldChar w:fldCharType="end"/>
        </w:r>
      </w:sdtContent>
    </w:sdt>
  </w:p>
  <w:p w:rsidR="00C4022C" w:rsidRDefault="00C4022C" w:rsidP="00C4022C">
    <w:pPr>
      <w:jc w:val="right"/>
      <w:rPr>
        <w:noProof/>
      </w:rPr>
    </w:pPr>
  </w:p>
  <w:p w:rsidR="00C4022C" w:rsidRDefault="00C4022C" w:rsidP="00C4022C">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A7723C" w:rsidP="00477D6B">
    <w:pPr>
      <w:jc w:val="right"/>
    </w:pPr>
    <w:r>
      <w:t>CDIP/24/3</w:t>
    </w:r>
  </w:p>
  <w:p w:rsidR="009F61DC" w:rsidRDefault="009F61DC" w:rsidP="00477D6B">
    <w:pPr>
      <w:jc w:val="right"/>
      <w:rPr>
        <w:noProof/>
      </w:rPr>
    </w:pPr>
    <w:r>
      <w:rPr>
        <w:rStyle w:val="PageNumber"/>
      </w:rPr>
      <w:t>Annex, 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5B2B">
          <w:rPr>
            <w:noProof/>
          </w:rPr>
          <w:t>11</w:t>
        </w:r>
        <w:r>
          <w:rPr>
            <w:noProof/>
          </w:rPr>
          <w:fldChar w:fldCharType="end"/>
        </w:r>
      </w:sdtContent>
    </w:sdt>
  </w:p>
  <w:p w:rsidR="00695F3E" w:rsidRDefault="00695F3E" w:rsidP="00477D6B">
    <w:pPr>
      <w:jc w:val="right"/>
      <w:rPr>
        <w:noProof/>
      </w:rPr>
    </w:pPr>
  </w:p>
  <w:p w:rsidR="00695F3E" w:rsidRDefault="00695F3E"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8" w:rsidRDefault="00CA2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rsidP="00C4022C">
    <w:pPr>
      <w:jc w:val="right"/>
    </w:pPr>
    <w:r>
      <w:t>CDIP/24/3</w:t>
    </w:r>
  </w:p>
  <w:p w:rsidR="00C4022C" w:rsidRDefault="00C4022C" w:rsidP="00C4022C">
    <w:pPr>
      <w:jc w:val="right"/>
      <w:rPr>
        <w:noProof/>
      </w:rPr>
    </w:pPr>
    <w:r>
      <w:rPr>
        <w:rStyle w:val="PageNumber"/>
      </w:rPr>
      <w:t>Annex, page</w:t>
    </w:r>
    <w:r>
      <w:t xml:space="preserve"> </w:t>
    </w:r>
    <w:sdt>
      <w:sdtPr>
        <w:id w:val="17892395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3A66">
          <w:rPr>
            <w:noProof/>
          </w:rPr>
          <w:t>10</w:t>
        </w:r>
        <w:r>
          <w:rPr>
            <w:noProof/>
          </w:rPr>
          <w:fldChar w:fldCharType="end"/>
        </w:r>
      </w:sdtContent>
    </w:sdt>
  </w:p>
  <w:p w:rsidR="00C4022C" w:rsidRDefault="00C4022C" w:rsidP="00C4022C">
    <w:pPr>
      <w:jc w:val="right"/>
      <w:rPr>
        <w:noProof/>
      </w:rPr>
    </w:pPr>
  </w:p>
  <w:p w:rsidR="00C4022C" w:rsidRDefault="00C4022C" w:rsidP="00C4022C">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2C" w:rsidRDefault="00C4022C" w:rsidP="00477D6B">
    <w:pPr>
      <w:jc w:val="right"/>
    </w:pPr>
    <w:r>
      <w:t>CDIP/24/3</w:t>
    </w:r>
  </w:p>
  <w:p w:rsidR="00C4022C" w:rsidRDefault="00C4022C" w:rsidP="00477D6B">
    <w:pPr>
      <w:jc w:val="right"/>
      <w:rPr>
        <w:noProof/>
      </w:rPr>
    </w:pPr>
    <w:r>
      <w:rPr>
        <w:rStyle w:val="PageNumber"/>
      </w:rPr>
      <w:t>Annex, page</w:t>
    </w:r>
    <w:r>
      <w:t xml:space="preserve"> </w:t>
    </w:r>
    <w:sdt>
      <w:sdtPr>
        <w:id w:val="-15421919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3A66">
          <w:rPr>
            <w:noProof/>
          </w:rPr>
          <w:t>9</w:t>
        </w:r>
        <w:r>
          <w:rPr>
            <w:noProof/>
          </w:rPr>
          <w:fldChar w:fldCharType="end"/>
        </w:r>
      </w:sdtContent>
    </w:sdt>
  </w:p>
  <w:p w:rsidR="00C4022C" w:rsidRDefault="00C4022C" w:rsidP="00477D6B">
    <w:pPr>
      <w:jc w:val="right"/>
      <w:rPr>
        <w:noProof/>
      </w:rPr>
    </w:pPr>
  </w:p>
  <w:p w:rsidR="00C4022C" w:rsidRDefault="00C4022C" w:rsidP="00477D6B">
    <w:pPr>
      <w:jc w:val="right"/>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A7723C" w:rsidP="00D21FA7">
    <w:pPr>
      <w:jc w:val="right"/>
    </w:pPr>
    <w:r>
      <w:t>CDIP/24/3</w:t>
    </w:r>
  </w:p>
  <w:p w:rsidR="009F61DC" w:rsidRDefault="009F61DC" w:rsidP="00D21FA7">
    <w:pPr>
      <w:pStyle w:val="Header"/>
      <w:jc w:val="right"/>
    </w:pPr>
    <w:r>
      <w:rPr>
        <w:rStyle w:val="PageNumber"/>
      </w:rPr>
      <w:t>ANNEX</w:t>
    </w:r>
  </w:p>
  <w:p w:rsidR="00695F3E" w:rsidRDefault="00695F3E" w:rsidP="00D21FA7">
    <w:pPr>
      <w:pStyle w:val="Header"/>
      <w:jc w:val="right"/>
    </w:pPr>
  </w:p>
  <w:p w:rsidR="00E4005B" w:rsidRDefault="00E4005B"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9"/>
  </w:num>
  <w:num w:numId="5">
    <w:abstractNumId w:val="6"/>
  </w:num>
  <w:num w:numId="6">
    <w:abstractNumId w:val="11"/>
  </w:num>
  <w:num w:numId="7">
    <w:abstractNumId w:val="1"/>
  </w:num>
  <w:num w:numId="8">
    <w:abstractNumId w:val="17"/>
  </w:num>
  <w:num w:numId="9">
    <w:abstractNumId w:val="23"/>
  </w:num>
  <w:num w:numId="10">
    <w:abstractNumId w:val="14"/>
  </w:num>
  <w:num w:numId="11">
    <w:abstractNumId w:val="4"/>
  </w:num>
  <w:num w:numId="12">
    <w:abstractNumId w:val="22"/>
  </w:num>
  <w:num w:numId="13">
    <w:abstractNumId w:val="5"/>
  </w:num>
  <w:num w:numId="14">
    <w:abstractNumId w:val="16"/>
  </w:num>
  <w:num w:numId="15">
    <w:abstractNumId w:val="3"/>
  </w:num>
  <w:num w:numId="16">
    <w:abstractNumId w:val="8"/>
  </w:num>
  <w:num w:numId="17">
    <w:abstractNumId w:val="13"/>
  </w:num>
  <w:num w:numId="18">
    <w:abstractNumId w:val="12"/>
  </w:num>
  <w:num w:numId="19">
    <w:abstractNumId w:val="7"/>
  </w:num>
  <w:num w:numId="20">
    <w:abstractNumId w:val="10"/>
  </w:num>
  <w:num w:numId="21">
    <w:abstractNumId w:val="18"/>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42AB"/>
    <w:rsid w:val="0001459B"/>
    <w:rsid w:val="00024D41"/>
    <w:rsid w:val="00040602"/>
    <w:rsid w:val="00043CAA"/>
    <w:rsid w:val="000618D6"/>
    <w:rsid w:val="00062EFB"/>
    <w:rsid w:val="00064C47"/>
    <w:rsid w:val="00073FBA"/>
    <w:rsid w:val="00075432"/>
    <w:rsid w:val="00075FC9"/>
    <w:rsid w:val="00076511"/>
    <w:rsid w:val="000968ED"/>
    <w:rsid w:val="000A1F76"/>
    <w:rsid w:val="000B64BE"/>
    <w:rsid w:val="000C1310"/>
    <w:rsid w:val="000E66DF"/>
    <w:rsid w:val="000F193F"/>
    <w:rsid w:val="000F5E56"/>
    <w:rsid w:val="000F5EE5"/>
    <w:rsid w:val="00126192"/>
    <w:rsid w:val="00132E81"/>
    <w:rsid w:val="0013476C"/>
    <w:rsid w:val="001347EF"/>
    <w:rsid w:val="00135FAA"/>
    <w:rsid w:val="001362EE"/>
    <w:rsid w:val="001377AA"/>
    <w:rsid w:val="0015744D"/>
    <w:rsid w:val="001647D5"/>
    <w:rsid w:val="0016775E"/>
    <w:rsid w:val="001832A6"/>
    <w:rsid w:val="001A6E83"/>
    <w:rsid w:val="001B1EC6"/>
    <w:rsid w:val="001B28EC"/>
    <w:rsid w:val="001B5B24"/>
    <w:rsid w:val="001C3580"/>
    <w:rsid w:val="001C5ACA"/>
    <w:rsid w:val="001D5B8B"/>
    <w:rsid w:val="001E1A94"/>
    <w:rsid w:val="001E3270"/>
    <w:rsid w:val="001F5D57"/>
    <w:rsid w:val="00200ADF"/>
    <w:rsid w:val="00204FED"/>
    <w:rsid w:val="0021217E"/>
    <w:rsid w:val="00223EB2"/>
    <w:rsid w:val="00224ECC"/>
    <w:rsid w:val="0023373C"/>
    <w:rsid w:val="00234549"/>
    <w:rsid w:val="0024172F"/>
    <w:rsid w:val="00244E54"/>
    <w:rsid w:val="00254519"/>
    <w:rsid w:val="00254B5F"/>
    <w:rsid w:val="00257BB5"/>
    <w:rsid w:val="00262EAF"/>
    <w:rsid w:val="002634C4"/>
    <w:rsid w:val="00272241"/>
    <w:rsid w:val="00273399"/>
    <w:rsid w:val="002808D7"/>
    <w:rsid w:val="00281FAE"/>
    <w:rsid w:val="00291706"/>
    <w:rsid w:val="002928D3"/>
    <w:rsid w:val="00294228"/>
    <w:rsid w:val="002C4159"/>
    <w:rsid w:val="002D3947"/>
    <w:rsid w:val="002D7AB2"/>
    <w:rsid w:val="002F1FE6"/>
    <w:rsid w:val="002F4E68"/>
    <w:rsid w:val="002F5D98"/>
    <w:rsid w:val="00300C8E"/>
    <w:rsid w:val="00312F7F"/>
    <w:rsid w:val="00314095"/>
    <w:rsid w:val="0032300B"/>
    <w:rsid w:val="00327523"/>
    <w:rsid w:val="00332063"/>
    <w:rsid w:val="00334C86"/>
    <w:rsid w:val="003404E0"/>
    <w:rsid w:val="003556D5"/>
    <w:rsid w:val="00361450"/>
    <w:rsid w:val="00364A80"/>
    <w:rsid w:val="003673CF"/>
    <w:rsid w:val="00372212"/>
    <w:rsid w:val="003845C1"/>
    <w:rsid w:val="003947C2"/>
    <w:rsid w:val="003A6F89"/>
    <w:rsid w:val="003B38C1"/>
    <w:rsid w:val="003C0D79"/>
    <w:rsid w:val="003C5807"/>
    <w:rsid w:val="003D4688"/>
    <w:rsid w:val="003E61BD"/>
    <w:rsid w:val="003F1ADC"/>
    <w:rsid w:val="003F5089"/>
    <w:rsid w:val="0041110B"/>
    <w:rsid w:val="00412E66"/>
    <w:rsid w:val="00423E3E"/>
    <w:rsid w:val="0042441C"/>
    <w:rsid w:val="00426069"/>
    <w:rsid w:val="00427AF4"/>
    <w:rsid w:val="00434F6E"/>
    <w:rsid w:val="00435E6D"/>
    <w:rsid w:val="00435F3C"/>
    <w:rsid w:val="00445605"/>
    <w:rsid w:val="00453757"/>
    <w:rsid w:val="004547A2"/>
    <w:rsid w:val="004647DA"/>
    <w:rsid w:val="00474062"/>
    <w:rsid w:val="00477D6B"/>
    <w:rsid w:val="0048744D"/>
    <w:rsid w:val="004932F5"/>
    <w:rsid w:val="004934B9"/>
    <w:rsid w:val="00495CA9"/>
    <w:rsid w:val="00497EF1"/>
    <w:rsid w:val="004A385F"/>
    <w:rsid w:val="004A7A5B"/>
    <w:rsid w:val="004B3CC3"/>
    <w:rsid w:val="004B5B3A"/>
    <w:rsid w:val="004C2564"/>
    <w:rsid w:val="004D22AC"/>
    <w:rsid w:val="004D651D"/>
    <w:rsid w:val="004D7061"/>
    <w:rsid w:val="004D7FE9"/>
    <w:rsid w:val="005019FF"/>
    <w:rsid w:val="005165E7"/>
    <w:rsid w:val="005166EF"/>
    <w:rsid w:val="0052094B"/>
    <w:rsid w:val="00522214"/>
    <w:rsid w:val="0052752D"/>
    <w:rsid w:val="0053057A"/>
    <w:rsid w:val="005375F2"/>
    <w:rsid w:val="00542192"/>
    <w:rsid w:val="005440C0"/>
    <w:rsid w:val="005510DA"/>
    <w:rsid w:val="005544DE"/>
    <w:rsid w:val="00554921"/>
    <w:rsid w:val="00560A29"/>
    <w:rsid w:val="00585482"/>
    <w:rsid w:val="00586BA6"/>
    <w:rsid w:val="0058704C"/>
    <w:rsid w:val="00592B6B"/>
    <w:rsid w:val="005A4D35"/>
    <w:rsid w:val="005B00CE"/>
    <w:rsid w:val="005B0350"/>
    <w:rsid w:val="005C0E51"/>
    <w:rsid w:val="005C129B"/>
    <w:rsid w:val="005C1921"/>
    <w:rsid w:val="005C3C82"/>
    <w:rsid w:val="005C6649"/>
    <w:rsid w:val="005D3B8B"/>
    <w:rsid w:val="005E791B"/>
    <w:rsid w:val="005E7ABD"/>
    <w:rsid w:val="005E7AD7"/>
    <w:rsid w:val="005F2E85"/>
    <w:rsid w:val="00605827"/>
    <w:rsid w:val="00622ACE"/>
    <w:rsid w:val="006459DD"/>
    <w:rsid w:val="00646050"/>
    <w:rsid w:val="00651DE1"/>
    <w:rsid w:val="0065603C"/>
    <w:rsid w:val="006565EB"/>
    <w:rsid w:val="00663B3E"/>
    <w:rsid w:val="006713CA"/>
    <w:rsid w:val="00675287"/>
    <w:rsid w:val="00676C5C"/>
    <w:rsid w:val="00695F3E"/>
    <w:rsid w:val="00697F50"/>
    <w:rsid w:val="006A73C4"/>
    <w:rsid w:val="006B386A"/>
    <w:rsid w:val="006C29D2"/>
    <w:rsid w:val="006D20ED"/>
    <w:rsid w:val="006F0291"/>
    <w:rsid w:val="006F1160"/>
    <w:rsid w:val="0072406D"/>
    <w:rsid w:val="0073742C"/>
    <w:rsid w:val="00745405"/>
    <w:rsid w:val="007544F4"/>
    <w:rsid w:val="00767CDC"/>
    <w:rsid w:val="0077034E"/>
    <w:rsid w:val="00771884"/>
    <w:rsid w:val="00772EBB"/>
    <w:rsid w:val="007743F2"/>
    <w:rsid w:val="00775EFD"/>
    <w:rsid w:val="007767EE"/>
    <w:rsid w:val="00780C3A"/>
    <w:rsid w:val="00782FF3"/>
    <w:rsid w:val="00784A05"/>
    <w:rsid w:val="00795C1B"/>
    <w:rsid w:val="007A1CC9"/>
    <w:rsid w:val="007A7428"/>
    <w:rsid w:val="007A759F"/>
    <w:rsid w:val="007C7F94"/>
    <w:rsid w:val="007D09CB"/>
    <w:rsid w:val="007D1613"/>
    <w:rsid w:val="007D5B2B"/>
    <w:rsid w:val="007D66A4"/>
    <w:rsid w:val="007E4C0E"/>
    <w:rsid w:val="007F5920"/>
    <w:rsid w:val="007F6915"/>
    <w:rsid w:val="00800BFC"/>
    <w:rsid w:val="00815041"/>
    <w:rsid w:val="00830EB7"/>
    <w:rsid w:val="0083291A"/>
    <w:rsid w:val="008334A7"/>
    <w:rsid w:val="00833EFE"/>
    <w:rsid w:val="008350AE"/>
    <w:rsid w:val="008462BA"/>
    <w:rsid w:val="00855596"/>
    <w:rsid w:val="00862DBD"/>
    <w:rsid w:val="008674FB"/>
    <w:rsid w:val="008875E1"/>
    <w:rsid w:val="00891430"/>
    <w:rsid w:val="00891B3F"/>
    <w:rsid w:val="0089258E"/>
    <w:rsid w:val="00892F0A"/>
    <w:rsid w:val="008A134B"/>
    <w:rsid w:val="008B1314"/>
    <w:rsid w:val="008B2CC1"/>
    <w:rsid w:val="008B3BB7"/>
    <w:rsid w:val="008B60B2"/>
    <w:rsid w:val="008F1CFA"/>
    <w:rsid w:val="008F2FE0"/>
    <w:rsid w:val="008F4417"/>
    <w:rsid w:val="00907074"/>
    <w:rsid w:val="0090731E"/>
    <w:rsid w:val="00913F7F"/>
    <w:rsid w:val="00916EE2"/>
    <w:rsid w:val="00925E16"/>
    <w:rsid w:val="0092736C"/>
    <w:rsid w:val="0093187E"/>
    <w:rsid w:val="00940032"/>
    <w:rsid w:val="00945F69"/>
    <w:rsid w:val="009644F3"/>
    <w:rsid w:val="00966A22"/>
    <w:rsid w:val="0096722F"/>
    <w:rsid w:val="00970CD8"/>
    <w:rsid w:val="00980843"/>
    <w:rsid w:val="009808B7"/>
    <w:rsid w:val="009873B2"/>
    <w:rsid w:val="009873BF"/>
    <w:rsid w:val="00990363"/>
    <w:rsid w:val="009A14D4"/>
    <w:rsid w:val="009A4FFB"/>
    <w:rsid w:val="009A55A8"/>
    <w:rsid w:val="009C5CE2"/>
    <w:rsid w:val="009D59BC"/>
    <w:rsid w:val="009E2791"/>
    <w:rsid w:val="009E3920"/>
    <w:rsid w:val="009E3F6F"/>
    <w:rsid w:val="009F0F77"/>
    <w:rsid w:val="009F499F"/>
    <w:rsid w:val="009F61DC"/>
    <w:rsid w:val="00A12B8E"/>
    <w:rsid w:val="00A172BC"/>
    <w:rsid w:val="00A21919"/>
    <w:rsid w:val="00A2290C"/>
    <w:rsid w:val="00A22CAC"/>
    <w:rsid w:val="00A37342"/>
    <w:rsid w:val="00A40F56"/>
    <w:rsid w:val="00A42DAF"/>
    <w:rsid w:val="00A42E9D"/>
    <w:rsid w:val="00A45BD8"/>
    <w:rsid w:val="00A53FB3"/>
    <w:rsid w:val="00A557C5"/>
    <w:rsid w:val="00A60779"/>
    <w:rsid w:val="00A7723C"/>
    <w:rsid w:val="00A77941"/>
    <w:rsid w:val="00A80BCE"/>
    <w:rsid w:val="00A8175A"/>
    <w:rsid w:val="00A869B7"/>
    <w:rsid w:val="00A94018"/>
    <w:rsid w:val="00AB12C1"/>
    <w:rsid w:val="00AB4389"/>
    <w:rsid w:val="00AB4EAB"/>
    <w:rsid w:val="00AB50F1"/>
    <w:rsid w:val="00AB7A35"/>
    <w:rsid w:val="00AC1DB3"/>
    <w:rsid w:val="00AC205C"/>
    <w:rsid w:val="00AD19D4"/>
    <w:rsid w:val="00AD3DBB"/>
    <w:rsid w:val="00AE28ED"/>
    <w:rsid w:val="00AE416F"/>
    <w:rsid w:val="00AE60A1"/>
    <w:rsid w:val="00AF0A6B"/>
    <w:rsid w:val="00AF0EF6"/>
    <w:rsid w:val="00AF2011"/>
    <w:rsid w:val="00B00C95"/>
    <w:rsid w:val="00B05A69"/>
    <w:rsid w:val="00B106E6"/>
    <w:rsid w:val="00B10F42"/>
    <w:rsid w:val="00B167B4"/>
    <w:rsid w:val="00B2103E"/>
    <w:rsid w:val="00B229F9"/>
    <w:rsid w:val="00B401F7"/>
    <w:rsid w:val="00B447B8"/>
    <w:rsid w:val="00B447DC"/>
    <w:rsid w:val="00B44B42"/>
    <w:rsid w:val="00B54503"/>
    <w:rsid w:val="00B71D78"/>
    <w:rsid w:val="00B83DC2"/>
    <w:rsid w:val="00B8446E"/>
    <w:rsid w:val="00B92770"/>
    <w:rsid w:val="00B9700D"/>
    <w:rsid w:val="00B9734B"/>
    <w:rsid w:val="00B974A6"/>
    <w:rsid w:val="00BA30E2"/>
    <w:rsid w:val="00BB1FD0"/>
    <w:rsid w:val="00BB21F2"/>
    <w:rsid w:val="00BB28B7"/>
    <w:rsid w:val="00BC1C15"/>
    <w:rsid w:val="00BD1BAB"/>
    <w:rsid w:val="00BF558F"/>
    <w:rsid w:val="00BF5FC5"/>
    <w:rsid w:val="00C007BB"/>
    <w:rsid w:val="00C1018D"/>
    <w:rsid w:val="00C117B9"/>
    <w:rsid w:val="00C11BFE"/>
    <w:rsid w:val="00C14466"/>
    <w:rsid w:val="00C23A66"/>
    <w:rsid w:val="00C31DDB"/>
    <w:rsid w:val="00C4022C"/>
    <w:rsid w:val="00C41B88"/>
    <w:rsid w:val="00C431C0"/>
    <w:rsid w:val="00C44407"/>
    <w:rsid w:val="00C5068F"/>
    <w:rsid w:val="00C5256A"/>
    <w:rsid w:val="00C61201"/>
    <w:rsid w:val="00C61A92"/>
    <w:rsid w:val="00C72D64"/>
    <w:rsid w:val="00C74687"/>
    <w:rsid w:val="00C77CE6"/>
    <w:rsid w:val="00C85E00"/>
    <w:rsid w:val="00C86D74"/>
    <w:rsid w:val="00C9075D"/>
    <w:rsid w:val="00C90C15"/>
    <w:rsid w:val="00CA2AE8"/>
    <w:rsid w:val="00CA3FC3"/>
    <w:rsid w:val="00CB2004"/>
    <w:rsid w:val="00CB202B"/>
    <w:rsid w:val="00CC71ED"/>
    <w:rsid w:val="00CD04F1"/>
    <w:rsid w:val="00CD2E5D"/>
    <w:rsid w:val="00CD719E"/>
    <w:rsid w:val="00CD79C6"/>
    <w:rsid w:val="00CE0BAA"/>
    <w:rsid w:val="00CE4AAD"/>
    <w:rsid w:val="00CF6D5D"/>
    <w:rsid w:val="00D0300A"/>
    <w:rsid w:val="00D0351E"/>
    <w:rsid w:val="00D1323C"/>
    <w:rsid w:val="00D14214"/>
    <w:rsid w:val="00D16E02"/>
    <w:rsid w:val="00D172D8"/>
    <w:rsid w:val="00D21FA7"/>
    <w:rsid w:val="00D24D32"/>
    <w:rsid w:val="00D32D78"/>
    <w:rsid w:val="00D3706D"/>
    <w:rsid w:val="00D4277A"/>
    <w:rsid w:val="00D45252"/>
    <w:rsid w:val="00D475FB"/>
    <w:rsid w:val="00D5709C"/>
    <w:rsid w:val="00D602C1"/>
    <w:rsid w:val="00D62FA3"/>
    <w:rsid w:val="00D71B4D"/>
    <w:rsid w:val="00D722B8"/>
    <w:rsid w:val="00D72697"/>
    <w:rsid w:val="00D93D55"/>
    <w:rsid w:val="00DA1E10"/>
    <w:rsid w:val="00DB1C38"/>
    <w:rsid w:val="00DC6D6D"/>
    <w:rsid w:val="00DD275E"/>
    <w:rsid w:val="00DD7C95"/>
    <w:rsid w:val="00DE20D7"/>
    <w:rsid w:val="00DE56FC"/>
    <w:rsid w:val="00DF2B62"/>
    <w:rsid w:val="00E022C3"/>
    <w:rsid w:val="00E04169"/>
    <w:rsid w:val="00E06F4C"/>
    <w:rsid w:val="00E15015"/>
    <w:rsid w:val="00E335FE"/>
    <w:rsid w:val="00E4005B"/>
    <w:rsid w:val="00E559C1"/>
    <w:rsid w:val="00E57D9F"/>
    <w:rsid w:val="00E75C08"/>
    <w:rsid w:val="00E827EC"/>
    <w:rsid w:val="00E95B78"/>
    <w:rsid w:val="00EA7D6E"/>
    <w:rsid w:val="00EC06DF"/>
    <w:rsid w:val="00EC4E49"/>
    <w:rsid w:val="00ED77FB"/>
    <w:rsid w:val="00EE45FA"/>
    <w:rsid w:val="00EE74DC"/>
    <w:rsid w:val="00EF6945"/>
    <w:rsid w:val="00F02407"/>
    <w:rsid w:val="00F06B01"/>
    <w:rsid w:val="00F43BC1"/>
    <w:rsid w:val="00F51387"/>
    <w:rsid w:val="00F563C1"/>
    <w:rsid w:val="00F66152"/>
    <w:rsid w:val="00F74FCC"/>
    <w:rsid w:val="00F77502"/>
    <w:rsid w:val="00F807AD"/>
    <w:rsid w:val="00F8406E"/>
    <w:rsid w:val="00F869F0"/>
    <w:rsid w:val="00F86FF0"/>
    <w:rsid w:val="00F93DEB"/>
    <w:rsid w:val="00F94451"/>
    <w:rsid w:val="00F9452D"/>
    <w:rsid w:val="00FB6AF7"/>
    <w:rsid w:val="00FC3AB0"/>
    <w:rsid w:val="00FD42BF"/>
    <w:rsid w:val="00FE6146"/>
    <w:rsid w:val="00FF4ADA"/>
    <w:rsid w:val="00FF66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28054">
      <w:bodyDiv w:val="1"/>
      <w:marLeft w:val="0"/>
      <w:marRight w:val="0"/>
      <w:marTop w:val="0"/>
      <w:marBottom w:val="0"/>
      <w:divBdr>
        <w:top w:val="none" w:sz="0" w:space="0" w:color="auto"/>
        <w:left w:val="none" w:sz="0" w:space="0" w:color="auto"/>
        <w:bottom w:val="none" w:sz="0" w:space="0" w:color="auto"/>
        <w:right w:val="none" w:sz="0" w:space="0" w:color="auto"/>
      </w:divBdr>
    </w:div>
    <w:div w:id="1500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51CE-E6C2-48C9-9EF7-BF96C117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TotalTime>
  <Pages>11</Pages>
  <Words>3397</Words>
  <Characters>18797</Characters>
  <Application>Microsoft Office Word</Application>
  <DocSecurity>0</DocSecurity>
  <Lines>656</Lines>
  <Paragraphs>152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CDIP_24_3_EN</dc:title>
  <dc:creator>WIPO</dc:creator>
  <cp:keywords>FOR OFFICIAL USE ONLY</cp:keywords>
  <cp:lastModifiedBy>ESTEVES DOS SANTOS Anabela</cp:lastModifiedBy>
  <cp:revision>4</cp:revision>
  <cp:lastPrinted>2019-08-30T07:42:00Z</cp:lastPrinted>
  <dcterms:created xsi:type="dcterms:W3CDTF">2019-08-30T07:25:00Z</dcterms:created>
  <dcterms:modified xsi:type="dcterms:W3CDTF">2019-08-30T07:42:00Z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dc7bd1b4-f2b0-431a-8887-74e269997dc7</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