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27789" w:rsidP="00CC46F0">
            <w:pPr>
              <w:jc w:val="right"/>
              <w:rPr>
                <w:rFonts w:ascii="Arial Black" w:hAnsi="Arial Black"/>
                <w:caps/>
                <w:sz w:val="15"/>
              </w:rPr>
            </w:pPr>
            <w:r>
              <w:rPr>
                <w:rFonts w:ascii="Arial Black" w:hAnsi="Arial Black"/>
                <w:caps/>
                <w:sz w:val="15"/>
              </w:rPr>
              <w:t>CDIP/23/</w:t>
            </w:r>
            <w:bookmarkStart w:id="1" w:name="Code"/>
            <w:bookmarkEnd w:id="1"/>
            <w:r w:rsidR="00203D3C">
              <w:rPr>
                <w:rFonts w:ascii="Arial Black" w:hAnsi="Arial Black"/>
                <w:caps/>
                <w:sz w:val="15"/>
              </w:rPr>
              <w:t>12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203D3C">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203D3C">
              <w:rPr>
                <w:rFonts w:ascii="Arial Black" w:hAnsi="Arial Black"/>
                <w:caps/>
                <w:sz w:val="15"/>
              </w:rPr>
              <w:t>MARCH 15,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E5146"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3E5146" w:rsidP="008B2CC1">
      <w:pPr>
        <w:rPr>
          <w:b/>
          <w:sz w:val="24"/>
          <w:szCs w:val="24"/>
        </w:rPr>
      </w:pPr>
      <w:r>
        <w:rPr>
          <w:b/>
          <w:sz w:val="24"/>
          <w:szCs w:val="24"/>
        </w:rPr>
        <w:t xml:space="preserve">Twenty-Third </w:t>
      </w:r>
      <w:r w:rsidRPr="003845C1">
        <w:rPr>
          <w:b/>
          <w:sz w:val="24"/>
          <w:szCs w:val="24"/>
        </w:rPr>
        <w:t>Session</w:t>
      </w:r>
    </w:p>
    <w:p w:rsidR="008B2CC1" w:rsidRPr="003845C1" w:rsidRDefault="00FF478F" w:rsidP="008B2CC1">
      <w:pPr>
        <w:rPr>
          <w:b/>
          <w:sz w:val="24"/>
          <w:szCs w:val="24"/>
        </w:rPr>
      </w:pPr>
      <w:r>
        <w:rPr>
          <w:b/>
          <w:sz w:val="24"/>
          <w:szCs w:val="24"/>
        </w:rPr>
        <w:t>Geneva, May 20 to 24, 2019</w:t>
      </w:r>
    </w:p>
    <w:p w:rsidR="008B2CC1" w:rsidRPr="008B2CC1" w:rsidRDefault="008B2CC1" w:rsidP="008B2CC1"/>
    <w:p w:rsidR="008B2CC1" w:rsidRPr="008B2CC1" w:rsidRDefault="008B2CC1" w:rsidP="008B2CC1"/>
    <w:p w:rsidR="008B2CC1" w:rsidRPr="008B2CC1" w:rsidRDefault="008B2CC1" w:rsidP="008B2CC1"/>
    <w:p w:rsidR="008B2CC1" w:rsidRPr="003845C1" w:rsidRDefault="00203D3C" w:rsidP="008B2CC1">
      <w:pPr>
        <w:rPr>
          <w:caps/>
          <w:sz w:val="24"/>
        </w:rPr>
      </w:pPr>
      <w:bookmarkStart w:id="4" w:name="TitleOfDoc"/>
      <w:bookmarkEnd w:id="4"/>
      <w:r>
        <w:rPr>
          <w:caps/>
          <w:sz w:val="24"/>
        </w:rPr>
        <w:t>FOLLOW-UP PROPOSAL TO THE FEASIBILITY STUDY ON ENHANCING THE COLLECTION OF ECONOMIC DATA ON THE AUDIOVISUAL SECTOR IN A NUMBER OF AFRICAN COUNTRIES</w:t>
      </w:r>
    </w:p>
    <w:p w:rsidR="008B2CC1" w:rsidRPr="008B2CC1" w:rsidRDefault="008B2CC1" w:rsidP="008B2CC1"/>
    <w:p w:rsidR="008B2CC1" w:rsidRPr="008B2CC1" w:rsidRDefault="00203D3C" w:rsidP="008B2CC1">
      <w:pPr>
        <w:rPr>
          <w:i/>
        </w:rPr>
      </w:pPr>
      <w:bookmarkStart w:id="5" w:name="Prepared"/>
      <w:bookmarkEnd w:id="5"/>
      <w:r>
        <w:rPr>
          <w:i/>
        </w:rPr>
        <w:t>Prepared by the Secretariat</w:t>
      </w:r>
    </w:p>
    <w:p w:rsidR="00AC205C" w:rsidRDefault="00AC205C"/>
    <w:p w:rsidR="00FC55C2" w:rsidRDefault="00FC55C2"/>
    <w:p w:rsidR="00FC55C2" w:rsidRDefault="00FC55C2"/>
    <w:p w:rsidR="00FC55C2" w:rsidRDefault="00FC55C2"/>
    <w:p w:rsidR="00695EAA" w:rsidRDefault="00695EAA" w:rsidP="00695EAA">
      <w:pPr>
        <w:pStyle w:val="ListParagraph"/>
        <w:ind w:left="0"/>
      </w:pPr>
    </w:p>
    <w:p w:rsidR="00FC55C2" w:rsidRDefault="00695EAA" w:rsidP="00695EAA">
      <w:pPr>
        <w:pStyle w:val="ListParagraph"/>
        <w:ind w:left="0"/>
      </w:pPr>
      <w:r>
        <w:fldChar w:fldCharType="begin"/>
      </w:r>
      <w:r>
        <w:instrText xml:space="preserve"> AUTONUM  </w:instrText>
      </w:r>
      <w:r>
        <w:fldChar w:fldCharType="end"/>
      </w:r>
      <w:r>
        <w:tab/>
      </w:r>
      <w:r w:rsidR="00FC55C2" w:rsidRPr="00FC55C2">
        <w:t xml:space="preserve">A “Feasibility Study on Enhancing the Collection of Economic Data on the Audiovisual Sector in </w:t>
      </w:r>
      <w:r w:rsidR="00FC55C2">
        <w:t>a Number of African Countries”</w:t>
      </w:r>
      <w:r>
        <w:t>, contained in document CDIP/21/INF/2,</w:t>
      </w:r>
      <w:r w:rsidR="00FC55C2">
        <w:t xml:space="preserve"> </w:t>
      </w:r>
      <w:r w:rsidR="00FC55C2" w:rsidRPr="00FC55C2">
        <w:t>was prepared in the context of the Project on Strengthening and Development of the Audiovisual Sector in Burkina Faso and Certain African Countries – Phase II (document CDIP/17/7).</w:t>
      </w:r>
    </w:p>
    <w:p w:rsidR="00FC55C2" w:rsidRDefault="00FC55C2" w:rsidP="00FC55C2">
      <w:pPr>
        <w:pStyle w:val="ListParagraph"/>
        <w:ind w:left="0"/>
      </w:pPr>
    </w:p>
    <w:p w:rsidR="00695EAA" w:rsidRDefault="00695EAA" w:rsidP="00695EAA">
      <w:r>
        <w:fldChar w:fldCharType="begin"/>
      </w:r>
      <w:r>
        <w:instrText xml:space="preserve"> AUTONUM  </w:instrText>
      </w:r>
      <w:r>
        <w:fldChar w:fldCharType="end"/>
      </w:r>
      <w:r>
        <w:tab/>
      </w:r>
      <w:r w:rsidR="00FC55C2" w:rsidRPr="00FC55C2">
        <w:t>The feasibility study was prepared by two independent consultants, Ms. D</w:t>
      </w:r>
      <w:r>
        <w:t>eirdre Kevin and Ms. Sahar Ali and presented to the 21</w:t>
      </w:r>
      <w:r w:rsidRPr="00695EAA">
        <w:rPr>
          <w:vertAlign w:val="superscript"/>
        </w:rPr>
        <w:t>st</w:t>
      </w:r>
      <w:r>
        <w:t xml:space="preserve"> </w:t>
      </w:r>
      <w:r w:rsidR="00FC55C2" w:rsidRPr="00FC55C2">
        <w:t xml:space="preserve">session of the CDIP.  The Committee requested the Secretariat </w:t>
      </w:r>
      <w:r w:rsidR="00981F54">
        <w:t>to “</w:t>
      </w:r>
      <w:r w:rsidR="00981F54" w:rsidRPr="00981F54">
        <w:t>explore the need and feasibility of fur</w:t>
      </w:r>
      <w:r w:rsidR="00981F54">
        <w:t>ther related work in the future”.</w:t>
      </w:r>
      <w:r w:rsidR="00981F54" w:rsidRPr="00981F54">
        <w:t xml:space="preserve"> </w:t>
      </w:r>
    </w:p>
    <w:p w:rsidR="00695EAA" w:rsidRDefault="00695EAA" w:rsidP="00695EAA"/>
    <w:p w:rsidR="00FC55C2" w:rsidRDefault="00695EAA" w:rsidP="00695EAA">
      <w:r>
        <w:fldChar w:fldCharType="begin"/>
      </w:r>
      <w:r>
        <w:instrText xml:space="preserve"> AUTONUM  </w:instrText>
      </w:r>
      <w:r>
        <w:fldChar w:fldCharType="end"/>
      </w:r>
      <w:r>
        <w:tab/>
      </w:r>
      <w:r w:rsidR="00FC55C2" w:rsidRPr="00FC55C2">
        <w:t xml:space="preserve">The Annex to this document </w:t>
      </w:r>
      <w:r>
        <w:t xml:space="preserve">contains an implementation plan </w:t>
      </w:r>
      <w:r w:rsidR="00981F54">
        <w:t xml:space="preserve">of follow up activities </w:t>
      </w:r>
      <w:r>
        <w:t xml:space="preserve">to </w:t>
      </w:r>
      <w:r w:rsidR="00981F54">
        <w:t>disseminate the project results</w:t>
      </w:r>
      <w:r w:rsidR="00FC55C2" w:rsidRPr="00FC55C2">
        <w:t>.</w:t>
      </w:r>
    </w:p>
    <w:p w:rsidR="00182CF2" w:rsidRDefault="00182CF2" w:rsidP="00FC55C2"/>
    <w:p w:rsidR="00182CF2" w:rsidRDefault="00695EAA" w:rsidP="00182CF2">
      <w:pPr>
        <w:ind w:left="5670"/>
        <w:rPr>
          <w:i/>
        </w:rPr>
      </w:pPr>
      <w:r>
        <w:fldChar w:fldCharType="begin"/>
      </w:r>
      <w:r>
        <w:instrText xml:space="preserve"> AUTONUM  </w:instrText>
      </w:r>
      <w:r>
        <w:fldChar w:fldCharType="end"/>
      </w:r>
      <w:r>
        <w:tab/>
      </w:r>
      <w:r w:rsidR="00182CF2" w:rsidRPr="00182CF2">
        <w:rPr>
          <w:i/>
        </w:rPr>
        <w:t>The Committee is requested to consider the Annex to the present document</w:t>
      </w:r>
    </w:p>
    <w:p w:rsidR="00182CF2" w:rsidRDefault="00182CF2" w:rsidP="00182CF2">
      <w:pPr>
        <w:ind w:left="5670"/>
      </w:pPr>
    </w:p>
    <w:p w:rsidR="00182CF2" w:rsidRDefault="00182CF2" w:rsidP="00182CF2">
      <w:pPr>
        <w:ind w:left="5670"/>
      </w:pPr>
    </w:p>
    <w:p w:rsidR="00182CF2" w:rsidRDefault="00182CF2" w:rsidP="00182CF2">
      <w:pPr>
        <w:ind w:left="5670"/>
      </w:pPr>
    </w:p>
    <w:p w:rsidR="00182CF2" w:rsidRDefault="00835F3A" w:rsidP="00182CF2">
      <w:pPr>
        <w:ind w:left="5670"/>
      </w:pPr>
      <w:r>
        <w:t>[Annex</w:t>
      </w:r>
      <w:r w:rsidR="00182CF2">
        <w:t xml:space="preserve"> follows]</w:t>
      </w:r>
    </w:p>
    <w:p w:rsidR="00695EAA" w:rsidRDefault="00695EAA" w:rsidP="00182CF2">
      <w:pPr>
        <w:ind w:left="5670"/>
      </w:pPr>
    </w:p>
    <w:p w:rsidR="00695EAA" w:rsidRDefault="00695EAA" w:rsidP="00182CF2">
      <w:pPr>
        <w:ind w:left="5670"/>
      </w:pPr>
    </w:p>
    <w:p w:rsidR="00F962F4" w:rsidRDefault="00F962F4" w:rsidP="00182CF2">
      <w:pPr>
        <w:ind w:left="5670"/>
      </w:pPr>
    </w:p>
    <w:p w:rsidR="00F962F4" w:rsidRDefault="00F962F4" w:rsidP="00981F54"/>
    <w:p w:rsidR="00981F54" w:rsidRDefault="00981F54" w:rsidP="00695EAA">
      <w:r>
        <w:lastRenderedPageBreak/>
        <w:t xml:space="preserve"> </w:t>
      </w:r>
    </w:p>
    <w:tbl>
      <w:tblPr>
        <w:tblStyle w:val="TableGrid"/>
        <w:tblW w:w="0" w:type="auto"/>
        <w:tblLook w:val="04A0" w:firstRow="1" w:lastRow="0" w:firstColumn="1" w:lastColumn="0" w:noHBand="0" w:noVBand="1"/>
      </w:tblPr>
      <w:tblGrid>
        <w:gridCol w:w="2155"/>
        <w:gridCol w:w="7190"/>
      </w:tblGrid>
      <w:tr w:rsidR="00F962F4" w:rsidTr="009F1620">
        <w:tc>
          <w:tcPr>
            <w:tcW w:w="9345" w:type="dxa"/>
            <w:gridSpan w:val="2"/>
          </w:tcPr>
          <w:p w:rsidR="00F962F4" w:rsidRDefault="00F962F4" w:rsidP="00F962F4">
            <w:pPr>
              <w:jc w:val="center"/>
              <w:rPr>
                <w:b/>
              </w:rPr>
            </w:pPr>
          </w:p>
          <w:p w:rsidR="00F962F4" w:rsidRPr="00F962F4" w:rsidRDefault="00F962F4" w:rsidP="00981F54">
            <w:pPr>
              <w:jc w:val="center"/>
              <w:rPr>
                <w:b/>
              </w:rPr>
            </w:pPr>
            <w:r w:rsidRPr="00F962F4">
              <w:rPr>
                <w:b/>
              </w:rPr>
              <w:t>IM</w:t>
            </w:r>
            <w:r w:rsidR="00ED0A94">
              <w:rPr>
                <w:b/>
              </w:rPr>
              <w:t>PLEMENTATION PLAN FOR</w:t>
            </w:r>
            <w:r w:rsidR="00981F54">
              <w:rPr>
                <w:b/>
              </w:rPr>
              <w:t xml:space="preserve"> FOLLOW UP</w:t>
            </w:r>
            <w:r w:rsidR="00ED0A94">
              <w:rPr>
                <w:b/>
              </w:rPr>
              <w:t xml:space="preserve"> ACTIVITIES</w:t>
            </w:r>
          </w:p>
          <w:p w:rsidR="00F962F4" w:rsidRDefault="00F962F4" w:rsidP="00F962F4"/>
        </w:tc>
      </w:tr>
      <w:tr w:rsidR="00F962F4" w:rsidTr="00EE6077">
        <w:tc>
          <w:tcPr>
            <w:tcW w:w="2155" w:type="dxa"/>
          </w:tcPr>
          <w:p w:rsidR="00F962F4" w:rsidRDefault="00F962F4" w:rsidP="00F962F4">
            <w:r w:rsidRPr="000B20B2">
              <w:rPr>
                <w:i/>
                <w:szCs w:val="22"/>
              </w:rPr>
              <w:t>Title of Activity/Initiative</w:t>
            </w:r>
          </w:p>
        </w:tc>
        <w:tc>
          <w:tcPr>
            <w:tcW w:w="7190" w:type="dxa"/>
          </w:tcPr>
          <w:p w:rsidR="00F962F4" w:rsidRDefault="00F962F4" w:rsidP="00F962F4"/>
          <w:p w:rsidR="00F962F4" w:rsidRDefault="00F962F4" w:rsidP="00F962F4">
            <w:r w:rsidRPr="00F962F4">
              <w:t>Enhancing data collection in Africa in the Audiovisual Sector</w:t>
            </w:r>
          </w:p>
          <w:p w:rsidR="00F962F4" w:rsidRDefault="00F962F4" w:rsidP="00F962F4"/>
        </w:tc>
      </w:tr>
      <w:tr w:rsidR="00F962F4" w:rsidTr="00EE6077">
        <w:tc>
          <w:tcPr>
            <w:tcW w:w="2155" w:type="dxa"/>
          </w:tcPr>
          <w:p w:rsidR="00EE6077" w:rsidRDefault="00EE6077" w:rsidP="00F962F4">
            <w:pPr>
              <w:rPr>
                <w:i/>
                <w:szCs w:val="22"/>
              </w:rPr>
            </w:pPr>
          </w:p>
          <w:p w:rsidR="00F962F4" w:rsidRDefault="00EE6077" w:rsidP="00F962F4">
            <w:pPr>
              <w:rPr>
                <w:i/>
                <w:szCs w:val="22"/>
              </w:rPr>
            </w:pPr>
            <w:r>
              <w:rPr>
                <w:i/>
                <w:szCs w:val="22"/>
              </w:rPr>
              <w:t>Brief Description of the Activity/Initiative</w:t>
            </w:r>
          </w:p>
          <w:p w:rsidR="00EE6077" w:rsidRDefault="00EE6077" w:rsidP="00F962F4"/>
        </w:tc>
        <w:tc>
          <w:tcPr>
            <w:tcW w:w="7190" w:type="dxa"/>
          </w:tcPr>
          <w:p w:rsidR="007B3815" w:rsidRDefault="007B3815" w:rsidP="007B3815">
            <w:pPr>
              <w:ind w:left="720"/>
              <w:rPr>
                <w:rFonts w:eastAsia="Times New Roman"/>
                <w:szCs w:val="22"/>
                <w:lang w:eastAsia="en-US"/>
              </w:rPr>
            </w:pPr>
          </w:p>
          <w:p w:rsidR="007B3815" w:rsidRPr="007B3815" w:rsidRDefault="007B3815" w:rsidP="007B3815">
            <w:pPr>
              <w:numPr>
                <w:ilvl w:val="0"/>
                <w:numId w:val="10"/>
              </w:numPr>
              <w:rPr>
                <w:rFonts w:eastAsia="Times New Roman"/>
                <w:szCs w:val="22"/>
                <w:lang w:eastAsia="en-US"/>
              </w:rPr>
            </w:pPr>
            <w:r w:rsidRPr="007B3815">
              <w:rPr>
                <w:rFonts w:eastAsia="Times New Roman"/>
                <w:szCs w:val="22"/>
                <w:lang w:eastAsia="en-US"/>
              </w:rPr>
              <w:t xml:space="preserve">Background </w:t>
            </w:r>
          </w:p>
          <w:p w:rsidR="007B3815" w:rsidRPr="007B3815" w:rsidRDefault="007B3815" w:rsidP="007B3815">
            <w:pPr>
              <w:shd w:val="clear" w:color="auto" w:fill="FAFAFA"/>
              <w:rPr>
                <w:rFonts w:eastAsia="Times New Roman"/>
                <w:szCs w:val="22"/>
                <w:lang w:eastAsia="en-US"/>
              </w:rPr>
            </w:pPr>
          </w:p>
          <w:p w:rsidR="007B3815" w:rsidRPr="007B3815" w:rsidRDefault="007B3815" w:rsidP="007B3815">
            <w:pPr>
              <w:shd w:val="clear" w:color="auto" w:fill="FAFAFA"/>
              <w:rPr>
                <w:rFonts w:eastAsia="Times New Roman"/>
                <w:szCs w:val="22"/>
                <w:lang w:eastAsia="en-US"/>
              </w:rPr>
            </w:pPr>
            <w:r w:rsidRPr="007B3815">
              <w:rPr>
                <w:rFonts w:eastAsia="Times New Roman"/>
                <w:szCs w:val="22"/>
                <w:lang w:eastAsia="en-US"/>
              </w:rPr>
              <w:t>In the context of the Project on “</w:t>
            </w:r>
            <w:r w:rsidRPr="007B3815">
              <w:rPr>
                <w:rFonts w:eastAsia="Times New Roman"/>
                <w:i/>
                <w:szCs w:val="22"/>
                <w:lang w:eastAsia="en-US"/>
              </w:rPr>
              <w:t>Strengthening and Development of the Audiovisual Sector in Burkina Faso and Certain African Countries</w:t>
            </w:r>
            <w:r w:rsidRPr="007B3815">
              <w:rPr>
                <w:rFonts w:eastAsia="Times New Roman"/>
                <w:szCs w:val="22"/>
                <w:lang w:eastAsia="en-US"/>
              </w:rPr>
              <w:t>” – Phase II (document CDIP/17/7), a feasibility study on “</w:t>
            </w:r>
            <w:r w:rsidRPr="007B3815">
              <w:rPr>
                <w:rFonts w:eastAsia="Times New Roman"/>
                <w:i/>
                <w:szCs w:val="22"/>
                <w:lang w:eastAsia="en-US"/>
              </w:rPr>
              <w:t>Enhancing the collection of economic data in the audiovisual sector in certain African countries</w:t>
            </w:r>
            <w:r w:rsidRPr="007B3815">
              <w:rPr>
                <w:rFonts w:eastAsia="Times New Roman"/>
                <w:szCs w:val="22"/>
                <w:lang w:eastAsia="en-US"/>
              </w:rPr>
              <w:t>” was commissioned in 2017. The study covered Burkina Faso, Côte d'Ivoire, Kenya, Morocco and Senegal</w:t>
            </w:r>
          </w:p>
          <w:p w:rsidR="007B3815" w:rsidRPr="007B3815" w:rsidRDefault="007B3815" w:rsidP="007B3815">
            <w:pPr>
              <w:shd w:val="clear" w:color="auto" w:fill="FAFAFA"/>
              <w:rPr>
                <w:rFonts w:eastAsia="Times New Roman"/>
                <w:szCs w:val="22"/>
                <w:lang w:eastAsia="en-US"/>
              </w:rPr>
            </w:pPr>
          </w:p>
          <w:p w:rsidR="007B3815" w:rsidRPr="007B3815" w:rsidRDefault="007B3815" w:rsidP="007B3815">
            <w:pPr>
              <w:shd w:val="clear" w:color="auto" w:fill="FAFAFA"/>
              <w:rPr>
                <w:rFonts w:eastAsia="Times New Roman"/>
                <w:szCs w:val="22"/>
                <w:lang w:eastAsia="en-US"/>
              </w:rPr>
            </w:pPr>
            <w:r w:rsidRPr="007B3815">
              <w:rPr>
                <w:rFonts w:eastAsia="Times New Roman"/>
                <w:szCs w:val="22"/>
                <w:shd w:val="clear" w:color="auto" w:fill="FAFAFA"/>
                <w:lang w:eastAsia="en-US"/>
              </w:rPr>
              <w:t xml:space="preserve">The report revealed a data gap within the audiovisual sectors of the countries covered. </w:t>
            </w:r>
            <w:r w:rsidRPr="007B3815">
              <w:rPr>
                <w:rFonts w:eastAsia="Times New Roman"/>
                <w:szCs w:val="22"/>
                <w:lang w:eastAsia="en-US"/>
              </w:rPr>
              <w:t xml:space="preserve">One of the conclusions was the need to increase the awareness of audiovisual industry stakeholders with regard to the importance of enhancing the collection of market and legal data.  Steps were identified in that regard. </w:t>
            </w:r>
          </w:p>
          <w:p w:rsidR="007B3815" w:rsidRPr="007B3815" w:rsidRDefault="007B3815" w:rsidP="007B3815">
            <w:pPr>
              <w:shd w:val="clear" w:color="auto" w:fill="FAFAFA"/>
              <w:rPr>
                <w:rFonts w:eastAsia="Times New Roman"/>
                <w:szCs w:val="22"/>
                <w:lang w:eastAsia="en-US"/>
              </w:rPr>
            </w:pPr>
            <w:r w:rsidRPr="007B3815">
              <w:rPr>
                <w:rFonts w:eastAsia="Times New Roman"/>
                <w:szCs w:val="22"/>
                <w:lang w:eastAsia="en-US"/>
              </w:rPr>
              <w:t xml:space="preserve"> </w:t>
            </w:r>
          </w:p>
          <w:p w:rsidR="007B3815" w:rsidRPr="007B3815" w:rsidRDefault="007B3815" w:rsidP="007B3815">
            <w:pPr>
              <w:shd w:val="clear" w:color="auto" w:fill="FAFAFA"/>
              <w:rPr>
                <w:rFonts w:eastAsia="Times New Roman"/>
                <w:szCs w:val="22"/>
                <w:shd w:val="clear" w:color="auto" w:fill="FAFAFA"/>
                <w:lang w:eastAsia="en-US"/>
              </w:rPr>
            </w:pPr>
            <w:r w:rsidRPr="007B3815">
              <w:rPr>
                <w:rFonts w:eastAsia="Times New Roman"/>
                <w:szCs w:val="22"/>
                <w:shd w:val="clear" w:color="auto" w:fill="FAFAFA"/>
                <w:lang w:eastAsia="en-US"/>
              </w:rPr>
              <w:t xml:space="preserve">Little is known about the size or nature of domestic audiovisual markets in many developing countries. This, coupled with the sector’s informal nature, and poor IP awareness, makes identifying and effectively managing IP assets to leverage the sector’s economic potential, a significant challenge. Professionals outlined that transparent and reliable market data could support transparent and effective policy decision in the audiovisual sector. </w:t>
            </w:r>
          </w:p>
          <w:p w:rsidR="007B3815" w:rsidRPr="007B3815" w:rsidRDefault="007B3815" w:rsidP="007B3815">
            <w:pPr>
              <w:shd w:val="clear" w:color="auto" w:fill="FAFAFA"/>
              <w:rPr>
                <w:rFonts w:eastAsia="Times New Roman"/>
                <w:szCs w:val="22"/>
                <w:shd w:val="clear" w:color="auto" w:fill="FAFAFA"/>
                <w:lang w:eastAsia="en-US"/>
              </w:rPr>
            </w:pPr>
          </w:p>
          <w:p w:rsidR="007B3815" w:rsidRPr="007B3815" w:rsidRDefault="007B3815" w:rsidP="007B3815">
            <w:pPr>
              <w:shd w:val="clear" w:color="auto" w:fill="FAFAFA"/>
              <w:rPr>
                <w:rFonts w:eastAsia="Times New Roman"/>
                <w:szCs w:val="22"/>
                <w:lang w:eastAsia="en-US"/>
              </w:rPr>
            </w:pPr>
            <w:r w:rsidRPr="007B3815">
              <w:rPr>
                <w:rFonts w:eastAsia="Times New Roman"/>
                <w:szCs w:val="22"/>
                <w:lang w:eastAsia="en-US"/>
              </w:rPr>
              <w:t xml:space="preserve">This project proposal is presented to disseminate the project results of the above-referred study through the organization of the following two main project activities : </w:t>
            </w:r>
            <w:r w:rsidRPr="007B3815">
              <w:rPr>
                <w:rFonts w:eastAsia="Times New Roman"/>
                <w:szCs w:val="22"/>
                <w:lang w:eastAsia="en-US"/>
              </w:rPr>
              <w:br/>
            </w:r>
          </w:p>
          <w:p w:rsidR="007B3815" w:rsidRPr="007B3815" w:rsidRDefault="007B3815" w:rsidP="007B3815">
            <w:pPr>
              <w:numPr>
                <w:ilvl w:val="0"/>
                <w:numId w:val="11"/>
              </w:numPr>
              <w:shd w:val="clear" w:color="auto" w:fill="FAFAFA"/>
              <w:rPr>
                <w:rFonts w:eastAsia="Times New Roman"/>
                <w:szCs w:val="22"/>
                <w:lang w:eastAsia="en-US"/>
              </w:rPr>
            </w:pPr>
            <w:r w:rsidRPr="007B3815">
              <w:rPr>
                <w:rFonts w:eastAsia="Times New Roman"/>
                <w:szCs w:val="22"/>
                <w:lang w:eastAsia="en-US"/>
              </w:rPr>
              <w:t>A sub regional workshop to disseminate the study findings;</w:t>
            </w:r>
          </w:p>
          <w:p w:rsidR="007B3815" w:rsidRPr="007B3815" w:rsidRDefault="007B3815" w:rsidP="007B3815">
            <w:pPr>
              <w:numPr>
                <w:ilvl w:val="0"/>
                <w:numId w:val="11"/>
              </w:numPr>
              <w:shd w:val="clear" w:color="auto" w:fill="FAFAFA"/>
              <w:rPr>
                <w:rFonts w:eastAsia="Times New Roman"/>
                <w:szCs w:val="22"/>
                <w:lang w:eastAsia="en-US"/>
              </w:rPr>
            </w:pPr>
            <w:r w:rsidRPr="007B3815">
              <w:rPr>
                <w:rFonts w:eastAsia="Times New Roman"/>
                <w:szCs w:val="22"/>
                <w:lang w:eastAsia="en-US"/>
              </w:rPr>
              <w:t xml:space="preserve">The drafting of a summary following the workshop outlining the experiences in the area and some possible options for the beneficiary countries. </w:t>
            </w:r>
          </w:p>
          <w:p w:rsidR="007B3815" w:rsidRPr="007B3815" w:rsidRDefault="007B3815" w:rsidP="007B3815">
            <w:pPr>
              <w:shd w:val="clear" w:color="auto" w:fill="FAFAFA"/>
              <w:rPr>
                <w:rFonts w:eastAsia="Times New Roman"/>
                <w:szCs w:val="22"/>
                <w:lang w:eastAsia="en-US"/>
              </w:rPr>
            </w:pPr>
          </w:p>
          <w:p w:rsidR="007B3815" w:rsidRPr="007B3815" w:rsidRDefault="007B3815" w:rsidP="007B3815">
            <w:pPr>
              <w:shd w:val="clear" w:color="auto" w:fill="FAFAFA"/>
              <w:rPr>
                <w:rFonts w:eastAsia="Times New Roman"/>
                <w:szCs w:val="22"/>
                <w:lang w:eastAsia="en-US"/>
              </w:rPr>
            </w:pPr>
            <w:r w:rsidRPr="007B3815">
              <w:rPr>
                <w:rFonts w:eastAsia="Times New Roman"/>
                <w:szCs w:val="22"/>
                <w:lang w:eastAsia="en-US"/>
              </w:rPr>
              <w:t>The main objectives of these activities are to:</w:t>
            </w:r>
          </w:p>
          <w:p w:rsidR="007B3815" w:rsidRPr="007B3815" w:rsidRDefault="007B3815" w:rsidP="007B3815">
            <w:pPr>
              <w:shd w:val="clear" w:color="auto" w:fill="FAFAFA"/>
              <w:rPr>
                <w:rFonts w:eastAsia="Times New Roman"/>
                <w:szCs w:val="22"/>
                <w:lang w:eastAsia="en-US"/>
              </w:rPr>
            </w:pPr>
          </w:p>
          <w:p w:rsidR="007B3815" w:rsidRPr="007B3815" w:rsidRDefault="007B3815" w:rsidP="007B3815">
            <w:pPr>
              <w:numPr>
                <w:ilvl w:val="0"/>
                <w:numId w:val="10"/>
              </w:numPr>
              <w:autoSpaceDE w:val="0"/>
              <w:autoSpaceDN w:val="0"/>
              <w:adjustRightInd w:val="0"/>
              <w:contextualSpacing/>
              <w:jc w:val="both"/>
              <w:rPr>
                <w:rFonts w:eastAsia="Times New Roman"/>
                <w:szCs w:val="22"/>
                <w:lang w:eastAsia="en-US"/>
              </w:rPr>
            </w:pPr>
            <w:r w:rsidRPr="007B3815">
              <w:rPr>
                <w:rFonts w:eastAsia="Times New Roman"/>
                <w:szCs w:val="22"/>
                <w:lang w:eastAsia="en-US"/>
              </w:rPr>
              <w:t xml:space="preserve">Present the key findings of the study </w:t>
            </w:r>
          </w:p>
          <w:p w:rsidR="007B3815" w:rsidRPr="007B3815" w:rsidRDefault="007B3815" w:rsidP="007B3815">
            <w:pPr>
              <w:numPr>
                <w:ilvl w:val="0"/>
                <w:numId w:val="10"/>
              </w:numPr>
              <w:autoSpaceDE w:val="0"/>
              <w:autoSpaceDN w:val="0"/>
              <w:adjustRightInd w:val="0"/>
              <w:contextualSpacing/>
              <w:jc w:val="both"/>
              <w:rPr>
                <w:rFonts w:eastAsia="Times New Roman"/>
                <w:szCs w:val="22"/>
                <w:lang w:eastAsia="en-US"/>
              </w:rPr>
            </w:pPr>
            <w:r w:rsidRPr="007B3815">
              <w:rPr>
                <w:rFonts w:eastAsia="Times New Roman"/>
                <w:szCs w:val="22"/>
                <w:lang w:eastAsia="en-US"/>
              </w:rPr>
              <w:t>Raise further awareness of policy makers and professionals on the importance of market and legal data in the audiovisual sector</w:t>
            </w:r>
          </w:p>
          <w:p w:rsidR="007B3815" w:rsidRPr="007B3815" w:rsidRDefault="007B3815" w:rsidP="007B3815">
            <w:pPr>
              <w:numPr>
                <w:ilvl w:val="0"/>
                <w:numId w:val="10"/>
              </w:numPr>
              <w:autoSpaceDE w:val="0"/>
              <w:autoSpaceDN w:val="0"/>
              <w:adjustRightInd w:val="0"/>
              <w:contextualSpacing/>
              <w:jc w:val="both"/>
              <w:rPr>
                <w:rFonts w:eastAsia="Times New Roman"/>
                <w:szCs w:val="22"/>
                <w:lang w:eastAsia="en-US"/>
              </w:rPr>
            </w:pPr>
            <w:r w:rsidRPr="007B3815">
              <w:rPr>
                <w:rFonts w:eastAsia="Times New Roman"/>
                <w:szCs w:val="22"/>
                <w:lang w:eastAsia="en-US"/>
              </w:rPr>
              <w:t>Provide examples of successful national and regional strategies, tools and best practices related to collection of market and legal data in the audiovisual sector</w:t>
            </w:r>
          </w:p>
          <w:p w:rsidR="007B3815" w:rsidRPr="007B3815" w:rsidRDefault="007B3815" w:rsidP="007B3815">
            <w:pPr>
              <w:numPr>
                <w:ilvl w:val="0"/>
                <w:numId w:val="10"/>
              </w:numPr>
              <w:autoSpaceDE w:val="0"/>
              <w:autoSpaceDN w:val="0"/>
              <w:adjustRightInd w:val="0"/>
              <w:contextualSpacing/>
              <w:jc w:val="both"/>
              <w:rPr>
                <w:rFonts w:eastAsia="Times New Roman"/>
                <w:szCs w:val="22"/>
                <w:lang w:eastAsia="en-US"/>
              </w:rPr>
            </w:pPr>
            <w:r w:rsidRPr="007B3815">
              <w:rPr>
                <w:rFonts w:eastAsia="Times New Roman"/>
                <w:szCs w:val="22"/>
                <w:lang w:eastAsia="en-US"/>
              </w:rPr>
              <w:t>Identify some options which could be followed by beneficiary countries to increase transparency of market and legal data</w:t>
            </w:r>
          </w:p>
          <w:p w:rsidR="00F962F4" w:rsidRDefault="00F962F4" w:rsidP="00F962F4"/>
        </w:tc>
      </w:tr>
    </w:tbl>
    <w:p w:rsidR="00695EAA" w:rsidRDefault="00695EAA" w:rsidP="00F962F4">
      <w:pPr>
        <w:rPr>
          <w:i/>
          <w:szCs w:val="22"/>
        </w:rPr>
        <w:sectPr w:rsidR="00695EAA" w:rsidSect="00203D3C">
          <w:headerReference w:type="default" r:id="rId9"/>
          <w:endnotePr>
            <w:numFmt w:val="decimal"/>
          </w:endnotePr>
          <w:pgSz w:w="11907" w:h="16840" w:code="9"/>
          <w:pgMar w:top="567" w:right="1134" w:bottom="1418" w:left="1418" w:header="510" w:footer="1021" w:gutter="0"/>
          <w:cols w:space="720"/>
          <w:titlePg/>
          <w:docGrid w:linePitch="299"/>
        </w:sectPr>
      </w:pPr>
    </w:p>
    <w:tbl>
      <w:tblPr>
        <w:tblStyle w:val="TableGrid"/>
        <w:tblW w:w="0" w:type="auto"/>
        <w:tblLook w:val="04A0" w:firstRow="1" w:lastRow="0" w:firstColumn="1" w:lastColumn="0" w:noHBand="0" w:noVBand="1"/>
      </w:tblPr>
      <w:tblGrid>
        <w:gridCol w:w="2155"/>
        <w:gridCol w:w="7190"/>
      </w:tblGrid>
      <w:tr w:rsidR="00F962F4" w:rsidTr="00EE6077">
        <w:tc>
          <w:tcPr>
            <w:tcW w:w="2155" w:type="dxa"/>
          </w:tcPr>
          <w:p w:rsidR="00A61C8A" w:rsidRDefault="00A61C8A" w:rsidP="00F962F4">
            <w:pPr>
              <w:rPr>
                <w:i/>
                <w:szCs w:val="22"/>
              </w:rPr>
            </w:pPr>
          </w:p>
          <w:p w:rsidR="00F962F4" w:rsidRDefault="00A61C8A" w:rsidP="00F962F4">
            <w:pPr>
              <w:rPr>
                <w:i/>
                <w:szCs w:val="22"/>
              </w:rPr>
            </w:pPr>
            <w:r>
              <w:rPr>
                <w:i/>
                <w:szCs w:val="22"/>
              </w:rPr>
              <w:t>Project Activities</w:t>
            </w:r>
          </w:p>
          <w:p w:rsidR="00A61C8A" w:rsidRDefault="00A61C8A" w:rsidP="00F962F4"/>
        </w:tc>
        <w:tc>
          <w:tcPr>
            <w:tcW w:w="7190" w:type="dxa"/>
          </w:tcPr>
          <w:p w:rsidR="00F962F4" w:rsidRDefault="00F962F4" w:rsidP="00F962F4"/>
          <w:p w:rsidR="00A61C8A" w:rsidRPr="00A61C8A" w:rsidRDefault="00A61C8A" w:rsidP="00A61C8A">
            <w:pPr>
              <w:jc w:val="both"/>
              <w:rPr>
                <w:b/>
                <w:szCs w:val="22"/>
              </w:rPr>
            </w:pPr>
            <w:r w:rsidRPr="00A61C8A">
              <w:rPr>
                <w:b/>
                <w:szCs w:val="22"/>
              </w:rPr>
              <w:t xml:space="preserve">Project activity 1: </w:t>
            </w:r>
          </w:p>
          <w:p w:rsidR="00A61C8A" w:rsidRPr="00A61C8A" w:rsidRDefault="00A61C8A" w:rsidP="00A61C8A">
            <w:pPr>
              <w:autoSpaceDE w:val="0"/>
              <w:autoSpaceDN w:val="0"/>
              <w:adjustRightInd w:val="0"/>
              <w:contextualSpacing/>
              <w:jc w:val="both"/>
              <w:rPr>
                <w:b/>
                <w:szCs w:val="22"/>
              </w:rPr>
            </w:pPr>
          </w:p>
          <w:p w:rsidR="00A61C8A" w:rsidRPr="00A61C8A" w:rsidRDefault="00A61C8A" w:rsidP="00A61C8A">
            <w:pPr>
              <w:autoSpaceDE w:val="0"/>
              <w:autoSpaceDN w:val="0"/>
              <w:adjustRightInd w:val="0"/>
              <w:contextualSpacing/>
              <w:jc w:val="both"/>
              <w:rPr>
                <w:b/>
                <w:szCs w:val="22"/>
              </w:rPr>
            </w:pPr>
            <w:r w:rsidRPr="00A61C8A">
              <w:rPr>
                <w:b/>
                <w:szCs w:val="22"/>
              </w:rPr>
              <w:t xml:space="preserve">Sub regional seminar </w:t>
            </w:r>
          </w:p>
          <w:p w:rsidR="00A61C8A" w:rsidRPr="00A61C8A" w:rsidRDefault="00A61C8A" w:rsidP="00A61C8A">
            <w:pPr>
              <w:autoSpaceDE w:val="0"/>
              <w:autoSpaceDN w:val="0"/>
              <w:adjustRightInd w:val="0"/>
              <w:contextualSpacing/>
              <w:jc w:val="both"/>
              <w:rPr>
                <w:b/>
                <w:szCs w:val="22"/>
              </w:rPr>
            </w:pPr>
          </w:p>
          <w:p w:rsidR="00A61C8A" w:rsidRPr="00A61C8A" w:rsidRDefault="00A61C8A" w:rsidP="00A61C8A">
            <w:pPr>
              <w:autoSpaceDE w:val="0"/>
              <w:autoSpaceDN w:val="0"/>
              <w:adjustRightInd w:val="0"/>
              <w:contextualSpacing/>
              <w:jc w:val="both"/>
              <w:rPr>
                <w:b/>
                <w:szCs w:val="22"/>
              </w:rPr>
            </w:pPr>
            <w:r w:rsidRPr="00A61C8A">
              <w:rPr>
                <w:szCs w:val="22"/>
              </w:rPr>
              <w:t>The seminar will address</w:t>
            </w:r>
            <w:r w:rsidRPr="00A61C8A">
              <w:rPr>
                <w:szCs w:val="22"/>
                <w:shd w:val="clear" w:color="auto" w:fill="FAFAFA"/>
              </w:rPr>
              <w:t xml:space="preserve"> the business, financial and economic benefits that can flow from robust data collection to all parties concerned.</w:t>
            </w:r>
          </w:p>
          <w:p w:rsidR="00A61C8A" w:rsidRPr="00A61C8A" w:rsidRDefault="00A61C8A" w:rsidP="00A61C8A">
            <w:pPr>
              <w:autoSpaceDE w:val="0"/>
              <w:autoSpaceDN w:val="0"/>
              <w:adjustRightInd w:val="0"/>
              <w:ind w:left="720"/>
              <w:contextualSpacing/>
              <w:jc w:val="both"/>
              <w:rPr>
                <w:rFonts w:eastAsia="Times New Roman"/>
                <w:b/>
                <w:szCs w:val="22"/>
                <w:lang w:eastAsia="en-US"/>
              </w:rPr>
            </w:pPr>
          </w:p>
          <w:p w:rsidR="00A61C8A" w:rsidRPr="00A61C8A" w:rsidRDefault="00A61C8A" w:rsidP="00047B54">
            <w:pPr>
              <w:rPr>
                <w:szCs w:val="22"/>
              </w:rPr>
            </w:pPr>
            <w:r w:rsidRPr="00A61C8A">
              <w:rPr>
                <w:szCs w:val="22"/>
              </w:rPr>
              <w:t>The seminar will bring together, over three days,  representatives of the national insti</w:t>
            </w:r>
            <w:r w:rsidRPr="00A61C8A">
              <w:rPr>
                <w:szCs w:val="22"/>
                <w:shd w:val="clear" w:color="auto" w:fill="FAFAFA"/>
              </w:rPr>
              <w:t xml:space="preserve">tutions involved in funding, regulating and managing  production and distribution in the audiovisual sector as well as broadcasting organizations, </w:t>
            </w:r>
            <w:r w:rsidRPr="00A61C8A">
              <w:rPr>
                <w:szCs w:val="22"/>
              </w:rPr>
              <w:t xml:space="preserve">copyright offices and collective management organizations,. </w:t>
            </w:r>
          </w:p>
          <w:p w:rsidR="00A61C8A" w:rsidRPr="00A61C8A" w:rsidRDefault="00A61C8A" w:rsidP="00A61C8A">
            <w:pPr>
              <w:jc w:val="both"/>
              <w:rPr>
                <w:szCs w:val="22"/>
              </w:rPr>
            </w:pPr>
          </w:p>
          <w:p w:rsidR="00A61C8A" w:rsidRPr="00A61C8A" w:rsidRDefault="00A61C8A" w:rsidP="00A61C8A">
            <w:pPr>
              <w:jc w:val="both"/>
              <w:rPr>
                <w:szCs w:val="22"/>
              </w:rPr>
            </w:pPr>
            <w:r w:rsidRPr="00A61C8A">
              <w:rPr>
                <w:szCs w:val="22"/>
              </w:rPr>
              <w:t xml:space="preserve">The seminar will include sub regional institutional partners such as the West African Economic and Monetary Union Commission /UEMOA) and ECOWAS. </w:t>
            </w:r>
          </w:p>
          <w:p w:rsidR="00A61C8A" w:rsidRPr="00A61C8A" w:rsidRDefault="00A61C8A" w:rsidP="00A61C8A">
            <w:pPr>
              <w:jc w:val="both"/>
              <w:rPr>
                <w:szCs w:val="22"/>
              </w:rPr>
            </w:pPr>
          </w:p>
          <w:p w:rsidR="00A61C8A" w:rsidRPr="00A61C8A" w:rsidRDefault="00A61C8A" w:rsidP="00A61C8A">
            <w:pPr>
              <w:rPr>
                <w:szCs w:val="22"/>
              </w:rPr>
            </w:pPr>
            <w:r w:rsidRPr="00A61C8A">
              <w:rPr>
                <w:szCs w:val="22"/>
              </w:rPr>
              <w:t xml:space="preserve">Contributors and presenters will include the two researchers who carried out the study and two other experts.  The seminar will also include representatives from European copyright professional associations (for example the European Society of Audiovisual Authors SAA; the European Audiovisual Observatory, representatives from the African Audiovisual and Cinema Commission of the African Union). </w:t>
            </w:r>
          </w:p>
          <w:p w:rsidR="00A61C8A" w:rsidRPr="00A61C8A" w:rsidRDefault="00A61C8A" w:rsidP="00A61C8A">
            <w:pPr>
              <w:rPr>
                <w:szCs w:val="22"/>
              </w:rPr>
            </w:pPr>
          </w:p>
          <w:p w:rsidR="00A61C8A" w:rsidRPr="00A61C8A" w:rsidRDefault="00A61C8A" w:rsidP="00A61C8A">
            <w:pPr>
              <w:rPr>
                <w:szCs w:val="22"/>
              </w:rPr>
            </w:pPr>
            <w:r w:rsidRPr="00A61C8A">
              <w:rPr>
                <w:szCs w:val="22"/>
              </w:rPr>
              <w:t>The participants will include at least 5 representatives from each beneficiary country representing he following categories:</w:t>
            </w:r>
          </w:p>
          <w:p w:rsidR="00A61C8A" w:rsidRPr="00A61C8A" w:rsidRDefault="00A61C8A" w:rsidP="00A61C8A">
            <w:pPr>
              <w:rPr>
                <w:szCs w:val="22"/>
              </w:rPr>
            </w:pPr>
          </w:p>
          <w:p w:rsidR="00A61C8A" w:rsidRPr="00A61C8A" w:rsidRDefault="00A61C8A" w:rsidP="00A61C8A">
            <w:pPr>
              <w:numPr>
                <w:ilvl w:val="0"/>
                <w:numId w:val="10"/>
              </w:numPr>
              <w:rPr>
                <w:rFonts w:eastAsia="Times New Roman"/>
                <w:szCs w:val="22"/>
                <w:lang w:eastAsia="en-US"/>
              </w:rPr>
            </w:pPr>
            <w:r w:rsidRPr="00A61C8A">
              <w:rPr>
                <w:rFonts w:eastAsia="Times New Roman"/>
                <w:szCs w:val="22"/>
                <w:lang w:eastAsia="en-US"/>
              </w:rPr>
              <w:t>A representative of the national authority in charge of copyright</w:t>
            </w:r>
          </w:p>
          <w:p w:rsidR="00A61C8A" w:rsidRPr="00A61C8A" w:rsidRDefault="00A61C8A" w:rsidP="00A61C8A">
            <w:pPr>
              <w:numPr>
                <w:ilvl w:val="0"/>
                <w:numId w:val="10"/>
              </w:numPr>
              <w:rPr>
                <w:rFonts w:eastAsia="Times New Roman"/>
                <w:szCs w:val="22"/>
                <w:lang w:eastAsia="en-US"/>
              </w:rPr>
            </w:pPr>
            <w:r w:rsidRPr="00A61C8A">
              <w:rPr>
                <w:rFonts w:eastAsia="Times New Roman"/>
                <w:szCs w:val="22"/>
                <w:lang w:eastAsia="en-US"/>
              </w:rPr>
              <w:t>A representative of the collective management organization</w:t>
            </w:r>
          </w:p>
          <w:p w:rsidR="00A61C8A" w:rsidRPr="00A61C8A" w:rsidRDefault="00A61C8A" w:rsidP="00A61C8A">
            <w:pPr>
              <w:numPr>
                <w:ilvl w:val="0"/>
                <w:numId w:val="10"/>
              </w:numPr>
              <w:rPr>
                <w:rFonts w:eastAsia="Times New Roman"/>
                <w:szCs w:val="22"/>
                <w:lang w:eastAsia="en-US"/>
              </w:rPr>
            </w:pPr>
            <w:r w:rsidRPr="00A61C8A">
              <w:rPr>
                <w:rFonts w:eastAsia="Times New Roman"/>
                <w:szCs w:val="22"/>
                <w:lang w:eastAsia="en-US"/>
              </w:rPr>
              <w:t>A representative of the Cinematographic commission</w:t>
            </w:r>
          </w:p>
          <w:p w:rsidR="00A61C8A" w:rsidRPr="00A61C8A" w:rsidRDefault="00A61C8A" w:rsidP="00A61C8A">
            <w:pPr>
              <w:numPr>
                <w:ilvl w:val="0"/>
                <w:numId w:val="10"/>
              </w:numPr>
              <w:rPr>
                <w:rFonts w:eastAsia="Times New Roman"/>
                <w:szCs w:val="22"/>
                <w:lang w:eastAsia="en-US"/>
              </w:rPr>
            </w:pPr>
            <w:r w:rsidRPr="00A61C8A">
              <w:rPr>
                <w:rFonts w:eastAsia="Times New Roman"/>
                <w:szCs w:val="22"/>
                <w:lang w:val="en-GB" w:eastAsia="en-US"/>
              </w:rPr>
              <w:t>A representative of the national regulatory authority for communications</w:t>
            </w:r>
          </w:p>
          <w:p w:rsidR="00A61C8A" w:rsidRPr="00A61C8A" w:rsidRDefault="00A61C8A" w:rsidP="00A61C8A">
            <w:pPr>
              <w:numPr>
                <w:ilvl w:val="0"/>
                <w:numId w:val="10"/>
              </w:numPr>
              <w:rPr>
                <w:rFonts w:eastAsia="Times New Roman"/>
                <w:szCs w:val="22"/>
                <w:lang w:eastAsia="en-US"/>
              </w:rPr>
            </w:pPr>
            <w:r w:rsidRPr="00A61C8A">
              <w:rPr>
                <w:rFonts w:eastAsia="Times New Roman"/>
                <w:szCs w:val="22"/>
                <w:lang w:eastAsia="en-US"/>
              </w:rPr>
              <w:t xml:space="preserve">A representative of the film producers association.  </w:t>
            </w:r>
          </w:p>
          <w:p w:rsidR="00A61C8A" w:rsidRPr="00A61C8A" w:rsidRDefault="00A61C8A" w:rsidP="00A61C8A">
            <w:pPr>
              <w:contextualSpacing/>
              <w:jc w:val="both"/>
              <w:rPr>
                <w:szCs w:val="22"/>
              </w:rPr>
            </w:pPr>
          </w:p>
          <w:p w:rsidR="00A61C8A" w:rsidRPr="00A61C8A" w:rsidRDefault="00A61C8A" w:rsidP="00A61C8A">
            <w:pPr>
              <w:contextualSpacing/>
              <w:jc w:val="both"/>
              <w:rPr>
                <w:szCs w:val="22"/>
              </w:rPr>
            </w:pPr>
          </w:p>
          <w:p w:rsidR="00A61C8A" w:rsidRPr="00A61C8A" w:rsidRDefault="00A61C8A" w:rsidP="00A61C8A">
            <w:pPr>
              <w:contextualSpacing/>
              <w:jc w:val="both"/>
              <w:rPr>
                <w:b/>
                <w:szCs w:val="22"/>
              </w:rPr>
            </w:pPr>
            <w:r w:rsidRPr="00A61C8A">
              <w:rPr>
                <w:b/>
                <w:szCs w:val="22"/>
              </w:rPr>
              <w:t>Project activity 2:</w:t>
            </w:r>
          </w:p>
          <w:p w:rsidR="00A61C8A" w:rsidRPr="00A61C8A" w:rsidRDefault="00A61C8A" w:rsidP="00A61C8A">
            <w:pPr>
              <w:contextualSpacing/>
              <w:jc w:val="both"/>
              <w:rPr>
                <w:b/>
                <w:szCs w:val="22"/>
              </w:rPr>
            </w:pPr>
          </w:p>
          <w:p w:rsidR="00A61C8A" w:rsidRPr="00A61C8A" w:rsidRDefault="00A61C8A" w:rsidP="00A61C8A">
            <w:pPr>
              <w:contextualSpacing/>
              <w:jc w:val="both"/>
              <w:rPr>
                <w:b/>
                <w:szCs w:val="22"/>
              </w:rPr>
            </w:pPr>
          </w:p>
          <w:p w:rsidR="00A61C8A" w:rsidRPr="00A61C8A" w:rsidRDefault="00A61C8A" w:rsidP="00A61C8A">
            <w:pPr>
              <w:shd w:val="clear" w:color="auto" w:fill="FAFAFA"/>
              <w:rPr>
                <w:rFonts w:eastAsia="Times New Roman"/>
                <w:szCs w:val="22"/>
                <w:lang w:eastAsia="en-US"/>
              </w:rPr>
            </w:pPr>
            <w:r w:rsidRPr="00A61C8A">
              <w:rPr>
                <w:rFonts w:eastAsia="Times New Roman"/>
                <w:b/>
                <w:szCs w:val="22"/>
                <w:lang w:eastAsia="en-US"/>
              </w:rPr>
              <w:t>Preparation of Summary document following the workshop</w:t>
            </w:r>
            <w:r w:rsidRPr="00A61C8A">
              <w:rPr>
                <w:rFonts w:eastAsia="Times New Roman"/>
                <w:szCs w:val="22"/>
                <w:lang w:eastAsia="en-US"/>
              </w:rPr>
              <w:br/>
            </w:r>
            <w:r w:rsidRPr="00A61C8A">
              <w:rPr>
                <w:rFonts w:eastAsia="Times New Roman"/>
                <w:szCs w:val="22"/>
                <w:lang w:eastAsia="en-US"/>
              </w:rPr>
              <w:br/>
              <w:t>The document will :</w:t>
            </w:r>
          </w:p>
          <w:p w:rsidR="00A61C8A" w:rsidRPr="00A61C8A" w:rsidRDefault="00A61C8A" w:rsidP="00A61C8A">
            <w:pPr>
              <w:numPr>
                <w:ilvl w:val="0"/>
                <w:numId w:val="10"/>
              </w:numPr>
              <w:shd w:val="clear" w:color="auto" w:fill="FAFAFA"/>
              <w:rPr>
                <w:rFonts w:eastAsia="Times New Roman"/>
                <w:szCs w:val="22"/>
                <w:lang w:eastAsia="en-US"/>
              </w:rPr>
            </w:pPr>
            <w:r w:rsidRPr="00A61C8A">
              <w:rPr>
                <w:rFonts w:eastAsia="Times New Roman"/>
                <w:szCs w:val="22"/>
                <w:lang w:eastAsia="en-US"/>
              </w:rPr>
              <w:t xml:space="preserve">outline the experiences in the area and the various approaches to data collection in the countries, </w:t>
            </w:r>
          </w:p>
          <w:p w:rsidR="00A61C8A" w:rsidRPr="00A61C8A" w:rsidRDefault="00A61C8A" w:rsidP="00A61C8A">
            <w:pPr>
              <w:numPr>
                <w:ilvl w:val="0"/>
                <w:numId w:val="10"/>
              </w:numPr>
              <w:shd w:val="clear" w:color="auto" w:fill="FAFAFA"/>
              <w:rPr>
                <w:rFonts w:eastAsia="Times New Roman"/>
                <w:szCs w:val="22"/>
                <w:lang w:eastAsia="en-US"/>
              </w:rPr>
            </w:pPr>
            <w:r w:rsidRPr="00A61C8A">
              <w:rPr>
                <w:rFonts w:eastAsia="Times New Roman"/>
                <w:szCs w:val="22"/>
                <w:lang w:eastAsia="en-US"/>
              </w:rPr>
              <w:t xml:space="preserve">benchmark some best practices addressed during the seminar </w:t>
            </w:r>
          </w:p>
          <w:p w:rsidR="00A61C8A" w:rsidRPr="00A61C8A" w:rsidRDefault="00A61C8A" w:rsidP="00A61C8A">
            <w:pPr>
              <w:numPr>
                <w:ilvl w:val="0"/>
                <w:numId w:val="10"/>
              </w:numPr>
              <w:shd w:val="clear" w:color="auto" w:fill="FAFAFA"/>
              <w:rPr>
                <w:rFonts w:eastAsia="Times New Roman"/>
                <w:szCs w:val="22"/>
                <w:lang w:eastAsia="en-US"/>
              </w:rPr>
            </w:pPr>
            <w:proofErr w:type="gramStart"/>
            <w:r w:rsidRPr="00A61C8A">
              <w:rPr>
                <w:rFonts w:eastAsia="Times New Roman"/>
                <w:szCs w:val="22"/>
                <w:lang w:eastAsia="en-US"/>
              </w:rPr>
              <w:t>and</w:t>
            </w:r>
            <w:proofErr w:type="gramEnd"/>
            <w:r w:rsidRPr="00A61C8A">
              <w:rPr>
                <w:rFonts w:eastAsia="Times New Roman"/>
                <w:szCs w:val="22"/>
                <w:lang w:eastAsia="en-US"/>
              </w:rPr>
              <w:t xml:space="preserve"> identify options for the countries. </w:t>
            </w:r>
          </w:p>
          <w:p w:rsidR="00A61C8A" w:rsidRPr="00A61C8A" w:rsidRDefault="00A61C8A" w:rsidP="00A61C8A">
            <w:pPr>
              <w:shd w:val="clear" w:color="auto" w:fill="FAFAFA"/>
              <w:rPr>
                <w:rFonts w:eastAsia="Times New Roman"/>
                <w:szCs w:val="22"/>
                <w:lang w:eastAsia="en-US"/>
              </w:rPr>
            </w:pPr>
          </w:p>
          <w:p w:rsidR="00A61C8A" w:rsidRPr="00A61C8A" w:rsidRDefault="00A61C8A" w:rsidP="00A61C8A">
            <w:pPr>
              <w:shd w:val="clear" w:color="auto" w:fill="FAFAFA"/>
              <w:rPr>
                <w:rFonts w:eastAsia="Times New Roman"/>
                <w:szCs w:val="22"/>
                <w:lang w:eastAsia="en-US"/>
              </w:rPr>
            </w:pPr>
            <w:r w:rsidRPr="00A61C8A">
              <w:rPr>
                <w:rFonts w:eastAsia="Times New Roman"/>
                <w:szCs w:val="22"/>
                <w:lang w:eastAsia="en-US"/>
              </w:rPr>
              <w:t>It will assess the potential minimum structural, legal, financial and governance arrangements, and the approaches to data collection, data purchase, data sharing, and the development of networks</w:t>
            </w:r>
          </w:p>
          <w:p w:rsidR="00A61C8A" w:rsidRDefault="00A61C8A" w:rsidP="00A61C8A">
            <w:pPr>
              <w:rPr>
                <w:szCs w:val="22"/>
                <w:u w:val="single"/>
              </w:rPr>
            </w:pPr>
          </w:p>
          <w:p w:rsidR="007024B9" w:rsidRDefault="007024B9" w:rsidP="00A61C8A">
            <w:pPr>
              <w:rPr>
                <w:szCs w:val="22"/>
                <w:u w:val="single"/>
              </w:rPr>
            </w:pPr>
          </w:p>
          <w:p w:rsidR="007024B9" w:rsidRDefault="007024B9" w:rsidP="00A61C8A">
            <w:pPr>
              <w:rPr>
                <w:szCs w:val="22"/>
                <w:u w:val="single"/>
              </w:rPr>
            </w:pPr>
          </w:p>
          <w:p w:rsidR="007024B9" w:rsidRPr="00A61C8A" w:rsidRDefault="007024B9" w:rsidP="00A61C8A">
            <w:pPr>
              <w:rPr>
                <w:szCs w:val="22"/>
                <w:u w:val="single"/>
              </w:rPr>
            </w:pPr>
          </w:p>
          <w:p w:rsidR="00A61C8A" w:rsidRPr="00A40368" w:rsidRDefault="00A61C8A" w:rsidP="00A61C8A">
            <w:pPr>
              <w:rPr>
                <w:szCs w:val="22"/>
                <w:u w:val="single"/>
              </w:rPr>
            </w:pPr>
            <w:r w:rsidRPr="00A40368">
              <w:rPr>
                <w:szCs w:val="22"/>
                <w:u w:val="single"/>
              </w:rPr>
              <w:lastRenderedPageBreak/>
              <w:t>Cooperation with other stakeholders:</w:t>
            </w:r>
          </w:p>
          <w:p w:rsidR="00A61C8A" w:rsidRPr="00A40368" w:rsidRDefault="00A61C8A" w:rsidP="00A61C8A">
            <w:pPr>
              <w:rPr>
                <w:szCs w:val="22"/>
              </w:rPr>
            </w:pPr>
          </w:p>
          <w:p w:rsidR="00A61C8A" w:rsidRPr="00A40368" w:rsidRDefault="00A61C8A" w:rsidP="00A61C8A">
            <w:pPr>
              <w:rPr>
                <w:szCs w:val="22"/>
              </w:rPr>
            </w:pPr>
            <w:r w:rsidRPr="00A40368">
              <w:rPr>
                <w:szCs w:val="22"/>
              </w:rPr>
              <w:t>In the strategic implementation of the project, and the desire for the long-term sustainability of the outcomes, synergies will be sought, where appropriate, with programs, projects and initiatives of relevant stakeholders and organizations such as UEMOA and ECOWAS</w:t>
            </w:r>
          </w:p>
          <w:p w:rsidR="00A61C8A" w:rsidRPr="00A40368" w:rsidRDefault="00A61C8A" w:rsidP="00A61C8A">
            <w:pPr>
              <w:rPr>
                <w:szCs w:val="22"/>
              </w:rPr>
            </w:pPr>
            <w:r w:rsidRPr="00A40368">
              <w:rPr>
                <w:szCs w:val="22"/>
              </w:rPr>
              <w:br/>
              <w:t xml:space="preserve">The outcomes </w:t>
            </w:r>
            <w:r>
              <w:rPr>
                <w:szCs w:val="22"/>
              </w:rPr>
              <w:t>and tools of this project will b</w:t>
            </w:r>
            <w:r w:rsidRPr="00A40368">
              <w:rPr>
                <w:szCs w:val="22"/>
              </w:rPr>
              <w:t xml:space="preserve">e shared with other Member states. </w:t>
            </w:r>
          </w:p>
          <w:p w:rsidR="00A61C8A" w:rsidRDefault="00A61C8A" w:rsidP="00F962F4"/>
        </w:tc>
      </w:tr>
      <w:tr w:rsidR="00A61C8A" w:rsidTr="00EE6077">
        <w:tc>
          <w:tcPr>
            <w:tcW w:w="2155" w:type="dxa"/>
          </w:tcPr>
          <w:p w:rsidR="00A61C8A" w:rsidRDefault="00A61C8A" w:rsidP="00A61C8A"/>
          <w:p w:rsidR="00A61C8A" w:rsidRDefault="00A61C8A" w:rsidP="00A61C8A">
            <w:pPr>
              <w:rPr>
                <w:i/>
                <w:szCs w:val="22"/>
              </w:rPr>
            </w:pPr>
            <w:r w:rsidRPr="006A2626">
              <w:rPr>
                <w:i/>
                <w:szCs w:val="22"/>
              </w:rPr>
              <w:t>Key WIPO Sectors Involved and Links to WIPO Programs</w:t>
            </w:r>
          </w:p>
          <w:p w:rsidR="00A61C8A" w:rsidRDefault="00A61C8A" w:rsidP="00A61C8A"/>
        </w:tc>
        <w:tc>
          <w:tcPr>
            <w:tcW w:w="7190" w:type="dxa"/>
          </w:tcPr>
          <w:p w:rsidR="00A61C8A" w:rsidRPr="00695EAA" w:rsidRDefault="00A61C8A" w:rsidP="00A61C8A">
            <w:pPr>
              <w:rPr>
                <w:szCs w:val="22"/>
              </w:rPr>
            </w:pPr>
          </w:p>
          <w:p w:rsidR="00A61C8A" w:rsidRPr="00695EAA" w:rsidRDefault="00A61C8A" w:rsidP="00A61C8A">
            <w:pPr>
              <w:rPr>
                <w:szCs w:val="22"/>
              </w:rPr>
            </w:pPr>
            <w:r w:rsidRPr="00695EAA">
              <w:rPr>
                <w:szCs w:val="22"/>
              </w:rPr>
              <w:t xml:space="preserve">Program 3. </w:t>
            </w:r>
          </w:p>
          <w:p w:rsidR="00A61C8A" w:rsidRPr="00695EAA" w:rsidRDefault="00A61C8A" w:rsidP="00A61C8A">
            <w:pPr>
              <w:rPr>
                <w:szCs w:val="22"/>
              </w:rPr>
            </w:pPr>
          </w:p>
          <w:p w:rsidR="00A61C8A" w:rsidRPr="00695EAA" w:rsidRDefault="00A61C8A" w:rsidP="00A61C8A">
            <w:pPr>
              <w:rPr>
                <w:szCs w:val="22"/>
              </w:rPr>
            </w:pPr>
            <w:r w:rsidRPr="00695EAA">
              <w:rPr>
                <w:szCs w:val="22"/>
              </w:rPr>
              <w:t xml:space="preserve">Strategic Goal III.4: Strengthened cooperation arrangements with institutions in developing countries, LDCs and countries in transition tailored to their needs. </w:t>
            </w:r>
          </w:p>
          <w:p w:rsidR="00A61C8A" w:rsidRPr="00695EAA" w:rsidRDefault="00A61C8A" w:rsidP="00A61C8A">
            <w:pPr>
              <w:rPr>
                <w:szCs w:val="22"/>
              </w:rPr>
            </w:pPr>
          </w:p>
          <w:p w:rsidR="00A61C8A" w:rsidRPr="00695EAA" w:rsidRDefault="00A61C8A" w:rsidP="00A61C8A">
            <w:pPr>
              <w:rPr>
                <w:szCs w:val="22"/>
              </w:rPr>
            </w:pPr>
            <w:r w:rsidRPr="00695EAA">
              <w:rPr>
                <w:szCs w:val="22"/>
              </w:rPr>
              <w:t>Strategic Goal IV.2: Enhanced access to, and use of, IP information by IP institutions and the public to promote innovation and creativity</w:t>
            </w:r>
          </w:p>
          <w:p w:rsidR="00A61C8A" w:rsidRPr="00695EAA" w:rsidRDefault="00A61C8A" w:rsidP="00A61C8A">
            <w:pPr>
              <w:rPr>
                <w:szCs w:val="22"/>
              </w:rPr>
            </w:pPr>
          </w:p>
        </w:tc>
      </w:tr>
      <w:tr w:rsidR="00A61C8A" w:rsidTr="00EE6077">
        <w:tc>
          <w:tcPr>
            <w:tcW w:w="2155" w:type="dxa"/>
          </w:tcPr>
          <w:p w:rsidR="00A61C8A" w:rsidRPr="00980652" w:rsidRDefault="00A61C8A" w:rsidP="00A61C8A">
            <w:pPr>
              <w:pStyle w:val="Heading3"/>
              <w:rPr>
                <w:i/>
                <w:szCs w:val="22"/>
                <w:u w:val="none"/>
              </w:rPr>
            </w:pPr>
            <w:r>
              <w:rPr>
                <w:i/>
                <w:szCs w:val="22"/>
                <w:u w:val="none"/>
              </w:rPr>
              <w:t>Overall</w:t>
            </w:r>
            <w:r w:rsidRPr="00980652">
              <w:rPr>
                <w:i/>
                <w:szCs w:val="22"/>
                <w:u w:val="none"/>
              </w:rPr>
              <w:t xml:space="preserve"> Duration</w:t>
            </w:r>
          </w:p>
          <w:p w:rsidR="00A61C8A" w:rsidRDefault="00A61C8A" w:rsidP="00A61C8A"/>
        </w:tc>
        <w:tc>
          <w:tcPr>
            <w:tcW w:w="7190" w:type="dxa"/>
          </w:tcPr>
          <w:p w:rsidR="00A61C8A" w:rsidRDefault="00A61C8A" w:rsidP="00A61C8A"/>
          <w:p w:rsidR="00A61C8A" w:rsidRPr="000902B7" w:rsidRDefault="00A61C8A" w:rsidP="00A61C8A">
            <w:pPr>
              <w:rPr>
                <w:szCs w:val="22"/>
              </w:rPr>
            </w:pPr>
            <w:r>
              <w:rPr>
                <w:szCs w:val="22"/>
              </w:rPr>
              <w:t>6 months as of August 1</w:t>
            </w:r>
            <w:r w:rsidRPr="000902B7">
              <w:rPr>
                <w:szCs w:val="22"/>
                <w:vertAlign w:val="superscript"/>
              </w:rPr>
              <w:t>st</w:t>
            </w:r>
            <w:r>
              <w:rPr>
                <w:szCs w:val="22"/>
              </w:rPr>
              <w:t>, 2019</w:t>
            </w:r>
          </w:p>
          <w:p w:rsidR="00A61C8A" w:rsidRDefault="00A61C8A" w:rsidP="00A61C8A"/>
        </w:tc>
      </w:tr>
      <w:tr w:rsidR="00A61C8A" w:rsidTr="00EE6077">
        <w:tc>
          <w:tcPr>
            <w:tcW w:w="2155" w:type="dxa"/>
          </w:tcPr>
          <w:p w:rsidR="00C07410" w:rsidRPr="006A2626" w:rsidRDefault="00C07410" w:rsidP="00C07410">
            <w:pPr>
              <w:pStyle w:val="Heading3"/>
              <w:rPr>
                <w:i/>
                <w:szCs w:val="22"/>
                <w:u w:val="none"/>
              </w:rPr>
            </w:pPr>
            <w:r>
              <w:rPr>
                <w:i/>
                <w:szCs w:val="22"/>
                <w:u w:val="none"/>
              </w:rPr>
              <w:t xml:space="preserve">Overall </w:t>
            </w:r>
            <w:r w:rsidRPr="006A2626">
              <w:rPr>
                <w:i/>
                <w:szCs w:val="22"/>
                <w:u w:val="none"/>
              </w:rPr>
              <w:t>Budget</w:t>
            </w:r>
          </w:p>
          <w:p w:rsidR="00A61C8A" w:rsidRDefault="00A61C8A" w:rsidP="00A61C8A"/>
        </w:tc>
        <w:tc>
          <w:tcPr>
            <w:tcW w:w="7190" w:type="dxa"/>
          </w:tcPr>
          <w:p w:rsidR="007024B9" w:rsidRDefault="007024B9" w:rsidP="00C07410">
            <w:pPr>
              <w:rPr>
                <w:szCs w:val="22"/>
                <w:lang w:val="fr-CH"/>
              </w:rPr>
            </w:pPr>
          </w:p>
          <w:p w:rsidR="00C07410" w:rsidRDefault="00695EAA" w:rsidP="00C07410">
            <w:pPr>
              <w:rPr>
                <w:szCs w:val="22"/>
                <w:lang w:val="fr-CH"/>
              </w:rPr>
            </w:pPr>
            <w:r>
              <w:rPr>
                <w:szCs w:val="22"/>
                <w:lang w:val="fr-CH"/>
              </w:rPr>
              <w:t xml:space="preserve">Total non-personnel </w:t>
            </w:r>
            <w:proofErr w:type="spellStart"/>
            <w:r>
              <w:rPr>
                <w:szCs w:val="22"/>
                <w:lang w:val="fr-CH"/>
              </w:rPr>
              <w:t>cost</w:t>
            </w:r>
            <w:proofErr w:type="spellEnd"/>
            <w:r w:rsidR="00C07410" w:rsidRPr="000902B7">
              <w:rPr>
                <w:szCs w:val="22"/>
                <w:lang w:val="fr-CH"/>
              </w:rPr>
              <w:t xml:space="preserve">: </w:t>
            </w:r>
            <w:r w:rsidR="00CD0E78">
              <w:rPr>
                <w:szCs w:val="22"/>
                <w:lang w:val="fr-CH"/>
              </w:rPr>
              <w:t>5</w:t>
            </w:r>
            <w:r w:rsidR="005543BB">
              <w:rPr>
                <w:szCs w:val="22"/>
                <w:lang w:val="fr-CH"/>
              </w:rPr>
              <w:t>0</w:t>
            </w:r>
            <w:r w:rsidR="007024B9">
              <w:rPr>
                <w:szCs w:val="22"/>
                <w:lang w:val="fr-CH"/>
              </w:rPr>
              <w:t>,</w:t>
            </w:r>
            <w:r w:rsidR="00C07410">
              <w:rPr>
                <w:szCs w:val="22"/>
                <w:lang w:val="fr-CH"/>
              </w:rPr>
              <w:t xml:space="preserve">000 </w:t>
            </w:r>
            <w:proofErr w:type="spellStart"/>
            <w:r>
              <w:rPr>
                <w:szCs w:val="22"/>
                <w:lang w:val="fr-CH"/>
              </w:rPr>
              <w:t>Swiss</w:t>
            </w:r>
            <w:proofErr w:type="spellEnd"/>
            <w:r>
              <w:rPr>
                <w:szCs w:val="22"/>
                <w:lang w:val="fr-CH"/>
              </w:rPr>
              <w:t xml:space="preserve"> francs</w:t>
            </w:r>
          </w:p>
          <w:p w:rsidR="00C07410" w:rsidRPr="00695EAA" w:rsidRDefault="00C07410" w:rsidP="00C07410">
            <w:pPr>
              <w:contextualSpacing/>
              <w:jc w:val="both"/>
              <w:rPr>
                <w:szCs w:val="22"/>
                <w:lang w:val="fr-CH"/>
              </w:rPr>
            </w:pPr>
          </w:p>
          <w:tbl>
            <w:tblPr>
              <w:tblStyle w:val="TableGrid"/>
              <w:tblW w:w="0" w:type="auto"/>
              <w:tblLook w:val="04A0" w:firstRow="1" w:lastRow="0" w:firstColumn="1" w:lastColumn="0" w:noHBand="0" w:noVBand="1"/>
            </w:tblPr>
            <w:tblGrid>
              <w:gridCol w:w="2406"/>
              <w:gridCol w:w="1620"/>
              <w:gridCol w:w="1440"/>
              <w:gridCol w:w="1227"/>
            </w:tblGrid>
            <w:tr w:rsidR="00C07410" w:rsidRPr="007024B9" w:rsidTr="00047B54">
              <w:tc>
                <w:tcPr>
                  <w:tcW w:w="2406" w:type="dxa"/>
                </w:tcPr>
                <w:p w:rsidR="00C07410" w:rsidRPr="00695EAA" w:rsidRDefault="00C07410" w:rsidP="00C07410">
                  <w:pPr>
                    <w:jc w:val="both"/>
                    <w:rPr>
                      <w:b/>
                      <w:szCs w:val="22"/>
                      <w:lang w:val="fr-CH"/>
                    </w:rPr>
                  </w:pPr>
                  <w:r w:rsidRPr="00695EAA">
                    <w:rPr>
                      <w:b/>
                      <w:szCs w:val="22"/>
                      <w:lang w:val="fr-CH"/>
                    </w:rPr>
                    <w:t>Project Output</w:t>
                  </w:r>
                </w:p>
                <w:p w:rsidR="00C07410" w:rsidRPr="00695EAA" w:rsidRDefault="00C07410" w:rsidP="00C07410">
                  <w:pPr>
                    <w:jc w:val="both"/>
                    <w:rPr>
                      <w:szCs w:val="22"/>
                      <w:lang w:val="fr-CH"/>
                    </w:rPr>
                  </w:pPr>
                </w:p>
              </w:tc>
              <w:tc>
                <w:tcPr>
                  <w:tcW w:w="1620" w:type="dxa"/>
                </w:tcPr>
                <w:p w:rsidR="00C07410" w:rsidRPr="00695EAA" w:rsidRDefault="00C07410" w:rsidP="00C07410">
                  <w:pPr>
                    <w:jc w:val="both"/>
                    <w:rPr>
                      <w:b/>
                      <w:szCs w:val="22"/>
                      <w:lang w:val="fr-CH"/>
                    </w:rPr>
                  </w:pPr>
                  <w:r w:rsidRPr="00695EAA">
                    <w:rPr>
                      <w:b/>
                      <w:szCs w:val="22"/>
                      <w:lang w:val="fr-CH"/>
                    </w:rPr>
                    <w:t>Personnel</w:t>
                  </w:r>
                </w:p>
              </w:tc>
              <w:tc>
                <w:tcPr>
                  <w:tcW w:w="1440" w:type="dxa"/>
                </w:tcPr>
                <w:p w:rsidR="00C07410" w:rsidRPr="00695EAA" w:rsidRDefault="00C07410" w:rsidP="00C07410">
                  <w:pPr>
                    <w:jc w:val="both"/>
                    <w:rPr>
                      <w:b/>
                      <w:szCs w:val="22"/>
                      <w:lang w:val="fr-CH"/>
                    </w:rPr>
                  </w:pPr>
                  <w:r w:rsidRPr="00695EAA">
                    <w:rPr>
                      <w:b/>
                      <w:szCs w:val="22"/>
                      <w:lang w:val="fr-CH"/>
                    </w:rPr>
                    <w:t>Non Personnel</w:t>
                  </w:r>
                </w:p>
              </w:tc>
              <w:tc>
                <w:tcPr>
                  <w:tcW w:w="1227" w:type="dxa"/>
                </w:tcPr>
                <w:p w:rsidR="00C07410" w:rsidRPr="00695EAA" w:rsidRDefault="00C07410" w:rsidP="00C07410">
                  <w:pPr>
                    <w:jc w:val="both"/>
                    <w:rPr>
                      <w:b/>
                      <w:szCs w:val="22"/>
                      <w:lang w:val="fr-CH"/>
                    </w:rPr>
                  </w:pPr>
                  <w:r w:rsidRPr="00695EAA">
                    <w:rPr>
                      <w:b/>
                      <w:szCs w:val="22"/>
                      <w:lang w:val="fr-CH"/>
                    </w:rPr>
                    <w:t>Total</w:t>
                  </w:r>
                </w:p>
              </w:tc>
            </w:tr>
            <w:tr w:rsidR="00C07410" w:rsidTr="00047B54">
              <w:tc>
                <w:tcPr>
                  <w:tcW w:w="2406" w:type="dxa"/>
                </w:tcPr>
                <w:p w:rsidR="00C07410" w:rsidRDefault="00C07410" w:rsidP="00047B54">
                  <w:pPr>
                    <w:rPr>
                      <w:szCs w:val="22"/>
                    </w:rPr>
                  </w:pPr>
                  <w:r>
                    <w:rPr>
                      <w:szCs w:val="22"/>
                    </w:rPr>
                    <w:t xml:space="preserve">Identification of institutions outreach to prepare activity </w:t>
                  </w:r>
                </w:p>
                <w:p w:rsidR="00C07410" w:rsidRDefault="00C07410" w:rsidP="00C07410">
                  <w:pPr>
                    <w:jc w:val="both"/>
                    <w:rPr>
                      <w:szCs w:val="22"/>
                    </w:rPr>
                  </w:pPr>
                </w:p>
              </w:tc>
              <w:tc>
                <w:tcPr>
                  <w:tcW w:w="1620" w:type="dxa"/>
                </w:tcPr>
                <w:p w:rsidR="00C07410" w:rsidRDefault="00C07410" w:rsidP="00C07410">
                  <w:pPr>
                    <w:jc w:val="both"/>
                    <w:rPr>
                      <w:szCs w:val="22"/>
                    </w:rPr>
                  </w:pPr>
                </w:p>
              </w:tc>
              <w:tc>
                <w:tcPr>
                  <w:tcW w:w="1440" w:type="dxa"/>
                </w:tcPr>
                <w:p w:rsidR="00C07410" w:rsidRDefault="00C07410" w:rsidP="007024B9">
                  <w:pPr>
                    <w:jc w:val="right"/>
                    <w:rPr>
                      <w:szCs w:val="22"/>
                    </w:rPr>
                  </w:pPr>
                  <w:r>
                    <w:rPr>
                      <w:szCs w:val="22"/>
                    </w:rPr>
                    <w:t>5</w:t>
                  </w:r>
                  <w:r w:rsidR="007024B9">
                    <w:rPr>
                      <w:szCs w:val="22"/>
                    </w:rPr>
                    <w:t>,</w:t>
                  </w:r>
                  <w:r>
                    <w:rPr>
                      <w:szCs w:val="22"/>
                    </w:rPr>
                    <w:t>000</w:t>
                  </w:r>
                </w:p>
              </w:tc>
              <w:tc>
                <w:tcPr>
                  <w:tcW w:w="1227" w:type="dxa"/>
                </w:tcPr>
                <w:p w:rsidR="00C07410" w:rsidRDefault="00C07410" w:rsidP="007024B9">
                  <w:pPr>
                    <w:jc w:val="right"/>
                    <w:rPr>
                      <w:szCs w:val="22"/>
                    </w:rPr>
                  </w:pPr>
                  <w:r>
                    <w:rPr>
                      <w:szCs w:val="22"/>
                    </w:rPr>
                    <w:t>5</w:t>
                  </w:r>
                  <w:r w:rsidR="007024B9">
                    <w:rPr>
                      <w:szCs w:val="22"/>
                    </w:rPr>
                    <w:t>,</w:t>
                  </w:r>
                  <w:r>
                    <w:rPr>
                      <w:szCs w:val="22"/>
                    </w:rPr>
                    <w:t>000</w:t>
                  </w:r>
                </w:p>
              </w:tc>
            </w:tr>
            <w:tr w:rsidR="00C07410" w:rsidTr="00047B54">
              <w:tc>
                <w:tcPr>
                  <w:tcW w:w="2406" w:type="dxa"/>
                </w:tcPr>
                <w:p w:rsidR="00C07410" w:rsidRDefault="00C07410" w:rsidP="00C07410">
                  <w:pPr>
                    <w:jc w:val="both"/>
                    <w:rPr>
                      <w:szCs w:val="22"/>
                    </w:rPr>
                  </w:pPr>
                  <w:r>
                    <w:rPr>
                      <w:szCs w:val="22"/>
                    </w:rPr>
                    <w:t>Regional Workshop</w:t>
                  </w:r>
                </w:p>
                <w:p w:rsidR="00C07410" w:rsidRDefault="00C07410" w:rsidP="00C07410">
                  <w:pPr>
                    <w:jc w:val="both"/>
                    <w:rPr>
                      <w:szCs w:val="22"/>
                    </w:rPr>
                  </w:pPr>
                </w:p>
              </w:tc>
              <w:tc>
                <w:tcPr>
                  <w:tcW w:w="1620" w:type="dxa"/>
                </w:tcPr>
                <w:p w:rsidR="00C07410" w:rsidRDefault="00C07410" w:rsidP="00C07410">
                  <w:pPr>
                    <w:jc w:val="both"/>
                    <w:rPr>
                      <w:szCs w:val="22"/>
                    </w:rPr>
                  </w:pPr>
                </w:p>
              </w:tc>
              <w:tc>
                <w:tcPr>
                  <w:tcW w:w="1440" w:type="dxa"/>
                </w:tcPr>
                <w:p w:rsidR="00C07410" w:rsidRDefault="005543BB" w:rsidP="007024B9">
                  <w:pPr>
                    <w:jc w:val="right"/>
                    <w:rPr>
                      <w:szCs w:val="22"/>
                    </w:rPr>
                  </w:pPr>
                  <w:r>
                    <w:rPr>
                      <w:szCs w:val="22"/>
                    </w:rPr>
                    <w:t>4</w:t>
                  </w:r>
                  <w:r w:rsidR="00C07410">
                    <w:rPr>
                      <w:szCs w:val="22"/>
                    </w:rPr>
                    <w:t>0</w:t>
                  </w:r>
                  <w:r w:rsidR="007024B9">
                    <w:rPr>
                      <w:szCs w:val="22"/>
                    </w:rPr>
                    <w:t>,</w:t>
                  </w:r>
                  <w:r w:rsidR="00C07410">
                    <w:rPr>
                      <w:szCs w:val="22"/>
                    </w:rPr>
                    <w:t>000</w:t>
                  </w:r>
                </w:p>
              </w:tc>
              <w:tc>
                <w:tcPr>
                  <w:tcW w:w="1227" w:type="dxa"/>
                </w:tcPr>
                <w:p w:rsidR="00C07410" w:rsidRDefault="005543BB" w:rsidP="007024B9">
                  <w:pPr>
                    <w:jc w:val="right"/>
                    <w:rPr>
                      <w:szCs w:val="22"/>
                    </w:rPr>
                  </w:pPr>
                  <w:r>
                    <w:rPr>
                      <w:szCs w:val="22"/>
                    </w:rPr>
                    <w:t>40</w:t>
                  </w:r>
                  <w:r w:rsidR="007024B9">
                    <w:rPr>
                      <w:szCs w:val="22"/>
                    </w:rPr>
                    <w:t>,</w:t>
                  </w:r>
                  <w:r w:rsidR="00C07410">
                    <w:rPr>
                      <w:szCs w:val="22"/>
                    </w:rPr>
                    <w:t xml:space="preserve">000 </w:t>
                  </w:r>
                </w:p>
              </w:tc>
            </w:tr>
            <w:tr w:rsidR="00C07410" w:rsidTr="00047B54">
              <w:tc>
                <w:tcPr>
                  <w:tcW w:w="2406" w:type="dxa"/>
                </w:tcPr>
                <w:p w:rsidR="00C07410" w:rsidRDefault="00C07410" w:rsidP="00C07410">
                  <w:pPr>
                    <w:jc w:val="both"/>
                    <w:rPr>
                      <w:szCs w:val="22"/>
                    </w:rPr>
                  </w:pPr>
                  <w:r>
                    <w:rPr>
                      <w:szCs w:val="22"/>
                    </w:rPr>
                    <w:t xml:space="preserve">Drafting follow up </w:t>
                  </w:r>
                </w:p>
                <w:p w:rsidR="00C07410" w:rsidRDefault="00C07410" w:rsidP="00C07410">
                  <w:pPr>
                    <w:jc w:val="both"/>
                    <w:rPr>
                      <w:szCs w:val="22"/>
                    </w:rPr>
                  </w:pPr>
                </w:p>
              </w:tc>
              <w:tc>
                <w:tcPr>
                  <w:tcW w:w="1620" w:type="dxa"/>
                </w:tcPr>
                <w:p w:rsidR="00C07410" w:rsidRDefault="00C07410" w:rsidP="00C07410">
                  <w:pPr>
                    <w:jc w:val="both"/>
                    <w:rPr>
                      <w:szCs w:val="22"/>
                    </w:rPr>
                  </w:pPr>
                </w:p>
              </w:tc>
              <w:tc>
                <w:tcPr>
                  <w:tcW w:w="1440" w:type="dxa"/>
                </w:tcPr>
                <w:p w:rsidR="00C07410" w:rsidRDefault="005543BB" w:rsidP="007024B9">
                  <w:pPr>
                    <w:jc w:val="right"/>
                    <w:rPr>
                      <w:szCs w:val="22"/>
                    </w:rPr>
                  </w:pPr>
                  <w:r>
                    <w:rPr>
                      <w:szCs w:val="22"/>
                    </w:rPr>
                    <w:t>5</w:t>
                  </w:r>
                  <w:r w:rsidR="007024B9">
                    <w:rPr>
                      <w:szCs w:val="22"/>
                    </w:rPr>
                    <w:t>,</w:t>
                  </w:r>
                  <w:r w:rsidR="00C07410">
                    <w:rPr>
                      <w:szCs w:val="22"/>
                    </w:rPr>
                    <w:t>000</w:t>
                  </w:r>
                </w:p>
              </w:tc>
              <w:tc>
                <w:tcPr>
                  <w:tcW w:w="1227" w:type="dxa"/>
                </w:tcPr>
                <w:p w:rsidR="00C07410" w:rsidRDefault="005543BB" w:rsidP="007024B9">
                  <w:pPr>
                    <w:jc w:val="right"/>
                    <w:rPr>
                      <w:szCs w:val="22"/>
                    </w:rPr>
                  </w:pPr>
                  <w:r>
                    <w:rPr>
                      <w:szCs w:val="22"/>
                    </w:rPr>
                    <w:t>5</w:t>
                  </w:r>
                  <w:r w:rsidR="007024B9">
                    <w:rPr>
                      <w:szCs w:val="22"/>
                    </w:rPr>
                    <w:t>,</w:t>
                  </w:r>
                  <w:r w:rsidR="00C07410">
                    <w:rPr>
                      <w:szCs w:val="22"/>
                    </w:rPr>
                    <w:t>000</w:t>
                  </w:r>
                </w:p>
              </w:tc>
            </w:tr>
            <w:tr w:rsidR="00C07410" w:rsidTr="00047B54">
              <w:trPr>
                <w:trHeight w:val="377"/>
              </w:trPr>
              <w:tc>
                <w:tcPr>
                  <w:tcW w:w="2406" w:type="dxa"/>
                </w:tcPr>
                <w:p w:rsidR="00C07410" w:rsidRPr="00D65776" w:rsidRDefault="00C07410" w:rsidP="00C07410">
                  <w:pPr>
                    <w:jc w:val="both"/>
                    <w:rPr>
                      <w:b/>
                      <w:szCs w:val="22"/>
                    </w:rPr>
                  </w:pPr>
                  <w:r w:rsidRPr="00D65776">
                    <w:rPr>
                      <w:b/>
                      <w:szCs w:val="22"/>
                    </w:rPr>
                    <w:t xml:space="preserve">Total </w:t>
                  </w:r>
                </w:p>
              </w:tc>
              <w:tc>
                <w:tcPr>
                  <w:tcW w:w="1620" w:type="dxa"/>
                </w:tcPr>
                <w:p w:rsidR="00C07410" w:rsidRDefault="00C07410" w:rsidP="00C07410">
                  <w:pPr>
                    <w:jc w:val="both"/>
                    <w:rPr>
                      <w:szCs w:val="22"/>
                    </w:rPr>
                  </w:pPr>
                </w:p>
              </w:tc>
              <w:tc>
                <w:tcPr>
                  <w:tcW w:w="1440" w:type="dxa"/>
                </w:tcPr>
                <w:p w:rsidR="00C07410" w:rsidRDefault="00C07410" w:rsidP="00C07410">
                  <w:pPr>
                    <w:jc w:val="both"/>
                    <w:rPr>
                      <w:szCs w:val="22"/>
                    </w:rPr>
                  </w:pPr>
                </w:p>
              </w:tc>
              <w:tc>
                <w:tcPr>
                  <w:tcW w:w="1227" w:type="dxa"/>
                </w:tcPr>
                <w:p w:rsidR="00C07410" w:rsidRPr="006A048D" w:rsidRDefault="00CD0E78" w:rsidP="007024B9">
                  <w:pPr>
                    <w:jc w:val="right"/>
                    <w:rPr>
                      <w:b/>
                      <w:szCs w:val="22"/>
                    </w:rPr>
                  </w:pPr>
                  <w:r>
                    <w:rPr>
                      <w:b/>
                      <w:szCs w:val="22"/>
                    </w:rPr>
                    <w:t>5</w:t>
                  </w:r>
                  <w:r w:rsidR="005543BB">
                    <w:rPr>
                      <w:b/>
                      <w:szCs w:val="22"/>
                    </w:rPr>
                    <w:t>0</w:t>
                  </w:r>
                  <w:r w:rsidR="007024B9">
                    <w:rPr>
                      <w:b/>
                      <w:szCs w:val="22"/>
                    </w:rPr>
                    <w:t>,</w:t>
                  </w:r>
                  <w:r w:rsidR="00C07410" w:rsidRPr="006A048D">
                    <w:rPr>
                      <w:b/>
                      <w:szCs w:val="22"/>
                    </w:rPr>
                    <w:t>000</w:t>
                  </w:r>
                </w:p>
              </w:tc>
            </w:tr>
          </w:tbl>
          <w:p w:rsidR="00A61C8A" w:rsidRDefault="00A61C8A" w:rsidP="00A61C8A"/>
          <w:p w:rsidR="00C07410" w:rsidRDefault="00C15EAD" w:rsidP="00C15EAD">
            <w:r>
              <w:t xml:space="preserve">The cost of these activities will be covered from within the existing budget of the Copyright Law Division. </w:t>
            </w:r>
          </w:p>
        </w:tc>
      </w:tr>
      <w:tr w:rsidR="00A61C8A" w:rsidTr="00EE6077">
        <w:tc>
          <w:tcPr>
            <w:tcW w:w="2155" w:type="dxa"/>
          </w:tcPr>
          <w:p w:rsidR="00C07410" w:rsidRDefault="00C07410" w:rsidP="00A61C8A">
            <w:pPr>
              <w:rPr>
                <w:i/>
                <w:szCs w:val="22"/>
              </w:rPr>
            </w:pPr>
          </w:p>
          <w:p w:rsidR="00A61C8A" w:rsidRDefault="00C07410" w:rsidP="00A61C8A">
            <w:r w:rsidRPr="006A048D">
              <w:rPr>
                <w:i/>
                <w:szCs w:val="22"/>
              </w:rPr>
              <w:t>Results/impact of project</w:t>
            </w:r>
          </w:p>
        </w:tc>
        <w:tc>
          <w:tcPr>
            <w:tcW w:w="7190" w:type="dxa"/>
          </w:tcPr>
          <w:p w:rsidR="00C07410" w:rsidRDefault="00C07410" w:rsidP="00C07410">
            <w:pPr>
              <w:ind w:left="720"/>
              <w:contextualSpacing/>
              <w:jc w:val="both"/>
              <w:rPr>
                <w:rFonts w:eastAsia="Times New Roman"/>
                <w:szCs w:val="22"/>
                <w:lang w:eastAsia="en-US"/>
              </w:rPr>
            </w:pPr>
          </w:p>
          <w:p w:rsidR="00C07410" w:rsidRPr="00C07410" w:rsidRDefault="00C07410" w:rsidP="00C07410">
            <w:pPr>
              <w:numPr>
                <w:ilvl w:val="0"/>
                <w:numId w:val="12"/>
              </w:numPr>
              <w:contextualSpacing/>
              <w:jc w:val="both"/>
              <w:rPr>
                <w:rFonts w:eastAsia="Times New Roman"/>
                <w:szCs w:val="22"/>
                <w:lang w:eastAsia="en-US"/>
              </w:rPr>
            </w:pPr>
            <w:r w:rsidRPr="00C07410">
              <w:rPr>
                <w:rFonts w:eastAsia="Times New Roman"/>
                <w:szCs w:val="22"/>
                <w:lang w:eastAsia="en-US"/>
              </w:rPr>
              <w:t>Disseminate the findings of the feasibility study on the importance of economic data on the audiovisual sector</w:t>
            </w:r>
          </w:p>
          <w:p w:rsidR="00C07410" w:rsidRDefault="00C07410" w:rsidP="00C07410">
            <w:pPr>
              <w:numPr>
                <w:ilvl w:val="0"/>
                <w:numId w:val="12"/>
              </w:numPr>
              <w:contextualSpacing/>
              <w:jc w:val="both"/>
              <w:rPr>
                <w:rFonts w:eastAsia="Times New Roman"/>
                <w:szCs w:val="22"/>
                <w:lang w:eastAsia="en-US"/>
              </w:rPr>
            </w:pPr>
            <w:r w:rsidRPr="00C07410">
              <w:rPr>
                <w:rFonts w:eastAsia="Times New Roman"/>
                <w:szCs w:val="22"/>
                <w:lang w:eastAsia="en-US"/>
              </w:rPr>
              <w:t>Increased awareness on the methodologies for collection, analysis and presentation</w:t>
            </w:r>
          </w:p>
          <w:p w:rsidR="00A61C8A" w:rsidRPr="00C07410" w:rsidRDefault="00C07410" w:rsidP="00C07410">
            <w:pPr>
              <w:numPr>
                <w:ilvl w:val="0"/>
                <w:numId w:val="12"/>
              </w:numPr>
              <w:contextualSpacing/>
              <w:jc w:val="both"/>
              <w:rPr>
                <w:rFonts w:eastAsia="Times New Roman"/>
                <w:szCs w:val="22"/>
                <w:lang w:eastAsia="en-US"/>
              </w:rPr>
            </w:pPr>
            <w:r w:rsidRPr="00C07410">
              <w:rPr>
                <w:szCs w:val="22"/>
              </w:rPr>
              <w:t>Identify options and possible approaches towards enhan</w:t>
            </w:r>
            <w:r>
              <w:rPr>
                <w:szCs w:val="22"/>
              </w:rPr>
              <w:t>ced collection of economic data.</w:t>
            </w:r>
          </w:p>
          <w:p w:rsidR="00C07410" w:rsidRPr="00C07410" w:rsidRDefault="00C07410" w:rsidP="00C07410">
            <w:pPr>
              <w:ind w:left="720"/>
              <w:contextualSpacing/>
              <w:jc w:val="both"/>
              <w:rPr>
                <w:rFonts w:eastAsia="Times New Roman"/>
                <w:szCs w:val="22"/>
                <w:lang w:eastAsia="en-US"/>
              </w:rPr>
            </w:pPr>
          </w:p>
        </w:tc>
      </w:tr>
    </w:tbl>
    <w:p w:rsidR="00F962F4" w:rsidRDefault="00F962F4" w:rsidP="00F962F4"/>
    <w:p w:rsidR="00203D3C" w:rsidRDefault="00203D3C"/>
    <w:p w:rsidR="00FF478F" w:rsidRDefault="00070084">
      <w:r>
        <w:tab/>
      </w:r>
      <w:r>
        <w:tab/>
      </w:r>
      <w:r>
        <w:tab/>
      </w:r>
      <w:r>
        <w:tab/>
      </w:r>
      <w:r>
        <w:tab/>
      </w:r>
      <w:r>
        <w:tab/>
      </w:r>
      <w:r>
        <w:tab/>
      </w:r>
      <w:r>
        <w:tab/>
      </w:r>
      <w:r>
        <w:tab/>
      </w:r>
      <w:r>
        <w:tab/>
      </w:r>
      <w:r w:rsidRPr="00070084">
        <w:t>[End of Annex and of document]</w:t>
      </w:r>
    </w:p>
    <w:sectPr w:rsidR="00FF478F" w:rsidSect="00203D3C">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D3C" w:rsidRDefault="00203D3C">
      <w:r>
        <w:separator/>
      </w:r>
    </w:p>
  </w:endnote>
  <w:endnote w:type="continuationSeparator" w:id="0">
    <w:p w:rsidR="00203D3C" w:rsidRDefault="00203D3C" w:rsidP="003B38C1">
      <w:r>
        <w:separator/>
      </w:r>
    </w:p>
    <w:p w:rsidR="00203D3C" w:rsidRPr="003B38C1" w:rsidRDefault="00203D3C" w:rsidP="003B38C1">
      <w:pPr>
        <w:spacing w:after="60"/>
        <w:rPr>
          <w:sz w:val="17"/>
        </w:rPr>
      </w:pPr>
      <w:r>
        <w:rPr>
          <w:sz w:val="17"/>
        </w:rPr>
        <w:t>[Endnote continued from previous page]</w:t>
      </w:r>
    </w:p>
  </w:endnote>
  <w:endnote w:type="continuationNotice" w:id="1">
    <w:p w:rsidR="00203D3C" w:rsidRPr="003B38C1" w:rsidRDefault="00203D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D3C" w:rsidRDefault="00203D3C">
      <w:r>
        <w:separator/>
      </w:r>
    </w:p>
  </w:footnote>
  <w:footnote w:type="continuationSeparator" w:id="0">
    <w:p w:rsidR="00203D3C" w:rsidRDefault="00203D3C" w:rsidP="008B60B2">
      <w:r>
        <w:separator/>
      </w:r>
    </w:p>
    <w:p w:rsidR="00203D3C" w:rsidRPr="00ED77FB" w:rsidRDefault="00203D3C" w:rsidP="008B60B2">
      <w:pPr>
        <w:spacing w:after="60"/>
        <w:rPr>
          <w:sz w:val="17"/>
          <w:szCs w:val="17"/>
        </w:rPr>
      </w:pPr>
      <w:r w:rsidRPr="00ED77FB">
        <w:rPr>
          <w:sz w:val="17"/>
          <w:szCs w:val="17"/>
        </w:rPr>
        <w:t>[Footnote continued from previous page]</w:t>
      </w:r>
    </w:p>
  </w:footnote>
  <w:footnote w:type="continuationNotice" w:id="1">
    <w:p w:rsidR="00203D3C" w:rsidRPr="00ED77FB" w:rsidRDefault="00203D3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203D3C" w:rsidP="00477D6B">
    <w:pPr>
      <w:jc w:val="right"/>
    </w:pPr>
    <w:bookmarkStart w:id="6" w:name="Code2"/>
    <w:bookmarkEnd w:id="6"/>
    <w:r>
      <w:t>CDIP/23/12</w:t>
    </w:r>
  </w:p>
  <w:p w:rsidR="00EC4E49" w:rsidRDefault="00695EAA" w:rsidP="00477D6B">
    <w:pPr>
      <w:jc w:val="right"/>
    </w:pPr>
    <w:r>
      <w:t>ANNEX</w:t>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EAA" w:rsidRDefault="00695EAA" w:rsidP="00477D6B">
    <w:pPr>
      <w:jc w:val="right"/>
    </w:pPr>
    <w:r>
      <w:t>CDIP/23/12</w:t>
    </w:r>
  </w:p>
  <w:p w:rsidR="00695EAA" w:rsidRDefault="00695EAA" w:rsidP="00477D6B">
    <w:pPr>
      <w:jc w:val="right"/>
    </w:pPr>
    <w:r>
      <w:t>Annex, page 3</w:t>
    </w:r>
  </w:p>
  <w:p w:rsidR="00695EAA" w:rsidRDefault="00695EAA" w:rsidP="00477D6B">
    <w:pPr>
      <w:jc w:val="right"/>
    </w:pPr>
  </w:p>
  <w:p w:rsidR="00695EAA" w:rsidRDefault="00695EA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EAA" w:rsidRDefault="00695EAA" w:rsidP="00695EAA">
    <w:pPr>
      <w:pStyle w:val="Header"/>
      <w:jc w:val="right"/>
    </w:pPr>
    <w:r>
      <w:t>CDIP/23/12</w:t>
    </w:r>
  </w:p>
  <w:p w:rsidR="00695EAA" w:rsidRDefault="00695EAA" w:rsidP="00695EAA">
    <w:pPr>
      <w:pStyle w:val="Header"/>
      <w:jc w:val="right"/>
    </w:pPr>
    <w:r>
      <w:t>Annex, page 2</w:t>
    </w:r>
  </w:p>
  <w:p w:rsidR="00695EAA" w:rsidRDefault="00695EAA">
    <w:pPr>
      <w:pStyle w:val="Header"/>
    </w:pPr>
  </w:p>
  <w:p w:rsidR="00695EAA" w:rsidRDefault="00695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322C79"/>
    <w:multiLevelType w:val="hybridMultilevel"/>
    <w:tmpl w:val="D83E771A"/>
    <w:lvl w:ilvl="0" w:tplc="FC3E7420">
      <w:numFmt w:val="bullet"/>
      <w:lvlText w:val="-"/>
      <w:lvlJc w:val="left"/>
      <w:pPr>
        <w:ind w:left="720" w:hanging="360"/>
      </w:pPr>
      <w:rPr>
        <w:rFonts w:ascii="Cambria" w:eastAsia="Calibr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DD65F3"/>
    <w:multiLevelType w:val="hybridMultilevel"/>
    <w:tmpl w:val="F658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166C56"/>
    <w:multiLevelType w:val="hybridMultilevel"/>
    <w:tmpl w:val="0A3E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918DE"/>
    <w:multiLevelType w:val="hybridMultilevel"/>
    <w:tmpl w:val="CB00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1E31CA"/>
    <w:multiLevelType w:val="hybridMultilevel"/>
    <w:tmpl w:val="D1D694AA"/>
    <w:lvl w:ilvl="0" w:tplc="39689872">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F545A"/>
    <w:multiLevelType w:val="hybridMultilevel"/>
    <w:tmpl w:val="6D6E7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9"/>
  </w:num>
  <w:num w:numId="8">
    <w:abstractNumId w:val="8"/>
  </w:num>
  <w:num w:numId="9">
    <w:abstractNumId w:val="10"/>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3C"/>
    <w:rsid w:val="00043CAA"/>
    <w:rsid w:val="00047B54"/>
    <w:rsid w:val="00070084"/>
    <w:rsid w:val="00075432"/>
    <w:rsid w:val="000968ED"/>
    <w:rsid w:val="000F5E56"/>
    <w:rsid w:val="001362EE"/>
    <w:rsid w:val="001647D5"/>
    <w:rsid w:val="00182CF2"/>
    <w:rsid w:val="001832A6"/>
    <w:rsid w:val="00203D3C"/>
    <w:rsid w:val="0021217E"/>
    <w:rsid w:val="002634C4"/>
    <w:rsid w:val="002928D3"/>
    <w:rsid w:val="002B3C24"/>
    <w:rsid w:val="002C07E1"/>
    <w:rsid w:val="002F1FE6"/>
    <w:rsid w:val="002F4E68"/>
    <w:rsid w:val="00312F7F"/>
    <w:rsid w:val="00361450"/>
    <w:rsid w:val="003673CF"/>
    <w:rsid w:val="003845C1"/>
    <w:rsid w:val="003A6F89"/>
    <w:rsid w:val="003B38C1"/>
    <w:rsid w:val="003E5146"/>
    <w:rsid w:val="00423E3E"/>
    <w:rsid w:val="00427AF4"/>
    <w:rsid w:val="004647DA"/>
    <w:rsid w:val="00474062"/>
    <w:rsid w:val="00477D6B"/>
    <w:rsid w:val="005019FF"/>
    <w:rsid w:val="0053057A"/>
    <w:rsid w:val="005543BB"/>
    <w:rsid w:val="00560A29"/>
    <w:rsid w:val="005C6649"/>
    <w:rsid w:val="00605827"/>
    <w:rsid w:val="00646050"/>
    <w:rsid w:val="006713CA"/>
    <w:rsid w:val="00676C5C"/>
    <w:rsid w:val="00695EAA"/>
    <w:rsid w:val="007024B9"/>
    <w:rsid w:val="007B3815"/>
    <w:rsid w:val="007D1613"/>
    <w:rsid w:val="007E4C0E"/>
    <w:rsid w:val="00835F3A"/>
    <w:rsid w:val="008A134B"/>
    <w:rsid w:val="008A771A"/>
    <w:rsid w:val="008B2CC1"/>
    <w:rsid w:val="008B60B2"/>
    <w:rsid w:val="0090731E"/>
    <w:rsid w:val="00916EE2"/>
    <w:rsid w:val="00966A22"/>
    <w:rsid w:val="0096722F"/>
    <w:rsid w:val="00980843"/>
    <w:rsid w:val="00981F54"/>
    <w:rsid w:val="009E2791"/>
    <w:rsid w:val="009E3F6F"/>
    <w:rsid w:val="009F499F"/>
    <w:rsid w:val="00A37342"/>
    <w:rsid w:val="00A42DAF"/>
    <w:rsid w:val="00A45BD8"/>
    <w:rsid w:val="00A61C8A"/>
    <w:rsid w:val="00A869B7"/>
    <w:rsid w:val="00AC205C"/>
    <w:rsid w:val="00AF0A6B"/>
    <w:rsid w:val="00B05A69"/>
    <w:rsid w:val="00B27789"/>
    <w:rsid w:val="00B9734B"/>
    <w:rsid w:val="00BA30E2"/>
    <w:rsid w:val="00C07410"/>
    <w:rsid w:val="00C11BFE"/>
    <w:rsid w:val="00C15EAD"/>
    <w:rsid w:val="00C5068F"/>
    <w:rsid w:val="00C86D74"/>
    <w:rsid w:val="00CC46F0"/>
    <w:rsid w:val="00CD04F1"/>
    <w:rsid w:val="00CD0E78"/>
    <w:rsid w:val="00D0745A"/>
    <w:rsid w:val="00D45252"/>
    <w:rsid w:val="00D71B4D"/>
    <w:rsid w:val="00D93D55"/>
    <w:rsid w:val="00DA0A95"/>
    <w:rsid w:val="00E15015"/>
    <w:rsid w:val="00E335FE"/>
    <w:rsid w:val="00E770FB"/>
    <w:rsid w:val="00EA7D6E"/>
    <w:rsid w:val="00EC4E49"/>
    <w:rsid w:val="00ED0A94"/>
    <w:rsid w:val="00ED77FB"/>
    <w:rsid w:val="00EE45FA"/>
    <w:rsid w:val="00EE6077"/>
    <w:rsid w:val="00F66152"/>
    <w:rsid w:val="00F962F4"/>
    <w:rsid w:val="00FC55C2"/>
    <w:rsid w:val="00FF478F"/>
    <w:rsid w:val="00FF489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03F5247-36F1-4B60-803B-789588CA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203D3C"/>
    <w:pPr>
      <w:ind w:left="720"/>
      <w:contextualSpacing/>
    </w:pPr>
  </w:style>
  <w:style w:type="character" w:styleId="FootnoteReference">
    <w:name w:val="footnote reference"/>
    <w:basedOn w:val="DefaultParagraphFont"/>
    <w:semiHidden/>
    <w:unhideWhenUsed/>
    <w:rsid w:val="00FC55C2"/>
    <w:rPr>
      <w:vertAlign w:val="superscript"/>
    </w:rPr>
  </w:style>
  <w:style w:type="table" w:styleId="TableGrid">
    <w:name w:val="Table Grid"/>
    <w:basedOn w:val="TableNormal"/>
    <w:rsid w:val="00F96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61C8A"/>
    <w:rPr>
      <w:rFonts w:ascii="Arial" w:eastAsia="SimSun" w:hAnsi="Arial" w:cs="Arial"/>
      <w:bCs/>
      <w:sz w:val="22"/>
      <w:szCs w:val="26"/>
      <w:u w:val="single"/>
      <w:lang w:val="en-US" w:eastAsia="zh-CN"/>
    </w:rPr>
  </w:style>
  <w:style w:type="paragraph" w:styleId="BalloonText">
    <w:name w:val="Balloon Text"/>
    <w:basedOn w:val="Normal"/>
    <w:link w:val="BalloonTextChar"/>
    <w:semiHidden/>
    <w:unhideWhenUsed/>
    <w:rsid w:val="007024B9"/>
    <w:rPr>
      <w:rFonts w:ascii="Segoe UI" w:hAnsi="Segoe UI" w:cs="Segoe UI"/>
      <w:sz w:val="18"/>
      <w:szCs w:val="18"/>
    </w:rPr>
  </w:style>
  <w:style w:type="character" w:customStyle="1" w:styleId="BalloonTextChar">
    <w:name w:val="Balloon Text Char"/>
    <w:basedOn w:val="DefaultParagraphFont"/>
    <w:link w:val="BalloonText"/>
    <w:semiHidden/>
    <w:rsid w:val="007024B9"/>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3930B-683F-4E8D-B2EE-64A4A639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23 (E)</Template>
  <TotalTime>1</TotalTime>
  <Pages>4</Pages>
  <Words>1007</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CDIP/23/</vt:lpstr>
    </vt:vector>
  </TitlesOfParts>
  <Company>WIPO</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creator>MUSIZA Charlene</dc:creator>
  <cp:lastModifiedBy>CERBARI Mihaela</cp:lastModifiedBy>
  <cp:revision>3</cp:revision>
  <cp:lastPrinted>2011-02-15T11:56:00Z</cp:lastPrinted>
  <dcterms:created xsi:type="dcterms:W3CDTF">2019-03-19T16:51:00Z</dcterms:created>
  <dcterms:modified xsi:type="dcterms:W3CDTF">2019-03-19T16:51:00Z</dcterms:modified>
</cp:coreProperties>
</file>