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01E20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5470" cy="1326515"/>
                  <wp:effectExtent l="0" t="0" r="0" b="698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122DC" w:rsidP="00FB47E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CDIP/21</w:t>
            </w:r>
            <w:r w:rsidR="00001E2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FB47ED">
              <w:rPr>
                <w:rFonts w:ascii="Arial Black" w:hAnsi="Arial Black"/>
                <w:caps/>
                <w:sz w:val="15"/>
              </w:rPr>
              <w:t>9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2122DC">
              <w:rPr>
                <w:rFonts w:ascii="Arial Black" w:hAnsi="Arial Black"/>
                <w:caps/>
                <w:sz w:val="15"/>
              </w:rPr>
              <w:t xml:space="preserve"> </w:t>
            </w:r>
            <w:r w:rsidR="009A3FE9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FB47E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2122DC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FB47ED">
              <w:rPr>
                <w:rFonts w:ascii="Arial Black" w:hAnsi="Arial Black"/>
                <w:caps/>
                <w:sz w:val="15"/>
              </w:rPr>
              <w:t>march</w:t>
            </w:r>
            <w:r w:rsidR="00A157C6">
              <w:rPr>
                <w:rFonts w:ascii="Arial Black" w:hAnsi="Arial Black"/>
                <w:caps/>
                <w:sz w:val="15"/>
              </w:rPr>
              <w:t xml:space="preserve"> </w:t>
            </w:r>
            <w:r w:rsidR="00FB47ED">
              <w:rPr>
                <w:rFonts w:ascii="Arial Black" w:hAnsi="Arial Black"/>
                <w:caps/>
                <w:sz w:val="15"/>
              </w:rPr>
              <w:t>15</w:t>
            </w:r>
            <w:r w:rsidR="009A3FE9">
              <w:rPr>
                <w:rFonts w:ascii="Arial Black" w:hAnsi="Arial Black"/>
                <w:caps/>
                <w:sz w:val="15"/>
              </w:rPr>
              <w:t>, 201</w:t>
            </w:r>
            <w:r w:rsidR="00A157C6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01E20" w:rsidRPr="003845C1" w:rsidRDefault="00001E20" w:rsidP="00001E2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on Development and Intellectual Property (CDIP)</w:t>
      </w:r>
    </w:p>
    <w:p w:rsidR="003845C1" w:rsidRDefault="003845C1" w:rsidP="003845C1"/>
    <w:p w:rsidR="003845C1" w:rsidRDefault="003845C1" w:rsidP="003845C1"/>
    <w:p w:rsidR="008B2CC1" w:rsidRPr="003845C1" w:rsidRDefault="00532BC1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Twenty-first</w:t>
      </w:r>
      <w:r w:rsidR="00001E20">
        <w:rPr>
          <w:b/>
          <w:sz w:val="24"/>
          <w:szCs w:val="24"/>
        </w:rPr>
        <w:t xml:space="preserve"> </w:t>
      </w:r>
      <w:r w:rsidR="00001E20" w:rsidRPr="003845C1">
        <w:rPr>
          <w:b/>
          <w:sz w:val="24"/>
          <w:szCs w:val="24"/>
        </w:rPr>
        <w:t>Session</w:t>
      </w:r>
    </w:p>
    <w:p w:rsidR="00001E20" w:rsidRPr="003845C1" w:rsidRDefault="00001E20" w:rsidP="00001E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532BC1">
        <w:rPr>
          <w:b/>
          <w:sz w:val="24"/>
          <w:szCs w:val="24"/>
        </w:rPr>
        <w:t>May 14 to 18, 2018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9A3FE9" w:rsidRPr="00C31878" w:rsidRDefault="00264100" w:rsidP="009A3FE9">
      <w:pPr>
        <w:rPr>
          <w:sz w:val="24"/>
          <w:szCs w:val="24"/>
        </w:rPr>
      </w:pPr>
      <w:bookmarkStart w:id="3" w:name="TitleOfDoc"/>
      <w:bookmarkEnd w:id="3"/>
      <w:r w:rsidRPr="00C31878">
        <w:rPr>
          <w:sz w:val="24"/>
          <w:szCs w:val="24"/>
        </w:rPr>
        <w:t>WIPO</w:t>
      </w:r>
      <w:r>
        <w:rPr>
          <w:sz w:val="24"/>
          <w:szCs w:val="24"/>
        </w:rPr>
        <w:t>’</w:t>
      </w:r>
      <w:r w:rsidRPr="00C31878">
        <w:rPr>
          <w:sz w:val="24"/>
          <w:szCs w:val="24"/>
        </w:rPr>
        <w:t>S PRACTICES FOR THE SELECTION OF CONSULTANTS FOR TECHNICAL ASSISTANCE</w:t>
      </w:r>
    </w:p>
    <w:p w:rsidR="008B2CC1" w:rsidRPr="008B2CC1" w:rsidRDefault="008B2CC1" w:rsidP="008B2CC1"/>
    <w:p w:rsidR="008B2CC1" w:rsidRPr="008B2CC1" w:rsidRDefault="009A3FE9" w:rsidP="008B2CC1">
      <w:pPr>
        <w:rPr>
          <w:i/>
        </w:rPr>
      </w:pPr>
      <w:bookmarkStart w:id="4" w:name="Prepared"/>
      <w:bookmarkEnd w:id="4"/>
      <w:r>
        <w:rPr>
          <w:i/>
        </w:rPr>
        <w:t>prepared by the Secretariat</w:t>
      </w:r>
    </w:p>
    <w:p w:rsidR="00AC205C" w:rsidRDefault="00AC205C"/>
    <w:p w:rsidR="000F5E56" w:rsidRDefault="000F5E56"/>
    <w:p w:rsidR="002928D3" w:rsidRDefault="002928D3"/>
    <w:p w:rsidR="0056078A" w:rsidRDefault="0056078A"/>
    <w:p w:rsidR="0056078A" w:rsidRDefault="0056078A"/>
    <w:p w:rsidR="002E6CEB" w:rsidRPr="002E6CEB" w:rsidRDefault="007140B6" w:rsidP="002122DC">
      <w:pPr>
        <w:rPr>
          <w:szCs w:val="22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E6CEB">
        <w:t>The Committee on Development and Intellectual Property (CDIP) at its eighteenth session held from October 31 to November 4, 2016</w:t>
      </w:r>
      <w:r w:rsidR="00227344">
        <w:t>,</w:t>
      </w:r>
      <w:r w:rsidR="002E6CEB">
        <w:t xml:space="preserve"> approved a six point proposal which </w:t>
      </w:r>
      <w:r w:rsidR="002E6CEB" w:rsidRPr="002E6CEB">
        <w:rPr>
          <w:i/>
        </w:rPr>
        <w:t>inter alia</w:t>
      </w:r>
      <w:r w:rsidR="002E6CEB">
        <w:t xml:space="preserve"> requested the Secretariat </w:t>
      </w:r>
      <w:r w:rsidR="003A23C3">
        <w:t>“</w:t>
      </w:r>
      <w:r w:rsidR="002E6CEB" w:rsidRPr="002E6CEB">
        <w:t>to present a document containing WIPO</w:t>
      </w:r>
      <w:r w:rsidR="003A23C3">
        <w:t>’</w:t>
      </w:r>
      <w:r w:rsidR="002E6CEB" w:rsidRPr="002E6CEB">
        <w:t>s existing practices relating to the selection of consu</w:t>
      </w:r>
      <w:r w:rsidR="002E6CEB">
        <w:t>ltants for technical assistance.</w:t>
      </w:r>
      <w:r w:rsidR="003A23C3">
        <w:t>”</w:t>
      </w:r>
      <w:r w:rsidR="002E6CEB">
        <w:t xml:space="preserve"> </w:t>
      </w:r>
      <w:r w:rsidR="002122DC">
        <w:t xml:space="preserve"> </w:t>
      </w:r>
      <w:r w:rsidR="002E6CEB">
        <w:t>This request is contained in paragraph</w:t>
      </w:r>
      <w:r w:rsidR="002122DC">
        <w:t> </w:t>
      </w:r>
      <w:r w:rsidR="002E6CEB">
        <w:t>4 of Appendix I of the Summary by the Chair of the seventeenth session of the CDIP.</w:t>
      </w:r>
      <w:r w:rsidR="00227344">
        <w:t xml:space="preserve"> </w:t>
      </w:r>
      <w:r w:rsidR="002E6CEB">
        <w:rPr>
          <w:rFonts w:eastAsia="Times New Roman"/>
          <w:szCs w:val="22"/>
          <w:lang w:eastAsia="en-US"/>
        </w:rPr>
        <w:t>This</w:t>
      </w:r>
      <w:r w:rsidR="001E39B7">
        <w:rPr>
          <w:rFonts w:eastAsia="Times New Roman"/>
          <w:szCs w:val="22"/>
          <w:lang w:eastAsia="en-US"/>
        </w:rPr>
        <w:t xml:space="preserve"> document responds to the above</w:t>
      </w:r>
      <w:r w:rsidR="002122DC">
        <w:rPr>
          <w:rFonts w:eastAsia="Times New Roman"/>
          <w:szCs w:val="22"/>
          <w:lang w:eastAsia="en-US"/>
        </w:rPr>
        <w:t>-</w:t>
      </w:r>
      <w:r w:rsidR="002E6CEB">
        <w:rPr>
          <w:rFonts w:eastAsia="Times New Roman"/>
          <w:szCs w:val="22"/>
          <w:lang w:eastAsia="en-US"/>
        </w:rPr>
        <w:t>mentioned request.</w:t>
      </w:r>
    </w:p>
    <w:p w:rsidR="007140B6" w:rsidRPr="00892610" w:rsidRDefault="007140B6" w:rsidP="007140B6">
      <w:pPr>
        <w:pStyle w:val="Endofdocument-Annex"/>
        <w:rPr>
          <w:i/>
          <w:iCs/>
        </w:rPr>
      </w:pPr>
    </w:p>
    <w:p w:rsidR="00325CF0" w:rsidRPr="008C24BA" w:rsidRDefault="00DF3FB3" w:rsidP="0011494D">
      <w:pPr>
        <w:pStyle w:val="Heading2"/>
        <w:numPr>
          <w:ilvl w:val="0"/>
          <w:numId w:val="19"/>
        </w:numPr>
        <w:ind w:left="567" w:hanging="567"/>
      </w:pPr>
      <w:r>
        <w:t>BACKGROUND</w:t>
      </w:r>
    </w:p>
    <w:p w:rsidR="00325CF0" w:rsidRDefault="00325CF0" w:rsidP="00325CF0">
      <w:pPr>
        <w:ind w:left="360"/>
      </w:pPr>
    </w:p>
    <w:p w:rsidR="00325CF0" w:rsidRDefault="00153AA9" w:rsidP="00325CF0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325CF0">
        <w:t xml:space="preserve">WIPO works in close cooperation with governments, intergovernmental and </w:t>
      </w:r>
      <w:r>
        <w:br/>
      </w:r>
      <w:r w:rsidR="00325CF0">
        <w:t>non-governmental organizations and various other public and private stakeholders worldwide to</w:t>
      </w:r>
      <w:r w:rsidR="00367479">
        <w:t xml:space="preserve"> deliver technical assistance, </w:t>
      </w:r>
      <w:r w:rsidR="00325CF0">
        <w:t>help</w:t>
      </w:r>
      <w:r w:rsidR="00367479">
        <w:t>ing them</w:t>
      </w:r>
      <w:r w:rsidR="00325CF0">
        <w:t xml:space="preserve"> realize the benefits of IP </w:t>
      </w:r>
      <w:r w:rsidR="00367479">
        <w:t xml:space="preserve">for </w:t>
      </w:r>
      <w:r w:rsidR="00227344">
        <w:t>socio-</w:t>
      </w:r>
      <w:r w:rsidR="00367479">
        <w:t xml:space="preserve">economic, </w:t>
      </w:r>
      <w:r w:rsidR="00227344">
        <w:t xml:space="preserve">technological and </w:t>
      </w:r>
      <w:r w:rsidR="00367479">
        <w:t>cultural development</w:t>
      </w:r>
      <w:r w:rsidR="00325CF0">
        <w:t>.</w:t>
      </w:r>
    </w:p>
    <w:p w:rsidR="00325CF0" w:rsidRDefault="00325CF0" w:rsidP="00325CF0"/>
    <w:p w:rsidR="00227344" w:rsidRDefault="00153AA9" w:rsidP="00227344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27344">
        <w:t>The Development Agenda (DA) recommendations adopted i</w:t>
      </w:r>
      <w:r w:rsidR="00F72C16">
        <w:t>n 2007 set out certain principles</w:t>
      </w:r>
      <w:r w:rsidR="00227344">
        <w:t xml:space="preserve"> </w:t>
      </w:r>
      <w:r w:rsidR="00F72C16">
        <w:t>that guide</w:t>
      </w:r>
      <w:r w:rsidR="00227344">
        <w:t xml:space="preserve"> WIPO</w:t>
      </w:r>
      <w:r w:rsidR="003A23C3">
        <w:t>’</w:t>
      </w:r>
      <w:r w:rsidR="00227344">
        <w:t xml:space="preserve">s work in the area of technical assistance.  </w:t>
      </w:r>
      <w:r w:rsidR="00F72C16">
        <w:t>Accordingly</w:t>
      </w:r>
      <w:r w:rsidR="00227344">
        <w:t>, WIPO TA</w:t>
      </w:r>
      <w:r w:rsidR="003A23C3">
        <w:t>’</w:t>
      </w:r>
      <w:r w:rsidR="00227344">
        <w:t xml:space="preserve">s activities are provided in a </w:t>
      </w:r>
      <w:r w:rsidR="00227344" w:rsidRPr="00BF32E2">
        <w:t>development-oriented</w:t>
      </w:r>
      <w:r w:rsidR="00227344">
        <w:t xml:space="preserve">, demand-driven and transparent manner. They are country specific and take into consideration the </w:t>
      </w:r>
      <w:r w:rsidR="00227344" w:rsidRPr="00BA4D7C">
        <w:t>needs and priorities of Member States</w:t>
      </w:r>
      <w:r w:rsidR="00227344">
        <w:t xml:space="preserve"> and</w:t>
      </w:r>
      <w:r w:rsidR="00227344" w:rsidRPr="00BA4D7C">
        <w:t xml:space="preserve"> </w:t>
      </w:r>
      <w:r w:rsidR="00227344">
        <w:t>their</w:t>
      </w:r>
      <w:r w:rsidR="00227344" w:rsidRPr="00BA4D7C">
        <w:t xml:space="preserve"> different levels of development</w:t>
      </w:r>
      <w:r w:rsidR="00227344">
        <w:t xml:space="preserve">. </w:t>
      </w:r>
      <w:r w:rsidR="00227344" w:rsidRPr="00BA4D7C" w:rsidDel="00BA4D7C">
        <w:t xml:space="preserve"> </w:t>
      </w:r>
      <w:r w:rsidR="00227344" w:rsidRPr="00227344">
        <w:t xml:space="preserve">In addition, as stated in the </w:t>
      </w:r>
      <w:r w:rsidR="00227344" w:rsidRPr="00153AA9">
        <w:t xml:space="preserve">WIPO Medium-Term Strategic </w:t>
      </w:r>
      <w:r w:rsidR="00227344" w:rsidRPr="00153AA9">
        <w:lastRenderedPageBreak/>
        <w:t>Plan for 2016-2021</w:t>
      </w:r>
      <w:r w:rsidR="00227344" w:rsidRPr="00325CF0">
        <w:rPr>
          <w:rStyle w:val="FootnoteReference"/>
        </w:rPr>
        <w:footnoteReference w:id="2"/>
      </w:r>
      <w:r w:rsidR="00227344" w:rsidRPr="00227344">
        <w:t>, WIPO</w:t>
      </w:r>
      <w:r w:rsidR="003A23C3">
        <w:t>’</w:t>
      </w:r>
      <w:r w:rsidR="00227344" w:rsidRPr="00227344">
        <w:t xml:space="preserve">s technical assistance activities are guided by the Strategic Goal III:  Facilitating the Use of IP for Development. </w:t>
      </w:r>
      <w:r w:rsidR="003A23C3">
        <w:t xml:space="preserve"> </w:t>
      </w:r>
      <w:r w:rsidR="00227344" w:rsidRPr="00227344">
        <w:t>This Strategic Goal is horizontal</w:t>
      </w:r>
      <w:r w:rsidR="00F72C16">
        <w:t>ly</w:t>
      </w:r>
      <w:r w:rsidR="00227344" w:rsidRPr="00227344">
        <w:t xml:space="preserve"> spread across </w:t>
      </w:r>
      <w:r w:rsidR="00227344">
        <w:t xml:space="preserve">all </w:t>
      </w:r>
      <w:r w:rsidR="00227344" w:rsidRPr="00227344">
        <w:t xml:space="preserve">the programs and sectors of the Organization.  </w:t>
      </w:r>
    </w:p>
    <w:p w:rsidR="00227344" w:rsidRDefault="00227344" w:rsidP="00325CF0"/>
    <w:p w:rsidR="0052344F" w:rsidRDefault="003A23C3" w:rsidP="003A35DF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27344">
        <w:t>In delivering its technical assistance, WIPO does not only rely on its own human resources and expertise, but it also engages a number</w:t>
      </w:r>
      <w:r w:rsidR="00227344" w:rsidRPr="00C969EC">
        <w:t xml:space="preserve"> </w:t>
      </w:r>
      <w:r w:rsidR="00227344">
        <w:t xml:space="preserve">of </w:t>
      </w:r>
      <w:r w:rsidR="00227344" w:rsidRPr="00C969EC">
        <w:t>external experts</w:t>
      </w:r>
      <w:r w:rsidR="00227344">
        <w:t xml:space="preserve"> to assist the Organization in </w:t>
      </w:r>
      <w:r w:rsidR="00325CF0">
        <w:t xml:space="preserve">the effective implementation of </w:t>
      </w:r>
      <w:r w:rsidR="00227344">
        <w:t>its activities and projects.</w:t>
      </w:r>
    </w:p>
    <w:p w:rsidR="00227344" w:rsidRDefault="00227344" w:rsidP="003A35DF"/>
    <w:p w:rsidR="00CB5B05" w:rsidRDefault="003A23C3" w:rsidP="00325CF0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2344F">
        <w:t>The general framework for engaging external consultants</w:t>
      </w:r>
      <w:r w:rsidR="00D42733">
        <w:t xml:space="preserve"> is provided by the WIPO Office Instruction No. 45/2013 </w:t>
      </w:r>
      <w:r>
        <w:t>“</w:t>
      </w:r>
      <w:r w:rsidR="00D42733">
        <w:t>WIPO Policy on Indi</w:t>
      </w:r>
      <w:r w:rsidR="00517B3F">
        <w:t>vidual Contractor Services</w:t>
      </w:r>
      <w:r>
        <w:t>”</w:t>
      </w:r>
      <w:r w:rsidR="00517B3F">
        <w:t xml:space="preserve"> (hereinafter, WIPO Policy on ICS) and</w:t>
      </w:r>
      <w:r w:rsidR="00B64DD1">
        <w:t xml:space="preserve"> the</w:t>
      </w:r>
      <w:r w:rsidR="00517B3F">
        <w:t xml:space="preserve"> WIPO</w:t>
      </w:r>
      <w:r>
        <w:t>’</w:t>
      </w:r>
      <w:r w:rsidR="00517B3F">
        <w:t>s</w:t>
      </w:r>
      <w:r w:rsidR="00D42733">
        <w:t xml:space="preserve"> Financial Regulations</w:t>
      </w:r>
      <w:r w:rsidR="00517B3F">
        <w:t xml:space="preserve"> and Rules</w:t>
      </w:r>
      <w:r w:rsidR="00D42733">
        <w:t xml:space="preserve">, particularly in its </w:t>
      </w:r>
      <w:r w:rsidR="00A45337">
        <w:t>Chapter 5</w:t>
      </w:r>
      <w:r w:rsidR="00D42733">
        <w:rPr>
          <w:rStyle w:val="FootnoteReference"/>
        </w:rPr>
        <w:footnoteReference w:id="3"/>
      </w:r>
      <w:r w:rsidR="00CB5B05">
        <w:t>.  This framework, including some general principles and selection procedures</w:t>
      </w:r>
      <w:r w:rsidR="00F21262">
        <w:t>,</w:t>
      </w:r>
      <w:r w:rsidR="00CB5B05">
        <w:t xml:space="preserve"> is contained in Section II of this document.  </w:t>
      </w:r>
    </w:p>
    <w:p w:rsidR="00CB5B05" w:rsidRDefault="00CB5B05" w:rsidP="00325CF0"/>
    <w:p w:rsidR="0052344F" w:rsidRDefault="003A23C3" w:rsidP="00871D5E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27344">
        <w:t>Furthermore</w:t>
      </w:r>
      <w:r w:rsidR="009431A3">
        <w:t>,</w:t>
      </w:r>
      <w:r w:rsidR="00AF5CCA">
        <w:t xml:space="preserve"> </w:t>
      </w:r>
      <w:r w:rsidR="00CB5B05">
        <w:t>given its particular nature</w:t>
      </w:r>
      <w:r w:rsidR="00D42733">
        <w:t>, the Organization applies</w:t>
      </w:r>
      <w:r w:rsidR="00CB5B05">
        <w:t xml:space="preserve"> </w:t>
      </w:r>
      <w:r w:rsidR="00D42733" w:rsidRPr="00D42733">
        <w:rPr>
          <w:i/>
        </w:rPr>
        <w:t>de facto</w:t>
      </w:r>
      <w:r w:rsidR="00D42733">
        <w:t xml:space="preserve"> practices</w:t>
      </w:r>
      <w:r w:rsidR="00CB5B05">
        <w:t xml:space="preserve"> to the selection of consultants for technical assistance. </w:t>
      </w:r>
      <w:r>
        <w:t xml:space="preserve"> </w:t>
      </w:r>
      <w:r w:rsidR="00CB5B05">
        <w:t xml:space="preserve">Those practices </w:t>
      </w:r>
      <w:r w:rsidR="00D42733">
        <w:t xml:space="preserve">have been compiled in </w:t>
      </w:r>
      <w:r w:rsidR="00CB5B05">
        <w:t xml:space="preserve">Section III of this document </w:t>
      </w:r>
      <w:r w:rsidR="009B477B" w:rsidRPr="000E65DD">
        <w:t>and are applicable</w:t>
      </w:r>
      <w:r w:rsidR="0028539A">
        <w:t xml:space="preserve"> to</w:t>
      </w:r>
      <w:r w:rsidR="00CB5B05">
        <w:t xml:space="preserve"> </w:t>
      </w:r>
      <w:r w:rsidR="0052344F">
        <w:t xml:space="preserve">the following non-exhaustive </w:t>
      </w:r>
      <w:r w:rsidR="00CB5B05">
        <w:t>categories of WIPO</w:t>
      </w:r>
      <w:r>
        <w:t>’</w:t>
      </w:r>
      <w:r w:rsidR="00CB5B05">
        <w:t>s technical assistance:</w:t>
      </w:r>
      <w:r w:rsidR="0028539A">
        <w:t xml:space="preserve"> </w:t>
      </w:r>
      <w:r>
        <w:t xml:space="preserve"> </w:t>
      </w:r>
      <w:r w:rsidR="00871D5E">
        <w:t>(</w:t>
      </w:r>
      <w:proofErr w:type="spellStart"/>
      <w:r w:rsidR="00871D5E">
        <w:t>i</w:t>
      </w:r>
      <w:proofErr w:type="spellEnd"/>
      <w:r w:rsidR="00B64DD1">
        <w:t xml:space="preserve">) national IP strategies and development plans; </w:t>
      </w:r>
      <w:r>
        <w:t xml:space="preserve"> </w:t>
      </w:r>
      <w:r w:rsidR="00B64DD1">
        <w:t>(ii) technical and administrative infrastructure;</w:t>
      </w:r>
      <w:r>
        <w:t xml:space="preserve"> </w:t>
      </w:r>
      <w:r w:rsidR="00B64DD1">
        <w:t xml:space="preserve"> (iii) capacity building; </w:t>
      </w:r>
      <w:r>
        <w:t xml:space="preserve"> </w:t>
      </w:r>
      <w:r w:rsidR="00B64DD1">
        <w:t xml:space="preserve">(iv) legislative assistance; </w:t>
      </w:r>
      <w:r>
        <w:t xml:space="preserve"> </w:t>
      </w:r>
      <w:r>
        <w:br/>
      </w:r>
      <w:r w:rsidR="00B64DD1">
        <w:t xml:space="preserve">(v) </w:t>
      </w:r>
      <w:r w:rsidR="001E39B7">
        <w:t>DA</w:t>
      </w:r>
      <w:r w:rsidR="00B64DD1">
        <w:t xml:space="preserve">-related projects; </w:t>
      </w:r>
      <w:r>
        <w:t xml:space="preserve"> and </w:t>
      </w:r>
      <w:r w:rsidR="000F706B">
        <w:t xml:space="preserve"> </w:t>
      </w:r>
      <w:r w:rsidR="00B64DD1">
        <w:t>(vi) public-private partnerships.</w:t>
      </w:r>
    </w:p>
    <w:p w:rsidR="0056078A" w:rsidRDefault="0056078A" w:rsidP="00871D5E"/>
    <w:p w:rsidR="00105209" w:rsidRPr="00105209" w:rsidRDefault="000748E2" w:rsidP="00D06E01">
      <w:pPr>
        <w:pStyle w:val="Heading2"/>
        <w:ind w:left="360" w:hanging="360"/>
      </w:pPr>
      <w:r>
        <w:t>II.</w:t>
      </w:r>
      <w:r>
        <w:tab/>
        <w:t xml:space="preserve">GENERAL </w:t>
      </w:r>
      <w:r w:rsidR="00105209" w:rsidRPr="00105209">
        <w:t xml:space="preserve">PRACTICES APPLICABLE TO </w:t>
      </w:r>
      <w:r w:rsidR="00D06E01">
        <w:t>the SELECTION OF INDIVIDUAL CONTRACTOR SERVICES</w:t>
      </w:r>
    </w:p>
    <w:p w:rsidR="00105209" w:rsidRPr="00105209" w:rsidRDefault="00105209" w:rsidP="00EC489B">
      <w:pPr>
        <w:pStyle w:val="Heading3"/>
      </w:pPr>
      <w:r w:rsidRPr="00105209">
        <w:t>Principles</w:t>
      </w:r>
    </w:p>
    <w:p w:rsidR="00105209" w:rsidRDefault="00105209" w:rsidP="00105209"/>
    <w:p w:rsidR="00105209" w:rsidRDefault="00EC489B" w:rsidP="00EC489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105209">
        <w:t>In accor</w:t>
      </w:r>
      <w:r w:rsidR="00D746A4">
        <w:t>dance with Reg</w:t>
      </w:r>
      <w:r w:rsidR="00260A23">
        <w:t>ulation</w:t>
      </w:r>
      <w:r w:rsidR="00D746A4">
        <w:t xml:space="preserve"> 5.11 </w:t>
      </w:r>
      <w:r w:rsidR="00260A23">
        <w:t xml:space="preserve">(Chapter 5, Section C) </w:t>
      </w:r>
      <w:r w:rsidR="00D746A4">
        <w:t>of</w:t>
      </w:r>
      <w:r w:rsidR="00105209">
        <w:t xml:space="preserve"> </w:t>
      </w:r>
      <w:r w:rsidR="00517B3F">
        <w:t>WIPO</w:t>
      </w:r>
      <w:r w:rsidR="003A23C3">
        <w:t>’</w:t>
      </w:r>
      <w:r w:rsidR="00517B3F">
        <w:t xml:space="preserve">s </w:t>
      </w:r>
      <w:r w:rsidR="00105209" w:rsidRPr="00290202">
        <w:t>Financial Regulations and Rules</w:t>
      </w:r>
      <w:r w:rsidR="00105209">
        <w:t xml:space="preserve"> and Section</w:t>
      </w:r>
      <w:r>
        <w:t> </w:t>
      </w:r>
      <w:r w:rsidR="00105209">
        <w:t>III, paragraph 7 of WIPO Policy on ICS, the following are general principles applicable to the use of non-staff contracts:</w:t>
      </w:r>
    </w:p>
    <w:p w:rsidR="00105209" w:rsidRDefault="00105209" w:rsidP="00105209"/>
    <w:p w:rsidR="00A429D2" w:rsidRDefault="00A429D2" w:rsidP="00A429D2">
      <w:pPr>
        <w:pStyle w:val="ListParagraph"/>
        <w:numPr>
          <w:ilvl w:val="0"/>
          <w:numId w:val="5"/>
        </w:numPr>
        <w:ind w:left="567" w:firstLine="0"/>
      </w:pPr>
      <w:r>
        <w:t>Competitive and effective selection procedures</w:t>
      </w:r>
      <w:r>
        <w:rPr>
          <w:rStyle w:val="FootnoteReference"/>
        </w:rPr>
        <w:footnoteReference w:id="4"/>
      </w:r>
      <w:r>
        <w:t xml:space="preserve">; </w:t>
      </w:r>
    </w:p>
    <w:p w:rsidR="00A429D2" w:rsidRDefault="00A429D2" w:rsidP="00A429D2">
      <w:pPr>
        <w:pStyle w:val="ListParagraph"/>
        <w:numPr>
          <w:ilvl w:val="0"/>
          <w:numId w:val="5"/>
        </w:numPr>
        <w:ind w:left="567" w:firstLine="0"/>
      </w:pPr>
      <w:r>
        <w:t>Effective provision of services to the Organization</w:t>
      </w:r>
    </w:p>
    <w:p w:rsidR="00105209" w:rsidRDefault="00105209" w:rsidP="00EC489B">
      <w:pPr>
        <w:pStyle w:val="ListParagraph"/>
        <w:numPr>
          <w:ilvl w:val="0"/>
          <w:numId w:val="5"/>
        </w:numPr>
        <w:ind w:left="567" w:firstLine="0"/>
      </w:pPr>
      <w:r>
        <w:t>Best value for money (</w:t>
      </w:r>
      <w:r w:rsidRPr="00105209">
        <w:t xml:space="preserve">confirmed via market information for the skill set of the </w:t>
      </w:r>
      <w:r w:rsidR="00EC489B">
        <w:br/>
      </w:r>
      <w:r w:rsidRPr="00105209">
        <w:t>non-staff resource</w:t>
      </w:r>
      <w:r>
        <w:t>)</w:t>
      </w:r>
      <w:r>
        <w:rPr>
          <w:rStyle w:val="FootnoteReference"/>
        </w:rPr>
        <w:footnoteReference w:id="5"/>
      </w:r>
      <w:r w:rsidR="00EC489B">
        <w:t>;</w:t>
      </w:r>
    </w:p>
    <w:p w:rsidR="00105209" w:rsidRDefault="00A429D2" w:rsidP="00EC489B">
      <w:pPr>
        <w:pStyle w:val="ListParagraph"/>
        <w:numPr>
          <w:ilvl w:val="0"/>
          <w:numId w:val="5"/>
        </w:numPr>
        <w:ind w:left="567" w:firstLine="0"/>
      </w:pPr>
      <w:r>
        <w:t>Integrity, confidentiality and transparency in implementation</w:t>
      </w:r>
      <w:r w:rsidR="00EC489B">
        <w:t>;</w:t>
      </w:r>
    </w:p>
    <w:p w:rsidR="00105209" w:rsidRDefault="00105209" w:rsidP="00EC489B">
      <w:pPr>
        <w:pStyle w:val="ListParagraph"/>
        <w:numPr>
          <w:ilvl w:val="0"/>
          <w:numId w:val="5"/>
        </w:numPr>
        <w:ind w:left="567" w:firstLine="0"/>
      </w:pPr>
      <w:r>
        <w:t>The best interests of the Organization</w:t>
      </w:r>
      <w:r w:rsidR="000F706B">
        <w:t xml:space="preserve">; </w:t>
      </w:r>
      <w:r w:rsidR="00EC489B">
        <w:t>and</w:t>
      </w:r>
    </w:p>
    <w:p w:rsidR="00105209" w:rsidRDefault="00105209" w:rsidP="00EC489B">
      <w:pPr>
        <w:pStyle w:val="ListParagraph"/>
        <w:numPr>
          <w:ilvl w:val="0"/>
          <w:numId w:val="5"/>
        </w:numPr>
        <w:ind w:left="567" w:firstLine="0"/>
      </w:pPr>
      <w:r>
        <w:t>Prudent engagement practices</w:t>
      </w:r>
      <w:r w:rsidR="00EC489B">
        <w:t>.</w:t>
      </w:r>
      <w:r>
        <w:t xml:space="preserve"> </w:t>
      </w:r>
    </w:p>
    <w:p w:rsidR="00105209" w:rsidRPr="00105209" w:rsidRDefault="000B12F2" w:rsidP="00EC489B">
      <w:pPr>
        <w:pStyle w:val="Heading3"/>
      </w:pPr>
      <w:r>
        <w:t>Formal</w:t>
      </w:r>
      <w:r w:rsidR="00105209" w:rsidRPr="00105209">
        <w:t xml:space="preserve"> Procedures</w:t>
      </w:r>
    </w:p>
    <w:p w:rsidR="00EC489B" w:rsidRDefault="00EC489B" w:rsidP="000748E2"/>
    <w:p w:rsidR="00105209" w:rsidRDefault="005D64B8" w:rsidP="000748E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17B3F">
        <w:t xml:space="preserve">Program Managers are responsible for the selection of the consultants in accordance with section IV, paragraph 9 of WIPO Policy on ICS and </w:t>
      </w:r>
      <w:r w:rsidR="00517B3F" w:rsidRPr="00517B3F">
        <w:t>Regulation 5.9</w:t>
      </w:r>
      <w:r w:rsidR="00517B3F">
        <w:t xml:space="preserve">, Rule 105.4 </w:t>
      </w:r>
      <w:r w:rsidR="00260A23">
        <w:t xml:space="preserve">(Chapter 5, Section B) </w:t>
      </w:r>
      <w:r w:rsidR="00517B3F">
        <w:t>of WIPO</w:t>
      </w:r>
      <w:r w:rsidR="003A23C3">
        <w:t>’</w:t>
      </w:r>
      <w:r w:rsidR="00517B3F">
        <w:t xml:space="preserve">s </w:t>
      </w:r>
      <w:r w:rsidR="00517B3F" w:rsidRPr="00290202">
        <w:t>Financial Regulations and Rules</w:t>
      </w:r>
      <w:r w:rsidR="00517B3F">
        <w:t xml:space="preserve">.  They follow the selection of procedures established in Section V and Annex of WIPO Policy on ICS.  </w:t>
      </w:r>
      <w:r w:rsidR="000748E2">
        <w:t xml:space="preserve">The main elements highlighted </w:t>
      </w:r>
      <w:r w:rsidR="00517B3F">
        <w:t xml:space="preserve">in these procedures </w:t>
      </w:r>
      <w:r w:rsidR="000748E2">
        <w:t xml:space="preserve">are: </w:t>
      </w:r>
      <w:r>
        <w:t xml:space="preserve"> </w:t>
      </w:r>
      <w:r w:rsidR="000748E2">
        <w:t>(</w:t>
      </w:r>
      <w:proofErr w:type="spellStart"/>
      <w:r w:rsidR="000748E2">
        <w:t>i</w:t>
      </w:r>
      <w:proofErr w:type="spellEnd"/>
      <w:r w:rsidR="000748E2">
        <w:t>) the need for an a</w:t>
      </w:r>
      <w:r w:rsidR="000748E2" w:rsidRPr="000748E2">
        <w:t>pproval in the work plan of</w:t>
      </w:r>
      <w:r w:rsidR="000748E2">
        <w:t xml:space="preserve"> the</w:t>
      </w:r>
      <w:r w:rsidR="000748E2" w:rsidRPr="000748E2">
        <w:t xml:space="preserve"> activity requiring </w:t>
      </w:r>
      <w:r w:rsidR="000748E2" w:rsidRPr="000748E2">
        <w:lastRenderedPageBreak/>
        <w:t>acq</w:t>
      </w:r>
      <w:r w:rsidR="000748E2">
        <w:t xml:space="preserve">uisition of non-staff resources; </w:t>
      </w:r>
      <w:r>
        <w:t xml:space="preserve"> </w:t>
      </w:r>
      <w:r w:rsidR="000748E2">
        <w:t xml:space="preserve">(ii) the obligation to </w:t>
      </w:r>
      <w:r w:rsidR="000748E2" w:rsidRPr="000748E2">
        <w:t xml:space="preserve">include </w:t>
      </w:r>
      <w:r w:rsidR="00ED54D0">
        <w:t>detailed</w:t>
      </w:r>
      <w:r w:rsidR="000748E2" w:rsidRPr="000748E2">
        <w:t xml:space="preserve"> T</w:t>
      </w:r>
      <w:r w:rsidR="000748E2">
        <w:t>erms of Reference containing reasonably foreseeable specifications (objectives and targets, tangible and measurable outputs of work assignment, delivery dates and performance indicators for the evaluation of results</w:t>
      </w:r>
      <w:r w:rsidR="00D10698">
        <w:t xml:space="preserve">); </w:t>
      </w:r>
      <w:r>
        <w:t xml:space="preserve"> </w:t>
      </w:r>
      <w:r w:rsidR="00D10698">
        <w:t xml:space="preserve">and </w:t>
      </w:r>
      <w:r w:rsidR="000F706B">
        <w:t xml:space="preserve"> </w:t>
      </w:r>
      <w:r w:rsidR="00D10698">
        <w:t>(iii) the obligation to adhere to</w:t>
      </w:r>
      <w:r w:rsidR="000748E2">
        <w:t xml:space="preserve"> the following specific formal procedures in relation with the honorarium:</w:t>
      </w:r>
    </w:p>
    <w:p w:rsidR="0056078A" w:rsidRDefault="0056078A" w:rsidP="000748E2"/>
    <w:tbl>
      <w:tblPr>
        <w:tblStyle w:val="TableGrid"/>
        <w:tblW w:w="9463" w:type="dxa"/>
        <w:tblInd w:w="108" w:type="dxa"/>
        <w:tblLook w:val="04A0" w:firstRow="1" w:lastRow="0" w:firstColumn="1" w:lastColumn="0" w:noHBand="0" w:noVBand="1"/>
      </w:tblPr>
      <w:tblGrid>
        <w:gridCol w:w="1812"/>
        <w:gridCol w:w="2496"/>
        <w:gridCol w:w="5155"/>
      </w:tblGrid>
      <w:tr w:rsidR="00105209" w:rsidTr="000748E2">
        <w:tc>
          <w:tcPr>
            <w:tcW w:w="1812" w:type="dxa"/>
          </w:tcPr>
          <w:p w:rsidR="00105209" w:rsidRPr="005D64B8" w:rsidRDefault="00105209" w:rsidP="005D64B8">
            <w:pPr>
              <w:rPr>
                <w:bCs/>
                <w:i/>
                <w:iCs/>
              </w:rPr>
            </w:pPr>
            <w:r w:rsidRPr="005D64B8">
              <w:rPr>
                <w:bCs/>
                <w:i/>
                <w:iCs/>
              </w:rPr>
              <w:t>Selection Procedure</w:t>
            </w:r>
          </w:p>
        </w:tc>
        <w:tc>
          <w:tcPr>
            <w:tcW w:w="2496" w:type="dxa"/>
          </w:tcPr>
          <w:p w:rsidR="00105209" w:rsidRPr="005D64B8" w:rsidRDefault="00105209" w:rsidP="005D64B8">
            <w:pPr>
              <w:rPr>
                <w:bCs/>
                <w:i/>
                <w:iCs/>
              </w:rPr>
            </w:pPr>
            <w:r w:rsidRPr="005D64B8">
              <w:rPr>
                <w:bCs/>
                <w:i/>
                <w:iCs/>
              </w:rPr>
              <w:t>Honorarium for annual value</w:t>
            </w:r>
          </w:p>
          <w:p w:rsidR="00105209" w:rsidRPr="00EE1FF1" w:rsidRDefault="00105209" w:rsidP="005D64B8">
            <w:pPr>
              <w:rPr>
                <w:b/>
              </w:rPr>
            </w:pPr>
            <w:r w:rsidRPr="005D64B8">
              <w:rPr>
                <w:bCs/>
                <w:i/>
                <w:iCs/>
              </w:rPr>
              <w:t>(in Swiss francs)</w:t>
            </w:r>
          </w:p>
        </w:tc>
        <w:tc>
          <w:tcPr>
            <w:tcW w:w="5155" w:type="dxa"/>
          </w:tcPr>
          <w:p w:rsidR="00105209" w:rsidRPr="005D64B8" w:rsidRDefault="00105209" w:rsidP="005D64B8">
            <w:pPr>
              <w:rPr>
                <w:bCs/>
                <w:i/>
                <w:iCs/>
              </w:rPr>
            </w:pPr>
            <w:r w:rsidRPr="005D64B8">
              <w:rPr>
                <w:bCs/>
                <w:i/>
                <w:iCs/>
              </w:rPr>
              <w:t>Formal Procedures</w:t>
            </w:r>
          </w:p>
        </w:tc>
      </w:tr>
      <w:tr w:rsidR="00105209" w:rsidTr="000748E2">
        <w:tc>
          <w:tcPr>
            <w:tcW w:w="1812" w:type="dxa"/>
          </w:tcPr>
          <w:p w:rsidR="00105209" w:rsidRPr="00EE1FF1" w:rsidRDefault="00105209" w:rsidP="00607C36">
            <w:r w:rsidRPr="00EE1FF1">
              <w:t>Direct acquisition</w:t>
            </w:r>
            <w:r>
              <w:rPr>
                <w:rStyle w:val="FootnoteReference"/>
              </w:rPr>
              <w:footnoteReference w:id="6"/>
            </w:r>
          </w:p>
        </w:tc>
        <w:tc>
          <w:tcPr>
            <w:tcW w:w="2496" w:type="dxa"/>
          </w:tcPr>
          <w:p w:rsidR="00105209" w:rsidRDefault="00105209" w:rsidP="00607C36">
            <w:r>
              <w:t xml:space="preserve">Up to 20,000 </w:t>
            </w:r>
          </w:p>
        </w:tc>
        <w:tc>
          <w:tcPr>
            <w:tcW w:w="5155" w:type="dxa"/>
          </w:tcPr>
          <w:p w:rsidR="00105209" w:rsidRDefault="00826207" w:rsidP="00826207">
            <w:pPr>
              <w:pStyle w:val="ListParagraph"/>
              <w:ind w:left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 w:rsidR="00105209">
              <w:t>Desk review of existing WIPO contracts for similar acquisitions / or an informal survey of the market for similar acquisitions</w:t>
            </w:r>
            <w:r w:rsidR="0022686D">
              <w:t>;  and</w:t>
            </w:r>
          </w:p>
          <w:p w:rsidR="00105209" w:rsidRDefault="00826207" w:rsidP="00826207">
            <w:pPr>
              <w:pStyle w:val="ListParagraph"/>
              <w:ind w:left="0"/>
            </w:pPr>
            <w:r>
              <w:t>(ii)</w:t>
            </w:r>
            <w:r>
              <w:tab/>
            </w:r>
            <w:r w:rsidR="00105209">
              <w:t>Program Manager shall record the results of his or her review in writing in the</w:t>
            </w:r>
            <w:r w:rsidR="00D10698">
              <w:t xml:space="preserve"> ICS</w:t>
            </w:r>
            <w:r w:rsidR="00105209">
              <w:t xml:space="preserve"> file</w:t>
            </w:r>
            <w:r w:rsidR="00ED54D0">
              <w:rPr>
                <w:rStyle w:val="FootnoteReference"/>
              </w:rPr>
              <w:footnoteReference w:id="7"/>
            </w:r>
            <w:r w:rsidR="009B477B">
              <w:t>.</w:t>
            </w:r>
          </w:p>
          <w:p w:rsidR="00753B39" w:rsidRDefault="00753B39" w:rsidP="00826207">
            <w:pPr>
              <w:pStyle w:val="ListParagraph"/>
              <w:ind w:left="0"/>
            </w:pPr>
          </w:p>
        </w:tc>
      </w:tr>
      <w:tr w:rsidR="00105209" w:rsidTr="000748E2">
        <w:tc>
          <w:tcPr>
            <w:tcW w:w="1812" w:type="dxa"/>
          </w:tcPr>
          <w:p w:rsidR="00105209" w:rsidRPr="002F62BD" w:rsidRDefault="00105209" w:rsidP="00607C36">
            <w:r w:rsidRPr="002F62BD">
              <w:t>Request for Offer</w:t>
            </w:r>
          </w:p>
        </w:tc>
        <w:tc>
          <w:tcPr>
            <w:tcW w:w="2496" w:type="dxa"/>
          </w:tcPr>
          <w:p w:rsidR="00105209" w:rsidRDefault="00105209" w:rsidP="00607C36">
            <w:r>
              <w:t xml:space="preserve">From 20,000 to </w:t>
            </w:r>
            <w:r w:rsidRPr="002F62BD">
              <w:t xml:space="preserve">50,000 </w:t>
            </w:r>
          </w:p>
        </w:tc>
        <w:tc>
          <w:tcPr>
            <w:tcW w:w="5155" w:type="dxa"/>
          </w:tcPr>
          <w:p w:rsidR="00105209" w:rsidRDefault="0022686D" w:rsidP="0022686D">
            <w:pPr>
              <w:pStyle w:val="ListParagraph"/>
              <w:ind w:left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 w:rsidR="00105209">
              <w:t>Three candidates to be identified and requested to provide offers for the work in question</w:t>
            </w:r>
            <w:r>
              <w:t>;</w:t>
            </w:r>
          </w:p>
          <w:p w:rsidR="00105209" w:rsidRDefault="0022686D" w:rsidP="0022686D">
            <w:pPr>
              <w:pStyle w:val="ListParagraph"/>
              <w:ind w:left="0"/>
            </w:pPr>
            <w:r>
              <w:t>(ii)</w:t>
            </w:r>
            <w:r>
              <w:tab/>
            </w:r>
            <w:r w:rsidR="00105209">
              <w:t>Optional interviews</w:t>
            </w:r>
            <w:r>
              <w:t>;  and</w:t>
            </w:r>
          </w:p>
          <w:p w:rsidR="00105209" w:rsidRDefault="0022686D" w:rsidP="0022686D">
            <w:pPr>
              <w:pStyle w:val="ListParagraph"/>
              <w:ind w:left="0"/>
            </w:pPr>
            <w:r>
              <w:t>(iii)</w:t>
            </w:r>
            <w:r>
              <w:tab/>
            </w:r>
            <w:r w:rsidR="00105209">
              <w:t xml:space="preserve">Offers included as part of the </w:t>
            </w:r>
            <w:r w:rsidR="00D10698">
              <w:t>ICS</w:t>
            </w:r>
            <w:r w:rsidR="00105209">
              <w:t xml:space="preserve"> file together with a reasoned statement</w:t>
            </w:r>
            <w:r w:rsidR="009B477B">
              <w:t>.</w:t>
            </w:r>
          </w:p>
          <w:p w:rsidR="00753B39" w:rsidRDefault="00753B39" w:rsidP="0022686D">
            <w:pPr>
              <w:pStyle w:val="ListParagraph"/>
              <w:ind w:left="0"/>
            </w:pPr>
          </w:p>
        </w:tc>
      </w:tr>
      <w:tr w:rsidR="00105209" w:rsidTr="000748E2">
        <w:tc>
          <w:tcPr>
            <w:tcW w:w="1812" w:type="dxa"/>
          </w:tcPr>
          <w:p w:rsidR="00105209" w:rsidRPr="00E06BC8" w:rsidRDefault="00105209" w:rsidP="00607C36">
            <w:r w:rsidRPr="00E06BC8">
              <w:t>Advertise-Response-Evaluate</w:t>
            </w:r>
          </w:p>
        </w:tc>
        <w:tc>
          <w:tcPr>
            <w:tcW w:w="2496" w:type="dxa"/>
          </w:tcPr>
          <w:p w:rsidR="00105209" w:rsidRDefault="00105209" w:rsidP="00607C36">
            <w:r>
              <w:t>from</w:t>
            </w:r>
            <w:r w:rsidRPr="00C97DF1">
              <w:t xml:space="preserve"> 50,000 </w:t>
            </w:r>
            <w:r>
              <w:t>to</w:t>
            </w:r>
            <w:r w:rsidRPr="00C97DF1">
              <w:t xml:space="preserve"> 100,000 </w:t>
            </w:r>
          </w:p>
        </w:tc>
        <w:tc>
          <w:tcPr>
            <w:tcW w:w="5155" w:type="dxa"/>
          </w:tcPr>
          <w:p w:rsidR="0028539A" w:rsidRDefault="00D21A69" w:rsidP="00D21A69">
            <w:pPr>
              <w:pStyle w:val="ListParagraph"/>
              <w:ind w:left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 w:rsidR="00871D5E">
              <w:t>Advertisement</w:t>
            </w:r>
            <w:r w:rsidR="0028539A">
              <w:t xml:space="preserve"> in an appropriate platform or use</w:t>
            </w:r>
            <w:r w:rsidR="00871D5E">
              <w:t xml:space="preserve"> of</w:t>
            </w:r>
            <w:r w:rsidR="0028539A">
              <w:t xml:space="preserve"> an appropriate selection service</w:t>
            </w:r>
            <w:r w:rsidR="00FF4250">
              <w:rPr>
                <w:rStyle w:val="FootnoteReference"/>
              </w:rPr>
              <w:footnoteReference w:id="8"/>
            </w:r>
            <w:r>
              <w:t>;</w:t>
            </w:r>
          </w:p>
          <w:p w:rsidR="00105209" w:rsidRDefault="00D21A69" w:rsidP="00D21A69">
            <w:pPr>
              <w:pStyle w:val="ListParagraph"/>
              <w:ind w:left="0"/>
            </w:pPr>
            <w:r>
              <w:t>(ii)</w:t>
            </w:r>
            <w:r>
              <w:tab/>
            </w:r>
            <w:r w:rsidR="00105209" w:rsidRPr="00C97DF1">
              <w:t xml:space="preserve">A broad sampling of candidates identified </w:t>
            </w:r>
            <w:r w:rsidR="00105209">
              <w:t>and</w:t>
            </w:r>
            <w:r w:rsidR="00105209" w:rsidRPr="00C97DF1">
              <w:t xml:space="preserve"> compared with one another</w:t>
            </w:r>
            <w:r>
              <w:t>;</w:t>
            </w:r>
            <w:r w:rsidR="00105209" w:rsidRPr="00C97DF1">
              <w:t xml:space="preserve"> </w:t>
            </w:r>
          </w:p>
          <w:p w:rsidR="00105209" w:rsidRDefault="00D21A69" w:rsidP="00D21A69">
            <w:pPr>
              <w:pStyle w:val="ListParagraph"/>
              <w:ind w:left="0"/>
            </w:pPr>
            <w:r>
              <w:t>(iii)</w:t>
            </w:r>
            <w:r>
              <w:tab/>
            </w:r>
            <w:r w:rsidR="00105209" w:rsidRPr="00C97DF1">
              <w:t>Inte</w:t>
            </w:r>
            <w:r w:rsidR="00105209">
              <w:t>rviews strongly encouraged</w:t>
            </w:r>
            <w:r>
              <w:t>;</w:t>
            </w:r>
          </w:p>
          <w:p w:rsidR="009B477B" w:rsidRDefault="00D21A69" w:rsidP="00D21A69">
            <w:pPr>
              <w:pStyle w:val="ListParagraph"/>
              <w:ind w:left="0"/>
            </w:pPr>
            <w:r>
              <w:t>(iv)</w:t>
            </w:r>
            <w:r>
              <w:tab/>
            </w:r>
            <w:r w:rsidR="00105209" w:rsidRPr="00C97DF1">
              <w:t>Mandatory reference chec</w:t>
            </w:r>
            <w:r w:rsidR="00105209">
              <w:t>ks</w:t>
            </w:r>
            <w:r>
              <w:t>;  and</w:t>
            </w:r>
            <w:r w:rsidR="00105209">
              <w:t xml:space="preserve"> </w:t>
            </w:r>
          </w:p>
          <w:p w:rsidR="00105209" w:rsidRDefault="00D21A69" w:rsidP="00D21A69">
            <w:pPr>
              <w:pStyle w:val="ListParagraph"/>
              <w:ind w:left="0"/>
            </w:pPr>
            <w:r>
              <w:t>(v)</w:t>
            </w:r>
            <w:r>
              <w:tab/>
            </w:r>
            <w:r w:rsidR="00105209" w:rsidRPr="00C97DF1">
              <w:t xml:space="preserve">All notes of the reference checks as </w:t>
            </w:r>
            <w:r w:rsidR="00105209">
              <w:t xml:space="preserve">well as the reasoned statement </w:t>
            </w:r>
            <w:r w:rsidR="00105209" w:rsidRPr="00C97DF1">
              <w:t xml:space="preserve">retained to attach to the PR as part of the </w:t>
            </w:r>
            <w:r w:rsidR="00D10698">
              <w:t>ICS</w:t>
            </w:r>
            <w:r w:rsidR="00105209" w:rsidRPr="00C97DF1">
              <w:t xml:space="preserve"> file</w:t>
            </w:r>
            <w:r w:rsidR="009B477B">
              <w:t>.</w:t>
            </w:r>
          </w:p>
          <w:p w:rsidR="00536371" w:rsidRDefault="00536371" w:rsidP="00D21A69">
            <w:pPr>
              <w:pStyle w:val="ListParagraph"/>
              <w:ind w:left="0"/>
            </w:pPr>
          </w:p>
        </w:tc>
      </w:tr>
      <w:tr w:rsidR="00105209" w:rsidTr="000748E2">
        <w:tc>
          <w:tcPr>
            <w:tcW w:w="1812" w:type="dxa"/>
          </w:tcPr>
          <w:p w:rsidR="00105209" w:rsidRPr="00F7189F" w:rsidRDefault="000F706B" w:rsidP="00607C36">
            <w:r>
              <w:t>International Advertising (IA)</w:t>
            </w:r>
          </w:p>
        </w:tc>
        <w:tc>
          <w:tcPr>
            <w:tcW w:w="2496" w:type="dxa"/>
          </w:tcPr>
          <w:p w:rsidR="00105209" w:rsidRDefault="00105209" w:rsidP="00607C36">
            <w:r>
              <w:t xml:space="preserve">More than 100,000 </w:t>
            </w:r>
          </w:p>
        </w:tc>
        <w:tc>
          <w:tcPr>
            <w:tcW w:w="5155" w:type="dxa"/>
          </w:tcPr>
          <w:p w:rsidR="00105209" w:rsidRDefault="00D64665" w:rsidP="00D64665"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 w:rsidR="00105209">
              <w:t>Formal advertisement on a web site / magazine or similar medium</w:t>
            </w:r>
            <w:r>
              <w:t>;</w:t>
            </w:r>
            <w:r w:rsidR="00105209">
              <w:t xml:space="preserve"> </w:t>
            </w:r>
          </w:p>
          <w:p w:rsidR="00105209" w:rsidRDefault="00D64665" w:rsidP="00D64665">
            <w:r>
              <w:t>(ii)</w:t>
            </w:r>
            <w:r>
              <w:tab/>
            </w:r>
            <w:r w:rsidR="00105209">
              <w:t>Obligatory evaluation of the candidates</w:t>
            </w:r>
            <w:r>
              <w:t>;</w:t>
            </w:r>
            <w:r w:rsidR="00105209">
              <w:t xml:space="preserve"> </w:t>
            </w:r>
          </w:p>
          <w:p w:rsidR="00105209" w:rsidRDefault="00D64665" w:rsidP="00D64665">
            <w:r>
              <w:t>(iii)</w:t>
            </w:r>
            <w:r>
              <w:tab/>
            </w:r>
            <w:r w:rsidR="00105209">
              <w:t>Obligatory interviews of shortlisted candidates</w:t>
            </w:r>
            <w:r>
              <w:t>;  and</w:t>
            </w:r>
          </w:p>
          <w:p w:rsidR="009D30C3" w:rsidRDefault="00D64665" w:rsidP="00D64665">
            <w:r>
              <w:t>(iv)</w:t>
            </w:r>
            <w:r>
              <w:tab/>
            </w:r>
            <w:r w:rsidR="00105209">
              <w:t xml:space="preserve">Three references checked and the reasoned statement attached to the PR as part of the </w:t>
            </w:r>
            <w:r w:rsidR="00D10698">
              <w:t>ICS</w:t>
            </w:r>
            <w:r w:rsidR="00105209">
              <w:t xml:space="preserve"> file</w:t>
            </w:r>
            <w:r w:rsidR="009B477B">
              <w:t>.</w:t>
            </w:r>
          </w:p>
        </w:tc>
      </w:tr>
    </w:tbl>
    <w:p w:rsidR="007B00F9" w:rsidRPr="007B00F9" w:rsidRDefault="007B00F9" w:rsidP="00536371">
      <w:pPr>
        <w:pStyle w:val="Heading3"/>
      </w:pPr>
      <w:r w:rsidRPr="007B00F9">
        <w:t>Gender</w:t>
      </w:r>
    </w:p>
    <w:p w:rsidR="007B00F9" w:rsidRPr="00BF1FC7" w:rsidRDefault="007B00F9" w:rsidP="007B00F9">
      <w:pPr>
        <w:pStyle w:val="ListParagraph"/>
        <w:ind w:left="0"/>
        <w:rPr>
          <w:b/>
        </w:rPr>
      </w:pPr>
    </w:p>
    <w:p w:rsidR="007B00F9" w:rsidRDefault="00536371" w:rsidP="007B00F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C4180">
        <w:t>While selecting consultants, t</w:t>
      </w:r>
      <w:r w:rsidR="007B00F9">
        <w:t xml:space="preserve">he Secretariat follows the provisions of </w:t>
      </w:r>
      <w:r w:rsidR="007B00F9" w:rsidRPr="00EF04D7">
        <w:t>the WIPO Office Instruction on Policy on Gender Equality (Office Instruction No. 47/2014)</w:t>
      </w:r>
      <w:r w:rsidR="007B00F9">
        <w:t xml:space="preserve"> in order to ensure </w:t>
      </w:r>
      <w:r w:rsidR="007B00F9">
        <w:lastRenderedPageBreak/>
        <w:t>gender equality and the empowerment of women within its mandate and</w:t>
      </w:r>
      <w:r w:rsidR="00DF3FB3">
        <w:t xml:space="preserve"> in line with the commitment of</w:t>
      </w:r>
      <w:r w:rsidR="007B00F9">
        <w:t xml:space="preserve"> the U</w:t>
      </w:r>
      <w:r w:rsidR="00DF3FB3">
        <w:t>nited Nations</w:t>
      </w:r>
      <w:r w:rsidR="007B00F9">
        <w:rPr>
          <w:rStyle w:val="FootnoteReference"/>
        </w:rPr>
        <w:footnoteReference w:id="9"/>
      </w:r>
      <w:r w:rsidR="007B00F9">
        <w:t>.</w:t>
      </w:r>
    </w:p>
    <w:p w:rsidR="00E85A68" w:rsidRDefault="00E85A68" w:rsidP="007B00F9"/>
    <w:p w:rsidR="00D06E01" w:rsidRDefault="00D06E01" w:rsidP="00E85A68">
      <w:pPr>
        <w:pStyle w:val="Heading2"/>
        <w:ind w:left="567" w:hanging="567"/>
      </w:pPr>
      <w:r>
        <w:t>I</w:t>
      </w:r>
      <w:r w:rsidR="007B00F9">
        <w:t>ii.</w:t>
      </w:r>
      <w:r w:rsidR="007B00F9">
        <w:tab/>
        <w:t>specific praCT</w:t>
      </w:r>
      <w:r>
        <w:t xml:space="preserve">ices for THE selection of consultants for </w:t>
      </w:r>
      <w:r w:rsidR="000B12F2">
        <w:t>WIPO</w:t>
      </w:r>
      <w:r w:rsidR="003A23C3">
        <w:t>’</w:t>
      </w:r>
      <w:r w:rsidR="000B12F2">
        <w:t xml:space="preserve">s </w:t>
      </w:r>
      <w:r>
        <w:t>technical assistance</w:t>
      </w:r>
    </w:p>
    <w:p w:rsidR="00FB3531" w:rsidRDefault="00FB3531" w:rsidP="00FB3531"/>
    <w:p w:rsidR="004C3E66" w:rsidRDefault="003C5DAF" w:rsidP="003C5DAF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B477B" w:rsidRPr="00341F32">
        <w:t>C</w:t>
      </w:r>
      <w:r w:rsidR="000B330E" w:rsidRPr="00341F32">
        <w:t xml:space="preserve">onsidering </w:t>
      </w:r>
      <w:r w:rsidR="009B477B" w:rsidRPr="00341F32">
        <w:t>the different</w:t>
      </w:r>
      <w:r w:rsidR="000B330E" w:rsidRPr="00341F32">
        <w:t xml:space="preserve"> nature of the</w:t>
      </w:r>
      <w:r w:rsidR="009B477B" w:rsidRPr="00341F32">
        <w:t xml:space="preserve"> technical assistance</w:t>
      </w:r>
      <w:r w:rsidR="000B330E" w:rsidRPr="00341F32">
        <w:t xml:space="preserve"> </w:t>
      </w:r>
      <w:r w:rsidR="009B477B" w:rsidRPr="00341F32">
        <w:t xml:space="preserve">categories mentioned in the background section of this document, the Organization takes a </w:t>
      </w:r>
      <w:r w:rsidR="003A23C3">
        <w:t>“</w:t>
      </w:r>
      <w:r w:rsidR="009B477B" w:rsidRPr="00341F32">
        <w:t>no one size fits all</w:t>
      </w:r>
      <w:r w:rsidR="003A23C3">
        <w:t>”</w:t>
      </w:r>
      <w:r w:rsidR="009B477B" w:rsidRPr="00341F32">
        <w:t> </w:t>
      </w:r>
      <w:r w:rsidR="00B64DD1" w:rsidRPr="00341F32">
        <w:t xml:space="preserve">approach </w:t>
      </w:r>
      <w:r w:rsidR="009B477B" w:rsidRPr="00341F32">
        <w:t xml:space="preserve">to </w:t>
      </w:r>
      <w:r w:rsidR="00B64DD1" w:rsidRPr="00341F32">
        <w:t xml:space="preserve">address </w:t>
      </w:r>
      <w:r w:rsidR="009B477B" w:rsidRPr="00341F32">
        <w:t xml:space="preserve">the needs </w:t>
      </w:r>
      <w:r w:rsidR="00B64DD1" w:rsidRPr="00341F32">
        <w:t>of</w:t>
      </w:r>
      <w:r w:rsidR="009B477B" w:rsidRPr="00341F32">
        <w:t xml:space="preserve"> </w:t>
      </w:r>
      <w:r w:rsidR="00B64DD1" w:rsidRPr="00341F32">
        <w:t xml:space="preserve">each </w:t>
      </w:r>
      <w:r w:rsidR="009B477B" w:rsidRPr="00341F32">
        <w:t>specific activity</w:t>
      </w:r>
      <w:r w:rsidR="00B64DD1" w:rsidRPr="00341F32">
        <w:t xml:space="preserve"> it undertakes</w:t>
      </w:r>
      <w:r w:rsidR="009B477B" w:rsidRPr="00341F32">
        <w:t xml:space="preserve">.  </w:t>
      </w:r>
      <w:r w:rsidR="00F72C16">
        <w:t>The</w:t>
      </w:r>
      <w:r w:rsidR="009B477B" w:rsidRPr="00341F32">
        <w:t xml:space="preserve"> following steps </w:t>
      </w:r>
      <w:r w:rsidR="00A74905">
        <w:t xml:space="preserve">highlight </w:t>
      </w:r>
      <w:r w:rsidR="00F72C16">
        <w:t>certain common</w:t>
      </w:r>
      <w:r w:rsidR="009B477B" w:rsidRPr="00341F32">
        <w:t xml:space="preserve"> </w:t>
      </w:r>
      <w:r w:rsidR="00B64DD1" w:rsidRPr="00341F32">
        <w:t>WIPO</w:t>
      </w:r>
      <w:r w:rsidR="003A23C3">
        <w:t>’</w:t>
      </w:r>
      <w:r w:rsidR="00B64DD1" w:rsidRPr="00341F32">
        <w:t xml:space="preserve">s </w:t>
      </w:r>
      <w:r w:rsidR="009B477B" w:rsidRPr="00341F32">
        <w:t xml:space="preserve">practices </w:t>
      </w:r>
      <w:r w:rsidR="00B64DD1" w:rsidRPr="00341F32">
        <w:t xml:space="preserve">for </w:t>
      </w:r>
      <w:r w:rsidR="00937CDD">
        <w:t>hiring</w:t>
      </w:r>
      <w:r w:rsidR="00B64DD1" w:rsidRPr="00341F32">
        <w:t xml:space="preserve"> consultants </w:t>
      </w:r>
      <w:r w:rsidR="00341F32" w:rsidRPr="00341F32">
        <w:t>for technical assistance</w:t>
      </w:r>
      <w:r w:rsidR="00B64DD1" w:rsidRPr="00341F32">
        <w:t>:</w:t>
      </w:r>
    </w:p>
    <w:p w:rsidR="00B8312D" w:rsidRDefault="00B8312D" w:rsidP="00FB3531"/>
    <w:p w:rsidR="00C44695" w:rsidRPr="00A95157" w:rsidRDefault="000C59E4" w:rsidP="00A95157">
      <w:pPr>
        <w:rPr>
          <w:u w:val="single"/>
        </w:rPr>
      </w:pPr>
      <w:r w:rsidRPr="000C59E4">
        <w:t>A.</w:t>
      </w:r>
      <w:r w:rsidRPr="000C59E4">
        <w:tab/>
      </w:r>
      <w:r w:rsidR="00C44695" w:rsidRPr="00A95157">
        <w:rPr>
          <w:u w:val="single"/>
        </w:rPr>
        <w:t>Need</w:t>
      </w:r>
      <w:r>
        <w:rPr>
          <w:u w:val="single"/>
        </w:rPr>
        <w:t>s</w:t>
      </w:r>
      <w:r w:rsidR="00C44695" w:rsidRPr="00A95157">
        <w:rPr>
          <w:u w:val="single"/>
        </w:rPr>
        <w:t xml:space="preserve"> assessment</w:t>
      </w:r>
    </w:p>
    <w:p w:rsidR="00C44695" w:rsidRDefault="00C44695" w:rsidP="00FB3531"/>
    <w:p w:rsidR="00B64DD1" w:rsidRDefault="00A95157" w:rsidP="00A95157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394B80" w:rsidRPr="00394B80">
        <w:t>A process</w:t>
      </w:r>
      <w:r w:rsidR="00394B80">
        <w:t xml:space="preserve"> to define if there is a need to hire an external consultant for WIPO</w:t>
      </w:r>
      <w:r w:rsidR="003A23C3">
        <w:t>’</w:t>
      </w:r>
      <w:r w:rsidR="00394B80">
        <w:t>s technical assistance activities is the starting point of the selection procedure.  In this process, t</w:t>
      </w:r>
      <w:r w:rsidR="00490F5D">
        <w:t xml:space="preserve">he following criteria </w:t>
      </w:r>
      <w:r w:rsidR="00A74905">
        <w:t xml:space="preserve">are </w:t>
      </w:r>
      <w:r w:rsidR="00394B80">
        <w:t>appropriately considered and assessed</w:t>
      </w:r>
      <w:r w:rsidR="00FB3531">
        <w:t>:</w:t>
      </w:r>
      <w:r w:rsidR="00A26BE0">
        <w:t xml:space="preserve"> </w:t>
      </w:r>
    </w:p>
    <w:p w:rsidR="00B64DD1" w:rsidRDefault="00B64DD1" w:rsidP="008C101B">
      <w:pPr>
        <w:ind w:left="360"/>
      </w:pPr>
    </w:p>
    <w:p w:rsidR="00B64DD1" w:rsidRPr="008D00FF" w:rsidRDefault="009F459A" w:rsidP="00A95157">
      <w:pPr>
        <w:pStyle w:val="ListParagraph"/>
        <w:numPr>
          <w:ilvl w:val="0"/>
          <w:numId w:val="17"/>
        </w:numPr>
        <w:ind w:left="567" w:firstLine="0"/>
      </w:pPr>
      <w:r w:rsidRPr="008D00FF">
        <w:t xml:space="preserve">Non-availability of needed technical expertise at WIPO or significant added value over internal staff; </w:t>
      </w:r>
    </w:p>
    <w:p w:rsidR="00937CDD" w:rsidRDefault="00937CDD" w:rsidP="00A95157">
      <w:pPr>
        <w:pStyle w:val="ListParagraph"/>
        <w:numPr>
          <w:ilvl w:val="0"/>
          <w:numId w:val="17"/>
        </w:numPr>
        <w:ind w:left="567" w:firstLine="0"/>
      </w:pPr>
      <w:r>
        <w:t>Need</w:t>
      </w:r>
      <w:r w:rsidR="000C59E4">
        <w:t>s</w:t>
      </w:r>
      <w:r>
        <w:t xml:space="preserve"> to complement the knowledge and expertise of the internal team undertaking the activity;</w:t>
      </w:r>
    </w:p>
    <w:p w:rsidR="00A74905" w:rsidRDefault="00A74905" w:rsidP="00A95157">
      <w:pPr>
        <w:pStyle w:val="ListParagraph"/>
        <w:numPr>
          <w:ilvl w:val="0"/>
          <w:numId w:val="17"/>
        </w:numPr>
        <w:ind w:left="567" w:firstLine="0"/>
      </w:pPr>
      <w:r w:rsidRPr="009F459A">
        <w:t>Specific l</w:t>
      </w:r>
      <w:r w:rsidRPr="00FA584E">
        <w:t xml:space="preserve">ocal </w:t>
      </w:r>
      <w:r>
        <w:t xml:space="preserve">knowledge required by requestor; </w:t>
      </w:r>
    </w:p>
    <w:p w:rsidR="00A74905" w:rsidRDefault="00A74905" w:rsidP="00A95157">
      <w:pPr>
        <w:pStyle w:val="ListParagraph"/>
        <w:numPr>
          <w:ilvl w:val="0"/>
          <w:numId w:val="17"/>
        </w:numPr>
        <w:ind w:left="567" w:firstLine="0"/>
      </w:pPr>
      <w:r>
        <w:t xml:space="preserve">Specific language skills not covered by internal staff;  </w:t>
      </w:r>
    </w:p>
    <w:p w:rsidR="00B64DD1" w:rsidRPr="00B64DD1" w:rsidRDefault="009F459A" w:rsidP="00A95157">
      <w:pPr>
        <w:pStyle w:val="ListParagraph"/>
        <w:numPr>
          <w:ilvl w:val="0"/>
          <w:numId w:val="17"/>
        </w:numPr>
        <w:ind w:left="567" w:firstLine="0"/>
      </w:pPr>
      <w:r>
        <w:t>Time restraints</w:t>
      </w:r>
      <w:r w:rsidRPr="00FA584E">
        <w:t xml:space="preserve"> to deliver the </w:t>
      </w:r>
      <w:r>
        <w:t>assistance</w:t>
      </w:r>
      <w:r w:rsidR="00B8312D">
        <w:t xml:space="preserve"> vis-à-vis to the Division / S</w:t>
      </w:r>
      <w:r w:rsidRPr="009F459A">
        <w:t>ection workload;</w:t>
      </w:r>
    </w:p>
    <w:p w:rsidR="00B64DD1" w:rsidRDefault="009F459A" w:rsidP="00A95157">
      <w:pPr>
        <w:pStyle w:val="ListParagraph"/>
        <w:numPr>
          <w:ilvl w:val="0"/>
          <w:numId w:val="17"/>
        </w:numPr>
        <w:ind w:left="567" w:firstLine="0"/>
      </w:pPr>
      <w:r>
        <w:t>C</w:t>
      </w:r>
      <w:r w:rsidRPr="00DB5A87">
        <w:t>ost-efficiency considerations</w:t>
      </w:r>
      <w:r>
        <w:t xml:space="preserve">; </w:t>
      </w:r>
      <w:r w:rsidR="00D13541">
        <w:t xml:space="preserve"> and</w:t>
      </w:r>
    </w:p>
    <w:p w:rsidR="00B8312D" w:rsidRDefault="00F72C16" w:rsidP="00A95157">
      <w:pPr>
        <w:pStyle w:val="ListParagraph"/>
        <w:numPr>
          <w:ilvl w:val="0"/>
          <w:numId w:val="17"/>
        </w:numPr>
        <w:ind w:left="567" w:firstLine="0"/>
      </w:pPr>
      <w:r>
        <w:t>Need</w:t>
      </w:r>
      <w:r w:rsidR="00B8312D">
        <w:t xml:space="preserve"> for </w:t>
      </w:r>
      <w:r w:rsidR="00A74905">
        <w:t xml:space="preserve">independent </w:t>
      </w:r>
      <w:r w:rsidR="00B8312D">
        <w:t>evaluation</w:t>
      </w:r>
      <w:r>
        <w:t>s</w:t>
      </w:r>
      <w:r w:rsidR="00B8312D">
        <w:t xml:space="preserve"> (e.g. DA projects)</w:t>
      </w:r>
      <w:r w:rsidR="00937CDD">
        <w:t>.</w:t>
      </w:r>
    </w:p>
    <w:p w:rsidR="00FA42E3" w:rsidRDefault="00FA42E3" w:rsidP="00A95157">
      <w:pPr>
        <w:ind w:left="567"/>
      </w:pPr>
    </w:p>
    <w:p w:rsidR="00902A7F" w:rsidRDefault="00902A7F" w:rsidP="00A95157">
      <w:pPr>
        <w:ind w:left="567"/>
      </w:pPr>
    </w:p>
    <w:p w:rsidR="00C44695" w:rsidRPr="00390E2C" w:rsidRDefault="000C59E4" w:rsidP="00390E2C">
      <w:pPr>
        <w:rPr>
          <w:u w:val="single"/>
        </w:rPr>
      </w:pPr>
      <w:r w:rsidRPr="000C59E4">
        <w:t>B.</w:t>
      </w:r>
      <w:r w:rsidRPr="000C59E4">
        <w:tab/>
      </w:r>
      <w:r w:rsidR="009B477B" w:rsidRPr="00390E2C">
        <w:rPr>
          <w:u w:val="single"/>
        </w:rPr>
        <w:t xml:space="preserve">Preparation of the </w:t>
      </w:r>
      <w:r w:rsidR="00C44695" w:rsidRPr="00390E2C">
        <w:rPr>
          <w:u w:val="single"/>
        </w:rPr>
        <w:t>Terms of Reference</w:t>
      </w:r>
    </w:p>
    <w:p w:rsidR="00C44695" w:rsidRDefault="00C44695" w:rsidP="003A0218"/>
    <w:p w:rsidR="009F459A" w:rsidRDefault="00390E2C" w:rsidP="00390E2C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8312D">
        <w:t xml:space="preserve">Once the need for hiring an external consultant </w:t>
      </w:r>
      <w:r w:rsidR="003920D2">
        <w:t>for</w:t>
      </w:r>
      <w:r w:rsidR="00A22790">
        <w:t xml:space="preserve"> the delivery</w:t>
      </w:r>
      <w:r w:rsidR="003920D2">
        <w:t xml:space="preserve"> </w:t>
      </w:r>
      <w:r w:rsidR="00A22790">
        <w:t xml:space="preserve">of </w:t>
      </w:r>
      <w:r w:rsidR="003920D2">
        <w:t xml:space="preserve">technical assistance </w:t>
      </w:r>
      <w:r w:rsidR="00B8312D">
        <w:t>has been established</w:t>
      </w:r>
      <w:r w:rsidR="00394B80">
        <w:t>, the</w:t>
      </w:r>
      <w:r w:rsidR="00517B3F">
        <w:t xml:space="preserve"> concerned</w:t>
      </w:r>
      <w:r w:rsidR="00394B80">
        <w:t xml:space="preserve"> </w:t>
      </w:r>
      <w:r w:rsidR="00517B3F">
        <w:t xml:space="preserve">program </w:t>
      </w:r>
      <w:r w:rsidR="000B12F2">
        <w:t>manager prepares</w:t>
      </w:r>
      <w:r w:rsidR="00517B3F">
        <w:t xml:space="preserve"> the </w:t>
      </w:r>
      <w:r w:rsidR="00394B80">
        <w:t xml:space="preserve">Terms of Reference </w:t>
      </w:r>
      <w:r w:rsidR="0042061C">
        <w:t>(</w:t>
      </w:r>
      <w:proofErr w:type="spellStart"/>
      <w:r w:rsidR="0042061C">
        <w:t>ToR</w:t>
      </w:r>
      <w:proofErr w:type="spellEnd"/>
      <w:r w:rsidR="00394B80">
        <w:t>)</w:t>
      </w:r>
      <w:r w:rsidR="000B12F2">
        <w:t>.  Th</w:t>
      </w:r>
      <w:r w:rsidR="00B8312D">
        <w:t>e</w:t>
      </w:r>
      <w:r w:rsidR="000B12F2">
        <w:t xml:space="preserve"> </w:t>
      </w:r>
      <w:proofErr w:type="spellStart"/>
      <w:r w:rsidR="000B12F2">
        <w:t>ToR</w:t>
      </w:r>
      <w:proofErr w:type="spellEnd"/>
      <w:r w:rsidR="00517B3F">
        <w:t xml:space="preserve"> </w:t>
      </w:r>
      <w:proofErr w:type="gramStart"/>
      <w:r w:rsidR="005558F9" w:rsidRPr="008F513F">
        <w:t>define</w:t>
      </w:r>
      <w:proofErr w:type="gramEnd"/>
      <w:r w:rsidR="005558F9" w:rsidRPr="008F513F">
        <w:t xml:space="preserve"> the purpose and structure of </w:t>
      </w:r>
      <w:r w:rsidR="00517B3F">
        <w:t>the activity</w:t>
      </w:r>
      <w:r w:rsidR="000B12F2">
        <w:t xml:space="preserve"> and are drafted taking into </w:t>
      </w:r>
      <w:r w:rsidR="00A22790">
        <w:t xml:space="preserve">account </w:t>
      </w:r>
      <w:r w:rsidR="000B12F2">
        <w:t>the criteria identified during the need assessment, as described above.  The following elements are generally included therein</w:t>
      </w:r>
      <w:r w:rsidR="001E39B7">
        <w:t xml:space="preserve">, </w:t>
      </w:r>
      <w:r w:rsidR="00B8312D">
        <w:t>comprising those emanating from</w:t>
      </w:r>
      <w:r w:rsidR="001E39B7">
        <w:t xml:space="preserve"> the </w:t>
      </w:r>
      <w:r w:rsidR="00F72C16">
        <w:t>above-mentioned</w:t>
      </w:r>
      <w:r w:rsidR="001E39B7">
        <w:t xml:space="preserve"> formal </w:t>
      </w:r>
      <w:r w:rsidR="00F72C16">
        <w:t>p</w:t>
      </w:r>
      <w:r w:rsidR="001E39B7">
        <w:t>rocedures</w:t>
      </w:r>
      <w:r w:rsidR="000B12F2">
        <w:t>:</w:t>
      </w:r>
      <w:r w:rsidR="00490F5D">
        <w:t xml:space="preserve"> </w:t>
      </w:r>
    </w:p>
    <w:p w:rsidR="009F459A" w:rsidRDefault="009F459A" w:rsidP="009F459A">
      <w:pPr>
        <w:ind w:left="360"/>
      </w:pPr>
    </w:p>
    <w:p w:rsidR="009F459A" w:rsidRDefault="00052617" w:rsidP="00052617">
      <w:pPr>
        <w:ind w:left="567"/>
      </w:pPr>
      <w:r>
        <w:t>(a)</w:t>
      </w:r>
      <w:r>
        <w:tab/>
      </w:r>
      <w:r w:rsidR="001E39B7" w:rsidRPr="008C101B">
        <w:t xml:space="preserve">Scope of the work; </w:t>
      </w:r>
    </w:p>
    <w:p w:rsidR="009F459A" w:rsidRDefault="00052617" w:rsidP="00052617">
      <w:pPr>
        <w:pStyle w:val="ListParagraph"/>
        <w:ind w:left="567"/>
      </w:pPr>
      <w:r>
        <w:t>(b)</w:t>
      </w:r>
      <w:r>
        <w:tab/>
      </w:r>
      <w:r w:rsidR="001E39B7" w:rsidRPr="008C101B">
        <w:t xml:space="preserve">Intended objectives of the consultancy; </w:t>
      </w:r>
    </w:p>
    <w:p w:rsidR="009F459A" w:rsidRDefault="00052617" w:rsidP="00052617">
      <w:pPr>
        <w:pStyle w:val="ListParagraph"/>
        <w:ind w:left="567"/>
      </w:pPr>
      <w:r>
        <w:t>(c)</w:t>
      </w:r>
      <w:r>
        <w:tab/>
      </w:r>
      <w:r w:rsidR="001E39B7" w:rsidRPr="008C101B">
        <w:t>Specific task and duties to be undertaken by the consul</w:t>
      </w:r>
      <w:r w:rsidR="001E39B7">
        <w:t>tant to reach those objectives;</w:t>
      </w:r>
    </w:p>
    <w:p w:rsidR="009F459A" w:rsidRDefault="00052617" w:rsidP="00052617">
      <w:pPr>
        <w:pStyle w:val="ListParagraph"/>
        <w:ind w:left="567"/>
      </w:pPr>
      <w:r>
        <w:t>(d)</w:t>
      </w:r>
      <w:r>
        <w:tab/>
      </w:r>
      <w:r w:rsidR="001E39B7" w:rsidRPr="008C101B">
        <w:t xml:space="preserve">Expected outputs (deliverables) and outcomes; </w:t>
      </w:r>
    </w:p>
    <w:p w:rsidR="001E39B7" w:rsidRDefault="00052617" w:rsidP="00052617">
      <w:pPr>
        <w:pStyle w:val="ListParagraph"/>
        <w:ind w:left="567"/>
      </w:pPr>
      <w:r>
        <w:t>(</w:t>
      </w:r>
      <w:proofErr w:type="gramStart"/>
      <w:r>
        <w:t>e )</w:t>
      </w:r>
      <w:proofErr w:type="gramEnd"/>
      <w:r>
        <w:tab/>
      </w:r>
      <w:r w:rsidR="001E39B7" w:rsidRPr="008C101B">
        <w:t xml:space="preserve">Expected impact of the work undertaken; </w:t>
      </w:r>
    </w:p>
    <w:p w:rsidR="001E39B7" w:rsidRDefault="00052617" w:rsidP="00052617">
      <w:pPr>
        <w:pStyle w:val="ListParagraph"/>
        <w:ind w:left="567"/>
      </w:pPr>
      <w:r>
        <w:t>(f)</w:t>
      </w:r>
      <w:r>
        <w:tab/>
      </w:r>
      <w:r w:rsidR="001E39B7" w:rsidRPr="008C101B">
        <w:t xml:space="preserve">Timeline and duration; </w:t>
      </w:r>
    </w:p>
    <w:p w:rsidR="001E39B7" w:rsidRDefault="00052617" w:rsidP="00052617">
      <w:pPr>
        <w:pStyle w:val="ListParagraph"/>
        <w:ind w:left="567"/>
      </w:pPr>
      <w:r>
        <w:t>(g)</w:t>
      </w:r>
      <w:r>
        <w:tab/>
      </w:r>
      <w:r w:rsidR="001E39B7" w:rsidRPr="008C101B">
        <w:t xml:space="preserve">Budget devoted to the assignment; </w:t>
      </w:r>
    </w:p>
    <w:p w:rsidR="001E39B7" w:rsidRDefault="001F2B00" w:rsidP="001F2B00">
      <w:pPr>
        <w:pStyle w:val="ListParagraph"/>
        <w:tabs>
          <w:tab w:val="left" w:pos="567"/>
        </w:tabs>
        <w:ind w:left="567"/>
      </w:pPr>
      <w:r>
        <w:t>(h)</w:t>
      </w:r>
      <w:r>
        <w:tab/>
      </w:r>
      <w:r w:rsidR="001E39B7" w:rsidRPr="008C101B">
        <w:t xml:space="preserve">Essential and desirable qualifications of the expert, including previous experience in the field at a national and international level, local knowledge and language skills as referred above; </w:t>
      </w:r>
    </w:p>
    <w:p w:rsidR="001E39B7" w:rsidRDefault="001F2B00" w:rsidP="001F2B00">
      <w:pPr>
        <w:pStyle w:val="ListParagraph"/>
        <w:tabs>
          <w:tab w:val="left" w:pos="567"/>
        </w:tabs>
        <w:ind w:left="567"/>
      </w:pPr>
      <w:r w:rsidRPr="008D00FF">
        <w:t>(</w:t>
      </w:r>
      <w:proofErr w:type="spellStart"/>
      <w:r w:rsidRPr="008D00FF">
        <w:t>i</w:t>
      </w:r>
      <w:proofErr w:type="spellEnd"/>
      <w:r w:rsidRPr="008D00FF">
        <w:t>)</w:t>
      </w:r>
      <w:r w:rsidRPr="008D00FF">
        <w:tab/>
      </w:r>
      <w:r w:rsidR="001E39B7" w:rsidRPr="008D00FF">
        <w:t>Specific expertise needed for a particular assignment (if applicable);</w:t>
      </w:r>
      <w:r w:rsidR="001E39B7" w:rsidRPr="008C101B">
        <w:t xml:space="preserve"> </w:t>
      </w:r>
    </w:p>
    <w:p w:rsidR="001E39B7" w:rsidRDefault="001F2B00" w:rsidP="001F2B00">
      <w:pPr>
        <w:pStyle w:val="ListParagraph"/>
        <w:tabs>
          <w:tab w:val="left" w:pos="567"/>
        </w:tabs>
        <w:ind w:left="567"/>
      </w:pPr>
      <w:r>
        <w:t>(j)</w:t>
      </w:r>
      <w:r>
        <w:tab/>
      </w:r>
      <w:r w:rsidR="001E39B7" w:rsidRPr="008C101B">
        <w:t xml:space="preserve">Experience of the consultant in similar assignments; </w:t>
      </w:r>
    </w:p>
    <w:p w:rsidR="001E39B7" w:rsidRDefault="001F2B00" w:rsidP="001F2B00">
      <w:pPr>
        <w:pStyle w:val="ListParagraph"/>
        <w:tabs>
          <w:tab w:val="left" w:pos="567"/>
        </w:tabs>
        <w:ind w:left="567"/>
      </w:pPr>
      <w:r>
        <w:lastRenderedPageBreak/>
        <w:t>(k)</w:t>
      </w:r>
      <w:r>
        <w:tab/>
      </w:r>
      <w:r w:rsidR="001E39B7" w:rsidRPr="008C101B">
        <w:t xml:space="preserve">Place of the assignment; </w:t>
      </w:r>
    </w:p>
    <w:p w:rsidR="001E39B7" w:rsidRDefault="001F2B00" w:rsidP="001F2B00">
      <w:pPr>
        <w:pStyle w:val="ListParagraph"/>
        <w:tabs>
          <w:tab w:val="left" w:pos="567"/>
        </w:tabs>
        <w:ind w:left="567"/>
      </w:pPr>
      <w:r>
        <w:t>(l)</w:t>
      </w:r>
      <w:r>
        <w:tab/>
      </w:r>
      <w:r w:rsidR="001E39B7">
        <w:t>N</w:t>
      </w:r>
      <w:r w:rsidR="001E39B7" w:rsidRPr="008C101B">
        <w:t xml:space="preserve">umber of field missions (if applicable); </w:t>
      </w:r>
    </w:p>
    <w:p w:rsidR="001E39B7" w:rsidRDefault="001F2B00" w:rsidP="001F2B00">
      <w:pPr>
        <w:pStyle w:val="ListParagraph"/>
        <w:tabs>
          <w:tab w:val="left" w:pos="567"/>
        </w:tabs>
        <w:ind w:left="567"/>
      </w:pPr>
      <w:r>
        <w:t>(m)</w:t>
      </w:r>
      <w:r>
        <w:tab/>
      </w:r>
      <w:r w:rsidR="001E39B7" w:rsidRPr="008C101B">
        <w:t>P</w:t>
      </w:r>
      <w:r w:rsidR="001E39B7" w:rsidRPr="00DB5A87">
        <w:t xml:space="preserve">articular </w:t>
      </w:r>
      <w:r w:rsidR="001E39B7">
        <w:t>demands</w:t>
      </w:r>
      <w:r w:rsidR="001E39B7" w:rsidRPr="00DB5A87">
        <w:t xml:space="preserve"> from</w:t>
      </w:r>
      <w:r w:rsidR="001E39B7">
        <w:t xml:space="preserve"> requestors; </w:t>
      </w:r>
    </w:p>
    <w:p w:rsidR="008C101B" w:rsidRDefault="001F2B00" w:rsidP="001F2B00">
      <w:pPr>
        <w:pStyle w:val="ListParagraph"/>
        <w:tabs>
          <w:tab w:val="left" w:pos="567"/>
        </w:tabs>
        <w:ind w:left="567"/>
      </w:pPr>
      <w:r>
        <w:t>(n)</w:t>
      </w:r>
      <w:r>
        <w:tab/>
      </w:r>
      <w:r w:rsidR="001E39B7" w:rsidRPr="008C101B">
        <w:t>Specificities in relation to the qual</w:t>
      </w:r>
      <w:r w:rsidR="00A74905">
        <w:t>ity, reporting and monitoring</w:t>
      </w:r>
      <w:proofErr w:type="gramStart"/>
      <w:r w:rsidR="00A74905">
        <w:t>;</w:t>
      </w:r>
      <w:r w:rsidR="00DD4077">
        <w:t xml:space="preserve">  and</w:t>
      </w:r>
      <w:proofErr w:type="gramEnd"/>
    </w:p>
    <w:p w:rsidR="00A74905" w:rsidRDefault="001F2B00" w:rsidP="001F2B00">
      <w:pPr>
        <w:pStyle w:val="ListParagraph"/>
        <w:tabs>
          <w:tab w:val="left" w:pos="567"/>
        </w:tabs>
        <w:ind w:left="567"/>
      </w:pPr>
      <w:r>
        <w:t>(o)</w:t>
      </w:r>
      <w:r>
        <w:tab/>
      </w:r>
      <w:r w:rsidR="00A74905">
        <w:t xml:space="preserve">Specificities related to </w:t>
      </w:r>
      <w:proofErr w:type="gramStart"/>
      <w:r w:rsidR="00A74905">
        <w:t>peer</w:t>
      </w:r>
      <w:proofErr w:type="gramEnd"/>
      <w:r w:rsidR="00A74905">
        <w:t xml:space="preserve"> reviews.</w:t>
      </w:r>
    </w:p>
    <w:p w:rsidR="001E39B7" w:rsidRDefault="001E39B7" w:rsidP="001F2B00">
      <w:pPr>
        <w:pStyle w:val="ListParagraph"/>
        <w:ind w:leftChars="515" w:left="1134" w:hanging="1"/>
      </w:pPr>
    </w:p>
    <w:p w:rsidR="00911839" w:rsidRDefault="00911839" w:rsidP="001F2B00"/>
    <w:p w:rsidR="009B477B" w:rsidRPr="001F2B00" w:rsidRDefault="00B14FC0" w:rsidP="001F2B00">
      <w:pPr>
        <w:rPr>
          <w:u w:val="single"/>
        </w:rPr>
      </w:pPr>
      <w:r w:rsidRPr="00B14FC0">
        <w:t>C.</w:t>
      </w:r>
      <w:r w:rsidRPr="00B14FC0">
        <w:tab/>
      </w:r>
      <w:r w:rsidR="009B477B" w:rsidRPr="001F2B00">
        <w:rPr>
          <w:u w:val="single"/>
        </w:rPr>
        <w:t>Identification of candidates</w:t>
      </w:r>
    </w:p>
    <w:p w:rsidR="008C101B" w:rsidRDefault="008C101B" w:rsidP="008C101B"/>
    <w:p w:rsidR="001E39B7" w:rsidRDefault="001F2B00" w:rsidP="00D82400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3A65F7">
        <w:t xml:space="preserve">The main source for the identification of potential candidates is the </w:t>
      </w:r>
      <w:r w:rsidR="003A65F7" w:rsidRPr="00DB5A87">
        <w:t xml:space="preserve">Roster of Consultants available at </w:t>
      </w:r>
      <w:hyperlink r:id="rId10" w:history="1">
        <w:r w:rsidR="003A65F7" w:rsidRPr="00FF0706">
          <w:rPr>
            <w:rStyle w:val="Hyperlink"/>
            <w:color w:val="auto"/>
          </w:rPr>
          <w:t>http://www.wipo.int/roc/en/index.jsp</w:t>
        </w:r>
      </w:hyperlink>
      <w:r w:rsidR="001E39B7">
        <w:rPr>
          <w:rStyle w:val="Hyperlink"/>
          <w:color w:val="auto"/>
          <w:u w:val="none"/>
        </w:rPr>
        <w:t xml:space="preserve"> established in accordance with DA Recommendation 6.</w:t>
      </w:r>
      <w:r w:rsidR="003A65F7">
        <w:rPr>
          <w:rStyle w:val="Hyperlink"/>
          <w:color w:val="auto"/>
          <w:u w:val="none"/>
        </w:rPr>
        <w:t xml:space="preserve">  </w:t>
      </w:r>
      <w:r w:rsidR="001E39B7">
        <w:rPr>
          <w:rStyle w:val="Hyperlink"/>
          <w:color w:val="auto"/>
          <w:u w:val="none"/>
        </w:rPr>
        <w:t xml:space="preserve">The roster </w:t>
      </w:r>
      <w:r w:rsidR="001E39B7" w:rsidRPr="00C41906">
        <w:t>integrates information and data on consultants</w:t>
      </w:r>
      <w:r w:rsidR="000F706B">
        <w:t xml:space="preserve"> </w:t>
      </w:r>
      <w:r w:rsidR="001E39B7" w:rsidRPr="00C41906">
        <w:t>/</w:t>
      </w:r>
      <w:r w:rsidR="000F706B">
        <w:t xml:space="preserve"> </w:t>
      </w:r>
      <w:r w:rsidR="001E39B7" w:rsidRPr="00C41906">
        <w:t>experts hired by the Organization to undertake specific t</w:t>
      </w:r>
      <w:r w:rsidR="001E39B7">
        <w:t xml:space="preserve">echnical assistance activities.  Other sources used for identifying potential candidates are the following: </w:t>
      </w:r>
      <w:r w:rsidR="00D82400">
        <w:t xml:space="preserve"> </w:t>
      </w:r>
      <w:r w:rsidR="003A65F7">
        <w:rPr>
          <w:rStyle w:val="Hyperlink"/>
          <w:color w:val="auto"/>
          <w:u w:val="none"/>
        </w:rPr>
        <w:t>(</w:t>
      </w:r>
      <w:proofErr w:type="spellStart"/>
      <w:r w:rsidR="003A65F7">
        <w:rPr>
          <w:rStyle w:val="Hyperlink"/>
          <w:color w:val="auto"/>
          <w:u w:val="none"/>
        </w:rPr>
        <w:t>i</w:t>
      </w:r>
      <w:proofErr w:type="spellEnd"/>
      <w:r w:rsidR="003A65F7">
        <w:rPr>
          <w:rStyle w:val="Hyperlink"/>
          <w:color w:val="auto"/>
          <w:u w:val="none"/>
        </w:rPr>
        <w:t xml:space="preserve">) expressed recommendations of the requestor; </w:t>
      </w:r>
      <w:r w:rsidR="00D82400">
        <w:rPr>
          <w:rStyle w:val="Hyperlink"/>
          <w:color w:val="auto"/>
          <w:u w:val="none"/>
        </w:rPr>
        <w:t xml:space="preserve"> </w:t>
      </w:r>
      <w:r w:rsidR="003A65F7">
        <w:rPr>
          <w:rStyle w:val="Hyperlink"/>
          <w:color w:val="auto"/>
          <w:u w:val="none"/>
        </w:rPr>
        <w:t>(ii) existing network of consultants who h</w:t>
      </w:r>
      <w:r w:rsidR="003920D2">
        <w:rPr>
          <w:rStyle w:val="Hyperlink"/>
          <w:color w:val="auto"/>
          <w:u w:val="none"/>
        </w:rPr>
        <w:t>ave worked with the recruiting D</w:t>
      </w:r>
      <w:r w:rsidR="003A65F7">
        <w:rPr>
          <w:rStyle w:val="Hyperlink"/>
          <w:color w:val="auto"/>
          <w:u w:val="none"/>
        </w:rPr>
        <w:t xml:space="preserve">ivision / </w:t>
      </w:r>
      <w:r w:rsidR="003920D2">
        <w:rPr>
          <w:rStyle w:val="Hyperlink"/>
          <w:color w:val="auto"/>
          <w:u w:val="none"/>
        </w:rPr>
        <w:t>S</w:t>
      </w:r>
      <w:r w:rsidR="003A65F7">
        <w:rPr>
          <w:rStyle w:val="Hyperlink"/>
          <w:color w:val="auto"/>
          <w:u w:val="none"/>
        </w:rPr>
        <w:t>ector or in other WIPO divisions / sectors;</w:t>
      </w:r>
      <w:r w:rsidR="003A65F7">
        <w:t xml:space="preserve"> </w:t>
      </w:r>
      <w:r w:rsidR="00D82400">
        <w:t xml:space="preserve"> </w:t>
      </w:r>
      <w:r w:rsidR="003A65F7">
        <w:t>(i</w:t>
      </w:r>
      <w:r w:rsidR="00A74905">
        <w:t>i</w:t>
      </w:r>
      <w:r w:rsidR="001E39B7">
        <w:t>i)</w:t>
      </w:r>
      <w:r w:rsidR="003A65F7">
        <w:t xml:space="preserve"> </w:t>
      </w:r>
      <w:r w:rsidR="003A65F7">
        <w:rPr>
          <w:szCs w:val="22"/>
        </w:rPr>
        <w:t>s</w:t>
      </w:r>
      <w:r w:rsidR="003A65F7" w:rsidRPr="00DB5A87">
        <w:rPr>
          <w:szCs w:val="22"/>
        </w:rPr>
        <w:t xml:space="preserve">uggestions from </w:t>
      </w:r>
      <w:r w:rsidR="001E39B7">
        <w:rPr>
          <w:szCs w:val="22"/>
        </w:rPr>
        <w:t>previous</w:t>
      </w:r>
      <w:r w:rsidR="003A65F7" w:rsidRPr="00DB5A87">
        <w:rPr>
          <w:szCs w:val="22"/>
        </w:rPr>
        <w:t xml:space="preserve"> consultants</w:t>
      </w:r>
      <w:r w:rsidR="00341F32">
        <w:rPr>
          <w:szCs w:val="22"/>
        </w:rPr>
        <w:t xml:space="preserve">; </w:t>
      </w:r>
      <w:r w:rsidR="00341F32">
        <w:rPr>
          <w:rStyle w:val="Hyperlink"/>
          <w:color w:val="auto"/>
          <w:u w:val="none"/>
        </w:rPr>
        <w:t>(i</w:t>
      </w:r>
      <w:r w:rsidR="00A74905">
        <w:rPr>
          <w:rStyle w:val="Hyperlink"/>
          <w:color w:val="auto"/>
          <w:u w:val="none"/>
        </w:rPr>
        <w:t>v</w:t>
      </w:r>
      <w:r w:rsidR="00341F32">
        <w:rPr>
          <w:rStyle w:val="Hyperlink"/>
          <w:color w:val="auto"/>
          <w:u w:val="none"/>
        </w:rPr>
        <w:t>)</w:t>
      </w:r>
      <w:r w:rsidR="00D82400">
        <w:rPr>
          <w:rStyle w:val="Hyperlink"/>
          <w:color w:val="auto"/>
          <w:u w:val="none"/>
        </w:rPr>
        <w:t> </w:t>
      </w:r>
      <w:r w:rsidR="00A74905">
        <w:rPr>
          <w:rStyle w:val="Hyperlink"/>
          <w:color w:val="auto"/>
          <w:u w:val="none"/>
        </w:rPr>
        <w:t xml:space="preserve">search among the specialized experts from the academia; </w:t>
      </w:r>
      <w:r w:rsidR="00937CDD">
        <w:rPr>
          <w:rStyle w:val="Hyperlink"/>
          <w:color w:val="auto"/>
          <w:u w:val="none"/>
        </w:rPr>
        <w:t xml:space="preserve"> </w:t>
      </w:r>
      <w:r w:rsidR="00D82400">
        <w:rPr>
          <w:rStyle w:val="Hyperlink"/>
          <w:color w:val="auto"/>
          <w:u w:val="none"/>
        </w:rPr>
        <w:t xml:space="preserve">and </w:t>
      </w:r>
      <w:r w:rsidR="00A74905">
        <w:rPr>
          <w:rStyle w:val="Hyperlink"/>
          <w:color w:val="auto"/>
          <w:u w:val="none"/>
        </w:rPr>
        <w:t xml:space="preserve">(v) </w:t>
      </w:r>
      <w:r w:rsidR="00341F32">
        <w:rPr>
          <w:rStyle w:val="Hyperlink"/>
          <w:color w:val="auto"/>
          <w:u w:val="none"/>
        </w:rPr>
        <w:t xml:space="preserve">recommendations from other </w:t>
      </w:r>
      <w:r w:rsidR="00341F32" w:rsidRPr="00DB5A87">
        <w:t xml:space="preserve">UN </w:t>
      </w:r>
      <w:r w:rsidR="00341F32">
        <w:t>Specialized Agencies</w:t>
      </w:r>
      <w:r w:rsidR="003A65F7">
        <w:rPr>
          <w:szCs w:val="22"/>
        </w:rPr>
        <w:t xml:space="preserve">.  </w:t>
      </w:r>
      <w:r w:rsidR="00341F32">
        <w:rPr>
          <w:szCs w:val="22"/>
        </w:rPr>
        <w:t>To facilitate this process,</w:t>
      </w:r>
      <w:r w:rsidR="0042061C">
        <w:rPr>
          <w:szCs w:val="22"/>
        </w:rPr>
        <w:t xml:space="preserve"> a</w:t>
      </w:r>
      <w:r w:rsidR="003A65F7">
        <w:t xml:space="preserve"> number of divisions maintain an informal pool of high performing consultants. </w:t>
      </w:r>
      <w:r w:rsidR="003920D2">
        <w:t xml:space="preserve"> As a matter of practice, WIPO seeks </w:t>
      </w:r>
      <w:r w:rsidR="00881F44">
        <w:t xml:space="preserve">national </w:t>
      </w:r>
      <w:r w:rsidR="003920D2">
        <w:t xml:space="preserve">candidates </w:t>
      </w:r>
      <w:r w:rsidR="00881F44">
        <w:t>for delivering technical assistance in a given country.  When no candidate fills all the requirements at a national level</w:t>
      </w:r>
      <w:r w:rsidR="003920D2">
        <w:t xml:space="preserve">, </w:t>
      </w:r>
      <w:r w:rsidR="00881F44">
        <w:t xml:space="preserve">it attempts to seek candidates at a </w:t>
      </w:r>
      <w:r w:rsidR="003920D2">
        <w:t>regi</w:t>
      </w:r>
      <w:r w:rsidR="00881F44">
        <w:t xml:space="preserve">onal level or, in their absence, </w:t>
      </w:r>
      <w:r w:rsidR="00A74905">
        <w:t xml:space="preserve">among candidates from </w:t>
      </w:r>
      <w:r w:rsidR="003920D2">
        <w:t>developing countries</w:t>
      </w:r>
      <w:r w:rsidR="00937CDD">
        <w:t>.</w:t>
      </w:r>
    </w:p>
    <w:p w:rsidR="001E39B7" w:rsidRDefault="001E39B7" w:rsidP="001F2B00"/>
    <w:p w:rsidR="003273BA" w:rsidRDefault="001F2B00" w:rsidP="001F2B00">
      <w:r w:rsidRPr="008D00FF">
        <w:fldChar w:fldCharType="begin"/>
      </w:r>
      <w:r w:rsidRPr="008D00FF">
        <w:instrText xml:space="preserve"> AUTONUM  </w:instrText>
      </w:r>
      <w:r w:rsidRPr="008D00FF">
        <w:fldChar w:fldCharType="end"/>
      </w:r>
      <w:r w:rsidRPr="008D00FF">
        <w:tab/>
      </w:r>
      <w:r w:rsidR="0042061C" w:rsidRPr="008D00FF">
        <w:t xml:space="preserve">Moreover, for technical assistance activities to be undertaken in the context of the Accessible Books Consortium, </w:t>
      </w:r>
      <w:r w:rsidR="003273BA" w:rsidRPr="008D00FF">
        <w:t>as expert trainers in accessible book production are limited, an international procurement process was conducted by the ABC Secretariat and the WIPO</w:t>
      </w:r>
      <w:r w:rsidR="003A23C3" w:rsidRPr="008D00FF">
        <w:t>’</w:t>
      </w:r>
      <w:r w:rsidR="003273BA" w:rsidRPr="008D00FF">
        <w:t xml:space="preserve">s Procurement Section in 2017 to identify companies that could provide training and technical assistance in accessible book production techniques.  Likewise, </w:t>
      </w:r>
      <w:r w:rsidR="0042061C" w:rsidRPr="008D00FF">
        <w:t xml:space="preserve">recommendations from experts in accessibility standards are </w:t>
      </w:r>
      <w:r w:rsidR="003273BA" w:rsidRPr="008D00FF">
        <w:t>particularly considered.</w:t>
      </w:r>
      <w:r w:rsidR="003273BA">
        <w:t xml:space="preserve"> </w:t>
      </w:r>
    </w:p>
    <w:p w:rsidR="00911839" w:rsidRDefault="00911839" w:rsidP="001F2B00">
      <w:pPr>
        <w:rPr>
          <w:u w:val="single"/>
        </w:rPr>
      </w:pPr>
    </w:p>
    <w:p w:rsidR="00911839" w:rsidRDefault="00911839" w:rsidP="001F2B00">
      <w:pPr>
        <w:rPr>
          <w:u w:val="single"/>
        </w:rPr>
      </w:pPr>
    </w:p>
    <w:p w:rsidR="00C44695" w:rsidRPr="001F2B00" w:rsidRDefault="00B14FC0" w:rsidP="001F2B00">
      <w:pPr>
        <w:rPr>
          <w:u w:val="single"/>
        </w:rPr>
      </w:pPr>
      <w:r w:rsidRPr="00B14FC0">
        <w:t>D.</w:t>
      </w:r>
      <w:r w:rsidRPr="00B14FC0">
        <w:tab/>
      </w:r>
      <w:r w:rsidR="00C44695" w:rsidRPr="001F2B00">
        <w:rPr>
          <w:u w:val="single"/>
        </w:rPr>
        <w:t>Selection Proce</w:t>
      </w:r>
      <w:r w:rsidR="000B12F2" w:rsidRPr="001F2B00">
        <w:rPr>
          <w:u w:val="single"/>
        </w:rPr>
        <w:t>ss</w:t>
      </w:r>
    </w:p>
    <w:p w:rsidR="00C44695" w:rsidRDefault="00C44695" w:rsidP="007E6FF3"/>
    <w:p w:rsidR="006C6850" w:rsidRDefault="00D82400" w:rsidP="00D82400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3F030C">
        <w:t>Besides</w:t>
      </w:r>
      <w:r w:rsidR="00FF4250">
        <w:t xml:space="preserve"> t</w:t>
      </w:r>
      <w:r w:rsidR="0028539A">
        <w:t xml:space="preserve">he </w:t>
      </w:r>
      <w:r w:rsidR="00C6131F">
        <w:t>formal</w:t>
      </w:r>
      <w:r w:rsidR="0028539A">
        <w:t xml:space="preserve"> procedure</w:t>
      </w:r>
      <w:r w:rsidR="00C6131F">
        <w:t>s</w:t>
      </w:r>
      <w:r w:rsidR="0028539A">
        <w:t xml:space="preserve"> described above</w:t>
      </w:r>
      <w:r w:rsidR="00FF4250">
        <w:t xml:space="preserve">, </w:t>
      </w:r>
      <w:r w:rsidR="006C6850">
        <w:t>steps</w:t>
      </w:r>
      <w:r w:rsidR="0028539A" w:rsidRPr="00DB5A87">
        <w:t xml:space="preserve"> </w:t>
      </w:r>
      <w:r w:rsidR="00FF4250">
        <w:t xml:space="preserve">to identify the consultant </w:t>
      </w:r>
      <w:r w:rsidR="0028539A" w:rsidRPr="00DB5A87">
        <w:t xml:space="preserve">vary depending </w:t>
      </w:r>
      <w:r w:rsidR="0028539A" w:rsidRPr="00266902">
        <w:t xml:space="preserve">on the </w:t>
      </w:r>
      <w:r w:rsidR="00266902" w:rsidRPr="00266902">
        <w:t xml:space="preserve">identified needs by </w:t>
      </w:r>
      <w:r w:rsidR="00266902">
        <w:t>WIPO</w:t>
      </w:r>
      <w:r w:rsidR="00266902" w:rsidRPr="00266902">
        <w:t xml:space="preserve"> and </w:t>
      </w:r>
      <w:r w:rsidR="00266902">
        <w:t xml:space="preserve">the </w:t>
      </w:r>
      <w:r w:rsidR="0028539A" w:rsidRPr="00266902">
        <w:t xml:space="preserve">specific requirements of the </w:t>
      </w:r>
      <w:r w:rsidR="00871D5E" w:rsidRPr="00266902">
        <w:t>requestor</w:t>
      </w:r>
      <w:r w:rsidR="006C6850" w:rsidRPr="00266902">
        <w:t xml:space="preserve"> of technical assistance</w:t>
      </w:r>
      <w:r w:rsidR="00F3518F">
        <w:t xml:space="preserve">.  </w:t>
      </w:r>
      <w:r w:rsidR="00871D5E" w:rsidRPr="00266902">
        <w:t>They might include</w:t>
      </w:r>
      <w:r w:rsidR="00C6131F" w:rsidRPr="00266902">
        <w:t>:</w:t>
      </w:r>
      <w:r w:rsidR="006C6850" w:rsidRPr="00266902">
        <w:t xml:space="preserve"> </w:t>
      </w:r>
      <w:r>
        <w:t xml:space="preserve"> </w:t>
      </w:r>
      <w:r w:rsidR="00266902" w:rsidRPr="00266902">
        <w:t>(</w:t>
      </w:r>
      <w:proofErr w:type="spellStart"/>
      <w:r w:rsidR="00266902" w:rsidRPr="00266902">
        <w:t>i</w:t>
      </w:r>
      <w:proofErr w:type="spellEnd"/>
      <w:r w:rsidR="00D231F5" w:rsidRPr="00266902">
        <w:t>) e</w:t>
      </w:r>
      <w:r w:rsidR="006C6850" w:rsidRPr="00266902">
        <w:t>xchang</w:t>
      </w:r>
      <w:r w:rsidR="00FF4250" w:rsidRPr="00266902">
        <w:t>ing</w:t>
      </w:r>
      <w:r w:rsidR="0028539A" w:rsidRPr="00266902">
        <w:t xml:space="preserve"> points of view</w:t>
      </w:r>
      <w:r w:rsidR="006C6850" w:rsidRPr="00266902">
        <w:t xml:space="preserve"> with t</w:t>
      </w:r>
      <w:r w:rsidR="006C6850">
        <w:t>he identified candidate(s)</w:t>
      </w:r>
      <w:r w:rsidR="0028539A" w:rsidRPr="00FF4250">
        <w:t xml:space="preserve"> on the objective</w:t>
      </w:r>
      <w:r w:rsidR="00BD6D83" w:rsidRPr="00FF4250">
        <w:t>s and scope of the consultancy</w:t>
      </w:r>
      <w:proofErr w:type="gramStart"/>
      <w:r w:rsidR="00FF4250">
        <w:t xml:space="preserve">; </w:t>
      </w:r>
      <w:r>
        <w:t xml:space="preserve"> </w:t>
      </w:r>
      <w:r w:rsidR="006C6850">
        <w:t>(</w:t>
      </w:r>
      <w:proofErr w:type="gramEnd"/>
      <w:r w:rsidR="006C6850">
        <w:t>ii) a</w:t>
      </w:r>
      <w:r w:rsidR="006C6850" w:rsidRPr="00FF4250">
        <w:t>sse</w:t>
      </w:r>
      <w:r w:rsidR="00BD6D83" w:rsidRPr="00FF4250">
        <w:t>ssing</w:t>
      </w:r>
      <w:r w:rsidR="00F3518F">
        <w:t xml:space="preserve"> </w:t>
      </w:r>
      <w:r w:rsidR="00F72C16">
        <w:t xml:space="preserve">the </w:t>
      </w:r>
      <w:r w:rsidR="00D746A4">
        <w:t>candidate’s</w:t>
      </w:r>
      <w:r w:rsidR="00BD6D83" w:rsidRPr="00FF4250">
        <w:t xml:space="preserve"> t</w:t>
      </w:r>
      <w:r w:rsidR="0028539A" w:rsidRPr="00FF4250">
        <w:t xml:space="preserve">echnical capacity, availability and agreement of the </w:t>
      </w:r>
      <w:proofErr w:type="spellStart"/>
      <w:r w:rsidR="00341F32">
        <w:t>ToR</w:t>
      </w:r>
      <w:proofErr w:type="spellEnd"/>
      <w:r w:rsidR="006C6850">
        <w:t>;</w:t>
      </w:r>
      <w:r>
        <w:t xml:space="preserve"> </w:t>
      </w:r>
      <w:r w:rsidR="00BD6D83" w:rsidRPr="00FF4250">
        <w:t xml:space="preserve"> </w:t>
      </w:r>
      <w:r w:rsidR="006C6850">
        <w:t xml:space="preserve">(iii) </w:t>
      </w:r>
      <w:r w:rsidR="00D231F5">
        <w:t>assessing</w:t>
      </w:r>
      <w:r w:rsidR="00F72C16">
        <w:t xml:space="preserve"> the candidate’s</w:t>
      </w:r>
      <w:r w:rsidR="00D231F5">
        <w:t xml:space="preserve"> impartiality </w:t>
      </w:r>
      <w:r w:rsidR="00F3518F">
        <w:t>and</w:t>
      </w:r>
      <w:r w:rsidR="00D231F5">
        <w:t xml:space="preserve"> balance of</w:t>
      </w:r>
      <w:r w:rsidR="00F72C16">
        <w:t xml:space="preserve"> view </w:t>
      </w:r>
      <w:r w:rsidR="00D746A4">
        <w:t>on the</w:t>
      </w:r>
      <w:r w:rsidR="00D231F5">
        <w:t xml:space="preserve"> topic; </w:t>
      </w:r>
      <w:r>
        <w:t xml:space="preserve"> and </w:t>
      </w:r>
      <w:r w:rsidR="00D231F5">
        <w:t xml:space="preserve">(iv) </w:t>
      </w:r>
      <w:r w:rsidR="00A22790">
        <w:t>consulting</w:t>
      </w:r>
      <w:r w:rsidR="006C6850">
        <w:t xml:space="preserve"> </w:t>
      </w:r>
      <w:r w:rsidR="0028539A" w:rsidRPr="00FF4250">
        <w:t>with the</w:t>
      </w:r>
      <w:r w:rsidR="0028539A" w:rsidRPr="00C6131F">
        <w:rPr>
          <w:szCs w:val="22"/>
        </w:rPr>
        <w:t xml:space="preserve"> </w:t>
      </w:r>
      <w:r w:rsidR="00FF4250" w:rsidRPr="00C6131F">
        <w:rPr>
          <w:szCs w:val="22"/>
        </w:rPr>
        <w:t>beneficiaries</w:t>
      </w:r>
      <w:r w:rsidR="00D231F5">
        <w:rPr>
          <w:szCs w:val="22"/>
        </w:rPr>
        <w:t>.</w:t>
      </w:r>
      <w:r w:rsidR="00A74905">
        <w:rPr>
          <w:szCs w:val="22"/>
        </w:rPr>
        <w:t xml:space="preserve"> </w:t>
      </w:r>
      <w:r w:rsidR="004D5867">
        <w:rPr>
          <w:szCs w:val="22"/>
        </w:rPr>
        <w:t xml:space="preserve">  </w:t>
      </w:r>
    </w:p>
    <w:p w:rsidR="003A65F7" w:rsidRDefault="003A65F7" w:rsidP="00D82400"/>
    <w:p w:rsidR="004D5867" w:rsidRPr="004D5867" w:rsidRDefault="00D82400" w:rsidP="00D82400">
      <w:pPr>
        <w:rPr>
          <w:szCs w:val="22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13376C">
        <w:t>Along with</w:t>
      </w:r>
      <w:r w:rsidR="006C6850">
        <w:t xml:space="preserve"> the assessment of </w:t>
      </w:r>
      <w:r w:rsidR="003A65F7">
        <w:t xml:space="preserve">the compliance with the </w:t>
      </w:r>
      <w:proofErr w:type="spellStart"/>
      <w:r w:rsidR="003A65F7">
        <w:t>ToR</w:t>
      </w:r>
      <w:proofErr w:type="spellEnd"/>
      <w:r w:rsidR="003A65F7">
        <w:t>, the following elements are taken into account</w:t>
      </w:r>
      <w:r w:rsidR="0013376C">
        <w:t xml:space="preserve"> for the final selection:  </w:t>
      </w:r>
      <w:r w:rsidR="00532D54">
        <w:t>(a) g</w:t>
      </w:r>
      <w:r w:rsidR="007E6FF3" w:rsidRPr="00DB5A87">
        <w:t>ender</w:t>
      </w:r>
      <w:r w:rsidR="00341F32">
        <w:rPr>
          <w:rStyle w:val="FootnoteReference"/>
        </w:rPr>
        <w:footnoteReference w:id="10"/>
      </w:r>
      <w:r w:rsidR="00083E7B">
        <w:t xml:space="preserve"> and geographical</w:t>
      </w:r>
      <w:r w:rsidR="00C6131F">
        <w:t xml:space="preserve"> balance;</w:t>
      </w:r>
      <w:r w:rsidR="007E6FF3" w:rsidRPr="00DB5A87">
        <w:t xml:space="preserve"> </w:t>
      </w:r>
      <w:r>
        <w:t xml:space="preserve"> </w:t>
      </w:r>
      <w:r w:rsidR="00532D54">
        <w:t xml:space="preserve">(b) </w:t>
      </w:r>
      <w:r w:rsidR="00C24089">
        <w:rPr>
          <w:szCs w:val="22"/>
        </w:rPr>
        <w:t>the candidate</w:t>
      </w:r>
      <w:r w:rsidR="003A23C3">
        <w:rPr>
          <w:szCs w:val="22"/>
        </w:rPr>
        <w:t>’</w:t>
      </w:r>
      <w:r w:rsidR="00C24089">
        <w:rPr>
          <w:szCs w:val="22"/>
        </w:rPr>
        <w:t>s</w:t>
      </w:r>
      <w:r w:rsidR="006C6850" w:rsidRPr="00C24089">
        <w:rPr>
          <w:szCs w:val="22"/>
        </w:rPr>
        <w:t xml:space="preserve"> </w:t>
      </w:r>
      <w:r w:rsidR="007E6FF3" w:rsidRPr="00C24089">
        <w:rPr>
          <w:szCs w:val="22"/>
        </w:rPr>
        <w:t xml:space="preserve">capability to understand the geopolitical </w:t>
      </w:r>
      <w:r w:rsidR="00C44695" w:rsidRPr="00C24089">
        <w:rPr>
          <w:szCs w:val="22"/>
        </w:rPr>
        <w:t>sensitiveness</w:t>
      </w:r>
      <w:r w:rsidR="007E6FF3" w:rsidRPr="00C24089">
        <w:rPr>
          <w:szCs w:val="22"/>
        </w:rPr>
        <w:t xml:space="preserve"> of the context in which th</w:t>
      </w:r>
      <w:r w:rsidR="00083E7B" w:rsidRPr="00C24089">
        <w:rPr>
          <w:szCs w:val="22"/>
        </w:rPr>
        <w:t>e consultancy will be undertake</w:t>
      </w:r>
      <w:r w:rsidR="003273BA" w:rsidRPr="00C24089">
        <w:rPr>
          <w:szCs w:val="22"/>
        </w:rPr>
        <w:t>n</w:t>
      </w:r>
      <w:r w:rsidR="00083E7B" w:rsidRPr="00C24089">
        <w:rPr>
          <w:szCs w:val="22"/>
        </w:rPr>
        <w:t xml:space="preserve">; </w:t>
      </w:r>
      <w:r>
        <w:rPr>
          <w:szCs w:val="22"/>
        </w:rPr>
        <w:t xml:space="preserve"> </w:t>
      </w:r>
      <w:r w:rsidR="00532D54" w:rsidRPr="00C24089">
        <w:rPr>
          <w:szCs w:val="22"/>
        </w:rPr>
        <w:t>(</w:t>
      </w:r>
      <w:r w:rsidR="00341F32">
        <w:rPr>
          <w:szCs w:val="22"/>
        </w:rPr>
        <w:t>c</w:t>
      </w:r>
      <w:r w:rsidR="00532D54" w:rsidRPr="00C24089">
        <w:rPr>
          <w:szCs w:val="22"/>
        </w:rPr>
        <w:t xml:space="preserve">) </w:t>
      </w:r>
      <w:r w:rsidR="00C24089">
        <w:rPr>
          <w:szCs w:val="22"/>
        </w:rPr>
        <w:t>the candidate</w:t>
      </w:r>
      <w:r w:rsidR="003A23C3">
        <w:rPr>
          <w:szCs w:val="22"/>
        </w:rPr>
        <w:t>’</w:t>
      </w:r>
      <w:r w:rsidR="00C24089">
        <w:rPr>
          <w:szCs w:val="22"/>
        </w:rPr>
        <w:t>s</w:t>
      </w:r>
      <w:r w:rsidR="00C24089" w:rsidRPr="00C24089">
        <w:rPr>
          <w:szCs w:val="22"/>
        </w:rPr>
        <w:t xml:space="preserve"> </w:t>
      </w:r>
      <w:r w:rsidR="00532D54" w:rsidRPr="00C24089">
        <w:rPr>
          <w:szCs w:val="22"/>
        </w:rPr>
        <w:t xml:space="preserve">ability to build linkages and setting positive synergies in the execution context; </w:t>
      </w:r>
      <w:r w:rsidR="006A1852">
        <w:rPr>
          <w:szCs w:val="22"/>
        </w:rPr>
        <w:t xml:space="preserve"> </w:t>
      </w:r>
      <w:r w:rsidR="00532D54" w:rsidRPr="00C24089">
        <w:rPr>
          <w:szCs w:val="22"/>
        </w:rPr>
        <w:t>(</w:t>
      </w:r>
      <w:r w:rsidR="00341F32">
        <w:rPr>
          <w:szCs w:val="22"/>
        </w:rPr>
        <w:t>d</w:t>
      </w:r>
      <w:r w:rsidR="00532D54" w:rsidRPr="00C24089">
        <w:rPr>
          <w:szCs w:val="22"/>
        </w:rPr>
        <w:t xml:space="preserve">) </w:t>
      </w:r>
      <w:r w:rsidR="00C24089">
        <w:rPr>
          <w:szCs w:val="22"/>
        </w:rPr>
        <w:t>the candidate</w:t>
      </w:r>
      <w:r w:rsidR="003A23C3">
        <w:rPr>
          <w:szCs w:val="22"/>
        </w:rPr>
        <w:t>’</w:t>
      </w:r>
      <w:r w:rsidR="00C24089">
        <w:rPr>
          <w:szCs w:val="22"/>
        </w:rPr>
        <w:t>s</w:t>
      </w:r>
      <w:r w:rsidR="00C24089" w:rsidRPr="00C24089">
        <w:rPr>
          <w:szCs w:val="22"/>
        </w:rPr>
        <w:t xml:space="preserve"> </w:t>
      </w:r>
      <w:r w:rsidR="00532D54" w:rsidRPr="00C24089">
        <w:rPr>
          <w:szCs w:val="22"/>
        </w:rPr>
        <w:t>ability to b</w:t>
      </w:r>
      <w:r w:rsidR="00C6131F" w:rsidRPr="00C24089">
        <w:rPr>
          <w:szCs w:val="22"/>
        </w:rPr>
        <w:t>alance</w:t>
      </w:r>
      <w:r w:rsidR="00532D54" w:rsidRPr="00C24089">
        <w:rPr>
          <w:szCs w:val="22"/>
        </w:rPr>
        <w:t xml:space="preserve"> the</w:t>
      </w:r>
      <w:r w:rsidR="00083E7B" w:rsidRPr="00C24089">
        <w:rPr>
          <w:szCs w:val="22"/>
        </w:rPr>
        <w:t xml:space="preserve"> interests of various stakeholders</w:t>
      </w:r>
      <w:r>
        <w:rPr>
          <w:szCs w:val="22"/>
        </w:rPr>
        <w:t>; (e</w:t>
      </w:r>
      <w:r w:rsidR="00C24089" w:rsidRPr="00C24089">
        <w:rPr>
          <w:szCs w:val="22"/>
        </w:rPr>
        <w:t xml:space="preserve">) </w:t>
      </w:r>
      <w:r w:rsidR="00C24089">
        <w:rPr>
          <w:szCs w:val="22"/>
        </w:rPr>
        <w:t>the candidate</w:t>
      </w:r>
      <w:r w:rsidR="003A23C3">
        <w:rPr>
          <w:szCs w:val="22"/>
        </w:rPr>
        <w:t>’</w:t>
      </w:r>
      <w:r w:rsidR="00C24089">
        <w:rPr>
          <w:szCs w:val="22"/>
        </w:rPr>
        <w:t>s</w:t>
      </w:r>
      <w:r w:rsidR="00C24089" w:rsidRPr="00C24089">
        <w:rPr>
          <w:szCs w:val="22"/>
        </w:rPr>
        <w:t xml:space="preserve"> pedagogical skills (whe</w:t>
      </w:r>
      <w:r w:rsidR="003F030C">
        <w:rPr>
          <w:szCs w:val="22"/>
        </w:rPr>
        <w:t>re</w:t>
      </w:r>
      <w:r w:rsidR="00C24089" w:rsidRPr="00C24089">
        <w:rPr>
          <w:szCs w:val="22"/>
        </w:rPr>
        <w:t xml:space="preserve"> applicable); </w:t>
      </w:r>
      <w:r>
        <w:rPr>
          <w:szCs w:val="22"/>
        </w:rPr>
        <w:t xml:space="preserve"> </w:t>
      </w:r>
      <w:r w:rsidR="00C24089" w:rsidRPr="00C24089">
        <w:rPr>
          <w:szCs w:val="22"/>
        </w:rPr>
        <w:t>(</w:t>
      </w:r>
      <w:r>
        <w:rPr>
          <w:szCs w:val="22"/>
        </w:rPr>
        <w:t>f</w:t>
      </w:r>
      <w:r w:rsidR="00C24089" w:rsidRPr="00C24089">
        <w:rPr>
          <w:szCs w:val="22"/>
        </w:rPr>
        <w:t xml:space="preserve">) </w:t>
      </w:r>
      <w:r w:rsidR="00C24089">
        <w:rPr>
          <w:szCs w:val="22"/>
        </w:rPr>
        <w:t>t</w:t>
      </w:r>
      <w:r w:rsidR="00C24089" w:rsidRPr="00C24089">
        <w:rPr>
          <w:szCs w:val="22"/>
        </w:rPr>
        <w:t>he results from previous assignments delivered by the candidate to WIPO, including technical quality, execution time, modality of interaction with the local authorities and other stakeholders, among others</w:t>
      </w:r>
      <w:r w:rsidR="00C24089">
        <w:rPr>
          <w:szCs w:val="22"/>
        </w:rPr>
        <w:t>.</w:t>
      </w:r>
      <w:r w:rsidR="00532D54">
        <w:rPr>
          <w:szCs w:val="22"/>
        </w:rPr>
        <w:t xml:space="preserve"> </w:t>
      </w:r>
      <w:r w:rsidR="00C24089">
        <w:rPr>
          <w:szCs w:val="22"/>
        </w:rPr>
        <w:t xml:space="preserve"> </w:t>
      </w:r>
      <w:r w:rsidR="003F030C">
        <w:rPr>
          <w:szCs w:val="22"/>
        </w:rPr>
        <w:t xml:space="preserve">Moreover, the DA recommendation 6 states that </w:t>
      </w:r>
      <w:r w:rsidR="003A23C3">
        <w:rPr>
          <w:szCs w:val="22"/>
        </w:rPr>
        <w:t>“</w:t>
      </w:r>
      <w:r w:rsidR="004D5867" w:rsidRPr="004D5867">
        <w:rPr>
          <w:szCs w:val="22"/>
        </w:rPr>
        <w:t>WIPO</w:t>
      </w:r>
      <w:r w:rsidR="003A23C3">
        <w:rPr>
          <w:szCs w:val="22"/>
        </w:rPr>
        <w:t>’</w:t>
      </w:r>
      <w:r w:rsidR="004D5867" w:rsidRPr="004D5867">
        <w:rPr>
          <w:szCs w:val="22"/>
        </w:rPr>
        <w:t>s technical assistance consultants shall continue to be neutral and accountable, by paying particular attention to the existing Code of Ethics and by avoiding potential conflicts of interest</w:t>
      </w:r>
      <w:r w:rsidR="003A23C3">
        <w:rPr>
          <w:szCs w:val="22"/>
        </w:rPr>
        <w:t>”</w:t>
      </w:r>
      <w:r w:rsidR="004D5867" w:rsidRPr="004D5867">
        <w:rPr>
          <w:szCs w:val="22"/>
        </w:rPr>
        <w:t xml:space="preserve">. </w:t>
      </w:r>
      <w:r>
        <w:rPr>
          <w:szCs w:val="22"/>
        </w:rPr>
        <w:t xml:space="preserve"> </w:t>
      </w:r>
      <w:r w:rsidR="004D5867" w:rsidRPr="004D5867">
        <w:rPr>
          <w:szCs w:val="22"/>
        </w:rPr>
        <w:t xml:space="preserve">In this context, </w:t>
      </w:r>
      <w:r w:rsidR="00D231F5">
        <w:rPr>
          <w:szCs w:val="22"/>
        </w:rPr>
        <w:t xml:space="preserve">as </w:t>
      </w:r>
      <w:r w:rsidR="00F72C16">
        <w:rPr>
          <w:szCs w:val="22"/>
        </w:rPr>
        <w:t>mentioned above</w:t>
      </w:r>
      <w:r w:rsidR="00D231F5">
        <w:rPr>
          <w:szCs w:val="22"/>
        </w:rPr>
        <w:t xml:space="preserve">, </w:t>
      </w:r>
      <w:r w:rsidR="004D5867" w:rsidRPr="004D5867">
        <w:rPr>
          <w:szCs w:val="22"/>
        </w:rPr>
        <w:t xml:space="preserve">the Secretariat endeavors to avoid engaging experts who may potentially have professional </w:t>
      </w:r>
      <w:r w:rsidR="004D5867" w:rsidRPr="004D5867">
        <w:rPr>
          <w:szCs w:val="22"/>
        </w:rPr>
        <w:lastRenderedPageBreak/>
        <w:t xml:space="preserve">interests, or past association with the </w:t>
      </w:r>
      <w:r w:rsidR="003F030C">
        <w:rPr>
          <w:szCs w:val="22"/>
        </w:rPr>
        <w:t>activity</w:t>
      </w:r>
      <w:r w:rsidR="004D5867" w:rsidRPr="004D5867">
        <w:rPr>
          <w:szCs w:val="22"/>
        </w:rPr>
        <w:t xml:space="preserve"> or in the institution where the </w:t>
      </w:r>
      <w:r w:rsidR="003F030C">
        <w:rPr>
          <w:szCs w:val="22"/>
        </w:rPr>
        <w:t>activity</w:t>
      </w:r>
      <w:r w:rsidR="004D5867" w:rsidRPr="004D5867">
        <w:rPr>
          <w:szCs w:val="22"/>
        </w:rPr>
        <w:t xml:space="preserve"> is being implemented. </w:t>
      </w:r>
      <w:r>
        <w:rPr>
          <w:szCs w:val="22"/>
        </w:rPr>
        <w:t xml:space="preserve"> </w:t>
      </w:r>
      <w:r w:rsidR="004D5867" w:rsidRPr="004D5867">
        <w:rPr>
          <w:szCs w:val="22"/>
        </w:rPr>
        <w:t>However in some cases, in the interest of the debate, consultants may be requested to express the views of specific groups of interest holders.</w:t>
      </w:r>
    </w:p>
    <w:p w:rsidR="004D5867" w:rsidRDefault="004D5867" w:rsidP="009B477B">
      <w:pPr>
        <w:ind w:left="720"/>
        <w:rPr>
          <w:szCs w:val="22"/>
        </w:rPr>
      </w:pPr>
    </w:p>
    <w:p w:rsidR="00532D54" w:rsidRDefault="00D82400" w:rsidP="00D82400"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532D54">
        <w:t>Furthermore, in activities related to providing business solutions to national IP offices, WIPO</w:t>
      </w:r>
      <w:r w:rsidR="00532D54" w:rsidRPr="00FA42E3">
        <w:t xml:space="preserve"> use</w:t>
      </w:r>
      <w:r w:rsidR="00532D54">
        <w:t>s</w:t>
      </w:r>
      <w:r w:rsidR="00532D54" w:rsidRPr="00FA42E3">
        <w:t xml:space="preserve"> the knowledge and expertise of focal points working in </w:t>
      </w:r>
      <w:r w:rsidR="00532D54">
        <w:t xml:space="preserve">those </w:t>
      </w:r>
      <w:r w:rsidR="00532D54" w:rsidRPr="00FA42E3">
        <w:t>IP Offices using WIPO</w:t>
      </w:r>
      <w:r w:rsidR="003A23C3">
        <w:t>’</w:t>
      </w:r>
      <w:r w:rsidR="00532D54" w:rsidRPr="00FA42E3">
        <w:t>s systems to support other beneficiary offices in their region.  This approach has proven to be very effective, both</w:t>
      </w:r>
      <w:r w:rsidR="003273BA">
        <w:t xml:space="preserve"> in terms of results and costs.  </w:t>
      </w:r>
      <w:r w:rsidR="00532D54" w:rsidRPr="00FA42E3">
        <w:t xml:space="preserve">One of the reasons of this success is that IP Office staff themselves, once trained, are the best </w:t>
      </w:r>
      <w:r w:rsidR="003F030C">
        <w:t>providers of</w:t>
      </w:r>
      <w:r w:rsidR="00532D54" w:rsidRPr="00FA42E3">
        <w:t xml:space="preserve"> specialized technical assistance to other IP Office staff on the use of WIPO systems desig</w:t>
      </w:r>
      <w:r w:rsidR="003273BA">
        <w:t xml:space="preserve">ned to meet their office needs.  </w:t>
      </w:r>
      <w:r w:rsidR="00532D54" w:rsidRPr="00FA42E3">
        <w:t>It is a win-win scenario as the office agreeing to loan the expert also benefits from the expert</w:t>
      </w:r>
      <w:r w:rsidR="003A23C3">
        <w:t>’</w:t>
      </w:r>
      <w:r w:rsidR="00532D54" w:rsidRPr="00FA42E3">
        <w:t>s increased knowledge in managing the office systems.</w:t>
      </w:r>
    </w:p>
    <w:p w:rsidR="00BF2522" w:rsidRDefault="00BF2522" w:rsidP="00083E7B">
      <w:pPr>
        <w:rPr>
          <w:szCs w:val="22"/>
        </w:rPr>
      </w:pPr>
    </w:p>
    <w:p w:rsidR="00902A7F" w:rsidRDefault="00902A7F" w:rsidP="00083E7B">
      <w:pPr>
        <w:rPr>
          <w:szCs w:val="22"/>
        </w:rPr>
      </w:pPr>
    </w:p>
    <w:p w:rsidR="00D231F5" w:rsidRPr="00D82400" w:rsidRDefault="00B14FC0" w:rsidP="00D82400">
      <w:pPr>
        <w:rPr>
          <w:u w:val="single"/>
        </w:rPr>
      </w:pPr>
      <w:r w:rsidRPr="00B14FC0">
        <w:t>E.</w:t>
      </w:r>
      <w:r w:rsidRPr="00B14FC0">
        <w:tab/>
      </w:r>
      <w:r w:rsidR="00D231F5" w:rsidRPr="00D82400">
        <w:rPr>
          <w:u w:val="single"/>
        </w:rPr>
        <w:t>Peer Review</w:t>
      </w:r>
    </w:p>
    <w:p w:rsidR="00D231F5" w:rsidRDefault="00D231F5" w:rsidP="00D231F5">
      <w:pPr>
        <w:pStyle w:val="ListParagraph"/>
        <w:ind w:left="360"/>
        <w:rPr>
          <w:u w:val="single"/>
        </w:rPr>
      </w:pPr>
    </w:p>
    <w:p w:rsidR="00D231F5" w:rsidRDefault="00D82400" w:rsidP="007D47EF">
      <w:pPr>
        <w:pStyle w:val="ListParagraph"/>
        <w:ind w:left="0"/>
        <w:rPr>
          <w:u w:val="single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D231F5">
        <w:rPr>
          <w:szCs w:val="22"/>
        </w:rPr>
        <w:t xml:space="preserve">When an activity is of a particular complexity, a peer review by other </w:t>
      </w:r>
      <w:r w:rsidR="005B3205" w:rsidRPr="0023611B">
        <w:t xml:space="preserve">qualified and recognized experts </w:t>
      </w:r>
      <w:r w:rsidR="00D231F5">
        <w:rPr>
          <w:szCs w:val="22"/>
        </w:rPr>
        <w:t xml:space="preserve">is conducted to ensure </w:t>
      </w:r>
      <w:r w:rsidR="00D231F5">
        <w:t>t</w:t>
      </w:r>
      <w:r w:rsidR="00C07F44">
        <w:t xml:space="preserve">hat the work </w:t>
      </w:r>
      <w:r w:rsidR="00D231F5" w:rsidRPr="00177F14">
        <w:t>deliver</w:t>
      </w:r>
      <w:r w:rsidR="00C07F44">
        <w:t>ed is</w:t>
      </w:r>
      <w:r w:rsidR="007D47EF">
        <w:t xml:space="preserve"> of</w:t>
      </w:r>
      <w:r w:rsidR="00D231F5" w:rsidRPr="00177F14">
        <w:t xml:space="preserve"> </w:t>
      </w:r>
      <w:r w:rsidR="00D231F5">
        <w:t>high-quality</w:t>
      </w:r>
      <w:r w:rsidR="00C07F44">
        <w:t>, balanced and reliable</w:t>
      </w:r>
      <w:r w:rsidR="00D231F5" w:rsidRPr="00177F14">
        <w:t>.</w:t>
      </w:r>
      <w:r w:rsidR="00D231F5">
        <w:t xml:space="preserve">  </w:t>
      </w:r>
      <w:r w:rsidR="00C07F44">
        <w:t xml:space="preserve">Peer reviews might </w:t>
      </w:r>
      <w:r w:rsidR="00D231F5" w:rsidRPr="002F4253">
        <w:t xml:space="preserve">take place </w:t>
      </w:r>
      <w:r w:rsidR="00C07F44">
        <w:t xml:space="preserve">at an </w:t>
      </w:r>
      <w:r w:rsidR="00D231F5" w:rsidRPr="0023611B">
        <w:t xml:space="preserve">early </w:t>
      </w:r>
      <w:r w:rsidR="00C07F44">
        <w:t xml:space="preserve">stage and </w:t>
      </w:r>
      <w:r w:rsidR="007D47EF">
        <w:t xml:space="preserve">/ or </w:t>
      </w:r>
      <w:r w:rsidR="005B3205">
        <w:t xml:space="preserve">after completing the </w:t>
      </w:r>
      <w:r w:rsidR="007D47EF">
        <w:t>consultancy work.</w:t>
      </w:r>
    </w:p>
    <w:p w:rsidR="00911839" w:rsidRDefault="00911839" w:rsidP="00D231F5">
      <w:pPr>
        <w:pStyle w:val="ListParagraph"/>
        <w:ind w:left="360"/>
        <w:rPr>
          <w:u w:val="single"/>
        </w:rPr>
      </w:pPr>
    </w:p>
    <w:p w:rsidR="00902A7F" w:rsidRDefault="00902A7F" w:rsidP="00D231F5">
      <w:pPr>
        <w:pStyle w:val="ListParagraph"/>
        <w:ind w:left="360"/>
        <w:rPr>
          <w:u w:val="single"/>
        </w:rPr>
      </w:pPr>
    </w:p>
    <w:p w:rsidR="00C44695" w:rsidRPr="005D6A17" w:rsidRDefault="00B14FC0" w:rsidP="005D6A17">
      <w:pPr>
        <w:rPr>
          <w:u w:val="single"/>
        </w:rPr>
      </w:pPr>
      <w:r w:rsidRPr="00B14FC0">
        <w:t>F.</w:t>
      </w:r>
      <w:r w:rsidRPr="00B14FC0">
        <w:tab/>
      </w:r>
      <w:r w:rsidR="004C3E66" w:rsidRPr="005D6A17">
        <w:rPr>
          <w:u w:val="single"/>
        </w:rPr>
        <w:t xml:space="preserve">Monitoring and </w:t>
      </w:r>
      <w:r w:rsidR="00C44695" w:rsidRPr="005D6A17">
        <w:rPr>
          <w:u w:val="single"/>
        </w:rPr>
        <w:t>Evaluation</w:t>
      </w:r>
    </w:p>
    <w:p w:rsidR="00C44695" w:rsidRDefault="00C44695" w:rsidP="00083E7B">
      <w:pPr>
        <w:rPr>
          <w:szCs w:val="22"/>
        </w:rPr>
      </w:pPr>
    </w:p>
    <w:p w:rsidR="00C44695" w:rsidRPr="00C44695" w:rsidRDefault="005D6A17" w:rsidP="005D6A17">
      <w:pPr>
        <w:pStyle w:val="ListParagraph"/>
        <w:ind w:left="0"/>
        <w:rPr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="00C24089">
        <w:rPr>
          <w:szCs w:val="22"/>
        </w:rPr>
        <w:t>There is a continuous monitoring</w:t>
      </w:r>
      <w:r w:rsidR="00C24089" w:rsidRPr="00C44695">
        <w:rPr>
          <w:szCs w:val="22"/>
        </w:rPr>
        <w:t xml:space="preserve"> </w:t>
      </w:r>
      <w:r w:rsidR="00DB2734">
        <w:rPr>
          <w:szCs w:val="22"/>
        </w:rPr>
        <w:t xml:space="preserve">of </w:t>
      </w:r>
      <w:r w:rsidR="00DB2734" w:rsidRPr="00DB2734">
        <w:rPr>
          <w:szCs w:val="22"/>
        </w:rPr>
        <w:t xml:space="preserve">the partial </w:t>
      </w:r>
      <w:r w:rsidR="00DB2734">
        <w:rPr>
          <w:szCs w:val="22"/>
        </w:rPr>
        <w:t xml:space="preserve">outcomes </w:t>
      </w:r>
      <w:r w:rsidR="00DB2734" w:rsidRPr="00DB2734">
        <w:rPr>
          <w:szCs w:val="22"/>
        </w:rPr>
        <w:t>set in the consultancy timel</w:t>
      </w:r>
      <w:r w:rsidR="00DB2734">
        <w:rPr>
          <w:szCs w:val="22"/>
        </w:rPr>
        <w:t>ine in order to</w:t>
      </w:r>
      <w:r w:rsidR="003F030C">
        <w:rPr>
          <w:szCs w:val="22"/>
        </w:rPr>
        <w:t xml:space="preserve"> ensure the quality of the </w:t>
      </w:r>
      <w:r w:rsidR="00DB2734">
        <w:rPr>
          <w:szCs w:val="22"/>
        </w:rPr>
        <w:t xml:space="preserve">overall activity.  </w:t>
      </w:r>
      <w:r w:rsidR="00CE35E1">
        <w:rPr>
          <w:szCs w:val="22"/>
        </w:rPr>
        <w:t xml:space="preserve"> </w:t>
      </w:r>
      <w:r w:rsidR="002E068F">
        <w:rPr>
          <w:szCs w:val="22"/>
        </w:rPr>
        <w:t>Likewise</w:t>
      </w:r>
      <w:r w:rsidR="00C24089">
        <w:rPr>
          <w:szCs w:val="22"/>
        </w:rPr>
        <w:t>, w</w:t>
      </w:r>
      <w:r w:rsidR="00C44695" w:rsidRPr="00C44695">
        <w:rPr>
          <w:szCs w:val="22"/>
        </w:rPr>
        <w:t xml:space="preserve">ithin the scope of the </w:t>
      </w:r>
      <w:r w:rsidR="007D47EF">
        <w:rPr>
          <w:szCs w:val="22"/>
        </w:rPr>
        <w:t>self-</w:t>
      </w:r>
      <w:r w:rsidR="00266902">
        <w:rPr>
          <w:szCs w:val="22"/>
        </w:rPr>
        <w:t xml:space="preserve">assessment and </w:t>
      </w:r>
      <w:r w:rsidR="007D47EF">
        <w:rPr>
          <w:szCs w:val="22"/>
        </w:rPr>
        <w:t xml:space="preserve">the </w:t>
      </w:r>
      <w:r w:rsidR="00C44695" w:rsidRPr="00C44695">
        <w:rPr>
          <w:szCs w:val="22"/>
        </w:rPr>
        <w:t>evaluation</w:t>
      </w:r>
      <w:r w:rsidR="00266902">
        <w:rPr>
          <w:szCs w:val="22"/>
        </w:rPr>
        <w:t xml:space="preserve"> of the activity</w:t>
      </w:r>
      <w:r w:rsidR="00C44695">
        <w:rPr>
          <w:szCs w:val="22"/>
        </w:rPr>
        <w:t xml:space="preserve">, </w:t>
      </w:r>
      <w:r w:rsidR="00532D54">
        <w:rPr>
          <w:szCs w:val="22"/>
        </w:rPr>
        <w:t>an</w:t>
      </w:r>
      <w:r w:rsidR="00C44695">
        <w:rPr>
          <w:szCs w:val="22"/>
        </w:rPr>
        <w:t xml:space="preserve"> e</w:t>
      </w:r>
      <w:r w:rsidR="00C44695" w:rsidRPr="00C44695">
        <w:rPr>
          <w:szCs w:val="22"/>
        </w:rPr>
        <w:t xml:space="preserve">valuation </w:t>
      </w:r>
      <w:r w:rsidR="00532D54">
        <w:rPr>
          <w:szCs w:val="22"/>
        </w:rPr>
        <w:t xml:space="preserve">of external </w:t>
      </w:r>
      <w:r w:rsidR="004C3E66">
        <w:rPr>
          <w:szCs w:val="22"/>
        </w:rPr>
        <w:t>consultants</w:t>
      </w:r>
      <w:r w:rsidR="00532D54">
        <w:rPr>
          <w:szCs w:val="22"/>
        </w:rPr>
        <w:t xml:space="preserve"> </w:t>
      </w:r>
      <w:r w:rsidR="00C44695" w:rsidRPr="00C44695">
        <w:rPr>
          <w:szCs w:val="22"/>
        </w:rPr>
        <w:t>is systematically undertaken</w:t>
      </w:r>
      <w:r w:rsidR="007D47EF">
        <w:rPr>
          <w:szCs w:val="22"/>
        </w:rPr>
        <w:t>.  This exercise might be conducted</w:t>
      </w:r>
      <w:r w:rsidR="00C44695" w:rsidRPr="00C44695">
        <w:rPr>
          <w:szCs w:val="22"/>
        </w:rPr>
        <w:t xml:space="preserve"> during </w:t>
      </w:r>
      <w:r w:rsidR="007D47EF">
        <w:rPr>
          <w:szCs w:val="22"/>
        </w:rPr>
        <w:t xml:space="preserve">the </w:t>
      </w:r>
      <w:r w:rsidR="004C3E66">
        <w:rPr>
          <w:szCs w:val="22"/>
        </w:rPr>
        <w:t xml:space="preserve">assignment </w:t>
      </w:r>
      <w:r w:rsidR="007D47EF">
        <w:rPr>
          <w:szCs w:val="22"/>
        </w:rPr>
        <w:t>and after its completion</w:t>
      </w:r>
      <w:r w:rsidR="004C3E66">
        <w:rPr>
          <w:szCs w:val="22"/>
        </w:rPr>
        <w:t xml:space="preserve">.  </w:t>
      </w:r>
      <w:r w:rsidR="00C44695" w:rsidRPr="00C44695">
        <w:rPr>
          <w:szCs w:val="22"/>
        </w:rPr>
        <w:t xml:space="preserve">In some cases, </w:t>
      </w:r>
      <w:r w:rsidR="00C44695" w:rsidRPr="00C44695">
        <w:rPr>
          <w:i/>
          <w:szCs w:val="22"/>
        </w:rPr>
        <w:t>interim</w:t>
      </w:r>
      <w:r w:rsidR="00C44695" w:rsidRPr="00C44695">
        <w:rPr>
          <w:szCs w:val="22"/>
        </w:rPr>
        <w:t xml:space="preserve"> evaluations </w:t>
      </w:r>
      <w:r w:rsidR="002E068F">
        <w:rPr>
          <w:szCs w:val="22"/>
        </w:rPr>
        <w:t xml:space="preserve">are also carried out </w:t>
      </w:r>
      <w:r w:rsidR="00C44695" w:rsidRPr="00C44695">
        <w:rPr>
          <w:szCs w:val="22"/>
        </w:rPr>
        <w:t xml:space="preserve">to </w:t>
      </w:r>
      <w:r w:rsidR="00DB2734">
        <w:rPr>
          <w:szCs w:val="22"/>
        </w:rPr>
        <w:t>assess the progress of the</w:t>
      </w:r>
      <w:r w:rsidR="00C44695" w:rsidRPr="00C44695">
        <w:rPr>
          <w:szCs w:val="22"/>
        </w:rPr>
        <w:t xml:space="preserve"> final deliverables.</w:t>
      </w:r>
      <w:r w:rsidR="00C44695">
        <w:rPr>
          <w:szCs w:val="22"/>
        </w:rPr>
        <w:t xml:space="preserve"> </w:t>
      </w:r>
      <w:r w:rsidR="002E068F">
        <w:rPr>
          <w:szCs w:val="22"/>
        </w:rPr>
        <w:t xml:space="preserve"> </w:t>
      </w:r>
      <w:r w:rsidR="007D47EF">
        <w:rPr>
          <w:szCs w:val="22"/>
        </w:rPr>
        <w:t xml:space="preserve">Satisfaction with </w:t>
      </w:r>
      <w:r w:rsidR="00C44695" w:rsidRPr="00C44695">
        <w:rPr>
          <w:szCs w:val="22"/>
        </w:rPr>
        <w:t xml:space="preserve">the quality of the work is a precondition for </w:t>
      </w:r>
      <w:r w:rsidR="007D47EF">
        <w:rPr>
          <w:szCs w:val="22"/>
        </w:rPr>
        <w:t>its acceptance</w:t>
      </w:r>
      <w:r w:rsidR="00C44695">
        <w:rPr>
          <w:szCs w:val="22"/>
        </w:rPr>
        <w:t xml:space="preserve">.  </w:t>
      </w:r>
      <w:r w:rsidR="002E068F">
        <w:rPr>
          <w:szCs w:val="22"/>
        </w:rPr>
        <w:t>Th</w:t>
      </w:r>
      <w:r w:rsidR="007D47EF">
        <w:rPr>
          <w:szCs w:val="22"/>
        </w:rPr>
        <w:t>e</w:t>
      </w:r>
      <w:r w:rsidR="002E068F">
        <w:rPr>
          <w:szCs w:val="22"/>
        </w:rPr>
        <w:t xml:space="preserve"> acceptance</w:t>
      </w:r>
      <w:r w:rsidR="007D47EF">
        <w:rPr>
          <w:szCs w:val="22"/>
        </w:rPr>
        <w:t>’s</w:t>
      </w:r>
      <w:r w:rsidR="002E068F">
        <w:rPr>
          <w:szCs w:val="22"/>
        </w:rPr>
        <w:t xml:space="preserve"> </w:t>
      </w:r>
      <w:r w:rsidR="007D47EF">
        <w:rPr>
          <w:szCs w:val="22"/>
        </w:rPr>
        <w:t xml:space="preserve">decision </w:t>
      </w:r>
      <w:r w:rsidR="002E068F">
        <w:rPr>
          <w:szCs w:val="22"/>
        </w:rPr>
        <w:t xml:space="preserve">is </w:t>
      </w:r>
      <w:r w:rsidR="007D47EF">
        <w:rPr>
          <w:szCs w:val="22"/>
        </w:rPr>
        <w:t>taken</w:t>
      </w:r>
      <w:r w:rsidR="002E068F">
        <w:rPr>
          <w:szCs w:val="22"/>
        </w:rPr>
        <w:t xml:space="preserve"> in consul</w:t>
      </w:r>
      <w:r w:rsidR="00F3518F">
        <w:rPr>
          <w:szCs w:val="22"/>
        </w:rPr>
        <w:t xml:space="preserve">tation with the beneficiaries.  </w:t>
      </w:r>
      <w:r w:rsidR="002E068F">
        <w:rPr>
          <w:szCs w:val="22"/>
        </w:rPr>
        <w:t>Finally, a</w:t>
      </w:r>
      <w:r w:rsidR="00C24089">
        <w:rPr>
          <w:szCs w:val="22"/>
        </w:rPr>
        <w:t>s mentioned above, WIPO pays particular attent</w:t>
      </w:r>
      <w:r w:rsidR="009E3846">
        <w:rPr>
          <w:szCs w:val="22"/>
        </w:rPr>
        <w:t xml:space="preserve">ion to the performance of consultants </w:t>
      </w:r>
      <w:r w:rsidR="002E068F">
        <w:rPr>
          <w:szCs w:val="22"/>
        </w:rPr>
        <w:t xml:space="preserve">in previous assignments.  </w:t>
      </w:r>
      <w:r w:rsidR="007D47EF">
        <w:rPr>
          <w:szCs w:val="22"/>
        </w:rPr>
        <w:t xml:space="preserve">Positive assessment of the </w:t>
      </w:r>
      <w:r w:rsidR="00F3518F">
        <w:rPr>
          <w:szCs w:val="22"/>
        </w:rPr>
        <w:t>consultants</w:t>
      </w:r>
      <w:r w:rsidR="003A23C3">
        <w:rPr>
          <w:szCs w:val="22"/>
        </w:rPr>
        <w:t>’</w:t>
      </w:r>
      <w:r w:rsidR="00F3518F">
        <w:rPr>
          <w:szCs w:val="22"/>
        </w:rPr>
        <w:t xml:space="preserve"> work</w:t>
      </w:r>
      <w:r w:rsidR="00C07F44">
        <w:rPr>
          <w:szCs w:val="22"/>
        </w:rPr>
        <w:t xml:space="preserve"> is </w:t>
      </w:r>
      <w:r w:rsidR="00F3518F">
        <w:rPr>
          <w:szCs w:val="22"/>
        </w:rPr>
        <w:t>a determining factor</w:t>
      </w:r>
      <w:r w:rsidR="00C07F44">
        <w:rPr>
          <w:szCs w:val="22"/>
        </w:rPr>
        <w:t xml:space="preserve"> for </w:t>
      </w:r>
      <w:r w:rsidR="00266902">
        <w:rPr>
          <w:szCs w:val="22"/>
        </w:rPr>
        <w:t xml:space="preserve">engaging </w:t>
      </w:r>
      <w:r w:rsidR="00F3518F">
        <w:rPr>
          <w:szCs w:val="22"/>
        </w:rPr>
        <w:t>them</w:t>
      </w:r>
      <w:r w:rsidR="00266902">
        <w:rPr>
          <w:szCs w:val="22"/>
        </w:rPr>
        <w:t xml:space="preserve"> in future </w:t>
      </w:r>
      <w:r w:rsidR="00C07F44">
        <w:rPr>
          <w:szCs w:val="22"/>
        </w:rPr>
        <w:t>assignments.</w:t>
      </w:r>
    </w:p>
    <w:p w:rsidR="00C24089" w:rsidRPr="000471DF" w:rsidRDefault="00C24089" w:rsidP="000471DF">
      <w:pPr>
        <w:pStyle w:val="ListParagraph"/>
        <w:ind w:left="0"/>
        <w:rPr>
          <w:szCs w:val="22"/>
        </w:rPr>
      </w:pPr>
    </w:p>
    <w:p w:rsidR="00FB47ED" w:rsidRDefault="005D6A17" w:rsidP="00911839">
      <w:pPr>
        <w:tabs>
          <w:tab w:val="left" w:pos="567"/>
        </w:tabs>
        <w:ind w:left="5534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</w:r>
      <w:r w:rsidR="00FB47ED">
        <w:rPr>
          <w:i/>
        </w:rPr>
        <w:t xml:space="preserve">The CDIP is invited to take note of the </w:t>
      </w:r>
      <w:r w:rsidR="00FB47ED" w:rsidRPr="00911839">
        <w:rPr>
          <w:rStyle w:val="ONUMFSChar"/>
        </w:rPr>
        <w:t>information</w:t>
      </w:r>
      <w:r w:rsidR="00FB47ED">
        <w:rPr>
          <w:i/>
        </w:rPr>
        <w:t xml:space="preserve"> contained in this document</w:t>
      </w:r>
      <w:r w:rsidR="00911839">
        <w:rPr>
          <w:i/>
        </w:rPr>
        <w:t>.</w:t>
      </w:r>
    </w:p>
    <w:p w:rsidR="00911839" w:rsidRDefault="00911839" w:rsidP="00911839">
      <w:pPr>
        <w:tabs>
          <w:tab w:val="left" w:pos="567"/>
        </w:tabs>
        <w:ind w:left="5534"/>
        <w:rPr>
          <w:i/>
        </w:rPr>
      </w:pPr>
    </w:p>
    <w:p w:rsidR="0071552D" w:rsidRDefault="0071552D" w:rsidP="00911839">
      <w:pPr>
        <w:tabs>
          <w:tab w:val="left" w:pos="567"/>
        </w:tabs>
        <w:ind w:left="5534"/>
        <w:rPr>
          <w:i/>
        </w:rPr>
      </w:pPr>
    </w:p>
    <w:p w:rsidR="0071552D" w:rsidRDefault="0071552D" w:rsidP="00911839">
      <w:pPr>
        <w:tabs>
          <w:tab w:val="left" w:pos="567"/>
        </w:tabs>
        <w:ind w:left="5534"/>
        <w:rPr>
          <w:i/>
        </w:rPr>
      </w:pPr>
    </w:p>
    <w:p w:rsidR="00CB5B05" w:rsidRPr="00AB5BDF" w:rsidRDefault="00AB5BDF" w:rsidP="00911839">
      <w:pPr>
        <w:pStyle w:val="Endofdocument-Annex"/>
      </w:pPr>
      <w:r w:rsidRPr="00AB5BDF">
        <w:t>[End of</w:t>
      </w:r>
      <w:bookmarkStart w:id="5" w:name="_GoBack"/>
      <w:bookmarkEnd w:id="5"/>
      <w:r w:rsidRPr="00AB5BDF">
        <w:t xml:space="preserve"> document]</w:t>
      </w:r>
    </w:p>
    <w:sectPr w:rsidR="00CB5B05" w:rsidRPr="00AB5BDF" w:rsidSect="002122DC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31" w:rsidRDefault="00A11F31">
      <w:r>
        <w:separator/>
      </w:r>
    </w:p>
  </w:endnote>
  <w:endnote w:type="continuationSeparator" w:id="0">
    <w:p w:rsidR="00A11F31" w:rsidRDefault="00A11F31" w:rsidP="003B38C1">
      <w:r>
        <w:separator/>
      </w:r>
    </w:p>
    <w:p w:rsidR="00A11F31" w:rsidRPr="003B38C1" w:rsidRDefault="00A11F3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11F31" w:rsidRPr="003B38C1" w:rsidRDefault="00A11F3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31" w:rsidRDefault="00A11F31">
      <w:r>
        <w:separator/>
      </w:r>
    </w:p>
  </w:footnote>
  <w:footnote w:type="continuationSeparator" w:id="0">
    <w:p w:rsidR="00A11F31" w:rsidRDefault="00A11F31" w:rsidP="008B60B2">
      <w:r>
        <w:separator/>
      </w:r>
    </w:p>
    <w:p w:rsidR="00A11F31" w:rsidRPr="00ED77FB" w:rsidRDefault="00A11F3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11F31" w:rsidRPr="00ED77FB" w:rsidRDefault="00A11F3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27344" w:rsidRPr="00A3533B" w:rsidRDefault="00227344" w:rsidP="002273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533B">
        <w:t>WIPO Medium-Term Strategic Plan for 2016-2021 (</w:t>
      </w:r>
      <w:r>
        <w:t xml:space="preserve">document </w:t>
      </w:r>
      <w:r w:rsidRPr="00A3533B">
        <w:t>WO/PBC/25/18)</w:t>
      </w:r>
      <w:r>
        <w:t xml:space="preserve"> available at: </w:t>
      </w:r>
      <w:r w:rsidRPr="00067A49">
        <w:rPr>
          <w:u w:val="single"/>
        </w:rPr>
        <w:t>http://www.wipo.int/meetings/en/doc_details.jsp?doc_id=347458</w:t>
      </w:r>
    </w:p>
  </w:footnote>
  <w:footnote w:id="3">
    <w:p w:rsidR="00D42733" w:rsidRPr="00D42733" w:rsidRDefault="00D42733">
      <w:pPr>
        <w:pStyle w:val="FootnoteText"/>
        <w:rPr>
          <w:u w:val="single"/>
        </w:rPr>
      </w:pPr>
      <w:r>
        <w:rPr>
          <w:rStyle w:val="FootnoteReference"/>
        </w:rPr>
        <w:footnoteRef/>
      </w:r>
      <w:r>
        <w:t xml:space="preserve"> WIPO’s Financial Regulations are available at :</w:t>
      </w:r>
      <w:r w:rsidR="003354CB">
        <w:t xml:space="preserve"> </w:t>
      </w:r>
      <w:r w:rsidRPr="00D42733">
        <w:rPr>
          <w:u w:val="single"/>
        </w:rPr>
        <w:t>http://www.wipo.int/export/sites/www/about-wipo/en/pdf/wipo_financial_regulations.pdf</w:t>
      </w:r>
    </w:p>
  </w:footnote>
  <w:footnote w:id="4">
    <w:p w:rsidR="00A429D2" w:rsidRPr="004D15E6" w:rsidRDefault="00A429D2" w:rsidP="00A429D2">
      <w:pPr>
        <w:pStyle w:val="FootnoteText"/>
      </w:pPr>
      <w:r>
        <w:rPr>
          <w:rStyle w:val="FootnoteReference"/>
        </w:rPr>
        <w:footnoteRef/>
      </w:r>
      <w:r>
        <w:t xml:space="preserve"> This principle is also established in </w:t>
      </w:r>
      <w:r w:rsidR="00260A23" w:rsidRPr="00260A23">
        <w:t>Regulation 5.11</w:t>
      </w:r>
      <w:r w:rsidR="00260A23">
        <w:t xml:space="preserve">, </w:t>
      </w:r>
      <w:r w:rsidRPr="004D15E6">
        <w:t>Rule 105.14</w:t>
      </w:r>
      <w:r>
        <w:t xml:space="preserve"> </w:t>
      </w:r>
      <w:r w:rsidR="00260A23">
        <w:t xml:space="preserve">(Chapter 5, Section C) </w:t>
      </w:r>
      <w:r>
        <w:t xml:space="preserve">of </w:t>
      </w:r>
      <w:r w:rsidRPr="004D15E6">
        <w:t>WIPO Financial Regulations and Rules</w:t>
      </w:r>
      <w:r>
        <w:t>.</w:t>
      </w:r>
    </w:p>
  </w:footnote>
  <w:footnote w:id="5">
    <w:p w:rsidR="00105209" w:rsidRPr="003A6845" w:rsidRDefault="00105209" w:rsidP="00105209">
      <w:pPr>
        <w:pStyle w:val="FootnoteText"/>
      </w:pPr>
      <w:r>
        <w:rPr>
          <w:rStyle w:val="FootnoteReference"/>
        </w:rPr>
        <w:footnoteRef/>
      </w:r>
      <w:r>
        <w:t xml:space="preserve"> Section V, paragraph 14 of </w:t>
      </w:r>
      <w:r w:rsidRPr="003A6845">
        <w:t>WIPO Policy on ICS</w:t>
      </w:r>
    </w:p>
  </w:footnote>
  <w:footnote w:id="6">
    <w:p w:rsidR="00105209" w:rsidRPr="004D15E6" w:rsidRDefault="00105209" w:rsidP="00105209">
      <w:pPr>
        <w:pStyle w:val="FootnoteText"/>
      </w:pPr>
      <w:r>
        <w:rPr>
          <w:rStyle w:val="FootnoteReference"/>
        </w:rPr>
        <w:footnoteRef/>
      </w:r>
      <w:r>
        <w:t xml:space="preserve"> Section VI, paragraph 16(a) and Annex of </w:t>
      </w:r>
      <w:r w:rsidRPr="003A6845">
        <w:t xml:space="preserve">WIPO </w:t>
      </w:r>
      <w:r w:rsidR="00517B3F">
        <w:t>P</w:t>
      </w:r>
      <w:r w:rsidRPr="003A6845">
        <w:t>olicy on ICS</w:t>
      </w:r>
    </w:p>
  </w:footnote>
  <w:footnote w:id="7">
    <w:p w:rsidR="00ED54D0" w:rsidRPr="00ED54D0" w:rsidRDefault="00ED54D0" w:rsidP="00ED54D0">
      <w:pPr>
        <w:pStyle w:val="FootnoteText"/>
      </w:pPr>
      <w:r>
        <w:rPr>
          <w:rStyle w:val="FootnoteReference"/>
        </w:rPr>
        <w:footnoteRef/>
      </w:r>
      <w:r>
        <w:t xml:space="preserve"> Section II, paragraph 6(h) </w:t>
      </w:r>
      <w:r w:rsidRPr="00FF4250">
        <w:t xml:space="preserve">of WIPO </w:t>
      </w:r>
      <w:r>
        <w:t xml:space="preserve">Policy on ICS: </w:t>
      </w:r>
      <w:r w:rsidR="00E85A68">
        <w:t xml:space="preserve"> </w:t>
      </w:r>
      <w:r w:rsidRPr="00ED54D0">
        <w:rPr>
          <w:i/>
        </w:rPr>
        <w:t xml:space="preserve">“The file: The term “file” means the set of documents and evidence required to be attached to a request for non-staff resources. </w:t>
      </w:r>
      <w:r w:rsidR="00E85A68">
        <w:rPr>
          <w:i/>
        </w:rPr>
        <w:t xml:space="preserve"> </w:t>
      </w:r>
      <w:r w:rsidRPr="00ED54D0">
        <w:rPr>
          <w:i/>
        </w:rPr>
        <w:t>This includes (but is not limited to) resumes, offers, market information, memos, evaluation reports or relevant emails.”</w:t>
      </w:r>
    </w:p>
  </w:footnote>
  <w:footnote w:id="8">
    <w:p w:rsidR="00FF4250" w:rsidRPr="00FF4250" w:rsidRDefault="00FF4250" w:rsidP="00FF4250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="007319B7">
        <w:t>A</w:t>
      </w:r>
      <w:r w:rsidRPr="00FF4250">
        <w:t>nnex</w:t>
      </w:r>
      <w:r w:rsidR="007319B7">
        <w:t>, paragraph 3</w:t>
      </w:r>
      <w:r w:rsidRPr="00FF4250">
        <w:t xml:space="preserve"> of WIPO </w:t>
      </w:r>
      <w:r>
        <w:t>Policy on ICS:</w:t>
      </w:r>
      <w:r w:rsidR="00517B3F">
        <w:t xml:space="preserve"> </w:t>
      </w:r>
      <w:r w:rsidRPr="00FF4250">
        <w:rPr>
          <w:i/>
        </w:rPr>
        <w:t>“</w:t>
      </w:r>
      <w:r w:rsidR="00517B3F">
        <w:rPr>
          <w:i/>
        </w:rPr>
        <w:t xml:space="preserve">(…) </w:t>
      </w:r>
      <w:r w:rsidRPr="00FF4250">
        <w:rPr>
          <w:i/>
        </w:rPr>
        <w:t>For highly specialized services such as academic or scientific studies which do not lend themselves to advertisement, the Program Manager shall undertake as broad a market survey as practicable in order to ensure that the price WIPO pays is within the normal range for such work.”</w:t>
      </w:r>
    </w:p>
  </w:footnote>
  <w:footnote w:id="9">
    <w:p w:rsidR="007B00F9" w:rsidRPr="00EF04D7" w:rsidRDefault="007B00F9" w:rsidP="007B00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04D7">
        <w:t>WIPO Office Instruction No. 47/2014</w:t>
      </w:r>
      <w:r>
        <w:t xml:space="preserve"> </w:t>
      </w:r>
      <w:r w:rsidRPr="00EF04D7">
        <w:t>on Policy on Gender Equality</w:t>
      </w:r>
      <w:r w:rsidR="007319B7">
        <w:t xml:space="preserve"> available at</w:t>
      </w:r>
      <w:r w:rsidR="003354CB">
        <w:t>:</w:t>
      </w:r>
      <w:r w:rsidR="007319B7">
        <w:t xml:space="preserve"> http://www.wipo.int/export/sites/www/women-and-ip/docs/en/wipo_policy_gender_equality_en.pdf</w:t>
      </w:r>
    </w:p>
  </w:footnote>
  <w:footnote w:id="10">
    <w:p w:rsidR="00341F32" w:rsidRPr="00341F32" w:rsidRDefault="00341F32">
      <w:pPr>
        <w:pStyle w:val="FootnoteText"/>
      </w:pPr>
      <w:r>
        <w:rPr>
          <w:rStyle w:val="FootnoteReference"/>
        </w:rPr>
        <w:footnoteRef/>
      </w:r>
      <w:r>
        <w:t xml:space="preserve"> As referred in the General Practice of Section II above.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A9" w:rsidRDefault="00153AA9" w:rsidP="00153AA9">
    <w:pPr>
      <w:pStyle w:val="Header"/>
      <w:jc w:val="right"/>
    </w:pPr>
    <w:r>
      <w:t>CDIP/21/9</w:t>
    </w:r>
  </w:p>
  <w:p w:rsidR="00153AA9" w:rsidRDefault="00153AA9" w:rsidP="00153AA9">
    <w:pPr>
      <w:pStyle w:val="Header"/>
      <w:jc w:val="right"/>
      <w:rPr>
        <w:noProof/>
      </w:rPr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E1143">
      <w:rPr>
        <w:noProof/>
      </w:rPr>
      <w:t>6</w:t>
    </w:r>
    <w:r>
      <w:rPr>
        <w:noProof/>
      </w:rPr>
      <w:fldChar w:fldCharType="end"/>
    </w:r>
  </w:p>
  <w:p w:rsidR="00153AA9" w:rsidRDefault="00153AA9" w:rsidP="00153AA9">
    <w:pPr>
      <w:pStyle w:val="Header"/>
      <w:jc w:val="right"/>
    </w:pPr>
  </w:p>
  <w:p w:rsidR="00153AA9" w:rsidRDefault="00153A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6BE"/>
    <w:multiLevelType w:val="hybridMultilevel"/>
    <w:tmpl w:val="315265D6"/>
    <w:lvl w:ilvl="0" w:tplc="2A22AF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850"/>
        </w:tabs>
        <w:ind w:left="283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85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41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51"/>
        </w:tabs>
        <w:ind w:left="1984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118"/>
        </w:tabs>
        <w:ind w:left="2551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85"/>
        </w:tabs>
        <w:ind w:left="3118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3685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818"/>
        </w:tabs>
        <w:ind w:left="4252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85"/>
        </w:tabs>
        <w:ind w:left="4818" w:firstLine="0"/>
      </w:pPr>
      <w:rPr>
        <w:rFonts w:hint="default"/>
      </w:r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2C4C2157"/>
    <w:multiLevelType w:val="hybridMultilevel"/>
    <w:tmpl w:val="FB580260"/>
    <w:lvl w:ilvl="0" w:tplc="3A24C7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776D7"/>
    <w:multiLevelType w:val="hybridMultilevel"/>
    <w:tmpl w:val="D4E84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310A0B"/>
    <w:multiLevelType w:val="hybridMultilevel"/>
    <w:tmpl w:val="47FCE318"/>
    <w:lvl w:ilvl="0" w:tplc="03A42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54F57"/>
    <w:multiLevelType w:val="hybridMultilevel"/>
    <w:tmpl w:val="0822802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C1686"/>
    <w:multiLevelType w:val="hybridMultilevel"/>
    <w:tmpl w:val="6D3A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815C0"/>
    <w:multiLevelType w:val="hybridMultilevel"/>
    <w:tmpl w:val="34946EA0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E524F"/>
    <w:multiLevelType w:val="hybridMultilevel"/>
    <w:tmpl w:val="E4BA5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F94748"/>
    <w:multiLevelType w:val="hybridMultilevel"/>
    <w:tmpl w:val="A948C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94777E"/>
    <w:multiLevelType w:val="hybridMultilevel"/>
    <w:tmpl w:val="DCA05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2A6032"/>
    <w:multiLevelType w:val="hybridMultilevel"/>
    <w:tmpl w:val="F8C0A2F4"/>
    <w:lvl w:ilvl="0" w:tplc="D9F410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234D7B"/>
    <w:multiLevelType w:val="hybridMultilevel"/>
    <w:tmpl w:val="6F5457A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75021"/>
    <w:multiLevelType w:val="hybridMultilevel"/>
    <w:tmpl w:val="38884308"/>
    <w:lvl w:ilvl="0" w:tplc="DDB63F3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24596"/>
    <w:multiLevelType w:val="hybridMultilevel"/>
    <w:tmpl w:val="E4BE04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2C7EFF"/>
    <w:multiLevelType w:val="hybridMultilevel"/>
    <w:tmpl w:val="762E374A"/>
    <w:lvl w:ilvl="0" w:tplc="927635B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A1D0F26"/>
    <w:multiLevelType w:val="hybridMultilevel"/>
    <w:tmpl w:val="70480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12"/>
  </w:num>
  <w:num w:numId="10">
    <w:abstractNumId w:val="18"/>
  </w:num>
  <w:num w:numId="11">
    <w:abstractNumId w:val="17"/>
  </w:num>
  <w:num w:numId="12">
    <w:abstractNumId w:val="5"/>
  </w:num>
  <w:num w:numId="13">
    <w:abstractNumId w:val="14"/>
  </w:num>
  <w:num w:numId="14">
    <w:abstractNumId w:val="16"/>
  </w:num>
  <w:num w:numId="15">
    <w:abstractNumId w:val="8"/>
  </w:num>
  <w:num w:numId="16">
    <w:abstractNumId w:val="6"/>
  </w:num>
  <w:num w:numId="17">
    <w:abstractNumId w:val="15"/>
  </w:num>
  <w:num w:numId="18">
    <w:abstractNumId w:val="7"/>
  </w:num>
  <w:num w:numId="1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E9"/>
    <w:rsid w:val="00001E20"/>
    <w:rsid w:val="00012917"/>
    <w:rsid w:val="000309E4"/>
    <w:rsid w:val="00043CAA"/>
    <w:rsid w:val="000471DF"/>
    <w:rsid w:val="00052617"/>
    <w:rsid w:val="000748E2"/>
    <w:rsid w:val="00075432"/>
    <w:rsid w:val="00083E7B"/>
    <w:rsid w:val="00084FC0"/>
    <w:rsid w:val="000968ED"/>
    <w:rsid w:val="000B0425"/>
    <w:rsid w:val="000B12F2"/>
    <w:rsid w:val="000B30A0"/>
    <w:rsid w:val="000B330E"/>
    <w:rsid w:val="000C2FF1"/>
    <w:rsid w:val="000C59E4"/>
    <w:rsid w:val="000E2346"/>
    <w:rsid w:val="000E35F0"/>
    <w:rsid w:val="000E65DD"/>
    <w:rsid w:val="000F5E56"/>
    <w:rsid w:val="000F706B"/>
    <w:rsid w:val="00101B8A"/>
    <w:rsid w:val="00105209"/>
    <w:rsid w:val="00107138"/>
    <w:rsid w:val="0011494D"/>
    <w:rsid w:val="0013376C"/>
    <w:rsid w:val="001362EE"/>
    <w:rsid w:val="001508C2"/>
    <w:rsid w:val="00153AA9"/>
    <w:rsid w:val="00163D54"/>
    <w:rsid w:val="00172FE0"/>
    <w:rsid w:val="0017628A"/>
    <w:rsid w:val="001832A6"/>
    <w:rsid w:val="00190C1F"/>
    <w:rsid w:val="001C6003"/>
    <w:rsid w:val="001D59E6"/>
    <w:rsid w:val="001E39B7"/>
    <w:rsid w:val="001E3D72"/>
    <w:rsid w:val="001F2B00"/>
    <w:rsid w:val="002028F4"/>
    <w:rsid w:val="0021217E"/>
    <w:rsid w:val="002122DC"/>
    <w:rsid w:val="0022686D"/>
    <w:rsid w:val="00227344"/>
    <w:rsid w:val="00260A23"/>
    <w:rsid w:val="002634C4"/>
    <w:rsid w:val="00264100"/>
    <w:rsid w:val="00266902"/>
    <w:rsid w:val="00277CF7"/>
    <w:rsid w:val="0028539A"/>
    <w:rsid w:val="00290202"/>
    <w:rsid w:val="002928D3"/>
    <w:rsid w:val="002A0CAE"/>
    <w:rsid w:val="002A3346"/>
    <w:rsid w:val="002E068F"/>
    <w:rsid w:val="002E6CEB"/>
    <w:rsid w:val="002F1FE6"/>
    <w:rsid w:val="002F4E68"/>
    <w:rsid w:val="002F62BD"/>
    <w:rsid w:val="00312F7F"/>
    <w:rsid w:val="00325CF0"/>
    <w:rsid w:val="003273BA"/>
    <w:rsid w:val="00331FA3"/>
    <w:rsid w:val="003354CB"/>
    <w:rsid w:val="00341F32"/>
    <w:rsid w:val="0035218A"/>
    <w:rsid w:val="00361450"/>
    <w:rsid w:val="003673CF"/>
    <w:rsid w:val="00367479"/>
    <w:rsid w:val="00383E0E"/>
    <w:rsid w:val="003845C1"/>
    <w:rsid w:val="00390E2C"/>
    <w:rsid w:val="003920D2"/>
    <w:rsid w:val="00394B80"/>
    <w:rsid w:val="003A0218"/>
    <w:rsid w:val="003A23C3"/>
    <w:rsid w:val="003A35DF"/>
    <w:rsid w:val="003A560C"/>
    <w:rsid w:val="003A65F7"/>
    <w:rsid w:val="003A6845"/>
    <w:rsid w:val="003A6F89"/>
    <w:rsid w:val="003B38C1"/>
    <w:rsid w:val="003C0CC3"/>
    <w:rsid w:val="003C5DAF"/>
    <w:rsid w:val="003D6275"/>
    <w:rsid w:val="003D6783"/>
    <w:rsid w:val="003E1143"/>
    <w:rsid w:val="003E5718"/>
    <w:rsid w:val="003F030C"/>
    <w:rsid w:val="003F1ED8"/>
    <w:rsid w:val="003F5941"/>
    <w:rsid w:val="00401779"/>
    <w:rsid w:val="00416D88"/>
    <w:rsid w:val="0042061C"/>
    <w:rsid w:val="00423E3E"/>
    <w:rsid w:val="00427AF4"/>
    <w:rsid w:val="00447909"/>
    <w:rsid w:val="004647DA"/>
    <w:rsid w:val="00466F74"/>
    <w:rsid w:val="00474062"/>
    <w:rsid w:val="004745CB"/>
    <w:rsid w:val="00477D6B"/>
    <w:rsid w:val="00490F5D"/>
    <w:rsid w:val="004B5885"/>
    <w:rsid w:val="004C3E66"/>
    <w:rsid w:val="004D15E6"/>
    <w:rsid w:val="004D5867"/>
    <w:rsid w:val="004D5909"/>
    <w:rsid w:val="004E23B8"/>
    <w:rsid w:val="005019FF"/>
    <w:rsid w:val="005169EE"/>
    <w:rsid w:val="00517753"/>
    <w:rsid w:val="00517B3F"/>
    <w:rsid w:val="00521238"/>
    <w:rsid w:val="0052344F"/>
    <w:rsid w:val="0052512C"/>
    <w:rsid w:val="0053057A"/>
    <w:rsid w:val="00532BC1"/>
    <w:rsid w:val="00532D54"/>
    <w:rsid w:val="00536371"/>
    <w:rsid w:val="005558F9"/>
    <w:rsid w:val="0056078A"/>
    <w:rsid w:val="00560A29"/>
    <w:rsid w:val="00563334"/>
    <w:rsid w:val="005A0766"/>
    <w:rsid w:val="005B3205"/>
    <w:rsid w:val="005C448C"/>
    <w:rsid w:val="005C6649"/>
    <w:rsid w:val="005D64B8"/>
    <w:rsid w:val="005D6A17"/>
    <w:rsid w:val="00605827"/>
    <w:rsid w:val="00607525"/>
    <w:rsid w:val="00640B31"/>
    <w:rsid w:val="00646050"/>
    <w:rsid w:val="006643B7"/>
    <w:rsid w:val="006713CA"/>
    <w:rsid w:val="00676C5C"/>
    <w:rsid w:val="006A1852"/>
    <w:rsid w:val="006C4180"/>
    <w:rsid w:val="006C6850"/>
    <w:rsid w:val="006E71B6"/>
    <w:rsid w:val="006F0549"/>
    <w:rsid w:val="006F51F5"/>
    <w:rsid w:val="007140B6"/>
    <w:rsid w:val="0071552D"/>
    <w:rsid w:val="00716EAE"/>
    <w:rsid w:val="007178B7"/>
    <w:rsid w:val="007319B7"/>
    <w:rsid w:val="00744707"/>
    <w:rsid w:val="00753B39"/>
    <w:rsid w:val="00757CB4"/>
    <w:rsid w:val="007746C4"/>
    <w:rsid w:val="007765B9"/>
    <w:rsid w:val="007963D7"/>
    <w:rsid w:val="00797BD5"/>
    <w:rsid w:val="007B00F9"/>
    <w:rsid w:val="007D13A6"/>
    <w:rsid w:val="007D1613"/>
    <w:rsid w:val="007D47EF"/>
    <w:rsid w:val="007E4C0E"/>
    <w:rsid w:val="007E5BA1"/>
    <w:rsid w:val="007E6FF3"/>
    <w:rsid w:val="007F3700"/>
    <w:rsid w:val="007F55DA"/>
    <w:rsid w:val="00823DD6"/>
    <w:rsid w:val="00826207"/>
    <w:rsid w:val="0084505D"/>
    <w:rsid w:val="008478EF"/>
    <w:rsid w:val="00870F59"/>
    <w:rsid w:val="00871927"/>
    <w:rsid w:val="00871D5E"/>
    <w:rsid w:val="00872E60"/>
    <w:rsid w:val="00875DB4"/>
    <w:rsid w:val="00880680"/>
    <w:rsid w:val="00881F44"/>
    <w:rsid w:val="008830B1"/>
    <w:rsid w:val="008B1EF0"/>
    <w:rsid w:val="008B2CC1"/>
    <w:rsid w:val="008B60B2"/>
    <w:rsid w:val="008C101B"/>
    <w:rsid w:val="008C29CC"/>
    <w:rsid w:val="008D00FF"/>
    <w:rsid w:val="008D5AF3"/>
    <w:rsid w:val="008E19B6"/>
    <w:rsid w:val="008F513F"/>
    <w:rsid w:val="00902A7F"/>
    <w:rsid w:val="0090731E"/>
    <w:rsid w:val="00911839"/>
    <w:rsid w:val="009128CA"/>
    <w:rsid w:val="0091551A"/>
    <w:rsid w:val="00916EE2"/>
    <w:rsid w:val="0093615A"/>
    <w:rsid w:val="00937CDD"/>
    <w:rsid w:val="009431A3"/>
    <w:rsid w:val="00966A22"/>
    <w:rsid w:val="0096722F"/>
    <w:rsid w:val="00971002"/>
    <w:rsid w:val="009732DB"/>
    <w:rsid w:val="009737B1"/>
    <w:rsid w:val="00980843"/>
    <w:rsid w:val="00982C89"/>
    <w:rsid w:val="009A3FE9"/>
    <w:rsid w:val="009B452F"/>
    <w:rsid w:val="009B477B"/>
    <w:rsid w:val="009B4977"/>
    <w:rsid w:val="009B50D9"/>
    <w:rsid w:val="009D30C3"/>
    <w:rsid w:val="009E2791"/>
    <w:rsid w:val="009E3846"/>
    <w:rsid w:val="009E3F6F"/>
    <w:rsid w:val="009E760E"/>
    <w:rsid w:val="009F459A"/>
    <w:rsid w:val="009F499F"/>
    <w:rsid w:val="00A0392A"/>
    <w:rsid w:val="00A04012"/>
    <w:rsid w:val="00A11F31"/>
    <w:rsid w:val="00A157C6"/>
    <w:rsid w:val="00A16E6A"/>
    <w:rsid w:val="00A22790"/>
    <w:rsid w:val="00A26BE0"/>
    <w:rsid w:val="00A429D2"/>
    <w:rsid w:val="00A42DAF"/>
    <w:rsid w:val="00A45337"/>
    <w:rsid w:val="00A45BD8"/>
    <w:rsid w:val="00A52611"/>
    <w:rsid w:val="00A63B51"/>
    <w:rsid w:val="00A7366A"/>
    <w:rsid w:val="00A74905"/>
    <w:rsid w:val="00A869B7"/>
    <w:rsid w:val="00A95157"/>
    <w:rsid w:val="00AA6EBA"/>
    <w:rsid w:val="00AB5BDF"/>
    <w:rsid w:val="00AC205C"/>
    <w:rsid w:val="00AD18AE"/>
    <w:rsid w:val="00AF0A6B"/>
    <w:rsid w:val="00AF5CCA"/>
    <w:rsid w:val="00B0438D"/>
    <w:rsid w:val="00B05A69"/>
    <w:rsid w:val="00B11C36"/>
    <w:rsid w:val="00B14FC0"/>
    <w:rsid w:val="00B64DD1"/>
    <w:rsid w:val="00B77066"/>
    <w:rsid w:val="00B80DCE"/>
    <w:rsid w:val="00B8312D"/>
    <w:rsid w:val="00B93139"/>
    <w:rsid w:val="00B9734B"/>
    <w:rsid w:val="00BA30E2"/>
    <w:rsid w:val="00BB0871"/>
    <w:rsid w:val="00BC5E4D"/>
    <w:rsid w:val="00BD6D83"/>
    <w:rsid w:val="00BF2522"/>
    <w:rsid w:val="00BF32E2"/>
    <w:rsid w:val="00BF64D6"/>
    <w:rsid w:val="00C01F4C"/>
    <w:rsid w:val="00C07F44"/>
    <w:rsid w:val="00C11BFE"/>
    <w:rsid w:val="00C24089"/>
    <w:rsid w:val="00C3060E"/>
    <w:rsid w:val="00C31878"/>
    <w:rsid w:val="00C35164"/>
    <w:rsid w:val="00C44695"/>
    <w:rsid w:val="00C5068F"/>
    <w:rsid w:val="00C6131F"/>
    <w:rsid w:val="00C8309D"/>
    <w:rsid w:val="00C8360E"/>
    <w:rsid w:val="00CB0C76"/>
    <w:rsid w:val="00CB1DF6"/>
    <w:rsid w:val="00CB5B05"/>
    <w:rsid w:val="00CD04F1"/>
    <w:rsid w:val="00CE35E1"/>
    <w:rsid w:val="00CE51AF"/>
    <w:rsid w:val="00D06E01"/>
    <w:rsid w:val="00D10698"/>
    <w:rsid w:val="00D13541"/>
    <w:rsid w:val="00D21A69"/>
    <w:rsid w:val="00D231F5"/>
    <w:rsid w:val="00D42733"/>
    <w:rsid w:val="00D45252"/>
    <w:rsid w:val="00D60685"/>
    <w:rsid w:val="00D64665"/>
    <w:rsid w:val="00D71B4D"/>
    <w:rsid w:val="00D746A4"/>
    <w:rsid w:val="00D82400"/>
    <w:rsid w:val="00D93D55"/>
    <w:rsid w:val="00DB2734"/>
    <w:rsid w:val="00DD4077"/>
    <w:rsid w:val="00DF3FB3"/>
    <w:rsid w:val="00E06BC8"/>
    <w:rsid w:val="00E15015"/>
    <w:rsid w:val="00E335FE"/>
    <w:rsid w:val="00E51A89"/>
    <w:rsid w:val="00E55FEC"/>
    <w:rsid w:val="00E85A68"/>
    <w:rsid w:val="00E87511"/>
    <w:rsid w:val="00EA2064"/>
    <w:rsid w:val="00EA283D"/>
    <w:rsid w:val="00EA51C9"/>
    <w:rsid w:val="00EC1A1F"/>
    <w:rsid w:val="00EC489B"/>
    <w:rsid w:val="00EC4E49"/>
    <w:rsid w:val="00ED54D0"/>
    <w:rsid w:val="00ED77FB"/>
    <w:rsid w:val="00EE1FF1"/>
    <w:rsid w:val="00EE45FA"/>
    <w:rsid w:val="00EF1D89"/>
    <w:rsid w:val="00F10B6C"/>
    <w:rsid w:val="00F17CCA"/>
    <w:rsid w:val="00F21262"/>
    <w:rsid w:val="00F27E10"/>
    <w:rsid w:val="00F3518F"/>
    <w:rsid w:val="00F66152"/>
    <w:rsid w:val="00F70997"/>
    <w:rsid w:val="00F7189F"/>
    <w:rsid w:val="00F72C16"/>
    <w:rsid w:val="00F868A4"/>
    <w:rsid w:val="00F957AD"/>
    <w:rsid w:val="00FA090D"/>
    <w:rsid w:val="00FA42E3"/>
    <w:rsid w:val="00FA584E"/>
    <w:rsid w:val="00FB03E8"/>
    <w:rsid w:val="00FB3531"/>
    <w:rsid w:val="00FB47ED"/>
    <w:rsid w:val="00FC365C"/>
    <w:rsid w:val="00FC6931"/>
    <w:rsid w:val="00FF0706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9A3FE9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9A3F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3FE9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A3FE9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7140B6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8B1EF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B3531"/>
    <w:rPr>
      <w:rFonts w:ascii="Arial" w:eastAsia="SimSun" w:hAnsi="Arial" w:cs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3531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3531"/>
    <w:rPr>
      <w:rFonts w:ascii="Courier New" w:eastAsia="Calibri" w:hAnsi="Courier New"/>
      <w:sz w:val="22"/>
      <w:szCs w:val="21"/>
      <w:lang w:val="en-US" w:eastAsia="en-US"/>
    </w:rPr>
  </w:style>
  <w:style w:type="character" w:customStyle="1" w:styleId="ONUMFSChar">
    <w:name w:val="ONUM FS Char"/>
    <w:basedOn w:val="DefaultParagraphFont"/>
    <w:link w:val="ONUMFS"/>
    <w:rsid w:val="00911839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9A3FE9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9A3F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3FE9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A3FE9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7140B6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8B1EF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B3531"/>
    <w:rPr>
      <w:rFonts w:ascii="Arial" w:eastAsia="SimSun" w:hAnsi="Arial" w:cs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3531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3531"/>
    <w:rPr>
      <w:rFonts w:ascii="Courier New" w:eastAsia="Calibri" w:hAnsi="Courier New"/>
      <w:sz w:val="22"/>
      <w:szCs w:val="21"/>
      <w:lang w:val="en-US" w:eastAsia="en-US"/>
    </w:rPr>
  </w:style>
  <w:style w:type="character" w:customStyle="1" w:styleId="ONUMFSChar">
    <w:name w:val="ONUM FS Char"/>
    <w:basedOn w:val="DefaultParagraphFont"/>
    <w:link w:val="ONUMFS"/>
    <w:rsid w:val="00911839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ipo.int/roc/en/index.j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E233-E48C-480D-9F2D-406CE0D6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20 (E).dotm</Template>
  <TotalTime>13</TotalTime>
  <Pages>6</Pages>
  <Words>2149</Words>
  <Characters>12723</Characters>
  <Application>Microsoft Office Word</Application>
  <DocSecurity>0</DocSecurity>
  <Lines>265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</vt:lpstr>
    </vt:vector>
  </TitlesOfParts>
  <Company>WIPO</Company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DORE Marie-Pierre</dc:creator>
  <cp:lastModifiedBy>BRACI Biljana</cp:lastModifiedBy>
  <cp:revision>9</cp:revision>
  <cp:lastPrinted>2018-03-26T09:36:00Z</cp:lastPrinted>
  <dcterms:created xsi:type="dcterms:W3CDTF">2018-03-20T10:50:00Z</dcterms:created>
  <dcterms:modified xsi:type="dcterms:W3CDTF">2018-03-26T09:38:00Z</dcterms:modified>
</cp:coreProperties>
</file>