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419ED" w:rsidRPr="008B2CC1" w:rsidTr="00275B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19ED" w:rsidRPr="008B2CC1" w:rsidRDefault="002419ED" w:rsidP="00275B5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2419ED" w:rsidP="00275B59">
            <w:r>
              <w:rPr>
                <w:noProof/>
                <w:lang w:eastAsia="en-US"/>
              </w:rPr>
              <w:drawing>
                <wp:inline distT="0" distB="0" distL="0" distR="0" wp14:anchorId="6BD0AA2A" wp14:editId="3F1D070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2419ED" w:rsidP="00275B59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419ED" w:rsidRPr="001832A6" w:rsidTr="00275B5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19ED" w:rsidRPr="0090731E" w:rsidRDefault="002419ED" w:rsidP="0068627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</w:t>
            </w:r>
            <w:bookmarkStart w:id="0" w:name="Code"/>
            <w:bookmarkEnd w:id="0"/>
            <w:r w:rsidR="00D93BCC">
              <w:rPr>
                <w:rFonts w:ascii="Arial Black" w:hAnsi="Arial Black"/>
                <w:caps/>
                <w:sz w:val="15"/>
              </w:rPr>
              <w:t>20</w:t>
            </w:r>
            <w:r w:rsidR="00275B59">
              <w:rPr>
                <w:rFonts w:ascii="Arial Black" w:hAnsi="Arial Black"/>
                <w:caps/>
                <w:sz w:val="15"/>
              </w:rPr>
              <w:t>/</w:t>
            </w:r>
            <w:r w:rsidR="0068627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419ED" w:rsidRPr="001832A6" w:rsidTr="00275B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19ED" w:rsidRPr="0090731E" w:rsidRDefault="005C605B" w:rsidP="00275B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077885">
              <w:rPr>
                <w:rFonts w:ascii="Arial Black" w:hAnsi="Arial Black"/>
                <w:caps/>
                <w:sz w:val="15"/>
              </w:rPr>
              <w:t xml:space="preserve"> </w:t>
            </w:r>
            <w:r w:rsidR="002419ED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2419ED">
              <w:rPr>
                <w:rFonts w:ascii="Arial Black" w:hAnsi="Arial Black"/>
                <w:caps/>
                <w:sz w:val="15"/>
              </w:rPr>
              <w:t xml:space="preserve"> </w:t>
            </w:r>
            <w:r w:rsidR="002419E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419E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2419ED" w:rsidRPr="001832A6" w:rsidTr="00275B5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19ED" w:rsidRPr="0090731E" w:rsidRDefault="002419ED" w:rsidP="005D71A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D71A4">
              <w:rPr>
                <w:rFonts w:ascii="Arial Black" w:hAnsi="Arial Black"/>
                <w:caps/>
                <w:sz w:val="15"/>
              </w:rPr>
              <w:t>October 5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D93BCC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366EA" w:rsidP="008B2CC1">
      <w:pPr>
        <w:rPr>
          <w:b/>
          <w:sz w:val="28"/>
          <w:szCs w:val="28"/>
        </w:rPr>
      </w:pPr>
      <w:r w:rsidRPr="000366EA"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845C1" w:rsidRDefault="003845C1" w:rsidP="003845C1"/>
    <w:p w:rsidR="008B2CC1" w:rsidRPr="003845C1" w:rsidRDefault="00D93BC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Twentieth</w:t>
      </w:r>
      <w:r w:rsidR="000366EA"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:rsidR="008B2CC1" w:rsidRPr="00D93BCC" w:rsidRDefault="00D93BC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Pr="00D93BCC">
        <w:rPr>
          <w:b/>
          <w:sz w:val="24"/>
          <w:szCs w:val="24"/>
        </w:rPr>
        <w:t>November 27 to December 1, 2017</w:t>
      </w:r>
    </w:p>
    <w:p w:rsidR="00C46E3C" w:rsidRDefault="00C46E3C" w:rsidP="002444DB">
      <w:pPr>
        <w:rPr>
          <w:caps/>
          <w:sz w:val="24"/>
        </w:rPr>
      </w:pPr>
    </w:p>
    <w:p w:rsidR="00035DDA" w:rsidRPr="002444DB" w:rsidRDefault="00C83160" w:rsidP="002444DB">
      <w:pPr>
        <w:rPr>
          <w:caps/>
          <w:sz w:val="24"/>
        </w:rPr>
      </w:pPr>
      <w:r>
        <w:rPr>
          <w:sz w:val="24"/>
        </w:rPr>
        <w:t>MEASURES UNDERTAKEN TO DISSEMINATE THE INFORMATION CONTAINED IN T</w:t>
      </w:r>
      <w:r w:rsidRPr="00D93BCC">
        <w:rPr>
          <w:sz w:val="24"/>
        </w:rPr>
        <w:t xml:space="preserve">HE DATABASE </w:t>
      </w:r>
      <w:r w:rsidR="00E25C6A">
        <w:rPr>
          <w:sz w:val="24"/>
        </w:rPr>
        <w:t>ON</w:t>
      </w:r>
      <w:r>
        <w:rPr>
          <w:sz w:val="24"/>
        </w:rPr>
        <w:t xml:space="preserve"> FLEXIBILITIES</w:t>
      </w:r>
    </w:p>
    <w:p w:rsidR="00061712" w:rsidRPr="00061712" w:rsidRDefault="00061712" w:rsidP="00061712"/>
    <w:p w:rsidR="00827F61" w:rsidRPr="008B2CC1" w:rsidRDefault="00827F61" w:rsidP="00324388">
      <w:pPr>
        <w:rPr>
          <w:i/>
        </w:rPr>
      </w:pPr>
      <w:bookmarkStart w:id="3" w:name="Prepared"/>
      <w:bookmarkEnd w:id="3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="00D602A1">
        <w:rPr>
          <w:i/>
        </w:rPr>
        <w:t>the Secretariat</w:t>
      </w:r>
    </w:p>
    <w:p w:rsidR="00827F61" w:rsidRPr="003B0B71" w:rsidRDefault="00827F61" w:rsidP="00827F61">
      <w:pPr>
        <w:rPr>
          <w:i/>
        </w:rPr>
      </w:pPr>
    </w:p>
    <w:p w:rsidR="00827F61" w:rsidRDefault="00827F61" w:rsidP="00827F61"/>
    <w:p w:rsidR="00827F61" w:rsidRDefault="00827F61" w:rsidP="00827F61"/>
    <w:p w:rsidR="00D93BCC" w:rsidRDefault="001C5066" w:rsidP="00D93BCC">
      <w:r>
        <w:t xml:space="preserve">1. </w:t>
      </w:r>
      <w:r>
        <w:tab/>
      </w:r>
      <w:r w:rsidR="00D36E22">
        <w:t xml:space="preserve">It is recalled that </w:t>
      </w:r>
      <w:r>
        <w:t>w</w:t>
      </w:r>
      <w:r w:rsidR="00D93BCC">
        <w:t xml:space="preserve">hile discussing the Revised Proposal for a Mechanism for Updating the Database on Flexibilities (document CDIP/18/5), the </w:t>
      </w:r>
      <w:r w:rsidR="00D46B9C">
        <w:t>eighteenth</w:t>
      </w:r>
      <w:bookmarkStart w:id="4" w:name="_GoBack"/>
      <w:bookmarkEnd w:id="4"/>
      <w:r w:rsidR="00D93BCC">
        <w:t xml:space="preserve"> session of the </w:t>
      </w:r>
      <w:r w:rsidR="00B90F55">
        <w:t xml:space="preserve">Committee </w:t>
      </w:r>
      <w:r w:rsidR="00EB0A62">
        <w:t xml:space="preserve">on Development and Intellectual Property (CDIP), </w:t>
      </w:r>
      <w:r w:rsidR="00D93BCC">
        <w:t>request</w:t>
      </w:r>
      <w:r w:rsidR="00C46E3C">
        <w:t>ed</w:t>
      </w:r>
      <w:r w:rsidR="00D93BCC">
        <w:t xml:space="preserve"> the Secretariat to, </w:t>
      </w:r>
      <w:r w:rsidR="00D93BCC" w:rsidRPr="00D93BCC">
        <w:rPr>
          <w:i/>
        </w:rPr>
        <w:t>inter alia</w:t>
      </w:r>
      <w:r w:rsidR="00D93BCC">
        <w:t>, “undertake measures to ensure a better dissemination of the information contained in the Database and inform the Committee at a future session on those measures.”</w:t>
      </w:r>
      <w:r>
        <w:t xml:space="preserve"> (Paragraph </w:t>
      </w:r>
      <w:r w:rsidRPr="001C5066">
        <w:t>7.2</w:t>
      </w:r>
      <w:r>
        <w:t xml:space="preserve"> of the Summary by the Chair of the </w:t>
      </w:r>
      <w:r w:rsidR="0042351D">
        <w:t>eighteenth</w:t>
      </w:r>
      <w:r>
        <w:t xml:space="preserve"> session of the CDIP</w:t>
      </w:r>
      <w:r w:rsidR="00C46E3C">
        <w:t xml:space="preserve"> refers</w:t>
      </w:r>
      <w:r w:rsidR="00344F53">
        <w:t>.</w:t>
      </w:r>
      <w:r>
        <w:t>)</w:t>
      </w:r>
    </w:p>
    <w:p w:rsidR="00004F6A" w:rsidRDefault="00004F6A" w:rsidP="00E96ADE"/>
    <w:p w:rsidR="00D93BCC" w:rsidRPr="002444DB" w:rsidRDefault="000C68D2" w:rsidP="00D93BCC">
      <w:pPr>
        <w:rPr>
          <w:caps/>
          <w:sz w:val="24"/>
        </w:rPr>
      </w:pPr>
      <w:r>
        <w:t>2.</w:t>
      </w:r>
      <w:r>
        <w:tab/>
      </w:r>
      <w:r w:rsidR="00275B59">
        <w:t xml:space="preserve">Accordingly, </w:t>
      </w:r>
      <w:r w:rsidR="00A5052C">
        <w:rPr>
          <w:szCs w:val="22"/>
        </w:rPr>
        <w:t>a report responding to the above mentioned decision</w:t>
      </w:r>
      <w:r w:rsidR="00A5052C">
        <w:t xml:space="preserve"> is contained in the annexes of this document</w:t>
      </w:r>
      <w:r w:rsidR="00D93BCC">
        <w:t>.</w:t>
      </w:r>
    </w:p>
    <w:p w:rsidR="00E96ADE" w:rsidRDefault="00E96ADE" w:rsidP="00827F61">
      <w:pPr>
        <w:rPr>
          <w:szCs w:val="22"/>
        </w:rPr>
      </w:pPr>
    </w:p>
    <w:p w:rsidR="00827F61" w:rsidRPr="00222FB1" w:rsidRDefault="00653CDB" w:rsidP="00222FB1">
      <w:pPr>
        <w:pStyle w:val="Endofdocument-Annex"/>
        <w:tabs>
          <w:tab w:val="left" w:pos="567"/>
        </w:tabs>
        <w:ind w:left="5533"/>
        <w:rPr>
          <w:i/>
          <w:iCs/>
          <w:szCs w:val="22"/>
        </w:rPr>
      </w:pPr>
      <w:r>
        <w:rPr>
          <w:i/>
          <w:iCs/>
          <w:szCs w:val="22"/>
        </w:rPr>
        <w:t>3.</w:t>
      </w:r>
      <w:r>
        <w:rPr>
          <w:i/>
          <w:iCs/>
          <w:szCs w:val="22"/>
        </w:rPr>
        <w:tab/>
      </w:r>
      <w:r w:rsidR="00827F61" w:rsidRPr="00222FB1">
        <w:rPr>
          <w:i/>
          <w:iCs/>
          <w:szCs w:val="22"/>
        </w:rPr>
        <w:t xml:space="preserve">The CDIP is invited to </w:t>
      </w:r>
      <w:r w:rsidR="00923EA1" w:rsidRPr="00222FB1">
        <w:rPr>
          <w:i/>
          <w:iCs/>
          <w:szCs w:val="22"/>
        </w:rPr>
        <w:t>consider</w:t>
      </w:r>
      <w:r w:rsidR="00827F61" w:rsidRPr="00222FB1">
        <w:rPr>
          <w:i/>
          <w:iCs/>
          <w:szCs w:val="22"/>
        </w:rPr>
        <w:t xml:space="preserve"> the information contained in the Annex</w:t>
      </w:r>
      <w:r w:rsidR="00A5052C">
        <w:rPr>
          <w:i/>
          <w:iCs/>
          <w:szCs w:val="22"/>
        </w:rPr>
        <w:t>es</w:t>
      </w:r>
      <w:r w:rsidR="00827F61" w:rsidRPr="00222FB1">
        <w:rPr>
          <w:i/>
          <w:iCs/>
          <w:szCs w:val="22"/>
        </w:rPr>
        <w:t xml:space="preserve"> to this document.</w:t>
      </w:r>
    </w:p>
    <w:p w:rsidR="00827F61" w:rsidRPr="00222FB1" w:rsidRDefault="00827F61" w:rsidP="00222FB1">
      <w:pPr>
        <w:ind w:left="5533"/>
        <w:rPr>
          <w:i/>
        </w:rPr>
      </w:pPr>
    </w:p>
    <w:p w:rsidR="0068452E" w:rsidRPr="004907DF" w:rsidRDefault="0068452E" w:rsidP="00827F61"/>
    <w:p w:rsidR="00827F61" w:rsidRPr="004907DF" w:rsidRDefault="00827F61" w:rsidP="00827F61"/>
    <w:p w:rsidR="00291A49" w:rsidRDefault="00827F61" w:rsidP="00222FB1">
      <w:pPr>
        <w:pStyle w:val="Endofdocument-Annex"/>
        <w:sectPr w:rsidR="00291A49" w:rsidSect="00364C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  <w:r w:rsidRPr="004907DF">
        <w:t>[</w:t>
      </w:r>
      <w:r w:rsidRPr="004907DF">
        <w:rPr>
          <w:rStyle w:val="Endofdocument-AnnexChar"/>
        </w:rPr>
        <w:t>Annex</w:t>
      </w:r>
      <w:r w:rsidR="00A5052C">
        <w:rPr>
          <w:rStyle w:val="Endofdocument-AnnexChar"/>
        </w:rPr>
        <w:t>es</w:t>
      </w:r>
      <w:r w:rsidRPr="004907DF">
        <w:t xml:space="preserve"> </w:t>
      </w:r>
      <w:r w:rsidR="006B4B4E" w:rsidRPr="004907DF">
        <w:t>follow</w:t>
      </w:r>
      <w:r w:rsidRPr="004907DF">
        <w:t>]</w:t>
      </w:r>
      <w:r>
        <w:t xml:space="preserve"> </w:t>
      </w:r>
    </w:p>
    <w:p w:rsidR="0053407C" w:rsidRPr="00C823C7" w:rsidRDefault="0053407C" w:rsidP="009458A4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 w:rsidRPr="00C823C7">
        <w:rPr>
          <w:rFonts w:ascii="Arial" w:eastAsiaTheme="minorEastAsia" w:hAnsi="Arial" w:cs="Arial"/>
          <w:b/>
          <w:color w:val="000000" w:themeColor="text1"/>
          <w:sz w:val="22"/>
          <w:szCs w:val="22"/>
        </w:rPr>
        <w:lastRenderedPageBreak/>
        <w:t>BACKGROUND</w:t>
      </w:r>
    </w:p>
    <w:p w:rsidR="00D40D6E" w:rsidRDefault="00D40D6E" w:rsidP="0053407C">
      <w:pPr>
        <w:pStyle w:val="NormalWeb"/>
        <w:kinsoku w:val="0"/>
        <w:overflowPunct w:val="0"/>
        <w:spacing w:before="9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:rsidR="00B568B8" w:rsidRDefault="007204B5" w:rsidP="0012610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55542" w:rsidRPr="008A2AA4">
        <w:t xml:space="preserve">The </w:t>
      </w:r>
      <w:r w:rsidR="0067644E">
        <w:rPr>
          <w:szCs w:val="22"/>
        </w:rPr>
        <w:t>Database</w:t>
      </w:r>
      <w:r w:rsidR="00046235">
        <w:rPr>
          <w:szCs w:val="22"/>
        </w:rPr>
        <w:t xml:space="preserve"> on Flexibilities in the I</w:t>
      </w:r>
      <w:r w:rsidR="00EF06C5">
        <w:rPr>
          <w:szCs w:val="22"/>
        </w:rPr>
        <w:t xml:space="preserve">ntellectual </w:t>
      </w:r>
      <w:r w:rsidR="00046235">
        <w:rPr>
          <w:szCs w:val="22"/>
        </w:rPr>
        <w:t>P</w:t>
      </w:r>
      <w:r w:rsidR="00EF06C5">
        <w:rPr>
          <w:szCs w:val="22"/>
        </w:rPr>
        <w:t>roperty</w:t>
      </w:r>
      <w:r w:rsidR="00046235">
        <w:rPr>
          <w:szCs w:val="22"/>
        </w:rPr>
        <w:t xml:space="preserve"> System (hereinafter, the </w:t>
      </w:r>
      <w:r w:rsidR="000C68D2">
        <w:rPr>
          <w:szCs w:val="22"/>
        </w:rPr>
        <w:t>“</w:t>
      </w:r>
      <w:r w:rsidR="0067644E">
        <w:rPr>
          <w:szCs w:val="22"/>
        </w:rPr>
        <w:t>Database</w:t>
      </w:r>
      <w:r w:rsidR="000C68D2">
        <w:rPr>
          <w:szCs w:val="22"/>
        </w:rPr>
        <w:t>”</w:t>
      </w:r>
      <w:r w:rsidR="00046235">
        <w:rPr>
          <w:szCs w:val="22"/>
        </w:rPr>
        <w:t xml:space="preserve">) </w:t>
      </w:r>
      <w:r w:rsidR="00F55542" w:rsidRPr="008A2AA4">
        <w:t xml:space="preserve">was </w:t>
      </w:r>
      <w:r w:rsidR="001C5066">
        <w:t>establishe</w:t>
      </w:r>
      <w:r w:rsidR="00463A28">
        <w:t>d</w:t>
      </w:r>
      <w:r w:rsidR="00F55542" w:rsidRPr="008A2AA4">
        <w:t xml:space="preserve"> in</w:t>
      </w:r>
      <w:r w:rsidR="00F55542">
        <w:t xml:space="preserve"> June</w:t>
      </w:r>
      <w:r w:rsidR="00F55542" w:rsidRPr="008A2AA4">
        <w:t xml:space="preserve"> 2013</w:t>
      </w:r>
      <w:r w:rsidR="00F55542">
        <w:t>, as agreed by the</w:t>
      </w:r>
      <w:r w:rsidR="00463A28">
        <w:t xml:space="preserve"> Committee at its sixth session</w:t>
      </w:r>
      <w:r w:rsidR="00061712">
        <w:t xml:space="preserve">: </w:t>
      </w:r>
      <w:r>
        <w:t xml:space="preserve"> </w:t>
      </w:r>
      <w:hyperlink r:id="rId16" w:history="1">
        <w:r w:rsidR="00A5052C" w:rsidRPr="001E6E57">
          <w:rPr>
            <w:rStyle w:val="Hyperlink"/>
          </w:rPr>
          <w:t>http://www.wipo.int/ip-development/en/agenda/flexibilities/database.html</w:t>
        </w:r>
      </w:hyperlink>
      <w:r w:rsidR="00463A28">
        <w:t>.</w:t>
      </w:r>
      <w:r w:rsidR="00496D2F">
        <w:t xml:space="preserve"> </w:t>
      </w:r>
      <w:r w:rsidR="00463A28">
        <w:t xml:space="preserve"> </w:t>
      </w:r>
    </w:p>
    <w:p w:rsidR="007204B5" w:rsidRDefault="007204B5" w:rsidP="0012610D"/>
    <w:p w:rsidR="00D93BCC" w:rsidRDefault="00E96ADE" w:rsidP="00222FB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93BCC">
        <w:t xml:space="preserve">Upon request by the Committee at its fifteenth session, the Database was updated in 2015 </w:t>
      </w:r>
      <w:r w:rsidR="00C46E3C">
        <w:t xml:space="preserve">and </w:t>
      </w:r>
      <w:r w:rsidR="00EF06C5">
        <w:t xml:space="preserve">currently </w:t>
      </w:r>
      <w:r w:rsidR="001C5066">
        <w:t>hold</w:t>
      </w:r>
      <w:r w:rsidR="00EF06C5">
        <w:t xml:space="preserve">s </w:t>
      </w:r>
      <w:r w:rsidR="00EF06C5" w:rsidRPr="009A0204">
        <w:t>1</w:t>
      </w:r>
      <w:r w:rsidR="00EF06C5">
        <w:t>,</w:t>
      </w:r>
      <w:r w:rsidR="00EF06C5" w:rsidRPr="009A0204">
        <w:t>371</w:t>
      </w:r>
      <w:r w:rsidR="00EF06C5">
        <w:t> provisions from 202 selected jurisdictions drawn from Documents</w:t>
      </w:r>
      <w:r w:rsidR="00EF06C5" w:rsidRPr="00B60BD6">
        <w:rPr>
          <w:szCs w:val="22"/>
        </w:rPr>
        <w:t xml:space="preserve"> </w:t>
      </w:r>
      <w:r w:rsidR="00EF06C5" w:rsidRPr="00B568B8">
        <w:rPr>
          <w:szCs w:val="22"/>
        </w:rPr>
        <w:t>CDIP/5/4 Rev.</w:t>
      </w:r>
      <w:r w:rsidR="00EF06C5">
        <w:rPr>
          <w:szCs w:val="22"/>
        </w:rPr>
        <w:t xml:space="preserve">, </w:t>
      </w:r>
      <w:r w:rsidR="00EF06C5" w:rsidRPr="008A2AA4">
        <w:t>CDIP/7/3 Add</w:t>
      </w:r>
      <w:r w:rsidR="00EF06C5">
        <w:t>.</w:t>
      </w:r>
      <w:r w:rsidR="00EF06C5" w:rsidRPr="008A2AA4">
        <w:t>,</w:t>
      </w:r>
      <w:r w:rsidR="00EF06C5">
        <w:t xml:space="preserve"> CDIP/13/10 Rev. and CDIP/15/6</w:t>
      </w:r>
      <w:r w:rsidR="00EF06C5" w:rsidRPr="00B60BD6">
        <w:rPr>
          <w:color w:val="000000"/>
          <w:szCs w:val="22"/>
        </w:rPr>
        <w:t xml:space="preserve"> </w:t>
      </w:r>
      <w:r w:rsidR="00EF06C5">
        <w:rPr>
          <w:color w:val="000000"/>
          <w:szCs w:val="22"/>
        </w:rPr>
        <w:t xml:space="preserve">Corr. </w:t>
      </w:r>
      <w:r w:rsidR="00EF06C5" w:rsidRPr="00B60BD6">
        <w:rPr>
          <w:color w:val="000000"/>
          <w:szCs w:val="22"/>
        </w:rPr>
        <w:t>on Patent Related Flexibilities</w:t>
      </w:r>
      <w:r w:rsidR="00EF06C5">
        <w:rPr>
          <w:color w:val="000000"/>
          <w:szCs w:val="22"/>
        </w:rPr>
        <w:t xml:space="preserve"> </w:t>
      </w:r>
      <w:r w:rsidR="00EF06C5" w:rsidRPr="00F93568">
        <w:rPr>
          <w:color w:val="000000"/>
          <w:szCs w:val="22"/>
        </w:rPr>
        <w:t>in the Multilateral Legal Framework and their Legislative Implementation at t</w:t>
      </w:r>
      <w:r w:rsidR="00EF06C5">
        <w:rPr>
          <w:color w:val="000000"/>
          <w:szCs w:val="22"/>
        </w:rPr>
        <w:t>he National and Regional Levels</w:t>
      </w:r>
      <w:r w:rsidR="00EF06C5">
        <w:rPr>
          <w:rStyle w:val="FootnoteReference"/>
          <w:color w:val="000000"/>
          <w:szCs w:val="22"/>
        </w:rPr>
        <w:footnoteReference w:id="2"/>
      </w:r>
      <w:r w:rsidR="0098048D">
        <w:rPr>
          <w:color w:val="000000"/>
          <w:szCs w:val="22"/>
        </w:rPr>
        <w:t>.</w:t>
      </w:r>
      <w:r w:rsidR="00D93BCC">
        <w:t xml:space="preserve"> </w:t>
      </w:r>
    </w:p>
    <w:p w:rsidR="00D93BCC" w:rsidRDefault="00D93BCC" w:rsidP="00222FB1"/>
    <w:p w:rsidR="00433875" w:rsidRDefault="00C54239" w:rsidP="00F84DD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32F48">
        <w:t xml:space="preserve">At its eighteenth session, while agreeing </w:t>
      </w:r>
      <w:r w:rsidR="00C46E3C">
        <w:t>up</w:t>
      </w:r>
      <w:r w:rsidR="00D93BCC">
        <w:t>on a mechanism to periodically update the Database</w:t>
      </w:r>
      <w:r w:rsidR="002B4C3B">
        <w:rPr>
          <w:rStyle w:val="FootnoteReference"/>
        </w:rPr>
        <w:footnoteReference w:id="3"/>
      </w:r>
      <w:r w:rsidR="00932F48">
        <w:t>, the Committee</w:t>
      </w:r>
      <w:r w:rsidR="00D93BCC">
        <w:t xml:space="preserve"> decided that the Secretariat </w:t>
      </w:r>
      <w:r w:rsidR="001C5066">
        <w:t>would</w:t>
      </w:r>
      <w:r w:rsidR="00D93BCC">
        <w:t xml:space="preserve"> undertake measures to ensure a better dissemination of the information contained in the Database and inform the Committee at a future session on those measures</w:t>
      </w:r>
      <w:r w:rsidR="0098048D">
        <w:t>, as reflected in paragraph</w:t>
      </w:r>
      <w:r w:rsidR="00893ED4">
        <w:t xml:space="preserve"> </w:t>
      </w:r>
      <w:r w:rsidR="00F84DD7">
        <w:t>7</w:t>
      </w:r>
      <w:r w:rsidR="00893ED4">
        <w:t>.2 of the Summary by the Chair of the eighteenth session</w:t>
      </w:r>
      <w:r w:rsidR="00D93BCC">
        <w:t>.</w:t>
      </w:r>
      <w:r w:rsidR="00433875">
        <w:t xml:space="preserve"> </w:t>
      </w:r>
    </w:p>
    <w:p w:rsidR="00EF06C5" w:rsidRDefault="00EF06C5" w:rsidP="004E2FA3"/>
    <w:p w:rsidR="007C4398" w:rsidRPr="001934CC" w:rsidRDefault="007C4398" w:rsidP="007C4398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</w:pPr>
      <w:r w:rsidRPr="001934CC">
        <w:rPr>
          <w:rFonts w:ascii="Arial" w:eastAsiaTheme="minorEastAsia" w:hAnsi="Arial" w:cs="Arial"/>
          <w:b/>
          <w:color w:val="000000" w:themeColor="text1"/>
          <w:sz w:val="22"/>
          <w:szCs w:val="22"/>
        </w:rPr>
        <w:t xml:space="preserve">MEASURES UNDERTAKEN TO DISSEMINATE THE INFORMATION CONTAINED IN THE DATABASE </w:t>
      </w:r>
    </w:p>
    <w:p w:rsidR="001934CC" w:rsidRDefault="001934CC" w:rsidP="009D5E7C"/>
    <w:p w:rsidR="009D5E7C" w:rsidRDefault="007C4398" w:rsidP="009D5E7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D5E7C">
        <w:t>In accordance with the Committee’s decision, the following series of measures was un</w:t>
      </w:r>
      <w:r w:rsidR="00C46E3C">
        <w:t>dertaken by the Secretariat to ensure a better dissemination of</w:t>
      </w:r>
      <w:r w:rsidR="009D5E7C">
        <w:t xml:space="preserve"> the content of the Database: </w:t>
      </w:r>
    </w:p>
    <w:p w:rsidR="009D5E7C" w:rsidRDefault="009D5E7C" w:rsidP="009D5E7C"/>
    <w:p w:rsidR="00236404" w:rsidRDefault="009D5E7C" w:rsidP="00344F53">
      <w:pPr>
        <w:pStyle w:val="ListParagraph"/>
        <w:numPr>
          <w:ilvl w:val="0"/>
          <w:numId w:val="47"/>
        </w:numPr>
        <w:ind w:left="567" w:firstLine="0"/>
      </w:pPr>
      <w:r>
        <w:t>A</w:t>
      </w:r>
      <w:r w:rsidR="001C5066">
        <w:t>n internal meeting was</w:t>
      </w:r>
      <w:r w:rsidR="007C4398">
        <w:t xml:space="preserve"> held in November 2016 </w:t>
      </w:r>
      <w:r w:rsidR="00E60AAF">
        <w:t>with the participation of relevant divisions</w:t>
      </w:r>
      <w:r w:rsidR="00C46E3C">
        <w:t xml:space="preserve"> informing them of the Committee’s decision and</w:t>
      </w:r>
      <w:r w:rsidR="00E60AAF">
        <w:t xml:space="preserve"> </w:t>
      </w:r>
      <w:r w:rsidR="001C5066">
        <w:t xml:space="preserve">inviting them to </w:t>
      </w:r>
      <w:r w:rsidR="00C46E3C">
        <w:t xml:space="preserve">increase the dissemination of </w:t>
      </w:r>
      <w:r w:rsidR="001C5066">
        <w:t xml:space="preserve">the </w:t>
      </w:r>
      <w:r w:rsidR="00E60AAF">
        <w:t>information contained in the Database.</w:t>
      </w:r>
      <w:r w:rsidR="001C5066">
        <w:t xml:space="preserve">  </w:t>
      </w:r>
    </w:p>
    <w:p w:rsidR="00236404" w:rsidRDefault="00236404" w:rsidP="00344F53">
      <w:pPr>
        <w:ind w:left="567"/>
      </w:pPr>
    </w:p>
    <w:p w:rsidR="009C30CC" w:rsidRDefault="00236404" w:rsidP="00344F53">
      <w:pPr>
        <w:pStyle w:val="ListParagraph"/>
        <w:numPr>
          <w:ilvl w:val="0"/>
          <w:numId w:val="47"/>
        </w:numPr>
        <w:ind w:left="567" w:firstLine="0"/>
      </w:pPr>
      <w:r>
        <w:t xml:space="preserve">To facilitate this work, </w:t>
      </w:r>
      <w:r w:rsidR="00A5052C">
        <w:t xml:space="preserve">the </w:t>
      </w:r>
      <w:r w:rsidR="00C46E3C">
        <w:t xml:space="preserve">Development Agenda Coordination Division </w:t>
      </w:r>
      <w:r w:rsidR="00A5052C">
        <w:t>elaborated a</w:t>
      </w:r>
      <w:r w:rsidR="00E60AAF">
        <w:t xml:space="preserve"> leaflet </w:t>
      </w:r>
      <w:r>
        <w:t xml:space="preserve">describing the major elements of the Database, i.e. the </w:t>
      </w:r>
      <w:r w:rsidR="00E60AAF">
        <w:t xml:space="preserve">information </w:t>
      </w:r>
      <w:r>
        <w:t>contained therein</w:t>
      </w:r>
      <w:r w:rsidR="00E60AAF">
        <w:t xml:space="preserve">, </w:t>
      </w:r>
      <w:r w:rsidR="00C46E3C">
        <w:t>its structure and</w:t>
      </w:r>
      <w:r>
        <w:t xml:space="preserve"> </w:t>
      </w:r>
      <w:r w:rsidR="00C46E3C">
        <w:t>functionalities</w:t>
      </w:r>
      <w:r w:rsidR="00EF75CC">
        <w:t xml:space="preserve">, </w:t>
      </w:r>
      <w:r>
        <w:t>search categories</w:t>
      </w:r>
      <w:r w:rsidR="001934CC">
        <w:t>,</w:t>
      </w:r>
      <w:r>
        <w:t xml:space="preserve"> </w:t>
      </w:r>
      <w:r w:rsidR="00E60AAF">
        <w:t xml:space="preserve">target beneficiaries and the agreed mechanism for Member States to provide the Secretariat with updates </w:t>
      </w:r>
      <w:r w:rsidR="00E60AAF" w:rsidRPr="00875539">
        <w:t>of their national provisions related to the flexibilities</w:t>
      </w:r>
      <w:r w:rsidR="001934CC">
        <w:t xml:space="preserve"> (</w:t>
      </w:r>
      <w:r w:rsidR="009D5E7C">
        <w:t>according to the Committee’s decision mentioned in paragraph</w:t>
      </w:r>
      <w:r w:rsidR="001934CC">
        <w:t xml:space="preserve"> 3).</w:t>
      </w:r>
    </w:p>
    <w:p w:rsidR="009C30CC" w:rsidRDefault="009C30CC" w:rsidP="00344F53">
      <w:pPr>
        <w:ind w:left="567"/>
      </w:pPr>
    </w:p>
    <w:p w:rsidR="00FC6D1D" w:rsidRDefault="001934CC" w:rsidP="00344F53">
      <w:pPr>
        <w:pStyle w:val="ListParagraph"/>
        <w:numPr>
          <w:ilvl w:val="0"/>
          <w:numId w:val="47"/>
        </w:numPr>
        <w:ind w:left="567" w:firstLine="0"/>
      </w:pPr>
      <w:r>
        <w:t xml:space="preserve">In February 2017, </w:t>
      </w:r>
      <w:r w:rsidR="00FC6D1D">
        <w:t>a direct link to</w:t>
      </w:r>
      <w:r>
        <w:t xml:space="preserve"> the Database was placed</w:t>
      </w:r>
      <w:r w:rsidR="00FC6D1D">
        <w:t xml:space="preserve"> under the D</w:t>
      </w:r>
      <w:r w:rsidR="009C30CC">
        <w:t>evelopment Agenda webpage</w:t>
      </w:r>
      <w:r w:rsidR="00A5052C">
        <w:t xml:space="preserve">: </w:t>
      </w:r>
      <w:hyperlink r:id="rId17" w:history="1">
        <w:r w:rsidR="00A5052C" w:rsidRPr="001E6E57">
          <w:rPr>
            <w:rStyle w:val="Hyperlink"/>
          </w:rPr>
          <w:t>http://www.wipo.int/ip-development/en/agenda/</w:t>
        </w:r>
      </w:hyperlink>
      <w:r>
        <w:t>, improving its accessibility.</w:t>
      </w:r>
    </w:p>
    <w:p w:rsidR="00A5052C" w:rsidRDefault="00A5052C" w:rsidP="00344F53">
      <w:pPr>
        <w:pStyle w:val="ListParagraph"/>
        <w:ind w:left="567"/>
      </w:pPr>
    </w:p>
    <w:p w:rsidR="00E60AAF" w:rsidRDefault="00A5052C" w:rsidP="00344F53">
      <w:pPr>
        <w:pStyle w:val="ListParagraph"/>
        <w:numPr>
          <w:ilvl w:val="0"/>
          <w:numId w:val="47"/>
        </w:numPr>
        <w:ind w:left="567" w:firstLine="0"/>
      </w:pPr>
      <w:r>
        <w:t>In March 2017, t</w:t>
      </w:r>
      <w:r w:rsidR="00FC6D1D">
        <w:t xml:space="preserve">he Database </w:t>
      </w:r>
      <w:r w:rsidR="002B14D8">
        <w:t>was migrated to a new platform holding new search facilities and including information on its updating mechanism.</w:t>
      </w:r>
    </w:p>
    <w:p w:rsidR="009D5E7C" w:rsidRDefault="009D5E7C" w:rsidP="00344F53">
      <w:pPr>
        <w:pStyle w:val="ListParagraph"/>
        <w:ind w:left="567"/>
      </w:pPr>
    </w:p>
    <w:p w:rsidR="009D5E7C" w:rsidRDefault="009D5E7C" w:rsidP="00F46949">
      <w:pPr>
        <w:pStyle w:val="ListParagraph"/>
        <w:numPr>
          <w:ilvl w:val="0"/>
          <w:numId w:val="47"/>
        </w:numPr>
        <w:ind w:left="567" w:firstLine="0"/>
      </w:pPr>
      <w:r>
        <w:lastRenderedPageBreak/>
        <w:t xml:space="preserve">The information contained in the Database, as well as its availability, was disseminated in the activities listed in the table </w:t>
      </w:r>
      <w:r w:rsidR="00A5052C">
        <w:t>contained in Annex II of this document</w:t>
      </w:r>
      <w:r>
        <w:t>.  These include</w:t>
      </w:r>
      <w:r w:rsidR="00C46E3C">
        <w:t>d</w:t>
      </w:r>
      <w:r>
        <w:t xml:space="preserve"> different international conferences, workshops and related meetings; and dissemination through social media.  Data compiled in the table includes</w:t>
      </w:r>
      <w:r w:rsidR="00C46E3C">
        <w:t xml:space="preserve"> activity dates, venue, </w:t>
      </w:r>
      <w:r>
        <w:t>audience, number of participants or online viewers, as well as the language in which the activity was conducted</w:t>
      </w:r>
      <w:r w:rsidR="00C46E3C">
        <w:t xml:space="preserve"> (where applicable)</w:t>
      </w:r>
      <w:r>
        <w:t xml:space="preserve">.  </w:t>
      </w:r>
    </w:p>
    <w:p w:rsidR="00FC6D1D" w:rsidRDefault="00FC6D1D" w:rsidP="00E60AAF"/>
    <w:p w:rsidR="004310F3" w:rsidRDefault="00FC6D1D" w:rsidP="00E60AAF">
      <w:r>
        <w:fldChar w:fldCharType="begin"/>
      </w:r>
      <w:r>
        <w:instrText xml:space="preserve"> AUTONUM  </w:instrText>
      </w:r>
      <w:r>
        <w:fldChar w:fldCharType="end"/>
      </w:r>
      <w:r>
        <w:tab/>
        <w:t>According to the</w:t>
      </w:r>
      <w:r w:rsidR="004310F3">
        <w:t xml:space="preserve"> following</w:t>
      </w:r>
      <w:r>
        <w:t xml:space="preserve"> statistics</w:t>
      </w:r>
      <w:r w:rsidR="00865DA5">
        <w:t xml:space="preserve"> provided by the Web </w:t>
      </w:r>
      <w:r w:rsidR="00C46E3C">
        <w:t>Communications Section</w:t>
      </w:r>
      <w:r>
        <w:t xml:space="preserve">, </w:t>
      </w:r>
      <w:r w:rsidR="00EF75CC">
        <w:t>f</w:t>
      </w:r>
      <w:r w:rsidR="00AF23A2">
        <w:t>rom September 2016 until August 2017</w:t>
      </w:r>
      <w:r w:rsidR="00C46E3C">
        <w:t>,</w:t>
      </w:r>
      <w:r w:rsidR="00AF23A2">
        <w:t xml:space="preserve"> </w:t>
      </w:r>
      <w:r w:rsidR="004310F3">
        <w:t xml:space="preserve">the page views increased significantly in comparison with the preceding year reaching </w:t>
      </w:r>
      <w:r w:rsidR="008646C3">
        <w:t>up to 2207 viewers,</w:t>
      </w:r>
      <w:r w:rsidR="00AF23A2">
        <w:t xml:space="preserve"> 1359 of which were unique or first time page viewers</w:t>
      </w:r>
      <w:r w:rsidR="008646C3">
        <w:t>.  These statistics clearly show</w:t>
      </w:r>
      <w:r w:rsidR="005B0393">
        <w:t xml:space="preserve"> the effectiveness</w:t>
      </w:r>
      <w:r w:rsidR="00EF75CC">
        <w:t xml:space="preserve"> of the dissemination measures undertaken by the Secretariat</w:t>
      </w:r>
      <w:r w:rsidR="005B0393">
        <w:t xml:space="preserve"> in different fora</w:t>
      </w:r>
      <w:r w:rsidR="00EF75CC">
        <w:t>.</w:t>
      </w:r>
    </w:p>
    <w:p w:rsidR="004310F3" w:rsidRDefault="004310F3" w:rsidP="00E60AA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706"/>
        <w:gridCol w:w="3576"/>
      </w:tblGrid>
      <w:tr w:rsidR="004310F3" w:rsidTr="005B0393">
        <w:trPr>
          <w:trHeight w:val="258"/>
        </w:trPr>
        <w:tc>
          <w:tcPr>
            <w:tcW w:w="1985" w:type="dxa"/>
          </w:tcPr>
          <w:p w:rsidR="004310F3" w:rsidRPr="004310F3" w:rsidRDefault="005B0393" w:rsidP="004310F3">
            <w:pPr>
              <w:jc w:val="center"/>
              <w:rPr>
                <w:b/>
              </w:rPr>
            </w:pPr>
            <w:r>
              <w:rPr>
                <w:b/>
              </w:rPr>
              <w:t>Database views</w:t>
            </w:r>
          </w:p>
        </w:tc>
        <w:tc>
          <w:tcPr>
            <w:tcW w:w="3706" w:type="dxa"/>
          </w:tcPr>
          <w:p w:rsidR="004310F3" w:rsidRPr="004310F3" w:rsidRDefault="004310F3" w:rsidP="004310F3">
            <w:pPr>
              <w:jc w:val="center"/>
              <w:rPr>
                <w:b/>
              </w:rPr>
            </w:pPr>
            <w:r w:rsidRPr="004310F3">
              <w:rPr>
                <w:b/>
              </w:rPr>
              <w:t>September 2015 -</w:t>
            </w:r>
            <w:r>
              <w:rPr>
                <w:b/>
              </w:rPr>
              <w:t xml:space="preserve"> </w:t>
            </w:r>
            <w:r w:rsidRPr="004310F3">
              <w:rPr>
                <w:b/>
              </w:rPr>
              <w:t>August 2016</w:t>
            </w:r>
          </w:p>
        </w:tc>
        <w:tc>
          <w:tcPr>
            <w:tcW w:w="3576" w:type="dxa"/>
          </w:tcPr>
          <w:p w:rsidR="004310F3" w:rsidRPr="004310F3" w:rsidRDefault="004310F3" w:rsidP="004310F3">
            <w:pPr>
              <w:jc w:val="center"/>
              <w:rPr>
                <w:b/>
              </w:rPr>
            </w:pPr>
            <w:r w:rsidRPr="004310F3">
              <w:rPr>
                <w:b/>
              </w:rPr>
              <w:t>September 2016 - August 2017</w:t>
            </w:r>
          </w:p>
        </w:tc>
      </w:tr>
      <w:tr w:rsidR="004310F3" w:rsidTr="005B0393">
        <w:trPr>
          <w:trHeight w:val="275"/>
        </w:trPr>
        <w:tc>
          <w:tcPr>
            <w:tcW w:w="1985" w:type="dxa"/>
          </w:tcPr>
          <w:p w:rsidR="004310F3" w:rsidRDefault="004310F3" w:rsidP="00E60AAF">
            <w:r>
              <w:t>Page views</w:t>
            </w:r>
          </w:p>
        </w:tc>
        <w:tc>
          <w:tcPr>
            <w:tcW w:w="3706" w:type="dxa"/>
          </w:tcPr>
          <w:p w:rsidR="004310F3" w:rsidRDefault="004310F3" w:rsidP="004310F3">
            <w:pPr>
              <w:jc w:val="center"/>
            </w:pPr>
            <w:r>
              <w:t>310</w:t>
            </w:r>
          </w:p>
        </w:tc>
        <w:tc>
          <w:tcPr>
            <w:tcW w:w="3576" w:type="dxa"/>
          </w:tcPr>
          <w:p w:rsidR="004310F3" w:rsidRDefault="004310F3" w:rsidP="004310F3">
            <w:pPr>
              <w:jc w:val="center"/>
            </w:pPr>
            <w:r>
              <w:t>2207</w:t>
            </w:r>
          </w:p>
        </w:tc>
      </w:tr>
      <w:tr w:rsidR="004310F3" w:rsidTr="005B0393">
        <w:trPr>
          <w:trHeight w:val="275"/>
        </w:trPr>
        <w:tc>
          <w:tcPr>
            <w:tcW w:w="1985" w:type="dxa"/>
          </w:tcPr>
          <w:p w:rsidR="004310F3" w:rsidRDefault="004310F3" w:rsidP="00E60AAF">
            <w:r>
              <w:t>Unique views</w:t>
            </w:r>
          </w:p>
        </w:tc>
        <w:tc>
          <w:tcPr>
            <w:tcW w:w="3706" w:type="dxa"/>
          </w:tcPr>
          <w:p w:rsidR="004310F3" w:rsidRDefault="004310F3" w:rsidP="004310F3">
            <w:pPr>
              <w:jc w:val="center"/>
            </w:pPr>
            <w:r>
              <w:t>151</w:t>
            </w:r>
          </w:p>
        </w:tc>
        <w:tc>
          <w:tcPr>
            <w:tcW w:w="3576" w:type="dxa"/>
          </w:tcPr>
          <w:p w:rsidR="004310F3" w:rsidRDefault="004310F3" w:rsidP="004310F3">
            <w:pPr>
              <w:jc w:val="center"/>
            </w:pPr>
            <w:r>
              <w:t>1359</w:t>
            </w:r>
          </w:p>
        </w:tc>
      </w:tr>
    </w:tbl>
    <w:p w:rsidR="000E5226" w:rsidRDefault="000E5226" w:rsidP="00C2621C"/>
    <w:p w:rsidR="00EF6925" w:rsidRDefault="001C5066" w:rsidP="001C5066">
      <w:r>
        <w:fldChar w:fldCharType="begin"/>
      </w:r>
      <w:r>
        <w:instrText xml:space="preserve"> AUTONUM  </w:instrText>
      </w:r>
      <w:r>
        <w:fldChar w:fldCharType="end"/>
      </w:r>
      <w:r>
        <w:tab/>
        <w:t>The Secretariat will continue</w:t>
      </w:r>
      <w:r w:rsidR="00C46E3C">
        <w:t xml:space="preserve"> its efforts</w:t>
      </w:r>
      <w:r>
        <w:t xml:space="preserve"> </w:t>
      </w:r>
      <w:r w:rsidR="00236404">
        <w:t>to promote</w:t>
      </w:r>
      <w:r>
        <w:t xml:space="preserve"> the content of the Database </w:t>
      </w:r>
      <w:r w:rsidR="00C46E3C">
        <w:t>as a</w:t>
      </w:r>
      <w:r>
        <w:t xml:space="preserve"> source </w:t>
      </w:r>
      <w:r w:rsidR="002B14D8">
        <w:t>to</w:t>
      </w:r>
      <w:r>
        <w:t xml:space="preserve"> </w:t>
      </w:r>
      <w:r>
        <w:rPr>
          <w:szCs w:val="22"/>
        </w:rPr>
        <w:t>policy and law makers, IP expert</w:t>
      </w:r>
      <w:r w:rsidR="00513783">
        <w:rPr>
          <w:szCs w:val="22"/>
        </w:rPr>
        <w:t>s, academicians and researchers</w:t>
      </w:r>
      <w:r w:rsidR="00EF6925">
        <w:rPr>
          <w:szCs w:val="22"/>
        </w:rPr>
        <w:t xml:space="preserve"> to get to know how </w:t>
      </w:r>
      <w:r w:rsidR="00EF6925" w:rsidRPr="00EF6925">
        <w:t>flexibilities</w:t>
      </w:r>
      <w:r w:rsidR="00EF6925">
        <w:t xml:space="preserve"> </w:t>
      </w:r>
      <w:r w:rsidR="00C46E3C">
        <w:t>could be</w:t>
      </w:r>
      <w:r w:rsidR="00EF6925">
        <w:t xml:space="preserve"> implemented</w:t>
      </w:r>
      <w:r w:rsidR="00EF6925" w:rsidRPr="00EF6925">
        <w:t xml:space="preserve"> in </w:t>
      </w:r>
      <w:r w:rsidR="00EF6925">
        <w:t>domestic and regional legislations.</w:t>
      </w:r>
    </w:p>
    <w:p w:rsidR="006B4B4E" w:rsidRDefault="006B4B4E" w:rsidP="001C5066"/>
    <w:p w:rsidR="001A329D" w:rsidRDefault="001A329D" w:rsidP="001C5066"/>
    <w:p w:rsidR="001A329D" w:rsidRDefault="001A329D" w:rsidP="001C5066"/>
    <w:p w:rsidR="006B4B4E" w:rsidRDefault="006B4B4E" w:rsidP="006B4B4E">
      <w:pPr>
        <w:pStyle w:val="Endofdocument-Annex"/>
      </w:pPr>
      <w:r>
        <w:t>[Annex II follows]</w:t>
      </w:r>
    </w:p>
    <w:p w:rsidR="006B4B4E" w:rsidRDefault="006B4B4E" w:rsidP="006B4B4E">
      <w:pPr>
        <w:pStyle w:val="Endofdocument-Annex"/>
      </w:pPr>
    </w:p>
    <w:p w:rsidR="006B4B4E" w:rsidRDefault="006B4B4E" w:rsidP="001C5066">
      <w:pPr>
        <w:rPr>
          <w:szCs w:val="22"/>
        </w:rPr>
      </w:pPr>
    </w:p>
    <w:p w:rsidR="00602DD2" w:rsidRDefault="00602DD2" w:rsidP="0053407C">
      <w:pPr>
        <w:pStyle w:val="Endofdocument-Annex"/>
        <w:sectPr w:rsidR="00602DD2" w:rsidSect="00291A49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:rsidR="00602DD2" w:rsidRPr="00602DD2" w:rsidRDefault="00602DD2" w:rsidP="00602DD2"/>
    <w:p w:rsidR="00602DD2" w:rsidRDefault="00A5052C" w:rsidP="00602DD2">
      <w:pPr>
        <w:rPr>
          <w:b/>
          <w:szCs w:val="22"/>
          <w:u w:val="single"/>
        </w:rPr>
      </w:pPr>
      <w:r w:rsidRPr="00A5052C">
        <w:rPr>
          <w:b/>
          <w:szCs w:val="22"/>
          <w:u w:val="single"/>
        </w:rPr>
        <w:t xml:space="preserve">Activities where the </w:t>
      </w:r>
      <w:r>
        <w:rPr>
          <w:b/>
          <w:szCs w:val="22"/>
          <w:u w:val="single"/>
        </w:rPr>
        <w:t xml:space="preserve">content of the </w:t>
      </w:r>
      <w:r w:rsidRPr="00A5052C">
        <w:rPr>
          <w:b/>
          <w:szCs w:val="22"/>
          <w:u w:val="single"/>
        </w:rPr>
        <w:t xml:space="preserve">Database </w:t>
      </w:r>
      <w:r>
        <w:rPr>
          <w:b/>
          <w:szCs w:val="22"/>
          <w:u w:val="single"/>
        </w:rPr>
        <w:t>was disseminated</w:t>
      </w:r>
    </w:p>
    <w:p w:rsidR="008646C3" w:rsidRPr="00A5052C" w:rsidRDefault="008646C3" w:rsidP="00602DD2">
      <w:pPr>
        <w:rPr>
          <w:b/>
          <w:szCs w:val="22"/>
          <w:u w:val="single"/>
        </w:rPr>
      </w:pPr>
    </w:p>
    <w:p w:rsidR="00A5052C" w:rsidRDefault="00A5052C" w:rsidP="00602DD2">
      <w:pPr>
        <w:rPr>
          <w:szCs w:val="22"/>
        </w:rPr>
      </w:pPr>
    </w:p>
    <w:tbl>
      <w:tblPr>
        <w:tblStyle w:val="TableGrid1"/>
        <w:tblW w:w="14542" w:type="dxa"/>
        <w:tblLayout w:type="fixed"/>
        <w:tblLook w:val="04A0" w:firstRow="1" w:lastRow="0" w:firstColumn="1" w:lastColumn="0" w:noHBand="0" w:noVBand="1"/>
      </w:tblPr>
      <w:tblGrid>
        <w:gridCol w:w="3954"/>
        <w:gridCol w:w="1650"/>
        <w:gridCol w:w="1788"/>
        <w:gridCol w:w="2781"/>
        <w:gridCol w:w="2857"/>
        <w:gridCol w:w="1512"/>
      </w:tblGrid>
      <w:tr w:rsidR="00A5052C" w:rsidRPr="00602DD2" w:rsidTr="001E1102">
        <w:trPr>
          <w:trHeight w:val="142"/>
          <w:tblHeader/>
        </w:trPr>
        <w:tc>
          <w:tcPr>
            <w:tcW w:w="3954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Activity</w:t>
            </w:r>
          </w:p>
        </w:tc>
        <w:tc>
          <w:tcPr>
            <w:tcW w:w="1650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Date</w:t>
            </w:r>
          </w:p>
        </w:tc>
        <w:tc>
          <w:tcPr>
            <w:tcW w:w="1788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Venue</w:t>
            </w:r>
          </w:p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 xml:space="preserve"> (if applicable)</w:t>
            </w:r>
          </w:p>
        </w:tc>
        <w:tc>
          <w:tcPr>
            <w:tcW w:w="2781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Audience</w:t>
            </w:r>
          </w:p>
        </w:tc>
        <w:tc>
          <w:tcPr>
            <w:tcW w:w="2857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Number of participants</w:t>
            </w:r>
          </w:p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(if onsite) / viewers (if online)</w:t>
            </w:r>
          </w:p>
        </w:tc>
        <w:tc>
          <w:tcPr>
            <w:tcW w:w="1512" w:type="dxa"/>
          </w:tcPr>
          <w:p w:rsidR="00A5052C" w:rsidRPr="00F1479F" w:rsidRDefault="00A5052C" w:rsidP="00A87385">
            <w:pPr>
              <w:jc w:val="center"/>
              <w:rPr>
                <w:b/>
              </w:rPr>
            </w:pPr>
            <w:r w:rsidRPr="00F1479F">
              <w:rPr>
                <w:b/>
              </w:rPr>
              <w:t>Language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“</w:t>
            </w:r>
            <w:proofErr w:type="spellStart"/>
            <w:r w:rsidRPr="00A32E32">
              <w:rPr>
                <w:szCs w:val="22"/>
              </w:rPr>
              <w:t>Jornadas</w:t>
            </w:r>
            <w:proofErr w:type="spellEnd"/>
            <w:r w:rsidRPr="00A32E32">
              <w:rPr>
                <w:szCs w:val="22"/>
              </w:rPr>
              <w:t xml:space="preserve"> Expo </w:t>
            </w:r>
            <w:proofErr w:type="spellStart"/>
            <w:r w:rsidRPr="00A32E32">
              <w:rPr>
                <w:szCs w:val="22"/>
              </w:rPr>
              <w:t>Ingenio</w:t>
            </w:r>
            <w:proofErr w:type="spellEnd"/>
            <w:r w:rsidRPr="00A32E32">
              <w:rPr>
                <w:szCs w:val="22"/>
              </w:rPr>
              <w:t xml:space="preserve">” convened by the Mexican Institute of Industrial Property (IMPI) </w:t>
            </w:r>
          </w:p>
          <w:p w:rsidR="00BF7648" w:rsidRPr="00A32E32" w:rsidRDefault="00BF7648" w:rsidP="007E36E7">
            <w:pPr>
              <w:rPr>
                <w:szCs w:val="22"/>
                <w:highlight w:val="yellow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September 20 and 21,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 xml:space="preserve">Tijuana, Baja California, Mexico, 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Researchers, students, SMEs, officials from government agencies and the private sector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Approximately 500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ES</w:t>
            </w:r>
          </w:p>
        </w:tc>
      </w:tr>
      <w:tr w:rsidR="00BB3FF5" w:rsidRPr="00AC61B0" w:rsidTr="00A87385">
        <w:trPr>
          <w:trHeight w:val="1670"/>
        </w:trPr>
        <w:tc>
          <w:tcPr>
            <w:tcW w:w="3954" w:type="dxa"/>
          </w:tcPr>
          <w:p w:rsidR="00BB3FF5" w:rsidRPr="00A32E32" w:rsidRDefault="00A32E32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Sub-regional seminar on intellectual property and technology transfer: opportunities, challenges and strategic partnerships between the public sector, universities and the private sector</w:t>
            </w:r>
            <w:r w:rsidR="00BB3FF5" w:rsidRPr="00A32E32">
              <w:rPr>
                <w:szCs w:val="22"/>
              </w:rPr>
              <w:t xml:space="preserve">, co-organized by WIPO and the </w:t>
            </w:r>
            <w:r w:rsidR="00F1479F" w:rsidRPr="00A32E32">
              <w:rPr>
                <w:szCs w:val="22"/>
              </w:rPr>
              <w:t>Administrative Registration Tribunal</w:t>
            </w:r>
            <w:r w:rsidR="00F1479F" w:rsidRPr="00A32E32" w:rsidDel="00F1479F">
              <w:rPr>
                <w:szCs w:val="22"/>
              </w:rPr>
              <w:t xml:space="preserve"> </w:t>
            </w:r>
            <w:r w:rsidR="00BB3FF5" w:rsidRPr="00A32E32">
              <w:rPr>
                <w:szCs w:val="22"/>
              </w:rPr>
              <w:t>of Costa Rica</w:t>
            </w:r>
          </w:p>
          <w:p w:rsidR="007E36E7" w:rsidRPr="00A32E32" w:rsidRDefault="007E36E7" w:rsidP="00A87385">
            <w:pPr>
              <w:rPr>
                <w:szCs w:val="22"/>
              </w:rPr>
            </w:pPr>
          </w:p>
          <w:p w:rsidR="007E36E7" w:rsidRPr="00A32E32" w:rsidRDefault="007E36E7" w:rsidP="00F1479F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August  22,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San José, </w:t>
            </w:r>
          </w:p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Costa Rica</w:t>
            </w:r>
          </w:p>
          <w:p w:rsidR="00BB3FF5" w:rsidRPr="00F1479F" w:rsidRDefault="00BB3FF5" w:rsidP="00A87385">
            <w:pPr>
              <w:rPr>
                <w:szCs w:val="22"/>
              </w:rPr>
            </w:pP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</w:rPr>
            </w:pPr>
            <w:r w:rsidRPr="00F1479F">
              <w:rPr>
                <w:szCs w:val="22"/>
              </w:rPr>
              <w:t xml:space="preserve">High level forum for representatives of the public sector, academic sector and entrepreneurial sector. </w:t>
            </w:r>
          </w:p>
          <w:p w:rsidR="00BB3FF5" w:rsidRPr="00F1479F" w:rsidRDefault="00BB3FF5" w:rsidP="00A87385">
            <w:pPr>
              <w:rPr>
                <w:szCs w:val="22"/>
              </w:rPr>
            </w:pP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</w:rPr>
            </w:pPr>
            <w:r w:rsidRPr="00F1479F">
              <w:rPr>
                <w:szCs w:val="22"/>
              </w:rPr>
              <w:t>Approximately 10 participants</w:t>
            </w:r>
          </w:p>
          <w:p w:rsidR="00BB3FF5" w:rsidRPr="00F1479F" w:rsidRDefault="00BB3FF5" w:rsidP="00A87385">
            <w:pPr>
              <w:rPr>
                <w:szCs w:val="22"/>
              </w:rPr>
            </w:pP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ES</w:t>
            </w:r>
          </w:p>
        </w:tc>
      </w:tr>
      <w:tr w:rsidR="00BB3FF5" w:rsidRPr="00AC61B0" w:rsidTr="00A87385">
        <w:trPr>
          <w:trHeight w:val="1670"/>
        </w:trPr>
        <w:tc>
          <w:tcPr>
            <w:tcW w:w="3954" w:type="dxa"/>
          </w:tcPr>
          <w:p w:rsidR="00BB3FF5" w:rsidRPr="00A32E32" w:rsidRDefault="00BB3FF5" w:rsidP="00A87385">
            <w:r w:rsidRPr="00A32E32">
              <w:t>WTO National Workshop on Intellectual Property and Public Health</w:t>
            </w:r>
          </w:p>
          <w:p w:rsidR="007E36E7" w:rsidRPr="00A32E32" w:rsidRDefault="007E36E7" w:rsidP="00A87385"/>
          <w:p w:rsidR="00BB3FF5" w:rsidRPr="00A32E32" w:rsidRDefault="00BB3FF5" w:rsidP="00F73639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  <w:lang w:val="es-ES"/>
              </w:rPr>
            </w:pPr>
            <w:r w:rsidRPr="00F1479F">
              <w:t xml:space="preserve">July 18 </w:t>
            </w:r>
            <w:r w:rsidRPr="00F1479F">
              <w:br/>
              <w:t>and 19,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Lomé, Togo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</w:rPr>
            </w:pPr>
            <w:r w:rsidRPr="00F1479F">
              <w:rPr>
                <w:szCs w:val="22"/>
              </w:rPr>
              <w:t>Government officials, private practitioners and representatives of national corporations/associations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</w:rPr>
            </w:pPr>
            <w:r w:rsidRPr="00F1479F">
              <w:rPr>
                <w:szCs w:val="22"/>
              </w:rPr>
              <w:t>Approximately 40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rFonts w:eastAsiaTheme="minorHAnsi"/>
                <w:szCs w:val="22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BB3FF5" w:rsidRPr="00AC61B0" w:rsidTr="00A87385">
        <w:trPr>
          <w:trHeight w:val="1670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szCs w:val="22"/>
                <w:highlight w:val="yellow"/>
              </w:rPr>
            </w:pPr>
            <w:r w:rsidRPr="00A32E32">
              <w:rPr>
                <w:szCs w:val="22"/>
              </w:rPr>
              <w:t>Social media promotion (twitter)</w:t>
            </w:r>
          </w:p>
        </w:tc>
        <w:tc>
          <w:tcPr>
            <w:tcW w:w="1650" w:type="dxa"/>
          </w:tcPr>
          <w:p w:rsidR="00BB3FF5" w:rsidRPr="00F1479F" w:rsidRDefault="00BB3FF5" w:rsidP="006B4B4E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May 25,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</w:p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-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Public in general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6 802 views / 125 interactions with the content published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BB3FF5" w:rsidRPr="00AC61B0" w:rsidTr="00A87385">
        <w:trPr>
          <w:trHeight w:val="1670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lang w:val="en"/>
              </w:rPr>
            </w:pPr>
            <w:r w:rsidRPr="00A32E32">
              <w:rPr>
                <w:lang w:val="en"/>
              </w:rPr>
              <w:lastRenderedPageBreak/>
              <w:t>Regional Workshop on Patents and Electronic Filing</w:t>
            </w:r>
            <w:r w:rsidR="00AF3690" w:rsidRPr="00A32E32">
              <w:rPr>
                <w:lang w:val="en"/>
              </w:rPr>
              <w:t xml:space="preserve"> Systems</w:t>
            </w:r>
            <w:r w:rsidRPr="00A32E32">
              <w:rPr>
                <w:lang w:val="en"/>
              </w:rPr>
              <w:t>, organized by the Agency on Intellectual Property of the Republic of Uzbekistan,                          in cooperation with WIPO</w:t>
            </w:r>
          </w:p>
          <w:p w:rsidR="002A437F" w:rsidRPr="00A32E32" w:rsidRDefault="002A437F" w:rsidP="00A87385">
            <w:pPr>
              <w:rPr>
                <w:lang w:val="en"/>
              </w:rPr>
            </w:pPr>
          </w:p>
          <w:p w:rsidR="002A437F" w:rsidRPr="00A32E32" w:rsidRDefault="002A437F" w:rsidP="00F13214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t xml:space="preserve">May 17 </w:t>
            </w:r>
            <w:r w:rsidRPr="00F1479F">
              <w:br/>
              <w:t>and 18,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lang w:val="en"/>
              </w:rPr>
              <w:t>Tashkent, Uzbekistan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t>Government officials, legal practitioners, business, academia, etc.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t>50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RU / EN</w:t>
            </w:r>
          </w:p>
        </w:tc>
      </w:tr>
      <w:tr w:rsidR="00BB3FF5" w:rsidRPr="00AC61B0" w:rsidTr="00A87385">
        <w:trPr>
          <w:trHeight w:val="1670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highlight w:val="yellow"/>
              </w:rPr>
            </w:pPr>
            <w:r w:rsidRPr="00A32E32">
              <w:rPr>
                <w:szCs w:val="22"/>
              </w:rPr>
              <w:t>Social media promotion (twitter)</w:t>
            </w: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highlight w:val="yellow"/>
              </w:rPr>
            </w:pPr>
            <w:r w:rsidRPr="00F1479F">
              <w:rPr>
                <w:szCs w:val="22"/>
              </w:rPr>
              <w:t>May 15,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</w:p>
          <w:p w:rsidR="00BB3FF5" w:rsidRPr="00F1479F" w:rsidRDefault="00BB3FF5" w:rsidP="00A87385">
            <w:pPr>
              <w:rPr>
                <w:highlight w:val="yellow"/>
              </w:rPr>
            </w:pPr>
            <w:r w:rsidRPr="00F1479F">
              <w:rPr>
                <w:szCs w:val="22"/>
              </w:rPr>
              <w:t>-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highlight w:val="yellow"/>
              </w:rPr>
            </w:pPr>
            <w:r w:rsidRPr="00F1479F">
              <w:rPr>
                <w:szCs w:val="22"/>
              </w:rPr>
              <w:t>Public in general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highlight w:val="yellow"/>
              </w:rPr>
            </w:pPr>
            <w:r w:rsidRPr="00F1479F">
              <w:rPr>
                <w:szCs w:val="22"/>
              </w:rPr>
              <w:t>5 163 views / 61 interactions with the content published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highlight w:val="yellow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WTO National Seminar on Trade, Intellectual Property and Public Health</w:t>
            </w:r>
          </w:p>
          <w:p w:rsidR="00BB3FF5" w:rsidRPr="00A32E32" w:rsidRDefault="00BB3FF5" w:rsidP="00A87385">
            <w:pPr>
              <w:rPr>
                <w:szCs w:val="22"/>
              </w:rPr>
            </w:pPr>
          </w:p>
          <w:p w:rsidR="00BB3FF5" w:rsidRPr="00A32E32" w:rsidRDefault="00BB3FF5" w:rsidP="00AF3690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May 11 </w:t>
            </w:r>
            <w:r w:rsidRPr="00F1479F">
              <w:rPr>
                <w:szCs w:val="22"/>
              </w:rPr>
              <w:br/>
              <w:t>and 12,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Santiago, Chile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Government officials involved in the IP and health systems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Approximately 100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ES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AF3690" w:rsidRPr="00A32E32" w:rsidRDefault="00BB3FF5" w:rsidP="00AF3690">
            <w:pPr>
              <w:rPr>
                <w:szCs w:val="22"/>
              </w:rPr>
            </w:pPr>
            <w:r w:rsidRPr="00A32E32">
              <w:rPr>
                <w:szCs w:val="22"/>
              </w:rPr>
              <w:t xml:space="preserve">WIPO Regional Seminar on Innovation and IP Commercialization </w:t>
            </w:r>
            <w:r w:rsidR="00AF3690" w:rsidRPr="00A32E32">
              <w:rPr>
                <w:szCs w:val="18"/>
                <w:shd w:val="clear" w:color="auto" w:fill="FFFFFF"/>
              </w:rPr>
              <w:t>and Innovation: Policy Options and Practical Instruments</w:t>
            </w:r>
            <w:r w:rsidR="00AF3690" w:rsidRPr="00A32E32">
              <w:rPr>
                <w:szCs w:val="22"/>
              </w:rPr>
              <w:t xml:space="preserve"> </w:t>
            </w:r>
            <w:r w:rsidRPr="00A32E32">
              <w:rPr>
                <w:szCs w:val="22"/>
              </w:rPr>
              <w:t xml:space="preserve">(25th Anniversary of the national IP </w:t>
            </w:r>
          </w:p>
          <w:p w:rsidR="00AF3690" w:rsidRPr="00A32E32" w:rsidRDefault="00BB3FF5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system of Belarus)</w:t>
            </w:r>
          </w:p>
          <w:p w:rsidR="006D6566" w:rsidRPr="00A32E32" w:rsidRDefault="006D6566" w:rsidP="00A87385">
            <w:pPr>
              <w:rPr>
                <w:szCs w:val="22"/>
              </w:rPr>
            </w:pPr>
          </w:p>
          <w:p w:rsidR="00BB3FF5" w:rsidRPr="00A32E32" w:rsidRDefault="00BB3FF5" w:rsidP="00AF3690"/>
        </w:tc>
        <w:tc>
          <w:tcPr>
            <w:tcW w:w="1650" w:type="dxa"/>
          </w:tcPr>
          <w:p w:rsidR="00BB3FF5" w:rsidRPr="00F1479F" w:rsidRDefault="00BB3FF5" w:rsidP="00A87385">
            <w:r w:rsidRPr="00F1479F">
              <w:rPr>
                <w:szCs w:val="22"/>
              </w:rPr>
              <w:t>May 4 and 5,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r w:rsidRPr="00F1479F">
              <w:rPr>
                <w:szCs w:val="22"/>
              </w:rPr>
              <w:t>Minsk, Belarus</w:t>
            </w:r>
          </w:p>
        </w:tc>
        <w:tc>
          <w:tcPr>
            <w:tcW w:w="2781" w:type="dxa"/>
          </w:tcPr>
          <w:p w:rsidR="00BB3FF5" w:rsidRPr="00F1479F" w:rsidRDefault="00BB3FF5" w:rsidP="00A87385">
            <w:r w:rsidRPr="00F1479F">
              <w:rPr>
                <w:szCs w:val="22"/>
              </w:rPr>
              <w:t>Government officials, legal practitioners, business, academia, etc.</w:t>
            </w:r>
          </w:p>
        </w:tc>
        <w:tc>
          <w:tcPr>
            <w:tcW w:w="2857" w:type="dxa"/>
          </w:tcPr>
          <w:p w:rsidR="00BB3FF5" w:rsidRPr="00F1479F" w:rsidRDefault="00BB3FF5" w:rsidP="00A87385">
            <w:r w:rsidRPr="00F1479F">
              <w:rPr>
                <w:szCs w:val="22"/>
              </w:rPr>
              <w:t>Approximately 150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 w:val="16"/>
                <w:szCs w:val="16"/>
              </w:rPr>
            </w:pPr>
            <w:r w:rsidRPr="00F1479F">
              <w:rPr>
                <w:szCs w:val="22"/>
              </w:rPr>
              <w:t>RU / EN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BB3FF5" w:rsidRPr="00A32E32" w:rsidRDefault="005C605B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 xml:space="preserve">IP </w:t>
            </w:r>
            <w:r w:rsidR="00BB3FF5" w:rsidRPr="00A32E32">
              <w:rPr>
                <w:szCs w:val="22"/>
              </w:rPr>
              <w:t xml:space="preserve">Regional </w:t>
            </w:r>
            <w:r w:rsidRPr="00A32E32">
              <w:rPr>
                <w:szCs w:val="22"/>
              </w:rPr>
              <w:t xml:space="preserve">Conference </w:t>
            </w:r>
            <w:r w:rsidR="00BB3FF5" w:rsidRPr="00A32E32">
              <w:rPr>
                <w:szCs w:val="22"/>
              </w:rPr>
              <w:t xml:space="preserve">organized and hosted by the League of Arab States on the occasion of World IP Day. </w:t>
            </w:r>
          </w:p>
          <w:p w:rsidR="00027B7B" w:rsidRPr="00A32E32" w:rsidRDefault="00027B7B" w:rsidP="00A87385">
            <w:pPr>
              <w:rPr>
                <w:szCs w:val="22"/>
              </w:rPr>
            </w:pPr>
          </w:p>
          <w:p w:rsidR="00BB3FF5" w:rsidRPr="00A32E32" w:rsidRDefault="00BB3FF5" w:rsidP="00A87385">
            <w:pPr>
              <w:rPr>
                <w:szCs w:val="22"/>
              </w:rPr>
            </w:pPr>
          </w:p>
          <w:p w:rsidR="00BB3FF5" w:rsidRPr="00A32E32" w:rsidRDefault="00BB3FF5" w:rsidP="00A87385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 April 26, 2017</w:t>
            </w:r>
          </w:p>
        </w:tc>
        <w:tc>
          <w:tcPr>
            <w:tcW w:w="1788" w:type="dxa"/>
          </w:tcPr>
          <w:p w:rsidR="00BB3FF5" w:rsidRPr="00F1479F" w:rsidRDefault="00984B41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Cairo, Egypt</w:t>
            </w:r>
          </w:p>
        </w:tc>
        <w:tc>
          <w:tcPr>
            <w:tcW w:w="2781" w:type="dxa"/>
          </w:tcPr>
          <w:p w:rsidR="00984B41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Some National IP Offices, representatives of some Permanent Missions accredited to LAS, Director of the Cooperation Council for the Arab States of the </w:t>
            </w:r>
            <w:r w:rsidRPr="00F1479F">
              <w:rPr>
                <w:szCs w:val="22"/>
              </w:rPr>
              <w:lastRenderedPageBreak/>
              <w:t>Gulf , IP Training Center, some relevant stakeholders in the region including representatives of universities, research institutions, private sector and NGOs</w:t>
            </w:r>
          </w:p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 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lastRenderedPageBreak/>
              <w:t>Approximately 100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AR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lastRenderedPageBreak/>
              <w:t>Social media promotion (twitter)</w:t>
            </w:r>
          </w:p>
        </w:tc>
        <w:tc>
          <w:tcPr>
            <w:tcW w:w="1650" w:type="dxa"/>
          </w:tcPr>
          <w:p w:rsidR="00BB3FF5" w:rsidRPr="00F1479F" w:rsidRDefault="00BB3FF5" w:rsidP="001E1102">
            <w:pPr>
              <w:rPr>
                <w:szCs w:val="22"/>
              </w:rPr>
            </w:pPr>
            <w:r w:rsidRPr="00F1479F">
              <w:rPr>
                <w:szCs w:val="22"/>
              </w:rPr>
              <w:t>April 11,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</w:p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-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Public in general</w:t>
            </w: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4,697 views / 95 interactions with the content published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1C3ED2" w:rsidRPr="00A32E32" w:rsidRDefault="00BB3FF5" w:rsidP="00AF3690">
            <w:pPr>
              <w:rPr>
                <w:szCs w:val="22"/>
              </w:rPr>
            </w:pPr>
            <w:r w:rsidRPr="00A32E32">
              <w:rPr>
                <w:szCs w:val="22"/>
              </w:rPr>
              <w:t xml:space="preserve">WIPO Information session on </w:t>
            </w:r>
            <w:r w:rsidR="00AF3690" w:rsidRPr="00A32E32">
              <w:rPr>
                <w:szCs w:val="22"/>
              </w:rPr>
              <w:t>Patent Related Flexibilities in the Multilateral Legal Framework and their Legislative Implementation at the National and Regional Level</w:t>
            </w: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March 16,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WIPO</w:t>
            </w:r>
          </w:p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Headquarters 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Economic Counsellor of the Permanent Mission of Comoros in Geneva</w:t>
            </w:r>
          </w:p>
          <w:p w:rsidR="00984B41" w:rsidRPr="00F1479F" w:rsidRDefault="00984B41" w:rsidP="00A87385">
            <w:pPr>
              <w:rPr>
                <w:szCs w:val="22"/>
              </w:rPr>
            </w:pP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N/A 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FR</w:t>
            </w:r>
          </w:p>
        </w:tc>
      </w:tr>
      <w:tr w:rsidR="00BB3FF5" w:rsidRPr="00AC61B0" w:rsidTr="00A87385">
        <w:trPr>
          <w:trHeight w:val="142"/>
        </w:trPr>
        <w:tc>
          <w:tcPr>
            <w:tcW w:w="3954" w:type="dxa"/>
          </w:tcPr>
          <w:p w:rsidR="00BB3FF5" w:rsidRPr="00A32E32" w:rsidRDefault="00BB3FF5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WIPO Workshop on Patent Law:  the Multilateral Legal Framework and its National Implementation</w:t>
            </w:r>
          </w:p>
          <w:p w:rsidR="00A9674A" w:rsidRPr="00A32E32" w:rsidRDefault="00A9674A" w:rsidP="00A87385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February 21, 2017</w:t>
            </w:r>
          </w:p>
        </w:tc>
        <w:tc>
          <w:tcPr>
            <w:tcW w:w="1788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Ulaanbaatar, Mongolia</w:t>
            </w:r>
          </w:p>
        </w:tc>
        <w:tc>
          <w:tcPr>
            <w:tcW w:w="2781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Government officials, private practitioners and representatives of national corporations/associations</w:t>
            </w:r>
          </w:p>
          <w:p w:rsidR="00B849E5" w:rsidRPr="00F1479F" w:rsidRDefault="00B849E5" w:rsidP="00A87385">
            <w:pPr>
              <w:rPr>
                <w:szCs w:val="22"/>
              </w:rPr>
            </w:pPr>
          </w:p>
        </w:tc>
        <w:tc>
          <w:tcPr>
            <w:tcW w:w="2857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Approximately 20 participants</w:t>
            </w:r>
          </w:p>
        </w:tc>
        <w:tc>
          <w:tcPr>
            <w:tcW w:w="1512" w:type="dxa"/>
          </w:tcPr>
          <w:p w:rsidR="00BB3FF5" w:rsidRPr="00F1479F" w:rsidRDefault="00BB3FF5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294B68" w:rsidRPr="00AC61B0" w:rsidTr="00A87385">
        <w:trPr>
          <w:trHeight w:val="142"/>
        </w:trPr>
        <w:tc>
          <w:tcPr>
            <w:tcW w:w="3954" w:type="dxa"/>
          </w:tcPr>
          <w:p w:rsidR="00294B68" w:rsidRPr="00A32E32" w:rsidRDefault="00294B68" w:rsidP="009A1140">
            <w:pPr>
              <w:rPr>
                <w:szCs w:val="22"/>
              </w:rPr>
            </w:pPr>
            <w:r w:rsidRPr="00A32E32">
              <w:rPr>
                <w:szCs w:val="22"/>
              </w:rPr>
              <w:t>WTO National Seminar on the TRIPS Agreement</w:t>
            </w:r>
          </w:p>
          <w:p w:rsidR="00294B68" w:rsidRPr="00A32E32" w:rsidRDefault="00294B68" w:rsidP="009A1140">
            <w:pPr>
              <w:rPr>
                <w:szCs w:val="22"/>
              </w:rPr>
            </w:pPr>
          </w:p>
          <w:p w:rsidR="00294B68" w:rsidRPr="00A32E32" w:rsidRDefault="00294B68" w:rsidP="00A87385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294B68" w:rsidRPr="00F1479F" w:rsidRDefault="00294B68" w:rsidP="009A1140">
            <w:pPr>
              <w:rPr>
                <w:szCs w:val="22"/>
              </w:rPr>
            </w:pPr>
            <w:r w:rsidRPr="00F1479F">
              <w:rPr>
                <w:szCs w:val="22"/>
              </w:rPr>
              <w:t>February 7 to 9, 2017</w:t>
            </w:r>
          </w:p>
          <w:p w:rsidR="00294B68" w:rsidRPr="00F1479F" w:rsidRDefault="00294B68" w:rsidP="00A87385">
            <w:pPr>
              <w:rPr>
                <w:szCs w:val="22"/>
              </w:rPr>
            </w:pPr>
          </w:p>
        </w:tc>
        <w:tc>
          <w:tcPr>
            <w:tcW w:w="1788" w:type="dxa"/>
          </w:tcPr>
          <w:p w:rsidR="00294B68" w:rsidRPr="00F1479F" w:rsidRDefault="00294B68" w:rsidP="009A1140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Kingstown, </w:t>
            </w:r>
          </w:p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St. Vincent and the Grenadines</w:t>
            </w:r>
          </w:p>
        </w:tc>
        <w:tc>
          <w:tcPr>
            <w:tcW w:w="2781" w:type="dxa"/>
          </w:tcPr>
          <w:p w:rsidR="00294B68" w:rsidRPr="00F1479F" w:rsidRDefault="00294B68" w:rsidP="009A1140">
            <w:pPr>
              <w:rPr>
                <w:szCs w:val="22"/>
              </w:rPr>
            </w:pPr>
            <w:r w:rsidRPr="00F1479F">
              <w:rPr>
                <w:szCs w:val="22"/>
              </w:rPr>
              <w:t>Government officials, private practitioners and representatives of national corporations/associations</w:t>
            </w:r>
          </w:p>
          <w:p w:rsidR="00294B68" w:rsidRPr="00F1479F" w:rsidRDefault="00294B68" w:rsidP="00A87385">
            <w:pPr>
              <w:rPr>
                <w:szCs w:val="22"/>
              </w:rPr>
            </w:pPr>
          </w:p>
        </w:tc>
        <w:tc>
          <w:tcPr>
            <w:tcW w:w="2857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30 participants</w:t>
            </w:r>
          </w:p>
        </w:tc>
        <w:tc>
          <w:tcPr>
            <w:tcW w:w="1512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EN</w:t>
            </w:r>
          </w:p>
        </w:tc>
      </w:tr>
      <w:tr w:rsidR="00294B68" w:rsidRPr="00AC61B0" w:rsidTr="00A87385">
        <w:trPr>
          <w:trHeight w:val="142"/>
        </w:trPr>
        <w:tc>
          <w:tcPr>
            <w:tcW w:w="3954" w:type="dxa"/>
          </w:tcPr>
          <w:p w:rsidR="00294B68" w:rsidRPr="00A32E32" w:rsidRDefault="00294B68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 xml:space="preserve">Conference “Intellectual property in biomedicine”, organized by </w:t>
            </w:r>
            <w:r w:rsidRPr="00A32E32">
              <w:rPr>
                <w:rFonts w:eastAsia="Times New Roman"/>
                <w:szCs w:val="22"/>
                <w:lang w:eastAsia="lt-LT"/>
              </w:rPr>
              <w:t xml:space="preserve">the State Patent Bureau of the Republic of Lithuania (SPB) in cooperation with </w:t>
            </w:r>
            <w:r w:rsidRPr="00A32E32">
              <w:rPr>
                <w:szCs w:val="22"/>
              </w:rPr>
              <w:lastRenderedPageBreak/>
              <w:t xml:space="preserve">the European Patent Office; the Lithuanian University of Health Sciences and the </w:t>
            </w:r>
            <w:r w:rsidRPr="00A32E32">
              <w:rPr>
                <w:rFonts w:eastAsia="Times New Roman"/>
                <w:szCs w:val="22"/>
                <w:lang w:eastAsia="lt-LT"/>
              </w:rPr>
              <w:t xml:space="preserve">Hospital of Lithuanian University of Health Sciences </w:t>
            </w:r>
            <w:proofErr w:type="spellStart"/>
            <w:r w:rsidRPr="00A32E32">
              <w:rPr>
                <w:rFonts w:eastAsia="Times New Roman"/>
                <w:szCs w:val="22"/>
                <w:lang w:eastAsia="lt-LT"/>
              </w:rPr>
              <w:t>Kauno</w:t>
            </w:r>
            <w:proofErr w:type="spellEnd"/>
            <w:r w:rsidRPr="00A32E32">
              <w:rPr>
                <w:rFonts w:eastAsia="Times New Roman"/>
                <w:szCs w:val="22"/>
                <w:lang w:eastAsia="lt-LT"/>
              </w:rPr>
              <w:t xml:space="preserve"> </w:t>
            </w:r>
            <w:proofErr w:type="spellStart"/>
            <w:r w:rsidRPr="00A32E32">
              <w:rPr>
                <w:rFonts w:eastAsia="Times New Roman"/>
                <w:szCs w:val="22"/>
                <w:lang w:eastAsia="lt-LT"/>
              </w:rPr>
              <w:t>klinikos</w:t>
            </w:r>
            <w:proofErr w:type="spellEnd"/>
          </w:p>
          <w:p w:rsidR="00294B68" w:rsidRPr="00A32E32" w:rsidRDefault="00294B68" w:rsidP="00A87385">
            <w:pPr>
              <w:rPr>
                <w:szCs w:val="22"/>
                <w:highlight w:val="yellow"/>
              </w:rPr>
            </w:pPr>
          </w:p>
        </w:tc>
        <w:tc>
          <w:tcPr>
            <w:tcW w:w="1650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lastRenderedPageBreak/>
              <w:t>November 10, 2016</w:t>
            </w:r>
          </w:p>
        </w:tc>
        <w:tc>
          <w:tcPr>
            <w:tcW w:w="1788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Kaunas, Lithuania</w:t>
            </w:r>
          </w:p>
        </w:tc>
        <w:tc>
          <w:tcPr>
            <w:tcW w:w="2781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 xml:space="preserve">Government officials, professionals in the fields of medicine, biochemistry, pharmacy, academia, and </w:t>
            </w:r>
            <w:r w:rsidRPr="00F1479F">
              <w:rPr>
                <w:szCs w:val="22"/>
              </w:rPr>
              <w:lastRenderedPageBreak/>
              <w:t>students</w:t>
            </w:r>
          </w:p>
        </w:tc>
        <w:tc>
          <w:tcPr>
            <w:tcW w:w="2857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lastRenderedPageBreak/>
              <w:t>Approximately 100 participants</w:t>
            </w:r>
          </w:p>
        </w:tc>
        <w:tc>
          <w:tcPr>
            <w:tcW w:w="1512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 xml:space="preserve">Lithuanian/ EN </w:t>
            </w:r>
          </w:p>
        </w:tc>
      </w:tr>
      <w:tr w:rsidR="00294B68" w:rsidRPr="00AC61B0" w:rsidTr="00A87385">
        <w:trPr>
          <w:trHeight w:val="142"/>
        </w:trPr>
        <w:tc>
          <w:tcPr>
            <w:tcW w:w="3954" w:type="dxa"/>
          </w:tcPr>
          <w:p w:rsidR="00294B68" w:rsidRPr="00A32E32" w:rsidRDefault="00294B68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lastRenderedPageBreak/>
              <w:t>First Regional Forum on IP for Specialized IP</w:t>
            </w:r>
            <w:r w:rsidR="00A32E32">
              <w:rPr>
                <w:szCs w:val="22"/>
              </w:rPr>
              <w:t xml:space="preserve"> </w:t>
            </w:r>
            <w:r w:rsidRPr="00A32E32">
              <w:rPr>
                <w:szCs w:val="22"/>
              </w:rPr>
              <w:t>Tribunals in Latin America, organized by WIPO, in cooperation with</w:t>
            </w:r>
            <w:r w:rsidR="00A32E32">
              <w:rPr>
                <w:szCs w:val="22"/>
              </w:rPr>
              <w:t xml:space="preserve"> </w:t>
            </w:r>
            <w:r w:rsidRPr="00A32E32">
              <w:rPr>
                <w:szCs w:val="22"/>
              </w:rPr>
              <w:t>the Industrial Property Tribunal of Chile and the Administrative Registration Tribunal of Costa Rica</w:t>
            </w:r>
          </w:p>
          <w:p w:rsidR="00294B68" w:rsidRPr="00A32E32" w:rsidRDefault="00294B68" w:rsidP="00A87385">
            <w:pPr>
              <w:rPr>
                <w:szCs w:val="22"/>
              </w:rPr>
            </w:pPr>
          </w:p>
          <w:p w:rsidR="00294B68" w:rsidRPr="00A32E32" w:rsidRDefault="00294B68" w:rsidP="005C605B">
            <w:pPr>
              <w:rPr>
                <w:szCs w:val="22"/>
              </w:rPr>
            </w:pPr>
          </w:p>
        </w:tc>
        <w:tc>
          <w:tcPr>
            <w:tcW w:w="1650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November 9 to 11, 2016</w:t>
            </w:r>
          </w:p>
        </w:tc>
        <w:tc>
          <w:tcPr>
            <w:tcW w:w="1788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Santiago, Chile</w:t>
            </w:r>
          </w:p>
        </w:tc>
        <w:tc>
          <w:tcPr>
            <w:tcW w:w="2781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Judges from Specialized Intellectual Property Tribunals of Latin American countries.</w:t>
            </w:r>
          </w:p>
        </w:tc>
        <w:tc>
          <w:tcPr>
            <w:tcW w:w="2857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Approximately 30 participants.</w:t>
            </w:r>
          </w:p>
        </w:tc>
        <w:tc>
          <w:tcPr>
            <w:tcW w:w="1512" w:type="dxa"/>
          </w:tcPr>
          <w:p w:rsidR="00294B68" w:rsidRPr="00F1479F" w:rsidRDefault="00294B68" w:rsidP="00A87385">
            <w:pPr>
              <w:rPr>
                <w:szCs w:val="22"/>
              </w:rPr>
            </w:pPr>
            <w:r w:rsidRPr="00F1479F">
              <w:rPr>
                <w:szCs w:val="22"/>
              </w:rPr>
              <w:t>ES</w:t>
            </w:r>
          </w:p>
        </w:tc>
      </w:tr>
      <w:tr w:rsidR="00294B68" w:rsidRPr="00AC61B0" w:rsidTr="00057475">
        <w:trPr>
          <w:cantSplit/>
          <w:trHeight w:val="75"/>
        </w:trPr>
        <w:tc>
          <w:tcPr>
            <w:tcW w:w="3954" w:type="dxa"/>
          </w:tcPr>
          <w:p w:rsidR="00294B68" w:rsidRPr="00A32E32" w:rsidRDefault="00294B68" w:rsidP="00A87385">
            <w:pPr>
              <w:rPr>
                <w:szCs w:val="22"/>
              </w:rPr>
            </w:pPr>
            <w:r w:rsidRPr="00A32E32">
              <w:rPr>
                <w:szCs w:val="22"/>
              </w:rPr>
              <w:t>Regional Seminar on Current Trends in Patent Law, co-organized by WIPO-PCT and the Eurasian Patent Organization (EAPO)</w:t>
            </w:r>
          </w:p>
          <w:p w:rsidR="00294B68" w:rsidRPr="00A32E32" w:rsidRDefault="00294B68" w:rsidP="00A87385">
            <w:pPr>
              <w:rPr>
                <w:szCs w:val="22"/>
              </w:rPr>
            </w:pPr>
          </w:p>
          <w:p w:rsidR="00294B68" w:rsidRPr="00A32E32" w:rsidRDefault="00294B68" w:rsidP="00A87385">
            <w:pPr>
              <w:rPr>
                <w:szCs w:val="22"/>
                <w:highlight w:val="yellow"/>
              </w:rPr>
            </w:pPr>
          </w:p>
        </w:tc>
        <w:tc>
          <w:tcPr>
            <w:tcW w:w="1650" w:type="dxa"/>
          </w:tcPr>
          <w:p w:rsidR="00294B68" w:rsidRPr="00F1479F" w:rsidRDefault="00294B68" w:rsidP="001E1102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  <w:lang w:val="en-GB"/>
              </w:rPr>
              <w:t>October 25 and 26, 2016</w:t>
            </w:r>
          </w:p>
        </w:tc>
        <w:tc>
          <w:tcPr>
            <w:tcW w:w="1788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Baku, Azerbaijan</w:t>
            </w:r>
          </w:p>
        </w:tc>
        <w:tc>
          <w:tcPr>
            <w:tcW w:w="2781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Government officials, legal practitioners, business, academia etc.</w:t>
            </w:r>
          </w:p>
        </w:tc>
        <w:tc>
          <w:tcPr>
            <w:tcW w:w="2857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60 participants</w:t>
            </w:r>
          </w:p>
        </w:tc>
        <w:tc>
          <w:tcPr>
            <w:tcW w:w="1512" w:type="dxa"/>
          </w:tcPr>
          <w:p w:rsidR="00294B68" w:rsidRPr="00F1479F" w:rsidRDefault="00294B68" w:rsidP="00A87385">
            <w:pPr>
              <w:rPr>
                <w:szCs w:val="22"/>
                <w:highlight w:val="yellow"/>
              </w:rPr>
            </w:pPr>
            <w:r w:rsidRPr="00F1479F">
              <w:rPr>
                <w:szCs w:val="22"/>
              </w:rPr>
              <w:t>RU / EN</w:t>
            </w:r>
          </w:p>
        </w:tc>
      </w:tr>
    </w:tbl>
    <w:p w:rsidR="006C0925" w:rsidRDefault="006C0925" w:rsidP="00602DD2">
      <w:pPr>
        <w:rPr>
          <w:szCs w:val="22"/>
        </w:rPr>
      </w:pPr>
    </w:p>
    <w:p w:rsidR="000C51E3" w:rsidRPr="00AC61B0" w:rsidRDefault="00602DD2" w:rsidP="00602DD2">
      <w:pPr>
        <w:tabs>
          <w:tab w:val="left" w:pos="6615"/>
        </w:tabs>
        <w:rPr>
          <w:szCs w:val="22"/>
        </w:rPr>
      </w:pPr>
      <w:r w:rsidRPr="00AC61B0">
        <w:rPr>
          <w:szCs w:val="22"/>
        </w:rPr>
        <w:tab/>
      </w:r>
    </w:p>
    <w:p w:rsidR="00602DD2" w:rsidRPr="00AC61B0" w:rsidRDefault="00602DD2" w:rsidP="00602DD2">
      <w:pPr>
        <w:tabs>
          <w:tab w:val="left" w:pos="6615"/>
        </w:tabs>
        <w:jc w:val="right"/>
        <w:rPr>
          <w:szCs w:val="22"/>
        </w:rPr>
      </w:pPr>
      <w:r w:rsidRPr="00AC61B0">
        <w:rPr>
          <w:szCs w:val="22"/>
        </w:rPr>
        <w:t xml:space="preserve">[End of Annex </w:t>
      </w:r>
      <w:r w:rsidR="006C0925">
        <w:rPr>
          <w:szCs w:val="22"/>
        </w:rPr>
        <w:t xml:space="preserve">II and of </w:t>
      </w:r>
      <w:r w:rsidRPr="00AC61B0">
        <w:rPr>
          <w:szCs w:val="22"/>
        </w:rPr>
        <w:t>document]</w:t>
      </w:r>
    </w:p>
    <w:sectPr w:rsidR="00602DD2" w:rsidRPr="00AC61B0" w:rsidSect="00602DD2">
      <w:headerReference w:type="default" r:id="rId22"/>
      <w:footerReference w:type="default" r:id="rId23"/>
      <w:headerReference w:type="first" r:id="rId24"/>
      <w:footerReference w:type="first" r:id="rId25"/>
      <w:pgSz w:w="16840" w:h="11907" w:orient="landscape" w:code="9"/>
      <w:pgMar w:top="1418" w:right="567" w:bottom="1134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87" w:rsidRDefault="00DC3D87">
      <w:r>
        <w:separator/>
      </w:r>
    </w:p>
  </w:endnote>
  <w:endnote w:type="continuationSeparator" w:id="0">
    <w:p w:rsidR="00DC3D87" w:rsidRDefault="00DC3D87" w:rsidP="003B38C1">
      <w:r>
        <w:separator/>
      </w:r>
    </w:p>
    <w:p w:rsidR="00DC3D87" w:rsidRPr="003B38C1" w:rsidRDefault="00DC3D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3D87" w:rsidRPr="003B38C1" w:rsidRDefault="00DC3D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1B" w:rsidRDefault="00473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1B" w:rsidRDefault="00473B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1B" w:rsidRDefault="00473B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291A4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4E" w:rsidRDefault="006B4B4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4E" w:rsidRDefault="006B4B4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4E" w:rsidRDefault="006B4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87" w:rsidRDefault="00DC3D87">
      <w:r>
        <w:separator/>
      </w:r>
    </w:p>
  </w:footnote>
  <w:footnote w:type="continuationSeparator" w:id="0">
    <w:p w:rsidR="00DC3D87" w:rsidRDefault="00DC3D87" w:rsidP="008B60B2">
      <w:r>
        <w:separator/>
      </w:r>
    </w:p>
    <w:p w:rsidR="00DC3D87" w:rsidRPr="00ED77FB" w:rsidRDefault="00DC3D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3D87" w:rsidRPr="00ED77FB" w:rsidRDefault="00DC3D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F06C5" w:rsidRPr="00BD2C19" w:rsidRDefault="00EF06C5" w:rsidP="00344F53">
      <w:pPr>
        <w:pStyle w:val="FootnoteText"/>
      </w:pPr>
      <w:r>
        <w:rPr>
          <w:rStyle w:val="FootnoteReference"/>
        </w:rPr>
        <w:footnoteRef/>
      </w:r>
      <w:r>
        <w:t xml:space="preserve"> These provisions deal with the following fourteen flexibilities:</w:t>
      </w:r>
      <w:r w:rsidR="00344F53">
        <w:t xml:space="preserve"> </w:t>
      </w:r>
      <w:r>
        <w:t xml:space="preserve"> (</w:t>
      </w:r>
      <w:proofErr w:type="spellStart"/>
      <w:r>
        <w:t>i</w:t>
      </w:r>
      <w:proofErr w:type="spellEnd"/>
      <w:r>
        <w:t>) compulsory licenses and government use;  (ii)</w:t>
      </w:r>
      <w:r w:rsidR="00344F53">
        <w:t> </w:t>
      </w:r>
      <w:r>
        <w:t xml:space="preserve">exhaustion of rights; </w:t>
      </w:r>
      <w:r w:rsidR="00344F53">
        <w:t xml:space="preserve"> </w:t>
      </w:r>
      <w:r>
        <w:t>(iii) regulatory review exemption;</w:t>
      </w:r>
      <w:r w:rsidR="00344F53">
        <w:t xml:space="preserve"> </w:t>
      </w:r>
      <w:r>
        <w:t xml:space="preserve"> (iv) research exemption;  (v) exclusions from utility model protection; </w:t>
      </w:r>
      <w:r w:rsidR="00344F53">
        <w:t xml:space="preserve"> </w:t>
      </w:r>
      <w:r>
        <w:t xml:space="preserve">(vi) transition periods; </w:t>
      </w:r>
      <w:r w:rsidR="00344F53">
        <w:t xml:space="preserve"> </w:t>
      </w:r>
      <w:r>
        <w:t>(vii) patentability of substances existing in nature;</w:t>
      </w:r>
      <w:r w:rsidR="00344F53">
        <w:t xml:space="preserve"> </w:t>
      </w:r>
      <w:r>
        <w:t xml:space="preserve"> (viii) disclosure related flexibilities;</w:t>
      </w:r>
      <w:r w:rsidR="00344F53">
        <w:t xml:space="preserve">  </w:t>
      </w:r>
      <w:r>
        <w:t>(ix) substantive examination;  (x) ex-officio IP office control of anti-competitive clauses in licensing agreements;</w:t>
      </w:r>
      <w:r w:rsidR="00344F53">
        <w:t xml:space="preserve"> </w:t>
      </w:r>
      <w:r>
        <w:t xml:space="preserve"> (xi) the scope of the exclusion from patentability of plants;</w:t>
      </w:r>
      <w:r w:rsidR="00344F53">
        <w:t xml:space="preserve"> </w:t>
      </w:r>
      <w:r>
        <w:t xml:space="preserve"> (xii) the patentability or exclusion from patentability of software-related inventions; </w:t>
      </w:r>
      <w:r w:rsidR="00344F53">
        <w:t xml:space="preserve"> </w:t>
      </w:r>
      <w:r>
        <w:t>(xiii) the flexibility whether to apply criminal sanctions in patent enforcement;</w:t>
      </w:r>
      <w:r w:rsidR="00344F53">
        <w:t xml:space="preserve">  and</w:t>
      </w:r>
      <w:r>
        <w:t xml:space="preserve"> (xiv) measures related to national security (so-called “security exception”).</w:t>
      </w:r>
    </w:p>
  </w:footnote>
  <w:footnote w:id="3">
    <w:p w:rsidR="002B4C3B" w:rsidRDefault="002B4C3B">
      <w:pPr>
        <w:pStyle w:val="FootnoteText"/>
      </w:pPr>
      <w:r>
        <w:rPr>
          <w:rStyle w:val="FootnoteReference"/>
        </w:rPr>
        <w:footnoteRef/>
      </w:r>
      <w:r>
        <w:t xml:space="preserve"> Upon a request by t</w:t>
      </w:r>
      <w:r w:rsidRPr="002B4C3B">
        <w:t>he</w:t>
      </w:r>
      <w:r>
        <w:t xml:space="preserve"> </w:t>
      </w:r>
      <w:r w:rsidRPr="002B4C3B">
        <w:t>sixt</w:t>
      </w:r>
      <w:r>
        <w:t>eenth session of the Committee,</w:t>
      </w:r>
      <w:r w:rsidRPr="002B4C3B">
        <w:t xml:space="preserve"> proposal</w:t>
      </w:r>
      <w:r>
        <w:t>s</w:t>
      </w:r>
      <w:r w:rsidRPr="002B4C3B">
        <w:t xml:space="preserve"> for a mechanism </w:t>
      </w:r>
      <w:r>
        <w:t>to periodically update</w:t>
      </w:r>
      <w:r w:rsidRPr="002B4C3B">
        <w:t xml:space="preserve"> the Database</w:t>
      </w:r>
      <w:r>
        <w:t>, conta</w:t>
      </w:r>
      <w:r w:rsidRPr="002B4C3B">
        <w:t>ined in documents CDIP/17/5 and CDIP/18/5</w:t>
      </w:r>
      <w:r>
        <w:t>,</w:t>
      </w:r>
      <w:r w:rsidRPr="002B4C3B">
        <w:t xml:space="preserve"> were discussed by the seventeenth and eighteenth CDIP sessions, respectively.  </w:t>
      </w:r>
    </w:p>
    <w:p w:rsidR="00BD2C19" w:rsidRPr="002B4C3B" w:rsidRDefault="00BD2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1B" w:rsidRDefault="00473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344216" w:rsidP="00BA0CE1">
    <w:pPr>
      <w:pStyle w:val="Header"/>
      <w:jc w:val="right"/>
      <w:rPr>
        <w:lang w:val="fr-CH"/>
      </w:rPr>
    </w:pPr>
    <w:r>
      <w:rPr>
        <w:lang w:val="fr-CH"/>
      </w:rPr>
      <w:t>CDIP/1</w:t>
    </w:r>
    <w:r w:rsidR="000B0626">
      <w:rPr>
        <w:lang w:val="fr-CH"/>
      </w:rPr>
      <w:t>8</w:t>
    </w:r>
    <w:r>
      <w:rPr>
        <w:lang w:val="fr-CH"/>
      </w:rPr>
      <w:t>/5</w:t>
    </w:r>
  </w:p>
  <w:p w:rsidR="00117F8A" w:rsidRDefault="007423A2" w:rsidP="00BA0CE1">
    <w:pPr>
      <w:pStyle w:val="Header"/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 w:rsidR="00117F8A">
      <w:rPr>
        <w:lang w:val="fr-CH"/>
      </w:rPr>
      <w:t xml:space="preserve">, page </w:t>
    </w:r>
    <w:r w:rsidR="00EB0A62">
      <w:rPr>
        <w:lang w:val="fr-CH"/>
      </w:rPr>
      <w:t>X</w:t>
    </w:r>
  </w:p>
  <w:p w:rsidR="00117F8A" w:rsidRDefault="00117F8A" w:rsidP="00BA0CE1">
    <w:pPr>
      <w:pStyle w:val="Header"/>
      <w:jc w:val="right"/>
      <w:rPr>
        <w:lang w:val="fr-CH"/>
      </w:rPr>
    </w:pPr>
  </w:p>
  <w:p w:rsidR="00117F8A" w:rsidRPr="00DD4C78" w:rsidRDefault="00117F8A" w:rsidP="00BA0CE1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1B" w:rsidRDefault="00473B1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291A49" w:rsidP="00BA0CE1">
    <w:pPr>
      <w:pStyle w:val="Header"/>
      <w:jc w:val="right"/>
      <w:rPr>
        <w:lang w:val="fr-CH"/>
      </w:rPr>
    </w:pPr>
    <w:r>
      <w:rPr>
        <w:lang w:val="fr-CH"/>
      </w:rPr>
      <w:t>CDIP/</w:t>
    </w:r>
    <w:r w:rsidR="00602DD2">
      <w:rPr>
        <w:lang w:val="fr-CH"/>
      </w:rPr>
      <w:t>20/</w:t>
    </w:r>
    <w:r w:rsidR="00D930A7">
      <w:rPr>
        <w:lang w:val="fr-CH"/>
      </w:rPr>
      <w:t>5</w:t>
    </w:r>
  </w:p>
  <w:p w:rsidR="00291A49" w:rsidRDefault="0020165C" w:rsidP="00291A49">
    <w:pPr>
      <w:pStyle w:val="Header"/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 w:rsidR="00A5052C">
      <w:rPr>
        <w:lang w:val="fr-CH"/>
      </w:rPr>
      <w:t xml:space="preserve"> </w:t>
    </w:r>
    <w:r w:rsidR="00D930A7">
      <w:rPr>
        <w:lang w:val="fr-CH"/>
      </w:rPr>
      <w:t>I</w:t>
    </w:r>
    <w:r w:rsidR="00291A49">
      <w:rPr>
        <w:lang w:val="fr-CH"/>
      </w:rPr>
      <w:t xml:space="preserve">, page </w:t>
    </w:r>
    <w:r w:rsidR="00291A49" w:rsidRPr="00291A49">
      <w:rPr>
        <w:lang w:val="fr-CH"/>
      </w:rPr>
      <w:fldChar w:fldCharType="begin"/>
    </w:r>
    <w:r w:rsidR="00291A49" w:rsidRPr="00291A49">
      <w:rPr>
        <w:lang w:val="fr-CH"/>
      </w:rPr>
      <w:instrText xml:space="preserve"> PAGE   \* MERGEFORMAT </w:instrText>
    </w:r>
    <w:r w:rsidR="00291A49" w:rsidRPr="00291A49">
      <w:rPr>
        <w:lang w:val="fr-CH"/>
      </w:rPr>
      <w:fldChar w:fldCharType="separate"/>
    </w:r>
    <w:r w:rsidR="009E3711">
      <w:rPr>
        <w:noProof/>
        <w:lang w:val="fr-CH"/>
      </w:rPr>
      <w:t>2</w:t>
    </w:r>
    <w:r w:rsidR="00291A49" w:rsidRPr="00291A49">
      <w:rPr>
        <w:noProof/>
        <w:lang w:val="fr-CH"/>
      </w:rPr>
      <w:fldChar w:fldCharType="end"/>
    </w:r>
  </w:p>
  <w:p w:rsidR="00291A49" w:rsidRDefault="00291A49" w:rsidP="00BA0CE1">
    <w:pPr>
      <w:pStyle w:val="Header"/>
      <w:jc w:val="right"/>
      <w:rPr>
        <w:lang w:val="fr-CH"/>
      </w:rPr>
    </w:pPr>
  </w:p>
  <w:p w:rsidR="00291A49" w:rsidRPr="00DD4C78" w:rsidRDefault="00291A49" w:rsidP="00BA0CE1">
    <w:pPr>
      <w:pStyle w:val="Header"/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D930A7" w:rsidP="00F975C5">
    <w:pPr>
      <w:pStyle w:val="Header"/>
      <w:jc w:val="right"/>
    </w:pPr>
    <w:r>
      <w:t>CDIP/20</w:t>
    </w:r>
    <w:r w:rsidR="00291A49">
      <w:t>/5</w:t>
    </w:r>
  </w:p>
  <w:p w:rsidR="00291A49" w:rsidRDefault="00291A49" w:rsidP="006B4B4E">
    <w:pPr>
      <w:pStyle w:val="Header"/>
      <w:jc w:val="right"/>
    </w:pPr>
    <w:r>
      <w:t>ANNEX</w:t>
    </w:r>
    <w:r w:rsidR="00A5052C">
      <w:t xml:space="preserve"> </w:t>
    </w:r>
    <w:r w:rsidR="00D930A7">
      <w:t>I</w:t>
    </w:r>
  </w:p>
  <w:p w:rsidR="00291A49" w:rsidRDefault="00291A49" w:rsidP="00790748">
    <w:pPr>
      <w:pStyle w:val="Header"/>
      <w:jc w:val="right"/>
    </w:pPr>
  </w:p>
  <w:p w:rsidR="00291A49" w:rsidRDefault="00291A4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4E" w:rsidRDefault="006B4B4E" w:rsidP="00BA0CE1">
    <w:pPr>
      <w:pStyle w:val="Header"/>
      <w:jc w:val="right"/>
      <w:rPr>
        <w:lang w:val="fr-CH"/>
      </w:rPr>
    </w:pPr>
    <w:r>
      <w:rPr>
        <w:lang w:val="fr-CH"/>
      </w:rPr>
      <w:t>CDIP/20/5</w:t>
    </w:r>
  </w:p>
  <w:p w:rsidR="006B4B4E" w:rsidRDefault="00B849E5" w:rsidP="00291A49">
    <w:pPr>
      <w:pStyle w:val="Header"/>
      <w:jc w:val="right"/>
      <w:rPr>
        <w:lang w:val="fr-CH"/>
      </w:rPr>
    </w:pPr>
    <w:r w:rsidRPr="00B849E5">
      <w:t>Annex</w:t>
    </w:r>
    <w:r w:rsidR="006B4B4E">
      <w:rPr>
        <w:lang w:val="fr-CH"/>
      </w:rPr>
      <w:t xml:space="preserve"> I</w:t>
    </w:r>
    <w:r w:rsidR="001E1102">
      <w:rPr>
        <w:lang w:val="fr-CH"/>
      </w:rPr>
      <w:t>I</w:t>
    </w:r>
    <w:r w:rsidR="006B4B4E">
      <w:rPr>
        <w:lang w:val="fr-CH"/>
      </w:rPr>
      <w:t xml:space="preserve">, page </w:t>
    </w:r>
    <w:r w:rsidR="006B4B4E" w:rsidRPr="00291A49">
      <w:rPr>
        <w:lang w:val="fr-CH"/>
      </w:rPr>
      <w:fldChar w:fldCharType="begin"/>
    </w:r>
    <w:r w:rsidR="006B4B4E" w:rsidRPr="00291A49">
      <w:rPr>
        <w:lang w:val="fr-CH"/>
      </w:rPr>
      <w:instrText xml:space="preserve"> PAGE   \* MERGEFORMAT </w:instrText>
    </w:r>
    <w:r w:rsidR="006B4B4E" w:rsidRPr="00291A49">
      <w:rPr>
        <w:lang w:val="fr-CH"/>
      </w:rPr>
      <w:fldChar w:fldCharType="separate"/>
    </w:r>
    <w:r w:rsidR="009E3711">
      <w:rPr>
        <w:noProof/>
        <w:lang w:val="fr-CH"/>
      </w:rPr>
      <w:t>4</w:t>
    </w:r>
    <w:r w:rsidR="006B4B4E" w:rsidRPr="00291A49">
      <w:rPr>
        <w:noProof/>
        <w:lang w:val="fr-CH"/>
      </w:rPr>
      <w:fldChar w:fldCharType="end"/>
    </w:r>
  </w:p>
  <w:p w:rsidR="006B4B4E" w:rsidRDefault="006B4B4E" w:rsidP="00BA0CE1">
    <w:pPr>
      <w:pStyle w:val="Header"/>
      <w:jc w:val="right"/>
      <w:rPr>
        <w:lang w:val="fr-CH"/>
      </w:rPr>
    </w:pPr>
  </w:p>
  <w:p w:rsidR="006B4B4E" w:rsidRPr="00DD4C78" w:rsidRDefault="006B4B4E" w:rsidP="00BA0CE1">
    <w:pPr>
      <w:pStyle w:val="Header"/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B4E" w:rsidRDefault="006B4B4E" w:rsidP="00F975C5">
    <w:pPr>
      <w:pStyle w:val="Header"/>
      <w:jc w:val="right"/>
    </w:pPr>
    <w:r>
      <w:t>CDIP/20/5</w:t>
    </w:r>
  </w:p>
  <w:p w:rsidR="006B4B4E" w:rsidRDefault="006B4B4E" w:rsidP="00790748">
    <w:pPr>
      <w:pStyle w:val="Header"/>
      <w:jc w:val="right"/>
    </w:pPr>
    <w:r>
      <w:t>ANNEX II</w:t>
    </w:r>
  </w:p>
  <w:p w:rsidR="006B4B4E" w:rsidRDefault="006B4B4E" w:rsidP="00790748">
    <w:pPr>
      <w:pStyle w:val="Header"/>
      <w:jc w:val="right"/>
    </w:pPr>
  </w:p>
  <w:p w:rsidR="006B4B4E" w:rsidRDefault="006B4B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7592040E"/>
    <w:lvl w:ilvl="0">
      <w:start w:val="7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0BE807BF"/>
    <w:multiLevelType w:val="hybridMultilevel"/>
    <w:tmpl w:val="BD4CB3F4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044"/>
    <w:multiLevelType w:val="hybridMultilevel"/>
    <w:tmpl w:val="9E0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C82"/>
    <w:multiLevelType w:val="hybridMultilevel"/>
    <w:tmpl w:val="FA74DE98"/>
    <w:lvl w:ilvl="0" w:tplc="50CCF344">
      <w:start w:val="1"/>
      <w:numFmt w:val="lowerRoman"/>
      <w:lvlText w:val="%1)"/>
      <w:lvlJc w:val="left"/>
      <w:pPr>
        <w:ind w:left="188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565F2B"/>
    <w:multiLevelType w:val="hybridMultilevel"/>
    <w:tmpl w:val="76F6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130A3"/>
    <w:multiLevelType w:val="multilevel"/>
    <w:tmpl w:val="8AF6648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29DC076F"/>
    <w:multiLevelType w:val="hybridMultilevel"/>
    <w:tmpl w:val="0458D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6B56D3"/>
    <w:multiLevelType w:val="hybridMultilevel"/>
    <w:tmpl w:val="4426D0C0"/>
    <w:lvl w:ilvl="0" w:tplc="CB5E8B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F7B6E"/>
    <w:multiLevelType w:val="hybridMultilevel"/>
    <w:tmpl w:val="F750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5D12"/>
    <w:multiLevelType w:val="hybridMultilevel"/>
    <w:tmpl w:val="0018FF64"/>
    <w:lvl w:ilvl="0" w:tplc="97D2CEE6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209B4"/>
    <w:multiLevelType w:val="multilevel"/>
    <w:tmpl w:val="03C043D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3E2A241F"/>
    <w:multiLevelType w:val="hybridMultilevel"/>
    <w:tmpl w:val="DD0CA400"/>
    <w:lvl w:ilvl="0" w:tplc="2E8C2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A9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380362F"/>
    <w:multiLevelType w:val="hybridMultilevel"/>
    <w:tmpl w:val="B418B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8C0729"/>
    <w:multiLevelType w:val="hybridMultilevel"/>
    <w:tmpl w:val="BD5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930DE"/>
    <w:multiLevelType w:val="hybridMultilevel"/>
    <w:tmpl w:val="08FC0712"/>
    <w:lvl w:ilvl="0" w:tplc="A60CAD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2A84"/>
    <w:multiLevelType w:val="multilevel"/>
    <w:tmpl w:val="03C043D6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B2135"/>
    <w:multiLevelType w:val="hybridMultilevel"/>
    <w:tmpl w:val="C7301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7970EE"/>
    <w:multiLevelType w:val="hybridMultilevel"/>
    <w:tmpl w:val="65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24EB4"/>
    <w:multiLevelType w:val="hybridMultilevel"/>
    <w:tmpl w:val="D61EBE5A"/>
    <w:lvl w:ilvl="0" w:tplc="B89845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9810FB"/>
    <w:multiLevelType w:val="hybridMultilevel"/>
    <w:tmpl w:val="4E34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C75C93"/>
    <w:multiLevelType w:val="hybridMultilevel"/>
    <w:tmpl w:val="5FBC18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944A59"/>
    <w:multiLevelType w:val="hybridMultilevel"/>
    <w:tmpl w:val="51F46786"/>
    <w:lvl w:ilvl="0" w:tplc="3EA46E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6C7A60F5"/>
    <w:multiLevelType w:val="hybridMultilevel"/>
    <w:tmpl w:val="261EB6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83CE9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28">
    <w:nsid w:val="73DD2976"/>
    <w:multiLevelType w:val="hybridMultilevel"/>
    <w:tmpl w:val="AECA0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21"/>
  </w:num>
  <w:num w:numId="5">
    <w:abstractNumId w:val="20"/>
  </w:num>
  <w:num w:numId="6">
    <w:abstractNumId w:val="5"/>
  </w:num>
  <w:num w:numId="7">
    <w:abstractNumId w:val="7"/>
  </w:num>
  <w:num w:numId="8">
    <w:abstractNumId w:val="26"/>
  </w:num>
  <w:num w:numId="9">
    <w:abstractNumId w:val="14"/>
  </w:num>
  <w:num w:numId="10">
    <w:abstractNumId w:val="15"/>
  </w:num>
  <w:num w:numId="11">
    <w:abstractNumId w:val="8"/>
  </w:num>
  <w:num w:numId="12">
    <w:abstractNumId w:val="16"/>
  </w:num>
  <w:num w:numId="13">
    <w:abstractNumId w:val="2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2"/>
  </w:num>
  <w:num w:numId="18">
    <w:abstractNumId w:val="0"/>
  </w:num>
  <w:num w:numId="19">
    <w:abstractNumId w:val="0"/>
  </w:num>
  <w:num w:numId="20">
    <w:abstractNumId w:val="3"/>
  </w:num>
  <w:num w:numId="21">
    <w:abstractNumId w:val="0"/>
  </w:num>
  <w:num w:numId="22">
    <w:abstractNumId w:val="0"/>
  </w:num>
  <w:num w:numId="23">
    <w:abstractNumId w:val="27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2"/>
  </w:num>
  <w:num w:numId="30">
    <w:abstractNumId w:val="0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1"/>
  </w:num>
  <w:num w:numId="36">
    <w:abstractNumId w:val="19"/>
  </w:num>
  <w:num w:numId="37">
    <w:abstractNumId w:val="4"/>
  </w:num>
  <w:num w:numId="38">
    <w:abstractNumId w:val="23"/>
  </w:num>
  <w:num w:numId="39">
    <w:abstractNumId w:val="17"/>
  </w:num>
  <w:num w:numId="40">
    <w:abstractNumId w:val="29"/>
  </w:num>
  <w:num w:numId="41">
    <w:abstractNumId w:val="25"/>
  </w:num>
  <w:num w:numId="42">
    <w:abstractNumId w:val="22"/>
  </w:num>
  <w:num w:numId="43">
    <w:abstractNumId w:val="24"/>
  </w:num>
  <w:num w:numId="44">
    <w:abstractNumId w:val="9"/>
  </w:num>
  <w:num w:numId="45">
    <w:abstractNumId w:val="10"/>
  </w:num>
  <w:num w:numId="46">
    <w:abstractNumId w:val="13"/>
  </w:num>
  <w:num w:numId="4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1"/>
    <w:rsid w:val="00003627"/>
    <w:rsid w:val="00003BE6"/>
    <w:rsid w:val="00004F6A"/>
    <w:rsid w:val="00010A81"/>
    <w:rsid w:val="00011F41"/>
    <w:rsid w:val="00016741"/>
    <w:rsid w:val="000179B2"/>
    <w:rsid w:val="00027B7B"/>
    <w:rsid w:val="00027C1B"/>
    <w:rsid w:val="00035C6E"/>
    <w:rsid w:val="00035DDA"/>
    <w:rsid w:val="000366EA"/>
    <w:rsid w:val="0004361E"/>
    <w:rsid w:val="00043CAA"/>
    <w:rsid w:val="00045F9F"/>
    <w:rsid w:val="00046235"/>
    <w:rsid w:val="00051F65"/>
    <w:rsid w:val="00052D3F"/>
    <w:rsid w:val="00055D8B"/>
    <w:rsid w:val="00057475"/>
    <w:rsid w:val="000606AB"/>
    <w:rsid w:val="00061712"/>
    <w:rsid w:val="000630BF"/>
    <w:rsid w:val="00067EB7"/>
    <w:rsid w:val="0007477A"/>
    <w:rsid w:val="00075432"/>
    <w:rsid w:val="00077885"/>
    <w:rsid w:val="00081EE4"/>
    <w:rsid w:val="000835E5"/>
    <w:rsid w:val="00090291"/>
    <w:rsid w:val="00092EEA"/>
    <w:rsid w:val="00094EE8"/>
    <w:rsid w:val="000968ED"/>
    <w:rsid w:val="000A023B"/>
    <w:rsid w:val="000A0DE2"/>
    <w:rsid w:val="000A2ABC"/>
    <w:rsid w:val="000A4597"/>
    <w:rsid w:val="000A7840"/>
    <w:rsid w:val="000B0626"/>
    <w:rsid w:val="000B2AD3"/>
    <w:rsid w:val="000C2DB1"/>
    <w:rsid w:val="000C3CE8"/>
    <w:rsid w:val="000C511C"/>
    <w:rsid w:val="000C51E3"/>
    <w:rsid w:val="000C68D2"/>
    <w:rsid w:val="000D20BA"/>
    <w:rsid w:val="000D23C2"/>
    <w:rsid w:val="000D24B5"/>
    <w:rsid w:val="000D7C2F"/>
    <w:rsid w:val="000D7F01"/>
    <w:rsid w:val="000E001A"/>
    <w:rsid w:val="000E0813"/>
    <w:rsid w:val="000E2879"/>
    <w:rsid w:val="000E2A5D"/>
    <w:rsid w:val="000E5226"/>
    <w:rsid w:val="000E6CBC"/>
    <w:rsid w:val="000F3EC6"/>
    <w:rsid w:val="000F45DD"/>
    <w:rsid w:val="000F4927"/>
    <w:rsid w:val="000F5E56"/>
    <w:rsid w:val="001000E6"/>
    <w:rsid w:val="00111B45"/>
    <w:rsid w:val="00116436"/>
    <w:rsid w:val="00117F8A"/>
    <w:rsid w:val="001223C8"/>
    <w:rsid w:val="00122517"/>
    <w:rsid w:val="00123099"/>
    <w:rsid w:val="0012610D"/>
    <w:rsid w:val="001320D5"/>
    <w:rsid w:val="001362EE"/>
    <w:rsid w:val="0014558C"/>
    <w:rsid w:val="00152195"/>
    <w:rsid w:val="00155C06"/>
    <w:rsid w:val="00165216"/>
    <w:rsid w:val="001746A6"/>
    <w:rsid w:val="001755E3"/>
    <w:rsid w:val="001832A6"/>
    <w:rsid w:val="00191A29"/>
    <w:rsid w:val="0019236A"/>
    <w:rsid w:val="001934CC"/>
    <w:rsid w:val="0019745D"/>
    <w:rsid w:val="001A1822"/>
    <w:rsid w:val="001A3236"/>
    <w:rsid w:val="001A329D"/>
    <w:rsid w:val="001C0A44"/>
    <w:rsid w:val="001C0CA0"/>
    <w:rsid w:val="001C10DE"/>
    <w:rsid w:val="001C3683"/>
    <w:rsid w:val="001C3ED2"/>
    <w:rsid w:val="001C44B1"/>
    <w:rsid w:val="001C5066"/>
    <w:rsid w:val="001C5579"/>
    <w:rsid w:val="001D0517"/>
    <w:rsid w:val="001D0CBF"/>
    <w:rsid w:val="001E1102"/>
    <w:rsid w:val="001E255A"/>
    <w:rsid w:val="001E3C7A"/>
    <w:rsid w:val="001F1CB2"/>
    <w:rsid w:val="001F1E46"/>
    <w:rsid w:val="001F2782"/>
    <w:rsid w:val="002008AD"/>
    <w:rsid w:val="0020165C"/>
    <w:rsid w:val="002019D3"/>
    <w:rsid w:val="0020657B"/>
    <w:rsid w:val="00207A08"/>
    <w:rsid w:val="00207AC8"/>
    <w:rsid w:val="00207AE6"/>
    <w:rsid w:val="00222FB1"/>
    <w:rsid w:val="00226EEE"/>
    <w:rsid w:val="002353DB"/>
    <w:rsid w:val="00236404"/>
    <w:rsid w:val="002419ED"/>
    <w:rsid w:val="00241A45"/>
    <w:rsid w:val="00242EC5"/>
    <w:rsid w:val="002444DB"/>
    <w:rsid w:val="0025304C"/>
    <w:rsid w:val="0026101E"/>
    <w:rsid w:val="0026227E"/>
    <w:rsid w:val="002634C4"/>
    <w:rsid w:val="002679A5"/>
    <w:rsid w:val="00273B43"/>
    <w:rsid w:val="00274A02"/>
    <w:rsid w:val="0027556F"/>
    <w:rsid w:val="00275B59"/>
    <w:rsid w:val="00275C5C"/>
    <w:rsid w:val="00282572"/>
    <w:rsid w:val="00283E6B"/>
    <w:rsid w:val="00284DFA"/>
    <w:rsid w:val="002911FC"/>
    <w:rsid w:val="00291A49"/>
    <w:rsid w:val="002928D3"/>
    <w:rsid w:val="00292A49"/>
    <w:rsid w:val="002937F1"/>
    <w:rsid w:val="00294B68"/>
    <w:rsid w:val="002A2FF8"/>
    <w:rsid w:val="002A437F"/>
    <w:rsid w:val="002B14D8"/>
    <w:rsid w:val="002B2297"/>
    <w:rsid w:val="002B4C3B"/>
    <w:rsid w:val="002B4E42"/>
    <w:rsid w:val="002C263F"/>
    <w:rsid w:val="002C2C9C"/>
    <w:rsid w:val="002D236D"/>
    <w:rsid w:val="002D657B"/>
    <w:rsid w:val="002E1C0A"/>
    <w:rsid w:val="002E2787"/>
    <w:rsid w:val="002E2F01"/>
    <w:rsid w:val="002E591E"/>
    <w:rsid w:val="002F1AFB"/>
    <w:rsid w:val="002F1FE6"/>
    <w:rsid w:val="002F2E47"/>
    <w:rsid w:val="002F3C79"/>
    <w:rsid w:val="002F4CFD"/>
    <w:rsid w:val="002F4E68"/>
    <w:rsid w:val="002F772F"/>
    <w:rsid w:val="00304E10"/>
    <w:rsid w:val="00306A7C"/>
    <w:rsid w:val="00307B7B"/>
    <w:rsid w:val="003106AA"/>
    <w:rsid w:val="003112CE"/>
    <w:rsid w:val="00312F7F"/>
    <w:rsid w:val="00314672"/>
    <w:rsid w:val="00314764"/>
    <w:rsid w:val="00314DFF"/>
    <w:rsid w:val="003154F3"/>
    <w:rsid w:val="00317A35"/>
    <w:rsid w:val="00320831"/>
    <w:rsid w:val="00320BA4"/>
    <w:rsid w:val="00322772"/>
    <w:rsid w:val="00324388"/>
    <w:rsid w:val="00324E38"/>
    <w:rsid w:val="00331BEE"/>
    <w:rsid w:val="00337076"/>
    <w:rsid w:val="00340AF9"/>
    <w:rsid w:val="00340E6D"/>
    <w:rsid w:val="00344216"/>
    <w:rsid w:val="00344F53"/>
    <w:rsid w:val="00346745"/>
    <w:rsid w:val="00353310"/>
    <w:rsid w:val="0035396C"/>
    <w:rsid w:val="00353C48"/>
    <w:rsid w:val="00354EC2"/>
    <w:rsid w:val="00356E98"/>
    <w:rsid w:val="00360764"/>
    <w:rsid w:val="00360E3D"/>
    <w:rsid w:val="00361450"/>
    <w:rsid w:val="00362E2C"/>
    <w:rsid w:val="0036302B"/>
    <w:rsid w:val="003635AF"/>
    <w:rsid w:val="00364C15"/>
    <w:rsid w:val="003666FA"/>
    <w:rsid w:val="003673CF"/>
    <w:rsid w:val="00372449"/>
    <w:rsid w:val="003769D7"/>
    <w:rsid w:val="003837AE"/>
    <w:rsid w:val="003845C1"/>
    <w:rsid w:val="00385D93"/>
    <w:rsid w:val="003875F6"/>
    <w:rsid w:val="00394C94"/>
    <w:rsid w:val="003A0D96"/>
    <w:rsid w:val="003A253B"/>
    <w:rsid w:val="003A5543"/>
    <w:rsid w:val="003A6F89"/>
    <w:rsid w:val="003B0B71"/>
    <w:rsid w:val="003B38C1"/>
    <w:rsid w:val="003C06C1"/>
    <w:rsid w:val="003C0AD1"/>
    <w:rsid w:val="003C0F85"/>
    <w:rsid w:val="003C3E71"/>
    <w:rsid w:val="003C5725"/>
    <w:rsid w:val="003C7030"/>
    <w:rsid w:val="003D606B"/>
    <w:rsid w:val="003D6138"/>
    <w:rsid w:val="003D67A2"/>
    <w:rsid w:val="003D79D9"/>
    <w:rsid w:val="003E350C"/>
    <w:rsid w:val="003E3594"/>
    <w:rsid w:val="003F2159"/>
    <w:rsid w:val="003F3AA3"/>
    <w:rsid w:val="003F5B3E"/>
    <w:rsid w:val="003F6D0E"/>
    <w:rsid w:val="0040350C"/>
    <w:rsid w:val="00406CDE"/>
    <w:rsid w:val="00410A3B"/>
    <w:rsid w:val="00412717"/>
    <w:rsid w:val="00420183"/>
    <w:rsid w:val="00420C0A"/>
    <w:rsid w:val="00420D52"/>
    <w:rsid w:val="00420DE1"/>
    <w:rsid w:val="0042351D"/>
    <w:rsid w:val="00423E3E"/>
    <w:rsid w:val="00425C7C"/>
    <w:rsid w:val="00426465"/>
    <w:rsid w:val="00427AF4"/>
    <w:rsid w:val="00427DAE"/>
    <w:rsid w:val="004310F3"/>
    <w:rsid w:val="00431F89"/>
    <w:rsid w:val="00433582"/>
    <w:rsid w:val="00433875"/>
    <w:rsid w:val="004345D5"/>
    <w:rsid w:val="00441BF3"/>
    <w:rsid w:val="004516CD"/>
    <w:rsid w:val="004557A8"/>
    <w:rsid w:val="00455C6D"/>
    <w:rsid w:val="00457C76"/>
    <w:rsid w:val="00463A28"/>
    <w:rsid w:val="004647DA"/>
    <w:rsid w:val="00473B1B"/>
    <w:rsid w:val="00474062"/>
    <w:rsid w:val="00477D6B"/>
    <w:rsid w:val="004823F6"/>
    <w:rsid w:val="004851D2"/>
    <w:rsid w:val="00492127"/>
    <w:rsid w:val="0049620F"/>
    <w:rsid w:val="00496D2F"/>
    <w:rsid w:val="004A37AA"/>
    <w:rsid w:val="004B6F61"/>
    <w:rsid w:val="004C1D02"/>
    <w:rsid w:val="004D1FF3"/>
    <w:rsid w:val="004D60B2"/>
    <w:rsid w:val="004E2FA3"/>
    <w:rsid w:val="004E3036"/>
    <w:rsid w:val="004E339B"/>
    <w:rsid w:val="004E5A16"/>
    <w:rsid w:val="004E67E2"/>
    <w:rsid w:val="004E6B66"/>
    <w:rsid w:val="004F232F"/>
    <w:rsid w:val="004F2FA7"/>
    <w:rsid w:val="004F54D9"/>
    <w:rsid w:val="005019FF"/>
    <w:rsid w:val="00507532"/>
    <w:rsid w:val="00513783"/>
    <w:rsid w:val="00514ABF"/>
    <w:rsid w:val="00520C62"/>
    <w:rsid w:val="00522009"/>
    <w:rsid w:val="00524FCE"/>
    <w:rsid w:val="00526F4B"/>
    <w:rsid w:val="0052796B"/>
    <w:rsid w:val="0053057A"/>
    <w:rsid w:val="00530E4E"/>
    <w:rsid w:val="005318E2"/>
    <w:rsid w:val="0053407C"/>
    <w:rsid w:val="00543C2F"/>
    <w:rsid w:val="005456BF"/>
    <w:rsid w:val="00546151"/>
    <w:rsid w:val="00550AC3"/>
    <w:rsid w:val="00550AEE"/>
    <w:rsid w:val="00552572"/>
    <w:rsid w:val="00560A29"/>
    <w:rsid w:val="00564EEE"/>
    <w:rsid w:val="005771DF"/>
    <w:rsid w:val="00580E86"/>
    <w:rsid w:val="00595516"/>
    <w:rsid w:val="005A0DF4"/>
    <w:rsid w:val="005A19ED"/>
    <w:rsid w:val="005A1B98"/>
    <w:rsid w:val="005A3D1C"/>
    <w:rsid w:val="005A4679"/>
    <w:rsid w:val="005A4946"/>
    <w:rsid w:val="005B0393"/>
    <w:rsid w:val="005B2639"/>
    <w:rsid w:val="005B2C59"/>
    <w:rsid w:val="005B42EE"/>
    <w:rsid w:val="005C605B"/>
    <w:rsid w:val="005C6649"/>
    <w:rsid w:val="005D54C3"/>
    <w:rsid w:val="005D65B9"/>
    <w:rsid w:val="005D71A4"/>
    <w:rsid w:val="005E0C34"/>
    <w:rsid w:val="005E3F12"/>
    <w:rsid w:val="005E4812"/>
    <w:rsid w:val="005E4A3B"/>
    <w:rsid w:val="005E4AE2"/>
    <w:rsid w:val="005E4D4F"/>
    <w:rsid w:val="005E5F50"/>
    <w:rsid w:val="005F33A1"/>
    <w:rsid w:val="005F4794"/>
    <w:rsid w:val="00602C21"/>
    <w:rsid w:val="00602DD2"/>
    <w:rsid w:val="00603C41"/>
    <w:rsid w:val="00605827"/>
    <w:rsid w:val="0061439B"/>
    <w:rsid w:val="006155D1"/>
    <w:rsid w:val="006258FC"/>
    <w:rsid w:val="0063096E"/>
    <w:rsid w:val="0063142C"/>
    <w:rsid w:val="006349FE"/>
    <w:rsid w:val="006402CE"/>
    <w:rsid w:val="0064332F"/>
    <w:rsid w:val="00646050"/>
    <w:rsid w:val="006524CF"/>
    <w:rsid w:val="006534E9"/>
    <w:rsid w:val="00653CDB"/>
    <w:rsid w:val="006621E1"/>
    <w:rsid w:val="00663023"/>
    <w:rsid w:val="0066643E"/>
    <w:rsid w:val="006713CA"/>
    <w:rsid w:val="00675CFC"/>
    <w:rsid w:val="0067644E"/>
    <w:rsid w:val="00676644"/>
    <w:rsid w:val="00676C5C"/>
    <w:rsid w:val="0068452E"/>
    <w:rsid w:val="0068627B"/>
    <w:rsid w:val="00690085"/>
    <w:rsid w:val="00693BCA"/>
    <w:rsid w:val="006A10BE"/>
    <w:rsid w:val="006A7ADC"/>
    <w:rsid w:val="006B0378"/>
    <w:rsid w:val="006B1694"/>
    <w:rsid w:val="006B4B4E"/>
    <w:rsid w:val="006B6D7D"/>
    <w:rsid w:val="006C0925"/>
    <w:rsid w:val="006C56AB"/>
    <w:rsid w:val="006D4DC9"/>
    <w:rsid w:val="006D6566"/>
    <w:rsid w:val="006E407E"/>
    <w:rsid w:val="006E4A37"/>
    <w:rsid w:val="006F029F"/>
    <w:rsid w:val="006F16D0"/>
    <w:rsid w:val="0070070D"/>
    <w:rsid w:val="0070151F"/>
    <w:rsid w:val="00712679"/>
    <w:rsid w:val="007127C2"/>
    <w:rsid w:val="007204B5"/>
    <w:rsid w:val="00720A5B"/>
    <w:rsid w:val="00721303"/>
    <w:rsid w:val="00723020"/>
    <w:rsid w:val="00727563"/>
    <w:rsid w:val="0073082A"/>
    <w:rsid w:val="007315FF"/>
    <w:rsid w:val="007341D0"/>
    <w:rsid w:val="00736EF3"/>
    <w:rsid w:val="00741BA7"/>
    <w:rsid w:val="007423A2"/>
    <w:rsid w:val="007452F1"/>
    <w:rsid w:val="00746C6D"/>
    <w:rsid w:val="00751D1C"/>
    <w:rsid w:val="007525B2"/>
    <w:rsid w:val="0075338C"/>
    <w:rsid w:val="00761A95"/>
    <w:rsid w:val="0076218A"/>
    <w:rsid w:val="00764174"/>
    <w:rsid w:val="0077259B"/>
    <w:rsid w:val="00773F6F"/>
    <w:rsid w:val="00774B99"/>
    <w:rsid w:val="00775162"/>
    <w:rsid w:val="00775190"/>
    <w:rsid w:val="007764D0"/>
    <w:rsid w:val="00780843"/>
    <w:rsid w:val="00784F3F"/>
    <w:rsid w:val="007878BF"/>
    <w:rsid w:val="00790748"/>
    <w:rsid w:val="007948AB"/>
    <w:rsid w:val="00795449"/>
    <w:rsid w:val="007A0DDE"/>
    <w:rsid w:val="007A182C"/>
    <w:rsid w:val="007A3DC2"/>
    <w:rsid w:val="007A48BB"/>
    <w:rsid w:val="007B0A0A"/>
    <w:rsid w:val="007B19B7"/>
    <w:rsid w:val="007B45D6"/>
    <w:rsid w:val="007B5F9A"/>
    <w:rsid w:val="007B6D74"/>
    <w:rsid w:val="007B70A3"/>
    <w:rsid w:val="007C4398"/>
    <w:rsid w:val="007C5846"/>
    <w:rsid w:val="007C6BFC"/>
    <w:rsid w:val="007D0D0C"/>
    <w:rsid w:val="007D1613"/>
    <w:rsid w:val="007D3F1A"/>
    <w:rsid w:val="007E1AE3"/>
    <w:rsid w:val="007E36E7"/>
    <w:rsid w:val="007F11AC"/>
    <w:rsid w:val="007F4932"/>
    <w:rsid w:val="007F72A9"/>
    <w:rsid w:val="00802964"/>
    <w:rsid w:val="008146CB"/>
    <w:rsid w:val="00816CAB"/>
    <w:rsid w:val="00817B91"/>
    <w:rsid w:val="00823713"/>
    <w:rsid w:val="00827386"/>
    <w:rsid w:val="00827F61"/>
    <w:rsid w:val="00830524"/>
    <w:rsid w:val="0083798A"/>
    <w:rsid w:val="00842E77"/>
    <w:rsid w:val="00847320"/>
    <w:rsid w:val="00850633"/>
    <w:rsid w:val="00850915"/>
    <w:rsid w:val="008550B5"/>
    <w:rsid w:val="008646C3"/>
    <w:rsid w:val="00865DA5"/>
    <w:rsid w:val="00867249"/>
    <w:rsid w:val="00873BE9"/>
    <w:rsid w:val="00874699"/>
    <w:rsid w:val="00875B16"/>
    <w:rsid w:val="00890F74"/>
    <w:rsid w:val="00891D19"/>
    <w:rsid w:val="00893ED4"/>
    <w:rsid w:val="0089640E"/>
    <w:rsid w:val="008A195F"/>
    <w:rsid w:val="008A43CE"/>
    <w:rsid w:val="008A64B1"/>
    <w:rsid w:val="008B2CC1"/>
    <w:rsid w:val="008B3863"/>
    <w:rsid w:val="008B60B2"/>
    <w:rsid w:val="008C0498"/>
    <w:rsid w:val="008C1F2B"/>
    <w:rsid w:val="008C57E2"/>
    <w:rsid w:val="008D0634"/>
    <w:rsid w:val="008D43AF"/>
    <w:rsid w:val="008E415C"/>
    <w:rsid w:val="008E4D82"/>
    <w:rsid w:val="008F34EA"/>
    <w:rsid w:val="008F4EA9"/>
    <w:rsid w:val="008F7BC2"/>
    <w:rsid w:val="009011D9"/>
    <w:rsid w:val="00903FDA"/>
    <w:rsid w:val="0090731E"/>
    <w:rsid w:val="009122C4"/>
    <w:rsid w:val="00916EE2"/>
    <w:rsid w:val="00920B26"/>
    <w:rsid w:val="00923EA1"/>
    <w:rsid w:val="00932704"/>
    <w:rsid w:val="00932F48"/>
    <w:rsid w:val="00937ACE"/>
    <w:rsid w:val="00937B99"/>
    <w:rsid w:val="009435B1"/>
    <w:rsid w:val="009458A4"/>
    <w:rsid w:val="00947172"/>
    <w:rsid w:val="00950414"/>
    <w:rsid w:val="00951F0D"/>
    <w:rsid w:val="00952DBB"/>
    <w:rsid w:val="00953DE9"/>
    <w:rsid w:val="0095678B"/>
    <w:rsid w:val="009570F9"/>
    <w:rsid w:val="0096181D"/>
    <w:rsid w:val="00966A22"/>
    <w:rsid w:val="0096722F"/>
    <w:rsid w:val="00970C28"/>
    <w:rsid w:val="00972A22"/>
    <w:rsid w:val="00976EB0"/>
    <w:rsid w:val="00977BB9"/>
    <w:rsid w:val="0098048D"/>
    <w:rsid w:val="00980843"/>
    <w:rsid w:val="00984B41"/>
    <w:rsid w:val="0098507A"/>
    <w:rsid w:val="0099343F"/>
    <w:rsid w:val="0099358E"/>
    <w:rsid w:val="009A5468"/>
    <w:rsid w:val="009B129F"/>
    <w:rsid w:val="009B1D2B"/>
    <w:rsid w:val="009B749B"/>
    <w:rsid w:val="009C00C2"/>
    <w:rsid w:val="009C30CC"/>
    <w:rsid w:val="009D2738"/>
    <w:rsid w:val="009D47F8"/>
    <w:rsid w:val="009D5E7C"/>
    <w:rsid w:val="009E2791"/>
    <w:rsid w:val="009E289D"/>
    <w:rsid w:val="009E3711"/>
    <w:rsid w:val="009E3F6F"/>
    <w:rsid w:val="009E73AA"/>
    <w:rsid w:val="009F2975"/>
    <w:rsid w:val="009F499F"/>
    <w:rsid w:val="009F6187"/>
    <w:rsid w:val="009F6D44"/>
    <w:rsid w:val="009F7616"/>
    <w:rsid w:val="00A00234"/>
    <w:rsid w:val="00A110A4"/>
    <w:rsid w:val="00A11B38"/>
    <w:rsid w:val="00A12CD0"/>
    <w:rsid w:val="00A14814"/>
    <w:rsid w:val="00A17E51"/>
    <w:rsid w:val="00A21C52"/>
    <w:rsid w:val="00A252A7"/>
    <w:rsid w:val="00A26BFB"/>
    <w:rsid w:val="00A32E32"/>
    <w:rsid w:val="00A37E3D"/>
    <w:rsid w:val="00A42DAF"/>
    <w:rsid w:val="00A45BD8"/>
    <w:rsid w:val="00A5052C"/>
    <w:rsid w:val="00A5124A"/>
    <w:rsid w:val="00A5470E"/>
    <w:rsid w:val="00A61F0D"/>
    <w:rsid w:val="00A64259"/>
    <w:rsid w:val="00A674A0"/>
    <w:rsid w:val="00A750A0"/>
    <w:rsid w:val="00A849FC"/>
    <w:rsid w:val="00A869B7"/>
    <w:rsid w:val="00A87281"/>
    <w:rsid w:val="00A87385"/>
    <w:rsid w:val="00A87E0B"/>
    <w:rsid w:val="00A92914"/>
    <w:rsid w:val="00A9674A"/>
    <w:rsid w:val="00AA157D"/>
    <w:rsid w:val="00AA33C0"/>
    <w:rsid w:val="00AA7931"/>
    <w:rsid w:val="00AB6794"/>
    <w:rsid w:val="00AC0C8D"/>
    <w:rsid w:val="00AC205C"/>
    <w:rsid w:val="00AC230E"/>
    <w:rsid w:val="00AC2D65"/>
    <w:rsid w:val="00AC3336"/>
    <w:rsid w:val="00AC4C9E"/>
    <w:rsid w:val="00AC61B0"/>
    <w:rsid w:val="00AC6ADD"/>
    <w:rsid w:val="00AD1DB6"/>
    <w:rsid w:val="00AE5CAE"/>
    <w:rsid w:val="00AE5DB2"/>
    <w:rsid w:val="00AE61A1"/>
    <w:rsid w:val="00AE7216"/>
    <w:rsid w:val="00AF0A6B"/>
    <w:rsid w:val="00AF23A2"/>
    <w:rsid w:val="00AF3690"/>
    <w:rsid w:val="00AF6EF2"/>
    <w:rsid w:val="00B040FB"/>
    <w:rsid w:val="00B044DA"/>
    <w:rsid w:val="00B05A69"/>
    <w:rsid w:val="00B07E1E"/>
    <w:rsid w:val="00B10C5F"/>
    <w:rsid w:val="00B134DA"/>
    <w:rsid w:val="00B13B6A"/>
    <w:rsid w:val="00B14E25"/>
    <w:rsid w:val="00B15B66"/>
    <w:rsid w:val="00B22A73"/>
    <w:rsid w:val="00B2489D"/>
    <w:rsid w:val="00B275DF"/>
    <w:rsid w:val="00B27781"/>
    <w:rsid w:val="00B33173"/>
    <w:rsid w:val="00B350D2"/>
    <w:rsid w:val="00B36CB7"/>
    <w:rsid w:val="00B47429"/>
    <w:rsid w:val="00B47BBC"/>
    <w:rsid w:val="00B55DE0"/>
    <w:rsid w:val="00B568B8"/>
    <w:rsid w:val="00B57FA2"/>
    <w:rsid w:val="00B613F1"/>
    <w:rsid w:val="00B67BB0"/>
    <w:rsid w:val="00B70BEB"/>
    <w:rsid w:val="00B72F70"/>
    <w:rsid w:val="00B77189"/>
    <w:rsid w:val="00B80EFF"/>
    <w:rsid w:val="00B833D8"/>
    <w:rsid w:val="00B849E5"/>
    <w:rsid w:val="00B90F55"/>
    <w:rsid w:val="00B91486"/>
    <w:rsid w:val="00B968A0"/>
    <w:rsid w:val="00B9734B"/>
    <w:rsid w:val="00BA0CE1"/>
    <w:rsid w:val="00BA29A5"/>
    <w:rsid w:val="00BA2BCF"/>
    <w:rsid w:val="00BA6B82"/>
    <w:rsid w:val="00BB231F"/>
    <w:rsid w:val="00BB2811"/>
    <w:rsid w:val="00BB3B69"/>
    <w:rsid w:val="00BB3FF5"/>
    <w:rsid w:val="00BB4B28"/>
    <w:rsid w:val="00BC40C6"/>
    <w:rsid w:val="00BD1E5B"/>
    <w:rsid w:val="00BD2C19"/>
    <w:rsid w:val="00BD7C64"/>
    <w:rsid w:val="00BE293A"/>
    <w:rsid w:val="00BE7815"/>
    <w:rsid w:val="00BF01B3"/>
    <w:rsid w:val="00BF0412"/>
    <w:rsid w:val="00BF2121"/>
    <w:rsid w:val="00BF3E47"/>
    <w:rsid w:val="00BF7648"/>
    <w:rsid w:val="00C014B3"/>
    <w:rsid w:val="00C07977"/>
    <w:rsid w:val="00C11BFE"/>
    <w:rsid w:val="00C1324E"/>
    <w:rsid w:val="00C13343"/>
    <w:rsid w:val="00C16C4E"/>
    <w:rsid w:val="00C17A92"/>
    <w:rsid w:val="00C17E16"/>
    <w:rsid w:val="00C2621C"/>
    <w:rsid w:val="00C275C1"/>
    <w:rsid w:val="00C41ED5"/>
    <w:rsid w:val="00C43C38"/>
    <w:rsid w:val="00C45A0C"/>
    <w:rsid w:val="00C45A59"/>
    <w:rsid w:val="00C464E8"/>
    <w:rsid w:val="00C46E3C"/>
    <w:rsid w:val="00C51A77"/>
    <w:rsid w:val="00C533B3"/>
    <w:rsid w:val="00C54239"/>
    <w:rsid w:val="00C54D2A"/>
    <w:rsid w:val="00C55F0F"/>
    <w:rsid w:val="00C575C2"/>
    <w:rsid w:val="00C57E27"/>
    <w:rsid w:val="00C62638"/>
    <w:rsid w:val="00C65E31"/>
    <w:rsid w:val="00C66005"/>
    <w:rsid w:val="00C6648C"/>
    <w:rsid w:val="00C666D1"/>
    <w:rsid w:val="00C70B0A"/>
    <w:rsid w:val="00C70EE3"/>
    <w:rsid w:val="00C719B6"/>
    <w:rsid w:val="00C71CA2"/>
    <w:rsid w:val="00C7433A"/>
    <w:rsid w:val="00C74470"/>
    <w:rsid w:val="00C755D1"/>
    <w:rsid w:val="00C75A8F"/>
    <w:rsid w:val="00C77A76"/>
    <w:rsid w:val="00C83160"/>
    <w:rsid w:val="00C86837"/>
    <w:rsid w:val="00C92786"/>
    <w:rsid w:val="00C9356A"/>
    <w:rsid w:val="00CA13CE"/>
    <w:rsid w:val="00CB109A"/>
    <w:rsid w:val="00CB50DD"/>
    <w:rsid w:val="00CB6639"/>
    <w:rsid w:val="00CB7B41"/>
    <w:rsid w:val="00CC054D"/>
    <w:rsid w:val="00CD3A08"/>
    <w:rsid w:val="00CD42AA"/>
    <w:rsid w:val="00CE18E5"/>
    <w:rsid w:val="00CE482F"/>
    <w:rsid w:val="00CE7CC2"/>
    <w:rsid w:val="00CF4AB6"/>
    <w:rsid w:val="00CF4D29"/>
    <w:rsid w:val="00CF4EEB"/>
    <w:rsid w:val="00D049FE"/>
    <w:rsid w:val="00D102E1"/>
    <w:rsid w:val="00D152C5"/>
    <w:rsid w:val="00D1631B"/>
    <w:rsid w:val="00D16BBC"/>
    <w:rsid w:val="00D17EA9"/>
    <w:rsid w:val="00D272AC"/>
    <w:rsid w:val="00D3016B"/>
    <w:rsid w:val="00D30528"/>
    <w:rsid w:val="00D32D41"/>
    <w:rsid w:val="00D36E22"/>
    <w:rsid w:val="00D40D6E"/>
    <w:rsid w:val="00D43440"/>
    <w:rsid w:val="00D44C50"/>
    <w:rsid w:val="00D44F59"/>
    <w:rsid w:val="00D45252"/>
    <w:rsid w:val="00D46B9C"/>
    <w:rsid w:val="00D47363"/>
    <w:rsid w:val="00D602A1"/>
    <w:rsid w:val="00D63FF2"/>
    <w:rsid w:val="00D71B4D"/>
    <w:rsid w:val="00D72D4E"/>
    <w:rsid w:val="00D74AE7"/>
    <w:rsid w:val="00D76CA6"/>
    <w:rsid w:val="00D802F9"/>
    <w:rsid w:val="00D83368"/>
    <w:rsid w:val="00D844B3"/>
    <w:rsid w:val="00D930A7"/>
    <w:rsid w:val="00D938E3"/>
    <w:rsid w:val="00D93BCC"/>
    <w:rsid w:val="00D93D55"/>
    <w:rsid w:val="00D93D7E"/>
    <w:rsid w:val="00DB09F3"/>
    <w:rsid w:val="00DB1A01"/>
    <w:rsid w:val="00DC2B36"/>
    <w:rsid w:val="00DC3D87"/>
    <w:rsid w:val="00DE005B"/>
    <w:rsid w:val="00DE648D"/>
    <w:rsid w:val="00DE7200"/>
    <w:rsid w:val="00E05113"/>
    <w:rsid w:val="00E05830"/>
    <w:rsid w:val="00E25C6A"/>
    <w:rsid w:val="00E271B0"/>
    <w:rsid w:val="00E335FE"/>
    <w:rsid w:val="00E33FA7"/>
    <w:rsid w:val="00E41A38"/>
    <w:rsid w:val="00E448CB"/>
    <w:rsid w:val="00E45FD6"/>
    <w:rsid w:val="00E53C0A"/>
    <w:rsid w:val="00E60AAF"/>
    <w:rsid w:val="00E60C64"/>
    <w:rsid w:val="00E7177D"/>
    <w:rsid w:val="00E73F94"/>
    <w:rsid w:val="00E754DB"/>
    <w:rsid w:val="00E8102E"/>
    <w:rsid w:val="00E84B25"/>
    <w:rsid w:val="00E95A6E"/>
    <w:rsid w:val="00E96ADE"/>
    <w:rsid w:val="00E9742B"/>
    <w:rsid w:val="00EA06F5"/>
    <w:rsid w:val="00EA75DE"/>
    <w:rsid w:val="00EB0A62"/>
    <w:rsid w:val="00EB0D05"/>
    <w:rsid w:val="00EB449E"/>
    <w:rsid w:val="00EB44A3"/>
    <w:rsid w:val="00EB7312"/>
    <w:rsid w:val="00EB7472"/>
    <w:rsid w:val="00EC0298"/>
    <w:rsid w:val="00EC4937"/>
    <w:rsid w:val="00EC4E49"/>
    <w:rsid w:val="00EC746E"/>
    <w:rsid w:val="00EC7C07"/>
    <w:rsid w:val="00ED1E87"/>
    <w:rsid w:val="00ED2898"/>
    <w:rsid w:val="00ED525F"/>
    <w:rsid w:val="00ED77FB"/>
    <w:rsid w:val="00ED7E09"/>
    <w:rsid w:val="00EE0566"/>
    <w:rsid w:val="00EE45FA"/>
    <w:rsid w:val="00EE7CD8"/>
    <w:rsid w:val="00EF06C5"/>
    <w:rsid w:val="00EF6925"/>
    <w:rsid w:val="00EF736E"/>
    <w:rsid w:val="00EF75CC"/>
    <w:rsid w:val="00F0123F"/>
    <w:rsid w:val="00F01A16"/>
    <w:rsid w:val="00F02B8D"/>
    <w:rsid w:val="00F0322A"/>
    <w:rsid w:val="00F0466A"/>
    <w:rsid w:val="00F12FD4"/>
    <w:rsid w:val="00F13214"/>
    <w:rsid w:val="00F1479F"/>
    <w:rsid w:val="00F17777"/>
    <w:rsid w:val="00F24299"/>
    <w:rsid w:val="00F264F3"/>
    <w:rsid w:val="00F277BE"/>
    <w:rsid w:val="00F332B2"/>
    <w:rsid w:val="00F34E9A"/>
    <w:rsid w:val="00F46949"/>
    <w:rsid w:val="00F512F7"/>
    <w:rsid w:val="00F522CA"/>
    <w:rsid w:val="00F53802"/>
    <w:rsid w:val="00F54B81"/>
    <w:rsid w:val="00F55542"/>
    <w:rsid w:val="00F63A34"/>
    <w:rsid w:val="00F66152"/>
    <w:rsid w:val="00F72E06"/>
    <w:rsid w:val="00F73639"/>
    <w:rsid w:val="00F74A9F"/>
    <w:rsid w:val="00F77970"/>
    <w:rsid w:val="00F83BAB"/>
    <w:rsid w:val="00F84DD7"/>
    <w:rsid w:val="00F86385"/>
    <w:rsid w:val="00F87165"/>
    <w:rsid w:val="00F87B87"/>
    <w:rsid w:val="00F9013D"/>
    <w:rsid w:val="00F91646"/>
    <w:rsid w:val="00F92124"/>
    <w:rsid w:val="00F92C41"/>
    <w:rsid w:val="00F948D6"/>
    <w:rsid w:val="00F95772"/>
    <w:rsid w:val="00F975C5"/>
    <w:rsid w:val="00FB27BC"/>
    <w:rsid w:val="00FC2BB7"/>
    <w:rsid w:val="00FC60DF"/>
    <w:rsid w:val="00FC6D1D"/>
    <w:rsid w:val="00FD05E6"/>
    <w:rsid w:val="00FD1B11"/>
    <w:rsid w:val="00FD625B"/>
    <w:rsid w:val="00FE25FA"/>
    <w:rsid w:val="00FE68AB"/>
    <w:rsid w:val="00FF2296"/>
    <w:rsid w:val="00FF246F"/>
    <w:rsid w:val="00FF3AD0"/>
    <w:rsid w:val="00FF5001"/>
    <w:rsid w:val="00FF653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  <w:tabs>
        <w:tab w:val="clear" w:pos="567"/>
        <w:tab w:val="num" w:pos="1134"/>
      </w:tabs>
      <w:ind w:left="567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  <w:style w:type="character" w:customStyle="1" w:styleId="st">
    <w:name w:val="st"/>
    <w:basedOn w:val="DefaultParagraphFont"/>
    <w:rsid w:val="008F7BC2"/>
  </w:style>
  <w:style w:type="table" w:customStyle="1" w:styleId="TableGrid1">
    <w:name w:val="Table Grid1"/>
    <w:basedOn w:val="TableNormal"/>
    <w:next w:val="TableGrid"/>
    <w:rsid w:val="0060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7E36E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1B98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  <w:tabs>
        <w:tab w:val="clear" w:pos="567"/>
        <w:tab w:val="num" w:pos="1134"/>
      </w:tabs>
      <w:ind w:left="567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  <w:style w:type="character" w:customStyle="1" w:styleId="st">
    <w:name w:val="st"/>
    <w:basedOn w:val="DefaultParagraphFont"/>
    <w:rsid w:val="008F7BC2"/>
  </w:style>
  <w:style w:type="table" w:customStyle="1" w:styleId="TableGrid1">
    <w:name w:val="Table Grid1"/>
    <w:basedOn w:val="TableNormal"/>
    <w:next w:val="TableGrid"/>
    <w:rsid w:val="0060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7E36E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1B98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wipo.int/ip-development/en/agenda/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wipo.int/ip-development/en/agenda/flexibilities/database.htm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2145-D161-4C45-800F-A6F4E7C7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</Template>
  <TotalTime>27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LIZARZABURU AGUILAR María Daniela</cp:lastModifiedBy>
  <cp:revision>10</cp:revision>
  <cp:lastPrinted>2017-10-24T14:19:00Z</cp:lastPrinted>
  <dcterms:created xsi:type="dcterms:W3CDTF">2017-10-13T14:39:00Z</dcterms:created>
  <dcterms:modified xsi:type="dcterms:W3CDTF">2017-10-24T14:21:00Z</dcterms:modified>
</cp:coreProperties>
</file>